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2026-07-10</w:t>
      </w:r>
    </w:p>
    <w:p>
      <w:pPr>
        <w:spacing w:before="160" w:after="120"/>
      </w:pPr>
      <w:r>
        <w:rPr>
          <w:b/>
          <w:sz w:val="28"/>
        </w:rPr>
        <w:t>【光伏】</w:t>
      </w:r>
    </w:p>
    <w:p>
      <w:pPr>
        <w:spacing w:before="160" w:after="40" w:line="240" w:lineRule="auto"/>
      </w:pPr>
      <w:r>
        <w:rPr>
          <w:b/>
        </w:rPr>
        <w:t xml:space="preserve">[1] </w:t>
      </w:r>
      <w:hyperlink r:id="rId9">
        <w:r>
          <w:rPr>
            <w:color w:val="1155CC"/>
            <w:u w:val="single"/>
          </w:rPr>
          <w:t>光谱选择性 c-Si 农用光伏模块：评估新方法</w:t>
        </w:r>
      </w:hyperlink>
    </w:p>
    <w:p>
      <w:pPr>
        <w:spacing w:before="0" w:after="80"/>
      </w:pPr>
      <w:r>
        <w:rPr>
          <w:i/>
          <w:sz w:val="20"/>
        </w:rPr>
        <w:t>EN: Spectrally selective c-Si agrivoltaic modules: Evaluating a new approach</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气候变化下住宅建筑屋顶光伏发电的时空供需匹配：跨气候区评估</w:t>
        </w:r>
      </w:hyperlink>
    </w:p>
    <w:p>
      <w:pPr>
        <w:spacing w:before="0" w:after="80"/>
      </w:pPr>
      <w:r>
        <w:rPr>
          <w:i/>
          <w:sz w:val="20"/>
        </w:rPr>
        <w:t>EN: Spatiotemporal supply-demand matching in residential building rooftop photovoltaics (PV) under climate change: a cross-climate zone assessment</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为什么理论光伏适用性不能完全预测部署：中国城市规模选址的可解释深度学习</w:t>
        </w:r>
      </w:hyperlink>
    </w:p>
    <w:p>
      <w:pPr>
        <w:spacing w:before="0" w:after="80"/>
      </w:pPr>
      <w:r>
        <w:rPr>
          <w:i/>
          <w:sz w:val="20"/>
        </w:rPr>
        <w:t>EN: Why theoretical photovoltaic suitability does not fully predict deployment: interpretable deep learning of urban-scale siting across Chinese cities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LLM授权的PV-EV渗透配电网多智能体智能规划</w:t>
        </w:r>
      </w:hyperlink>
    </w:p>
    <w:p>
      <w:pPr>
        <w:spacing w:before="0" w:after="80"/>
      </w:pPr>
      <w:r>
        <w:rPr>
          <w:i/>
          <w:sz w:val="20"/>
        </w:rPr>
        <w:t>EN: LLM-empowered multi-agent intelligent planning for PV-EV penetrated distribution networks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空间限制策略增强的高性能硅基光电阴极用于光电化学制氢</w:t>
        </w:r>
      </w:hyperlink>
    </w:p>
    <w:p>
      <w:pPr>
        <w:spacing w:before="0" w:after="80"/>
      </w:pPr>
      <w:r>
        <w:rPr>
          <w:i/>
          <w:sz w:val="20"/>
        </w:rPr>
        <w:t>EN: A High-Performance Si-Based Photocathode Enhanced by Spatial Confinement Strategy for Photoelectrochemical Hydrogen Production</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14">
        <w:r>
          <w:rPr>
            <w:color w:val="1155CC"/>
            <w:u w:val="single"/>
          </w:rPr>
          <w:t>10.1021/acsami.6c06836</w:t>
        </w:r>
      </w:hyperlink>
    </w:p>
    <w:p>
      <w:pPr>
        <w:spacing w:before="0" w:after="120"/>
      </w:pPr>
      <w:r>
        <w:rPr>
          <w:b/>
        </w:rPr>
        <w:t xml:space="preserve">Notes: </w:t>
      </w:r>
      <w:r>
        <w:t>abstract_source=pubmed</w:t>
      </w:r>
    </w:p>
    <w:p>
      <w:pPr>
        <w:spacing w:before="0" w:after="80" w:lineRule="auto" w:line="276"/>
      </w:pPr>
      <w:r>
        <w:rPr>
          <w:b/>
        </w:rPr>
        <w:t xml:space="preserve">摘要（ZH）: </w:t>
      </w:r>
      <w:r>
        <w:t>在硅基光电阴极上修饰的金属材料（如Ti、Pt和Ag）表现出强烈的光反射，这显着阻碍了底层硅（Si）的光吸收，从而限制了硅基光电阴极的效率。在此，通过空间限制策略设计了高性能硅基光电阴极。 Pt助催化剂被限制在金字塔顶部的Ti保护层中，作为光电化学析氢反应的催化活性位点。其他区域被 SiO2 层覆盖，允许入射光穿透并被下面的 Si 吸收。这种设计有效地抑制了寄生光吸收，从而提高了硅基光电阴极的光电化学性能。另外，SiO2层和Ti层可以保护Si不被电解液腐蚀。在1太阳（AM 1.5G）光照下，OP-Si/SiO2/Ti/Pt光电阴极的起始电位相对于可逆氢电极（RHE）为0.415 V，0 V相对于RHE的光电流密度为-13.93 mA cm-2，明显优于对照光电阴极（OP-Si/Ti/Pt）。这项工作为开发高效硅基光电阴极提供了一条有前途的途径。</w:t>
      </w:r>
    </w:p>
    <w:p>
      <w:pPr>
        <w:spacing w:before="0" w:after="200" w:lineRule="auto" w:line="276"/>
      </w:pPr>
      <w:r>
        <w:rPr>
          <w:b/>
        </w:rPr>
        <w:t xml:space="preserve">Abstract (EN): </w:t>
      </w:r>
      <w:r>
        <w:t>Metallic materials (such as Ti, Pt, and Ag) modified on silicon-based photocathodes exhibit strong light reflection, which significantly hinders light absorption by the underlying silicon (Si), thereby limiting the efficiency of Si-based photocathodes. Herein, a high-performance Si-based photocathode is designed by spatial confinement strategy. The Pt cocatalysts are confined to the Ti protective layer at the top of the pyramid, which serve as catalytic active sites for the photoelectrochemical hydrogen evolution reaction. The other regions are covered by the SiO2 layer, which allow incident light to penetrate and be absorbed by the underlying Si. This design effectively suppresses parasitic light absorption, thereby enhancing the photoelectrochemical performance of the Si-based photocathodes. In addition, the SiO2 layer and the Ti layer can protect Si from being corroded by the electrolyte. Under 1 sun (AM 1.5G) illumination, the OP-Si/SiO2/Ti/Pt photocathode exhibits an onset potential of 0.415 V vs reversible hydrogen electrode (RHE) and a photocurrent density of -13.93 mA cm-2 at 0 V vs RHE, which is significantly superior to the control photocathode (OP-Si/Ti/Pt). This work provides a promising avenue to develop highly efficient Si-based photocathodes.</w:t>
      </w:r>
    </w:p>
    <w:p>
      <w:pPr>
        <w:spacing w:before="120" w:after="120"/>
      </w:pPr>
      <w:r>
        <w:rPr>
          <w:sz w:val="18"/>
        </w:rPr>
        <w:t>——————————————————————————————————————————————————————————————————————</w:t>
      </w:r>
    </w:p>
    <w:p>
      <w:pPr>
        <w:spacing w:before="160" w:after="40" w:line="240" w:lineRule="auto"/>
      </w:pPr>
      <w:r>
        <w:rPr>
          <w:b/>
        </w:rPr>
        <w:t xml:space="preserve">[6] </w:t>
      </w:r>
      <w:hyperlink r:id="rId15">
        <w:r>
          <w:rPr>
            <w:color w:val="1155CC"/>
            <w:u w:val="single"/>
          </w:rPr>
          <w:t>用于调节 CsPbI 3 量子点太阳能电池中表面配位和电子耦合的多齿氧化膦配体</w:t>
        </w:r>
      </w:hyperlink>
    </w:p>
    <w:p>
      <w:pPr>
        <w:spacing w:before="0" w:after="80"/>
      </w:pPr>
      <w:r>
        <w:rPr>
          <w:i/>
          <w:sz w:val="20"/>
        </w:rPr>
        <w:t>EN: Multidentate Phosphine Oxide Ligands for Regulating Surface Coordination and Electronic Coupling in CsPbI 3 Quantum Dot Solar Cells</w:t>
      </w:r>
    </w:p>
    <w:p>
      <w:pPr>
        <w:spacing w:before="0" w:after="120"/>
      </w:pPr>
      <w:r>
        <w:rPr>
          <w:b/>
        </w:rPr>
        <w:t xml:space="preserve">Source: </w:t>
      </w:r>
      <w:r>
        <w:t>ACS Energy Letters: Latest Articles (ACS Publications)</w:t>
      </w:r>
      <w:r>
        <w:t xml:space="preserve">    </w:t>
      </w:r>
      <w:r>
        <w:rPr>
          <w:b/>
        </w:rPr>
        <w:t xml:space="preserve">Pub date: </w:t>
      </w:r>
      <w:r>
        <w:t>2026-07-06 00:00:00+00:00</w:t>
      </w:r>
      <w:r>
        <w:t xml:space="preserve">    </w:t>
      </w:r>
      <w:r>
        <w:rPr>
          <w:b/>
        </w:rPr>
        <w:t xml:space="preserve">DOI: </w:t>
      </w:r>
      <w:hyperlink r:id="rId16">
        <w:r>
          <w:rPr>
            <w:color w:val="1155CC"/>
            <w:u w:val="single"/>
          </w:rPr>
          <w:t>10.1021/acsenergylett.6c01826</w:t>
        </w:r>
      </w:hyperlink>
    </w:p>
    <w:p>
      <w:pPr>
        <w:spacing w:before="0" w:after="120"/>
      </w:pPr>
      <w:r>
        <w:rPr>
          <w:b/>
        </w:rPr>
        <w:t xml:space="preserve">Notes: </w:t>
      </w:r>
      <w:r>
        <w:t>abstract_source=openalex</w:t>
      </w:r>
    </w:p>
    <w:p>
      <w:pPr>
        <w:spacing w:before="0" w:after="80" w:lineRule="auto" w:line="276"/>
      </w:pPr>
      <w:r>
        <w:rPr>
          <w:b/>
        </w:rPr>
        <w:t xml:space="preserve">摘要（ZH）: </w:t>
      </w:r>
      <w:r>
        <w:t>全无机 CsPbI 3 钙钛矿量子点 (PQD) 长期以来一直面临着有效表面钝化和有效点间电荷传输之间的权衡问题。在这里，我们使用单齿、双齿和四齿氧化膦配体将配体齿数确定为控制这种平衡的关键参数。密度的增加增强了表面配位并抑制了缺陷辅助复合，但同时引入了空间约束，削弱了点间电子耦合。密度泛函理论计算表明，双齿配体 2-TPPO 优先在相邻 PQD 之间采用能量上有利的桥接构型，从而实现强表面结合和有效的载流子传输。与该机制一致，2-TPPO 处理的 PQD 固体表现出降低的陷阱密度和改善的结构有序性。因此，CsPbI 3 PQD 太阳能电池的效率达到 17.1%，并且运行稳定性增强。这些发现将配体密度确立为平衡 PQD 固体中的缺陷钝化和电子耦合的分子设计原理。</w:t>
      </w:r>
    </w:p>
    <w:p>
      <w:pPr>
        <w:spacing w:before="0" w:after="200" w:lineRule="auto" w:line="276"/>
      </w:pPr>
      <w:r>
        <w:rPr>
          <w:b/>
        </w:rPr>
        <w:t xml:space="preserve">Abstract (EN): </w:t>
      </w:r>
      <w:r>
        <w:t>All-inorganic CsPbI 3 perovskite quantum dots (PQDs) suffer from a long-standing trade-off between effective surface passivation and efficient interdot charge transport. Here, we identify ligand denticity as a key parameter governing this balance using mono-, bi-, and tetradentate phosphine oxide ligands. Increasing denticity strengthens surface coordination and suppresses defect-assisted recombination but simultaneously introduces steric constraints that weaken interdot electronic coupling. Density functional theory calculations reveal that the bidentate ligand 2-TPPO preferentially adopts an energetically favorable bridging configuration between adjacent PQDs, enabling both strong surface binding and efficient carrier transport. Consistent with this mechanism, 2-TPPO-treated PQD solids exhibit reduced trap density and improved structural ordering. Consequently, CsPbI 3 PQD solar cells achieve an efficiency of 17.1% with enhanced operational stability. These findings establish ligand denticity as a molecular design principle for balancing defect passivation and electronic coupling in PQD solids.</w:t>
      </w:r>
    </w:p>
    <w:p>
      <w:pPr>
        <w:spacing w:before="120" w:after="120"/>
      </w:pPr>
      <w:r>
        <w:rPr>
          <w:sz w:val="18"/>
        </w:rPr>
        <w:t>——————————————————————————————————————————————————————————————————————</w:t>
      </w:r>
    </w:p>
    <w:p>
      <w:pPr>
        <w:spacing w:before="160" w:after="40" w:line="240" w:lineRule="auto"/>
      </w:pPr>
      <w:r>
        <w:rPr>
          <w:b/>
        </w:rPr>
        <w:t xml:space="preserve">[7] </w:t>
      </w:r>
      <w:hyperlink r:id="rId17">
        <w:r>
          <w:rPr>
            <w:color w:val="1155CC"/>
            <w:u w:val="single"/>
          </w:rPr>
          <w:t>由极性芳族溶剂生长的大型致密非富勒烯电子受体晶体中载流子扩散长度记录</w:t>
        </w:r>
      </w:hyperlink>
    </w:p>
    <w:p>
      <w:pPr>
        <w:spacing w:before="0" w:after="80"/>
      </w:pPr>
      <w:r>
        <w:rPr>
          <w:i/>
          <w:sz w:val="20"/>
        </w:rPr>
        <w:t>EN: Record Carrier Diffusion Lengths in Large, Dense Nonfullerene Electron Acceptor Crystals Grown from Polar Aromatic Solvents</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18">
        <w:r>
          <w:rPr>
            <w:color w:val="1155CC"/>
            <w:u w:val="single"/>
          </w:rPr>
          <w:t>10.1021/jacs.6c06671</w:t>
        </w:r>
      </w:hyperlink>
    </w:p>
    <w:p>
      <w:pPr>
        <w:spacing w:before="0" w:after="120"/>
      </w:pPr>
      <w:r>
        <w:rPr>
          <w:b/>
        </w:rPr>
        <w:t xml:space="preserve">Notes: </w:t>
      </w:r>
      <w:r>
        <w:t>abstract_source=pubmed</w:t>
      </w:r>
    </w:p>
    <w:p>
      <w:pPr>
        <w:spacing w:before="0" w:after="80" w:lineRule="auto" w:line="276"/>
      </w:pPr>
      <w:r>
        <w:rPr>
          <w:b/>
        </w:rPr>
        <w:t xml:space="preserve">摘要（ZH）: </w:t>
      </w:r>
      <w:r>
        <w:t>非富勒烯受体（NFA）的半晶薄膜引起了光电应用的极大兴趣。有机单晶有望提供优于薄膜的光电性能；然而，由于 NFA 晶体的生长具有挑战性且尺寸为微米-纳米尺寸，因此在应用中很少使用。在这里，苯酚和苯乙酮被用作芳香族、无卤素重结晶溶剂，导致不同多晶型的毫米级 Y6 晶体的生长——这种结晶技术可推广到其他 NFA 分子。这些晶体表现出一种新颖的结构，比之前报道的 Y6 晶体更致密。我们使用功率依赖性荧光和荧光显微镜来证明这些晶体与薄膜相比增强的激子扩散长度（70 ± 15 nm）和新颖的光物理响应，并将这些特性与量子化学计算进行比较。这项工作展示了材料加工如何改善未来的光电子学，并强调了分子堆积在当前高性能 NFA 器件中的关键作用。</w:t>
      </w:r>
    </w:p>
    <w:p>
      <w:pPr>
        <w:spacing w:before="0" w:after="200" w:lineRule="auto" w:line="276"/>
      </w:pPr>
      <w:r>
        <w:rPr>
          <w:b/>
        </w:rPr>
        <w:t xml:space="preserve">Abstract (EN): </w:t>
      </w:r>
      <w:r>
        <w:t>Semicrystalline films of nonfullerene acceptors (NFAs) attract considerable interest for optoelectronic applications. Organic single crystals promise superior optoelectronic properties to films; however, NFA crystals have been little used in applications because of their challenging growth and micrometer-nanometer sizes. Here, phenol and acetophenone are used as aromatic, halogen-free recrystallization solvents, resulting in the growth of millimeter-sized Y6 crystals of varying polymorphisms─a crystallization technique which generalizes to other NFA molecules. The crystals show a novel structure which is denser than any previously reported for Y6. We use power-dependent fluorescence and fluorescence microscopy to demonstrate enhanced exciton diffusion lengths (70 ± 15 nm) and novel photophysical responses in these crystals compared to thin films, and compare these properties to quantum chemical calculations. This work demonstrates how material processing can improve future optoelectronics and emphasizes the critical role of molecular packing in current high-performance NFA devices.</w:t>
      </w:r>
    </w:p>
    <w:p>
      <w:pPr>
        <w:spacing w:before="120" w:after="120"/>
      </w:pPr>
      <w:r>
        <w:rPr>
          <w:sz w:val="18"/>
        </w:rPr>
        <w:t>——————————————————————————————————————————————————————————————————————</w:t>
      </w:r>
    </w:p>
    <w:p>
      <w:pPr>
        <w:spacing w:before="160" w:after="40" w:line="240" w:lineRule="auto"/>
      </w:pPr>
      <w:r>
        <w:rPr>
          <w:b/>
        </w:rPr>
        <w:t xml:space="preserve">[8] </w:t>
      </w:r>
      <w:hyperlink r:id="rId19">
        <w:r>
          <w:rPr>
            <w:color w:val="1155CC"/>
            <w:u w:val="single"/>
          </w:rPr>
          <w:t>高性能宽带隙钙钛矿太阳能电池的双添加剂</w:t>
        </w:r>
      </w:hyperlink>
    </w:p>
    <w:p>
      <w:pPr>
        <w:spacing w:before="0" w:after="80"/>
      </w:pPr>
      <w:r>
        <w:rPr>
          <w:i/>
          <w:sz w:val="20"/>
        </w:rPr>
        <w:t>EN: Dual Additives toward High-Performance Wide-Bandgap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20">
        <w:r>
          <w:rPr>
            <w:color w:val="1155CC"/>
            <w:u w:val="single"/>
          </w:rPr>
          <w:t>10.1021/acsami.6c02800</w:t>
        </w:r>
      </w:hyperlink>
    </w:p>
    <w:p>
      <w:pPr>
        <w:spacing w:before="0" w:after="120"/>
      </w:pPr>
      <w:r>
        <w:rPr>
          <w:b/>
        </w:rPr>
        <w:t xml:space="preserve">Notes: </w:t>
      </w:r>
      <w:r>
        <w:t>abstract_source=pubmed</w:t>
      </w:r>
    </w:p>
    <w:p>
      <w:pPr>
        <w:spacing w:before="0" w:after="80" w:lineRule="auto" w:line="276"/>
      </w:pPr>
      <w:r>
        <w:rPr>
          <w:b/>
        </w:rPr>
        <w:t xml:space="preserve">摘要（ZH）: </w:t>
      </w:r>
      <w:r>
        <w:t>宽带隙（WBG）金属卤化物钙钛矿是通过与窄带隙底部子电池耦合构建高效串联太阳能电池的关键材料。然而，它们的实际性能受到明显的开路电压损失和不稳定性的严重限制，这些开路电压损失和不稳定性是由加速结晶、丰富的缺陷态以及富Br组合物中引起的光致卤化物相偏析引起的。这些问题与碘相关的氧化还原失衡和高溴化物掺入引起的配位不足密切相关，从而加剧了非辐射复合和离子迁移。在此，提出了基于甲酸铯（CsFa）和甲酸甲脒（FAFa）的双添加剂策略，其中引入的甲酸根离子（HCOO-）起主导双功能作用。 HCOO- 同时作为温和还原剂和配位配体，还将光热产生的 I2/I3- 物质转化为 I-，从而重新平衡碘氧化还原化学，同时与配位不足的 Pb2+ 离子配位以调节结晶动力学并促进晶粒生长，从而抑制缺陷形成并改善能级排列。结果，获得了晶粒尺寸增大、缺陷密度降低的高质量WBG钙钛矿薄膜，使得带隙~1.79 eV的P-I-N结构钙钛矿太阳能电池实现了17.83%的功率转换效率，同时增强了运行稳定性，展示了串联光伏器件中WBG顶部电池性能优化的有效策略。</w:t>
      </w:r>
    </w:p>
    <w:p>
      <w:pPr>
        <w:spacing w:before="0" w:after="200" w:lineRule="auto" w:line="276"/>
      </w:pPr>
      <w:r>
        <w:rPr>
          <w:b/>
        </w:rPr>
        <w:t xml:space="preserve">Abstract (EN): </w:t>
      </w:r>
      <w:r>
        <w:t>Wide-bandgap (WBG) metal halide perovskites are key materials for constructing high-efficiency tandem solar cells by coupling with narrow-bandgap bottom subcells. However, their practical performance is severely limited by pronounced open-circuit voltage loss and instability, arising from accelerated crystallization, abundant defect states, and photo induced halide phase segregation induced in Br-rich compositions. These issues are closely associated with iodine-related redox imbalance and undercoordinated Pb2+ sites induced by high bromide incorporation, which intensify nonradiative recombination and ion migration. Herein, a dual-additive strategy based on cesium formate (CsFa) and formamidinium formate (FAFa) is proposed, in which the introduced formate ion (HCOO-) plays a dominant bifunctional role. Acting simultaneously as a mild reducing agent and a coordinating ligand, HCOO- also converts photothermally generated I2/I3- species into I-, thereby rebalancing the iodine redox chemistry, while coordinating with undercoordinated Pb2+ ions to modulate crystallization kinetics and promote grain growth, thereby suppressing defect formation, and improving energy-level alignment. As a result, high quality WBG perovskite films with enlarged grain size and reduced defect density are obtained, enabling P-I-N structured perovskite solar cells with a bandgap of ∼1.79 eV to achieve a power conversion efficiency of 17.83% along with enhanced operational stability, demonstrating an effective strategy for performance optimization of WBG top cells in tandem photovoltaic devices.</w:t>
      </w:r>
    </w:p>
    <w:p>
      <w:pPr>
        <w:spacing w:before="120" w:after="120"/>
      </w:pPr>
      <w:r>
        <w:rPr>
          <w:sz w:val="18"/>
        </w:rPr>
        <w:t>——————————————————————————————————————————————————————————————————————</w:t>
      </w:r>
    </w:p>
    <w:p>
      <w:pPr>
        <w:spacing w:before="160" w:after="40" w:line="240" w:lineRule="auto"/>
      </w:pPr>
      <w:r>
        <w:rPr>
          <w:b/>
        </w:rPr>
        <w:t xml:space="preserve">[9] </w:t>
      </w:r>
      <w:hyperlink r:id="rId21">
        <w:r>
          <w:rPr>
            <w:color w:val="1155CC"/>
            <w:u w:val="single"/>
          </w:rPr>
          <w:t>去除可更换窗口发光太阳能聚光器的 CuInS 2 /ZnS 量子点中的共分散残留杂质</w:t>
        </w:r>
      </w:hyperlink>
    </w:p>
    <w:p>
      <w:pPr>
        <w:spacing w:before="0" w:after="80"/>
      </w:pPr>
      <w:r>
        <w:rPr>
          <w:i/>
          <w:sz w:val="20"/>
        </w:rPr>
        <w:t>EN: Removal of Codispersible Residual Impurities from CuInS 2 /ZnS Quantum Dots for Window-Replaceable Luminescent Solar Concentrators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22">
        <w:r>
          <w:rPr>
            <w:color w:val="1155CC"/>
            <w:u w:val="single"/>
          </w:rPr>
          <w:t>10.1021/acsami.6c05521</w:t>
        </w:r>
      </w:hyperlink>
    </w:p>
    <w:p>
      <w:pPr>
        <w:spacing w:before="0" w:after="120"/>
      </w:pPr>
      <w:r>
        <w:rPr>
          <w:b/>
        </w:rPr>
        <w:t xml:space="preserve">Notes: </w:t>
      </w:r>
      <w:r>
        <w:t>abstract_source=pubmed</w:t>
      </w:r>
    </w:p>
    <w:p>
      <w:pPr>
        <w:spacing w:before="0" w:after="80" w:lineRule="auto" w:line="276"/>
      </w:pPr>
      <w:r>
        <w:rPr>
          <w:b/>
        </w:rPr>
        <w:t xml:space="preserve">摘要（ZH）: </w:t>
      </w:r>
      <w:r>
        <w:t>发光太阳能聚光器（LSC）在建筑一体化光伏窗方面很有前景。 CuInS2/ZnS 胶体量子点 (CQD) 具有宽吸收、大斯托克斯位移和高光致发光量子产率 (PLQY) 的优点，是理想的 LSC 发射器。然而，用乙酸锌、1-十二烷硫醇和油酸生长的 ZnS 壳会通过原位硫酯化产生共分散残留杂质 (CDRI)。此处首次鉴定，这些物质模拟 CQD 分散/沉淀，在过量反溶剂纯化过程中共沉淀，降低胶体稳定性并限制油墨配方。我们引入了极性调节沉淀，可沉淀 CQD，同时保留上清液中的 CDRI，保留 PLQY，提高胶体稳定性并扩大配方相容性。由此产生的油墨可产生无杂质、低雾度、均匀的 10 × 10 cm2 LSC 波导和具有可接受透射率的 LSC-PV 窗口。该窗户与异质结硅电池和电源管理 IC 集成，可在阳光和室内光线混合的情况下可靠地为蓝牙低能耗传感器供电。</w:t>
      </w:r>
    </w:p>
    <w:p>
      <w:pPr>
        <w:spacing w:before="0" w:after="200" w:lineRule="auto" w:line="276"/>
      </w:pPr>
      <w:r>
        <w:rPr>
          <w:b/>
        </w:rPr>
        <w:t xml:space="preserve">Abstract (EN): </w:t>
      </w:r>
      <w:r>
        <w:t>Luminescent solar concentrators (LSCs) are promising for building-integrated photovoltaic windows. CuInS2/ZnS colloidal quantum dots (CQDs) are ideal LSC emitters owing to broad absorption, large Stokes shift, and high photoluminescence quantum yield (PLQY). However, ZnS shell growth with zinc acetate, 1-dodecanethiol, and oleic acid produces codispersible residual impurities (CDRI) via in situ thioesterification. Identified here for the first time, these species mimic CQD dispersion/precipitation, coprecipitating during excess-antisolvent purification, reducing colloidal stability and limiting ink formulation. We introduce polarity-tuned precipitation that precipitates CQDs while retaining CDRI in the supernatant, preserving PLQY, improving colloidal stability, and expanding formulation compatibility. The resulting inks yield impurity-free, low-haze, uniform 10 × 10 cm2 LSC waveguides and LSC-PV windows with acceptable transmittance. Integrated with heterojunction Si cells and a power-management IC, the window reliably powers a Bluetooth low energy sensor under mixed sunlight and indoor light.</w:t>
      </w:r>
    </w:p>
    <w:p>
      <w:pPr>
        <w:spacing w:before="120" w:after="120"/>
      </w:pPr>
      <w:r>
        <w:rPr>
          <w:sz w:val="18"/>
        </w:rPr>
        <w:t>——————————————————————————————————————————————————————————————————————</w:t>
      </w:r>
    </w:p>
    <w:p>
      <w:pPr>
        <w:spacing w:before="160" w:after="40" w:line="240" w:lineRule="auto"/>
      </w:pPr>
      <w:r>
        <w:rPr>
          <w:b/>
        </w:rPr>
        <w:t xml:space="preserve">[10] </w:t>
      </w:r>
      <w:hyperlink r:id="rId23">
        <w:r>
          <w:rPr>
            <w:color w:val="1155CC"/>
            <w:u w:val="single"/>
          </w:rPr>
          <w:t>基于PMMA/Eu III复合薄膜的智能窗集成光学测温多功能发光太阳能聚光器</w:t>
        </w:r>
      </w:hyperlink>
    </w:p>
    <w:p>
      <w:pPr>
        <w:spacing w:before="0" w:after="80"/>
      </w:pPr>
      <w:r>
        <w:rPr>
          <w:i/>
          <w:sz w:val="20"/>
        </w:rPr>
        <w:t>EN: Multifunctional Luminescent Solar Concentrator Integrating Optical Thermometry Based on PMMA/Eu III -Complex Films for Smart Windows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24">
        <w:r>
          <w:rPr>
            <w:color w:val="1155CC"/>
            <w:u w:val="single"/>
          </w:rPr>
          <w:t>10.1021/acsami.6c03810</w:t>
        </w:r>
      </w:hyperlink>
    </w:p>
    <w:p>
      <w:pPr>
        <w:spacing w:before="0" w:after="120"/>
      </w:pPr>
      <w:r>
        <w:rPr>
          <w:b/>
        </w:rPr>
        <w:t xml:space="preserve">Notes: </w:t>
      </w:r>
      <w:r>
        <w:t>abstract_source=pubmed</w:t>
      </w:r>
    </w:p>
    <w:p>
      <w:pPr>
        <w:spacing w:before="0" w:after="80" w:lineRule="auto" w:line="276"/>
      </w:pPr>
      <w:r>
        <w:rPr>
          <w:b/>
        </w:rPr>
        <w:t xml:space="preserve">摘要（ZH）: </w:t>
      </w:r>
      <w:r>
        <w:t>能够同时收集太阳能和监测环境条件的多功能发光材料有望用于下一代智能窗户。在这里，我们报道了掺杂有 EuIII 基 (Et4N)[Eu(nta)4] 络合物（nta-：4,4,4-三氟-1-（萘-2-基）丁烷-1,3-二酸酯；Et4N+：四乙基铵）的透明聚（甲基丙烯酸甲酯）（PMMA）薄膜，设计用于发光太阳能聚光器（LSC）和发光温度探测器。 nta-配体能够在近紫外光谱范围内有效吸收太阳光并敏化EuIII发光，提供高达50%的总发射量子(QEuL)产率和高于90%的敏化效率。所得 PMMA 薄膜保持高度透明（90-100% 透射率）并显示均匀的掺杂剂分散，在暴露于阳光和有效波导时产生强烈的红色 EuIII 发射。当与硅光伏电池耦合并暴露在日光下时，PMMA:2%EuIII 薄膜相对于未涂层的玻璃基板增强了电流生成，证实了其 LSC 能力。此外，EuIII 5D0 寿命从 280 K 逐渐淬灭至 420 K（397 K 时最大相对热敏度为 4.7% K-1），表明该薄膜可以在温度升高的位置（例如热带国家、屋顶、停车场）用作温度探针。这些结果表明，EuIII 掺杂 PMMA 薄膜有望成为具有集成光学温度监控功能的透明能量收集智能窗户的双功能平台。</w:t>
      </w:r>
    </w:p>
    <w:p>
      <w:pPr>
        <w:spacing w:before="0" w:after="200" w:lineRule="auto" w:line="276"/>
      </w:pPr>
      <w:r>
        <w:rPr>
          <w:b/>
        </w:rPr>
        <w:t xml:space="preserve">Abstract (EN): </w:t>
      </w:r>
      <w:r>
        <w:t>Multifunctional luminescent materials capable of simultaneously harvesting solar energy and monitoring environmental conditions are promising for next-generation smart windows. Here, we report transparent poly(methyl methacrylate) (PMMA) films doped with the EuIII-based (Et4N)[Eu(nta)4] complex (nta-: 4,4,4-trifluoro-1-(naphthalen-2-yl)butane-1,3-dionate; Et4N+: tetraethylammonium), designed to function as both luminescent solar concentrators (LSCs) and luminescent temperature probes. The nta- ligand enables efficient sunlight absorption in the near-ultraviolet spectral range and sensitization of the EuIII luminescence, affording overall emission quantum(QEuL)yields of up to 50% and sensitization efficiencies above 90%. The resulting PMMA films remain highly transparent (90-100% transmittance) and display homogeneous dopant dispersion, yielding intense red EuIII emission upon exposure to sunlight and effective waveguiding. When coupled to a silicon photovoltaic cell and exposed to daylight, the PMMA:2%EuIII film enhances current generation relative to an uncoated glass substrate, confirming its LSC capability. Moreover, the EuIII 5D0 lifetime is gradually quenched from 280 to 420 K (maximum relative thermal sensitivity of 4.7% K-1 at 397 K), indicating that the film can operate as a temperature probe in locations exhibiting elevated temperatures (e.g., tropical countries, rooftops, parking lots). These results establish EuIII-doped PMMA films as promising dual-function platforms for transparent, energy-harvesting smart windows with integrated optical temperature monitoring.</w:t>
      </w:r>
    </w:p>
    <w:p>
      <w:pPr>
        <w:spacing w:before="120" w:after="120"/>
      </w:pPr>
      <w:r>
        <w:rPr>
          <w:sz w:val="18"/>
        </w:rPr>
        <w:t>——————————————————————————————————————————————————————————————————————</w:t>
      </w:r>
    </w:p>
    <w:p>
      <w:pPr>
        <w:spacing w:before="160" w:after="40" w:line="240" w:lineRule="auto"/>
      </w:pPr>
      <w:r>
        <w:rPr>
          <w:b/>
        </w:rPr>
        <w:t xml:space="preserve">[11] </w:t>
      </w:r>
      <w:hyperlink r:id="rId25">
        <w:r>
          <w:rPr>
            <w:color w:val="1155CC"/>
            <w:u w:val="single"/>
          </w:rPr>
          <w:t>热激活质子转移使空气处理钙钛矿太阳能电池的效率接近 27%</w:t>
        </w:r>
      </w:hyperlink>
    </w:p>
    <w:p>
      <w:pPr>
        <w:spacing w:before="0" w:after="80"/>
      </w:pPr>
      <w:r>
        <w:rPr>
          <w:i/>
          <w:sz w:val="20"/>
        </w:rPr>
        <w:t>EN: Thermally activated proton transfer enables air-processed perovskite solar cells approaching 27%</w:t>
      </w:r>
    </w:p>
    <w:p>
      <w:pPr>
        <w:spacing w:before="0" w:after="120"/>
      </w:pPr>
      <w:r>
        <w:rPr>
          <w:b/>
        </w:rPr>
        <w:t xml:space="preserve">Source: </w:t>
      </w:r>
      <w:r>
        <w:t>Joule</w:t>
      </w:r>
      <w:r>
        <w:t xml:space="preserve">    </w:t>
      </w:r>
      <w:r>
        <w:rPr>
          <w:b/>
        </w:rPr>
        <w:t xml:space="preserve">Pub date: </w:t>
      </w:r>
      <w:r>
        <w:t>2026-07-07 00:00:00+00:00</w:t>
      </w:r>
      <w:r>
        <w:t xml:space="preserve">    </w:t>
      </w:r>
      <w:r>
        <w:rPr>
          <w:b/>
        </w:rPr>
        <w:t xml:space="preserve">DOI: </w:t>
      </w:r>
      <w:hyperlink r:id="rId26">
        <w:r>
          <w:rPr>
            <w:color w:val="1155CC"/>
            <w:u w:val="single"/>
          </w:rPr>
          <w:t>10.1016/j.joule.2026.102579</w:t>
        </w:r>
      </w:hyperlink>
    </w:p>
    <w:p>
      <w:pPr>
        <w:spacing w:before="0" w:after="120"/>
      </w:pPr>
      <w:r>
        <w:rPr>
          <w:b/>
        </w:rPr>
        <w:t xml:space="preserve">Notes: </w:t>
      </w:r>
      <w:r>
        <w:t>abstract_source=rss_cell</w:t>
      </w:r>
    </w:p>
    <w:p>
      <w:pPr>
        <w:spacing w:before="0" w:after="80" w:lineRule="auto" w:line="276"/>
      </w:pPr>
      <w:r>
        <w:rPr>
          <w:b/>
        </w:rPr>
        <w:t xml:space="preserve">摘要（ZH）: </w:t>
      </w:r>
      <w:r>
        <w:t>在普通空气中制造高性能钙钛矿太阳能电池很困难，因为水分和热量会破坏薄膜的形成。在这里，小分子添加剂在开始时引导晶体生长，然后在退火过程中稳定材料，从而实现在手套箱外制造的高效设备。这项工作表明，增材设计可以同时控制加工和稳定性，为实现低成本、可扩展的钙钛矿太阳能制造提供了一条实用途径。</w:t>
      </w:r>
    </w:p>
    <w:p>
      <w:pPr>
        <w:spacing w:before="0" w:after="200" w:lineRule="auto" w:line="276"/>
      </w:pPr>
      <w:r>
        <w:rPr>
          <w:b/>
        </w:rPr>
        <w:t xml:space="preserve">Abstract (EN): </w:t>
      </w:r>
      <w:r>
        <w:t>Making high-performance perovskite solar cells in ordinary air is difficult because moisture and heat disrupt film formation. Here, a small molecular additive guides crystal growth at the start and then stabilizes the material during annealing, enabling highly efficient devices made outside a glovebox. The work shows that additive design can control both processing and stability at once, offering a practical path toward lower-cost, scalable perovskite solar manufacturing.</w:t>
      </w:r>
    </w:p>
    <w:p>
      <w:pPr>
        <w:spacing w:before="120" w:after="120"/>
      </w:pPr>
      <w:r>
        <w:rPr>
          <w:sz w:val="18"/>
        </w:rPr>
        <w:t>——————————————————————————————————————————————————————————————————————</w:t>
      </w:r>
    </w:p>
    <w:p>
      <w:pPr>
        <w:spacing w:before="160" w:after="40" w:line="240" w:lineRule="auto"/>
      </w:pPr>
      <w:r>
        <w:rPr>
          <w:b/>
        </w:rPr>
        <w:t xml:space="preserve">[12] </w:t>
      </w:r>
      <w:hyperlink r:id="rId27">
        <w:r>
          <w:rPr>
            <w:color w:val="1155CC"/>
            <w:u w:val="single"/>
          </w:rPr>
          <w:t>钙钛矿结晶的原位光学技术</w:t>
        </w:r>
      </w:hyperlink>
    </w:p>
    <w:p>
      <w:pPr>
        <w:spacing w:before="0" w:after="80"/>
      </w:pPr>
      <w:r>
        <w:rPr>
          <w:i/>
          <w:sz w:val="20"/>
        </w:rPr>
        <w:t>EN: In situ optical techniques for perovskite crystallization</w:t>
      </w:r>
    </w:p>
    <w:p>
      <w:pPr>
        <w:spacing w:before="0" w:after="120"/>
      </w:pPr>
      <w:r>
        <w:rPr>
          <w:b/>
        </w:rPr>
        <w:t xml:space="preserve">Source: </w:t>
      </w:r>
      <w:r>
        <w:t>Joule</w:t>
      </w:r>
      <w:r>
        <w:t xml:space="preserve">    </w:t>
      </w:r>
      <w:r>
        <w:rPr>
          <w:b/>
        </w:rPr>
        <w:t xml:space="preserve">Pub date: </w:t>
      </w:r>
      <w:r>
        <w:t>2026-07-07 00:00:00+00:00</w:t>
      </w:r>
      <w:r>
        <w:t xml:space="preserve">    </w:t>
      </w:r>
      <w:r>
        <w:rPr>
          <w:b/>
        </w:rPr>
        <w:t xml:space="preserve">DOI: </w:t>
      </w:r>
      <w:hyperlink r:id="rId28">
        <w:r>
          <w:rPr>
            <w:color w:val="1155CC"/>
            <w:u w:val="single"/>
          </w:rPr>
          <w:t>10.1016/j.joule.2026.102546</w:t>
        </w:r>
      </w:hyperlink>
    </w:p>
    <w:p>
      <w:pPr>
        <w:spacing w:before="0" w:after="120"/>
      </w:pPr>
      <w:r>
        <w:rPr>
          <w:b/>
        </w:rPr>
        <w:t xml:space="preserve">Notes: </w:t>
      </w:r>
      <w:r>
        <w:t>abstract_source=rss_cell</w:t>
      </w:r>
    </w:p>
    <w:p>
      <w:pPr>
        <w:spacing w:before="0" w:after="80" w:lineRule="auto" w:line="276"/>
      </w:pPr>
      <w:r>
        <w:rPr>
          <w:b/>
        </w:rPr>
        <w:t xml:space="preserve">摘要（ZH）: </w:t>
      </w:r>
      <w:r>
        <w:t>原位光学表征技术已成为实时探测成核、相演化和中间态形成的强大工具。本综述系统地概述了用于研究钙钛矿结晶的原位光学技术的发展和应用。它旨在为寻求采用原位光学方法研究钙钛矿结晶的研究人员提供全面的技术指南。</w:t>
      </w:r>
    </w:p>
    <w:p>
      <w:pPr>
        <w:spacing w:before="0" w:after="200" w:lineRule="auto" w:line="276"/>
      </w:pPr>
      <w:r>
        <w:rPr>
          <w:b/>
        </w:rPr>
        <w:t xml:space="preserve">Abstract (EN): </w:t>
      </w:r>
      <w:r>
        <w:t>In situ optical characterization techniques have emerged as powerful tools for probing nucleation, phase evolution, and intermediate-state formation in real time. This review provides a systematic overview of the development and application of in situ optical techniques for studying perovskite crystallization. It aims to offer a comprehensive technical guide for researchers seeking to employ in situ optical methods to investigate perovskite crystallization.</w:t>
      </w:r>
    </w:p>
    <w:p>
      <w:pPr>
        <w:spacing w:before="120" w:after="120"/>
      </w:pPr>
      <w:r>
        <w:rPr>
          <w:sz w:val="18"/>
        </w:rPr>
        <w:t>——————————————————————————————————————————————————————————————————————</w:t>
      </w:r>
    </w:p>
    <w:p>
      <w:pPr>
        <w:spacing w:before="160" w:after="40" w:line="240" w:lineRule="auto"/>
      </w:pPr>
      <w:r>
        <w:rPr>
          <w:b/>
        </w:rPr>
        <w:t xml:space="preserve">[13] </w:t>
      </w:r>
      <w:hyperlink r:id="rId29">
        <w:r>
          <w:rPr>
            <w:color w:val="1155CC"/>
            <w:u w:val="single"/>
          </w:rPr>
          <w:t>添加剂灵活性对于高效有机太阳能电池的重要性</w:t>
        </w:r>
      </w:hyperlink>
    </w:p>
    <w:p>
      <w:pPr>
        <w:spacing w:before="0" w:after="80"/>
      </w:pPr>
      <w:r>
        <w:rPr>
          <w:i/>
          <w:sz w:val="20"/>
        </w:rPr>
        <w:t>EN: On the Importance of Additive Flexibility for Efficient Organic Solar Cells</w:t>
      </w:r>
    </w:p>
    <w:p>
      <w:pPr>
        <w:spacing w:before="0" w:after="120"/>
      </w:pPr>
      <w:r>
        <w:rPr>
          <w:b/>
        </w:rPr>
        <w:t xml:space="preserve">Source: </w:t>
      </w:r>
      <w:r>
        <w:t>ACS Energy Letters: Latest Articles (ACS Publications)</w:t>
      </w:r>
      <w:r>
        <w:t xml:space="preserve">    </w:t>
      </w:r>
      <w:r>
        <w:rPr>
          <w:b/>
        </w:rPr>
        <w:t xml:space="preserve">Pub date: </w:t>
      </w:r>
      <w:r>
        <w:t>2026-07-07 00:00:00+00:00</w:t>
      </w:r>
      <w:r>
        <w:t xml:space="preserve">    </w:t>
      </w:r>
      <w:r>
        <w:rPr>
          <w:b/>
        </w:rPr>
        <w:t xml:space="preserve">DOI: </w:t>
      </w:r>
      <w:hyperlink r:id="rId30">
        <w:r>
          <w:rPr>
            <w:color w:val="1155CC"/>
            <w:u w:val="single"/>
          </w:rPr>
          <w:t>10.1021/acsenergylett.6c01418</w:t>
        </w:r>
      </w:hyperlink>
    </w:p>
    <w:p>
      <w:pPr>
        <w:spacing w:before="0" w:after="120"/>
      </w:pPr>
      <w:r>
        <w:rPr>
          <w:b/>
        </w:rPr>
        <w:t xml:space="preserve">Notes: </w:t>
      </w:r>
      <w:r>
        <w:t>abstract_source=openalex</w:t>
      </w:r>
    </w:p>
    <w:p>
      <w:pPr>
        <w:spacing w:before="0" w:after="80" w:lineRule="auto" w:line="276"/>
      </w:pPr>
      <w:r>
        <w:rPr>
          <w:b/>
        </w:rPr>
        <w:t xml:space="preserve">摘要（ZH）: </w:t>
      </w:r>
      <w:r>
        <w:t>增材工程提供了一种简单有效的方法来增强有机半导体的结构秩序，但其分子结构和相互作用之间的相互作用仍不清楚。在此，设计了两套添加剂，包括构象刚性的DTCO-2Br和DTC以及构象柔性的INF-TC和BT-TC，具有相反的静电势（ESP）。对于PM6，ESP互补性和构象灵活性都可以有效地调节分子堆积，而具有相反ESP的构象柔性INF-TC不仅增强了结构有序性，而且缩短了π-π堆积距离。对于相对刚性的L8-BO，构象灵活性对于调节分子间相互作用至关重要。因此，只有构象灵活的INF-TC和BT-TC可以改善L8-BO的层状堆积，并且ESP互补的BT-TC表现出最强的效果。通过在供体层应用INF-TC和在受体层应用BT-TC，提高了效率和形态稳定性，在D18/L8-BO系统中实现了20.4%的最大效率。</w:t>
      </w:r>
    </w:p>
    <w:p>
      <w:pPr>
        <w:spacing w:before="0" w:after="200" w:lineRule="auto" w:line="276"/>
      </w:pPr>
      <w:r>
        <w:rPr>
          <w:b/>
        </w:rPr>
        <w:t xml:space="preserve">Abstract (EN): </w:t>
      </w:r>
      <w:r>
        <w:t>Additive engineering offers a simple and efficient way to enhance the structural order of organic semiconductors, yet the interplays between their molecular structural and interactions remains unclear. Herein, two sets of additives, including conformationally rigid DTCO-2Br and DTC and conformationally flexible INF-TC and BT-TC, featuring opposite electrostatic potentials (ESPs), are designed. For PM6, both ESP complementarity and conformational flexibility are effective in tuning the molecular packing, while the conformational flexible INF-TC with opposite ESP not only enhances the structural order but also shortens the π–π stacking distance. For the relatively rigid L8-BO, conformational flexibility is essential to adjust the intermolecular interaction. As such, only conformational flexible INF-TC and BT-TC improve the lamellar stacking of L8-BO, and the ESP complementary BT-TC demonstrates the strongest effect. By applying INF-TC in the donor layer and BT-TC in the acceptor layer, improved efficiency and morphological stability were achieved, with a maximum efficiency of 20.4% achieved in the D18/L8-BO system.</w:t>
      </w:r>
    </w:p>
    <w:p>
      <w:pPr>
        <w:spacing w:before="120" w:after="120"/>
      </w:pPr>
      <w:r>
        <w:rPr>
          <w:sz w:val="18"/>
        </w:rPr>
        <w:t>——————————————————————————————————————————————————————————————————————</w:t>
      </w:r>
    </w:p>
    <w:p>
      <w:pPr>
        <w:spacing w:before="160" w:after="40" w:line="240" w:lineRule="auto"/>
      </w:pPr>
      <w:r>
        <w:rPr>
          <w:b/>
        </w:rPr>
        <w:t xml:space="preserve">[14] </w:t>
      </w:r>
      <w:hyperlink r:id="rId31">
        <w:r>
          <w:rPr>
            <w:color w:val="1155CC"/>
            <w:u w:val="single"/>
          </w:rPr>
          <w:t>自组装单层膜的双重作用：高效倒置钙钛矿太阳能电池中的界面偶极子和电荷隧道</w:t>
        </w:r>
      </w:hyperlink>
    </w:p>
    <w:p>
      <w:pPr>
        <w:spacing w:before="0" w:after="80"/>
      </w:pPr>
      <w:r>
        <w:rPr>
          <w:i/>
          <w:sz w:val="20"/>
        </w:rPr>
        <w:t>EN: Dual Role of Self-Assembled Monolayers: Interfacial Dipoles and Charge Tunneling in High-Efficiency Inverted Perovskite Solar Cells</w:t>
      </w:r>
    </w:p>
    <w:p>
      <w:pPr>
        <w:spacing w:before="0" w:after="120"/>
      </w:pPr>
      <w:r>
        <w:rPr>
          <w:b/>
        </w:rPr>
        <w:t xml:space="preserve">Source: </w:t>
      </w:r>
      <w:r>
        <w:t>ACS Energy Letters: Latest Articles (ACS Publications)</w:t>
      </w:r>
      <w:r>
        <w:t xml:space="preserve">    </w:t>
      </w:r>
      <w:r>
        <w:rPr>
          <w:b/>
        </w:rPr>
        <w:t xml:space="preserve">Pub date: </w:t>
      </w:r>
      <w:r>
        <w:t>2026-07-07 00:00:00+00:00</w:t>
      </w:r>
      <w:r>
        <w:t xml:space="preserve">    </w:t>
      </w:r>
      <w:r>
        <w:rPr>
          <w:b/>
        </w:rPr>
        <w:t xml:space="preserve">DOI: </w:t>
      </w:r>
      <w:hyperlink r:id="rId32">
        <w:r>
          <w:rPr>
            <w:color w:val="1155CC"/>
            <w:u w:val="single"/>
          </w:rPr>
          <w:t>10.1021/acsenergylett.6c01335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3">
        <w:r>
          <w:rPr>
            <w:color w:val="1155CC"/>
            <w:u w:val="single"/>
          </w:rPr>
          <w:t>打破钙钛矿光伏中的热声子瓶颈和其他神话</w:t>
        </w:r>
      </w:hyperlink>
    </w:p>
    <w:p>
      <w:pPr>
        <w:spacing w:before="0" w:after="80"/>
      </w:pPr>
      <w:r>
        <w:rPr>
          <w:i/>
          <w:sz w:val="20"/>
        </w:rPr>
        <w:t>EN: Busting the Hot-Phonon Bottleneck and Other Myths in Perovskite Photovoltaics</w:t>
      </w:r>
    </w:p>
    <w:p>
      <w:pPr>
        <w:spacing w:before="0" w:after="120"/>
      </w:pPr>
      <w:r>
        <w:rPr>
          <w:b/>
        </w:rPr>
        <w:t xml:space="preserve">Source: </w:t>
      </w:r>
      <w:r>
        <w:t>ACS Energy Letters: Latest Articles (ACS Publications)</w:t>
      </w:r>
      <w:r>
        <w:t xml:space="preserve">    </w:t>
      </w:r>
      <w:r>
        <w:rPr>
          <w:b/>
        </w:rPr>
        <w:t xml:space="preserve">Pub date: </w:t>
      </w:r>
      <w:r>
        <w:t>2026-07-07 00:00:00+00:00</w:t>
      </w:r>
      <w:r>
        <w:t xml:space="preserve">    </w:t>
      </w:r>
      <w:r>
        <w:rPr>
          <w:b/>
        </w:rPr>
        <w:t xml:space="preserve">DOI: </w:t>
      </w:r>
      <w:hyperlink r:id="rId34">
        <w:r>
          <w:rPr>
            <w:color w:val="1155CC"/>
            <w:u w:val="single"/>
          </w:rPr>
          <w:t>10.1021/acsenergylett.6c01471</w:t>
        </w:r>
      </w:hyperlink>
    </w:p>
    <w:p>
      <w:pPr>
        <w:spacing w:before="0" w:after="120"/>
      </w:pPr>
      <w:r>
        <w:rPr>
          <w:b/>
        </w:rPr>
        <w:t xml:space="preserve">Notes: </w:t>
      </w:r>
      <w:r>
        <w:t>abstract_source=openalex</w:t>
      </w:r>
    </w:p>
    <w:p>
      <w:pPr>
        <w:spacing w:before="0" w:after="80" w:lineRule="auto" w:line="276"/>
      </w:pPr>
      <w:r>
        <w:rPr>
          <w:b/>
        </w:rPr>
        <w:t xml:space="preserve">摘要（ZH）: </w:t>
      </w:r>
      <w:r>
        <w:t>高分辨率图片 下载 MS PowerPoint 幻灯片 光生热载流子由于其特殊属性的大量报道而引起了人们对钙钛矿光伏电池的广泛兴趣。据报道，热载流子可以极快地转移到电荷接受层，以准弹道速度扩散，实现多激子生成，甚至有计划开发热载流子太阳能电池来克服肖克利-奎塞尔极限。我们对热载流子理论进行了测试，发现其中大多数理论无法复制，与其他测量结果存在差异，或者这些现象可以用普通理论来解释。</w:t>
      </w:r>
    </w:p>
    <w:p>
      <w:pPr>
        <w:spacing w:before="0" w:after="200" w:lineRule="auto" w:line="276"/>
      </w:pPr>
      <w:r>
        <w:rPr>
          <w:b/>
        </w:rPr>
        <w:t xml:space="preserve">Abstract (EN): </w:t>
      </w:r>
      <w:r>
        <w:t>High Resolution Image Download MS PowerPoint Slide Photoinduced hot charge carriers have garnered a lot of interest in perovskite photovoltaics due to numerous reports on their special attributes. Hot charge carriers, reportedly, can transfer to charge-acceptor layers extremely quickly, diffuse at quasi-ballistic speed, achieve multi-exciton generation, and there are even plans for a hot-carrier solar cell to overcome the Shockley–Queisser limit. We put hot-carrier theories to the test and found that most of them could not be replicated, they have discrepancies with other measurements, or the phenomena can be explained by mundane theories.</w:t>
      </w:r>
    </w:p>
    <w:p>
      <w:pPr>
        <w:spacing w:before="120" w:after="120"/>
      </w:pPr>
      <w:r>
        <w:rPr>
          <w:sz w:val="18"/>
        </w:rPr>
        <w:t>——————————————————————————————————————————————————————————————————————</w:t>
      </w:r>
    </w:p>
    <w:p>
      <w:pPr>
        <w:spacing w:before="160" w:after="40" w:line="240" w:lineRule="auto"/>
      </w:pPr>
      <w:r>
        <w:rPr>
          <w:b/>
        </w:rPr>
        <w:t xml:space="preserve">[16] </w:t>
      </w:r>
      <w:hyperlink r:id="rId35">
        <w:r>
          <w:rPr>
            <w:color w:val="1155CC"/>
            <w:u w:val="single"/>
          </w:rPr>
          <w:t>防止抗偏析宽带隙钙钛矿的三卤化物中间体形成</w:t>
        </w:r>
      </w:hyperlink>
    </w:p>
    <w:p>
      <w:pPr>
        <w:spacing w:before="0" w:after="80"/>
      </w:pPr>
      <w:r>
        <w:rPr>
          <w:i/>
          <w:sz w:val="20"/>
        </w:rPr>
        <w:t>EN: Preventing Triple Halide Intermediate Formation for Segregation-Resistant Wide Band Gap Perovskites</w:t>
      </w:r>
    </w:p>
    <w:p>
      <w:pPr>
        <w:spacing w:before="0" w:after="120"/>
      </w:pPr>
      <w:r>
        <w:rPr>
          <w:b/>
        </w:rPr>
        <w:t xml:space="preserve">Source: </w:t>
      </w:r>
      <w:r>
        <w:t>ACS Energy Letters: Latest Articles (ACS Publications)</w:t>
      </w:r>
      <w:r>
        <w:t xml:space="preserve">    </w:t>
      </w:r>
      <w:r>
        <w:rPr>
          <w:b/>
        </w:rPr>
        <w:t xml:space="preserve">Pub date: </w:t>
      </w:r>
      <w:r>
        <w:t>2026-07-07 00:00:00+00:00</w:t>
      </w:r>
      <w:r>
        <w:t xml:space="preserve">    </w:t>
      </w:r>
      <w:r>
        <w:rPr>
          <w:b/>
        </w:rPr>
        <w:t xml:space="preserve">DOI: </w:t>
      </w:r>
      <w:hyperlink r:id="rId36">
        <w:r>
          <w:rPr>
            <w:color w:val="1155CC"/>
            <w:u w:val="single"/>
          </w:rPr>
          <w:t>10.1021/acsenergylett.6c01113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7">
        <w:r>
          <w:rPr>
            <w:color w:val="1155CC"/>
            <w:u w:val="single"/>
          </w:rPr>
          <w:t>金属铅形成完美钙钛矿：高性能太阳能电池的自下而上蒸汽辅助胶体策略</w:t>
        </w:r>
      </w:hyperlink>
    </w:p>
    <w:p>
      <w:pPr>
        <w:spacing w:before="0" w:after="80"/>
      </w:pPr>
      <w:r>
        <w:rPr>
          <w:i/>
          <w:sz w:val="20"/>
        </w:rPr>
        <w:t>EN: Metallic Lead to Perfect Perovskite: A Bottom-Up Vapor-Assisted Colloidal Strategy for High-Performance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38">
        <w:r>
          <w:rPr>
            <w:color w:val="1155CC"/>
            <w:u w:val="single"/>
          </w:rPr>
          <w:t>10.1021/acsami.6c06661</w:t>
        </w:r>
      </w:hyperlink>
    </w:p>
    <w:p>
      <w:pPr>
        <w:spacing w:before="0" w:after="120"/>
      </w:pPr>
      <w:r>
        <w:rPr>
          <w:b/>
        </w:rPr>
        <w:t xml:space="preserve">Notes: </w:t>
      </w:r>
      <w:r>
        <w:t>abstract_source=pubmed</w:t>
      </w:r>
    </w:p>
    <w:p>
      <w:pPr>
        <w:spacing w:before="0" w:after="80" w:lineRule="auto" w:line="276"/>
      </w:pPr>
      <w:r>
        <w:rPr>
          <w:b/>
        </w:rPr>
        <w:t xml:space="preserve">摘要（ZH）: </w:t>
      </w:r>
      <w:r>
        <w:t>使用元素铅（Pb0）作为前驱体为钙钛矿合成提供了一种上游且原子经济的替代路线。然而，用 Pb0 生产钙钛矿太阳能电池（PSC）仍然具有根本性的挑战，因为 Pb0 很难通过普通方法转化为 Pb2+，而任何剩余的 Pb0 都会充当钙钛矿中的深层缺陷。为了应对这一挑战，PbO 首先与 I2 在 N,N-二甲基甲酰胺和二甲亚砜中反应，产生分散良好的 PbI2 胶体前体，促进随后通过与甲脒碘化物蒸气的气固反应完全转化为钙钛矿。从 Pb0 开始的器件在效率和稳定性方面都比购买的 PbI2 器件表现得更好，在模拟 AM1.5G 照明下实现了蒸汽辅助溶液处理的 22.65% 效率（PbI2 的效率超过 20.65%）。这些发现表明，高质量的钙钛矿也可以由 PbI2 替代品，甚至是其上游材料 Pb 制备。</w:t>
      </w:r>
    </w:p>
    <w:p>
      <w:pPr>
        <w:spacing w:before="0" w:after="200" w:lineRule="auto" w:line="276"/>
      </w:pPr>
      <w:r>
        <w:rPr>
          <w:b/>
        </w:rPr>
        <w:t xml:space="preserve">Abstract (EN): </w:t>
      </w:r>
      <w:r>
        <w:t>Using elemental lead (Pb0) as a precursor offers an upstream and atom-economical alternative route for perovskite synthesis. However, producing perovskite solar cells (PSCs) from Pb0 remains fundamentally challenging because Pb0 is hard to convert to Pb2+ via ordinary approaches, while any remaining Pb0 acts as deep-level defects in perovskite. To address this challenge, Pb0 first reacts with I2 in N,N-dimethylformamide and dimethyl sulfoxide, yielding well-dispersed PbI2 colloidal precursors that facilitate subsequent full conversion to perovskites through vapor-solid reaction with formamidinium iodide vapors. Devices starting from Pb0 perform much better than those from as-purchased PbI2, in both efficiency and stability, achieving vapor-assisted solution-processed 22.65% efficiency under simulated AM1.5G illumination (over 20.65% from PbI2). These findings suggest that high-quality perovskites may also be prepared from PbI2 alternatives, even its upstream material Pb.</w:t>
      </w:r>
    </w:p>
    <w:p>
      <w:pPr>
        <w:spacing w:before="120" w:after="120"/>
      </w:pPr>
      <w:r>
        <w:rPr>
          <w:sz w:val="18"/>
        </w:rPr>
        <w:t>——————————————————————————————————————————————————————————————————————</w:t>
      </w:r>
    </w:p>
    <w:p>
      <w:pPr>
        <w:spacing w:before="160" w:after="40" w:line="240" w:lineRule="auto"/>
      </w:pPr>
      <w:r>
        <w:rPr>
          <w:b/>
        </w:rPr>
        <w:t xml:space="preserve">[18] </w:t>
      </w:r>
      <w:hyperlink r:id="rId39">
        <w:r>
          <w:rPr>
            <w:color w:val="1155CC"/>
            <w:u w:val="single"/>
          </w:rPr>
          <w:t>光电双场控制实现的可编程反常光伏</w:t>
        </w:r>
      </w:hyperlink>
    </w:p>
    <w:p>
      <w:pPr>
        <w:spacing w:before="0" w:after="80"/>
      </w:pPr>
      <w:r>
        <w:rPr>
          <w:i/>
          <w:sz w:val="20"/>
        </w:rPr>
        <w:t>EN: Programmable Anomalous Photovoltaics Enabled by Light-Electric Dual-Field Control</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40">
        <w:r>
          <w:rPr>
            <w:color w:val="1155CC"/>
            <w:u w:val="single"/>
          </w:rPr>
          <w:t>10.1021/jacs.6c07032</w:t>
        </w:r>
      </w:hyperlink>
    </w:p>
    <w:p>
      <w:pPr>
        <w:spacing w:before="0" w:after="120"/>
      </w:pPr>
      <w:r>
        <w:rPr>
          <w:b/>
        </w:rPr>
        <w:t xml:space="preserve">Notes: </w:t>
      </w:r>
      <w:r>
        <w:t>abstract_source=pubmed</w:t>
      </w:r>
    </w:p>
    <w:p>
      <w:pPr>
        <w:spacing w:before="0" w:after="80" w:lineRule="auto" w:line="276"/>
      </w:pPr>
      <w:r>
        <w:rPr>
          <w:b/>
        </w:rPr>
        <w:t xml:space="preserve">摘要（ZH）: </w:t>
      </w:r>
      <w:r>
        <w:t>可编程光伏功能提供了一种将能量转换与信息处理集成的途径。然而，现有的方法依赖于异质结构设计或基于铁电性和离子迁移的无栅极架构，受到单场调制所决定的复杂器件架构的影响，其中电偏置同时控制寻址和状态切换，对空间选择性、架构简单性和操作效率施加了内在限制。在这里，我们引入光作为一种独立的、空间分辨的自由度，以将寻址与开关解耦，为光伏系统建立光-电双场编程范例。使用范德华 ZnIn2S4 中的反常光伏效应作为模型系统，我们展示了非易失性、可重构状态，且保留时间超过 100 天。空间局部照明选择编程发生的位置，而全局电场则切换状态，从而无需按像素布线即可实现无选择器操作。可编程响应源自 [ZnS4] 四面体变形，并通过压力调制显着增强。我们展示了自供电视觉信息处理，在噪声图像分类中准确率达到 87.9%。这些发现将双场编程确立为一种强大的策略，可以解除单场控制的内在限制，利用光作为独立的控制维度来实现无选择器的可编程光伏和先进的光电架构。</w:t>
      </w:r>
    </w:p>
    <w:p>
      <w:pPr>
        <w:spacing w:before="0" w:after="200" w:lineRule="auto" w:line="276"/>
      </w:pPr>
      <w:r>
        <w:rPr>
          <w:b/>
        </w:rPr>
        <w:t xml:space="preserve">Abstract (EN): </w:t>
      </w:r>
      <w:r>
        <w:t>Programmable photovoltaic functionalities offer a route to integrating energy conversion with information processing. However, existing approaches, relying on either heterostructure design or gate-free architectures based on ferroelectricity and ion migration, suffer from complex device architectures dictated by single-field modulation, where electrical bias simultaneously governs addressing and state switching, imposing an intrinsic constraint on spatial selectivity, architectural simplicity, and operational efficiency. Here, we introduce light as an independent, spatially resolved degree of freedom to decouple addressing from switching, establishing a light-electric dual-field programming paradigm for photovoltaic systems. Using anomalous photovoltaic effects in van der Waals ZnIn2S4 as a model system, we demonstrate nonvolatile, reconfigurable states with retention exceeding 100 days. Spatially localized illumination selects where programming occurs, while a global electric field switches the state, enabling selector-free operation without per-pixel wiring. The programmable response originates from the [ZnS4] tetrahedral distortion and is markedly enhanced by pressure modulation. We demonstrate self-powered visual information processing with 87.9% accuracy in noisy image classification. These findings establish dual-field programming as a powerful strategy to lift the intrinsic constraints of single-field control, leveraging light as an independent control dimension to enable selector-free programmable photovoltaics and advanced optoelectronic architectures.</w:t>
      </w:r>
    </w:p>
    <w:p>
      <w:pPr>
        <w:spacing w:before="120" w:after="120"/>
      </w:pPr>
      <w:r>
        <w:rPr>
          <w:sz w:val="18"/>
        </w:rPr>
        <w:t>——————————————————————————————————————————————————————————————————————</w:t>
      </w:r>
    </w:p>
    <w:p>
      <w:pPr>
        <w:spacing w:before="160" w:after="40" w:line="240" w:lineRule="auto"/>
      </w:pPr>
      <w:r>
        <w:rPr>
          <w:b/>
        </w:rPr>
        <w:t xml:space="preserve">[19] </w:t>
      </w:r>
      <w:hyperlink r:id="rId41">
        <w:r>
          <w:rPr>
            <w:color w:val="1155CC"/>
            <w:u w:val="single"/>
          </w:rPr>
          <w:t>埋入界面工程实现创纪录的柔性半透明钙钛矿太阳能电池和 27.7% 柔性钙钛矿/硅四端子串联</w:t>
        </w:r>
      </w:hyperlink>
    </w:p>
    <w:p>
      <w:pPr>
        <w:spacing w:before="0" w:after="80"/>
      </w:pPr>
      <w:r>
        <w:rPr>
          <w:i/>
          <w:sz w:val="20"/>
        </w:rPr>
        <w:t>EN: Buried-Interface Engineering Enables Record Flexible Semitransparent Perovskite Solar Cells and 27.7% Flexible Perovskite/Silicon Four-Terminal Tandems</w:t>
      </w:r>
    </w:p>
    <w:p>
      <w:pPr>
        <w:spacing w:before="0" w:after="120"/>
      </w:pPr>
      <w:r>
        <w:rPr>
          <w:b/>
        </w:rPr>
        <w:t xml:space="preserve">Source: </w:t>
      </w:r>
      <w:r>
        <w:t>ACS Energy Letters: Latest Articles (ACS Publications)</w:t>
      </w:r>
      <w:r>
        <w:t xml:space="preserve">    </w:t>
      </w:r>
      <w:r>
        <w:rPr>
          <w:b/>
        </w:rPr>
        <w:t xml:space="preserve">Pub date: </w:t>
      </w:r>
      <w:r>
        <w:t>2026-07-08 00:00:00+00:00</w:t>
      </w:r>
      <w:r>
        <w:t xml:space="preserve">    </w:t>
      </w:r>
      <w:r>
        <w:rPr>
          <w:b/>
        </w:rPr>
        <w:t xml:space="preserve">DOI: </w:t>
      </w:r>
      <w:hyperlink r:id="rId42">
        <w:r>
          <w:rPr>
            <w:color w:val="1155CC"/>
            <w:u w:val="single"/>
          </w:rPr>
          <w:t>10.1021/acsenergylett.6c01361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43">
        <w:r>
          <w:rPr>
            <w:color w:val="1155CC"/>
            <w:u w:val="single"/>
          </w:rPr>
          <w:t>化拒绝为反思：探索影响荷兰浮动太阳能光伏系统社区接受度的因素</w:t>
        </w:r>
      </w:hyperlink>
    </w:p>
    <w:p>
      <w:pPr>
        <w:spacing w:before="0" w:after="80"/>
      </w:pPr>
      <w:r>
        <w:rPr>
          <w:i/>
          <w:sz w:val="20"/>
        </w:rPr>
        <w:t>EN: Turning rejection into reflection: Exploring factors influencing community acceptance of floating solar photovoltaic systems in the Netherlands</w:t>
      </w:r>
    </w:p>
    <w:p>
      <w:pPr>
        <w:spacing w:before="0" w:after="120"/>
      </w:pPr>
      <w:r>
        <w:rPr>
          <w:b/>
        </w:rPr>
        <w:t xml:space="preserve">Source: </w:t>
      </w:r>
      <w:r>
        <w:t>ScienceDirect Publication: Energy Policy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44">
        <w:r>
          <w:rPr>
            <w:color w:val="1155CC"/>
            <w:u w:val="single"/>
          </w:rPr>
          <w:t>配电网PV-EV-ESS托管能力评估图解标准</w:t>
        </w:r>
      </w:hyperlink>
    </w:p>
    <w:p>
      <w:pPr>
        <w:spacing w:before="0" w:after="80"/>
      </w:pPr>
      <w:r>
        <w:rPr>
          <w:i/>
          <w:sz w:val="20"/>
        </w:rPr>
        <w:t>EN: Graphic criteria for hosting capability assessment of PV-EV-ESS in distribution networks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45">
        <w:r>
          <w:rPr>
            <w:color w:val="1155CC"/>
            <w:u w:val="single"/>
          </w:rPr>
          <w:t>城市形态如何塑造世界各地城市车载光伏发电的潜力</w:t>
        </w:r>
      </w:hyperlink>
    </w:p>
    <w:p>
      <w:pPr>
        <w:spacing w:before="0" w:after="80"/>
      </w:pPr>
      <w:r>
        <w:rPr>
          <w:i/>
          <w:sz w:val="20"/>
        </w:rPr>
        <w:t>EN: How urban morphology shapes the potential of vehicle-integrated photovoltaics in cities across the world</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46">
        <w:r>
          <w:rPr>
            <w:color w:val="1155CC"/>
            <w:u w:val="single"/>
          </w:rPr>
          <w:t>量子限制 CsPbBr3 纳米片的自主控制</w:t>
        </w:r>
      </w:hyperlink>
    </w:p>
    <w:p>
      <w:pPr>
        <w:spacing w:before="0" w:after="80"/>
      </w:pPr>
      <w:r>
        <w:rPr>
          <w:i/>
          <w:sz w:val="20"/>
        </w:rPr>
        <w:t>EN: Autonomous control of quantum-confined CsPbBr3 nanoplatelets</w:t>
      </w:r>
    </w:p>
    <w:p>
      <w:pPr>
        <w:spacing w:before="0" w:after="120"/>
      </w:pPr>
      <w:r>
        <w:rPr>
          <w:b/>
        </w:rPr>
        <w:t xml:space="preserve">Source: </w:t>
      </w:r>
      <w:r>
        <w:t>Matter</w:t>
      </w:r>
      <w:r>
        <w:t xml:space="preserve">    </w:t>
      </w:r>
      <w:r>
        <w:rPr>
          <w:b/>
        </w:rPr>
        <w:t xml:space="preserve">Pub date: </w:t>
      </w:r>
      <w:r>
        <w:t>2026-07-08 00:00:00+00:00</w:t>
      </w:r>
      <w:r>
        <w:t xml:space="preserve">    </w:t>
      </w:r>
      <w:r>
        <w:rPr>
          <w:b/>
        </w:rPr>
        <w:t xml:space="preserve">DOI: </w:t>
      </w:r>
      <w:hyperlink r:id="rId47">
        <w:r>
          <w:rPr>
            <w:color w:val="1155CC"/>
            <w:u w:val="single"/>
          </w:rPr>
          <w:t>10.1016/j.matt.2026.102915</w:t>
        </w:r>
      </w:hyperlink>
    </w:p>
    <w:p>
      <w:pPr>
        <w:spacing w:before="0" w:after="120"/>
      </w:pPr>
      <w:r>
        <w:rPr>
          <w:b/>
        </w:rPr>
        <w:t xml:space="preserve">Notes: </w:t>
      </w:r>
      <w:r>
        <w:t>abstract_source=rss_cell</w:t>
      </w:r>
    </w:p>
    <w:p>
      <w:pPr>
        <w:spacing w:before="0" w:after="80" w:lineRule="auto" w:line="276"/>
      </w:pPr>
      <w:r>
        <w:rPr>
          <w:b/>
        </w:rPr>
        <w:t xml:space="preserve">摘要（ZH）: </w:t>
      </w:r>
      <w:r>
        <w:t>自主微流体平台结合了流动化学、实时光谱和贝叶斯优化，以发现具有目标光学特性的高质量 CsPbBr3 纳米片。该系统快速识别控制量子限制、发射颜色和光致发光效率的合成条件，同时生成对纳米片生长机制的数据驱动洞察。优化的条件直接转化为稳态连续制造，展示了自动驾驶实验室如何加速先进量子材料的发现和规模化生产。</w:t>
      </w:r>
    </w:p>
    <w:p>
      <w:pPr>
        <w:spacing w:before="0" w:after="200" w:lineRule="auto" w:line="276"/>
      </w:pPr>
      <w:r>
        <w:rPr>
          <w:b/>
        </w:rPr>
        <w:t xml:space="preserve">Abstract (EN): </w:t>
      </w:r>
      <w:r>
        <w:t>An autonomous microfluidic platform combines flow chemistry, real-time spectroscopy, and Bayesian optimization to discover high-quality CsPbBr3 nanoplatelets with targeted optical properties. The system rapidly identifies synthesis conditions that control quantum confinement, emission color, and photoluminescence efficiency, while generating data-driven insight into nanoplatelet growth mechanisms. The optimized conditions translate directly to steady-state continuous manufacturing, demonstrating how self-driving laboratories can accelerate the discovery and scalable production of advanced quantum materials.</w:t>
      </w:r>
    </w:p>
    <w:p>
      <w:pPr>
        <w:spacing w:before="120" w:after="120"/>
      </w:pPr>
      <w:r>
        <w:rPr>
          <w:sz w:val="18"/>
        </w:rPr>
        <w:t>——————————————————————————————————————————————————————————————————————</w:t>
      </w:r>
    </w:p>
    <w:p>
      <w:pPr>
        <w:spacing w:before="160" w:after="40" w:line="240" w:lineRule="auto"/>
      </w:pPr>
      <w:r>
        <w:rPr>
          <w:b/>
        </w:rPr>
        <w:t xml:space="preserve">[24] </w:t>
      </w:r>
      <w:hyperlink r:id="rId48">
        <w:r>
          <w:rPr>
            <w:color w:val="1155CC"/>
            <w:u w:val="single"/>
          </w:rPr>
          <w:t>选择性双齿配位重构残余 PbI 2 以均匀化钙钛矿太阳能电池中的界面能量</w:t>
        </w:r>
      </w:hyperlink>
    </w:p>
    <w:p>
      <w:pPr>
        <w:spacing w:before="0" w:after="80"/>
      </w:pPr>
      <w:r>
        <w:rPr>
          <w:i/>
          <w:sz w:val="20"/>
        </w:rPr>
        <w:t>EN: Selective Bidentate Coordination Reconstructs Residual PbI 2 to Homogenize Interfacial Energetics in Perovskite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49">
        <w:r>
          <w:rPr>
            <w:color w:val="1155CC"/>
            <w:u w:val="single"/>
          </w:rPr>
          <w:t>10.1021/jacs.6c05316</w:t>
        </w:r>
      </w:hyperlink>
    </w:p>
    <w:p>
      <w:pPr>
        <w:spacing w:before="0" w:after="120"/>
      </w:pPr>
      <w:r>
        <w:rPr>
          <w:b/>
        </w:rPr>
        <w:t xml:space="preserve">Notes: </w:t>
      </w:r>
      <w:r>
        <w:t>abstract_source=pubmed</w:t>
      </w:r>
    </w:p>
    <w:p>
      <w:pPr>
        <w:spacing w:before="0" w:after="80" w:lineRule="auto" w:line="276"/>
      </w:pPr>
      <w:r>
        <w:rPr>
          <w:b/>
        </w:rPr>
        <w:t xml:space="preserve">摘要（ZH）: </w:t>
      </w:r>
      <w:r>
        <w:t>空间异质界面能量通常源自残留的碘化铅（PbI2），是钙钛矿光伏电池效率和运行稳定性的根本瓶颈。基于单齿配体或高极性溶剂的传统 PbI2 钝化策略要么与 PbI2 相互作用较弱，要么干扰底层的三维钙钛矿晶格。在这里，我们报告了一种二齿二铵策略，可以选择性地将残留的 PbI2 重建为共享角的 PbI6 八面体，同时保留大块钙钛矿。通过双位点配位，新设计的基于噻吩的二齿配体 (MeXT) 可在钝化过程中稳定 PbI6 单元，并建立空间均匀的界面能量学。采用 MeXT 的钙钛矿太阳能电池实现了 26.19% 的功率转换效率，并在 75 °C 下连续 1 太阳光照 1000 小时后仍保持其初始效率的 80% 以上。这种双锚配位钝化策略建立了选择性处理残留 PbI2 并在钙钛矿光伏电池中创建电子相干且运行稳定的界面的一般设计原则。</w:t>
      </w:r>
    </w:p>
    <w:p>
      <w:pPr>
        <w:spacing w:before="0" w:after="200" w:lineRule="auto" w:line="276"/>
      </w:pPr>
      <w:r>
        <w:rPr>
          <w:b/>
        </w:rPr>
        <w:t xml:space="preserve">Abstract (EN): </w:t>
      </w:r>
      <w:r>
        <w:t>Spatially heterogeneous interfacial energetics, often originating from residual lead iodide (PbI2), represent a fundamental bottleneck to both the efficiency and operational stability of perovskite photovoltaics. Conventional PbI2 passivation strategies based on monodentate ligands or highly polar solvents either interact weakly with PbI2 or undesirably perturb the underlying three-dimensional perovskite lattice. Here, we report a diammonium bidentate strategy that selectively reconstructs residual PbI2 into corner-sharing PbI6 octahedra while preserving the bulk perovskite. Enabled by dual-site coordination, a newly designed thiophene-based bidentate ligand (MeXT) stabilizes PbI6 units during passivation and establishes spatially homogeneous interfacial energetics. Perovskite solar cells incorporating MeXT achieve 26.19% power conversion efficiency and retain over 80% of their initial efficiency after 1000 h of continuous 1-sun illumination at 75 °C. This dual-anchor coordination passivation strategy establishes a general design principle for selectively treating residual PbI2 and creating electronically coherent and operationally stable interfaces in perovskite photovoltaics.</w:t>
      </w:r>
    </w:p>
    <w:p>
      <w:pPr>
        <w:spacing w:before="120" w:after="120"/>
      </w:pPr>
      <w:r>
        <w:rPr>
          <w:sz w:val="18"/>
        </w:rPr>
        <w:t>——————————————————————————————————————————————————————————————————————</w:t>
      </w:r>
    </w:p>
    <w:p>
      <w:pPr>
        <w:spacing w:before="160" w:after="40" w:line="240" w:lineRule="auto"/>
      </w:pPr>
      <w:r>
        <w:rPr>
          <w:b/>
        </w:rPr>
        <w:t xml:space="preserve">[25] </w:t>
      </w:r>
      <w:hyperlink r:id="rId50">
        <w:r>
          <w:rPr>
            <w:color w:val="1155CC"/>
            <w:u w:val="single"/>
          </w:rPr>
          <w:t>GaAsBi 线中生长模式相关的 Bi 掺入和载流子局域化</w:t>
        </w:r>
      </w:hyperlink>
    </w:p>
    <w:p>
      <w:pPr>
        <w:spacing w:before="0" w:after="80"/>
      </w:pPr>
      <w:r>
        <w:rPr>
          <w:i/>
          <w:sz w:val="20"/>
        </w:rPr>
        <w:t>EN: Growth Mode-Dependent Bi Incorporation and Carrier Localization in GaAsBi Wires</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51">
        <w:r>
          <w:rPr>
            <w:color w:val="1155CC"/>
            <w:u w:val="single"/>
          </w:rPr>
          <w:t>10.1021/acsami.6c03509</w:t>
        </w:r>
      </w:hyperlink>
    </w:p>
    <w:p>
      <w:pPr>
        <w:spacing w:before="0" w:after="120"/>
      </w:pPr>
      <w:r>
        <w:rPr>
          <w:b/>
        </w:rPr>
        <w:t xml:space="preserve">Notes: </w:t>
      </w:r>
      <w:r>
        <w:t>abstract_source=pubmed</w:t>
      </w:r>
    </w:p>
    <w:p>
      <w:pPr>
        <w:spacing w:before="0" w:after="80" w:lineRule="auto" w:line="276"/>
      </w:pPr>
      <w:r>
        <w:rPr>
          <w:b/>
        </w:rPr>
        <w:t xml:space="preserve">摘要（ZH）: </w:t>
      </w:r>
      <w:r>
        <w:t>稀释的双酰亚胺 III-V 族半导体由于其大带隙弯曲和抑制俄歇复合而对红外光电子学具有吸引力；然而，实现受控的铋掺入和均匀的光学质量仍然具有挑战性。在这里，我们系统地研究了分子束外延生长的 GaAsBi 线中的生长模式、Bi 掺入和载流子动力学之间的关系。通过改变衬底温度和 V/III 束等效压力比，生长从平面沉积转变为气-液-固 (VLS) 线生长，然后再转变为气-固 (VS) 生长，从而定义了高达 2.4% 的均匀轴向 Bi 掺入的工艺窗口。 STEM-EDS 分析证实在稳定的 VLS 条件下轴向成分均匀，而 VS 生长会导致径向过度生长和成分平均。温度依赖性光致发光揭示了生长依赖性合金波动和载流子局域化，使用双激活阿伦尼乌斯模型对其进行定量分析，以区分载流子离域和非辐射复合途径。均质 GaAsBi 线在 260 K 时表现出约 0.2% 的内量子效率，并且与温度相关的带隙偏移略大于 GaAs 纳米线和 GaAsBi 块体合金。此外，液滴介导的生长能够实现轴向 GaAsBi/GaAs 异质结构，证明了稀双胺线中的受控能带结构工程。这项工作为 GaAsBi 线中均匀轴向 Bi 掺入建立了定量生长模式稳定性窗口，并重新</w:t>
      </w:r>
    </w:p>
    <w:p>
      <w:pPr>
        <w:spacing w:before="0" w:after="200" w:lineRule="auto" w:line="276"/>
      </w:pPr>
      <w:r>
        <w:rPr>
          <w:b/>
        </w:rPr>
        <w:t xml:space="preserve">Abstract (EN): </w:t>
      </w:r>
      <w:r>
        <w:t>Dilute bismide III-V semiconductors are attractive for infrared optoelectronics because of their large band gap bowing and suppressed Auger recombination; however, achieving controlled Bi incorporation with uniform optical quality remains challenging. Here, we systematically investigate the relationship between growth mode, Bi incorporation, and carrier dynamics in GaAsBi wires grown by molecular beam epitaxy. By varying the substrate temperature and V/III beam-equivalent pressure ratio, growth transitions from planar deposition to vapor-liquid-solid (VLS) wire growth and subsequently to vapor-solid (VS) growth, defining a process window for homogeneous axial Bi incorporation of up to 2.4%. STEM-EDS analysis confirms uniform axial composition under stable VLS conditions, whereas VS growth results in radial overgrowth and compositional averaging. Temperature-dependent photoluminescence reveals growth-dependent alloy fluctuations and carrier localization, which are quantitatively analyzed using a two-activation Arrhenius model to distinguish carrier delocalization from nonradiative recombination pathways. Homogeneous GaAsBi wires exhibit an internal quantum efficiency of ∼0.2% at 260 K and a temperature-dependent band gap shift slightly larger than those of GaAs nanowires and GaAsBi bulk alloys. Furthermore, droplet-mediated growth enables axial GaAsBi/GaAs heterostructures, demonstrating controlled band-structure engineering in dilute bismide wires. This work establishes a quantitative growth-mode stability window for homogeneous axial Bi incorporation in GaAsBi wires and reveals how VLS-to-VS transitions fundamentally alter carrier localization and thermal quenching behavior.</w:t>
      </w:r>
    </w:p>
    <w:p>
      <w:pPr>
        <w:spacing w:before="120" w:after="120"/>
      </w:pPr>
      <w:r>
        <w:rPr>
          <w:sz w:val="18"/>
        </w:rPr>
        <w:t>——————————————————————————————————————————————————————————————————————</w:t>
      </w:r>
    </w:p>
    <w:p>
      <w:pPr>
        <w:spacing w:before="160" w:after="40" w:line="240" w:lineRule="auto"/>
      </w:pPr>
      <w:r>
        <w:rPr>
          <w:b/>
        </w:rPr>
        <w:t xml:space="preserve">[26] </w:t>
      </w:r>
      <w:hyperlink r:id="rId52">
        <w:r>
          <w:rPr>
            <w:color w:val="1155CC"/>
            <w:u w:val="single"/>
          </w:rPr>
          <w:t>通过亚磷酸盐辅助化学保护实现钙钛矿太阳能电池的耐老化前驱体解决方案</w:t>
        </w:r>
      </w:hyperlink>
    </w:p>
    <w:p>
      <w:pPr>
        <w:spacing w:before="0" w:after="80"/>
      </w:pPr>
      <w:r>
        <w:rPr>
          <w:i/>
          <w:sz w:val="20"/>
        </w:rPr>
        <w:t>EN: Aging-Tolerant Precursor Solution for Perovskite Solar Cells Enabled by Phosphite-Assisted Chemical Protection</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53">
        <w:r>
          <w:rPr>
            <w:color w:val="1155CC"/>
            <w:u w:val="single"/>
          </w:rPr>
          <w:t>10.1021/acsami.6c07524</w:t>
        </w:r>
      </w:hyperlink>
    </w:p>
    <w:p>
      <w:pPr>
        <w:spacing w:before="0" w:after="120"/>
      </w:pPr>
      <w:r>
        <w:rPr>
          <w:b/>
        </w:rPr>
        <w:t xml:space="preserve">Notes: </w:t>
      </w:r>
      <w:r>
        <w:t>abstract_source=pubmed</w:t>
      </w:r>
    </w:p>
    <w:p>
      <w:pPr>
        <w:spacing w:before="0" w:after="80" w:lineRule="auto" w:line="276"/>
      </w:pPr>
      <w:r>
        <w:rPr>
          <w:b/>
        </w:rPr>
        <w:t xml:space="preserve">摘要（ZH）: </w:t>
      </w:r>
      <w:r>
        <w:t>尽管钙钛矿太阳能电池的功率转换效率快速进步，但钙钛矿前驱体溶液和薄膜降解引起的稳定性问题仍然是商业化的重大挑战。在这里，我们通过将亚磷酸三苯酯作为有益的添加剂引入钙钛矿前体溶液中，展示了钙钛矿太阳能电池的完整生命周期管理。亚磷酸三苯酯不仅通过防止碘化物氧化和有机阳离子去质子化来稳定前体溶液，而且能够形成结晶度增强、缺陷密度降低、老化条件下长期稳定性增强的钙钛矿薄膜。经过优化的 n-i-p 钙钛矿太阳能电池经认证的功率转换效率为 26.6%。在最大功率点跟踪下连续照明 600 小时后，目标器件仍保持其初始效率的 90%。值得注意的是，即使在环境空气中老化 21 天后，含亚磷酸三苯酯的前体溶液仍然可以产生钙钛矿太阳能电池，其效率与用新鲜前体溶液制造的电池相当。这些结果为提高钙钛矿前驱体溶液和钙钛矿薄膜的稳定性提供了实用的策略和指导框架。</w:t>
      </w:r>
    </w:p>
    <w:p>
      <w:pPr>
        <w:spacing w:before="0" w:after="200" w:lineRule="auto" w:line="276"/>
      </w:pPr>
      <w:r>
        <w:rPr>
          <w:b/>
        </w:rPr>
        <w:t xml:space="preserve">Abstract (EN): </w:t>
      </w:r>
      <w:r>
        <w:t>Despite rapid advances in the power conversion efficiency of perovskite solar cells, stability issues arising from the degradation of both the perovskite precursor solution and film remain a significant challenge for commercialization. Here, we demonstrate full lifecycle management of perovskite solar cells by introducing triphenyl phosphite as a beneficial additive into the perovskite precursor solution. Triphenyl phosphite not only stabilizes the precursor solution by preventing iodide oxidation and deprotonation of organic cations but also enables the formation of perovskite films with enhanced crystallinity, reduced defect density, and enhanced long-term stability under aging conditions. The optimized n-i-p perovskite solar cells deliver a certified power conversion efficiency of 26.6%. The target device retains 90% of its initial efficiency after 600 h of continuous illumination under maximum power point tracking. Notably, even after aging for 21 days in ambient air, the triphenyl phosphite-containing precursor solution can still yield perovskite solar cells with efficiencies comparable to those fabricated from fresh precursor solutions. These results provide a practical strategy and guiding framework for improving the stability of both perovskite precursor solutions and perovskite films.</w:t>
      </w:r>
    </w:p>
    <w:p>
      <w:pPr>
        <w:spacing w:before="120" w:after="120"/>
      </w:pPr>
      <w:r>
        <w:rPr>
          <w:sz w:val="18"/>
        </w:rPr>
        <w:t>——————————————————————————————————————————————————————————————————————</w:t>
      </w:r>
    </w:p>
    <w:p>
      <w:pPr>
        <w:spacing w:before="160" w:after="40" w:line="240" w:lineRule="auto"/>
      </w:pPr>
      <w:r>
        <w:rPr>
          <w:b/>
        </w:rPr>
        <w:t xml:space="preserve">[27] </w:t>
      </w:r>
      <w:hyperlink r:id="rId54">
        <w:r>
          <w:rPr>
            <w:color w:val="1155CC"/>
            <w:u w:val="single"/>
          </w:rPr>
          <w:t>家庭协调有助于太阳能的采用</w:t>
        </w:r>
      </w:hyperlink>
    </w:p>
    <w:p>
      <w:pPr>
        <w:spacing w:before="0" w:after="80"/>
      </w:pPr>
      <w:r>
        <w:rPr>
          <w:i/>
          <w:sz w:val="20"/>
        </w:rPr>
        <w:t>EN: Household coordination can aid solar adoption</w:t>
      </w:r>
    </w:p>
    <w:p>
      <w:pPr>
        <w:spacing w:before="0" w:after="120"/>
      </w:pPr>
      <w:r>
        <w:rPr>
          <w:b/>
        </w:rPr>
        <w:t xml:space="preserve">Source: </w:t>
      </w:r>
      <w:r>
        <w:t>Nature Energy</w:t>
      </w:r>
      <w:r>
        <w:t xml:space="preserve">    </w:t>
      </w:r>
      <w:r>
        <w:rPr>
          <w:b/>
        </w:rPr>
        <w:t xml:space="preserve">Pub date: </w:t>
      </w:r>
      <w:r>
        <w:t>2026-07-09 00:00:00+00:00</w:t>
      </w:r>
      <w:r>
        <w:t xml:space="preserve">    </w:t>
      </w:r>
      <w:r>
        <w:rPr>
          <w:b/>
        </w:rPr>
        <w:t xml:space="preserve">DOI: </w:t>
      </w:r>
      <w:hyperlink r:id="rId55">
        <w:r>
          <w:rPr>
            <w:color w:val="1155CC"/>
            <w:u w:val="single"/>
          </w:rPr>
          <w:t>10.1038/s41560-026-02103-9</w:t>
        </w:r>
      </w:hyperlink>
    </w:p>
    <w:p>
      <w:pPr>
        <w:spacing w:before="0" w:after="120"/>
      </w:pPr>
      <w:r>
        <w:rPr>
          <w:b/>
        </w:rPr>
        <w:t xml:space="preserve">Notes: </w:t>
      </w:r>
      <w:r>
        <w:t>abstract_source=nature_html</w:t>
      </w:r>
    </w:p>
    <w:p>
      <w:pPr>
        <w:spacing w:before="0" w:after="80" w:lineRule="auto" w:line="276"/>
      </w:pPr>
      <w:r>
        <w:rPr>
          <w:b/>
        </w:rPr>
        <w:t xml:space="preserve">摘要（ZH）: </w:t>
      </w:r>
      <w:r>
        <w:t>整个家庭的协调和积极审议可以促进太阳能的采用。当针对能源采用的干预措施旨在支持集体决策而不是关注单个家庭成员时，它们可能会更有效。</w:t>
      </w:r>
    </w:p>
    <w:p>
      <w:pPr>
        <w:spacing w:before="0" w:after="200" w:lineRule="auto" w:line="276"/>
      </w:pPr>
      <w:r>
        <w:rPr>
          <w:b/>
        </w:rPr>
        <w:t xml:space="preserve">Abstract (EN): </w:t>
      </w:r>
      <w:r>
        <w:t>Coordination and active deliberation that includes the whole household can facilitate solar adoption. Interventions targeting energy adoption are likely to be more effective when they are designed to support collective decision making rather than focusing on a single member of the household.</w:t>
      </w:r>
    </w:p>
    <w:p>
      <w:pPr>
        <w:spacing w:before="120" w:after="120"/>
      </w:pPr>
      <w:r>
        <w:rPr>
          <w:sz w:val="18"/>
        </w:rPr>
        <w:t>——————————————————————————————————————————————————————————————————————</w:t>
      </w:r>
    </w:p>
    <w:p>
      <w:pPr>
        <w:spacing w:before="160" w:after="40" w:line="240" w:lineRule="auto"/>
      </w:pPr>
      <w:r>
        <w:rPr>
          <w:b/>
        </w:rPr>
        <w:t xml:space="preserve">[28] </w:t>
      </w:r>
      <w:hyperlink r:id="rId56">
        <w:r>
          <w:rPr>
            <w:color w:val="1155CC"/>
            <w:u w:val="single"/>
          </w:rPr>
          <w:t>家庭动态是理解住宅太阳能采用的缺失部分</w:t>
        </w:r>
      </w:hyperlink>
    </w:p>
    <w:p>
      <w:pPr>
        <w:spacing w:before="0" w:after="80"/>
      </w:pPr>
      <w:r>
        <w:rPr>
          <w:i/>
          <w:sz w:val="20"/>
        </w:rPr>
        <w:t>EN: Family dynamics are a missing piece in understanding residential solar adoption</w:t>
      </w:r>
    </w:p>
    <w:p>
      <w:pPr>
        <w:spacing w:before="0" w:after="120"/>
      </w:pPr>
      <w:r>
        <w:rPr>
          <w:b/>
        </w:rPr>
        <w:t xml:space="preserve">Source: </w:t>
      </w:r>
      <w:r>
        <w:t>Nature Energy</w:t>
      </w:r>
      <w:r>
        <w:t xml:space="preserve">    </w:t>
      </w:r>
      <w:r>
        <w:rPr>
          <w:b/>
        </w:rPr>
        <w:t xml:space="preserve">Pub date: </w:t>
      </w:r>
      <w:r>
        <w:t>2026-07-09 00:00:00+00:00</w:t>
      </w:r>
      <w:r>
        <w:t xml:space="preserve">    </w:t>
      </w:r>
      <w:r>
        <w:rPr>
          <w:b/>
        </w:rPr>
        <w:t xml:space="preserve">DOI: </w:t>
      </w:r>
      <w:hyperlink r:id="rId57">
        <w:r>
          <w:rPr>
            <w:color w:val="1155CC"/>
            <w:u w:val="single"/>
          </w:rPr>
          <w:t>10.1038/s41560-026-02104-8</w:t>
        </w:r>
      </w:hyperlink>
    </w:p>
    <w:p>
      <w:pPr>
        <w:spacing w:before="0" w:after="120"/>
      </w:pPr>
      <w:r>
        <w:rPr>
          <w:b/>
        </w:rPr>
        <w:t xml:space="preserve">Notes: </w:t>
      </w:r>
      <w:r>
        <w:t>abstract_source=nature_html</w:t>
      </w:r>
    </w:p>
    <w:p>
      <w:pPr>
        <w:spacing w:before="0" w:after="80" w:lineRule="auto" w:line="276"/>
      </w:pPr>
      <w:r>
        <w:rPr>
          <w:b/>
        </w:rPr>
        <w:t xml:space="preserve">摘要（ZH）: </w:t>
      </w:r>
      <w:r>
        <w:t>住宅太阳能的采用通常被概念化为个人层面的决策，忽视了支撑家庭决策的关系复杂性。在这里，我们通过开展两项研究来探讨家庭内部动态如何影响太阳能的采用。研究 1 使用 39 对夫妇的访谈数据确定了角色组：“同步”，在收养家庭中观察到，其特征是共同的目标和分工；以及“对立”，以分歧为特征，在非收养者中发现。然而，催化剂（例如，即将到期的税收抵免、不断上涨的账单）通常是推动同步家庭采用的必要条件。通过对失去的和当前的收养者（N = 394）的调查，研究 2 调查了家庭参与者的角色：在收养者家庭中，浪漫伴侣和父母比失去的顾客家庭发挥更大的作用，执行更多的任务，发起更多的讨论并表现出更大的积极性。家庭范围内更大的支持甚至反对都预示着采用。总之，这些结果凸显了家庭协调对于收养至关重要。</w:t>
      </w:r>
    </w:p>
    <w:p>
      <w:pPr>
        <w:spacing w:before="0" w:after="200" w:lineRule="auto" w:line="276"/>
      </w:pPr>
      <w:r>
        <w:rPr>
          <w:b/>
        </w:rPr>
        <w:t xml:space="preserve">Abstract (EN): </w:t>
      </w:r>
      <w:r>
        <w:t>Residential solar adoption is typically conceptualized as an individual-level decision, overlooking the relational complexity that underpins household decision-making. Here we examine how intrahousehold dynamics shape solar adoption by carrying out two studies. Using interview data from 39 couples, Study 1 identified role sets: ‘in sync’, observed among adopter households and characterized by shared goals and division of labour, and ‘oppositional’, marked by disagreement and found among non-adopters. However, catalysts (for example, expiring tax credits, escalating bills) were often necessary to move in-sync households to adoption. Using surveys of lost and current adopters (N = 394), Study 2 investigated the roles of household actors: in adopter households, romantic partners and parents played larger roles, executed more tasks, initiated more discussions and expressed greater positivity than in lost-customer households. Greater household-wide support and even disagreement predicted adoption. Together, these results highlight that household coordination is critical for adoption.</w:t>
      </w:r>
    </w:p>
    <w:p>
      <w:pPr>
        <w:spacing w:before="120" w:after="120"/>
      </w:pPr>
      <w:r>
        <w:rPr>
          <w:sz w:val="18"/>
        </w:rPr>
        <w:t>——————————————————————————————————————————————————————————————————————</w:t>
      </w:r>
    </w:p>
    <w:p>
      <w:pPr>
        <w:spacing w:before="160" w:after="40" w:line="240" w:lineRule="auto"/>
      </w:pPr>
      <w:r>
        <w:rPr>
          <w:b/>
        </w:rPr>
        <w:t xml:space="preserve">[29] </w:t>
      </w:r>
      <w:hyperlink r:id="rId58">
        <w:r>
          <w:rPr>
            <w:color w:val="1155CC"/>
            <w:u w:val="single"/>
          </w:rPr>
          <w:t>芳香分子控制高效太阳能电池的钙钛矿量子点成熟</w:t>
        </w:r>
      </w:hyperlink>
    </w:p>
    <w:p>
      <w:pPr>
        <w:spacing w:before="0" w:after="80"/>
      </w:pPr>
      <w:r>
        <w:rPr>
          <w:i/>
          <w:sz w:val="20"/>
        </w:rPr>
        <w:t>EN: Aromatic Molecules Control Perovskite Quantum Dot Ripening for Efficient Solar Cells</w:t>
      </w:r>
    </w:p>
    <w:p>
      <w:pPr>
        <w:spacing w:before="0" w:after="120"/>
      </w:pPr>
      <w:r>
        <w:rPr>
          <w:b/>
        </w:rPr>
        <w:t xml:space="preserve">Source: </w:t>
      </w:r>
      <w:r>
        <w:t>ACS Energy Letters: Latest Articles (ACS Publications)</w:t>
      </w:r>
      <w:r>
        <w:t xml:space="preserve">    </w:t>
      </w:r>
      <w:r>
        <w:rPr>
          <w:b/>
        </w:rPr>
        <w:t xml:space="preserve">Pub date: </w:t>
      </w:r>
      <w:r>
        <w:t>2026-07-09 00:00:00+00:00</w:t>
      </w:r>
      <w:r>
        <w:t xml:space="preserve">    </w:t>
      </w:r>
      <w:r>
        <w:rPr>
          <w:b/>
        </w:rPr>
        <w:t xml:space="preserve">DOI: </w:t>
      </w:r>
      <w:hyperlink r:id="rId59">
        <w:r>
          <w:rPr>
            <w:color w:val="1155CC"/>
            <w:u w:val="single"/>
          </w:rPr>
          <w:t>10.1021/acsenergylett.6c01202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60">
        <w:r>
          <w:rPr>
            <w:color w:val="1155CC"/>
            <w:u w:val="single"/>
          </w:rPr>
          <w:t>所有子电池中均具有自组装孔接触的三结全钙钛矿太阳能电池</w:t>
        </w:r>
      </w:hyperlink>
    </w:p>
    <w:p>
      <w:pPr>
        <w:spacing w:before="0" w:after="80"/>
      </w:pPr>
      <w:r>
        <w:rPr>
          <w:i/>
          <w:sz w:val="20"/>
        </w:rPr>
        <w:t>EN: Triple-junction all-perovskite solar cells with self-assembling hole contacts in all subcells</w:t>
      </w:r>
    </w:p>
    <w:p>
      <w:pPr>
        <w:spacing w:before="0" w:after="120"/>
      </w:pPr>
      <w:r>
        <w:rPr>
          <w:b/>
        </w:rPr>
        <w:t xml:space="preserve">Source: </w:t>
      </w:r>
      <w:r>
        <w:t>Joule</w:t>
      </w:r>
      <w:r>
        <w:t xml:space="preserve">    </w:t>
      </w:r>
      <w:r>
        <w:rPr>
          <w:b/>
        </w:rPr>
        <w:t xml:space="preserve">Pub date: </w:t>
      </w:r>
      <w:r>
        <w:t>2026-07-09 00:00:00+00:00</w:t>
      </w:r>
      <w:r>
        <w:t xml:space="preserve">    </w:t>
      </w:r>
      <w:r>
        <w:rPr>
          <w:b/>
        </w:rPr>
        <w:t xml:space="preserve">DOI: </w:t>
      </w:r>
      <w:hyperlink r:id="rId61">
        <w:r>
          <w:rPr>
            <w:color w:val="1155CC"/>
            <w:u w:val="single"/>
          </w:rPr>
          <w:t>10.1016/j.joule.2026.102575</w:t>
        </w:r>
      </w:hyperlink>
    </w:p>
    <w:p>
      <w:pPr>
        <w:spacing w:before="0" w:after="120"/>
      </w:pPr>
      <w:r>
        <w:rPr>
          <w:b/>
        </w:rPr>
        <w:t xml:space="preserve">Notes: </w:t>
      </w:r>
      <w:r>
        <w:t>abstract_source=rss_cell</w:t>
      </w:r>
    </w:p>
    <w:p>
      <w:pPr>
        <w:spacing w:before="0" w:after="80" w:lineRule="auto" w:line="276"/>
      </w:pPr>
      <w:r>
        <w:rPr>
          <w:b/>
        </w:rPr>
        <w:t xml:space="preserve">摘要（ZH）: </w:t>
      </w:r>
      <w:r>
        <w:t>这项研究提出了一种采用氧化石墨烯和自组装单层用于 Sn-Pb 钙钛矿太阳能电池的双层策略。这种方法可实现高效稳定的三结全钙钛矿太阳能电池，实现 27.3% 的效率以及出色的运行稳定性，T90 为 770 小时。</w:t>
      </w:r>
    </w:p>
    <w:p>
      <w:pPr>
        <w:spacing w:before="0" w:after="200" w:lineRule="auto" w:line="276"/>
      </w:pPr>
      <w:r>
        <w:rPr>
          <w:b/>
        </w:rPr>
        <w:t xml:space="preserve">Abstract (EN): </w:t>
      </w:r>
      <w:r>
        <w:t>This study presents a bilayer strategy employing graphene oxide and a self-assembled monolayer for Sn-Pb perovskite solar cells. This approach enables efficient and stable triple-junction all-perovskite solar cells, achieving a 27.3% efficiency alongside exceptional operational stability with a T90 of 770 h.</w:t>
      </w:r>
    </w:p>
    <w:p>
      <w:pPr>
        <w:spacing w:before="120" w:after="120"/>
      </w:pPr>
      <w:r>
        <w:rPr>
          <w:sz w:val="18"/>
        </w:rPr>
        <w:t>——————————————————————————————————————————————————————————————————————</w:t>
      </w:r>
    </w:p>
    <w:p>
      <w:pPr>
        <w:spacing w:before="160" w:after="40" w:line="240" w:lineRule="auto"/>
      </w:pPr>
      <w:r>
        <w:rPr>
          <w:b/>
        </w:rPr>
        <w:t xml:space="preserve">[31] </w:t>
      </w:r>
      <w:hyperlink r:id="rId62">
        <w:r>
          <w:rPr>
            <w:color w:val="1155CC"/>
            <w:u w:val="single"/>
          </w:rPr>
          <w:t>高效真空沉积钙钛矿太阳能电池的原位生长和晶体监测</w:t>
        </w:r>
      </w:hyperlink>
    </w:p>
    <w:p>
      <w:pPr>
        <w:spacing w:before="0" w:after="80"/>
      </w:pPr>
      <w:r>
        <w:rPr>
          <w:i/>
          <w:sz w:val="20"/>
        </w:rPr>
        <w:t>EN: In situ growth and crystal monitoring for high-efficiency vacuum-deposited perovskite-based solar cells</w:t>
      </w:r>
    </w:p>
    <w:p>
      <w:pPr>
        <w:spacing w:before="0" w:after="120"/>
      </w:pPr>
      <w:r>
        <w:rPr>
          <w:b/>
        </w:rPr>
        <w:t xml:space="preserve">Source: </w:t>
      </w:r>
      <w:r>
        <w:t>Joule</w:t>
      </w:r>
      <w:r>
        <w:t xml:space="preserve">    </w:t>
      </w:r>
      <w:r>
        <w:rPr>
          <w:b/>
        </w:rPr>
        <w:t xml:space="preserve">Pub date: </w:t>
      </w:r>
      <w:r>
        <w:t>2026-07-09 00:00:00+00:00</w:t>
      </w:r>
      <w:r>
        <w:t xml:space="preserve">    </w:t>
      </w:r>
      <w:r>
        <w:rPr>
          <w:b/>
        </w:rPr>
        <w:t xml:space="preserve">DOI: </w:t>
      </w:r>
      <w:hyperlink r:id="rId63">
        <w:r>
          <w:rPr>
            <w:color w:val="1155CC"/>
            <w:u w:val="single"/>
          </w:rPr>
          <w:t>10.1016/j.joule.2026.102576</w:t>
        </w:r>
      </w:hyperlink>
    </w:p>
    <w:p>
      <w:pPr>
        <w:spacing w:before="0" w:after="120"/>
      </w:pPr>
      <w:r>
        <w:rPr>
          <w:b/>
        </w:rPr>
        <w:t xml:space="preserve">Notes: </w:t>
      </w:r>
      <w:r>
        <w:t>abstract_source=rss_cell</w:t>
      </w:r>
    </w:p>
    <w:p>
      <w:pPr>
        <w:spacing w:before="0" w:after="80" w:lineRule="auto" w:line="276"/>
      </w:pPr>
      <w:r>
        <w:rPr>
          <w:b/>
        </w:rPr>
        <w:t xml:space="preserve">摘要（ZH）: </w:t>
      </w:r>
      <w:r>
        <w:t>真空沉积为钙钛矿太阳能电池提供了一种工业兼容的途径，但控制钙钛矿结晶仍然具有挑战性。崔等人。在钙钛矿吸收体下方引入结构导向层，并使用原位光致发光来监测钙钛矿的成核、应变和缺陷，从而提高稳定性的高效器件。</w:t>
      </w:r>
    </w:p>
    <w:p>
      <w:pPr>
        <w:spacing w:before="0" w:after="200" w:lineRule="auto" w:line="276"/>
      </w:pPr>
      <w:r>
        <w:rPr>
          <w:b/>
        </w:rPr>
        <w:t xml:space="preserve">Abstract (EN): </w:t>
      </w:r>
      <w:r>
        <w:t>Vacuum deposition offers an industry-compatible route for perovskite solar cells, yet controlling perovskite crystallization remains challenging. Choi et al. introduce a structure-directing layer beneath a perovskite absorber and use in situ photoluminescence to monitor the nucleation, strain, and defects of perovskite, leading to efficient devices with improved stability.</w:t>
      </w:r>
    </w:p>
    <w:p>
      <w:pPr>
        <w:spacing w:before="120" w:after="120"/>
      </w:pPr>
      <w:r>
        <w:rPr>
          <w:sz w:val="18"/>
        </w:rPr>
        <w:t>——————————————————————————————————————————————————————————————————————</w:t>
      </w:r>
    </w:p>
    <w:p>
      <w:pPr>
        <w:spacing w:before="160" w:after="40" w:line="240" w:lineRule="auto"/>
      </w:pPr>
      <w:r>
        <w:rPr>
          <w:b/>
        </w:rPr>
        <w:t xml:space="preserve">[32] </w:t>
      </w:r>
      <w:hyperlink r:id="rId64">
        <w:r>
          <w:rPr>
            <w:color w:val="1155CC"/>
            <w:u w:val="single"/>
          </w:rPr>
          <w:t>溶液加工和蒸镀卤化铅钙钛矿薄膜的缺陷情况比较分析</w:t>
        </w:r>
      </w:hyperlink>
    </w:p>
    <w:p>
      <w:pPr>
        <w:spacing w:before="0" w:after="80"/>
      </w:pPr>
      <w:r>
        <w:rPr>
          <w:i/>
          <w:sz w:val="20"/>
        </w:rPr>
        <w:t>EN: Comparative Analysis of the Defect Landscape of Solution-Processed and Evaporated Lead Halide Perovskite Films</w:t>
      </w:r>
    </w:p>
    <w:p>
      <w:pPr>
        <w:spacing w:before="0" w:after="120"/>
      </w:pPr>
      <w:r>
        <w:rPr>
          <w:b/>
        </w:rPr>
        <w:t xml:space="preserve">Source: </w:t>
      </w:r>
      <w:r>
        <w:t>ACS Energy Letters: Latest Articles (ACS Publications)</w:t>
      </w:r>
      <w:r>
        <w:t xml:space="preserve">    </w:t>
      </w:r>
      <w:r>
        <w:rPr>
          <w:b/>
        </w:rPr>
        <w:t xml:space="preserve">Pub date: </w:t>
      </w:r>
      <w:r>
        <w:t>2026-07-09 00:00:00+00:00</w:t>
      </w:r>
      <w:r>
        <w:t xml:space="preserve">    </w:t>
      </w:r>
      <w:r>
        <w:rPr>
          <w:b/>
        </w:rPr>
        <w:t xml:space="preserve">DOI: </w:t>
      </w:r>
      <w:hyperlink r:id="rId65">
        <w:r>
          <w:rPr>
            <w:color w:val="1155CC"/>
            <w:u w:val="single"/>
          </w:rPr>
          <w:t>10.1021/acsenergylett.6c01375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66">
        <w:r>
          <w:rPr>
            <w:color w:val="1155CC"/>
            <w:u w:val="single"/>
          </w:rPr>
          <w:t>高工作电位诱导富锂硫属化物的转化</w:t>
        </w:r>
      </w:hyperlink>
    </w:p>
    <w:p>
      <w:pPr>
        <w:spacing w:before="0" w:after="80"/>
      </w:pPr>
      <w:r>
        <w:rPr>
          <w:i/>
          <w:sz w:val="20"/>
        </w:rPr>
        <w:t>EN: High Operating Potential Induces Conversion in Li-Rich Chalcogenides</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67">
        <w:r>
          <w:rPr>
            <w:color w:val="1155CC"/>
            <w:u w:val="single"/>
          </w:rPr>
          <w:t>10.1021/acsami.6c06453</w:t>
        </w:r>
      </w:hyperlink>
    </w:p>
    <w:p>
      <w:pPr>
        <w:spacing w:before="0" w:after="120"/>
      </w:pPr>
      <w:r>
        <w:rPr>
          <w:b/>
        </w:rPr>
        <w:t xml:space="preserve">Notes: </w:t>
      </w:r>
      <w:r>
        <w:t>abstract_source=pubmed</w:t>
      </w:r>
    </w:p>
    <w:p>
      <w:pPr>
        <w:spacing w:before="0" w:after="80" w:lineRule="auto" w:line="276"/>
      </w:pPr>
      <w:r>
        <w:rPr>
          <w:b/>
        </w:rPr>
        <w:t xml:space="preserve">摘要（ZH）: </w:t>
      </w:r>
      <w:r>
        <w:t>锂离子电池是可再生能源转型的核心，但商业正极材料的容量限制了性能的进一步提高。富锂正极通过利用阳离子和阴离子氧化还原提供了一条有前途的更高容量途径。然而，富锂材料的全部理论能力尚未实现。在这里，我们评估尝试完全脱锂的条件，这需要更高的操作潜力。我们重点关注富锂硫化物和硒化物 Li2FeCh2 (Ch = S, Se)，因为氧化物中阴离子氧化还原所需的高电势会导致电解质严重降解，从而掩盖了固有的阴极过程。这两种材料在恒电流测量期间表现出较差的库仑效率和快速的容量损失，相对于 Li/Li+ 达到 &gt;3V。这些材料在这些电位下发生转化反应，这一点通过异位激光烧蚀电感耦合等离子体质谱 (ICP-MS) 和 X 射线衍射 (XRD) 测量得到证实。对于 Li2FeS2，转化为多硫化物会导致材料损失。然而，如果相对于 Li/Li+ 的上限电压截止低于 3 V，则即使在固体 Li2-xFeS2 中形成过硫化物，也没有溶解 S 的证据。相比之下，Li2FeSe2 向 γ-Se 的转化仅限于固态，尽管通过电解质分解形成质子会导致活性材料溶解。两种材料中的转化反应发生在可逆阴离子氧化还原反应的正电压 &gt;1V 处，这使得通过潜在的有限循环很容易避免此类寄生副反应。</w:t>
      </w:r>
    </w:p>
    <w:p>
      <w:pPr>
        <w:spacing w:before="0" w:after="200" w:lineRule="auto" w:line="276"/>
      </w:pPr>
      <w:r>
        <w:rPr>
          <w:b/>
        </w:rPr>
        <w:t xml:space="preserve">Abstract (EN): </w:t>
      </w:r>
      <w:r>
        <w:t>Lithium-ion batteries are central to the renewable energy transition, yet the capacity of commercial cathode materials limits further improvement in performance. Li-rich cathodes offer a promising route to higher capacities by leveraging both cationic and anionic redox. However, the full theoretical capacity is yet to be realized in the Li-rich materials. Here, we evaluate conditions to attempt full delithiation, which requires higher operating potentials. We focus on the Li-rich sulfide and selenide Li2FeCh2 (Ch = S, Se), since high potential required to access anion redox in oxides leads to severe degradation of electrolyte which obscures intrinsic cathode processes. Both materials exhibit poor Coulombic efficiency and rapid capacity loss during galvanostatic measurements that reach &gt;3 V vs Li/Li+. The materials undergo conversion reactions at these potentials, which is corroborated by ex situ laser ablation inductively coupled plasma mass spectrometry (ICP-MS) and X-ray diffraction (XRD) measurements. For Li2FeS2, conversion to polysulfides causes material loss. However, if the upper voltage cutoff is below 3 V vs Li/Li+, there is no evidence of dissolved S even though persulfides are formed in the solid Li2-xFeS2. In contrast, conversion of Li2FeSe2 to γ-Se is limited to the solid-state, though formation of protons via electrolyte decomposition causes active-material dissolution. The conversion reactions occur &gt;1 V positive of the reversible anion redox reactions in both materials which makes it easy to avoid such parasitic side reactions by potential limited cycling.</w:t>
      </w:r>
    </w:p>
    <w:p>
      <w:pPr>
        <w:spacing w:before="120" w:after="120"/>
      </w:pPr>
      <w:r>
        <w:rPr>
          <w:sz w:val="18"/>
        </w:rPr>
        <w:t>——————————————————————————————————————————————————————————————————————</w:t>
      </w:r>
    </w:p>
    <w:p>
      <w:pPr>
        <w:spacing w:before="160" w:after="40" w:line="240" w:lineRule="auto"/>
      </w:pPr>
      <w:r>
        <w:rPr>
          <w:b/>
        </w:rPr>
        <w:t xml:space="preserve">[2] </w:t>
      </w:r>
      <w:hyperlink r:id="rId68">
        <w:r>
          <w:rPr>
            <w:color w:val="1155CC"/>
            <w:u w:val="single"/>
          </w:rPr>
          <w:t>解锁电子时空限制以激活铁锰基磷酸盐以实现高能量密度和超宽温钠存储</w:t>
        </w:r>
      </w:hyperlink>
    </w:p>
    <w:p>
      <w:pPr>
        <w:spacing w:before="0" w:after="80"/>
      </w:pPr>
      <w:r>
        <w:rPr>
          <w:i/>
          <w:sz w:val="20"/>
        </w:rPr>
        <w:t>EN: Unlocking Electronic Spatiotemporal Confinement to Activate FeMn-Based Phosphates for High Energy Density and Ultra-Wide Temperature Na Storage</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69">
        <w:r>
          <w:rPr>
            <w:color w:val="1155CC"/>
            <w:u w:val="single"/>
          </w:rPr>
          <w:t>10.1021/jacs.6c06642</w:t>
        </w:r>
      </w:hyperlink>
    </w:p>
    <w:p>
      <w:pPr>
        <w:spacing w:before="0" w:after="120"/>
      </w:pPr>
      <w:r>
        <w:rPr>
          <w:b/>
        </w:rPr>
        <w:t xml:space="preserve">Notes: </w:t>
      </w:r>
      <w:r>
        <w:t>abstract_source=pubmed</w:t>
      </w:r>
    </w:p>
    <w:p>
      <w:pPr>
        <w:spacing w:before="0" w:after="80" w:lineRule="auto" w:line="276"/>
      </w:pPr>
      <w:r>
        <w:rPr>
          <w:b/>
        </w:rPr>
        <w:t xml:space="preserve">摘要（ZH）: </w:t>
      </w:r>
      <w:r>
        <w:t>以Na4FeMn(PO4)3为代表的FeMn基聚阴离子磷酸盐由于其高理论电压和容量，是低成本、可持续钠离子电池的有前途的正极材料。然而，它们的性能受到长期存在且无法解释的异常电化学惰性的限制。这项研究揭示了这种惰性的物理起源，并确定了一种内在的电子“时空限制效应”。在空间上，PO4 四面体将氧化还原活性 MO6 (M = Fe/Mn) 单元分隔成相互隔离的隔室；在时间上，自旋配对限制进一步阻碍了 d 电子构型内的电荷传输。基于这种机制，我们提出了一种异金属桥接策略，通过引入具有空3d轨道的V和Ti作为电子桥来重建Fe-Mn网络内的电子连接性。制备的Na3.6Fe0.6Mn0.6Ti0.5V0.3(PO4)3成功打破了时空限制，绕过了自旋禁阻势垒，并激活了多电子氧化还原反应。因此，它实现了从惰性状态到470.1 Wh kg-1高能量密度的飞跃。同时，它表现出卓越的宽温适应性，在-80℃下保持76.4mAh g-1，并在130℃范围内稳定运行。这项工作通过时空限制的视角阐明了 FeMn 基聚阴离子化合物的电化学惰性本质，并为高能量密度聚阴离子阴极材料的设计提供了通用策略。</w:t>
      </w:r>
    </w:p>
    <w:p>
      <w:pPr>
        <w:spacing w:before="0" w:after="200" w:lineRule="auto" w:line="276"/>
      </w:pPr>
      <w:r>
        <w:rPr>
          <w:b/>
        </w:rPr>
        <w:t xml:space="preserve">Abstract (EN): </w:t>
      </w:r>
      <w:r>
        <w:t>FeMn-based polyanionic phosphates, represented by Na4FeMn(PO4)3, are promising cathode materials for low-cost and sustainable sodium-ion batteries due to their high theoretical voltage and capacity. Nevertheless, their performance is constrained by long-standing and unexplained anomalous electrochemical inertness. This study unveils the physical origin of this inertness and identifies an intrinsic electronic "spatiotemporal confinement effect". Spatially, PO4 tetrahedra separate the redox-active MO6 (M = Fe/Mn) units into mutually isolated compartments; temporally, spin-pairing constraints further impede charge transport within the d-electron configuration. Based on this mechanism, we propose a heterometallic bridging strategy by introducing V and Ti with empty 3d-orbitals as electronic bridges to reconstruct electronic connectivity within the Fe-Mn network. The prepared Na3.6Fe0.6Mn0.6Ti0.5V0.3(PO4)3 successfully breaks the spatiotemporal confinement, circumvents spin-forbidden barriers, and activates multielectron redox reactions. Consequently, it achieves a leap from an inert state to high energy density of 470.1 Wh kg-1. Meanwhile, it exhibits exceptional wide-temperature adaptability, retaining 76.4 mAh g-1 at -80 °C and operating stably across 130 °C range. This work elucidates the nature of electrochemical inertness in FeMn-based polyanionic compounds through the lens of spatiotemporal confinement and provides a universal strategy for the design of high energy density polyanionic cathode materials.</w:t>
      </w:r>
    </w:p>
    <w:p>
      <w:pPr>
        <w:spacing w:before="120" w:after="120"/>
      </w:pPr>
      <w:r>
        <w:rPr>
          <w:sz w:val="18"/>
        </w:rPr>
        <w:t>——————————————————————————————————————————————————————————————————————</w:t>
      </w:r>
    </w:p>
    <w:p>
      <w:pPr>
        <w:spacing w:before="160" w:after="40" w:line="240" w:lineRule="auto"/>
      </w:pPr>
      <w:r>
        <w:rPr>
          <w:b/>
        </w:rPr>
        <w:t xml:space="preserve">[3] </w:t>
      </w:r>
      <w:hyperlink r:id="rId70">
        <w:r>
          <w:rPr>
            <w:color w:val="1155CC"/>
            <w:u w:val="single"/>
          </w:rPr>
          <w:t>硫氟化物交换驱动的共价接枝调节双电层以稳定 LiNi 0.9 Co 0.05 Mn 0.05 O 2 正极</w:t>
        </w:r>
      </w:hyperlink>
    </w:p>
    <w:p>
      <w:pPr>
        <w:spacing w:before="0" w:after="80"/>
      </w:pPr>
      <w:r>
        <w:rPr>
          <w:i/>
          <w:sz w:val="20"/>
        </w:rPr>
        <w:t>EN: Sulfur-Fluoride Exchange-Driven Covalent Grafting Tunes the Electric Double Layer for Stabilizing LiNi 0.9 Co 0.05 Mn 0.05 O 2 Cathode</w:t>
      </w:r>
    </w:p>
    <w:p>
      <w:pPr>
        <w:spacing w:before="0" w:after="120"/>
      </w:pPr>
      <w:r>
        <w:rPr>
          <w:b/>
        </w:rPr>
        <w:t xml:space="preserve">Source: </w:t>
      </w:r>
      <w:r>
        <w:t>ACS Energy Letters: Latest Articles (ACS Publications)</w:t>
      </w:r>
      <w:r>
        <w:t xml:space="preserve">    </w:t>
      </w:r>
      <w:r>
        <w:rPr>
          <w:b/>
        </w:rPr>
        <w:t xml:space="preserve">Pub date: </w:t>
      </w:r>
      <w:r>
        <w:t>2026-07-07 00:00:00+00:00</w:t>
      </w:r>
      <w:r>
        <w:t xml:space="preserve">    </w:t>
      </w:r>
      <w:r>
        <w:rPr>
          <w:b/>
        </w:rPr>
        <w:t xml:space="preserve">DOI: </w:t>
      </w:r>
      <w:hyperlink r:id="rId71">
        <w:r>
          <w:rPr>
            <w:color w:val="1155CC"/>
            <w:u w:val="single"/>
          </w:rPr>
          <w:t>10.1021/acsenergylett.6c01357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72">
        <w:r>
          <w:rPr>
            <w:color w:val="1155CC"/>
            <w:u w:val="single"/>
          </w:rPr>
          <w:t>二维 VSe 2 @聚吡咯异质结构可实现稳定的高倍率锂硫电池</w:t>
        </w:r>
      </w:hyperlink>
    </w:p>
    <w:p>
      <w:pPr>
        <w:spacing w:before="0" w:after="80"/>
      </w:pPr>
      <w:r>
        <w:rPr>
          <w:i/>
          <w:sz w:val="20"/>
        </w:rPr>
        <w:t>EN: Two-Dimensional VSe 2 @Polypyrrole Heterostructure Enables Stable High-Rate Lithium–Sulfur Batteries</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73">
        <w:r>
          <w:rPr>
            <w:color w:val="1155CC"/>
            <w:u w:val="single"/>
          </w:rPr>
          <w:t>10.1021/acsami.6c06813</w:t>
        </w:r>
      </w:hyperlink>
    </w:p>
    <w:p>
      <w:pPr>
        <w:spacing w:before="0" w:after="120"/>
      </w:pPr>
      <w:r>
        <w:rPr>
          <w:b/>
        </w:rPr>
        <w:t xml:space="preserve">Notes: </w:t>
      </w:r>
      <w:r>
        <w:t>abstract_source=pubmed</w:t>
      </w:r>
    </w:p>
    <w:p>
      <w:pPr>
        <w:spacing w:before="0" w:after="80" w:lineRule="auto" w:line="276"/>
      </w:pPr>
      <w:r>
        <w:rPr>
          <w:b/>
        </w:rPr>
        <w:t xml:space="preserve">摘要（ZH）: </w:t>
      </w:r>
      <w:r>
        <w:t>锂硫（Li-S）电池是下一代高能量密度存储系统的有希望的候选者。然而，它们的实际应用受到硫及其放电产物(Li2S2/Li2S)较差的导电性和多硫化物穿梭效应的限制。这项工作提出了一种二维片状聚吡咯涂层 VSe2 (VSe2@PPy) 纳米复合材料，作为高性能锂硫电池阴极的先进硫主体。该设计将金属 VSe2 对多硫化物转化的高导电性和固有催化活性与 PPy 涂层提供的优异导电网络、吸附能力和机械灵活性相结合。通过VSe2和PPy之间的界面电子耦合效应建立功能界面，从而构建“吸附-富集-快速界面转换”途径。它们的协同作用全面增强了电极的整体电导率，确保强多硫化物吸附，加速氧化还原动力学，并减轻循环过程中的体积变化。因此，VSe2@PPy/S正极在0.5 C下具有1243 mAh g-1的高初始容量，并具有卓越的循环稳定性，在3 C下经过1000次循环后，每次循环的衰减率为0.06%。它还在具有挑战性的条件下保持良好的性能，包括高硫负载和-25至55 °C的宽温度范围。</w:t>
      </w:r>
    </w:p>
    <w:p>
      <w:pPr>
        <w:spacing w:before="0" w:after="200" w:lineRule="auto" w:line="276"/>
      </w:pPr>
      <w:r>
        <w:rPr>
          <w:b/>
        </w:rPr>
        <w:t xml:space="preserve">Abstract (EN): </w:t>
      </w:r>
      <w:r>
        <w:t>Lithium-sulfur (Li-S) batteries are promising candidates for next-generation high-energy-density storage systems. However, their practical application is limited by the poor conductivity of sulfur and its discharge products (Li2S2/Li2S) and the polysulfide shuttle effect. This work presents a two-dimensional sheet-like nanocomposite of polypyrrole-coated VSe2 (VSe2@PPy) as an advanced sulfur host for high-performance Li-S battery cathodes. The design integrates the high conductivity and intrinsic catalytic activity of metallic VSe2 for polysulfide conversion with the excellent conductive network, adsorption capacity, and mechanical flexibility offered by the PPy coating. A functional interface was established through the interface electronic coupling effect between VSe2 and PPy, thereby constructing an "adsorption-enrichment-fast interfacial conversion" pathway. Their synergy comprehensively enhances the overall conductivity of the electrode, ensures strong polysulfide adsorption, accelerates redox kinetics, and alleviates volume changes during cycling. Consequently, the VSe2@PPy/S cathode delivers a high initial capacity of 1243 mAh g-1 at 0.5 C and remarkable cycling stability with a low decay rate of 0.06% per cycle over 1000 cycles at 3 C. It also maintains good performance under challenging conditions, including high sulfur loading and a wide temperature range from -25 to 55 °C.</w:t>
      </w:r>
    </w:p>
    <w:p>
      <w:pPr>
        <w:spacing w:before="120" w:after="120"/>
      </w:pPr>
      <w:r>
        <w:rPr>
          <w:sz w:val="18"/>
        </w:rPr>
        <w:t>——————————————————————————————————————————————————————————————————————</w:t>
      </w:r>
    </w:p>
    <w:p>
      <w:pPr>
        <w:spacing w:before="160" w:after="40" w:line="240" w:lineRule="auto"/>
      </w:pPr>
      <w:r>
        <w:rPr>
          <w:b/>
        </w:rPr>
        <w:t xml:space="preserve">[5] </w:t>
      </w:r>
      <w:hyperlink r:id="rId74">
        <w:r>
          <w:rPr>
            <w:color w:val="1155CC"/>
            <w:u w:val="single"/>
          </w:rPr>
          <w:t>Ti/Sr 梯度掺杂 SrTiO 3 涂层可减轻富镍阴极中的应变和氧损失</w:t>
        </w:r>
      </w:hyperlink>
    </w:p>
    <w:p>
      <w:pPr>
        <w:spacing w:before="0" w:after="80"/>
      </w:pPr>
      <w:r>
        <w:rPr>
          <w:i/>
          <w:sz w:val="20"/>
        </w:rPr>
        <w:t>EN: Ti/Sr Gradient Doping with SrTiO 3 Coating for Mitigating Strain and Oxygen Loss in Ni-Rich Cathode</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75">
        <w:r>
          <w:rPr>
            <w:color w:val="1155CC"/>
            <w:u w:val="single"/>
          </w:rPr>
          <w:t>10.1021/acsami.6c05198</w:t>
        </w:r>
      </w:hyperlink>
    </w:p>
    <w:p>
      <w:pPr>
        <w:spacing w:before="0" w:after="120"/>
      </w:pPr>
      <w:r>
        <w:rPr>
          <w:b/>
        </w:rPr>
        <w:t xml:space="preserve">Notes: </w:t>
      </w:r>
      <w:r>
        <w:t>abstract_source=pubmed</w:t>
      </w:r>
    </w:p>
    <w:p>
      <w:pPr>
        <w:spacing w:before="0" w:after="80" w:lineRule="auto" w:line="276"/>
      </w:pPr>
      <w:r>
        <w:rPr>
          <w:b/>
        </w:rPr>
        <w:t xml:space="preserve">摘要（ZH）: </w:t>
      </w:r>
      <w:r>
        <w:t>富镍层状氧化物是一类具有巨大应用潜力的锂离子电池正极材料，但其在循环过程中的结构不稳定性会对电池性能产生不利影响。在这里，我们报告了 Ti/Sr 梯度掺杂和 SrTiO3 涂层的 LiNi0.9Co0.05Mn0.05O2 (NCM90-2TS) 阴极材料的体到表面工程，以避免不稳定。 Ti/Sr梯度掺杂降低了Li+扩散势垒，减轻了应力应变积累和层间滑移，并抑制了长期循环过程中Li/Ni的混合。此外，SrTiO3涂层抑制氧阴离子向外迁移，保护高活性表面，稳定电极-电解质界面，有效缓解严重的表面副反应。 Impressively, the NCM90-2TS achieves superior cycling stability with capacity retention remaining 96.3% at 4.5 V after 200 cycles.在1 C下包含石墨阳极的软包电池中，在30°C、3.0-4.2 V范围内循环500次后，容量保持率接近96.3%。为了提高富镍阴极的循环稳定性，所提出的集成涂层、掺杂和微观结构控制的协同策略为优化高能量密度锂离子电池系统提供了一条实用途径。</w:t>
      </w:r>
    </w:p>
    <w:p>
      <w:pPr>
        <w:spacing w:before="0" w:after="200" w:lineRule="auto" w:line="276"/>
      </w:pPr>
      <w:r>
        <w:rPr>
          <w:b/>
        </w:rPr>
        <w:t xml:space="preserve">Abstract (EN): </w:t>
      </w:r>
      <w:r>
        <w:t>Ni-rich layered oxides are a class of lithium-ion battery cathode materials with great application potential, but their structural instability during cycling can adversely affect the battery performance. Here, we report bulk-to-surface engineering of Ti/Sr gradient-doped and SrTiO3-coated LiNi0.9Co0.05Mn0.05O2 (NCM90-2TS) cathode materials to circumvent instability. The Ti/Sr gradient-doping reduces the Li+ diffusion barrier, alleviates stress-strain accumulation and interlayer slip, and suppresses Li/Ni mixing during long-term cycling. Furthermore, the SrTiO3 coating suppresses the outward migration of oxygen anions, protecting the highly active surface, stabilizing the electrode-electrolyte interface, and effectively mitigating severe surface side reactions. Impressively, the NCM90-2TS achieves superior cycling stability with capacity retention remaining 96.3% at 4.5 V after 200 cycles. In a pouch cell comprising graphite anodes at 1 C, the capacity retention is nearly 96.3% after 500 cycles at 30 °C within 3.0-4.2 V. To boost the cycling stability of Ni-rich cathodes, the proposed synergistic strategy integrating coating, doping, and microstructural control provides a practical route for optimizing high-energy-density lithium-ion battery systems.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76">
        <w:r>
          <w:rPr>
            <w:color w:val="1155CC"/>
            <w:u w:val="single"/>
          </w:rPr>
          <w:t>通过NiO/Ni-碳界面设计提高SnO 2 阳极的转换可逆性和初始库仑效率</w:t>
        </w:r>
      </w:hyperlink>
    </w:p>
    <w:p>
      <w:pPr>
        <w:spacing w:before="0" w:after="80"/>
      </w:pPr>
      <w:r>
        <w:rPr>
          <w:i/>
          <w:sz w:val="20"/>
        </w:rPr>
        <w:t>EN: Enhancing Conversion Reversibility and Initial Coulombic Efficiency of SnO 2 Anodes via NiO/Ni–Carbon Interfacial Design</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77">
        <w:r>
          <w:rPr>
            <w:color w:val="1155CC"/>
            <w:u w:val="single"/>
          </w:rPr>
          <w:t>10.1021/acsami.6c04859</w:t>
        </w:r>
      </w:hyperlink>
    </w:p>
    <w:p>
      <w:pPr>
        <w:spacing w:before="0" w:after="120"/>
      </w:pPr>
      <w:r>
        <w:rPr>
          <w:b/>
        </w:rPr>
        <w:t xml:space="preserve">Notes: </w:t>
      </w:r>
      <w:r>
        <w:t>abstract_source=pubmed</w:t>
      </w:r>
    </w:p>
    <w:p>
      <w:pPr>
        <w:spacing w:before="0" w:after="80" w:lineRule="auto" w:line="276"/>
      </w:pPr>
      <w:r>
        <w:rPr>
          <w:b/>
        </w:rPr>
        <w:t xml:space="preserve">摘要（ZH）: </w:t>
      </w:r>
      <w:r>
        <w:t>由不可逆转化反应和过量锂消耗引起的低初始库仑效率（ICE）仍然是 SnO2 基阳极面临的关键挑战。在这项工作中，我们通过金属有机框架（MOF）衍生策略合理构建了 SnO2-NiO/Ni-Carbon 复合材料，其中 SnO2 纳米粒子与嵌入导电碳基质中的 NiO/Ni 异相集成。丰富界面的架构能够协同调节转化/合金化反应和界面Li+存储，从而减少第一个循环中不可逆的Li消耗。受益于增强的界面相互作用，优化后的SnO2-NiO/Ni-Carbon电极的初始放电容量为1102 mAh g-1，初始充电容量为1035.1 mAh g-1，相当于93.9%的高ICE。此外，在0.2 A g-1下循环180次后，可逆容量仍保持在1184.5 mAh g-1，这表明结构稳定性增强。电压分辨电化学分析表明，NiO/Ni 异质界面有助于稳定 SnO2 的转化反应并调整早期相间演化。密度泛函理论（DFT）计算进一步揭示了 SnO2-NiO/Ni 界面结构（作为比较描述符）增强的 Li 吸附亲和力，支持了实验观察。此外，由SnO2-NiO/Ni-Carbon阳极和活性炭阴极组装的锂离子电容器在220 W kg-1的功率密度下表现出183.9 Wh kg-1的能量密度。这项工作突出了</w:t>
      </w:r>
    </w:p>
    <w:p>
      <w:pPr>
        <w:spacing w:before="0" w:after="200" w:lineRule="auto" w:line="276"/>
      </w:pPr>
      <w:r>
        <w:rPr>
          <w:b/>
        </w:rPr>
        <w:t xml:space="preserve">Abstract (EN): </w:t>
      </w:r>
      <w:r>
        <w:t>Low initial Coulombic efficiency (ICE), caused by irreversible conversion reactions and excessive lithium consumption, remains a critical challenge for SnO2-based anodes. In this work, we rationally construct a SnO2-NiO/Ni-Carbon composite via a metal-organic framework (MOF)-derived strategy, in which SnO2 nanoparticles are integrated with NiO/Ni heterophases embedded in a conductive carbon matrix. The interface-rich architecture enables synergistic regulation of conversion/alloying reactions and interfacial Li+ storage, thereby mitigating irreversible Li consumption in the first cycle. Benefiting from the strengthened interfacial interactions, the optimized SnO2-NiO/Ni-Carbon electrode delivers an initial discharge capacity of 1102 mAh g-1 and an initial charge capacity of 1035.1 mAh g-1, corresponding to a high ICE of 93.9%. In addition, a reversible capacity of 1184.5 mAh g-1 is maintained after 180 cycles at 0.2 A g-1, demonstrating enhanced structural stability. Voltage-resolved electrochemical analysis suggests that the NiO/Ni heterointerfaces contribute to stabilizing the conversion reactions of SnO2 and tailoring the early-stage interphase evolution. Density functional theory (DFT) calculations further reveal enhanced Li adsorption affinity at the SnO2-NiO/Ni interfacial configurations (as a comparative descriptor), supporting the experimental observations. Furthermore, a lithium-ion capacitor assembled with the SnO2-NiO/Ni-Carbon anode and activated carbon cathode exhibits an energy density of 183.9 Wh kg-1 at a power density of 220 W kg-1. This work highlights the critical role of multiphase interfacial engineering in simultaneously improving ICE and long-term cycling stability of SnO2-based anodes.</w:t>
      </w:r>
    </w:p>
    <w:p>
      <w:pPr>
        <w:spacing w:before="120" w:after="120"/>
      </w:pPr>
      <w:r>
        <w:rPr>
          <w:sz w:val="18"/>
        </w:rPr>
        <w:t>——————————————————————————————————————————————————————————————————————</w:t>
      </w:r>
    </w:p>
    <w:p>
      <w:pPr>
        <w:spacing w:before="160" w:after="40" w:line="240" w:lineRule="auto"/>
      </w:pPr>
      <w:r>
        <w:rPr>
          <w:b/>
        </w:rPr>
        <w:t xml:space="preserve">[2] </w:t>
      </w:r>
      <w:hyperlink r:id="rId78">
        <w:r>
          <w:rPr>
            <w:color w:val="1155CC"/>
            <w:u w:val="single"/>
          </w:rPr>
          <w:t>驾驭内亥姆霍兹平面反应为 500 Wh kg -1 软包电池提供坚固的锂金属阳极</w:t>
        </w:r>
      </w:hyperlink>
    </w:p>
    <w:p>
      <w:pPr>
        <w:spacing w:before="0" w:after="80"/>
      </w:pPr>
      <w:r>
        <w:rPr>
          <w:i/>
          <w:sz w:val="20"/>
        </w:rPr>
        <w:t>EN: Navigating Inner Helmholtz Plane Reactions Enables Robust Lithium Metal Anodes for 500 Wh kg -1 Pouch Cells</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79">
        <w:r>
          <w:rPr>
            <w:color w:val="1155CC"/>
            <w:u w:val="single"/>
          </w:rPr>
          <w:t>10.1021/jacs.6c09589</w:t>
        </w:r>
      </w:hyperlink>
    </w:p>
    <w:p>
      <w:pPr>
        <w:spacing w:before="0" w:after="120"/>
      </w:pPr>
      <w:r>
        <w:rPr>
          <w:b/>
        </w:rPr>
        <w:t xml:space="preserve">Notes: </w:t>
      </w:r>
      <w:r>
        <w:t>abstract_source=pubmed</w:t>
      </w:r>
    </w:p>
    <w:p>
      <w:pPr>
        <w:spacing w:before="0" w:after="80" w:lineRule="auto" w:line="276"/>
      </w:pPr>
      <w:r>
        <w:rPr>
          <w:b/>
        </w:rPr>
        <w:t xml:space="preserve">摘要（ZH）: </w:t>
      </w:r>
      <w:r>
        <w:t>由于内亥姆霍兹平面内的动态电势波动导致难以建立稳定的电极/电解质界面，因此稳定锂金属阳极仍然是一个主要挑战。在这里，我们提出了一种先占引导的界面调节策略，该策略将电场效应与界面还原过程解耦。具有末端 C-F 片段的希夫碱聚合物自发地在内部亥姆霍兹平面上建立优先的表面法向取向，从而定义了一个受关注且空间受限的界面环境，抑制溶剂进入锂表面。再加上氟化部分的吸电子效应，界面电子环境受到调节，有利于在锂金属上优先形成富LiF界面相。同时，未反应聚合物中丰富的F/N配位位点充当柔软的有机外层，加速锂离子的去溶剂化和扩散。受益于这些特性，经过微调的固体电解质中间相集成了化学稳定性、机械鲁棒性和高效的锂离子传输，使制造的 4.81 Ah 软包电池能够提供 502.43 Wh kg-1 的能量密度，并在 240 个循环后保持其初始容量的 90.06%。我们的研究结果表明，精确调节内亥姆霍兹平面内的化学环境可以有效抑制不受控制的电化学衍生的界面形成，为稳定的锂金属/电解质界面的合理设计铺平道路。</w:t>
      </w:r>
    </w:p>
    <w:p>
      <w:pPr>
        <w:spacing w:before="0" w:after="200" w:lineRule="auto" w:line="276"/>
      </w:pPr>
      <w:r>
        <w:rPr>
          <w:b/>
        </w:rPr>
        <w:t xml:space="preserve">Abstract (EN): </w:t>
      </w:r>
      <w:r>
        <w:t>Stabilizing Li metal anodes remains a central challenge due to the difficulty of establishing the stable electrode/electrolyte interface, arising from dynamic potential fluctuations within the inner Helmholtz plane. Here, we propose a preoccupancy-guided interfacial regulation strategy that decouples electric-field effects from interfacial reduction processes. A Schiff-base polymer with terminal C-F fragments spontaneously establishes a preferential surface-normal orientation across the inner Helmholtz plane, thereby defining a preoccupied and spatially confined interfacial environment that suppresses solvent access to the Li surface. Coupled with the electron-withdrawing effect of its fluorinated moieties, the interfacial electronic environment is modulated, facilitating the preferential formation of a LiF-rich interphase on Li metal. Meanwhile, the abundant F/N coordination sites in the unreacted polymer serve as a soft organic outer layer that accelerates Li-ion desolvation and diffusion. Benefiting from these features, the fine-tuned solid electrolyte interphase integrates chemical stability, mechanical robustness, and efficient Li-ion transport, enabling the fabricated 4.81 Ah pouch cell to deliver an energy density of 502.43 Wh kg-1 and maintain ∼90.06% of its initial capacity after 240 cycles. Our findings reveal that precise tuning of the chemical environment within the inner Helmholtz plane effectively suppresses uncontrolled electrochemical-derived interphase formation, paving the way toward the rational design of a stable Li metal/electrolyte interface.</w:t>
      </w:r>
    </w:p>
    <w:p>
      <w:pPr>
        <w:spacing w:before="120" w:after="120"/>
      </w:pPr>
      <w:r>
        <w:rPr>
          <w:sz w:val="18"/>
        </w:rPr>
        <w:t>——————————————————————————————————————————————————————————————————————</w:t>
      </w:r>
    </w:p>
    <w:p>
      <w:pPr>
        <w:spacing w:before="160" w:after="40" w:line="240" w:lineRule="auto"/>
      </w:pPr>
      <w:r>
        <w:rPr>
          <w:b/>
        </w:rPr>
        <w:t xml:space="preserve">[3] </w:t>
      </w:r>
      <w:hyperlink r:id="rId80">
        <w:r>
          <w:rPr>
            <w:color w:val="1155CC"/>
            <w:u w:val="single"/>
          </w:rPr>
          <w:t>多电子水性钒电池从插入切换到转换</w:t>
        </w:r>
      </w:hyperlink>
    </w:p>
    <w:p>
      <w:pPr>
        <w:spacing w:before="0" w:after="80"/>
      </w:pPr>
      <w:r>
        <w:rPr>
          <w:i/>
          <w:sz w:val="20"/>
        </w:rPr>
        <w:t>EN: Switching from insertion to conversion for multielectron aqueous vanadium batteries</w:t>
      </w:r>
    </w:p>
    <w:p>
      <w:pPr>
        <w:spacing w:before="0" w:after="120"/>
      </w:pPr>
      <w:r>
        <w:rPr>
          <w:b/>
        </w:rPr>
        <w:t xml:space="preserve">Source: </w:t>
      </w:r>
      <w:r>
        <w:t>Nature Materials</w:t>
      </w:r>
      <w:r>
        <w:t xml:space="preserve">    </w:t>
      </w:r>
      <w:r>
        <w:rPr>
          <w:b/>
        </w:rPr>
        <w:t xml:space="preserve">Pub date: </w:t>
      </w:r>
      <w:r>
        <w:t>2026-07-07 00:00:00+00:00</w:t>
      </w:r>
      <w:r>
        <w:t xml:space="preserve">    </w:t>
      </w:r>
      <w:r>
        <w:rPr>
          <w:b/>
        </w:rPr>
        <w:t xml:space="preserve">DOI: </w:t>
      </w:r>
      <w:hyperlink r:id="rId81">
        <w:r>
          <w:rPr>
            <w:color w:val="1155CC"/>
            <w:u w:val="single"/>
          </w:rPr>
          <w:t>10.1038/s41563-026-02666-8</w:t>
        </w:r>
      </w:hyperlink>
    </w:p>
    <w:p>
      <w:pPr>
        <w:spacing w:before="0" w:after="120"/>
      </w:pPr>
      <w:r>
        <w:rPr>
          <w:b/>
        </w:rPr>
        <w:t xml:space="preserve">Notes: </w:t>
      </w:r>
      <w:r>
        <w:t>abstract_source=nature_html</w:t>
      </w:r>
    </w:p>
    <w:p>
      <w:pPr>
        <w:spacing w:before="0" w:after="80" w:lineRule="auto" w:line="276"/>
      </w:pPr>
      <w:r>
        <w:rPr>
          <w:b/>
        </w:rPr>
        <w:t xml:space="preserve">摘要（ZH）: </w:t>
      </w:r>
      <w:r>
        <w:t>传统的钒化学物质受到离子插入机制固有的有限容量和近中性介质中适度的氧化还原电位的阻碍，限制了它们对高能水电池的适用性。在这里，我们展示了一种转换型钒氧化还原剂，它在水性电池的容量和潜力方面同时具有优越性。 OH−介导的化学活化促进V-O键断裂，从而驱动从单电子插入反应到四电子转换反应的转变。原位同步加速器表征证实，定制的介孔结构丰富了局部 OH−，促进 V2O3 和 Na3VO4 之间的可逆转化。该转换阳极具有 700 mAh g−1 的高比容量，钒利用率为 98%，与标准氢电极相比，氧化还原电位低至 -0.95 V，可逆循环超过 3,000 次。制造出碱性 Ni-V 电池，预计整个电池级能量密度高达 110 Wh kg−1。这项工作为调整反应途径铺平了道路，并为下一代水性电池的多电子氧化还原设计提供了见解。</w:t>
      </w:r>
    </w:p>
    <w:p>
      <w:pPr>
        <w:spacing w:before="0" w:after="200" w:lineRule="auto" w:line="276"/>
      </w:pPr>
      <w:r>
        <w:rPr>
          <w:b/>
        </w:rPr>
        <w:t xml:space="preserve">Abstract (EN): </w:t>
      </w:r>
      <w:r>
        <w:t>Conventional vanadium chemistries have been hindered by limited capacity inherent to the ion-insertion mechanism and modest redox potentials in near-neutral media, constraining their suitability for high-energy aqueous batteries. Here we demonstrate a conversion-type vanadium redox that delivers concomitant superiority in capacity and potential for aqueous batteries. OH−-mediated chemical activation promotes V–O bond cleavage, thereby driving a transition from the single-electron insertion reaction to the four-electron conversion reaction. As confirmed by in situ synchrotron characterizations, a tailored mesoporous architecture enriches local OH−, facilitating the reversible conversion between V2O3 and Na3VO4. The conversion anode delivers a high specific capacity of 700 mAh g−1 with 98% vanadium utilization, a low redox potential of −0.95 V versus standard hydrogen electrode and reversible cycling over 3,000 cycles. An alkaline Ni–V battery is fabricated, with a projected whole-battery-level energy density of up to 110 Wh kg−1. This work paves the way to tuning the reaction pathway and offers insights into multielectron redox design for next-generation aqueous batteries.</w:t>
      </w:r>
    </w:p>
    <w:p>
      <w:pPr>
        <w:spacing w:before="120" w:after="120"/>
      </w:pPr>
      <w:r>
        <w:rPr>
          <w:sz w:val="18"/>
        </w:rPr>
        <w:t>——————————————————————————————————————————————————————————————————————</w:t>
      </w:r>
    </w:p>
    <w:p>
      <w:pPr>
        <w:spacing w:before="160" w:after="40" w:line="240" w:lineRule="auto"/>
      </w:pPr>
      <w:r>
        <w:rPr>
          <w:b/>
        </w:rPr>
        <w:t xml:space="preserve">[4] </w:t>
      </w:r>
      <w:hyperlink r:id="rId82">
        <w:r>
          <w:rPr>
            <w:color w:val="1155CC"/>
            <w:u w:val="single"/>
          </w:rPr>
          <w:t>用于先进水性锌离子电池的二维导电金属有机框架中的连续 Zn2+-H+ 存储</w:t>
        </w:r>
      </w:hyperlink>
    </w:p>
    <w:p>
      <w:pPr>
        <w:spacing w:before="0" w:after="80"/>
      </w:pPr>
      <w:r>
        <w:rPr>
          <w:i/>
          <w:sz w:val="20"/>
        </w:rPr>
        <w:t>EN: Sequential Zn2+-H+ storage in a 2D conductive metal-organic framework for advanced aqueous zinc-ion battery</w:t>
      </w:r>
    </w:p>
    <w:p>
      <w:pPr>
        <w:spacing w:before="0" w:after="120"/>
      </w:pPr>
      <w:r>
        <w:rPr>
          <w:b/>
        </w:rPr>
        <w:t xml:space="preserve">Source: </w:t>
      </w:r>
      <w:r>
        <w:t>Chem</w:t>
      </w:r>
      <w:r>
        <w:t xml:space="preserve">    </w:t>
      </w:r>
      <w:r>
        <w:rPr>
          <w:b/>
        </w:rPr>
        <w:t xml:space="preserve">Pub date: </w:t>
      </w:r>
      <w:r>
        <w:t>2026-07-07 00:00:00+00:00</w:t>
      </w:r>
      <w:r>
        <w:t xml:space="preserve">    </w:t>
      </w:r>
      <w:r>
        <w:rPr>
          <w:b/>
        </w:rPr>
        <w:t xml:space="preserve">DOI: </w:t>
      </w:r>
      <w:hyperlink r:id="rId83">
        <w:r>
          <w:rPr>
            <w:color w:val="1155CC"/>
            <w:u w:val="single"/>
          </w:rPr>
          <w:t>10.1016/j.chempr.2026.103129</w:t>
        </w:r>
      </w:hyperlink>
    </w:p>
    <w:p>
      <w:pPr>
        <w:spacing w:before="0" w:after="120"/>
      </w:pPr>
      <w:r>
        <w:rPr>
          <w:b/>
        </w:rPr>
        <w:t xml:space="preserve">Notes: </w:t>
      </w:r>
      <w:r>
        <w:t>abstract_source=rss_cell</w:t>
      </w:r>
    </w:p>
    <w:p>
      <w:pPr>
        <w:spacing w:before="0" w:after="80" w:lineRule="auto" w:line="276"/>
      </w:pPr>
      <w:r>
        <w:rPr>
          <w:b/>
        </w:rPr>
        <w:t xml:space="preserve">摘要（ZH）: </w:t>
      </w:r>
      <w:r>
        <w:t>导电 2D MOF Cu3(HHTATP)2 通过实现电压分离的连续 Zn2+ 和 H+ 存储来解决酸性水性锌离子电池中 H+ 引起的副反应。其多位点氧化还原化学，包括侧胺上可逆的 H+ 介导的胺/亚胺转化，可抑制 LDH 相关干扰，同时提供高容量、快速离子扩散和出色的倍率性能。</w:t>
      </w:r>
    </w:p>
    <w:p>
      <w:pPr>
        <w:spacing w:before="0" w:after="200" w:lineRule="auto" w:line="276"/>
      </w:pPr>
      <w:r>
        <w:rPr>
          <w:b/>
        </w:rPr>
        <w:t xml:space="preserve">Abstract (EN): </w:t>
      </w:r>
      <w:r>
        <w:t>The conductive 2D MOF Cu3(HHTATP)2 addresses H+-induced side reactions in acidic aqueous zinc-ion batteries by enabling voltage-separated sequential Zn2+ and H+ storage. Its multi-site redox chemistry, including reversible H+-mediated amine/imine conversion at pendant amines, suppresses LDH-related interference while affording high capacity, rapid ion diffusion, and excellent rate capability.</w:t>
      </w:r>
    </w:p>
    <w:p>
      <w:pPr>
        <w:spacing w:before="120" w:after="120"/>
      </w:pPr>
      <w:r>
        <w:rPr>
          <w:sz w:val="18"/>
        </w:rPr>
        <w:t>——————————————————————————————————————————————————————————————————————</w:t>
      </w:r>
    </w:p>
    <w:p>
      <w:pPr>
        <w:spacing w:before="160" w:after="40" w:line="240" w:lineRule="auto"/>
      </w:pPr>
      <w:r>
        <w:rPr>
          <w:b/>
        </w:rPr>
        <w:t xml:space="preserve">[5] </w:t>
      </w:r>
      <w:hyperlink r:id="rId84">
        <w:r>
          <w:rPr>
            <w:color w:val="1155CC"/>
            <w:u w:val="single"/>
          </w:rPr>
          <w:t>通过双诱导晶格顺应性解锁 TiNb 2 O 7 中快速稳定的锂嵌入</w:t>
        </w:r>
      </w:hyperlink>
    </w:p>
    <w:p>
      <w:pPr>
        <w:spacing w:before="0" w:after="80"/>
      </w:pPr>
      <w:r>
        <w:rPr>
          <w:i/>
          <w:sz w:val="20"/>
        </w:rPr>
        <w:t>EN: Unlocking Fast and Stable Lithium Insertion in TiNb 2 O 7 via Bi-Induced Lattice Compliance</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85">
        <w:r>
          <w:rPr>
            <w:color w:val="1155CC"/>
            <w:u w:val="single"/>
          </w:rPr>
          <w:t>10.1021/acsami.6c06688</w:t>
        </w:r>
      </w:hyperlink>
    </w:p>
    <w:p>
      <w:pPr>
        <w:spacing w:before="0" w:after="120"/>
      </w:pPr>
      <w:r>
        <w:rPr>
          <w:b/>
        </w:rPr>
        <w:t xml:space="preserve">Notes: </w:t>
      </w:r>
      <w:r>
        <w:t>abstract_source=pubmed</w:t>
      </w:r>
    </w:p>
    <w:p>
      <w:pPr>
        <w:spacing w:before="0" w:after="80" w:lineRule="auto" w:line="276"/>
      </w:pPr>
      <w:r>
        <w:rPr>
          <w:b/>
        </w:rPr>
        <w:t xml:space="preserve">摘要（ZH）: </w:t>
      </w:r>
      <w:r>
        <w:t>TiNb2O7（TNO）由于其高理论容量和本质安全的工作潜力，是一种有前途的下一代安全锂离子电池负极材料。然而，其实际应用受到锂嵌入过程中与协同晶格畸变相关的能量成本的影响，难以同时实现高倍率性能和结构稳定性。在此，我们证明 Bi 掺杂通过在电子水平上调节局部金属-氧键合，使 TNO 中的晶格响应更具适应性。 Bi3+ 易于变形的电子云有利于电化学扰动下的自适应电荷重新分布，从而降低 Ti/Nb-O 键合环境的刚性，同时保持结构完整性。这降低了锂化过程中与协同八面体重排相关的变形能量成本，并实现了应变调节插入过程，这一点得到了原位 X 射线衍射和加速反应动力学观察到的高度可逆晶格演化的支持。因此，Bi0.02-TNO在0.2C下提供了270 mAh g-1的高比容量，在30C的超高倍率下保留了145 mAh g-1，并在10C下1250次循环后保持130 mAh g-1（80％保留，每循环0.016％衰减）。这项工作建立了电子结构介导的晶格响应调制作为协调晶体剪切氧化物阳极的速率能力和结构稳定性的可行设计原则。</w:t>
      </w:r>
    </w:p>
    <w:p>
      <w:pPr>
        <w:spacing w:before="0" w:after="200" w:lineRule="auto" w:line="276"/>
      </w:pPr>
      <w:r>
        <w:rPr>
          <w:b/>
        </w:rPr>
        <w:t xml:space="preserve">Abstract (EN): </w:t>
      </w:r>
      <w:r>
        <w:t>TiNb2O7 (TNO) is a promising anode material for next-generation safe lithium-ion batteries owing to its high theoretical capacity and intrinsically safe operating potential. However, its practical application is limited by the difficulty in simultaneously achieving high-rate capability and structural stability, arising from the energetic cost associated with cooperative lattice distortion during lithium insertion. Herein, we demonstrate that Bi doping enables a more adaptable lattice response in TNO by modulating local metal-oxygen bonding at the electronic level. The readily deformable electron cloud of Bi3+ facilitates adaptive charge redistribution under electrochemical perturbation, thereby lowering the rigidity of Ti/Nb-O bonding environments while preserving structural integrity. This reduces the deformation energy cost associated with cooperative octahedral rearrangement during lithiation and enables a strain-accommodating insertion process, as supported by highly reversible lattice evolution observed by in situ X-ray diffraction and accelerated reaction kinetics. As a result, the Bi0.02-TNO delivers a high specific capacity of 270 mAh g-1 at 0.2C, retains 145 mAh g-1 at an ultrahigh rate of 30C, and maintains 130 mAh g-1 (80% retention, 0.016% per-cycle decay) after 1250 cycles at 10C. This work established electronic-structure-mediated lattice response modulation as a viable design principle for reconciling rate capability and structural stability in crystallographic shear oxide anodes.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6">
        <w:r>
          <w:rPr>
            <w:color w:val="1155CC"/>
            <w:u w:val="single"/>
          </w:rPr>
          <w:t>破译 Cl - 和 Br - 的卤化物化学以增强 Mg 电镀/剥离动力学</w:t>
        </w:r>
      </w:hyperlink>
    </w:p>
    <w:p>
      <w:pPr>
        <w:spacing w:before="0" w:after="80"/>
      </w:pPr>
      <w:r>
        <w:rPr>
          <w:i/>
          <w:sz w:val="20"/>
        </w:rPr>
        <w:t>EN: Deciphering the Halide Chemistry of Cl – and Br – in Enhancing Kinetics of Mg Plating/Stripping</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87">
        <w:r>
          <w:rPr>
            <w:color w:val="1155CC"/>
            <w:u w:val="single"/>
          </w:rPr>
          <w:t>10.1021/jacs.6c05735</w:t>
        </w:r>
      </w:hyperlink>
    </w:p>
    <w:p>
      <w:pPr>
        <w:spacing w:before="0" w:after="120"/>
      </w:pPr>
      <w:r>
        <w:rPr>
          <w:b/>
        </w:rPr>
        <w:t xml:space="preserve">Notes: </w:t>
      </w:r>
      <w:r>
        <w:t>abstract_source=pubmed</w:t>
      </w:r>
    </w:p>
    <w:p>
      <w:pPr>
        <w:spacing w:before="0" w:after="80" w:lineRule="auto" w:line="276"/>
      </w:pPr>
      <w:r>
        <w:rPr>
          <w:b/>
        </w:rPr>
        <w:t xml:space="preserve">摘要（ZH）: </w:t>
      </w:r>
      <w:r>
        <w:t>在有前景的可充电镁电池（RMB）中，虽然经验性地将Cl-添加到硼基电解质中可以优化Mg2+溶剂化结构和去溶剂化过程，但比较卤化物阴离子研究的缺乏阻碍了用于电解质设计的系统卤化物化学理论的发展。 Br- 具有与 Cl- 相当的中等溶解度和质量效率，优于 F- 和 I-，将其定位为解耦卤化物特性对反应动力学影响的理想平台，从而弥合了基本机理见解的关键差距。在此，利用苯基氟硼酸镁复合物（MPFBC）电解质，我们系统地合成了 MPFBC-Cl、MPFBC-Br 和对照电解质，以阐明 Cl- 和 Br- 如何影响从本体电解质到界面的 Mg 电镀/剥离动力学。具体而言，与 Cl- 相比，Br- 的电荷密度较低，离子半径较大，削弱了与 Mg2+ 的库仑相互作用，从而促进离子簇解离并提高体电导率。 Br-相对于Cl-具有更高的极化性和化学柔软性，驱动Mg界面处更强的特异性吸附，从而重建内亥姆霍兹平面并降低成核过电势。此外，Br- 促进 SEI 中 Mg-Br 物质的形成，从而加速 Mg2+ 穿过界面的传输。受益于多尺度修饰，Mg|MPFBC-Br|Mg 电池表现出改善的 Mg 电镀/剥离动力学，其证据是低过电势 (&lt;220 mV) 和在 1.0 mA cm-2 下稳定循环 1000 小时，</w:t>
      </w:r>
    </w:p>
    <w:p>
      <w:pPr>
        <w:spacing w:before="0" w:after="200" w:lineRule="auto" w:line="276"/>
      </w:pPr>
      <w:r>
        <w:rPr>
          <w:b/>
        </w:rPr>
        <w:t xml:space="preserve">Abstract (EN): </w:t>
      </w:r>
      <w:r>
        <w:t>In promising rechargeable magnesium batteries (RMBs), while empirical Cl- addition to boron-based electrolytes optimizes Mg2+ solvation structure and desolvation process, the scarcity of comparative halide anion studies has hindered the development of a systematic halide chemistry theory for electrolyte design. Br- offers moderate solubility and mass efficiency comparable to Cl-, superior to F- and I-, positioning it as an ideal platform to decouple the effects of halide identity on reaction kinetics, bridging a critical gap in fundamental mechanistic insights. Herein, leveraging the magnesium phenyl fluoroborate complex (MPFBC) electrolyte, we systematically synthesize MPFBC-Cl, MPFBC-Br, and the control electrolytes to elucidate how Cl- and Br- influence Mg plating/stripping kinetics from the bulk electrolyte to the interface. Specifically, the lower charge density and larger ionic radius of Br- compared with Cl- weaken Coulombic interactions with Mg2+, thereby facilitating ionic cluster dissociation and boosting bulk conductivity. The higher polarizability and chemical softness of Br- relative to Cl- drive stronger specific adsorption at the Mg interface, thereby reconstructing the inner Helmholtz plane and reducing the nucleation overpotential. Furthermore, Br- promotes the formation of Mg-Br species in the SEI, which accelerates Mg2+ transport across the interface. Benefiting from multiscale modification, the Mg|MPFBC-Br|Mg cell demonstrates improved Mg plating/stripping kinetics, evidenced by a low overpotential (&lt;220 mV) and stable cycling for 1000 h at 1.0 mA cm-2, outperforming MPFBC-Cl and most conventional electrolyte systems. This study unveils the halide chemistry of Br- in accelerating Mg plating/stripping kinetics, offering critical insights toward the rational electrolyte design for next-generation RMBs.</w:t>
      </w:r>
    </w:p>
    <w:p>
      <w:pPr>
        <w:spacing w:before="120" w:after="120"/>
      </w:pPr>
      <w:r>
        <w:rPr>
          <w:sz w:val="18"/>
        </w:rPr>
        <w:t>——————————————————————————————————————————————————————————————————————</w:t>
      </w:r>
    </w:p>
    <w:p>
      <w:pPr>
        <w:spacing w:before="160" w:after="40" w:line="240" w:lineRule="auto"/>
      </w:pPr>
      <w:r>
        <w:rPr>
          <w:b/>
        </w:rPr>
        <w:t xml:space="preserve">[2] </w:t>
      </w:r>
      <w:hyperlink r:id="rId88">
        <w:r>
          <w:rPr>
            <w:color w:val="1155CC"/>
            <w:u w:val="single"/>
          </w:rPr>
          <w:t>基于支柱[5]芳烃的自组装有机纳米片：专为卓越的机械强度和离子电导率而设计</w:t>
        </w:r>
      </w:hyperlink>
    </w:p>
    <w:p>
      <w:pPr>
        <w:spacing w:before="0" w:after="80"/>
      </w:pPr>
      <w:r>
        <w:rPr>
          <w:i/>
          <w:sz w:val="20"/>
        </w:rPr>
        <w:t>EN: Pillar[5]arene-Based Self-Assembled Organic Nanosheets: Engineered for Superior Mechanical Strength and Ion Conductivity</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89">
        <w:r>
          <w:rPr>
            <w:color w:val="1155CC"/>
            <w:u w:val="single"/>
          </w:rPr>
          <w:t>10.1021/acsami.6c07160</w:t>
        </w:r>
      </w:hyperlink>
    </w:p>
    <w:p>
      <w:pPr>
        <w:spacing w:before="0" w:after="120"/>
      </w:pPr>
      <w:r>
        <w:rPr>
          <w:b/>
        </w:rPr>
        <w:t xml:space="preserve">Notes: </w:t>
      </w:r>
      <w:r>
        <w:t>abstract_source=pubmed</w:t>
      </w:r>
    </w:p>
    <w:p>
      <w:pPr>
        <w:spacing w:before="0" w:after="80" w:lineRule="auto" w:line="276"/>
      </w:pPr>
      <w:r>
        <w:rPr>
          <w:b/>
        </w:rPr>
        <w:t xml:space="preserve">摘要（ZH）: </w:t>
      </w:r>
      <w:r>
        <w:t>广泛使用的固态导体设计遇到了离子电导率和机械强度之间的折衷。在这里，提出了一种超分子方法来解决这个问题，利用三种可溶液加工的基于柱芳烃的自组装有机纳米片（SON）。由两种不同聚合物的 SON 获得的六种复合薄膜的机械和离子传导性能的功效与氢键位点的数量、-H·π相互作用和亲水性有关。研究表明，增加氢键位点和亲水性对于实现最高水平的韧性 (66,328 ± 424 kJ/m3) 至关重要，而增加疏水性和减少氢键位点对于优化杨氏模量 (659.1 ± 22 MPa) 至关重要。 Li、Na 和 K 离子的电导率分析表明，氢键位点、亲水性和薄膜的柔性对于实现 7.1 × 10-3 S cm-1 的最高 K 离子电导率以及 298 K 时的最大传输数 0.86 至关重要。计算研究阐明了稳定能、径向分布函数图的性质以及随时间推移的传播距离，最终确定了三种离子、柱芳烃衍生物和两种离子之间的趋势。聚合物。这项研究阐明了柱芳烃的超分子设计策略，旨在开发适用于储能设备的可拉伸离子导体。</w:t>
      </w:r>
    </w:p>
    <w:p>
      <w:pPr>
        <w:spacing w:before="0" w:after="200" w:lineRule="auto" w:line="276"/>
      </w:pPr>
      <w:r>
        <w:rPr>
          <w:b/>
        </w:rPr>
        <w:t xml:space="preserve">Abstract (EN): </w:t>
      </w:r>
      <w:r>
        <w:t>The widely utilized design of solid-state conductors encounters a compromise between ion conductivity and mechanical strength. Here, a supramolecular approach is proposed for addressing this issue, utilizing three solution-processable pillararene-based self-assembled organic nanosheets (SONs). The efficacy of the mechanical and ion-conducting properties of the six composite films obtained from SONs with two different polymers are linked to the number of H-bonding sites, -H···π interactions and hydrophilicity. The study demonstrates that augmentation of H-bonding sites and hydrophilicity is essential in achieving the highest level of toughness (66,328 ± 424 kJ/m3), while increasing hydrophobicity and decreasing H-bonding sites are critical for optimizing the Young's modulus (659.1 ± 22 MPa). The conductivity analysis of Li, Na, and K ions indicated that H-bonding sites, hydrophilicity, and the films' flexibility are crucial for achieving the highest K-ion conductivity of 7.1 × 10-3 S cm-1, along with a maximum transport number of 0.86 at 298 K. The computational studies elucidate the stabilization energy, the nature of the radial distribution function plot, and the distance traveled over time, ultimately determining trends among three ions, pillararene derivatives, and two polymers. This study articulates a supramolecular design strategy for pillararene aimed at developing stretchable ion conductors suitable for energy storage devices.</w:t>
      </w:r>
    </w:p>
    <w:p>
      <w:pPr>
        <w:spacing w:before="120" w:after="120"/>
      </w:pPr>
      <w:r>
        <w:rPr>
          <w:sz w:val="18"/>
        </w:rPr>
        <w:t>——————————————————————————————————————————————————————————————————————</w:t>
      </w:r>
    </w:p>
    <w:p>
      <w:pPr>
        <w:spacing w:before="160" w:after="40" w:line="240" w:lineRule="auto"/>
      </w:pPr>
      <w:r>
        <w:rPr>
          <w:b/>
        </w:rPr>
        <w:t xml:space="preserve">[3] </w:t>
      </w:r>
      <w:hyperlink r:id="rId90">
        <w:r>
          <w:rPr>
            <w:color w:val="1155CC"/>
            <w:u w:val="single"/>
          </w:rPr>
          <w:t>通过电解质添加剂实现电极-电解质界面和氟化氢消除，增强高性能 LRO/Li 电池</w:t>
        </w:r>
      </w:hyperlink>
    </w:p>
    <w:p>
      <w:pPr>
        <w:spacing w:before="0" w:after="80"/>
      </w:pPr>
      <w:r>
        <w:rPr>
          <w:i/>
          <w:sz w:val="20"/>
        </w:rPr>
        <w:t>EN: Electrode–Electrolyte Interfaces and Hydrogen Fluoride Elimination Achieved by Electrolyte Additive Boost High-Performance LRO/Li Cells</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91">
        <w:r>
          <w:rPr>
            <w:color w:val="1155CC"/>
            <w:u w:val="single"/>
          </w:rPr>
          <w:t>10.1021/acsami.6c05944</w:t>
        </w:r>
      </w:hyperlink>
    </w:p>
    <w:p>
      <w:pPr>
        <w:spacing w:before="0" w:after="120"/>
      </w:pPr>
      <w:r>
        <w:rPr>
          <w:b/>
        </w:rPr>
        <w:t xml:space="preserve">Notes: </w:t>
      </w:r>
      <w:r>
        <w:t>abstract_source=pubmed</w:t>
      </w:r>
    </w:p>
    <w:p>
      <w:pPr>
        <w:spacing w:before="0" w:after="80" w:lineRule="auto" w:line="276"/>
      </w:pPr>
      <w:r>
        <w:rPr>
          <w:b/>
        </w:rPr>
        <w:t xml:space="preserve">摘要（ZH）: </w:t>
      </w:r>
      <w:r>
        <w:t>在本文中，提出了一种多功能电解液添加剂三（二甲基硅氧基）苯基硅烷（TDSPS）来提高4.8 V富锂氧化物（LRO）/锂电池的电化学循环性能。电化学文本表明，加入 1 vol% TDSPS 可提高 LRO/Li 电池在 25 °C 下的容量保持率。具体而言，采用含有 1 vol% TDSPS 的电解质的电池在 25 °C（0.5 C，1 C = 250 mAh g-1）下循环 200 次后表现出 81.6% 的优异容量保持率，而采用基线电解质的电池仅保留了 34.3%。系统的理论计​​算和全面的材料表征阐明了TDSPS通过三个主要机制发挥作用：（1）TDSPS在阴极表面发生优先氧化，促进高稳定性保护层的形成； (2)TDSPS优先在锂金属负极表面还原，有效抑制锂枝晶的生长； (3)TDSPS具有中和和消除有害氢氟酸(HF)的能力，从而减轻电解质降解并增强电池稳定性。</w:t>
      </w:r>
    </w:p>
    <w:p>
      <w:pPr>
        <w:spacing w:before="0" w:after="200" w:lineRule="auto" w:line="276"/>
      </w:pPr>
      <w:r>
        <w:rPr>
          <w:b/>
        </w:rPr>
        <w:t xml:space="preserve">Abstract (EN): </w:t>
      </w:r>
      <w:r>
        <w:t>In this article, a multifunctional electrolyte additive, tris(dimethylsiloxy)phenylsilane (TDSPS), is proposed to improve the electrochemical cyclability of 4.8 V lithium-rich oxide (LRO)/Li cells. Electrochemical texts demonstrate that the incorporation of 1 vol % TDSPS improves the capacity retention of LRO/Li cells at 25 °C. Specifically, the cell with the electrolyte containing 1 vol % TDSPS exhibits excellent capacity retention of 81.6% after 200 cycles at 25 °C (0.5 C, 1 C = 250 mAh g-1), while the cell with the baseline electrolyte retains only 34.3%. Systematic theoretical calculations and comprehensive material characterizations elucidate that TDSPS opearates through three primary mechanisms: (1)TDSPS undergoes preferential oxidation on the cathode surface, facilitating the formation of a high-stability protective layer; (2)TDSPS is preferentially reduced on the lithium metal anode surface, effectively inhibiting the growth of lithium dendrites; (3)TDSPS possesses the ability to neutralize and eliminate hazardous hydrofluoric acid (HF), thereby mitigating electrolyte degradation and enhancing cell stability.</w:t>
      </w:r>
    </w:p>
    <w:p>
      <w:pPr>
        <w:spacing w:before="120" w:after="120"/>
      </w:pPr>
      <w:r>
        <w:rPr>
          <w:sz w:val="18"/>
        </w:rPr>
        <w:t>——————————————————————————————————————————————————————————————————————</w:t>
      </w:r>
    </w:p>
    <w:p>
      <w:pPr>
        <w:spacing w:before="160" w:after="40" w:line="240" w:lineRule="auto"/>
      </w:pPr>
      <w:r>
        <w:rPr>
          <w:b/>
        </w:rPr>
        <w:t xml:space="preserve">[4] </w:t>
      </w:r>
      <w:hyperlink r:id="rId92">
        <w:r>
          <w:rPr>
            <w:color w:val="1155CC"/>
            <w:u w:val="single"/>
          </w:rPr>
          <w:t>带电晶界限制石榴石固态电池电解质的短路耐受性</w:t>
        </w:r>
      </w:hyperlink>
    </w:p>
    <w:p>
      <w:pPr>
        <w:spacing w:before="0" w:after="80"/>
      </w:pPr>
      <w:r>
        <w:rPr>
          <w:i/>
          <w:sz w:val="20"/>
        </w:rPr>
        <w:t>EN: Charged grain boundaries limit short-circuit endurance in garnet solid-state battery electrolytes</w:t>
      </w:r>
    </w:p>
    <w:p>
      <w:pPr>
        <w:spacing w:before="0" w:after="120"/>
      </w:pPr>
      <w:r>
        <w:rPr>
          <w:b/>
        </w:rPr>
        <w:t xml:space="preserve">Source: </w:t>
      </w:r>
      <w:r>
        <w:t>Nature Nanotechnology</w:t>
      </w:r>
      <w:r>
        <w:t xml:space="preserve">    </w:t>
      </w:r>
      <w:r>
        <w:rPr>
          <w:b/>
        </w:rPr>
        <w:t xml:space="preserve">Pub date: </w:t>
      </w:r>
      <w:r>
        <w:t>2026-07-06 00:00:00+00:00</w:t>
      </w:r>
      <w:r>
        <w:t xml:space="preserve">    </w:t>
      </w:r>
      <w:r>
        <w:rPr>
          <w:b/>
        </w:rPr>
        <w:t xml:space="preserve">DOI: </w:t>
      </w:r>
      <w:hyperlink r:id="rId93">
        <w:r>
          <w:rPr>
            <w:color w:val="1155CC"/>
            <w:u w:val="single"/>
          </w:rPr>
          <w:t>10.1038/s41565-026-02206-0</w:t>
        </w:r>
      </w:hyperlink>
    </w:p>
    <w:p>
      <w:pPr>
        <w:spacing w:before="0" w:after="120"/>
      </w:pPr>
      <w:r>
        <w:rPr>
          <w:b/>
        </w:rPr>
        <w:t xml:space="preserve">Notes: </w:t>
      </w:r>
      <w:r>
        <w:t>abstract_source=nature_html</w:t>
      </w:r>
    </w:p>
    <w:p>
      <w:pPr>
        <w:spacing w:before="0" w:after="80" w:lineRule="auto" w:line="276"/>
      </w:pPr>
      <w:r>
        <w:rPr>
          <w:b/>
        </w:rPr>
        <w:t xml:space="preserve">摘要（ZH）: </w:t>
      </w:r>
      <w:r>
        <w:t>锆酸锂镧固态电解质中的晶界具有较高的电子传导性，并且在电池的恒电流循环过程中充当电隔离的锂金属成核的优先位点。然而，局部电子电导率变化的根源仍未解决。在这里，我们发现锆酸锂镧晶界携带离子内置电荷，锂空位在界面处积聚，产生局部电势（20°C 时为-0.15 V）。这种电势改变了晶界附近的载流子分布，阻碍了离子传输，并将电子传导能力提高了 30 倍。这种不平衡会在电池运行期间引发内部锂金属成核，并加速短路故障。为了减轻电荷积聚，我们建议调整加工氧活性和掺杂剂化学计量，精确调整原子级化学和界面电位。这些修改使离子传输均匀化并减少电子泄漏，使固有临界电流密度达到 1 mA cm−2。我们的研究结果揭示了局部缺陷景观如何塑造电荷传输，并为纳米级无机固态电解质的化学引导优化提供了途径。</w:t>
      </w:r>
    </w:p>
    <w:p>
      <w:pPr>
        <w:spacing w:before="0" w:after="200" w:lineRule="auto" w:line="276"/>
      </w:pPr>
      <w:r>
        <w:rPr>
          <w:b/>
        </w:rPr>
        <w:t xml:space="preserve">Abstract (EN): </w:t>
      </w:r>
      <w:r>
        <w:t>Grain boundaries in lithium lanthanum zirconate solid-state electrolytes feature elevated electronic conduction and act as preferential sites for the nucleation of electrically isolated lithium metal during galvanostatic cycling in battery cells. However, the origin of local electronic conductivity variations remains unresolved. Here we show that lithium lanthanum zirconate grain boundaries carry ionic built-in charge, with lithium vacancies accumulating at the interface generating localized electric potentials (−0.15 V at 20 °C). This potential alters carrier distributions near the grain boundary, impeding ionic transport and increasing electronic conduction by a factor of 30 compared with bulk. This imbalance initiates internal lithium metal nucleation during cell operation and accelerates short-circuit failure. To mitigate charge build-up, we propose tailoring the processing oxygen activity and dopant stoichiometry, precisely tuning atomic-scale chemistry and interfacial potential. These modifications homogenize ionic transport and reduce electronic leakage, enabling the intrinsic critical current density to 1 mA cm−2. Our findings uncover how local defect landscapes shape charge transport and provide a pathway for chemically guided optimization of inorganic solid-state electrolytes at the nanoscale.</w:t>
      </w:r>
    </w:p>
    <w:p>
      <w:pPr>
        <w:spacing w:before="120" w:after="120"/>
      </w:pPr>
      <w:r>
        <w:rPr>
          <w:sz w:val="18"/>
        </w:rPr>
        <w:t>——————————————————————————————————————————————————————————————————————</w:t>
      </w:r>
    </w:p>
    <w:p>
      <w:pPr>
        <w:spacing w:before="160" w:after="40" w:line="240" w:lineRule="auto"/>
      </w:pPr>
      <w:r>
        <w:rPr>
          <w:b/>
        </w:rPr>
        <w:t xml:space="preserve">[5] </w:t>
      </w:r>
      <w:hyperlink r:id="rId94">
        <w:r>
          <w:rPr>
            <w:color w:val="1155CC"/>
            <w:u w:val="single"/>
          </w:rPr>
          <w:t>高导电石榴石型 LLZTO 固体电解质的超快反应激光烧结</w:t>
        </w:r>
      </w:hyperlink>
    </w:p>
    <w:p>
      <w:pPr>
        <w:spacing w:before="0" w:after="80"/>
      </w:pPr>
      <w:r>
        <w:rPr>
          <w:i/>
          <w:sz w:val="20"/>
        </w:rPr>
        <w:t>EN: Ultrafast Reactive Laser Sintering of Highly Conductive Garnet-Type LLZTO Solid Electrolytes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95">
        <w:r>
          <w:rPr>
            <w:color w:val="1155CC"/>
            <w:u w:val="single"/>
          </w:rPr>
          <w:t>10.1021/acsami.6c05262</w:t>
        </w:r>
      </w:hyperlink>
    </w:p>
    <w:p>
      <w:pPr>
        <w:spacing w:before="0" w:after="120"/>
      </w:pPr>
      <w:r>
        <w:rPr>
          <w:b/>
        </w:rPr>
        <w:t xml:space="preserve">Notes: </w:t>
      </w:r>
      <w:r>
        <w:t>abstract_source=pubmed</w:t>
      </w:r>
    </w:p>
    <w:p>
      <w:pPr>
        <w:spacing w:before="0" w:after="80" w:lineRule="auto" w:line="276"/>
      </w:pPr>
      <w:r>
        <w:rPr>
          <w:b/>
        </w:rPr>
        <w:t xml:space="preserve">摘要（ZH）: </w:t>
      </w:r>
      <w:r>
        <w:t>石榴石型固体电解质的快速且可扩展的制造仍然是锂金属电池实际部署的主要挑战。在这里，我们报告反应激光烧结（RLS）作为一种超快且具有潜在可扩展性的策略，用于制造石榴石型Li6.4La3Zr1.4Ta0.6O12（LLZTO）固体电解质。 LLZTO 的 RLS 能够同时进行反应和致密化，实现约 95% 的相对密度，同时最大限度地减少锂损失并抑制二次相形成。与传统的炉烧结相比，RLS 促进了晶粒生长的增强和致密化的提高，从而提高了离子电导率 (0.36 ± 0.08 mS cm-1)，同时保持了相当的 Li+ 传输活化能。 X 射线衍射 (XRD)、拉曼光谱和固态 6Li/7Li NMR 的结构表征证实了具有均匀微尺度元素分布的立方石榴石 LLZTO 的形成。此外，纳米压痕测量表明，尽管进行超快局部热处理，RLS 仍保留了石榴石骨架的机械性能。通过将同时反应和致密化与可调微观结构控制相结合，反应激光烧结为高性能石榴石固体电解质和下一代固态电池提供了一条有前途的制造途径。</w:t>
      </w:r>
    </w:p>
    <w:p>
      <w:pPr>
        <w:spacing w:before="0" w:after="200" w:lineRule="auto" w:line="276"/>
      </w:pPr>
      <w:r>
        <w:rPr>
          <w:b/>
        </w:rPr>
        <w:t xml:space="preserve">Abstract (EN): </w:t>
      </w:r>
      <w:r>
        <w:t>Rapid and scalable fabrication of garnet-type solid electrolytes remains a major challenge for the practical deployment of lithium metal batteries. Here, we report reactive laser sintering (RLS) as an ultrafast and potentially scalable strategy for fabricating garnet-type Li6.4La3Zr1.4Ta0.6O12 (LLZTO) solid electrolytes. RLS of LLZTO enables simultaneous reaction and densification, achieving ∼95% relative density while minimizing lithium loss and suppressing secondary phase formation. Compared to conventional furnace sintering, RLS promotes enhanced grain growth and improved densification, leading to improved ionic conductivity (0.36 ± 0.08 mS cm-1) while maintaining comparable activation energies for Li+ transport. Structural characterization by X-ray diffraction (XRD), Raman spectroscopy, and solid-state 6Li/7Li NMR confirms the formation of cubic garnet LLZTO with homogeneous microscale elemental distribution. In addition, nanoindentation measurements demonstrate that RLS preserves the mechanical properties of the garnet framework despite ultrafast localized thermal processing. By integrating simultaneous reaction and densification with tunable microstructural control, reactive laser sintering provides a promising manufacturing pathway for high-performance garnet solid electrolytes toward next-generation solid-state batteries.</w:t>
      </w:r>
    </w:p>
    <w:p>
      <w:pPr>
        <w:spacing w:before="120" w:after="120"/>
      </w:pPr>
      <w:r>
        <w:rPr>
          <w:sz w:val="18"/>
        </w:rPr>
        <w:t>——————————————————————————————————————————————————————————————————————</w:t>
      </w:r>
    </w:p>
    <w:p>
      <w:pPr>
        <w:spacing w:before="160" w:after="40" w:line="240" w:lineRule="auto"/>
      </w:pPr>
      <w:r>
        <w:rPr>
          <w:b/>
        </w:rPr>
        <w:t xml:space="preserve">[6] </w:t>
      </w:r>
      <w:hyperlink r:id="rId96">
        <w:r>
          <w:rPr>
            <w:color w:val="1155CC"/>
            <w:u w:val="single"/>
          </w:rPr>
          <w:t>溶剂化化学的静电调节使安时级高能锂金属电池成为可能</w:t>
        </w:r>
      </w:hyperlink>
    </w:p>
    <w:p>
      <w:pPr>
        <w:spacing w:before="0" w:after="80"/>
      </w:pPr>
      <w:r>
        <w:rPr>
          <w:i/>
          <w:sz w:val="20"/>
        </w:rPr>
        <w:t>EN: Electrostatic regulation of solvation chemistry enables ampere-hour-scale high-energy lithium metal batteries</w:t>
      </w:r>
    </w:p>
    <w:p>
      <w:pPr>
        <w:spacing w:before="0" w:after="120"/>
      </w:pPr>
      <w:r>
        <w:rPr>
          <w:b/>
        </w:rPr>
        <w:t xml:space="preserve">Source: </w:t>
      </w:r>
      <w:r>
        <w:t>Nature Nanotechnology</w:t>
      </w:r>
      <w:r>
        <w:t xml:space="preserve">    </w:t>
      </w:r>
      <w:r>
        <w:rPr>
          <w:b/>
        </w:rPr>
        <w:t xml:space="preserve">Pub date: </w:t>
      </w:r>
      <w:r>
        <w:t>2026-07-07 00:00:00+00:00</w:t>
      </w:r>
      <w:r>
        <w:t xml:space="preserve">    </w:t>
      </w:r>
      <w:r>
        <w:rPr>
          <w:b/>
        </w:rPr>
        <w:t xml:space="preserve">DOI: </w:t>
      </w:r>
      <w:hyperlink r:id="rId97">
        <w:r>
          <w:rPr>
            <w:color w:val="1155CC"/>
            <w:u w:val="single"/>
          </w:rPr>
          <w:t>10.1038/s41565-026-02212-2</w:t>
        </w:r>
      </w:hyperlink>
    </w:p>
    <w:p>
      <w:pPr>
        <w:spacing w:before="0" w:after="120"/>
      </w:pPr>
      <w:r>
        <w:rPr>
          <w:b/>
        </w:rPr>
        <w:t xml:space="preserve">Notes: </w:t>
      </w:r>
      <w:r>
        <w:t>abstract_source=nature_html</w:t>
      </w:r>
    </w:p>
    <w:p>
      <w:pPr>
        <w:spacing w:before="0" w:after="80" w:lineRule="auto" w:line="276"/>
      </w:pPr>
      <w:r>
        <w:rPr>
          <w:b/>
        </w:rPr>
        <w:t xml:space="preserve">摘要（ZH）: </w:t>
      </w:r>
      <w:r>
        <w:t>要在锂金属电池中实现高比能量，需要合理的电解质设计以促进有效的界面形成。最先进的电解质设计策略存在缺陷，因为它们缺乏将溶剂特性与电解质特性联系起来的基本准则。在这里，我们解释了介质环境对溶剂化状态和阴离子还原的影响，并通过使用设计的极性指数定量探索各种溶剂类别，提出了介体增强电解质设计策略。溶剂介体方法通过分离的溶剂表面电荷产生纳米级分子间静电场，增强相互作用以更好地容纳溶剂化锂离子并降低阴离子的还原能垒。这些定制的介体增强电解质溶液 (MEE) 表现出稳定的溶剂化状态和充分的界面形成，从而实现稳健的界面化学并防止副反应。在 6-Ah Li ‖ LiNi0.8Co0.1Mn0.1O2 软包电池中使用 MEE 设计，在 21 mA g−1（基于电池的阴极质量）下的初始比能量为 508 Wh kg−1（基于电池的总质量），在 42 mA g−1 下经过 149 个循环后能量保留率为 93%。在 16-Ah 零锂过量 Cu ‖ LiNi0.90Mn0.05Co0.05O2 软包电池中，MEE 方法还可以在 23 mA g−1 电流下实现约 550 Wh kg−1 （基于电池总质量）的初始比能。</w:t>
      </w:r>
    </w:p>
    <w:p>
      <w:pPr>
        <w:spacing w:before="0" w:after="200" w:lineRule="auto" w:line="276"/>
      </w:pPr>
      <w:r>
        <w:rPr>
          <w:b/>
        </w:rPr>
        <w:t xml:space="preserve">Abstract (EN): </w:t>
      </w:r>
      <w:r>
        <w:t>Achieving high specific energy in lithium metal batteries requires rational electrolyte design to promote effective interphase formation. State-of-the-art electrolyte design strategies fall short because they lack fundamental guidelines that connect solvent characteristics with electrolyte properties. Here we explain the influence of the medium environment on solvation states and anion reduction, and propose a mediator-enhanced electrolyte design strategy by quantitatively exploring various solvent classes using designed polarity indices. The solvent mediator approach generates, at the nanoscale, intermolecular electrostatic fields through separated solvent surface charges, enhancing interactions to better accommodate solvated lithium ions and decreasing the reduction energy barrier for anions. These tailored mediator-enhanced electrolyte solutions (MEEs) exhibit stable solvation states and adequate interphase formation, enabling robust interfacial chemistries and preventing side reactions. Using the MEE design in a 6-Ah Li ‖ LiNi0.8Co0.1Mn0.1O2 pouch cell results in an initial specific energy of 508 Wh kg−1 (based on the cell’s total mass) at 21 mA g−1 (based on the cell’s cathode mass), with 93% energy retention after 149 cycles at 42 mA g−1. In a 16-Ah zero-lithium-excess Cu ‖ LiNi0.90Mn0.05Co0.05O2 pouch cell, the MEE approach also enables an initial specific energy of about 550 Wh kg−1 (based on the cell’s total mass) at 23 mA g−1.</w:t>
      </w:r>
    </w:p>
    <w:p>
      <w:pPr>
        <w:spacing w:before="120" w:after="120"/>
      </w:pPr>
      <w:r>
        <w:rPr>
          <w:sz w:val="18"/>
        </w:rPr>
        <w:t>——————————————————————————————————————————————————————————————————————</w:t>
      </w:r>
    </w:p>
    <w:p>
      <w:pPr>
        <w:spacing w:before="160" w:after="40" w:line="240" w:lineRule="auto"/>
      </w:pPr>
      <w:r>
        <w:rPr>
          <w:b/>
        </w:rPr>
        <w:t xml:space="preserve">[7] </w:t>
      </w:r>
      <w:hyperlink r:id="rId98">
        <w:r>
          <w:rPr>
            <w:color w:val="1155CC"/>
            <w:u w:val="single"/>
          </w:rPr>
          <w:t>探测最小模型超离子导体中亚晶格熔化的非谐波和异质载流子动力学</w:t>
        </w:r>
      </w:hyperlink>
    </w:p>
    <w:p>
      <w:pPr>
        <w:spacing w:before="0" w:after="80"/>
      </w:pPr>
      <w:r>
        <w:rPr>
          <w:i/>
          <w:sz w:val="20"/>
        </w:rPr>
        <w:t>EN: Probing anharmonic and heterogeneous carrier dynamics across sublattice melting in a minimal model superionic conductor</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99">
        <w:r>
          <w:rPr>
            <w:color w:val="1155CC"/>
            <w:u w:val="single"/>
          </w:rPr>
          <w:t>10.1073/pnas.2605867123</w:t>
        </w:r>
      </w:hyperlink>
    </w:p>
    <w:p>
      <w:pPr>
        <w:spacing w:before="0" w:after="120"/>
      </w:pPr>
      <w:r>
        <w:rPr>
          <w:b/>
        </w:rPr>
        <w:t xml:space="preserve">Notes: </w:t>
      </w:r>
      <w:r>
        <w:t>abstract_source=crossref</w:t>
      </w:r>
    </w:p>
    <w:p>
      <w:pPr>
        <w:spacing w:before="0" w:after="80" w:lineRule="auto" w:line="276"/>
      </w:pPr>
      <w:r>
        <w:rPr>
          <w:b/>
        </w:rPr>
        <w:t xml:space="preserve">摘要（ZH）: </w:t>
      </w:r>
      <w:r>
        <w:t>尽管经过了数十年的研究，超离子导体中亚晶格熔化和快速离子传输的微观起源仍然难以捉摸。在这里，我们引入了一种化学中性的最小二元模型，由短程空间排斥稳定的刚性主晶格和通过长程维格纳型力相互作用的软载流子子晶格组成。这种对比自然会产生不同的熔化温度和中间亚晶格熔化相，其中载流子变成流体状，而主体保持结晶状态。分子动力学模拟识别了多种动力学状态——结晶、亚晶格熔融和完全熔融——以扩散率、结构相关性和动力学异质性的急剧变化为标志。在亚晶格熔化附近，载流子运动具有强烈的非谐性和空间异质性，超出了平均场跳跃的描述。通过调整密度，我们证明可以连续控制亚晶格熔化，在晶格柔软度、非和谐性和集体离子传输之间建立直接联系。与传统的长程库仑模型的比较证实，我们的最小模型再现了超离子性的关键动力学特征，为设计机械坚固的超离子导体提供了统一的微观基础。</w:t>
      </w:r>
    </w:p>
    <w:p>
      <w:pPr>
        <w:spacing w:before="0" w:after="200" w:lineRule="auto" w:line="276"/>
      </w:pPr>
      <w:r>
        <w:rPr>
          <w:b/>
        </w:rPr>
        <w:t xml:space="preserve">Abstract (EN): </w:t>
      </w:r>
      <w:r>
        <w:t>Despite decades of research, the microscopic origin of sublattice melting and fast ion transport in superionic conductors remains elusive. Here, we introduce a chemically neutral minimal binary model consisting of a rigid host lattice stabilized by short-range steric repulsion and a soft carrier sublattice interacting via long-range Wigner-type forces. This contrast naturally produces distinct melting temperatures and an intermediate sublattice-melting phase in which carriers become fluidlike while the host remains crystalline. Molecular dynamics simulations identify multiple dynamical regimes–crystalline, sublattice-melt, and fully molten–marked by sharp changes in diffusivity, structural correlations, and dynamical heterogeneity. Near sublattice melting, carrier motion is strongly anharmonic and spatially heterogeneous, beyond mean-field hopping descriptions. By tuning the density, we demonstrate that sublattice melting can be continuously controlled, establishing a direct link between lattice softness, anharmonicity, and collective ion transport. Comparison with conventional long-range Coulombic models confirms that our minimal model reproduces the key dynamical signatures of superionicity, providing a unified microscopic foundation for designing mechanically robust superionic conductors.</w:t>
      </w:r>
    </w:p>
    <w:p>
      <w:pPr>
        <w:spacing w:before="120" w:after="120"/>
      </w:pPr>
      <w:r>
        <w:rPr>
          <w:sz w:val="18"/>
        </w:rPr>
        <w:t>——————————————————————————————————————————————————————————————————————</w:t>
      </w:r>
    </w:p>
    <w:p>
      <w:pPr>
        <w:spacing w:before="160" w:after="40" w:line="240" w:lineRule="auto"/>
      </w:pPr>
      <w:r>
        <w:rPr>
          <w:b/>
        </w:rPr>
        <w:t xml:space="preserve">[8] </w:t>
      </w:r>
      <w:hyperlink r:id="rId100">
        <w:r>
          <w:rPr>
            <w:color w:val="1155CC"/>
            <w:u w:val="single"/>
          </w:rPr>
          <w:t>单相梯度溶剂化电解质稳定的锂金属电池</w:t>
        </w:r>
      </w:hyperlink>
    </w:p>
    <w:p>
      <w:pPr>
        <w:spacing w:before="0" w:after="80"/>
      </w:pPr>
      <w:r>
        <w:rPr>
          <w:i/>
          <w:sz w:val="20"/>
        </w:rPr>
        <w:t>EN: Single-phase gradient-solvation-electrolyte-stabilized Li metal batteries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101">
        <w:r>
          <w:rPr>
            <w:color w:val="1155CC"/>
            <w:u w:val="single"/>
          </w:rPr>
          <w:t>10.1038/s41586-026-10732-z</w:t>
        </w:r>
      </w:hyperlink>
    </w:p>
    <w:p>
      <w:pPr>
        <w:spacing w:before="0" w:after="120"/>
      </w:pPr>
      <w:r>
        <w:rPr>
          <w:b/>
        </w:rPr>
        <w:t xml:space="preserve">Notes: </w:t>
      </w:r>
      <w:r>
        <w:t>abstract_source=nature_html</w:t>
      </w:r>
    </w:p>
    <w:p>
      <w:pPr>
        <w:spacing w:before="0" w:after="80" w:lineRule="auto" w:line="276"/>
      </w:pPr>
      <w:r>
        <w:rPr>
          <w:b/>
        </w:rPr>
        <w:t xml:space="preserve">摘要（ZH）: </w:t>
      </w:r>
      <w:r>
        <w:t>醚基电解质在锂金属电极方面取得了巨大成功1,2,3,4,5。然而，在高压全电池的充电过程中，溶剂和阴离子的去溶剂化以容纳正极释放的锂离子，加剧了电解质的氧化分解。此外，在延长的循环过程中组分的连续消耗显着改变了溶剂化结构，导致氧化还原稳定性恶化。在这里，我们将靶向配体反溶剂（TLAS）加入到富含阴离子的醚基电解质中。由于静态缔合能力相对较弱，TLAS 几乎不参与 Li+ 的溶剂化。在高压全电池的强电场作用下，TLAS的取向和分布发生了实质性的转变，正极表面的配位能力被激活。 TLAS介导的动态溶剂化行为绕过了传统电解质系统中正极上溶剂和阴离子固有的去配位和重新配位，从而最大限度地减少了电解质重构和相间恶化。利用这种梯度溶剂化电解质，我们开发了一种 450 Wh kg−1 锂金属软包电池，可实现超过 750 次循环的长循环寿命（80% 容量保持率）。此外，我们验证了一种具有 605 Wh kg−1 高能量密度的锂金属软包电池，可实现 150 次循环且容量保持率为 96%。这种梯度溶剂化策略为金属电解质工程提供了一条可行的途径</w:t>
      </w:r>
    </w:p>
    <w:p>
      <w:pPr>
        <w:spacing w:before="0" w:after="200" w:lineRule="auto" w:line="276"/>
      </w:pPr>
      <w:r>
        <w:rPr>
          <w:b/>
        </w:rPr>
        <w:t xml:space="preserve">Abstract (EN): </w:t>
      </w:r>
      <w:r>
        <w:t>Ether-based electrolytes have shown great success for lithium metal electrodes1,2,3,4,5. However, during the charging process of high-voltage full cells, the desolvation of solvents and anions to accommodate Li ions released from the positive electrode exacerbates oxidative decomposition of the electrolyte6. In addition, the continuous consumption of components over extended cycling substantially alters the solvation structure, resulting in deteriorating redox stability. Here we incorporate a targeted ligand anti-solvent (TLAS) into an anion-rich ether-based electrolyte. The TLAS barely participates in the solvation of Li+ owing to its relatively weaker association ability in a static state. Under the strong electric field of high-voltage full cells, the orientation and distribution of the TLAS undergo substantial transformation, with coordination ability activated on the positive electrode surface. The TLAS-mediated dynamic solvation behaviour bypasses the inherent decoordination and recoordination of solvents and anions on the positive electrode in conventional electrolyte systems, thus minimizing electrolyte reconstruction and interphase deterioration. Leveraging this gradient solvation electrolyte, we develop a 450 Wh kg−1 lithium metal pouch cell that achieves a long cycle life exceeding 750 cycles (80% capacity retention). Furthermore, we validated a lithium metal pouch cell with a high energy density of 605 Wh kg−1, which achieves 150 cycles with 96% capacity retention. This gradient solvation strategy provides a feasible pathway of electrolyte engineering for metal-ion batteries.</w:t>
      </w:r>
    </w:p>
    <w:p>
      <w:pPr>
        <w:spacing w:before="120" w:after="120"/>
      </w:pPr>
      <w:r>
        <w:rPr>
          <w:sz w:val="18"/>
        </w:rPr>
        <w:t>——————————————————————————————————————————————————————————————————————</w:t>
      </w:r>
    </w:p>
    <w:p>
      <w:pPr>
        <w:spacing w:before="160" w:after="40" w:line="240" w:lineRule="auto"/>
      </w:pPr>
      <w:r>
        <w:rPr>
          <w:b/>
        </w:rPr>
        <w:t xml:space="preserve">[9] </w:t>
      </w:r>
      <w:hyperlink r:id="rId102">
        <w:r>
          <w:rPr>
            <w:color w:val="1155CC"/>
            <w:u w:val="single"/>
          </w:rPr>
          <w:t>偶极效应辅助溶剂筛选用于高压钙金属电池的更好的氟硼酸钙盐电解质</w:t>
        </w:r>
      </w:hyperlink>
    </w:p>
    <w:p>
      <w:pPr>
        <w:spacing w:before="0" w:after="80"/>
      </w:pPr>
      <w:r>
        <w:rPr>
          <w:i/>
          <w:sz w:val="20"/>
        </w:rPr>
        <w:t>EN: Dipole Effect-Assisted Solvent Screening toward Better Calcium Fluoroborate Salt Electrolytes for High-Voltage Ca-Metal Batteries</w:t>
      </w:r>
    </w:p>
    <w:p>
      <w:pPr>
        <w:spacing w:before="0" w:after="120"/>
      </w:pPr>
      <w:r>
        <w:rPr>
          <w:b/>
        </w:rPr>
        <w:t xml:space="preserve">Source: </w:t>
      </w:r>
      <w:r>
        <w:t>ACS Energy Letters: Latest Articles (ACS Publications)</w:t>
      </w:r>
      <w:r>
        <w:t xml:space="preserve">    </w:t>
      </w:r>
      <w:r>
        <w:rPr>
          <w:b/>
        </w:rPr>
        <w:t xml:space="preserve">Pub date: </w:t>
      </w:r>
      <w:r>
        <w:t>2026-07-08 00:00:00+00:00</w:t>
      </w:r>
      <w:r>
        <w:t xml:space="preserve">    </w:t>
      </w:r>
      <w:r>
        <w:rPr>
          <w:b/>
        </w:rPr>
        <w:t xml:space="preserve">DOI: </w:t>
      </w:r>
      <w:hyperlink r:id="rId103">
        <w:r>
          <w:rPr>
            <w:color w:val="1155CC"/>
            <w:u w:val="single"/>
          </w:rPr>
          <w:t>10.1021/acsenergylett.6c01582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04">
        <w:r>
          <w:rPr>
            <w:color w:val="1155CC"/>
            <w:u w:val="single"/>
          </w:rPr>
          <w:t>一种仿石蛾幼虫案例的凝胶聚合物电解质，具有高韧性和增强的离子传输能力，适用于安全的锂金属电池</w:t>
        </w:r>
      </w:hyperlink>
    </w:p>
    <w:p>
      <w:pPr>
        <w:spacing w:before="0" w:after="80"/>
      </w:pPr>
      <w:r>
        <w:rPr>
          <w:i/>
          <w:sz w:val="20"/>
        </w:rPr>
        <w:t>EN: A caddisfly larva case–mimicked gel polymer electrolyte with high toughness and enhanced ion transport for safe lithium metal batteries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5">
        <w:r>
          <w:rPr>
            <w:color w:val="1155CC"/>
            <w:u w:val="single"/>
          </w:rPr>
          <w:t>10.1126/sciadv.aed3988</w:t>
        </w:r>
      </w:hyperlink>
    </w:p>
    <w:p>
      <w:pPr>
        <w:spacing w:before="0" w:after="120"/>
      </w:pPr>
      <w:r>
        <w:rPr>
          <w:b/>
        </w:rPr>
        <w:t xml:space="preserve">Notes: </w:t>
      </w:r>
      <w:r>
        <w:t>abstract_source=crossref</w:t>
      </w:r>
    </w:p>
    <w:p>
      <w:pPr>
        <w:spacing w:before="0" w:after="80" w:lineRule="auto" w:line="276"/>
      </w:pPr>
      <w:r>
        <w:rPr>
          <w:b/>
        </w:rPr>
        <w:t xml:space="preserve">摘要（ZH）: </w:t>
      </w:r>
      <w:r>
        <w:t>锂（Li）金属电池（LMB）比锂离子电池具有更高的能量密度，但在凝胶聚合物电解质（GPE）中面临着离子电导率和机械强度之间的权衡。受到石蛾幼虫壳的启发，石蛾幼虫壳将丝与颗粒组装起来以提高韧性和渗透性，我们开发了一种具有高韧性和增强离子传输的仿石蛾幼虫壳凝胶聚合物电解质（CLC GPE）。它将静电纺丝聚偏二氟乙烯-六氟丙烯支架与剪切增稠液集成在一起。 CLC GPE 实现了高离子电导率 (2.80 × 10</w:t>
      </w:r>
      <w:r>
        <w:t xml:space="preserve"> </w:t>
      </w:r>
      <w:r>
        <w:t>−3</w:t>
      </w:r>
      <w:r>
        <w:t xml:space="preserve"> </w:t>
      </w:r>
      <w:r>
        <w:t>西门子每厘米），一李</w:t>
      </w:r>
      <w:r>
        <w:t xml:space="preserve"> </w:t>
      </w:r>
      <w:r>
        <w:t>+</w:t>
      </w:r>
      <w:r>
        <w:t xml:space="preserve"> </w:t>
      </w:r>
      <w:r>
        <w:t>传递数为0.89，韧性优越（每立方米7.29兆焦耳），穿刺能为49.69毫焦耳，可抵抗热滥用（150°C）、火焰和子弹冲击（225公里/小时）。对称 Li||Li 电池表现出超过 800 小时的稳定循环，而 Li||LFP (LiFePO</w:t>
      </w:r>
      <w:r>
        <w:rPr>
          <w:vertAlign w:val="subscript"/>
        </w:rPr>
        <w:t>4</w:t>
      </w:r>
      <w:r>
        <w:t>）全电池在 0.5C 下循环 700 次后仍保持 97.6% 的容量。该设计将机械稳健性与快速离子传输相结合，为更安全、高性能的 LMB 提供了可扩展的途径。</w:t>
      </w:r>
    </w:p>
    <w:p>
      <w:pPr>
        <w:spacing w:before="0" w:after="200" w:lineRule="auto" w:line="276"/>
      </w:pPr>
      <w:r>
        <w:rPr>
          <w:b/>
        </w:rPr>
        <w:t xml:space="preserve">Abstract (EN): </w:t>
      </w:r>
      <w:r>
        <w:t>Lithium (Li) metal batteries (LMBs) promise higher energy density than Li-ion cells but face a trade-off between ionic conductivity and mechanical strength in gel polymer electrolytes (GPEs). Inspired by caddisfly larvae cases, which assemble silk with particles for toughness and permeability, we develop a caddisfly larva case–mimicked gel polymer electrolyte (CLC GPE) with high toughness and enhanced ion transport. It integrates an electrospun polyvinylidene fluoride-hexafluoropropylene scaffold with shear thickening fluid. CLC GPE achieves a high ionic conductivity (2.80 × 10</w:t>
      </w:r>
      <w:r>
        <w:t xml:space="preserve"> </w:t>
      </w:r>
      <w:r>
        <w:t>−3</w:t>
      </w:r>
      <w:r>
        <w:t xml:space="preserve"> </w:t>
      </w:r>
      <w:r>
        <w:t>siemens per centimeter), a Li</w:t>
      </w:r>
      <w:r>
        <w:t xml:space="preserve"> </w:t>
      </w:r>
      <w:r>
        <w:t>+</w:t>
      </w:r>
      <w:r>
        <w:t xml:space="preserve"> </w:t>
      </w:r>
      <w:r>
        <w:t>transference number of 0.89, superior toughness (7.29 megajoules per cubic meter), and a puncture energy of 49.69 millijoules, which can resist thermal abuse (150°C), flame, and bullet impact (225 kilometers per hour). Symmetric Li||Li cells exhibit stable cycling over 800 hours, while Li||LFP (LiFePO</w:t>
      </w:r>
      <w:r>
        <w:rPr>
          <w:vertAlign w:val="subscript"/>
        </w:rPr>
        <w:t>4</w:t>
      </w:r>
      <w:r>
        <w:t>) full cells maintain 97.6% capacity after 700 cycles at 0.5C. This design couples mechanical robustness with fast ion transport, offering a scalable route to safer, high-performance LMBs.</w:t>
      </w:r>
    </w:p>
    <w:p>
      <w:pPr>
        <w:spacing w:before="120" w:after="120"/>
      </w:pPr>
      <w:r>
        <w:rPr>
          <w:sz w:val="18"/>
        </w:rPr>
        <w:t>——————————————————————————————————————————————————————————————————————</w:t>
      </w:r>
    </w:p>
    <w:p>
      <w:pPr>
        <w:spacing w:before="160" w:after="40" w:line="240" w:lineRule="auto"/>
      </w:pPr>
      <w:r>
        <w:rPr>
          <w:b/>
        </w:rPr>
        <w:t xml:space="preserve">[11] </w:t>
      </w:r>
      <w:hyperlink r:id="rId106">
        <w:r>
          <w:rPr>
            <w:color w:val="1155CC"/>
            <w:u w:val="single"/>
          </w:rPr>
          <w:t>适用于全气候电池的稀硝酸盐电解液</w:t>
        </w:r>
      </w:hyperlink>
    </w:p>
    <w:p>
      <w:pPr>
        <w:spacing w:before="0" w:after="80"/>
      </w:pPr>
      <w:r>
        <w:rPr>
          <w:i/>
          <w:sz w:val="20"/>
        </w:rPr>
        <w:t>EN: A dilute nitrate electrolyte for all-climate batteries</w:t>
      </w:r>
    </w:p>
    <w:p>
      <w:pPr>
        <w:spacing w:before="0" w:after="120"/>
      </w:pPr>
      <w:r>
        <w:rPr>
          <w:b/>
        </w:rPr>
        <w:t xml:space="preserve">Source: </w:t>
      </w:r>
      <w:r>
        <w:t>Joule</w:t>
      </w:r>
      <w:r>
        <w:t xml:space="preserve">    </w:t>
      </w:r>
      <w:r>
        <w:rPr>
          <w:b/>
        </w:rPr>
        <w:t xml:space="preserve">Pub date: </w:t>
      </w:r>
      <w:r>
        <w:t>2026-07-09 00:00:00+00:00</w:t>
      </w:r>
      <w:r>
        <w:t xml:space="preserve">    </w:t>
      </w:r>
      <w:r>
        <w:rPr>
          <w:b/>
        </w:rPr>
        <w:t xml:space="preserve">DOI: </w:t>
      </w:r>
      <w:hyperlink r:id="rId107">
        <w:r>
          <w:rPr>
            <w:color w:val="1155CC"/>
            <w:u w:val="single"/>
          </w:rPr>
          <w:t>10.1016/j.joule.2026.102548</w:t>
        </w:r>
      </w:hyperlink>
    </w:p>
    <w:p>
      <w:pPr>
        <w:spacing w:before="0" w:after="120"/>
      </w:pPr>
      <w:r>
        <w:rPr>
          <w:b/>
        </w:rPr>
        <w:t xml:space="preserve">Notes: </w:t>
      </w:r>
      <w:r>
        <w:t>abstract_source=rss_cell</w:t>
      </w:r>
    </w:p>
    <w:p>
      <w:pPr>
        <w:spacing w:before="0" w:after="80" w:lineRule="auto" w:line="276"/>
      </w:pPr>
      <w:r>
        <w:rPr>
          <w:b/>
        </w:rPr>
        <w:t xml:space="preserve">摘要（ZH）: </w:t>
      </w:r>
      <w:r>
        <w:t>你等人。报告了一种数据驱动的策略，该策略使廉价的硝酸锂能够充当稀锂离子电池电解质中的主要盐。设计的低浓度电解质可降低成本，同时稳定电池界面，从而实现软包电池的全气候运行。</w:t>
      </w:r>
    </w:p>
    <w:p>
      <w:pPr>
        <w:spacing w:before="0" w:after="200" w:lineRule="auto" w:line="276"/>
      </w:pPr>
      <w:r>
        <w:rPr>
          <w:b/>
        </w:rPr>
        <w:t xml:space="preserve">Abstract (EN): </w:t>
      </w:r>
      <w:r>
        <w:t>You et al. report a data-driven strategy that enables inexpensive lithium nitrate to serve as the main salt in a dilute lithium-ion battery electrolyte. The designed low-concentration electrolyte reduces cost while stabilizing battery interfaces, enabling all-climate operation in pouch cells.</w:t>
      </w:r>
    </w:p>
    <w:p>
      <w:pPr>
        <w:spacing w:before="120" w:after="120"/>
      </w:pPr>
      <w:r>
        <w:rPr>
          <w:sz w:val="18"/>
        </w:rPr>
        <w:t>——————————————————————————————————————————————————————————————————————</w:t>
      </w:r>
    </w:p>
    <w:p>
      <w:pPr>
        <w:spacing w:before="160" w:after="40" w:line="240" w:lineRule="auto"/>
      </w:pPr>
      <w:r>
        <w:rPr>
          <w:b/>
        </w:rPr>
        <w:t xml:space="preserve">[12] </w:t>
      </w:r>
      <w:hyperlink r:id="rId108">
        <w:r>
          <w:rPr>
            <w:color w:val="1155CC"/>
            <w:u w:val="single"/>
          </w:rPr>
          <w:t>旋涂形成的不对称超薄富盐复合聚合物电解质用于高性能锂金属电池</w:t>
        </w:r>
      </w:hyperlink>
    </w:p>
    <w:p>
      <w:pPr>
        <w:spacing w:before="0" w:after="80"/>
      </w:pPr>
      <w:r>
        <w:rPr>
          <w:i/>
          <w:sz w:val="20"/>
        </w:rPr>
        <w:t>EN: Asymmetric Ultrathin Salt-Rich Composite Polymer Electrolyte Formed by Spin Coating for High-Performance Lithium Metal Batteries</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09">
        <w:r>
          <w:rPr>
            <w:color w:val="1155CC"/>
            <w:u w:val="single"/>
          </w:rPr>
          <w:t>10.1021/acsami.6c08312</w:t>
        </w:r>
      </w:hyperlink>
    </w:p>
    <w:p>
      <w:pPr>
        <w:spacing w:before="0" w:after="120"/>
      </w:pPr>
      <w:r>
        <w:rPr>
          <w:b/>
        </w:rPr>
        <w:t xml:space="preserve">Notes: </w:t>
      </w:r>
      <w:r>
        <w:t>abstract_source=pubmed</w:t>
      </w:r>
    </w:p>
    <w:p>
      <w:pPr>
        <w:spacing w:before="0" w:after="80" w:lineRule="auto" w:line="276"/>
      </w:pPr>
      <w:r>
        <w:rPr>
          <w:b/>
        </w:rPr>
        <w:t xml:space="preserve">摘要（ZH）: </w:t>
      </w:r>
      <w:r>
        <w:t>固态锂金属电池（SSLMB）作为下一代储能解决方案正在得到深入探索，它将高能量密度与增强的安全性相结合。然而，传统的复合聚合物电解质面临着严峻的挑战，包括低室温离子电导率、有限的锂离子 (Li+) 迁移数以及机械不兼容的界面。在此，我们设计了一种旋涂不对称高盐聚合物电解质，其中聚偏二氟乙烯（PVDF）框架横跨整个膜，而富含环丁砜的聚环氧乙烷（PEO）/锂双（三氟甲磺酰）酰亚胺（LiTFSI）的阴极侧层建立了高介电微环境。这将离子聚集体转化为与醚氧配位的游离Li+，赋予阴极侧低界面阻抗和坚固的固体电解质界面（CEI）。同时，阳极侧保持高模量和均匀的Li+通量以抑制枝晶生长。分散的钛酸锂镧 (LLTO) 填料进一步构建了用于 Li+ 传输的无机渗透路径。这种旋涂不对称电解质实现了 0.78 的优化 Li+ 迁移数。与磷酸铁锂 (LFP) 和锂阳极配对的全电池在 500 次循环后可提供 82.5% 的容量保持率，同时具有近 100% 的库仑效率和出色的倍率能力恢复。我们的结果凸显了这种不对称高盐聚合物电解质平台在开发薄型高能量密度 SSLMB 方面的潜力。</w:t>
      </w:r>
    </w:p>
    <w:p>
      <w:pPr>
        <w:spacing w:before="0" w:after="200" w:lineRule="auto" w:line="276"/>
      </w:pPr>
      <w:r>
        <w:rPr>
          <w:b/>
        </w:rPr>
        <w:t xml:space="preserve">Abstract (EN): </w:t>
      </w:r>
      <w:r>
        <w:t>Solid-state lithium metal batteries (SSLMBs) are being intensively explored as next-generation energy storage solutions, combining high energy density with enhanced safety. However, conventional composite polymer electrolytes face critical challenges including low room-temperature ionic conductivity, limited lithium ion (Li+) transference numbers, and mechanically incompatible interfaces. Herein, we design a spin-coated asymmetric high-salt polymer electrolyte where a polyvinylidene fluoride (PVDF) framework spans the entire membrane while a sulfolane-containing polyethylene oxide (PEO)/lithium bis(trifluoromethanesulfonyl)imide (LiTFSI)-rich cathode-side layer establishes a high-dielectric microenvironment. This converts ion aggregates into free Li+ coordinated with ether oxygens, endowing the cathode side with low interfacial impedance and a robust solid electrolyte interphase (CEI). Meanwhile, the anode side maintains high modulus and homogenized Li+ flux to suppress dendrite growth. Dispersed lithium lanthanum titanate (LLTO) fillers further construct an inorganic percolated pathway for Li+ transport. This spin-coated asymmetric electrolyte achieves an optimized Li+ transference number of 0.78. Full cells paired with lithium iron phosphate (LFP) and Li anodes deliver 82.5% capacity retention after 500 cycles accompanied by nearly 100% Coulombic efficiency and excellent rate-capability recovery. Our results highlight the potential of this asymmetric high-salt polymer electrolyte platform for developing thin, high-energy density SSLMBs.</w:t>
      </w:r>
    </w:p>
    <w:p>
      <w:pPr>
        <w:spacing w:before="120" w:after="120"/>
      </w:pPr>
      <w:r>
        <w:rPr>
          <w:sz w:val="18"/>
        </w:rPr>
        <w:t>——————————————————————————————————————————————————————————————————————</w:t>
      </w:r>
    </w:p>
    <w:p>
      <w:pPr>
        <w:spacing w:before="160" w:after="40" w:line="240" w:lineRule="auto"/>
      </w:pPr>
      <w:r>
        <w:rPr>
          <w:b/>
        </w:rPr>
        <w:t xml:space="preserve">[13] </w:t>
      </w:r>
      <w:hyperlink r:id="rId110">
        <w:r>
          <w:rPr>
            <w:color w:val="1155CC"/>
            <w:u w:val="single"/>
          </w:rPr>
          <w:t>来自工业固体废物的地质聚合物电解质用于结构储能</w:t>
        </w:r>
      </w:hyperlink>
    </w:p>
    <w:p>
      <w:pPr>
        <w:spacing w:before="0" w:after="80"/>
      </w:pPr>
      <w:r>
        <w:rPr>
          <w:i/>
          <w:sz w:val="20"/>
        </w:rPr>
        <w:t>EN: Geopolymer-based electrolytes derived from industrial solid waste for structural energy storage</w:t>
      </w:r>
    </w:p>
    <w:p>
      <w:pPr>
        <w:spacing w:before="0" w:after="120"/>
      </w:pPr>
      <w:r>
        <w:rPr>
          <w:b/>
        </w:rPr>
        <w:t xml:space="preserve">Source: </w:t>
      </w:r>
      <w:r>
        <w:t>Joule</w:t>
      </w:r>
      <w:r>
        <w:t xml:space="preserve">    </w:t>
      </w:r>
      <w:r>
        <w:rPr>
          <w:b/>
        </w:rPr>
        <w:t xml:space="preserve">Pub date: </w:t>
      </w:r>
      <w:r>
        <w:t>2026-07-09 00:00:00+00:00</w:t>
      </w:r>
      <w:r>
        <w:t xml:space="preserve">    </w:t>
      </w:r>
      <w:r>
        <w:rPr>
          <w:b/>
        </w:rPr>
        <w:t xml:space="preserve">DOI: </w:t>
      </w:r>
      <w:hyperlink r:id="rId111">
        <w:r>
          <w:rPr>
            <w:color w:val="1155CC"/>
            <w:u w:val="single"/>
          </w:rPr>
          <w:t>10.1016/j.joule.2026.102547</w:t>
        </w:r>
      </w:hyperlink>
    </w:p>
    <w:p>
      <w:pPr>
        <w:spacing w:before="0" w:after="120"/>
      </w:pPr>
      <w:r>
        <w:rPr>
          <w:b/>
        </w:rPr>
        <w:t xml:space="preserve">Notes: </w:t>
      </w:r>
      <w:r>
        <w:t>abstract_source=rss_cell</w:t>
      </w:r>
    </w:p>
    <w:p>
      <w:pPr>
        <w:spacing w:before="0" w:after="80" w:lineRule="auto" w:line="276"/>
      </w:pPr>
      <w:r>
        <w:rPr>
          <w:b/>
        </w:rPr>
        <w:t xml:space="preserve">摘要（ZH）: </w:t>
      </w:r>
      <w:r>
        <w:t>将废物转化为有用的基础设施是低碳能源存储的核心。这项研究将飞灰和矿渣转化为用于锌离子砖电池的强离子导电地质聚合物电解质。通过设计有效引导离子的连通孔，该材料将机械耐久性与长期电化学性能结合起来，指向构建既能承受负载又能储存能量的组件。</w:t>
      </w:r>
    </w:p>
    <w:p>
      <w:pPr>
        <w:spacing w:before="0" w:after="200" w:lineRule="auto" w:line="276"/>
      </w:pPr>
      <w:r>
        <w:rPr>
          <w:b/>
        </w:rPr>
        <w:t xml:space="preserve">Abstract (EN): </w:t>
      </w:r>
      <w:r>
        <w:t>Turning waste into useful infrastructure is central to low-carbon energy storage. This study converts fly ash and slag into a strong, ion-conducting geopolymer electrolyte for zinc-ion brick batteries. By engineering connected pores that guide ions efficiently, the material combines mechanical durability with long-term electrochemical performance, pointing toward building components that can both bear loads and store energy.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12">
        <w:r>
          <w:rPr>
            <w:color w:val="1155CC"/>
            <w:u w:val="single"/>
          </w:rPr>
          <w:t>电化学过程驱动的锂离子电池回收和再生技术综述</w:t>
        </w:r>
      </w:hyperlink>
    </w:p>
    <w:p>
      <w:pPr>
        <w:spacing w:before="0" w:after="80"/>
      </w:pPr>
      <w:r>
        <w:rPr>
          <w:i/>
          <w:sz w:val="20"/>
        </w:rPr>
        <w:t>EN: A review of electrochemical process-driven recycling and regeneration technologies for lithium-ion batteries</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3">
        <w:r>
          <w:rPr>
            <w:color w:val="1155CC"/>
            <w:u w:val="single"/>
          </w:rPr>
          <w:t>使用神经网络集成增强并联电池模块中的电流分布估计</w:t>
        </w:r>
      </w:hyperlink>
    </w:p>
    <w:p>
      <w:pPr>
        <w:spacing w:before="0" w:after="80"/>
      </w:pPr>
      <w:r>
        <w:rPr>
          <w:i/>
          <w:sz w:val="20"/>
        </w:rPr>
        <w:t>EN: Enhancing current distribution estimation in parallel battery modules using neural network ensembles</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4">
        <w:r>
          <w:rPr>
            <w:color w:val="1155CC"/>
            <w:u w:val="single"/>
          </w:rPr>
          <w:t>使用电化学阻抗谱预测锂离子电池的自适应容量轨迹</w:t>
        </w:r>
      </w:hyperlink>
    </w:p>
    <w:p>
      <w:pPr>
        <w:spacing w:before="0" w:after="80"/>
      </w:pPr>
      <w:r>
        <w:rPr>
          <w:i/>
          <w:sz w:val="20"/>
        </w:rPr>
        <w:t>EN: Adaptive capacity trajectory prediction for lithium-ion batteries using electrochemical impedance spectroscopy</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5">
        <w:r>
          <w:rPr>
            <w:color w:val="1155CC"/>
            <w:u w:val="single"/>
          </w:rPr>
          <w:t>用于深海电力应用的压力补偿浸没式电池系统综述</w:t>
        </w:r>
      </w:hyperlink>
    </w:p>
    <w:p>
      <w:pPr>
        <w:spacing w:before="0" w:after="80"/>
      </w:pPr>
      <w:r>
        <w:rPr>
          <w:i/>
          <w:sz w:val="20"/>
        </w:rPr>
        <w:t>EN: Review of pressure compensated immersion battery systems for deep-sea power applications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6">
        <w:r>
          <w:rPr>
            <w:color w:val="1155CC"/>
            <w:u w:val="single"/>
          </w:rPr>
          <w:t>从线性到循环：废旧电池回收网络优化回顾与未来议程</w:t>
        </w:r>
      </w:hyperlink>
    </w:p>
    <w:p>
      <w:pPr>
        <w:spacing w:before="0" w:after="80"/>
      </w:pPr>
      <w:r>
        <w:rPr>
          <w:i/>
          <w:sz w:val="20"/>
        </w:rPr>
        <w:t>EN: From linear to circular: review and future agenda of waste battery recycling network optimization</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17">
        <w:r>
          <w:rPr>
            <w:color w:val="1155CC"/>
            <w:u w:val="single"/>
          </w:rPr>
          <w:t>构象多重效应：决定超分子两性离子聚合物的分级顺序</w:t>
        </w:r>
      </w:hyperlink>
    </w:p>
    <w:p>
      <w:pPr>
        <w:spacing w:before="0" w:after="80"/>
      </w:pPr>
      <w:r>
        <w:rPr>
          <w:i/>
          <w:sz w:val="20"/>
        </w:rPr>
        <w:t>EN: The conformational multiplicity effect: Dictating graded order in supramolecular zwitterionic polymers</w:t>
      </w:r>
    </w:p>
    <w:p>
      <w:pPr>
        <w:spacing w:before="0" w:after="120"/>
      </w:pPr>
      <w:r>
        <w:rPr>
          <w:b/>
        </w:rPr>
        <w:t xml:space="preserve">Source: </w:t>
      </w:r>
      <w:r>
        <w:t>Matter</w:t>
      </w:r>
      <w:r>
        <w:t xml:space="preserve">    </w:t>
      </w:r>
      <w:r>
        <w:rPr>
          <w:b/>
        </w:rPr>
        <w:t xml:space="preserve">Pub date: </w:t>
      </w:r>
      <w:r>
        <w:t>2026-07-06 00:00:00+00:00</w:t>
      </w:r>
      <w:r>
        <w:t xml:space="preserve">    </w:t>
      </w:r>
      <w:r>
        <w:rPr>
          <w:b/>
        </w:rPr>
        <w:t xml:space="preserve">DOI: </w:t>
      </w:r>
      <w:hyperlink r:id="rId118">
        <w:r>
          <w:rPr>
            <w:color w:val="1155CC"/>
            <w:u w:val="single"/>
          </w:rPr>
          <w:t>10.1016/j.matt.2026.102910</w:t>
        </w:r>
      </w:hyperlink>
    </w:p>
    <w:p>
      <w:pPr>
        <w:spacing w:before="0" w:after="120"/>
      </w:pPr>
      <w:r>
        <w:rPr>
          <w:b/>
        </w:rPr>
        <w:t xml:space="preserve">Notes: </w:t>
      </w:r>
      <w:r>
        <w:t>abstract_source=rss_cell</w:t>
      </w:r>
    </w:p>
    <w:p>
      <w:pPr>
        <w:spacing w:before="0" w:after="80" w:lineRule="auto" w:line="276"/>
      </w:pPr>
      <w:r>
        <w:rPr>
          <w:b/>
        </w:rPr>
        <w:t xml:space="preserve">摘要（ZH）: </w:t>
      </w:r>
      <w:r>
        <w:t>对于传统的二元单体系统来说，控制超分子离子聚合物中的聚集体形态具有挑战性。受生物构象多样性的启发，我们使用单一荧光两性离子单体来实现选择性自组装成结晶、凝胶或无定形状态。这种极简、可设计的方法可以实现凝胶化的实时可视化，并为水性锌离子电池提供高性能阳极保护材料，为功能性超分子材料提供了广阔的潜力。</w:t>
      </w:r>
    </w:p>
    <w:p>
      <w:pPr>
        <w:spacing w:before="0" w:after="200" w:lineRule="auto" w:line="276"/>
      </w:pPr>
      <w:r>
        <w:rPr>
          <w:b/>
        </w:rPr>
        <w:t xml:space="preserve">Abstract (EN): </w:t>
      </w:r>
      <w:r>
        <w:t>Controlling aggregate morphology in supramolecular ionic polymers is challenging with traditional binary monomer systems. Inspired by biological conformational multiplicity, we use a single fluorescent zwitterionic monomer to achieve selective self-assembly into crystalline, gel, or amorphous states. This minimalist, designable approach enables real-time visualization of gelation and yields a high-performance anode protection material for aqueous zinc-ion batteries, offering broad potential for functional supramolecular materials.</w:t>
      </w:r>
    </w:p>
    <w:p>
      <w:pPr>
        <w:spacing w:before="120" w:after="120"/>
      </w:pPr>
      <w:r>
        <w:rPr>
          <w:sz w:val="18"/>
        </w:rPr>
        <w:t>——————————————————————————————————————————————————————————————————————</w:t>
      </w:r>
    </w:p>
    <w:p>
      <w:pPr>
        <w:spacing w:before="160" w:after="40" w:line="240" w:lineRule="auto"/>
      </w:pPr>
      <w:r>
        <w:rPr>
          <w:b/>
        </w:rPr>
        <w:t xml:space="preserve">[7] </w:t>
      </w:r>
      <w:hyperlink r:id="rId119">
        <w:r>
          <w:rPr>
            <w:color w:val="1155CC"/>
            <w:u w:val="single"/>
          </w:rPr>
          <w:t>锂-空气化学启发电渗析从海水中直接生产碳酸锂</w:t>
        </w:r>
      </w:hyperlink>
    </w:p>
    <w:p>
      <w:pPr>
        <w:spacing w:before="0" w:after="80"/>
      </w:pPr>
      <w:r>
        <w:rPr>
          <w:i/>
          <w:sz w:val="20"/>
        </w:rPr>
        <w:t>EN: Li–air chemistry inspired electrodialysis for direct lithium carbonate production from seawater</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全球向可再生能源的转变增加了对锂离子电池的需求。传统的锂来源和提取方法（例如盐水蒸发和矿石焙烧）是时间和资源密集型、地理受限且对环境造成破坏的，这凸显了对更可持续的资源和提取策略的需要。在这里，我们报告了一种基于电渗析的方法，使用环境二氧化碳作为碳源，从海水中直接提取碳酸锂。该方法将固态锂导电膜与锂-空气化学相结合，无需添加沉淀剂即可一步实现锂富集和碳酸盐形成。锂-空气构型通过热力学驱动的置换反应赋予固有的离子选择性。实验结果证实，与传统工艺相比，可以在施加电压低于 2 V 的情况下生产碳酸锂（纯度为 93.8%），同时减少化学品输入和能源消耗。这项工作有可能为获取锂资源提供一条低影响的途径，并有助于未来电池供应链的可持续性。</w:t>
      </w:r>
    </w:p>
    <w:p>
      <w:pPr>
        <w:spacing w:before="0" w:after="200" w:lineRule="auto" w:line="276"/>
      </w:pPr>
      <w:r>
        <w:rPr>
          <w:b/>
        </w:rPr>
        <w:t xml:space="preserve">Abstract (EN): </w:t>
      </w:r>
      <w:r>
        <w:t>The global shift to renewable energy has intensified demand for lithium-ion batteries. Conventional lithium sources and extraction methods—such as brine evaporation and ore roasting—are time- and resource-intensive, geographically constrained, and environmentally damaging, underscoring the need for more sustainable resources and extraction strategies. Here we report an electrodialysis-based approach for direct lithium carbonate extraction from seawater, using ambient carbon dioxide as the carbon source. The method integrates a solid-state lithium-conducting membrane with Li–air chemistry, enabling lithium enrichment and carbonate formation in a single step without added precipitants. The Li–air configuration imparts intrinsic ion selectivity via thermodynamically driven displacement reactions. Experimental results confirm the production of lithium carbonate (93.8% purity) with an applied voltage below 2 V, while reducing chemical input and energy consumption compared to conventional processes. This work has the potential to provide a low-impact route for accessing lithium resources and contributes to the sustainability of future battery supply chains.</w:t>
      </w:r>
    </w:p>
    <w:p>
      <w:pPr>
        <w:spacing w:before="120" w:after="120"/>
      </w:pPr>
      <w:r>
        <w:rPr>
          <w:sz w:val="18"/>
        </w:rPr>
        <w:t>——————————————————————————————————————————————————————————————————————</w:t>
      </w:r>
    </w:p>
    <w:p>
      <w:pPr>
        <w:spacing w:before="160" w:after="40" w:line="240" w:lineRule="auto"/>
      </w:pPr>
      <w:r>
        <w:rPr>
          <w:b/>
        </w:rPr>
        <w:t xml:space="preserve">[8] </w:t>
      </w:r>
      <w:hyperlink r:id="rId120">
        <w:r>
          <w:rPr>
            <w:color w:val="1155CC"/>
            <w:u w:val="single"/>
          </w:rPr>
          <w:t>通过将固定电荷赋予选择性氧化还原活性化合物来实现液-液萃取的直接带电</w:t>
        </w:r>
      </w:hyperlink>
    </w:p>
    <w:p>
      <w:pPr>
        <w:spacing w:before="0" w:after="80"/>
      </w:pPr>
      <w:r>
        <w:rPr>
          <w:i/>
          <w:sz w:val="20"/>
        </w:rPr>
        <w:t>EN: Direct Electrification of Liquid–Liquid Extraction by Imparting Fixed Charges onto Selective Redox Active Compounds</w:t>
      </w:r>
    </w:p>
    <w:p>
      <w:pPr>
        <w:spacing w:before="0" w:after="120"/>
      </w:pPr>
      <w:r>
        <w:rPr>
          <w:b/>
        </w:rPr>
        <w:t xml:space="preserve">Source: </w:t>
      </w:r>
      <w:r>
        <w:t>ACS Energy Letters: Latest Articles (ACS Publications)</w:t>
      </w:r>
      <w:r>
        <w:t xml:space="preserve">    </w:t>
      </w:r>
      <w:r>
        <w:rPr>
          <w:b/>
        </w:rPr>
        <w:t xml:space="preserve">Pub date: </w:t>
      </w:r>
      <w:r>
        <w:t>2026-07-07 00:00:00+00:00</w:t>
      </w:r>
      <w:r>
        <w:t xml:space="preserve">    </w:t>
      </w:r>
      <w:r>
        <w:rPr>
          <w:b/>
        </w:rPr>
        <w:t xml:space="preserve">DOI: </w:t>
      </w:r>
      <w:hyperlink r:id="rId121">
        <w:r>
          <w:rPr>
            <w:color w:val="1155CC"/>
            <w:u w:val="single"/>
          </w:rPr>
          <w:t>10.1021/acsenergylett.6c01434</w:t>
        </w:r>
      </w:hyperlink>
    </w:p>
    <w:p>
      <w:pPr>
        <w:spacing w:before="0" w:after="120"/>
      </w:pPr>
      <w:r>
        <w:rPr>
          <w:b/>
        </w:rPr>
        <w:t xml:space="preserve">Notes: </w:t>
      </w:r>
      <w:r>
        <w:t>abstract_source=openalex</w:t>
      </w:r>
    </w:p>
    <w:p>
      <w:pPr>
        <w:spacing w:before="0" w:after="80" w:lineRule="auto" w:line="276"/>
      </w:pPr>
      <w:r>
        <w:rPr>
          <w:b/>
        </w:rPr>
        <w:t xml:space="preserve">摘要（ZH）: </w:t>
      </w:r>
      <w:r>
        <w:t>电化学介导的液-液萃取（e-LLE）是一种依赖于有机可溶性氧化还原基团的独特分离方法。该方法将连续电化学操作与金属回收的分子选择性相结合。然而，由于非极性溶剂中的电导率不足，传统的 e-LLE 依赖于多柱系统和间接氧化还原剂。在这里，我们报告了一种独特的氧化还原部分，将二茂铁氧化还原中心与永久带电的铵单元相结合，即使在有机溶剂中也能赋予离子导电性。该设计可使用单柱架构实现 e-LLE 的直接电气化。氧化还原萃取剂无需外部电解质即可进行可逆电化学循环，并选择性地从水流中回收阴离子金络合物。通过穆斯堡尔光谱定量，直接充电可实现高达 91% 的二茂铁氧化，还原时释放出近 95% 的结合离子，因此优于化学氧化途径。在连续流通池中实施可简化流程并消除中间氧化还原剂，从而能够以高选择性从电子废物浸出液中吸收 89% 的金。从根本上说，这项工作确立了直接使液-液分离通电的设计原则，同时加速其向采矿和回收的工业转化。</w:t>
      </w:r>
    </w:p>
    <w:p>
      <w:pPr>
        <w:spacing w:before="0" w:after="200" w:lineRule="auto" w:line="276"/>
      </w:pPr>
      <w:r>
        <w:rPr>
          <w:b/>
        </w:rPr>
        <w:t xml:space="preserve">Abstract (EN): </w:t>
      </w:r>
      <w:r>
        <w:t>Electrochemically mediated liquid–liquid extraction (e-LLE) is a unique separation approach that relies on organic-soluble redox groups. The method combines continuous electrochemical operation with molecular selectivity for metal recovery. However, conventional e-LLE relies on multicolumn systems and indirect redox agents due to insufficient conductivity in apolar solvents. Here, we report a unique redox moiety integrating a ferrocene redox center with a permanently charged ammonium unit that imparts ionic conductivity even in organic solvents. This design enables the direct electrification of e-LLE using a single-column architecture. The redox extractant undergoes reversible electrochemical cycling without external electrolyte and selectively recovers anionic gold complexes from aqueous streams. Direct charging achieves up to 91% ferrocene oxidation, as quantified by Mössbauer spectroscopy, with close to 95% release of the bound ion upon reduction, thus outperforming chemical oxidation pathways. Implementation in a continuous flow cell simplifies the process and eliminates intermediate redox agents, enabling 89% gold uptake from electronic waste leachates with high selectivity. Fundamentally, this work establishes design principles for directly electrifying liquid–liquid separations while accelerating its industrial translation to mining and recycling.</w:t>
      </w:r>
    </w:p>
    <w:p>
      <w:pPr>
        <w:spacing w:before="120" w:after="120"/>
      </w:pPr>
      <w:r>
        <w:rPr>
          <w:sz w:val="18"/>
        </w:rPr>
        <w:t>——————————————————————————————————————————————————————————————————————</w:t>
      </w:r>
    </w:p>
    <w:p>
      <w:pPr>
        <w:spacing w:before="160" w:after="40" w:line="240" w:lineRule="auto"/>
      </w:pPr>
      <w:r>
        <w:rPr>
          <w:b/>
        </w:rPr>
        <w:t xml:space="preserve">[9] </w:t>
      </w:r>
      <w:hyperlink r:id="rId122">
        <w:r>
          <w:rPr>
            <w:color w:val="1155CC"/>
            <w:u w:val="single"/>
          </w:rPr>
          <w:t>如何扩大对世界所需的关键矿物的获取</w:t>
        </w:r>
      </w:hyperlink>
    </w:p>
    <w:p>
      <w:pPr>
        <w:spacing w:before="0" w:after="80"/>
      </w:pPr>
      <w:r>
        <w:rPr>
          <w:i/>
          <w:sz w:val="20"/>
        </w:rPr>
        <w:t>EN: How to widen access to the critical minerals that the world needs</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123">
        <w:r>
          <w:rPr>
            <w:color w:val="1155CC"/>
            <w:u w:val="single"/>
          </w:rPr>
          <w:t>10.1038/d41586-026-02100-8</w:t>
        </w:r>
      </w:hyperlink>
    </w:p>
    <w:p>
      <w:pPr>
        <w:spacing w:before="0" w:after="120"/>
      </w:pPr>
      <w:r>
        <w:rPr>
          <w:b/>
        </w:rPr>
        <w:t xml:space="preserve">Notes: </w:t>
      </w:r>
      <w:r>
        <w:t>abstract_source=nature_html</w:t>
      </w:r>
    </w:p>
    <w:p>
      <w:pPr>
        <w:spacing w:before="0" w:after="80" w:lineRule="auto" w:line="276"/>
      </w:pPr>
      <w:r>
        <w:rPr>
          <w:b/>
        </w:rPr>
        <w:t xml:space="preserve">摘要（ZH）: </w:t>
      </w:r>
      <w:r>
        <w:t>与数十年的采矿和精炼投资相比，专利池和许可架构将使关键矿物得到更广泛的使用。与数十年的采矿和精炼投资相比，专利池和许可架构将使关键矿物得到更广泛的使用。</w:t>
      </w:r>
    </w:p>
    <w:p>
      <w:pPr>
        <w:spacing w:before="0" w:after="200" w:lineRule="auto" w:line="276"/>
      </w:pPr>
      <w:r>
        <w:rPr>
          <w:b/>
        </w:rPr>
        <w:t xml:space="preserve">Abstract (EN): </w:t>
      </w:r>
      <w:r>
        <w:t>A patent pool and licensing architecture would enable more widespread use of key minerals than would decades of mining and refining investment alone. A patent pool and licensing architecture would enable more widespread use of key minerals than would decades of mining and refining investment alone.</w:t>
      </w:r>
    </w:p>
    <w:p>
      <w:pPr>
        <w:spacing w:before="120" w:after="120"/>
      </w:pPr>
      <w:r>
        <w:rPr>
          <w:sz w:val="18"/>
        </w:rPr>
        <w:t>——————————————————————————————————————————————————————————————————————</w:t>
      </w:r>
    </w:p>
    <w:p>
      <w:pPr>
        <w:spacing w:before="160" w:after="40" w:line="240" w:lineRule="auto"/>
      </w:pPr>
      <w:r>
        <w:rPr>
          <w:b/>
        </w:rPr>
        <w:t xml:space="preserve">[10] </w:t>
      </w:r>
      <w:hyperlink r:id="rId124">
        <w:r>
          <w:rPr>
            <w:color w:val="1155CC"/>
            <w:u w:val="single"/>
          </w:rPr>
          <w:t>第一次生命的历史留下了持久的印记：解码控制第二次生命电池退化和安全的路径依赖指纹</w:t>
        </w:r>
      </w:hyperlink>
    </w:p>
    <w:p>
      <w:pPr>
        <w:spacing w:before="0" w:after="80"/>
      </w:pPr>
      <w:r>
        <w:rPr>
          <w:i/>
          <w:sz w:val="20"/>
        </w:rPr>
        <w:t>EN: First-life histories leave lasting imprints: decoding path-dependent fingerprints governing second-life battery degradation and safety</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25">
        <w:r>
          <w:rPr>
            <w:color w:val="1155CC"/>
            <w:u w:val="single"/>
          </w:rPr>
          <w:t>电动汽车电池组寿命和成本结果动态重新配置的系统级评估</w:t>
        </w:r>
      </w:hyperlink>
    </w:p>
    <w:p>
      <w:pPr>
        <w:spacing w:before="0" w:after="80"/>
      </w:pPr>
      <w:r>
        <w:rPr>
          <w:i/>
          <w:sz w:val="20"/>
        </w:rPr>
        <w:t>EN: System-level assessment of dynamic reconfiguration for lifetime and cost outcomes in electric vehicle battery packs</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交通运输的电气化在很大程度上依赖于锂离子电池，但传统的固定配置电池组存在结构效率低下的问题，例如电池之间的可变性和过早失效。通过对各个电池周围的开关硬件进行智能控制来实现动态电池重新配置，提供了另一种电池组架构。在这里，我们使用基于统计的框架，基于跨不同设计和使用条件的详细电池建模，对可重构电池组的寿命和经济效益进行了系统的、与电池技术无关的评估。我们证明，可重构电池组可以将电池寿命延长 20% 以上，特别是在电动卡车和远程乘用车等高压应用中。尽管前期成本较高，但可重新配置的电池组可以通过推迟更换并保留更大的剩余价值来降低生命周期成本。敏感性分析确定了经济可行性的稳健阈值：电池容量高于约 50 kWh，年行驶距离低于 12,150 公里，额外前期成本低于 7.16%。这些发现将动态重新配置定位为下一代电池平台的可扩展、成本优化的架构，并为未来的硬件设计、管理软件和生命周期可持续性评估提供了定量基础。</w:t>
      </w:r>
    </w:p>
    <w:p>
      <w:pPr>
        <w:spacing w:before="0" w:after="200" w:lineRule="auto" w:line="276"/>
      </w:pPr>
      <w:r>
        <w:rPr>
          <w:b/>
        </w:rPr>
        <w:t xml:space="preserve">Abstract (EN): </w:t>
      </w:r>
      <w:r>
        <w:t>The electrification of transport relies heavily on lithium-ion batteries, yet conventional fixed-configuration battery packs suffer from structural inefficiencies such as cell-to-cell variability and premature failure. Dynamic battery reconfiguration, enabled by intelligent control of switching hardware around individual cells, provides an alternative pack architecture. Here we present a systematic, battery technology-agnostic evaluation of the lifetime and economic benefits of reconfigurable battery packs using a statistically grounded framework based on detailed cell modelling across diverse design and usage conditions. We show that reconfigurable battery packs can extend battery lifetime by over 20%, particularly in high-voltage applications such as electric trucks and long-range passenger vehicles. Despite higher upfront costs, reconfigurable packs can reduce lifetime cost by deferring replacements and retaining greater residual value. A sensitivity analysis identifies robust thresholds for economic viability: battery capacities above approximately 50 kWh, annual driving distances below 12,150 km, and additional upfront costs under 7.16%. These findings position dynamic reconfiguration as a scalable, cost-optimised architecture for next-generation battery platforms, and provide a quantitative foundation for future hardware design, management software, and life-cycle sustainability assessments.</w:t>
      </w:r>
    </w:p>
    <w:p>
      <w:pPr>
        <w:spacing w:before="120" w:after="120"/>
      </w:pPr>
      <w:r>
        <w:rPr>
          <w:sz w:val="18"/>
        </w:rPr>
        <w:t>——————————————————————————————————————————————————————————————————————</w:t>
      </w:r>
    </w:p>
    <w:p>
      <w:pPr>
        <w:spacing w:before="160" w:after="40" w:line="240" w:lineRule="auto"/>
      </w:pPr>
      <w:r>
        <w:rPr>
          <w:b/>
        </w:rPr>
        <w:t xml:space="preserve">[12] </w:t>
      </w:r>
      <w:hyperlink r:id="rId126">
        <w:r>
          <w:rPr>
            <w:color w:val="1155CC"/>
            <w:u w:val="single"/>
          </w:rPr>
          <w:t>能源转型矿物：系统性相互依赖、市场特定动态以及全球风险因素在不断变化的政策格局中的作用</w:t>
        </w:r>
      </w:hyperlink>
    </w:p>
    <w:p>
      <w:pPr>
        <w:spacing w:before="0" w:after="80"/>
      </w:pPr>
      <w:r>
        <w:rPr>
          <w:i/>
          <w:sz w:val="20"/>
        </w:rPr>
        <w:t>EN: Energy transition minerals: Systemic interdependence, market-specific dynamics, and the role of global risk factors in an evolving policy landscape</w:t>
      </w:r>
    </w:p>
    <w:p>
      <w:pPr>
        <w:spacing w:before="0" w:after="120"/>
      </w:pPr>
      <w:r>
        <w:rPr>
          <w:b/>
        </w:rPr>
        <w:t xml:space="preserve">Source: </w:t>
      </w:r>
      <w:r>
        <w:t>ScienceDirect Publication: Energy Policy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27">
        <w:r>
          <w:rPr>
            <w:color w:val="1155CC"/>
            <w:u w:val="single"/>
          </w:rPr>
          <w:t>从索尔顿海地热盐水中生产具有成本竞争力且可行的锂的途径</w:t>
        </w:r>
      </w:hyperlink>
    </w:p>
    <w:p>
      <w:pPr>
        <w:spacing w:before="0" w:after="80"/>
      </w:pPr>
      <w:r>
        <w:rPr>
          <w:i/>
          <w:sz w:val="20"/>
        </w:rPr>
        <w:t>EN: Pathways to cost competitive and viable lithium production from Salton Sea geothermal brines</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锂供应链仍然严重集中在硬岩和盐水资源中，造成了巨大的供应风险。地热盐水是一种未得到充分利用的替代方案，但由于缺乏设施规模的成本评估，商业进展受到阻碍。在这里，我们利用公司的主要披露信息、工艺专利和卤水资源模型，对从索尔顿海地热盐水中大规模提取锂进行了技术经济分析。由于锂和杂质浓度的变化、盐水随时间的稀释以及工艺配置（例如，通过碳酸化和转化与电解进行生产），我们发现大规模生产成本可能达到每吨约 10,000 美元，但随着盐水建模的确定性更高，每吨成本将增加至 22,000 美元，这引发了人们对传统低成本来源的经济竞争力的担忧。最后，以项目可行性为重点的情景分析表明，利用盐水预处理副产品销售可以将长期锂盈亏平衡价格降低约5,000美元/吨，而资本成本优化20%可以进一步将锂盈亏平衡价格降低10%。</w:t>
      </w:r>
    </w:p>
    <w:p>
      <w:pPr>
        <w:spacing w:before="0" w:after="200" w:lineRule="auto" w:line="276"/>
      </w:pPr>
      <w:r>
        <w:rPr>
          <w:b/>
        </w:rPr>
        <w:t xml:space="preserve">Abstract (EN): </w:t>
      </w:r>
      <w:r>
        <w:t>Lithium supply chains remain heavily concentrated in hard rock and brine resources, creating significant supply risks. Geothermal brines represent an underutilized alternative, yet commercial progress is hindered by the absence of facility-scale cost assessments. Here, we present a techno-economic analysis of large-scale lithium extraction from Salton Sea geothermal brines, drawing on primary company disclosures, process patents, and brine resource modeling. Caused by varying lithium and impurity concentrations, brine dilution over time, and process configurations (e.g., production via carbonation and conversion vs. electrolysis), we find that large-scale production costs may reach ~10,000 United States dollars per ton, but increase up to 22,000 United States dollars per ton with higher certainty of brine modeling, raising concerns about economic competitiveness to conventional low-cost sources. Finally, a project feasibility-focused scenario analyses shows that leveraging brine pre-treatment by-product sales could lower long-term lithium break-even prices by ~5,000 United States dollars per ton, whereas capital cost optimization of 20% could further reduce lithium break-even prices by 10%.</w:t>
      </w:r>
    </w:p>
    <w:p>
      <w:pPr>
        <w:spacing w:before="120" w:after="120"/>
      </w:pPr>
      <w:r>
        <w:rPr>
          <w:sz w:val="18"/>
        </w:rPr>
        <w:t>——————————————————————————————————————————————————————————————————————</w:t>
      </w:r>
    </w:p>
    <w:p>
      <w:pPr>
        <w:spacing w:before="160" w:after="40" w:line="240" w:lineRule="auto"/>
      </w:pPr>
      <w:r>
        <w:rPr>
          <w:b/>
        </w:rPr>
        <w:t xml:space="preserve">[14] </w:t>
      </w:r>
      <w:hyperlink r:id="rId128">
        <w:r>
          <w:rPr>
            <w:color w:val="1155CC"/>
            <w:u w:val="single"/>
          </w:rPr>
          <w:t>电化学界面上的选择性分子离子门控加速锂提取</w:t>
        </w:r>
      </w:hyperlink>
    </w:p>
    <w:p>
      <w:pPr>
        <w:spacing w:before="0" w:after="80"/>
      </w:pPr>
      <w:r>
        <w:rPr>
          <w:i/>
          <w:sz w:val="20"/>
        </w:rPr>
        <w:t>EN: Selective Molecular Ion-Gating at Electrochemical Interfaces for Accelerated Lithium Extraction</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29">
        <w:r>
          <w:rPr>
            <w:color w:val="1155CC"/>
            <w:u w:val="single"/>
          </w:rPr>
          <w:t>10.1021/jacs.6c04438</w:t>
        </w:r>
      </w:hyperlink>
    </w:p>
    <w:p>
      <w:pPr>
        <w:spacing w:before="0" w:after="120"/>
      </w:pPr>
      <w:r>
        <w:rPr>
          <w:b/>
        </w:rPr>
        <w:t xml:space="preserve">Notes: </w:t>
      </w:r>
      <w:r>
        <w:t>abstract_source=pubmed</w:t>
      </w:r>
    </w:p>
    <w:p>
      <w:pPr>
        <w:spacing w:before="0" w:after="80" w:lineRule="auto" w:line="276"/>
      </w:pPr>
      <w:r>
        <w:rPr>
          <w:b/>
        </w:rPr>
        <w:t xml:space="preserve">摘要（ZH）: </w:t>
      </w:r>
      <w:r>
        <w:t>在电池去离子（BDI）系统中从复杂盐水中选择性回收锂受到固液界面化学相似碱离子的竞争吸附和嵌入的限制。尽管法拉第锂插入材料表现出较高的理论容量，但它们通常无法提供必要的选择性来抑制共存钠离子的大量竞争通量。在这里，我们报告了一种分子离子门控策略，该策略通过界面工程将选择性与容量分离。通过将 LiMn2O4 (LMO) 核封装在 Aza-15-Crown-5 (A15C5) 功能化氧化石墨烯 (CGO) 壳内，我们构建了具有高选择性 Li+ 传输的核壳 LMO@CGO 结构。实验结果和动力学模型支持[C10O5]大环作为选择性离子门，通过配位优先富集界面区域的Li+。这种界面富集加速了 Li+ 嵌入 LMO 晶格中，同时抑制竞争性阳离子转移。当集成到BDI系统中时，LMO@CGO架构在Lagoco盐湖原盐水中实现了极具竞争力的Li+/Na+分离因子302.23和19.8 mg·g-1的容量。我们的研究结果表明，桥接分子级门控与电化学法拉第过程为从复杂的水相条件中选择性电化学锂回收提供了一种有前途的界面设计策略。</w:t>
      </w:r>
    </w:p>
    <w:p>
      <w:pPr>
        <w:spacing w:before="0" w:after="200" w:lineRule="auto" w:line="276"/>
      </w:pPr>
      <w:r>
        <w:rPr>
          <w:b/>
        </w:rPr>
        <w:t xml:space="preserve">Abstract (EN): </w:t>
      </w:r>
      <w:r>
        <w:t>The selective recovery of lithium from complex brines in battery deionization (BDI) systems is constrained by the competitive adsorption and intercalation of chemically similar alkali ions at the solid-liquid interface. Although Faradaic lithium insertion materials exhibit high theoretical capacities, they often fail to provide the necessary selectivity to suppress the substantial competitive flux of coexisting sodium ions. Here, we report a molecular ion-gating strategy that decouples selectivity from capacity via interfacial engineering. By encapsulating the LiMn2O4 (LMO) core within an Aza-15-Crown-5 (A15C5)-functionalized graphene oxide (CGO) shell, we construct a core-shell LMO@CGO architecture that exhibits highly selective Li+ transport. Experimental results and kinetic modeling support that the [C10O5] macrocyclic rings function as selective ion gates, preferentially enriching Li+ at the interfacial region through coordination. This interfacial enrichment accelerates Li+ intercalation into the LMO lattice while suppressing competing cation transfer. When integrated into a BDI system, the LMO@CGO architecture achieves a highly competitive Li+/Na+ separation factor of 302.23 and a capacity of 19.8 mg·g-1 in raw Lagoco salt lake brine. Our findings demonstrate that bridging molecular-level gating with electrochemical Faradaic processes provides a promising interfacial design strategy for selective electrochemical lithium recovery from complex aqueous conditions.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30">
        <w:r>
          <w:rPr>
            <w:color w:val="1155CC"/>
            <w:u w:val="single"/>
          </w:rPr>
          <w:t>海上风氢能岛的黑启动设计：并网电池和风力涡轮机技术的作用</w:t>
        </w:r>
      </w:hyperlink>
    </w:p>
    <w:p>
      <w:pPr>
        <w:spacing w:before="0" w:after="80"/>
      </w:pPr>
      <w:r>
        <w:rPr>
          <w:i/>
          <w:sz w:val="20"/>
        </w:rPr>
        <w:t>EN: Black start design for offshore wind–hydrogen energy Islands: Role of grid-forming battery and wind turbine technologies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1">
        <w:r>
          <w:rPr>
            <w:color w:val="1155CC"/>
            <w:u w:val="single"/>
          </w:rPr>
          <w:t>强酸改性释放水凝胶中解离和水合的协同作用，实现高性能渗透能转换</w:t>
        </w:r>
      </w:hyperlink>
    </w:p>
    <w:p>
      <w:pPr>
        <w:spacing w:before="0" w:after="80"/>
      </w:pPr>
      <w:r>
        <w:rPr>
          <w:i/>
          <w:sz w:val="20"/>
        </w:rPr>
        <w:t>EN: Strong Acid Modification Unlocks Synergy of Dissociation and Hydration in Hydrogels for High-Performance Osmotic Energy Conversion</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132">
        <w:r>
          <w:rPr>
            <w:color w:val="1155CC"/>
            <w:u w:val="single"/>
          </w:rPr>
          <w:t>10.1021/acsami.6c07569</w:t>
        </w:r>
      </w:hyperlink>
    </w:p>
    <w:p>
      <w:pPr>
        <w:spacing w:before="0" w:after="120"/>
      </w:pPr>
      <w:r>
        <w:rPr>
          <w:b/>
        </w:rPr>
        <w:t xml:space="preserve">Notes: </w:t>
      </w:r>
      <w:r>
        <w:t>abstract_source=pubmed</w:t>
      </w:r>
    </w:p>
    <w:p>
      <w:pPr>
        <w:spacing w:before="0" w:after="80" w:lineRule="auto" w:line="276"/>
      </w:pPr>
      <w:r>
        <w:rPr>
          <w:b/>
        </w:rPr>
        <w:t xml:space="preserve">摘要（ZH）: </w:t>
      </w:r>
      <w:r>
        <w:t>离子选择性膜通过反电渗析 (RED) 从盐度梯度中提取渗透能，为解决能源短缺问题提供了一种极具前景的可再生途径。然而，基于膜的 RED 的一个关键挑战是相对较低的功率输出密度，这是由于内阻高、离子选择性差和稳定性不足造成的。在此，提出了一种具有高电导率、低内阻和强保水性的水凝胶，用于有效的渗透能转换。利用强酸高度解离和水合的特性对水凝胶进行合理改性，使得水凝胶的电学、离子传输和保水性能相对于无酸的水凝胶有显着改善。在50倍的NaCl盐度梯度下，强酸改性水凝胶的最大输出功率密度达到56.03 W/m2，远远超过商业基准5 W/m2，能够维持稳定的输出。在水合作用下，溶胀测试显示出收缩行为，表明结构更致密。在7天的蒸发测试中，由于水合过程中形成结合水，酸改性水凝胶仅损失了41.7%的水，优于脱水85.88%的非酸水凝胶。这项工作为水凝胶阳离子选择性膜的制备提供了一种策略，在渗透能量收集领域具有广阔的应用前景。</w:t>
      </w:r>
    </w:p>
    <w:p>
      <w:pPr>
        <w:spacing w:before="0" w:after="200" w:lineRule="auto" w:line="276"/>
      </w:pPr>
      <w:r>
        <w:rPr>
          <w:b/>
        </w:rPr>
        <w:t xml:space="preserve">Abstract (EN): </w:t>
      </w:r>
      <w:r>
        <w:t>Ion-selective membranes extract osmotic energy with reverse electrodialysis (RED) from salinity gradients, offering a highly promising renewable route to address energy scarcity. However, a key challenge of membrane-based RED is the relatively low power output density, which arises from high internal resistance, poor ion selectivity, and inadequate stability. Herein, a hydrogel with high conductivity, low internal resistance, and strong water retention is presented for efficient osmotic energy conversion. The hydrogels were rationally modified by utilizing the characteristic of strong acids undergoing high dissociation and hydration, resulting in pronounced improvements in electricity, ion transportation and water retention properties relative to those without acids. Under a 50-fold NaCl salinity gradient, the strong acid-modified hydrogel achieves a maximum output power density of 56.03 W/m2, which far exceeds the commercial benchmark of 5 W/m2 and capable of sustaining a stable output. Under the action of hydration, the swelling test shows a contracting behavior, indicative of a denser structure. In a 7 day evaporation test, due to the formation of bound water during hydration, the acid-modified hydrogel only lost 41.7% of its water, outperforming the nonacid hydrogel which dehydrated by 85.88%. This work provides a strategy for the fabrication of hydrogel cation-selectivity membranes, and holds broad application prospects in the field of osmotic energy harvesting.</w:t>
      </w:r>
    </w:p>
    <w:p>
      <w:pPr>
        <w:spacing w:before="120" w:after="120"/>
      </w:pPr>
      <w:r>
        <w:rPr>
          <w:sz w:val="18"/>
        </w:rPr>
        <w:t>——————————————————————————————————————————————————————————————————————</w:t>
      </w:r>
    </w:p>
    <w:p>
      <w:pPr>
        <w:spacing w:before="160" w:after="40" w:line="240" w:lineRule="auto"/>
      </w:pPr>
      <w:r>
        <w:rPr>
          <w:b/>
        </w:rPr>
        <w:t xml:space="preserve">[3] </w:t>
      </w:r>
      <w:hyperlink r:id="rId133">
        <w:r>
          <w:rPr>
            <w:color w:val="1155CC"/>
            <w:u w:val="single"/>
          </w:rPr>
          <w:t>原位和操作研究作为氧化还原液流电池、氧化还原靶向和CO 2 捕获系统的机械工具箱：进展和前景</w:t>
        </w:r>
      </w:hyperlink>
    </w:p>
    <w:p>
      <w:pPr>
        <w:spacing w:before="0" w:after="80"/>
      </w:pPr>
      <w:r>
        <w:rPr>
          <w:i/>
          <w:sz w:val="20"/>
        </w:rPr>
        <w:t>EN: In Situ and Operando Studies as Mechanistic Toolbox for Redox Flow Batteries, Redox Targeting, and CO 2 Capture Systems: Progress and Perspective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134">
        <w:r>
          <w:rPr>
            <w:color w:val="1155CC"/>
            <w:u w:val="single"/>
          </w:rPr>
          <w:t>10.1021/jacs.6c08499</w:t>
        </w:r>
      </w:hyperlink>
    </w:p>
    <w:p>
      <w:pPr>
        <w:spacing w:before="0" w:after="120"/>
      </w:pPr>
      <w:r>
        <w:rPr>
          <w:b/>
        </w:rPr>
        <w:t xml:space="preserve">Notes: </w:t>
      </w:r>
      <w:r>
        <w:t>abstract_source=pubmed</w:t>
      </w:r>
    </w:p>
    <w:p>
      <w:pPr>
        <w:spacing w:before="0" w:after="80" w:lineRule="auto" w:line="276"/>
      </w:pPr>
      <w:r>
        <w:rPr>
          <w:b/>
        </w:rPr>
        <w:t xml:space="preserve">摘要（ZH）: </w:t>
      </w:r>
      <w:r>
        <w:t>随着可再生能源部署的加速，安全且可扩展的长期储能（LDES）变得越来越重要。氧化还原液流电池 (RFB) 具有固有的不可燃性和解耦的能量-功率架构，但数小时的运行和数十年的使用寿命需要精确的状态解析诊断。对于有机氧化还原活性物质和新兴架构（例如氧化还原靶向液流电池和电化学二氧化碳捕获系统）来说，这些挑战更加严峻。这一观点强调了原位和操作光谱和电化学工具的最新进展，包括紫外可见近红外、核磁共振/电子顺磁共振、振动光谱、X射线技术、荧光显微镜、中子成像、超微电极和SECM，可解决电解质形态、瞬态中间体、聚集和界面动力学。这些方法为合理的电解质设计和下一代 RFB 开发建立了机械框架。</w:t>
      </w:r>
    </w:p>
    <w:p>
      <w:pPr>
        <w:spacing w:before="0" w:after="200" w:lineRule="auto" w:line="276"/>
      </w:pPr>
      <w:r>
        <w:rPr>
          <w:b/>
        </w:rPr>
        <w:t xml:space="preserve">Abstract (EN): </w:t>
      </w:r>
      <w:r>
        <w:t>As renewable energy deployment accelerates, safe and scalable long-duration energy storage (LDES) becomes increasingly critical. Redox flow batteries (RFBs) offer intrinsic nonflammability and decoupled energy-power architectures, yet multihour operation and multidecade lifetimes demand precise and state-resolved diagnostics. These challenges are intensified for organic redox-active species and emerging architectures such as redox-targeting flow batteries and electrochemical CO2 capture systems. This perspective highlights recent advances in in situ and operando spectroscopic and electrochemical tools, including UV-vis-NIR, NMR/EPR, vibrational spectroscopy, X-ray technique, fluorescence microscopy, neutron imaging, ultramicroelectrodes, and SECM, that resolve electrolyte speciation, transient intermediates, aggregation, and interfacial kinetics. These methodologies establish a mechanistic framework for rational electrolyte design and next-generation RFB development.</w:t>
      </w:r>
    </w:p>
    <w:p>
      <w:pPr>
        <w:spacing w:before="120" w:after="120"/>
      </w:pPr>
      <w:r>
        <w:rPr>
          <w:sz w:val="18"/>
        </w:rPr>
        <w:t>——————————————————————————————————————————————————————————————————————</w:t>
      </w:r>
    </w:p>
    <w:p>
      <w:pPr>
        <w:spacing w:before="160" w:after="40" w:line="240" w:lineRule="auto"/>
      </w:pPr>
      <w:r>
        <w:rPr>
          <w:b/>
        </w:rPr>
        <w:t xml:space="preserve">[4] </w:t>
      </w:r>
      <w:hyperlink r:id="rId135">
        <w:r>
          <w:rPr>
            <w:color w:val="1155CC"/>
            <w:u w:val="single"/>
          </w:rPr>
          <w:t>悬浮宏观转子可在室温下自由旋转 10 小时</w:t>
        </w:r>
      </w:hyperlink>
    </w:p>
    <w:p>
      <w:pPr>
        <w:spacing w:before="0" w:after="80"/>
      </w:pPr>
      <w:r>
        <w:rPr>
          <w:i/>
          <w:sz w:val="20"/>
        </w:rPr>
        <w:t>EN: Levitated macroscopic rotors with 10 hours of free spin at room temperature</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具有大角动量的低耗散转子对于精密传感和探测宏观量子现象至关重要。迄今为止，只有微型转子才能实现低耗散。在这里，我们报告了一种反磁悬浮毫米级转子，其在室温下测量的耗散率低至 3.85 μHz，相当于自由旋转持续时间超过 10 小时。转子稳定地悬浮在轴对称永磁体陷阱上方，并且可以在高真空中使用非接触式静电驱动将其驱动至高达 930 RPM。利用其低阻尼率和大角动量，我们实现了一种精密陀螺仪，其测量灵敏度为 6.5 × 10−3 °/s，估计热极限稳定性为 5.7×10−7∘/h" role="presentation"&gt;5.7×10−7∘/h5.7 \, \times \, 1{0}^{-7 \, {^{\circ}}} /\sqrt{{\rm{h}}}。这些结果确立了反磁悬浮作为高性能传感器的一个有前途的室温平台。</w:t>
      </w:r>
    </w:p>
    <w:p>
      <w:pPr>
        <w:spacing w:before="0" w:after="200" w:lineRule="auto" w:line="276"/>
      </w:pPr>
      <w:r>
        <w:rPr>
          <w:b/>
        </w:rPr>
        <w:t xml:space="preserve">Abstract (EN): </w:t>
      </w:r>
      <w:r>
        <w:t>Low-dissipation rotors with large angular momentum are essential for precision sensing and probing macroscopic quantum phenomena. To date, low dissipation can only be achieved for micro-scale rotors. Here, we report a diamagnetically levitated millimeter-scale rotor exhibiting a measured dissipation rate as low as 3.85 μHz at room temperature, corresponding to a free spinning duration exceeding 10 hours. The rotor is levitated stably over an axisymmetric permanent magnet trap, and can be driven up to 930 RPM using contactless electrostatic actuation in high vacuum. Leveraging its low damping rate and large angular momentum, we realize a precision gyroscope with a measured sensitivity of 6.5 × 10−3 °/s and an estimated thermal-limited stability of 5.7&amp;#x00D7;10&amp;#x2212;7&amp;#x2218;/h" role="presentation"&gt;5.7×10−7∘/h5.7 \, \times \, 1{0}^{-7 \, {^{\circ}}} /\sqrt{{\rm{h}}}. These results establish diamagnetic levitation as a promising room-temperature platform for high-performance sensors.</w:t>
      </w:r>
    </w:p>
    <w:p>
      <w:pPr>
        <w:spacing w:before="120" w:after="120"/>
      </w:pPr>
      <w:r>
        <w:rPr>
          <w:sz w:val="18"/>
        </w:rPr>
        <w:t>——————————————————————————————————————————————————————————————————————</w:t>
      </w:r>
    </w:p>
    <w:p>
      <w:pPr>
        <w:spacing w:before="160" w:after="40" w:line="240" w:lineRule="auto"/>
      </w:pPr>
      <w:r>
        <w:rPr>
          <w:b/>
        </w:rPr>
        <w:t xml:space="preserve">[5] </w:t>
      </w:r>
      <w:hyperlink r:id="rId136">
        <w:r>
          <w:rPr>
            <w:color w:val="1155CC"/>
            <w:u w:val="single"/>
          </w:rPr>
          <w:t>K/Sr 双掺杂可同时增强 β-PbF 2 基固态氟化物离子电解质的离子电导率和相稳定性</w:t>
        </w:r>
      </w:hyperlink>
    </w:p>
    <w:p>
      <w:pPr>
        <w:spacing w:before="0" w:after="80"/>
      </w:pPr>
      <w:r>
        <w:rPr>
          <w:i/>
          <w:sz w:val="20"/>
        </w:rPr>
        <w:t>EN: K/Sr Dual-Doping Enables Simultaneous Enhancement of Ionic Conductivity and Phase Stability for β-PbF 2 -Based Solid-State Fluoride-Ion Electrolyte</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137">
        <w:r>
          <w:rPr>
            <w:color w:val="1155CC"/>
            <w:u w:val="single"/>
          </w:rPr>
          <w:t>10.1021/acsami.6c09357</w:t>
        </w:r>
      </w:hyperlink>
    </w:p>
    <w:p>
      <w:pPr>
        <w:spacing w:before="0" w:after="120"/>
      </w:pPr>
      <w:r>
        <w:rPr>
          <w:b/>
        </w:rPr>
        <w:t xml:space="preserve">Notes: </w:t>
      </w:r>
      <w:r>
        <w:t>abstract_source=pubmed</w:t>
      </w:r>
    </w:p>
    <w:p>
      <w:pPr>
        <w:spacing w:before="0" w:after="80" w:lineRule="auto" w:line="276"/>
      </w:pPr>
      <w:r>
        <w:rPr>
          <w:b/>
        </w:rPr>
        <w:t xml:space="preserve">摘要（ZH）: </w:t>
      </w:r>
      <w:r>
        <w:t>全固态氟离子电池（ASSFIB）集高理论能量密度、高安全特性和低制造成本于一体，使其成为下一代储能技术的有希望的候选者。然而，高性能氟离子固体电解质的固有缺点严重限制了其实际应用。本文设计了钾/锶双掺杂策略，通过简单的固相反应方法合成了具有萤石结构的氟离子导体β-Pb0.88Sr0.08K0.04F1.96。研究发现，KF掺杂可以引入丰富的氟空位缺陷，有效提高空位浓度，而SrF2和PbF2可以形成连续的固溶体，不仅分散K+掺杂产生的氟空位，抑制缺陷聚集，显着增强相稳定性，而且通过掺入Sr2+引起适度的晶格畸变。通过重构F-的局域配位环境，可以减弱F-与Pb2+之间的静电相互作用，从而降低离子迁移能垒。由于较高的空位浓度和较低的迁移势垒，所制备的材料在室温下表现出4.77 × 10-4 S·cm-1的高离子电导率，超过了大多数报道的氟离子导体。以氟离子导体作为固体电解质组装的ASSFIB在400次循环后的放电比容量约为132.5 mAh·g-1，容量保持率为97.4%。因此，这</w:t>
      </w:r>
    </w:p>
    <w:p>
      <w:pPr>
        <w:spacing w:before="0" w:after="200" w:lineRule="auto" w:line="276"/>
      </w:pPr>
      <w:r>
        <w:rPr>
          <w:b/>
        </w:rPr>
        <w:t xml:space="preserve">Abstract (EN): </w:t>
      </w:r>
      <w:r>
        <w:t>All-solid-state fluoride-ion batteries (ASSFIBs) integrate high theoretical energy density, high safety characteristics, and low manufacturing costs, making them a promising candidate for next-generation energy storage technologies. However, the intrinsic shortcomings of high-performance fluoride-ion solid electrolytes severely limit their practical application. Herein, a potassium/strontium dual-doping strategy is designed to synthesize the fluoride-ion conductor β-Pb0.88Sr0.08K0.04F1.96 with a fluorite structure via a straightforward solid-state reaction method. It has been found that KF doping can introduce abundant fluorine vacancy defects to effectively enhance vacancy concentration, while SrF2 and PbF2 can form a continuous solid solution that not only disperses fluorine vacancies generated by K+ doping and suppresses defect aggregation to significantly enhance phase stability, but also induces moderate lattice distortion through the incorporated Sr2+. Through reconfiguration of the local coordination environment of F-, the electrostatic interaction between F- and Pb2+ can be weakened, thereby reducing the ionic migration energy barrier. Owing to the higher vacancy concentration and lower migration barrier, the as-prepared material exhibits a high ionic conductivity of 4.77 × 10-4 S·cm-1 at room temperature, exceeding most reported fluoride ion conductors. ASSFIBs assembled with the fluoride ion conductor as the solid electrolyte present a discharge specific capacity of approximately 132.5 mAh·g-1 over 400 cycles and a capacity retention rate of 97.4%. Therefore, this work offers unique insights into the rational design of PbF2-based solid electrolytes featuring both high ionic conductivity and exceptional phase stability.</w:t>
      </w:r>
    </w:p>
    <w:p>
      <w:pPr>
        <w:spacing w:before="120" w:after="120"/>
      </w:pPr>
      <w:r>
        <w:rPr>
          <w:sz w:val="18"/>
        </w:rPr>
        <w:t>——————————————————————————————————————————————————————————————————————</w:t>
      </w:r>
    </w:p>
    <w:p>
      <w:pPr>
        <w:spacing w:before="160" w:after="40" w:line="240" w:lineRule="auto"/>
      </w:pPr>
      <w:r>
        <w:rPr>
          <w:b/>
        </w:rPr>
        <w:t xml:space="preserve">[6] </w:t>
      </w:r>
      <w:hyperlink r:id="rId138">
        <w:r>
          <w:rPr>
            <w:color w:val="1155CC"/>
            <w:u w:val="single"/>
          </w:rPr>
          <w:t>大面积二维 MoO3 作为范德华积分的高 κ 电介质</w:t>
        </w:r>
      </w:hyperlink>
    </w:p>
    <w:p>
      <w:pPr>
        <w:spacing w:before="0" w:after="80"/>
      </w:pPr>
      <w:r>
        <w:rPr>
          <w:i/>
          <w:sz w:val="20"/>
        </w:rPr>
        <w:t>EN: Large-area two-dimensional MoO3 as a high-κ dielectric for van der Waals integration</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大面积高质量电介质对于二维 (2D) 晶体管的集成至关重要。然而，这种集成仍然具有挑战性，特别是对于需要沉积工艺的传统电介质。采用范德华 (vdW) 电介质很有吸引力。三氧化钼 (α-MoO3) 已被证明可作为二维场效应晶体管 (FET) 中的 vdW 电介质，但之前的演示显示性能有限且尺寸较小。在这里，我们生长了厚度均匀的大面积单晶 MoO3，并探索了其作为电介质的特性。单晶 MoO3 达到毫米级，并保持约 18.5 的高介电常数、在 3.0 MV cm−1 时约 10−2 A cm−2 的低栅极泄漏以及约 26.75 MV cm−1 的大击穿场。顶栅二硫化钼 (MoS2) 晶体管的平均亚阈值摆幅约为 71 mV dec−1，开/关电流比超过 108。此外，我们还演示了基于 MoO3 的集成电路和低功耗互补金属氧化物半导体 (CMOS) 逆变器。</w:t>
      </w:r>
    </w:p>
    <w:p>
      <w:pPr>
        <w:spacing w:before="0" w:after="200" w:lineRule="auto" w:line="276"/>
      </w:pPr>
      <w:r>
        <w:rPr>
          <w:b/>
        </w:rPr>
        <w:t xml:space="preserve">Abstract (EN): </w:t>
      </w:r>
      <w:r>
        <w:t>Large-area high-quality dielectrics are essential for the integration of two-dimensional (2D) transistors. However, this integration remains challenging, especially for conventional dielectrics that require deposition processes. Adopting van der Waals (vdW) dielectrics is attractive. Molybdenum trioxide (α-MoO3) has been demonstrated as a vdW dielectric in 2D field-effect transistors (FETs), but previous demonstrations showed limited performance and small size. Here, we grow large-area single-crystalline MoO3 with uniform thickness and explore its properties as a dielectric. Single-crystalline MoO3 reaches the millimeter scale and maintains a high dielectric constant of ~ 18.5, low gate leakage of approximately 10−2 A cm−2 at 3.0 MV cm−1, and a large breakdown field of ~ 26.75 MV cm−1. Top-gated molybdenum disulfide (MoS2) transistors exhibit an average subthreshold swing of ~ 71 mV dec−1, and an on/off current ratio exceeding 108. Furthermore, we demonstrate MoO3-based integrated circuits and low-power complementary metal-oxide-semiconductor (CMOS) inverters.</w:t>
      </w:r>
    </w:p>
    <w:p>
      <w:pPr>
        <w:spacing w:before="120" w:after="120"/>
      </w:pPr>
      <w:r>
        <w:rPr>
          <w:sz w:val="18"/>
        </w:rPr>
        <w:t>——————————————————————————————————————————————————————————————————————</w:t>
      </w:r>
    </w:p>
    <w:p>
      <w:pPr>
        <w:spacing w:before="160" w:after="40" w:line="240" w:lineRule="auto"/>
      </w:pPr>
      <w:r>
        <w:rPr>
          <w:b/>
        </w:rPr>
        <w:t xml:space="preserve">[7] </w:t>
      </w:r>
      <w:hyperlink r:id="rId139">
        <w:r>
          <w:rPr>
            <w:color w:val="1155CC"/>
            <w:u w:val="single"/>
          </w:rPr>
          <w:t>优化陷阱和二面角以调节高温电介质储能的电荷传输行为</w:t>
        </w:r>
      </w:hyperlink>
    </w:p>
    <w:p>
      <w:pPr>
        <w:spacing w:before="0" w:after="80"/>
      </w:pPr>
      <w:r>
        <w:rPr>
          <w:i/>
          <w:sz w:val="20"/>
        </w:rPr>
        <w:t>EN: Optimizing Traps and Dihedral Angles to Modulate Charge Transport Behavior for High-Temperature Dielectric Energy Storage</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高温介电薄膜在下一代微电子和电力系统中具有广阔的前景。然而，市售的静电储能介电材料，特别是双向拉伸聚丙烯，存在能量密度低、效率低、可靠性差等缺点，限制了薄膜电容器在恶劣环境下的应用。在此，一系列萘四甲酸二酐被纳入聚醚酰亚胺（PEI）主链中，从而调节电荷传输行为。具体而言，陷阱和二面角的协同调节有效增强了PEI的击穿强度。在200°C时，优化的介电薄膜以90%的效率提供6.00 J cm−3的放电能量密度，并在300 MV m−1的105次充放电循环中保持稳定的性能。由优化的薄膜制备的多层堆叠薄膜电容器表现出显着的热稳定性和电容性能。这项工作提出了一种开发具有卓越储能性能、卓越热稳定性和可扩展制造能力的介电薄膜的可行策略。</w:t>
      </w:r>
    </w:p>
    <w:p>
      <w:pPr>
        <w:spacing w:before="0" w:after="200" w:lineRule="auto" w:line="276"/>
      </w:pPr>
      <w:r>
        <w:rPr>
          <w:b/>
        </w:rPr>
        <w:t xml:space="preserve">Abstract (EN): </w:t>
      </w:r>
      <w:r>
        <w:t>High-temperature dielectric films hold broad prospects in next-generation microelectronics and power systems. However, commercially available dielectric materials for electrostatic energy storage, specifically biaxially oriented polypropylene, suffer from drawbacks such as low energy density, low efficiency, and poor reliability, which limit the application of film capacitors in harsh environments. Herein, a series of naphthalene tetracarboxylic acid dianhydrides were incorporated into polyetherimide (PEI) backbone, thereby modulating the charge transport behavior. Specifically, synergistic regulation of traps and dihedral angles has effectively enhanced the breakdown strength of PEI. At 200 °C, the optimized dielectric film delivers a discharged energy density of 6.00 J cm−3 at an efficiency of 90%, and maintains stable performance over 105 charge-discharge cycles at 300 MV m−1. Multilayer stacked film capacitors prepared from the optimized films exhibit remarkable thermal stability and capacitive performance. This work proposes a feasible strategy for developing dielectric films with remarkable energy storage performance, superior thermal stability, and scalable fabrication capability.</w:t>
      </w:r>
    </w:p>
    <w:p>
      <w:pPr>
        <w:spacing w:before="120" w:after="120"/>
      </w:pPr>
      <w:r>
        <w:rPr>
          <w:sz w:val="18"/>
        </w:rPr>
        <w:t>——————————————————————————————————————————————————————————————————————</w:t>
      </w:r>
    </w:p>
    <w:p>
      <w:pPr>
        <w:spacing w:before="160" w:after="40" w:line="240" w:lineRule="auto"/>
      </w:pPr>
      <w:r>
        <w:rPr>
          <w:b/>
        </w:rPr>
        <w:t xml:space="preserve">[8] </w:t>
      </w:r>
      <w:hyperlink r:id="rId140">
        <w:r>
          <w:rPr>
            <w:color w:val="1155CC"/>
            <w:u w:val="single"/>
          </w:rPr>
          <w:t>超级电容器集成电动汽车：拓扑、技术经济分析和未来路线图</w:t>
        </w:r>
      </w:hyperlink>
    </w:p>
    <w:p>
      <w:pPr>
        <w:spacing w:before="0" w:after="80"/>
      </w:pPr>
      <w:r>
        <w:rPr>
          <w:i/>
          <w:sz w:val="20"/>
        </w:rPr>
        <w:t>EN: Supercapacitor-integrated electric vehicles: Topologies, techno-economic analysis, and future roadmap</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41">
        <w:r>
          <w:rPr>
            <w:color w:val="1155CC"/>
            <w:u w:val="single"/>
          </w:rPr>
          <w:t>释放锰基普鲁士蓝阴极的电容去离子能力</w:t>
        </w:r>
      </w:hyperlink>
    </w:p>
    <w:p>
      <w:pPr>
        <w:spacing w:before="0" w:after="80"/>
      </w:pPr>
      <w:r>
        <w:rPr>
          <w:i/>
          <w:sz w:val="20"/>
        </w:rPr>
        <w:t>EN: Unlocking the capacity of Mn-based Prussian blue cathodes in capacitive deionization</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锰 (Mn) 基普鲁士蓝类似物 (PBA) 由于其固有的 Jahn-Teller 效应畸变和低电导率，通常表现出次优的电化学性能。在这里，提出了钾替代和高熵策略来协同构建K2(FeMnCoNiCu)[Fe(CN)6](K-HEHCF)阴极来解决上述问题。 K-HEHCF表现出优异的电容去离子（CDI）性能，在1.4 V时具有104.92 mg g−1的高吸附容量，200次循环后容量保持率接近100%。在优化条件下，K-HEHCF电极对模拟循环冷却水样中的阳离子表现出显着的去除效果，表现出一定的实用性。通过综合表征各种物理化学性质，发现高熵和K取代的协同作用增强了电子电导率，构建了电荷补偿网络，抑制了相变，并且由于反应过程中Na+和K+的不完全交换，部分残留的K+作为主链稳定了骨架结构。此外，组装的CDI电池可以作为海水淡化电池驱动LED，从而实现能量回收。这项工作进一步挖掘了锰基PBAs正极的潜力，为设计兼具容量和稳定性的PBAs电极提供了思路。</w:t>
      </w:r>
    </w:p>
    <w:p>
      <w:pPr>
        <w:spacing w:before="0" w:after="200" w:lineRule="auto" w:line="276"/>
      </w:pPr>
      <w:r>
        <w:rPr>
          <w:b/>
        </w:rPr>
        <w:t xml:space="preserve">Abstract (EN): </w:t>
      </w:r>
      <w:r>
        <w:t>Manganese (Mn)-based Prussian blue analogs (PBAs) typically exhibit suboptimal electrochemical performance due to their inherent Jahn-Teller effect distortion and low electrical conductivity. Here, a potassium substitution and high entropy strategy is proposed to synergistically construct K2(FeMnCoNiCu)[Fe(CN)6] (K-HEHCF) cathode to address the aforementioned issues. K-HEHCF exhibits excellent capacitive deionization (CDI) performance, with a high adsorption capacity of 104.92 mg g−1 at 1.4 V, and capacity retention close to 100% after 200 cycles. Under optimized conditions, the K-HEHCF electrode exhibits a significant removal effect on the cations in the simulated circulating cooling water sample, demonstrating certain practicality. By comprehensively characterizing various physical and chemical properties, it was found that the synergistic effect of high entropy and K substitution enhanced the electronic conductivity, constructed a charge compensation network, inhibited phase transformation, and due to the incomplete exchange of Na+ and K+ during the reaction process, some residual K+ served as the backbone to stabilize the framework structure. Additionally, the assembled CDI cell can drive LED as a desalination battery, enabling energy recovery. This work further exploits the potential of manganese-based PBAs cathodes and provides a ideas for the design of PBAs electrodes with both capacity and stability.</w:t>
      </w:r>
    </w:p>
    <w:p>
      <w:pPr>
        <w:spacing w:before="120" w:after="120"/>
      </w:pPr>
      <w:r>
        <w:rPr>
          <w:sz w:val="18"/>
        </w:rPr>
        <w:t>——————————————————————————————————————————————————————————————————————</w:t>
      </w:r>
    </w:p>
    <w:p>
      <w:pPr>
        <w:spacing w:before="160" w:after="40" w:line="240" w:lineRule="auto"/>
      </w:pPr>
      <w:r>
        <w:rPr>
          <w:b/>
        </w:rPr>
        <w:t xml:space="preserve">[10] </w:t>
      </w:r>
      <w:hyperlink r:id="rId142">
        <w:r>
          <w:rPr>
            <w:color w:val="1155CC"/>
            <w:u w:val="single"/>
          </w:rPr>
          <w:t>单层极限下的不正确几何铁电性</w:t>
        </w:r>
      </w:hyperlink>
    </w:p>
    <w:p>
      <w:pPr>
        <w:spacing w:before="0" w:after="80"/>
      </w:pPr>
      <w:r>
        <w:rPr>
          <w:i/>
          <w:sz w:val="20"/>
        </w:rPr>
        <w:t>EN: Improper geometric ferroelectricity at the monolayer limit</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43">
        <w:r>
          <w:rPr>
            <w:color w:val="1155CC"/>
            <w:u w:val="single"/>
          </w:rPr>
          <w:t>10.1126/sciadv.aec5221</w:t>
        </w:r>
      </w:hyperlink>
    </w:p>
    <w:p>
      <w:pPr>
        <w:spacing w:before="0" w:after="120"/>
      </w:pPr>
      <w:r>
        <w:rPr>
          <w:b/>
        </w:rPr>
        <w:t xml:space="preserve">Notes: </w:t>
      </w:r>
      <w:r>
        <w:t>abstract_source=crossref</w:t>
      </w:r>
    </w:p>
    <w:p>
      <w:pPr>
        <w:spacing w:before="0" w:after="80" w:lineRule="auto" w:line="276"/>
      </w:pPr>
      <w:r>
        <w:rPr>
          <w:b/>
        </w:rPr>
        <w:t xml:space="preserve">摘要（ZH）: </w:t>
      </w:r>
      <w:r>
        <w:t>不适当的铁电体，其中电极化作为初级有序参数（例如非极性结构畸变）的二次效应而出现，理论上预计不会表现出固有的厚度限制。然而，这一预测与实验不一致，在实验中观察到在六个公式单位厚的不合适的铁电薄膜中铁电性消失。我们超越了传统的外延设计范式，主要关注面内晶格失配和化学键合，从而超越了这一限制。通过考虑面外方向的结构兼容性，我们实现了单层极限下不减少的不当铁电性。我们的研究结果证实了理论上预测的不适当铁电材料不存在临界厚度的情况，并为设计额外的超薄铁电材料建立了广泛适用的策略。</w:t>
      </w:r>
    </w:p>
    <w:p>
      <w:pPr>
        <w:spacing w:before="0" w:after="200" w:lineRule="auto" w:line="276"/>
      </w:pPr>
      <w:r>
        <w:rPr>
          <w:b/>
        </w:rPr>
        <w:t xml:space="preserve">Abstract (EN): </w:t>
      </w:r>
      <w:r>
        <w:t>Improper ferroelectrics, in which electric polarization emerges as a secondary effect of primary order parameters such as nonpolar structural distortions, are theoretically predicted to exhibit no intrinsic thickness limit. Yet, this prediction is inconsistent with experiment where ferroelectricity is observed to disappear in improper ferroelectric films under six formula units thick. We transcend this limitation by moving beyond the conventional epitaxial design paradigm that focuses largely on in-plane lattice mismatch and chemical bonding. By considering structural compatibility in the out-of-plane direction, we realize undiminished improper ferroelectricity at the monolayer limit. Our findings confirm the theoretically predicted absence of a critical thickness for improper ferroelectrics and establish a broadly applicable strategy for designing additional ultrathin ferroelectric materials.</w:t>
      </w:r>
    </w:p>
    <w:p>
      <w:pPr>
        <w:spacing w:before="120" w:after="120"/>
      </w:pPr>
      <w:r>
        <w:rPr>
          <w:sz w:val="18"/>
        </w:rPr>
        <w:t>——————————————————————————————————————————————————————————————————————</w:t>
      </w:r>
    </w:p>
    <w:p>
      <w:pPr>
        <w:spacing w:before="160" w:after="40" w:line="240" w:lineRule="auto"/>
      </w:pPr>
      <w:r>
        <w:rPr>
          <w:b/>
        </w:rPr>
        <w:t xml:space="preserve">[11] </w:t>
      </w:r>
      <w:hyperlink r:id="rId144">
        <w:r>
          <w:rPr>
            <w:color w:val="1155CC"/>
            <w:u w:val="single"/>
          </w:rPr>
          <w:t>揭示在充电可逆 LiOH 基非水锂时控制 O2 释放的关键因素 | |氧气电池</w:t>
        </w:r>
      </w:hyperlink>
    </w:p>
    <w:p>
      <w:pPr>
        <w:spacing w:before="0" w:after="80"/>
      </w:pPr>
      <w:r>
        <w:rPr>
          <w:i/>
          <w:sz w:val="20"/>
        </w:rPr>
        <w:t>EN: Unravelling the key factors governing O2 evolution upon charging a reversible LiOH-based nonaqueous Li | |O2 battery</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对于非水氢氧化锂基锂来说，实现可逆的每个氧分子四个电子的析氧反应是一项重要但极具挑战性的任务。 |氧气电池，因为动力学缓慢的析氧反应往往会与竞争性的寄生反应纠缠在一起，而其起源和缓解策略在很大程度上仍然难以捉摸。在这里，我们构建了一种高度可逆的氢氧化锂基Li | |使用铁-钴-镍层状双氢氧化物催化剂和四亚甲基砜基电解质的O2电池。氢氧化锂向氧气释放的分解涉及表面结合的羟基和羟基自由基的关键活性氧物种，但不涉及单线态氧。这些羟基物质会腐蚀电解质和碳载体，这主要是造成充电不可逆性的原因。虽然抗氧化溶剂和电导体对于减少羟基引起的副反应是必要的，但界面水溶剂化和催化表面结构的协同相互作用是控制羟基活性转向所需的析氧反应或副产物形成的关键。这项工作为实现长寿命氢氧化锂基锂提供了见解。 |氧气电池。</w:t>
      </w:r>
    </w:p>
    <w:p>
      <w:pPr>
        <w:spacing w:before="0" w:after="200" w:lineRule="auto" w:line="276"/>
      </w:pPr>
      <w:r>
        <w:rPr>
          <w:b/>
        </w:rPr>
        <w:t xml:space="preserve">Abstract (EN): </w:t>
      </w:r>
      <w:r>
        <w:t>Achieving a reversible four-electron-per-oxygen-molecule oxygen evolution reaction is an essential yet highly challenging task for nonaqueous lithium hydroxide-based Li | |O2 batteries, as the kinetically sluggish oxygen evolution reaction tends to entangle with competing parasitic reactions, whose origins and mitigating strategies remain largely elusive. Here we construct a highly reversible lithium hydroxide-based Li | |O2 battery using iron–cobalt–nickel layered double hydroxide catalysts and tetramethylene sulfone-based electrolytes. Lithium hydroxide decomposition toward oxygen evolution involves key reactive oxygen species of surface-bound hydroxyl and hydroxyl radicals, but no singlet oxygen. These hydroxyl species corrode the electrolyte and carbon support, predominantly accounting for charging irreversibility. While oxidation-resistant solvents and electrical conductors are necessary to reduce hydroxyl-induced side reactions, the synergistic interplay of interfacial water solvation and catalytic surface structures hold the key to steering hydroxyl activity toward the desirable oxygen evolution reaction or by-product formation. This work offers insights into achieving long-life lithium hydroxide-based Li | |O2 batteries.</w:t>
      </w:r>
    </w:p>
    <w:p>
      <w:pPr>
        <w:spacing w:before="120" w:after="120"/>
      </w:pPr>
      <w:r>
        <w:rPr>
          <w:sz w:val="18"/>
        </w:rPr>
        <w:t>——————————————————————————————————————————————————————————————————————</w:t>
      </w:r>
    </w:p>
    <w:p>
      <w:pPr>
        <w:spacing w:before="160" w:after="40" w:line="240" w:lineRule="auto"/>
      </w:pPr>
      <w:r>
        <w:rPr>
          <w:b/>
        </w:rPr>
        <w:t xml:space="preserve">[12] </w:t>
      </w:r>
      <w:hyperlink r:id="rId145">
        <w:r>
          <w:rPr>
            <w:color w:val="1155CC"/>
            <w:u w:val="single"/>
          </w:rPr>
          <w:t>使用木质离子选择性发电机从废水中带电的总溶解固体中连续发电</w:t>
        </w:r>
      </w:hyperlink>
    </w:p>
    <w:p>
      <w:pPr>
        <w:spacing w:before="0" w:after="80"/>
      </w:pPr>
      <w:r>
        <w:rPr>
          <w:i/>
          <w:sz w:val="20"/>
        </w:rPr>
        <w:t>EN: Continuous electricity from charged total dissolved solids in wastewater using a wood-based ion-selective power generator</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探索废水二次利用潜力是实现“取用-再利用-再利用”循环经济的审慎策略。利用木材的分层结构和大表面积的优势，在该项目中，我们通过两步工艺制造了表面封装的阴离子选择性和阳离子选择性木质膜（包含高达98％的环保材料）：用带正电的甲基丙烯酸2（二甲氨基）乙酯或带负电的丙烯酸浸涂，然后进行节能的阳光诱导聚合。烟气脱硫调制废水中单个改性木细胞​​（20×20×3 mm3）的输出电压和电流分别为 55 mV 和 0.6 µA，比未经处理的木细胞高十倍。当五个电池串联时，输出电压达到 0.27 V，足以为简单的电子设备供电。这强调了其扩大规模的潜力及其未来在工业发电厂应用的可行性。</w:t>
      </w:r>
    </w:p>
    <w:p>
      <w:pPr>
        <w:spacing w:before="0" w:after="200" w:lineRule="auto" w:line="276"/>
      </w:pPr>
      <w:r>
        <w:rPr>
          <w:b/>
        </w:rPr>
        <w:t xml:space="preserve">Abstract (EN): </w:t>
      </w:r>
      <w:r>
        <w:t>Exploring the potential for secondary utilization of wastewater is a prudent strategy to achieve “take-make-use-reuse” circular economy. Taking advantages of wood’s hierarchical structure and large surface area, in this project, we fabricate surface-encapsulated anion-selective and cation-selective wood membranes (comprising up to 98% eco-friendly materials) through a two-step process: dip-coating with either positively charged 2(dimethylamino)ethyl methacrylate or negatively charged acrylic acid, followed by energy-efficient sunlight-induced polymerization. The output voltage and current of a single modified wood cell (20 × 20 × 3 mm3) in modulated wastewater from flue gas desulfurization are 55 mV and 0.6 µA, respectively, tenfold higher than that of untreated wood cells. When five cells are connected in series, the output voltage reaches 0.27 V, sufficient to power simple electronic devices. This underscores its potential for scaling up and its viability for future applications in industrial power plants.</w:t>
      </w:r>
    </w:p>
    <w:p>
      <w:pPr>
        <w:spacing w:before="120" w:after="120"/>
      </w:pPr>
      <w:r>
        <w:rPr>
          <w:sz w:val="18"/>
        </w:rPr>
        <w:t>——————————————————————————————————————————————————————————————————————</w:t>
      </w:r>
    </w:p>
    <w:p>
      <w:pPr>
        <w:spacing w:before="160" w:after="40" w:line="240" w:lineRule="auto"/>
      </w:pPr>
      <w:r>
        <w:rPr>
          <w:b/>
        </w:rPr>
        <w:t xml:space="preserve">[13] </w:t>
      </w:r>
      <w:hyperlink r:id="rId146">
        <w:r>
          <w:rPr>
            <w:color w:val="1155CC"/>
            <w:u w:val="single"/>
          </w:rPr>
          <w:t>作者更正：应对欧洲Dunkelflaute事件的长期电力存储需求</w:t>
        </w:r>
      </w:hyperlink>
    </w:p>
    <w:p>
      <w:pPr>
        <w:spacing w:before="0" w:after="80"/>
      </w:pPr>
      <w:r>
        <w:rPr>
          <w:i/>
          <w:sz w:val="20"/>
        </w:rPr>
        <w:t>EN: Author Correction: Long-duration electricity storage needs for coping with Dunkelflaute events in Europe</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47">
        <w:r>
          <w:rPr>
            <w:color w:val="1155CC"/>
            <w:u w:val="single"/>
          </w:rPr>
          <w:t>超晶格热电学的最新进展</w:t>
        </w:r>
      </w:hyperlink>
    </w:p>
    <w:p>
      <w:pPr>
        <w:spacing w:before="0" w:after="80"/>
      </w:pPr>
      <w:r>
        <w:rPr>
          <w:i/>
          <w:sz w:val="20"/>
        </w:rPr>
        <w:t>EN: Recent Advances in Superlattice-Based Thermoelectrics</w:t>
      </w:r>
    </w:p>
    <w:p>
      <w:pPr>
        <w:spacing w:before="0" w:after="120"/>
      </w:pPr>
      <w:r>
        <w:rPr>
          <w:b/>
        </w:rPr>
        <w:t xml:space="preserve">Source: </w:t>
      </w:r>
      <w:r>
        <w:t>ACS Applied Materials &amp; Interfaces: Latest Articles (ACS Publications)</w:t>
      </w:r>
      <w:r>
        <w:t xml:space="preserve">    </w:t>
      </w:r>
      <w:r>
        <w:rPr>
          <w:b/>
        </w:rPr>
        <w:t xml:space="preserve">Pub date: </w:t>
      </w:r>
      <w:r>
        <w:t>2026-07-04 00:00:00+00:00</w:t>
      </w:r>
      <w:r>
        <w:t xml:space="preserve">    </w:t>
      </w:r>
      <w:r>
        <w:rPr>
          <w:b/>
        </w:rPr>
        <w:t xml:space="preserve">DOI: </w:t>
      </w:r>
      <w:hyperlink r:id="rId148">
        <w:r>
          <w:rPr>
            <w:color w:val="1155CC"/>
            <w:u w:val="single"/>
          </w:rPr>
          <w:t>10.1021/acsami.6c04640</w:t>
        </w:r>
      </w:hyperlink>
    </w:p>
    <w:p>
      <w:pPr>
        <w:spacing w:before="0" w:after="120"/>
      </w:pPr>
      <w:r>
        <w:rPr>
          <w:b/>
        </w:rPr>
        <w:t xml:space="preserve">Notes: </w:t>
      </w:r>
      <w:r>
        <w:t>abstract_source=openalex</w:t>
      </w:r>
    </w:p>
    <w:p>
      <w:pPr>
        <w:spacing w:before="0" w:after="80" w:lineRule="auto" w:line="276"/>
      </w:pPr>
      <w:r>
        <w:rPr>
          <w:b/>
        </w:rPr>
        <w:t xml:space="preserve">摘要（ZH）: </w:t>
      </w:r>
      <w:r>
        <w:t>超晶格（SL）因其独特的周期性结构而脱颖而出，并允许通过结构设计和界面特征修改对其性能进行细微调整，这在不同领域获得了广泛关注。特别是在热电领域，令人鼓舞的是，它的存在为解决热电材料研究的中心问题，即热输运和电输运的解耦提供了一种新颖的策略。界面处额外的声子散射，加上界面处的电荷转移和能量过滤，使其同时具有极低的热传输特性和优异的电传输特性。这些特性使超晶格成为传统热电材料的替代品。在这里，我们重点关注热传输定制和元素选择以及 SL 中的界面特征之间的复杂关系。然后，通过精心挑选的例子回顾了各种基于SL的热电材料系统及其电传输调制机制的研究最新进展，随后强调了它们对能量收集和制冷的贡献。回顾最终总结了材料、设备和应用未来发展的挑战和机遇。总体而言，本综述有望为高性能热电材料的研究和开发做出贡献，并扩大其应用领域。</w:t>
      </w:r>
    </w:p>
    <w:p>
      <w:pPr>
        <w:spacing w:before="0" w:after="200" w:lineRule="auto" w:line="276"/>
      </w:pPr>
      <w:r>
        <w:rPr>
          <w:b/>
        </w:rPr>
        <w:t xml:space="preserve">Abstract (EN): </w:t>
      </w:r>
      <w:r>
        <w:t>Superlattices (SLs) stand out for their unique periodic structure and allow for nuanced tuning of their properties via structural designs and interface feature modification, which have gained broad attention across diverse domains. Particularly, in the thermoelectric field, encouragingly, its existence provides a novel strategy to solve the central issue in the research of thermoelectric materials, namely, the decoupling of thermal transport and electrical transport. The extra phonon scattering at the interface, coupled with charge transfer and energy filtering in the interface, makes it possess extremely low thermal transport properties and excellent electrical transport properties simultaneously. These characteristics position the superlattices as alternatives to traditional thermoelectric materials. Herein, we heavily focus on the intricate relationship between thermal transport tailoring and element selection as well as interface features in the SLs. Then, recent advances in the research of various SL-based thermoelectric material systems and their electric transport modulation mechanisms are reviewed with carefully selected examples, subsequently emphasizing their contributions to energy harvesting and refrigeration. The review culminates in summarizing the challenges and opportunities for the future development of materials, devices, and applications. Overall, this review is expected to contribute to the research and development of high-performance thermoelectric materials and expand their application areas for researchers.</w:t>
      </w:r>
    </w:p>
    <w:p>
      <w:pPr>
        <w:spacing w:before="120" w:after="120"/>
      </w:pPr>
      <w:r>
        <w:rPr>
          <w:sz w:val="18"/>
        </w:rPr>
        <w:t>——————————————————————————————————————————————————————————————————————</w:t>
      </w:r>
    </w:p>
    <w:p>
      <w:pPr>
        <w:spacing w:before="160" w:after="40" w:line="240" w:lineRule="auto"/>
      </w:pPr>
      <w:r>
        <w:rPr>
          <w:b/>
        </w:rPr>
        <w:t xml:space="preserve">[2] </w:t>
      </w:r>
      <w:hyperlink r:id="rId149">
        <w:r>
          <w:rPr>
            <w:color w:val="1155CC"/>
            <w:u w:val="single"/>
          </w:rPr>
          <w:t>热电制冷技术的进展、挑战与前景</w:t>
        </w:r>
      </w:hyperlink>
    </w:p>
    <w:p>
      <w:pPr>
        <w:spacing w:before="0" w:after="80"/>
      </w:pPr>
      <w:r>
        <w:rPr>
          <w:i/>
          <w:sz w:val="20"/>
        </w:rPr>
        <w:t>EN: Advances, challenges and prospects in thermoelectric cooling technology</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50">
        <w:r>
          <w:rPr>
            <w:color w:val="1155CC"/>
            <w:u w:val="single"/>
          </w:rPr>
          <w:t>用于具有可调充放电温度的自适应热能存储的气体响应金属有机框架</w:t>
        </w:r>
      </w:hyperlink>
    </w:p>
    <w:p>
      <w:pPr>
        <w:spacing w:before="0" w:after="80"/>
      </w:pPr>
      <w:r>
        <w:rPr>
          <w:i/>
          <w:sz w:val="20"/>
        </w:rPr>
        <w:t>EN: Gas–Responsive Metal–Organic Frameworks for Adaptive Thermal Energy Storage with Tunable Charge–Discharge Temperatures</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151">
        <w:r>
          <w:rPr>
            <w:color w:val="1155CC"/>
            <w:u w:val="single"/>
          </w:rPr>
          <w:t>10.1021/jacs.6c07093</w:t>
        </w:r>
      </w:hyperlink>
    </w:p>
    <w:p>
      <w:pPr>
        <w:spacing w:before="0" w:after="120"/>
      </w:pPr>
      <w:r>
        <w:rPr>
          <w:b/>
        </w:rPr>
        <w:t xml:space="preserve">Notes: </w:t>
      </w:r>
      <w:r>
        <w:t>abstract_source=pubmed</w:t>
      </w:r>
    </w:p>
    <w:p>
      <w:pPr>
        <w:spacing w:before="0" w:after="80" w:lineRule="auto" w:line="276"/>
      </w:pPr>
      <w:r>
        <w:rPr>
          <w:b/>
        </w:rPr>
        <w:t xml:space="preserve">摘要（ZH）: </w:t>
      </w:r>
      <w:r>
        <w:t>基于相变材料 (PCM) 的热能存储 (TES) 系统（能源脱碳的关键技术）的主要挑战之一是实现充电和放电温度（Tcharge、Tdischarge）的动态可调性。这种能力将使单一材料能够在不同的环境条件（例如，一天中的不同时间、季节或气候）下有效运行，而无需使用多种 TES 材料。在这项工作中，我们提出了一种基于呼吸热量MOF（特别是MOF-508b）的气体响应TES解决方案，其中通过在等压条件下将周围的CO2压力从5巴调整到25巴，可以在-30到120°C（243到393 K）范围内广泛调整转变温度。更重要的是，我们证明这种方法可以精确控制热滞（|Tcharge - Tdischarge|），甚至可以逆转转变温度（Tcharge &lt; Tdischarge），这对于温度驱动的 TES 应用非常有利。这些发现为自适应热技术铺平了道路，在这种技术中，单一材料可以响应不同的环境温度和不同的存储需求，从冷藏到中高温应用。我们预计这种气体响应行为并非 MOF-508b 所独有，并鼓励探索具有类似可调特性的其他材料，用于自适应 TES 应用。</w:t>
      </w:r>
    </w:p>
    <w:p>
      <w:pPr>
        <w:spacing w:before="0" w:after="200" w:lineRule="auto" w:line="276"/>
      </w:pPr>
      <w:r>
        <w:rPr>
          <w:b/>
        </w:rPr>
        <w:t xml:space="preserve">Abstract (EN): </w:t>
      </w:r>
      <w:r>
        <w:t>One of the major challenges for thermal energy storage (TES) systems based on phase change materials (PCMs)─a key technology for energy decarbonization─is achieving dynamical tunability of their charge and discharge temperatures (Tcharge, Tdischarge). This capability would enable a single material to operate effectively across varying ambient conditions (e.g., different times of day, seasons, or climates) without requiring the use of multiple TES materials. In this work, we present a gas-responsive TES solution based on breathing caloric MOFs, particularly MOF-508b, in which transition temperatures can be widely tuned from -30 to 120 °C (243 to 393 K) by adjusting the surrounding CO2 pressure from 5 to 25 bar under isobaric conditions. More importantly, we demonstrate that this method allows precise control over the thermal hysteresis (|Tcharge - Tdischarge|) and can even reverse the transition temperatures (Tcharge &lt; Tdischarge), which could be highly advantageous for temperature-driven TES applications. These findings pave the way for adaptive thermal technologies in which a single material can respond to different ambient temperatures and diverse storage needs, from cold storage to medium-high-temperature applications. We anticipate that this gas-responsive behavior is not exclusive to MOF-508b and encourage the exploration of other materials exhibiting similar tunable characteristics for adaptive TES applications.</w:t>
      </w:r>
    </w:p>
    <w:p>
      <w:pPr>
        <w:spacing w:before="120" w:after="120"/>
      </w:pPr>
      <w:r>
        <w:rPr>
          <w:sz w:val="18"/>
        </w:rPr>
        <w:t>——————————————————————————————————————————————————————————————————————</w:t>
      </w:r>
    </w:p>
    <w:p>
      <w:pPr>
        <w:spacing w:before="160" w:after="40" w:line="240" w:lineRule="auto"/>
      </w:pPr>
      <w:r>
        <w:rPr>
          <w:b/>
        </w:rPr>
        <w:t xml:space="preserve">[4] </w:t>
      </w:r>
      <w:hyperlink r:id="rId152">
        <w:r>
          <w:rPr>
            <w:color w:val="1155CC"/>
            <w:u w:val="single"/>
          </w:rPr>
          <w:t>耐用的核壳散射涂层，具有辐射冷却储热功能</w:t>
        </w:r>
      </w:hyperlink>
    </w:p>
    <w:p>
      <w:pPr>
        <w:spacing w:before="0" w:after="80"/>
      </w:pPr>
      <w:r>
        <w:rPr>
          <w:i/>
          <w:sz w:val="20"/>
        </w:rPr>
        <w:t>EN: Durable Core–Shell Scatterer Coating with Heat Storage for Radiative Cooling</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153">
        <w:r>
          <w:rPr>
            <w:color w:val="1155CC"/>
            <w:u w:val="single"/>
          </w:rPr>
          <w:t>10.1021/acsami.6c08787</w:t>
        </w:r>
      </w:hyperlink>
    </w:p>
    <w:p>
      <w:pPr>
        <w:spacing w:before="0" w:after="120"/>
      </w:pPr>
      <w:r>
        <w:rPr>
          <w:b/>
        </w:rPr>
        <w:t xml:space="preserve">Notes: </w:t>
      </w:r>
      <w:r>
        <w:t>abstract_source=pubmed</w:t>
      </w:r>
    </w:p>
    <w:p>
      <w:pPr>
        <w:spacing w:before="0" w:after="80" w:lineRule="auto" w:line="276"/>
      </w:pPr>
      <w:r>
        <w:rPr>
          <w:b/>
        </w:rPr>
        <w:t xml:space="preserve">摘要（ZH）: </w:t>
      </w:r>
      <w:r>
        <w:t>为了解决全球变暖和能源危机，被动辐射冷却（PRC）技术作为零能耗解决方案显示出了巨大的应用价值。然而，辐射冷却材料优异的光学性能容易受到环境污染和老化的影响，导致冷却效率低下。同时，连续制冷不可避免地会导致夜间过冷，制冷时间敏感。这些因素对实现稳定、连续的冷却解决方案构成了障碍。在此，我们设计并制造了一种具有抗紫外线（UV）和蓄热能力的新型无机核壳散射体（ICSS）。通过硅烷化改性和蒸发驱动组装，开发出了一种集抗紫外线、防污和蓄热于一体的超疏水涂层。 ICSS涂层具有高达96.7%的高太阳光反射率和高达98.8%的红外发射率，结合相变材料吸热，在白天表现出平均4.8℃的降温效果。夜间，随着储存热量的释放，涂层仅比环境温度低0.6℃，有效避免夜间过冷，表现出优异的温度稳定性。此外，经过336小时的紫外线照射和1个月的户外老化后，太阳光反射率与初始涂层相比仅下降了0.6%和1.0%。 ICSS涂层保持性能和温度稳定性的能力有望在现实世界中实现长期应用，为解决全球变暖和能源问题提供新途径</w:t>
      </w:r>
    </w:p>
    <w:p>
      <w:pPr>
        <w:spacing w:before="0" w:after="200" w:lineRule="auto" w:line="276"/>
      </w:pPr>
      <w:r>
        <w:rPr>
          <w:b/>
        </w:rPr>
        <w:t xml:space="preserve">Abstract (EN): </w:t>
      </w:r>
      <w:r>
        <w:t>To address global warming and energy crises, passive radiative cooling (PRC) technology has shown great application value as a zero-energy solution. However, the excellent optical properties of radiative cooling materials are susceptible to environmental pollution and aging, leading to cooling inefficiencies. Meanwhile, the continuous cooling inevitably leads to overcooling at night, making the cooling time-sensitive. These factors pose obstacles to achieving stable and continuous cooling solutions. Herein, we designed and fabricated a novel inorganic core-shell scatterer (ICSS) with ultraviolet (UV) resistance and thermal storage capability. Through silanization modification and evaporation-driven assembly, a superhydrophobic coating has been developed, thereby integrating UV resistance, antisoiling, and heat storage. The ICSS coatings with high solar reflectance of up to 96.7% and infrared emittance of up to 98.8%, combined with phase change material heat absorption, exhibit an average cooling effect of 4.8 °C during the daytime. At night, with the release of stored heat, the coating is only 0.6 °C lower than the ambient temperature, effectively avoiding nighttime overcooling, showing excellent temperature stability. Furthermore, after 336 h of UV irradiation and 1 month of outdoor aging, the solar reflectivity decreased by only 0.6% and 1.0% compared to the initial coating. The ability of the ICSS coating to maintain performance and temperature stability is expected to achieve long-term application in the real world, providing new ways to address global warming and energy crises.</w:t>
      </w:r>
    </w:p>
    <w:p>
      <w:pPr>
        <w:spacing w:before="120" w:after="120"/>
      </w:pPr>
      <w:r>
        <w:rPr>
          <w:sz w:val="18"/>
        </w:rPr>
        <w:t>——————————————————————————————————————————————————————————————————————</w:t>
      </w:r>
    </w:p>
    <w:p>
      <w:pPr>
        <w:spacing w:before="160" w:after="40" w:line="240" w:lineRule="auto"/>
      </w:pPr>
      <w:r>
        <w:rPr>
          <w:b/>
        </w:rPr>
        <w:t xml:space="preserve">[5] </w:t>
      </w:r>
      <w:hyperlink r:id="rId154">
        <w:r>
          <w:rPr>
            <w:color w:val="1155CC"/>
            <w:u w:val="single"/>
          </w:rPr>
          <w:t>具有低太阳能吸收率的仿生菱形 VO 2 超表面，用于自适应全天候建筑热管理</w:t>
        </w:r>
      </w:hyperlink>
    </w:p>
    <w:p>
      <w:pPr>
        <w:spacing w:before="0" w:after="80"/>
      </w:pPr>
      <w:r>
        <w:rPr>
          <w:i/>
          <w:sz w:val="20"/>
        </w:rPr>
        <w:t>EN: Bioinspired Rhombic VO 2 Metasurface with Low Solar Absorptance for Self-adaptive All-Weather Building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155">
        <w:r>
          <w:rPr>
            <w:color w:val="1155CC"/>
            <w:u w:val="single"/>
          </w:rPr>
          <w:t>10.1021/acsami.6c07795</w:t>
        </w:r>
      </w:hyperlink>
    </w:p>
    <w:p>
      <w:pPr>
        <w:spacing w:before="0" w:after="120"/>
      </w:pPr>
      <w:r>
        <w:rPr>
          <w:b/>
        </w:rPr>
        <w:t xml:space="preserve">Notes: </w:t>
      </w:r>
      <w:r>
        <w:t>abstract_source=pubmed</w:t>
      </w:r>
    </w:p>
    <w:p>
      <w:pPr>
        <w:spacing w:before="0" w:after="80" w:lineRule="auto" w:line="276"/>
      </w:pPr>
      <w:r>
        <w:rPr>
          <w:b/>
        </w:rPr>
        <w:t xml:space="preserve">摘要（ZH）: </w:t>
      </w:r>
      <w:r>
        <w:t>被动辐射冷却可有效降低能耗，但常常会出现冬季过冷的情况。为了应对这一挑战，我们报告了一种仿生菱形图案二氧化钒（VO2）超表面智能热辐射装置（RITD），用于自适应全天候建筑热调节。通过调整 VO2 的金属-绝缘体转变 (MIT) 与法布里-珀罗 (F-P) 腔和亚波长周期性 VO2 阵列的多重谐振之间的协同耦合，RITD 在大气透明窗口 (8-14 μm) 内实现了 0.65（从 0.27 到 0.92）的动态发射度调制 (Δε)。至关重要的是，仿生架构保持了稳定的低太阳能吸收率（αsol = 0.23），有效抑制了过度的太阳能加热，从而在强烈的阳光照射下最大限度地提高了净冷却能力。凭借掺钨可调相变阈值（25-68°C），RITD 表现出白天低于环境温度约 14°C 的冷却能力和夜间保温能力比环境温度高约 3°C 的能力。中国多个城市的建筑能源模拟表明，RITD 集成屋顶通过同时满足夏季冷却需求和冬季隔热需求，每年可节省大量能源。这种机制驱动的设计为推进零能耗建筑和可持续热管理技术提供了可扩展且稳健的策略。</w:t>
      </w:r>
    </w:p>
    <w:p>
      <w:pPr>
        <w:spacing w:before="0" w:after="200" w:lineRule="auto" w:line="276"/>
      </w:pPr>
      <w:r>
        <w:rPr>
          <w:b/>
        </w:rPr>
        <w:t xml:space="preserve">Abstract (EN): </w:t>
      </w:r>
      <w:r>
        <w:t>Passive radiative cooling effectively reduces energy consumption but often suffers from winter overcooling. To address this challenge, we report a bioinspired rhombic-patterned vanadium dioxide (VO2) metasurface intelligent thermal radiative device (RITD) for self-adaptive all-weather building thermal regulation. Through tailoring of the synergistic coupling between the metal-insulator transition (MIT) of VO2 and the multiple resonances of a Fabry-Pérot (F-P) cavity and subwavelength periodic VO2 arrays, the RITD achieves a dynamic emittance modulation (Δε) of 0.65 (from 0.27 to 0.92) within the atmospheric transparency window (8-14 μm). Crucially, the bioinspired architecture maintains a stable, low solar absorptance (αsol = 0.23), effectively suppressing excessive solar heating and thus maximizing the net cooling power during intense sunlight exposure. With a tungsten-doped tunable phase-transition threshold (25-68 °C), the RITD demonstrates a daytime subambient cooling of ∼14 °C and a nighttime heat retention of ∼3 °C above the ambient temperature. Building energy simulations across multiple Chinese cities reveal that RITD-integrated roofs deliver substantial annual energy savings by simultaneously addressing cooling demands in summer and insulation needs in winter. This mechanism-driven design provides a scalable and robust strategy for advancing zero-energy buildings and sustainable thermal management technologies.</w:t>
      </w:r>
    </w:p>
    <w:p>
      <w:pPr>
        <w:spacing w:before="120" w:after="120"/>
      </w:pPr>
      <w:r>
        <w:rPr>
          <w:sz w:val="18"/>
        </w:rPr>
        <w:t>——————————————————————————————————————————————————————————————————————</w:t>
      </w:r>
    </w:p>
    <w:p>
      <w:pPr>
        <w:spacing w:before="160" w:after="40" w:line="240" w:lineRule="auto"/>
      </w:pPr>
      <w:r>
        <w:rPr>
          <w:b/>
        </w:rPr>
        <w:t xml:space="preserve">[6] </w:t>
      </w:r>
      <w:hyperlink r:id="rId156">
        <w:r>
          <w:rPr>
            <w:color w:val="1155CC"/>
            <w:u w:val="single"/>
          </w:rPr>
          <w:t>渗透膜蒸馏和电解的热共生集成直接海水制氢</w:t>
        </w:r>
      </w:hyperlink>
    </w:p>
    <w:p>
      <w:pPr>
        <w:spacing w:before="0" w:after="80"/>
      </w:pPr>
      <w:r>
        <w:rPr>
          <w:i/>
          <w:sz w:val="20"/>
        </w:rPr>
        <w:t>EN: Thermally symbiotic integration of osmotic membrane distillation and electrolysis for direct seawater hydrogen production</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将水净化膜与电解相结合，从海水中原位生产氢气（H2）提供了一条快速实现净零排放的途径，但现有方法受到盐交叉和产水不足的限制。在这里，我们通过将渗透膜蒸馏（OMD）与碱性水电解（AWE）相结合来克服这些限制。在双重热梯度和渗透梯度的驱动下，OMD-AWE 可提供 60 kg m–2 day–1 的氢气生产率，并在连续运行 500 小时内具有出色的稳定性。为了消除 OMD 的外部加热能量损失，我们提出了一种热共生架构，将 AWE 的废热转化为 OMD 的热驱动力，同时 OMD 提供冷却以维持 AWE 最佳温度，这一点已通过我们的热水-水-氢模型验证。这种热共生不仅使 OMD-AWE 能源自给自足，能源效率达到 51 kWh kg(H2)–1，而且还建立了一种自我调节机制，将热驱动力锁相到波动的电力输入，使供水与需求同步，以克服可再生能源的间歇性。我们的方法可以实现任何规模的灵活组件匹配和热自给自足，为膜集成电解提供框架，展示了可持续氢经济的技术卓越性和经济可行性。</w:t>
      </w:r>
    </w:p>
    <w:p>
      <w:pPr>
        <w:spacing w:before="0" w:after="200" w:lineRule="auto" w:line="276"/>
      </w:pPr>
      <w:r>
        <w:rPr>
          <w:b/>
        </w:rPr>
        <w:t xml:space="preserve">Abstract (EN): </w:t>
      </w:r>
      <w:r>
        <w:t>Integrating water purification membranes with electrolysis for in situ hydrogen (H2) production from seawater offers a rapid pathway to net-zero, but is limited by salt crossover and insufficient water production in existing approaches. Here we overcome these limitations by integrating osmotic membrane distillation (OMD) with alkaline water electrolysis (AWE). Driven by dual thermal and osmotic gradients to enhance salt-free water vapour transport, the OMD-AWE delivers a H2 production rate of 60 kg m–2 day–1 with excellent stability over 500 h of continuous operation. To eliminate the external heating energy penalty of OMD, we propose a thermally symbiotic architecture that converts the AWE’s waste heat to OMD’s thermal driving force while OMD simultaneously providing cooling to maintain AWE optimal temperatures, as validated by our thermal-water-hydrogen model. This thermal symbiosis not only makes OMD-AWE energy self-sufficient with energy efficiency of 51 kWh kg(H2)–1 but also establishes a self-regulating mechanism that phase-locks thermal driving force to fluctuating electrical inputs, synchronising water supply with demand to overcome renewable intermittency. Our approach enables flexible component matching and thermal self-sufficiency at any scale, providing a framework for membrane-integrated electrolysis, demonstrating both technical excellence and economic viability towards a sustainable hydrogen economy.</w:t>
      </w:r>
    </w:p>
    <w:p>
      <w:pPr>
        <w:spacing w:before="120" w:after="120"/>
      </w:pPr>
      <w:r>
        <w:rPr>
          <w:sz w:val="18"/>
        </w:rPr>
        <w:t>——————————————————————————————————————————————————————————————————————</w:t>
      </w:r>
    </w:p>
    <w:p>
      <w:pPr>
        <w:spacing w:before="160" w:after="40" w:line="240" w:lineRule="auto"/>
      </w:pPr>
      <w:r>
        <w:rPr>
          <w:b/>
        </w:rPr>
        <w:t xml:space="preserve">[7] </w:t>
      </w:r>
      <w:hyperlink r:id="rId157">
        <w:r>
          <w:rPr>
            <w:color w:val="1155CC"/>
            <w:u w:val="single"/>
          </w:rPr>
          <w:t>使用深度强化学习增强构建多能源系统的弹性：综合调查</w:t>
        </w:r>
      </w:hyperlink>
    </w:p>
    <w:p>
      <w:pPr>
        <w:spacing w:before="0" w:after="80"/>
      </w:pPr>
      <w:r>
        <w:rPr>
          <w:i/>
          <w:sz w:val="20"/>
        </w:rPr>
        <w:t>EN: Enhancing the resilience of building multi-energy systems using deep reinforcement learning: A comprehensive survey</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58">
        <w:r>
          <w:rPr>
            <w:color w:val="1155CC"/>
            <w:u w:val="single"/>
          </w:rPr>
          <w:t>并网地热和地热太阳能混合系统的技术、经济和负荷跟踪能力评估</w:t>
        </w:r>
      </w:hyperlink>
    </w:p>
    <w:p>
      <w:pPr>
        <w:spacing w:before="0" w:after="80"/>
      </w:pPr>
      <w:r>
        <w:rPr>
          <w:i/>
          <w:sz w:val="20"/>
        </w:rPr>
        <w:t>EN: Technical, economic, and load-following capabilities assessment of grid-connected geothermal and geothermal-solar hybrid systems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59">
        <w:r>
          <w:rPr>
            <w:color w:val="1155CC"/>
            <w:u w:val="single"/>
          </w:rPr>
          <w:t>通过蒸发-辐射协同作用打破辐射冷却的功率上限</w:t>
        </w:r>
      </w:hyperlink>
    </w:p>
    <w:p>
      <w:pPr>
        <w:spacing w:before="0" w:after="80"/>
      </w:pPr>
      <w:r>
        <w:rPr>
          <w:i/>
          <w:sz w:val="20"/>
        </w:rPr>
        <w:t>EN: Breaking the power ceiling of radiative cooling through evaporative-radiative synergy</w:t>
      </w:r>
    </w:p>
    <w:p>
      <w:pPr>
        <w:spacing w:before="0" w:after="120"/>
      </w:pPr>
      <w:r>
        <w:rPr>
          <w:b/>
        </w:rPr>
        <w:t xml:space="preserve">Source: </w:t>
      </w:r>
      <w:r>
        <w:t>Matter</w:t>
      </w:r>
      <w:r>
        <w:t xml:space="preserve">    </w:t>
      </w:r>
      <w:r>
        <w:rPr>
          <w:b/>
        </w:rPr>
        <w:t xml:space="preserve">Pub date: </w:t>
      </w:r>
      <w:r>
        <w:t>2026-07-08 00:00:00+00:00</w:t>
      </w:r>
      <w:r>
        <w:t xml:space="preserve">    </w:t>
      </w:r>
      <w:r>
        <w:rPr>
          <w:b/>
        </w:rPr>
        <w:t xml:space="preserve">DOI: </w:t>
      </w:r>
      <w:hyperlink r:id="rId160">
        <w:r>
          <w:rPr>
            <w:color w:val="1155CC"/>
            <w:u w:val="single"/>
          </w:rPr>
          <w:t>10.1016/j.matt.2026.102881</w:t>
        </w:r>
      </w:hyperlink>
    </w:p>
    <w:p>
      <w:pPr>
        <w:spacing w:before="0" w:after="120"/>
      </w:pPr>
      <w:r>
        <w:rPr>
          <w:b/>
        </w:rPr>
        <w:t xml:space="preserve">Notes: </w:t>
      </w:r>
      <w:r>
        <w:t>abstract_source=rss_cell</w:t>
      </w:r>
    </w:p>
    <w:p>
      <w:pPr>
        <w:spacing w:before="0" w:after="80" w:lineRule="auto" w:line="276"/>
      </w:pPr>
      <w:r>
        <w:rPr>
          <w:b/>
        </w:rPr>
        <w:t xml:space="preserve">摘要（ZH）: </w:t>
      </w:r>
      <w:r>
        <w:t>传统的辐射冷却面临低冷却限制和环境限制。本综述介绍了蒸发辅助辐射冷却，揭示了其协同热力学打破辐射冷却的功率上限。它总结了相关材料设计和各种应用，并讨论了关键挑战，为先进的被动冷却实现能源可持续性提供了指导方针。这项工作为推进下一代被动冷却研究和实际实施提供了全面的路线图。</w:t>
      </w:r>
    </w:p>
    <w:p>
      <w:pPr>
        <w:spacing w:before="0" w:after="200" w:lineRule="auto" w:line="276"/>
      </w:pPr>
      <w:r>
        <w:rPr>
          <w:b/>
        </w:rPr>
        <w:t xml:space="preserve">Abstract (EN): </w:t>
      </w:r>
      <w:r>
        <w:t>Traditional radiative cooling faces low cooling limits and environmental restrictions. This review introduces evaporative-assisted radiative cooling, revealing its synergistic thermodynamics to break the power ceiling of radiative cooling. It summarizes related material designs and diverse applications, and discusses key challenges, offering guidelines for advanced passive cooling toward energy sustainability. This work provides a comprehensive roadmap to advance next-generation passive cooling research and real-world implementation.</w:t>
      </w:r>
    </w:p>
    <w:p>
      <w:pPr>
        <w:spacing w:before="120" w:after="120"/>
      </w:pPr>
      <w:r>
        <w:rPr>
          <w:sz w:val="18"/>
        </w:rPr>
        <w:t>——————————————————————————————————————————————————————————————————————</w:t>
      </w:r>
    </w:p>
    <w:p>
      <w:pPr>
        <w:spacing w:before="160" w:after="40" w:line="240" w:lineRule="auto"/>
      </w:pPr>
      <w:r>
        <w:rPr>
          <w:b/>
        </w:rPr>
        <w:t xml:space="preserve">[10] </w:t>
      </w:r>
      <w:hyperlink r:id="rId161">
        <w:r>
          <w:rPr>
            <w:color w:val="1155CC"/>
            <w:u w:val="single"/>
          </w:rPr>
          <w:t>一种具有最佳阶数选择的恒温控制负载的自适应建模方法</w:t>
        </w:r>
      </w:hyperlink>
    </w:p>
    <w:p>
      <w:pPr>
        <w:spacing w:before="0" w:after="80"/>
      </w:pPr>
      <w:r>
        <w:rPr>
          <w:i/>
          <w:sz w:val="20"/>
        </w:rPr>
        <w:t>EN: An adaptive modeling method with optimal order selection for thermostatically controlled loads</w:t>
      </w:r>
    </w:p>
    <w:p>
      <w:pPr>
        <w:spacing w:before="0" w:after="120"/>
      </w:pPr>
      <w:r>
        <w:rPr>
          <w:b/>
        </w:rPr>
        <w:t xml:space="preserve">Source: </w:t>
      </w:r>
      <w:r>
        <w:t>ScienceDirect Publication: Applied Energy</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62">
        <w:r>
          <w:rPr>
            <w:color w:val="1155CC"/>
            <w:u w:val="single"/>
          </w:rPr>
          <w:t>空位填充赫斯勒合金中的紧急原子有序性</w:t>
        </w:r>
      </w:hyperlink>
    </w:p>
    <w:p>
      <w:pPr>
        <w:spacing w:before="0" w:after="80"/>
      </w:pPr>
      <w:r>
        <w:rPr>
          <w:i/>
          <w:sz w:val="20"/>
        </w:rPr>
        <w:t>EN: Emergent Atomic Ordering in Vacancy-Filling Heusler Alloys</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63">
        <w:r>
          <w:rPr>
            <w:color w:val="1155CC"/>
            <w:u w:val="single"/>
          </w:rPr>
          <w:t>10.1021/jacs.6c04205</w:t>
        </w:r>
      </w:hyperlink>
    </w:p>
    <w:p>
      <w:pPr>
        <w:spacing w:before="0" w:after="120"/>
      </w:pPr>
      <w:r>
        <w:rPr>
          <w:b/>
        </w:rPr>
        <w:t xml:space="preserve">Notes: </w:t>
      </w:r>
      <w:r>
        <w:t>abstract_source=pubmed</w:t>
      </w:r>
    </w:p>
    <w:p>
      <w:pPr>
        <w:spacing w:before="0" w:after="80" w:lineRule="auto" w:line="276"/>
      </w:pPr>
      <w:r>
        <w:rPr>
          <w:b/>
        </w:rPr>
        <w:t xml:space="preserve">摘要（ZH）: </w:t>
      </w:r>
      <w:r>
        <w:t>空位填充霍斯勒合金是传统半霍斯勒合金和全霍斯勒合金之间的有效结构桥梁，扩大了霍斯勒家族的成分和结构多样性。然而，部分空位填充与多原子成分相结合，自然会引起职业障碍，对高结晶霍斯勒化合物的形成提出了挑战。在本研究中，我们通过实验观察了 Slater-Pauling 半导体 MRu1.5Sb (M = Ti、Zr、Hf) 中的原子占据顺序，其中不足的 Ru 原子在过量的可用晶体位点上采用调制分布。具体来说，Ru选择性地占据4c和4d威科夫位置，这不仅破坏了这些位点的局部对称性，而且产生了由八个常规晶胞组成的有序超晶胞结构，即上层结构。有趣的是，与较重的 ZrRu1.5Sb 和 HfRu1.5Sb 相比，较轻的 TiRu1.5Sb 表现出不太明显的占位序，导致 TiRu1.5Sb 的晶格热导率异常低。结构排序和热传输之间的这种独特的相互作用为热电应用中的空位填充赫斯勒提供了额外的灵活性。</w:t>
      </w:r>
    </w:p>
    <w:p>
      <w:pPr>
        <w:spacing w:before="0" w:after="200" w:lineRule="auto" w:line="276"/>
      </w:pPr>
      <w:r>
        <w:rPr>
          <w:b/>
        </w:rPr>
        <w:t xml:space="preserve">Abstract (EN): </w:t>
      </w:r>
      <w:r>
        <w:t>Vacancy-filling Heusler alloys serve as an effective structural bridge between conventional half-Heusler and full-Heusler alloys, expanding the compositional and structural diversity of the Heusler family. However, the partial vacancy filling, combined with multiatomic components, naturally induces occupational disorder, posing challenges to the formation of highly crystalline Heusler compounds. In this study, we experimentally observe the atomic occupation ordering in Slater-Pauling semiconductors MRu1.5Sb (M = Ti, Zr, Hf), where the insufficient Ru atoms adopt a modulated distribution over an excess of available crystallographic sites. Specifically, Ru selectively occupies the 4c and 4d Wyckoff positions, which not only disrupts the local symmetry of these sites but also gives rise to an ordered supercell structure composed of eight conventional unit cells, i.e., a superstructure. Interestingly, the lighter TiRu1.5Sb exhibits a less pronounced occupational ordering compared to the heavier ZrRu1.5Sb and HfRu1.5Sb, resulting in anomalously low lattice thermal conductivity in TiRu1.5Sb. This distinctive interplay between structural ordering and thermal transport offers additional flexibility for vacancy-filling Heuslers in thermoelectric applications.</w:t>
      </w:r>
    </w:p>
    <w:p>
      <w:pPr>
        <w:spacing w:before="120" w:after="120"/>
      </w:pPr>
      <w:r>
        <w:rPr>
          <w:sz w:val="18"/>
        </w:rPr>
        <w:t>——————————————————————————————————————————————————————————————————————</w:t>
      </w:r>
    </w:p>
    <w:p>
      <w:pPr>
        <w:spacing w:before="160" w:after="40" w:line="240" w:lineRule="auto"/>
      </w:pPr>
      <w:r>
        <w:rPr>
          <w:b/>
        </w:rPr>
        <w:t xml:space="preserve">[12] </w:t>
      </w:r>
      <w:hyperlink r:id="rId164">
        <w:r>
          <w:rPr>
            <w:color w:val="1155CC"/>
            <w:u w:val="single"/>
          </w:rPr>
          <w:t>SnSe 合金化使面外 PbSnS 2 晶体具有高热电效率</w:t>
        </w:r>
      </w:hyperlink>
    </w:p>
    <w:p>
      <w:pPr>
        <w:spacing w:before="0" w:after="80"/>
      </w:pPr>
      <w:r>
        <w:rPr>
          <w:i/>
          <w:sz w:val="20"/>
        </w:rPr>
        <w:t>EN: SnSe Alloying Enables High Thermoelectric Efficiency in Out-of-Plane PbSnS 2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65">
        <w:r>
          <w:rPr>
            <w:color w:val="1155CC"/>
            <w:u w:val="single"/>
          </w:rPr>
          <w:t>10.1021/jacs.6c10915</w:t>
        </w:r>
      </w:hyperlink>
    </w:p>
    <w:p>
      <w:pPr>
        <w:spacing w:before="0" w:after="120"/>
      </w:pPr>
      <w:r>
        <w:rPr>
          <w:b/>
        </w:rPr>
        <w:t xml:space="preserve">Notes: </w:t>
      </w:r>
      <w:r>
        <w:t>abstract_source=pubmed</w:t>
      </w:r>
    </w:p>
    <w:p>
      <w:pPr>
        <w:spacing w:before="0" w:after="80" w:lineRule="auto" w:line="276"/>
      </w:pPr>
      <w:r>
        <w:rPr>
          <w:b/>
        </w:rPr>
        <w:t xml:space="preserve">摘要（ZH）: </w:t>
      </w:r>
      <w:r>
        <w:t>层状热电材料本质上沿面外方向具有低导热率。然而，扭曲的岩盐结构和Pb/Sn阳离子无序引起的层间电子传输缓慢严重限制了PbSnS2整体热电性能的进一步提高。在此，本研究提出了一种通过 SnSe 合金化协同优化 n 型 PbSnS2 面外性能的有效策略。 SnSe 的加入提高了载流子浓度并显着提高了面外电荷迁移率，这主要归因于晶格对称性的改善和电子带的优化。此外，合金化引起的点缺陷会加剧声子散射，从而实现 n 型 PbSnS2 晶体中电子和声子传输的有效解耦。实验结果表明，优化后的n型(PbSnS2)0.7(SnSe)0.3在750 K时实现了最大面外ZT~1.9。在529 K的温度梯度下，组装的单腿装置表现出~7.9%的发电效率。材料和器件级性能在所有已报道的 n 型 PbSnS2 基热电材料中均处于领先地位。这项工作阐明了一种通过结构操纵优化层间电荷传输的新途径，并强调了地球上储量丰富的 PbSnS2 用于中温发电的广阔前景。</w:t>
      </w:r>
    </w:p>
    <w:p>
      <w:pPr>
        <w:spacing w:before="0" w:after="200" w:lineRule="auto" w:line="276"/>
      </w:pPr>
      <w:r>
        <w:rPr>
          <w:b/>
        </w:rPr>
        <w:t xml:space="preserve">Abstract (EN): </w:t>
      </w:r>
      <w:r>
        <w:t>Layered thermoelectrics inherently possess low thermal conductivity along the out-of-plane direction. However, the sluggish interlayer electron transport arising from the distorted rock-salt structure and Pb/Sn cation disorder severely restricts the further enhancement of overall thermoelectric performance in PbSnS2. Herein, this study proposes an effective strategy to synergistically optimize the out-of-plane performance of n-type PbSnS2 via SnSe alloying. The incorporation of SnSe elevates carrier concentration and markedly boosts out-of-plane charge mobility, which can be primarily attributed to the improved lattice symmetry and optimized electronic bands. Additionally, alloying-induced point defects intensify phonon scattering, enabling effective decoupling of electron and phonon transports in n-type PbSnS2 crystals. Experimental results reveal that the optimized n-type (PbSnS2)0.7(SnSe)0.3 achieves a maximum out-of-plane ZT of ∼1.9 at 750 K. Subjected to a temperature gradient of 529 K, the assembled single-leg device exhibits a power generation efficiency of ∼7.9%. Both material and device-level performance stand at the forefront among all reported n-type PbSnS2-based thermoelectrics. This work elucidates a novel pathway for optimizing interlayer charge transport through structural manipulation and underscores the promising prospect of earth-abundant PbSnS2 for medium-temperature power generation.</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66">
        <w:r>
          <w:rPr>
            <w:color w:val="1155CC"/>
            <w:u w:val="single"/>
          </w:rPr>
          <w:t>基于深度学习的核电厂健康监测和预测：系统评价</w:t>
        </w:r>
      </w:hyperlink>
    </w:p>
    <w:p>
      <w:pPr>
        <w:spacing w:before="0" w:after="80"/>
      </w:pPr>
      <w:r>
        <w:rPr>
          <w:i/>
          <w:sz w:val="20"/>
        </w:rPr>
        <w:t>EN: Deep learning-based health monitoring and prognostics for nuclear power plants: a systematic review</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7">
        <w:r>
          <w:rPr>
            <w:color w:val="1155CC"/>
            <w:u w:val="single"/>
          </w:rPr>
          <w:t>重离子聚变激发函数新表示的进一步探索</w:t>
        </w:r>
      </w:hyperlink>
    </w:p>
    <w:p>
      <w:pPr>
        <w:spacing w:before="0" w:after="80"/>
      </w:pPr>
      <w:r>
        <w:rPr>
          <w:i/>
          <w:sz w:val="20"/>
        </w:rPr>
        <w:t>EN: Further exploration of the new representation of heavy-ion fusion excitation functions</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168">
        <w:r>
          <w:rPr>
            <w:color w:val="1155CC"/>
            <w:u w:val="single"/>
          </w:rPr>
          <w:t>10.1103/152b-b874</w:t>
        </w:r>
      </w:hyperlink>
    </w:p>
    <w:p>
      <w:pPr>
        <w:spacing w:before="0" w:after="120"/>
      </w:pPr>
      <w:r>
        <w:rPr>
          <w:b/>
        </w:rPr>
        <w:t xml:space="preserve">Notes: </w:t>
      </w:r>
      <w:r>
        <w:t>abstract_source=rss_description</w:t>
      </w:r>
    </w:p>
    <w:p>
      <w:pPr>
        <w:spacing w:before="0" w:after="80" w:lineRule="auto" w:line="276"/>
      </w:pPr>
      <w:r>
        <w:rPr>
          <w:b/>
        </w:rPr>
        <w:t xml:space="preserve">摘要（ZH）: </w:t>
      </w:r>
      <w:r>
        <w:t>作者：C. L. Jiang、W. F. Henning、B. P. Kay 和 K. E. Rehm 在适当的缩放下，所有重离子聚变激发函数的 $σE$ 实验光谱均显示为水平曲线，位于 $y$ 轴上对应于 ${R}_{g}^{2}{W}_{g}$ 的值处，其中 ${R}_{g}$ 和 ${W}_{g}$ 是从单高斯势垒……[物理。 Rev. C 114, 014605] 于 2026 年 7 月 6 日星期一发布</w:t>
      </w:r>
    </w:p>
    <w:p>
      <w:pPr>
        <w:spacing w:before="0" w:after="200" w:lineRule="auto" w:line="276"/>
      </w:pPr>
      <w:r>
        <w:rPr>
          <w:b/>
        </w:rPr>
        <w:t xml:space="preserve">Abstract (EN): </w:t>
      </w:r>
      <w:r>
        <w:t>Author(s): C. L. Jiang, W. F. Henning, B. P. Kay, and K. E. RehmUnder an appropriate scaling the experimental spectra of $σE$ for all heavy-ion fusion excitation functions appear as horizontal curves, located on the $y$ axis at values corresponding to ${R}_{g}^{2}{W}_{g}$, where ${R}_{g}$ and ${W}_{g}$ are fit parameters obtained from the single-Gaussian barrier…[Phys. Rev. C 114, 014605] Published Mon Jul 06, 2026</w:t>
      </w:r>
    </w:p>
    <w:p>
      <w:pPr>
        <w:spacing w:before="120" w:after="120"/>
      </w:pPr>
      <w:r>
        <w:rPr>
          <w:sz w:val="18"/>
        </w:rPr>
        <w:t>——————————————————————————————————————————————————————————————————————</w:t>
      </w:r>
    </w:p>
    <w:p>
      <w:pPr>
        <w:spacing w:before="160" w:after="40" w:line="240" w:lineRule="auto"/>
      </w:pPr>
      <w:r>
        <w:rPr>
          <w:b/>
        </w:rPr>
        <w:t xml:space="preserve">[3] </w:t>
      </w:r>
      <w:hyperlink r:id="rId169">
        <w:r>
          <w:rPr>
            <w:color w:val="1155CC"/>
            <w:u w:val="single"/>
          </w:rPr>
          <w:t>利用 $^{12}\mathrm{C}(n,n)$ 和 $^{9}\mathrm{Be}(n,n)$ 中子散射参考测量测量 $^{252}\mathrm{Cf}(\mathrm{sf})$ 瞬发裂变中子能谱</w:t>
        </w:r>
      </w:hyperlink>
    </w:p>
    <w:p>
      <w:pPr>
        <w:spacing w:before="0" w:after="80"/>
      </w:pPr>
      <w:r>
        <w:rPr>
          <w:i/>
          <w:sz w:val="20"/>
        </w:rPr>
        <w:t>EN: Measurement of the $^{252}\mathrm{Cf}(\mathrm{sf})$ prompt fission neutron spectrum utilizing $^{12}\mathrm{C}(n,n)$ and $^{9}\mathrm{Be}(n,n)$ neutron scattering reference measurements</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170">
        <w:r>
          <w:rPr>
            <w:color w:val="1155CC"/>
            <w:u w:val="single"/>
          </w:rPr>
          <w:t>10.1103/w7z1-l32n</w:t>
        </w:r>
      </w:hyperlink>
    </w:p>
    <w:p>
      <w:pPr>
        <w:spacing w:before="0" w:after="120"/>
      </w:pPr>
      <w:r>
        <w:rPr>
          <w:b/>
        </w:rPr>
        <w:t xml:space="preserve">Notes: </w:t>
      </w:r>
      <w:r>
        <w:t>abstract_source=rss_description</w:t>
      </w:r>
    </w:p>
    <w:p>
      <w:pPr>
        <w:spacing w:before="0" w:after="80" w:lineRule="auto" w:line="276"/>
      </w:pPr>
      <w:r>
        <w:rPr>
          <w:b/>
        </w:rPr>
        <w:t xml:space="preserve">摘要（ZH）: </w:t>
      </w:r>
      <w:r>
        <w:t>作者：K. J. Kelly、D. Neudecker、A. D. Carlson、R. C. Haight、M. J. Grosskopf、S. A. Vander Wiel、B. Pritychenko、N. A. W. Walton、P. A. Copp、N. Mendez 和 J. Surbrook$^{252}\mathrm{Cf}$ 自发裂变 (sf)、瞬发裂变中子能谱（PFNS）是中子发射反应核物理测量的基本量。裂变发射的中子能量分布几十年来一直被认为是中子数据标准，并且......[物理。 Rev. C 114, 014604] 于 2026 年 7 月 6 日星期一发布</w:t>
      </w:r>
    </w:p>
    <w:p>
      <w:pPr>
        <w:spacing w:before="0" w:after="200" w:lineRule="auto" w:line="276"/>
      </w:pPr>
      <w:r>
        <w:rPr>
          <w:b/>
        </w:rPr>
        <w:t xml:space="preserve">Abstract (EN): </w:t>
      </w:r>
      <w:r>
        <w:t>Author(s): K. J. Kelly, D. Neudecker, A. D. Carlson, R. C. Haight, M. J. Grosskopf, S. A. Vander Wiel, B. Pritychenko, N. A. W. Walton, P. A. Copp, N. Mendez, and J. SurbrookThe $^{252}\mathrm{Cf}$ spontaneous fission (sf), prompt fission neutron spectrum (PFNS) is a fundamental quantity for nuclear physics measurements of neutron-emitting reactions. This energy distribution of neutrons emitted from fission has been considered a neutron data standard for decades and has…[Phys. Rev. C 114, 014604] Published Mon Jul 06, 2026</w:t>
      </w:r>
    </w:p>
    <w:p>
      <w:pPr>
        <w:spacing w:before="120" w:after="120"/>
      </w:pPr>
      <w:r>
        <w:rPr>
          <w:sz w:val="18"/>
        </w:rPr>
        <w:t>——————————————————————————————————————————————————————————————————————</w:t>
      </w:r>
    </w:p>
    <w:p>
      <w:pPr>
        <w:spacing w:before="160" w:after="40" w:line="240" w:lineRule="auto"/>
      </w:pPr>
      <w:r>
        <w:rPr>
          <w:b/>
        </w:rPr>
        <w:t xml:space="preserve">[4] </w:t>
      </w:r>
      <w:hyperlink r:id="rId171">
        <w:r>
          <w:rPr>
            <w:color w:val="1155CC"/>
            <w:u w:val="single"/>
          </w:rPr>
          <w:t>$N/Z$ 聚变反应中的平衡时间和核子转移途径导致 $^{297}\mathrm{Og}$</w:t>
        </w:r>
      </w:hyperlink>
    </w:p>
    <w:p>
      <w:pPr>
        <w:spacing w:before="0" w:after="80"/>
      </w:pPr>
      <w:r>
        <w:rPr>
          <w:i/>
          <w:sz w:val="20"/>
        </w:rPr>
        <w:t>EN: $N/Z$ equilibration time and nucleon-transfer pathways in fusion reactions leading to $^{297}\mathrm{Og}$</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172">
        <w:r>
          <w:rPr>
            <w:color w:val="1155CC"/>
            <w:u w:val="single"/>
          </w:rPr>
          <w:t>10.1103/h1jk-ngck</w:t>
        </w:r>
      </w:hyperlink>
    </w:p>
    <w:p>
      <w:pPr>
        <w:spacing w:before="0" w:after="120"/>
      </w:pPr>
      <w:r>
        <w:rPr>
          <w:b/>
        </w:rPr>
        <w:t xml:space="preserve">Notes: </w:t>
      </w:r>
      <w:r>
        <w:t>abstract_source=rss_description</w:t>
      </w:r>
    </w:p>
    <w:p>
      <w:pPr>
        <w:spacing w:before="0" w:after="80" w:lineRule="auto" w:line="276"/>
      </w:pPr>
      <w:r>
        <w:rPr>
          <w:b/>
        </w:rPr>
        <w:t xml:space="preserve">摘要（ZH）: </w:t>
      </w:r>
      <w:r>
        <w:t>作者：Ze-Yuan Wang、Jing-Jing Li、Xiao-Tao He在具有动态势能面的双核系统模型（DNS-DyPES 模型）中研究了导致超重核 $^{297}\mathrm{Og}$ 的重离子聚变反应中的中子到质子 $(N/Z)$ 平衡和核子转移动力学。通过研究一系列反应...[物理。 Rev. C 114, 014609] 于 2026 年 7 月 6 日星期一发布</w:t>
      </w:r>
    </w:p>
    <w:p>
      <w:pPr>
        <w:spacing w:before="0" w:after="200" w:lineRule="auto" w:line="276"/>
      </w:pPr>
      <w:r>
        <w:rPr>
          <w:b/>
        </w:rPr>
        <w:t xml:space="preserve">Abstract (EN): </w:t>
      </w:r>
      <w:r>
        <w:t>Author(s): Ze-Yuan Wang, Jing-Jing Li, and Xiao-Tao HeThe neutron-to-proton $(N/Z)$ equilibration and nucleon-transfer dynamics in heavy-ion fusion reactions leading to the superheavy nucleus $^{297}\mathrm{Og}$ are investigated within the dinuclear system model with a dynamical potential-energy surface (DNS-DyPES model). By studying a series of reacti…[Phys. Rev. C 114, 014609] Published Mon Jul 06, 2026</w:t>
      </w:r>
    </w:p>
    <w:p>
      <w:pPr>
        <w:spacing w:before="120" w:after="120"/>
      </w:pPr>
      <w:r>
        <w:rPr>
          <w:sz w:val="18"/>
        </w:rPr>
        <w:t>——————————————————————————————————————————————————————————————————————</w:t>
      </w:r>
    </w:p>
    <w:p>
      <w:pPr>
        <w:spacing w:before="160" w:after="40" w:line="240" w:lineRule="auto"/>
      </w:pPr>
      <w:r>
        <w:rPr>
          <w:b/>
        </w:rPr>
        <w:t xml:space="preserve">[5] </w:t>
      </w:r>
      <w:hyperlink r:id="rId173">
        <w:r>
          <w:rPr>
            <w:color w:val="1155CC"/>
            <w:u w:val="single"/>
          </w:rPr>
          <w:t>从稀废水中光催化提取铀的空间解耦捕获-转换架构</w:t>
        </w:r>
      </w:hyperlink>
    </w:p>
    <w:p>
      <w:pPr>
        <w:spacing w:before="0" w:after="80"/>
      </w:pPr>
      <w:r>
        <w:rPr>
          <w:i/>
          <w:sz w:val="20"/>
        </w:rPr>
        <w:t>EN: Spatially Decoupled Capture-Conversion Architectures for Photocatalytic Uranium Extraction from Dilute Wastewater</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174">
        <w:r>
          <w:rPr>
            <w:color w:val="1155CC"/>
            <w:u w:val="single"/>
          </w:rPr>
          <w:t>10.1021/jacs.6c06683</w:t>
        </w:r>
      </w:hyperlink>
    </w:p>
    <w:p>
      <w:pPr>
        <w:spacing w:before="0" w:after="120"/>
      </w:pPr>
      <w:r>
        <w:rPr>
          <w:b/>
        </w:rPr>
        <w:t xml:space="preserve">Notes: </w:t>
      </w:r>
      <w:r>
        <w:t>abstract_source=pubmed</w:t>
      </w:r>
    </w:p>
    <w:p>
      <w:pPr>
        <w:spacing w:before="0" w:after="80" w:lineRule="auto" w:line="276"/>
      </w:pPr>
      <w:r>
        <w:rPr>
          <w:b/>
        </w:rPr>
        <w:t xml:space="preserve">摘要（ZH）: </w:t>
      </w:r>
      <w:r>
        <w:t>原则上，将吸附基序与光催化单元集成到捕获转化结构中可以增强从稀废水中光催化提取铀的能力。然而，它们的空间关系是否促进协同或导致相互干扰仍不清楚。在这里，我们采用一系列异构共价有机框架（TpBpy4、TpBpy5 和 TpBpy6）作为模型平台来编程 UO22+ 吸附基序和光催化氧还原位点之间的位点重叠/邻近（TpBpy4 和 TpBpy5）和位点解耦（TpBpy6）关系。位点解耦的TpBpy6抑制UO22+捕获和氧还原之间的相互干扰，维持原位光催化H2O2生成，并能够将捕获的UO22+连续转化为不溶性球铁矿（(UO2)(O2)·4H2O），而TpBpy4和TpBpy5则遭受UO22+诱导的光催化活性抑制，从而中断捕获-转化循环。在低 ppm UO22+ 浓度下，TpBpy6 的提取效率比位点重叠的类似物 TpBpy5 高 1.83 倍，并从实际稀释采矿废水中实现 51.7 mg g-1 的容量。这项工作揭示了整体性能由吸附位点和光催化位点之间的相互作用决定，并建立了空间解耦设计原则，以最大限度地减少相互干扰，同时保持光催化萃取系统的功能协同作用，从而从稀释废水中回收宝贵的资源。</w:t>
      </w:r>
    </w:p>
    <w:p>
      <w:pPr>
        <w:spacing w:before="0" w:after="200" w:lineRule="auto" w:line="276"/>
      </w:pPr>
      <w:r>
        <w:rPr>
          <w:b/>
        </w:rPr>
        <w:t xml:space="preserve">Abstract (EN): </w:t>
      </w:r>
      <w:r>
        <w:t>Integrating adsorption motifs with photocatalytic units into capture-conversion architectures can, in principle, enhance photocatalytic uranium extraction from dilute wastewater. However, whether their spatial relationship promotes synergy or causes mutual interference remains unclear. Here, we employ a family of isomeric covalent organic frameworks (TpBpy4, TpBpy5, and TpBpy6) as a model platform to program site-overlapped/proximate (TpBpy4 and TpBpy5) and site-decoupled (TpBpy6) relationships between UO22+ adsorption motifs and photocatalytic oxygen reduction sites. The site-decoupled TpBpy6 suppresses mutual interference between UO22+ capture and oxygen reduction, sustaining in situ photocatalytic H2O2 generation and enabling continuous conversion of captured UO22+ into insoluble studtite ((UO2)(O2)·4H2O), whereas TpBpy4 and TpBpy5 suffer from UO22+-induced suppression of photocatalytic activity that interrupts the capture-conversion cycle. Under low-ppm UO22+ concentrations, TpBpy6 delivers a 1.83-fold higher extraction efficiency than the site-overlapped analogue TpBpy5 and achieves a capacity of 51.7 mg g-1 from actual dilute mining wastewater. This work reveals that overall performance is governed by the interplay between adsorption and photocatalytic sites and establishes a spatial decoupling design principle for minimizing mutual interference while preserving functional synergy in photocatalytic extraction systems for valuable resource recovery from dilute effluents.</w:t>
      </w:r>
    </w:p>
    <w:p>
      <w:pPr>
        <w:spacing w:before="120" w:after="120"/>
      </w:pPr>
      <w:r>
        <w:rPr>
          <w:sz w:val="18"/>
        </w:rPr>
        <w:t>——————————————————————————————————————————————————————————————————————</w:t>
      </w:r>
    </w:p>
    <w:p>
      <w:pPr>
        <w:spacing w:before="160" w:after="40" w:line="240" w:lineRule="auto"/>
      </w:pPr>
      <w:r>
        <w:rPr>
          <w:b/>
        </w:rPr>
        <w:t xml:space="preserve">[6] </w:t>
      </w:r>
      <w:hyperlink r:id="rId175">
        <w:r>
          <w:rPr>
            <w:color w:val="1155CC"/>
            <w:u w:val="single"/>
          </w:rPr>
          <w:t>锕系裂变中同位素分辨的 Ba 和 Xe 产率及相关重轻碎片系统学</w:t>
        </w:r>
      </w:hyperlink>
    </w:p>
    <w:p>
      <w:pPr>
        <w:spacing w:before="0" w:after="80"/>
      </w:pPr>
      <w:r>
        <w:rPr>
          <w:i/>
          <w:sz w:val="20"/>
        </w:rPr>
        <w:t>EN: Isotope-resolved Ba and Xe yields in actinide fission and correlated heavy-light fragment systematics</w:t>
      </w:r>
    </w:p>
    <w:p>
      <w:pPr>
        <w:spacing w:before="0" w:after="120"/>
      </w:pPr>
      <w:r>
        <w:rPr>
          <w:b/>
        </w:rPr>
        <w:t xml:space="preserve">Source: </w:t>
      </w:r>
      <w:r>
        <w:t>Recent Articles in Phys. Rev. C</w:t>
      </w:r>
      <w:r>
        <w:t xml:space="preserve">    </w:t>
      </w:r>
      <w:r>
        <w:rPr>
          <w:b/>
        </w:rPr>
        <w:t xml:space="preserve">Pub date: </w:t>
      </w:r>
      <w:r>
        <w:t>2026-07-07 10:00:00+00:00</w:t>
      </w:r>
      <w:r>
        <w:t xml:space="preserve">    </w:t>
      </w:r>
      <w:r>
        <w:rPr>
          <w:b/>
        </w:rPr>
        <w:t xml:space="preserve">DOI: </w:t>
      </w:r>
      <w:hyperlink r:id="rId176">
        <w:r>
          <w:rPr>
            <w:color w:val="1155CC"/>
            <w:u w:val="single"/>
          </w:rPr>
          <w:t>10.1103/zy3h-hs82</w:t>
        </w:r>
      </w:hyperlink>
    </w:p>
    <w:p>
      <w:pPr>
        <w:spacing w:before="0" w:after="120"/>
      </w:pPr>
      <w:r>
        <w:rPr>
          <w:b/>
        </w:rPr>
        <w:t xml:space="preserve">Notes: </w:t>
      </w:r>
      <w:r>
        <w:t>abstract_source=rss_description</w:t>
      </w:r>
    </w:p>
    <w:p>
      <w:pPr>
        <w:spacing w:before="0" w:after="80" w:lineRule="auto" w:line="276"/>
      </w:pPr>
      <w:r>
        <w:rPr>
          <w:b/>
        </w:rPr>
        <w:t xml:space="preserve">摘要（ZH）: </w:t>
      </w:r>
      <w:r>
        <w:t>作者：K. Pomorski、A. Augustyn、T. Cap、Y. J. Chen、M. Kowal、B. Nerlo-Pomorska、M. Warda 和 Z. G. Xiao 根据评估的参考数据计算 Ba 和 Xe 链中同位素解析的中子裂变产率并进行基准测试，重点是固定碎片电荷下的元素解析同位素链 $Y({N}_{f})$ $Z$ 以及重轻片段相关性的一致性。计算……[物理。 Rev. C 114, 014307] 2026 年 7 月 7 日星期二发布</w:t>
      </w:r>
    </w:p>
    <w:p>
      <w:pPr>
        <w:spacing w:before="0" w:after="200" w:lineRule="auto" w:line="276"/>
      </w:pPr>
      <w:r>
        <w:rPr>
          <w:b/>
        </w:rPr>
        <w:t xml:space="preserve">Abstract (EN): </w:t>
      </w:r>
      <w:r>
        <w:t>Author(s): K. Pomorski, A. Augustyn, T. Cap, Y. J. Chen, M. Kowal, B. Nerlo-Pomorska, M. Warda, and Z. G. XiaoIsotope-resolved post-neutron fission yields in the Ba and Xe chains are calculated and benchmarked against evaluated reference data, with emphasis on element-resolved isotopic chains $Y({N}_{f})$ at fixed fragment charge $Z$ and on the consistency of heavy-light fragment correlations. Calculations …[Phys. Rev. C 114, 014307] Published Tue Jul 07, 2026</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77">
        <w:r>
          <w:rPr>
            <w:color w:val="1155CC"/>
            <w:u w:val="single"/>
          </w:rPr>
          <w:t>统计人工智能实现多元素催化剂的精确筛选</w:t>
        </w:r>
      </w:hyperlink>
    </w:p>
    <w:p>
      <w:pPr>
        <w:spacing w:before="0" w:after="80"/>
      </w:pPr>
      <w:r>
        <w:rPr>
          <w:i/>
          <w:sz w:val="20"/>
        </w:rPr>
        <w:t>EN: Statistical AI Enables Precise Screening of Multielement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178">
        <w:r>
          <w:rPr>
            <w:color w:val="1155CC"/>
            <w:u w:val="single"/>
          </w:rPr>
          <w:t>10.1021/jacs.6c01781</w:t>
        </w:r>
      </w:hyperlink>
    </w:p>
    <w:p>
      <w:pPr>
        <w:spacing w:before="0" w:after="120"/>
      </w:pPr>
      <w:r>
        <w:rPr>
          <w:b/>
        </w:rPr>
        <w:t xml:space="preserve">Notes: </w:t>
      </w:r>
      <w:r>
        <w:t>abstract_source=pubmed</w:t>
      </w:r>
    </w:p>
    <w:p>
      <w:pPr>
        <w:spacing w:before="0" w:after="80" w:lineRule="auto" w:line="276"/>
      </w:pPr>
      <w:r>
        <w:rPr>
          <w:b/>
        </w:rPr>
        <w:t xml:space="preserve">摘要（ZH）: </w:t>
      </w:r>
      <w:r>
        <w:t>合成材料的复杂结构与其简化的计算模型之间的差异导致理论计算和实验性能之间的偏差。为了缩小这一差距，我们引入了统计描述符 φ，它被定义为给定元素组合中高活性配置的比例。通过考虑多个结构的活性分布而不是依赖于单一模型结构，φ可以更准确地量化宏观催化活性。使用 Seq-Equiformer 模型（我们通过使用 LSTM 增强 EquiformerV2 来捕获析氧反应过程中的动态结构变化而开发的图神经网络），我们预测了 3d 过渡金属掺杂 CoOOH 的 2.5 亿个结构的超电势。基于这些预测，计算每个元素组合的 φ 值，并确定具有最高 φ 值的六种最佳掺杂剂组合。对于领先的 MnFeNiCu 组合，贝叶斯优化驱动的 AI 实验进一步优化了元素比例。仅经过 40 次实验迭代，探索了 0.44% 的搜索空间，就确定了催化剂 Mn0.07Fe0.09Ni0.14Cu0.01Co0.69OOH，在 100 mA cm-2 下提供 246.5 mV 的过电势，并在 1 A cm-2 下在 1000 小时内保持 98.5% 的活性。在验证中，统计描述符在识别顶级催化剂方面达到了 80% 的准确率，比基于最佳配置评估元素组合的单结构筛选提高了 30%。统计建模、机器学习的集成</w:t>
      </w:r>
    </w:p>
    <w:p>
      <w:pPr>
        <w:spacing w:before="0" w:after="200" w:lineRule="auto" w:line="276"/>
      </w:pPr>
      <w:r>
        <w:rPr>
          <w:b/>
        </w:rPr>
        <w:t xml:space="preserve">Abstract (EN): </w:t>
      </w:r>
      <w:r>
        <w:t>The disparity between the complex structures of synthesized materials and their simplified computational models leads to deviations between theoretically calculated and experimental performance. To narrow this gap, we introduce the statistical descriptor φ, which is defined as the proportion of high-activity configurations in a given element combination. By considering the activity distribution of multiple structures rather than relying on a single model structure, φ can more accurately quantify macroscopic catalytic activity. Using the Seq-Equiformer model, a graph neural network we developed by augmenting EquiformerV2 with LSTM to capture dynamic structural changes during oxygen evolution reaction, we predict overpotentials for 250 million structures of 3d transition metal doped CoOOH. Based on these predictions, the value of φ for each element combination is calculated, and six optimal dopant combinations with the highest φ values are determined. For the leading MnFeNiCu combination, Bayesian optimization-driven AI experiments further optimize the elemental ratios. After only 40 experimental iterations, exploring 0.44% of the search space, the catalyst Mn0.07Fe0.09Ni0.14Cu0.01Co0.69OOH is identified, delivering an overpotential of 246.5 mV at 100 mA cm-2 and retaining 98.5% activity over 1000 h at 1 A cm-2. In validation, the statistical descriptor achieves 80% accuracy in identifying the top catalysts, a 30% improvement over single-structure screening, which evaluates the element combination based on the best configuration. The integration of statistical modeling, machine learning, and autonomous experimentation offers a powerful strategy to accelerate catalyst discovery and enhance prediction accuracy.</w:t>
      </w:r>
    </w:p>
    <w:p>
      <w:pPr>
        <w:spacing w:before="120" w:after="120"/>
      </w:pPr>
      <w:r>
        <w:rPr>
          <w:sz w:val="18"/>
        </w:rPr>
        <w:t>——————————————————————————————————————————————————————————————————————</w:t>
      </w:r>
    </w:p>
    <w:p>
      <w:pPr>
        <w:spacing w:before="160" w:after="40" w:line="240" w:lineRule="auto"/>
      </w:pPr>
      <w:r>
        <w:rPr>
          <w:b/>
        </w:rPr>
        <w:t xml:space="preserve">[2] </w:t>
      </w:r>
      <w:hyperlink r:id="rId179">
        <w:r>
          <w:rPr>
            <w:color w:val="1155CC"/>
            <w:u w:val="single"/>
          </w:rPr>
          <w:t>使用贝叶斯优化的 LSTM-XGBoost 融合模型预测汽车 PEMFC 堆栈的高频电阻</w:t>
        </w:r>
      </w:hyperlink>
    </w:p>
    <w:p>
      <w:pPr>
        <w:spacing w:before="0" w:after="80"/>
      </w:pPr>
      <w:r>
        <w:rPr>
          <w:i/>
          <w:sz w:val="20"/>
        </w:rPr>
        <w:t>EN: Prediction of high-frequency resistance for automotive PEMFC stacks using a Bayesian-optimized LSTM-XGBoost fusion model</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0">
        <w:r>
          <w:rPr>
            <w:color w:val="1155CC"/>
            <w:u w:val="single"/>
          </w:rPr>
          <w:t>多工况下质子交换膜水电解膜电极组件的动态降解机理</w:t>
        </w:r>
      </w:hyperlink>
    </w:p>
    <w:p>
      <w:pPr>
        <w:spacing w:before="0" w:after="80"/>
      </w:pPr>
      <w:r>
        <w:rPr>
          <w:i/>
          <w:sz w:val="20"/>
        </w:rPr>
        <w:t>EN: Dynamic degradation mechanisms of PEM water electrolysis membrane electrode assembly under multiple operating conditions</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81">
        <w:r>
          <w:rPr>
            <w:color w:val="1155CC"/>
            <w:u w:val="single"/>
          </w:rPr>
          <w:t>集成多尺度建模和协调工厂平衡优化，以最大限度地提高重型燃料电池电动汽车的车辆系统效率</w:t>
        </w:r>
      </w:hyperlink>
    </w:p>
    <w:p>
      <w:pPr>
        <w:spacing w:before="0" w:after="80"/>
      </w:pPr>
      <w:r>
        <w:rPr>
          <w:i/>
          <w:sz w:val="20"/>
        </w:rPr>
        <w:t>EN: Integrated multiscale modeling and coordinated balance-of-plant optimization to maximize vehicle system efficiency in a heavy-duty fuel cell electric vehicle</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82">
        <w:r>
          <w:rPr>
            <w:color w:val="1155CC"/>
            <w:u w:val="single"/>
          </w:rPr>
          <w:t>绿氢流量波动下草酸二甲酯加氢工艺动态多目标运行优化</w:t>
        </w:r>
      </w:hyperlink>
    </w:p>
    <w:p>
      <w:pPr>
        <w:spacing w:before="0" w:after="80"/>
      </w:pPr>
      <w:r>
        <w:rPr>
          <w:i/>
          <w:sz w:val="20"/>
        </w:rPr>
        <w:t>EN: Dynamic multi-objective operation optimization of dimethyl oxalate hydrogenation process under green hydrogen flow fluctuation</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30">
        <w:r>
          <w:rPr>
            <w:color w:val="1155CC"/>
            <w:u w:val="single"/>
          </w:rPr>
          <w:t>海上风氢能岛的黑启动设计：并网电池和风力涡轮机技术的作用</w:t>
        </w:r>
      </w:hyperlink>
    </w:p>
    <w:p>
      <w:pPr>
        <w:spacing w:before="0" w:after="80"/>
      </w:pPr>
      <w:r>
        <w:rPr>
          <w:i/>
          <w:sz w:val="20"/>
        </w:rPr>
        <w:t>EN: Black start design for offshore wind–hydrogen energy Islands: Role of grid-forming battery and wind turbine technologies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83">
        <w:r>
          <w:rPr>
            <w:color w:val="1155CC"/>
            <w:u w:val="single"/>
          </w:rPr>
          <w:t>固体氧化物燃料电池能源系统的退化感知故障诊断和预测</w:t>
        </w:r>
      </w:hyperlink>
    </w:p>
    <w:p>
      <w:pPr>
        <w:spacing w:before="0" w:after="80"/>
      </w:pPr>
      <w:r>
        <w:rPr>
          <w:i/>
          <w:sz w:val="20"/>
        </w:rPr>
        <w:t>EN: Degradation-aware fault diagnosis and prognostics for solid oxide fuel cell energy systems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3">
        <w:r>
          <w:rPr>
            <w:color w:val="1155CC"/>
            <w:u w:val="single"/>
          </w:rPr>
          <w:t>空间限制策略增强的高性能硅基光电阴极用于光电化学制氢</w:t>
        </w:r>
      </w:hyperlink>
    </w:p>
    <w:p>
      <w:pPr>
        <w:spacing w:before="0" w:after="80"/>
      </w:pPr>
      <w:r>
        <w:rPr>
          <w:i/>
          <w:sz w:val="20"/>
        </w:rPr>
        <w:t>EN: A High-Performance Si-Based Photocathode Enhanced by Spatial Confinement Strategy for Photoelectrochemical Hydrogen Production</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14">
        <w:r>
          <w:rPr>
            <w:color w:val="1155CC"/>
            <w:u w:val="single"/>
          </w:rPr>
          <w:t>10.1021/acsami.6c06836</w:t>
        </w:r>
      </w:hyperlink>
    </w:p>
    <w:p>
      <w:pPr>
        <w:spacing w:before="0" w:after="120"/>
      </w:pPr>
      <w:r>
        <w:rPr>
          <w:b/>
        </w:rPr>
        <w:t xml:space="preserve">Notes: </w:t>
      </w:r>
      <w:r>
        <w:t>abstract_source=pubmed</w:t>
      </w:r>
    </w:p>
    <w:p>
      <w:pPr>
        <w:spacing w:before="0" w:after="80" w:lineRule="auto" w:line="276"/>
      </w:pPr>
      <w:r>
        <w:rPr>
          <w:b/>
        </w:rPr>
        <w:t xml:space="preserve">摘要（ZH）: </w:t>
      </w:r>
      <w:r>
        <w:t>在硅基光电阴极上修饰的金属材料（如Ti、Pt和Ag）表现出强烈的光反射，这显着阻碍了底层硅（Si）的光吸收，从而限制了硅基光电阴极的效率。在此，通过空间限制策略设计了高性能硅基光电阴极。 Pt助催化剂被限制在金字塔顶部的Ti保护层中，作为光电化学析氢反应的催化活性位点。其他区域被 SiO2 层覆盖，允许入射光穿透并被下面的 Si 吸收。这种设计有效地抑制了寄生光吸收，从而提高了硅基光电阴极的光电化学性能。另外，SiO2层和Ti层可以保护Si不被电解液腐蚀。在1太阳（AM 1.5G）光照下，OP-Si/SiO2/Ti/Pt光电阴极的起始电位相对于可逆氢电极（RHE）为0.415 V，0 V相对于RHE的光电流密度为-13.93 mA cm-2，明显优于对照光电阴极（OP-Si/Ti/Pt）。这项工作为开发高效硅基光电阴极提供了一条有前途的途径。</w:t>
      </w:r>
    </w:p>
    <w:p>
      <w:pPr>
        <w:spacing w:before="0" w:after="200" w:lineRule="auto" w:line="276"/>
      </w:pPr>
      <w:r>
        <w:rPr>
          <w:b/>
        </w:rPr>
        <w:t xml:space="preserve">Abstract (EN): </w:t>
      </w:r>
      <w:r>
        <w:t>Metallic materials (such as Ti, Pt, and Ag) modified on silicon-based photocathodes exhibit strong light reflection, which significantly hinders light absorption by the underlying silicon (Si), thereby limiting the efficiency of Si-based photocathodes. Herein, a high-performance Si-based photocathode is designed by spatial confinement strategy. The Pt cocatalysts are confined to the Ti protective layer at the top of the pyramid, which serve as catalytic active sites for the photoelectrochemical hydrogen evolution reaction. The other regions are covered by the SiO2 layer, which allow incident light to penetrate and be absorbed by the underlying Si. This design effectively suppresses parasitic light absorption, thereby enhancing the photoelectrochemical performance of the Si-based photocathodes. In addition, the SiO2 layer and the Ti layer can protect Si from being corroded by the electrolyte. Under 1 sun (AM 1.5G) illumination, the OP-Si/SiO2/Ti/Pt photocathode exhibits an onset potential of 0.415 V vs reversible hydrogen electrode (RHE) and a photocurrent density of -13.93 mA cm-2 at 0 V vs RHE, which is significantly superior to the control photocathode (OP-Si/Ti/Pt). This work provides a promising avenue to develop highly efficient Si-based photocathodes.</w:t>
      </w:r>
    </w:p>
    <w:p>
      <w:pPr>
        <w:spacing w:before="120" w:after="120"/>
      </w:pPr>
      <w:r>
        <w:rPr>
          <w:sz w:val="18"/>
        </w:rPr>
        <w:t>——————————————————————————————————————————————————————————————————————</w:t>
      </w:r>
    </w:p>
    <w:p>
      <w:pPr>
        <w:spacing w:before="160" w:after="40" w:line="240" w:lineRule="auto"/>
      </w:pPr>
      <w:r>
        <w:rPr>
          <w:b/>
        </w:rPr>
        <w:t xml:space="preserve">[9] </w:t>
      </w:r>
      <w:hyperlink r:id="rId184">
        <w:r>
          <w:rPr>
            <w:color w:val="1155CC"/>
            <w:u w:val="single"/>
          </w:rPr>
          <w:t>时间电位诱导调节可延长功率波动下碱性电解槽的使用寿命</w:t>
        </w:r>
      </w:hyperlink>
    </w:p>
    <w:p>
      <w:pPr>
        <w:spacing w:before="0" w:after="80"/>
      </w:pPr>
      <w:r>
        <w:rPr>
          <w:i/>
          <w:sz w:val="20"/>
        </w:rPr>
        <w:t>EN: Temporal potential-induced regulation for extending alkaline electrolyzer lifespan under power fluctuations</w:t>
      </w:r>
    </w:p>
    <w:p>
      <w:pPr>
        <w:spacing w:before="0" w:after="120"/>
      </w:pPr>
      <w:r>
        <w:rPr>
          <w:b/>
        </w:rPr>
        <w:t xml:space="preserve">Source: </w:t>
      </w:r>
      <w:r>
        <w:t>Joule</w:t>
      </w:r>
      <w:r>
        <w:t xml:space="preserve">    </w:t>
      </w:r>
      <w:r>
        <w:rPr>
          <w:b/>
        </w:rPr>
        <w:t xml:space="preserve">Pub date: </w:t>
      </w:r>
      <w:r>
        <w:t>2026-07-06 00:00:00+00:00</w:t>
      </w:r>
      <w:r>
        <w:t xml:space="preserve">    </w:t>
      </w:r>
      <w:r>
        <w:rPr>
          <w:b/>
        </w:rPr>
        <w:t xml:space="preserve">DOI: </w:t>
      </w:r>
      <w:hyperlink r:id="rId185">
        <w:r>
          <w:rPr>
            <w:color w:val="1155CC"/>
            <w:u w:val="single"/>
          </w:rPr>
          <w:t>10.1016/j.joule.2026.102543</w:t>
        </w:r>
      </w:hyperlink>
    </w:p>
    <w:p>
      <w:pPr>
        <w:spacing w:before="0" w:after="120"/>
      </w:pPr>
      <w:r>
        <w:rPr>
          <w:b/>
        </w:rPr>
        <w:t xml:space="preserve">Notes: </w:t>
      </w:r>
      <w:r>
        <w:t>abstract_source=rss_cell</w:t>
      </w:r>
    </w:p>
    <w:p>
      <w:pPr>
        <w:spacing w:before="0" w:after="80" w:lineRule="auto" w:line="276"/>
      </w:pPr>
      <w:r>
        <w:rPr>
          <w:b/>
        </w:rPr>
        <w:t xml:space="preserve">摘要（ZH）: </w:t>
      </w:r>
      <w:r>
        <w:t>夏等人。报告大型碱性水电解槽的时间电势诱导调节。该方法无需修改催化剂和电解槽结构，即可通过电源优化来延长 AWE 的耐用性，从而提供可扩展且有效的途径。这项工作将电气工程和电化学联系起来，推动可再生能源与氢基础设施的整合。</w:t>
      </w:r>
    </w:p>
    <w:p>
      <w:pPr>
        <w:spacing w:before="0" w:after="200" w:lineRule="auto" w:line="276"/>
      </w:pPr>
      <w:r>
        <w:rPr>
          <w:b/>
        </w:rPr>
        <w:t xml:space="preserve">Abstract (EN): </w:t>
      </w:r>
      <w:r>
        <w:t>Xia et al. report the temporal potential-induced regulation for large-scale alkaline water electrolyzers. Without modifying the catalyst and electrolyzer structures, this approach extends AWE durability via power supply optimization, providing a scalable and effective pathway. This work bridges electrical engineering and electrochemistry, advancing the integration of renewable energy into hydrogen infrastructure.</w:t>
      </w:r>
    </w:p>
    <w:p>
      <w:pPr>
        <w:spacing w:before="120" w:after="120"/>
      </w:pPr>
      <w:r>
        <w:rPr>
          <w:sz w:val="18"/>
        </w:rPr>
        <w:t>——————————————————————————————————————————————————————————————————————</w:t>
      </w:r>
    </w:p>
    <w:p>
      <w:pPr>
        <w:spacing w:before="160" w:after="40" w:line="240" w:lineRule="auto"/>
      </w:pPr>
      <w:r>
        <w:rPr>
          <w:b/>
        </w:rPr>
        <w:t xml:space="preserve">[10] </w:t>
      </w:r>
      <w:hyperlink r:id="rId186">
        <w:r>
          <w:rPr>
            <w:color w:val="1155CC"/>
            <w:u w:val="single"/>
          </w:rPr>
          <w:t>通过碱性热处理和固有的碳储存，从混合塑料废物中选择性直接产生氢气</w:t>
        </w:r>
      </w:hyperlink>
    </w:p>
    <w:p>
      <w:pPr>
        <w:spacing w:before="0" w:after="80"/>
      </w:pPr>
      <w:r>
        <w:rPr>
          <w:i/>
          <w:sz w:val="20"/>
        </w:rPr>
        <w:t>EN: Selective and direct hydrogen generation from mixed plastic waste via alkaline thermal treatment with inherent carbon storage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187">
        <w:r>
          <w:rPr>
            <w:color w:val="1155CC"/>
            <w:u w:val="single"/>
          </w:rPr>
          <w:t>10.1073/pnas.2537552123</w:t>
        </w:r>
      </w:hyperlink>
    </w:p>
    <w:p>
      <w:pPr>
        <w:spacing w:before="0" w:after="120"/>
      </w:pPr>
      <w:r>
        <w:rPr>
          <w:b/>
        </w:rPr>
        <w:t xml:space="preserve">Notes: </w:t>
      </w:r>
      <w:r>
        <w:t>abstract_source=crossref</w:t>
      </w:r>
    </w:p>
    <w:p>
      <w:pPr>
        <w:spacing w:before="0" w:after="80" w:lineRule="auto" w:line="276"/>
      </w:pPr>
      <w:r>
        <w:rPr>
          <w:b/>
        </w:rPr>
        <w:t xml:space="preserve">摘要（ZH）: </w:t>
      </w:r>
      <w:r>
        <w:t>全球塑料废物的积累促使人们对化学回收方法进行广泛研究，以减轻环境问题并将废物转化为宝贵的资源。塑料回收的一个主要挑战是需要进行预分类，这使加工变得复杂并增加了成本。在这里，我们展示了碱性热处理（ATT）作为一种高效策略，可在低温和常压下直接将混合塑料废物（包括聚对苯二甲酸乙二醇酯（PET）、聚乙烯（PE）和聚丙烯（PP））转化为清洁氢能。与传统气化不同，NaOH 辅助的 ATT 能够在显着降低的温度下分解塑料，同时产生高纯度氢气并最大限度地减少碳排放。这项工作的一个关键进展是 PP 和 PE 的氧化预处理，这增强了它们在 ATT 中的反应性，甚至可以从通常具有耐受性的聚烯烃中有效地产生氢气。通过系统优化 NaOH 与塑料的比例和热氧化条件，氢气产率为 43.7、51.9 和 30.2 mmol/g</w:t>
      </w:r>
      <w:r>
        <w:t xml:space="preserve"> </w:t>
      </w:r>
      <w:r>
        <w:t>塑料</w:t>
      </w:r>
      <w:r>
        <w:t xml:space="preserve"> </w:t>
      </w:r>
      <w:r>
        <w:t>分别针对 PET、PE 和 PP 实现了这一目标。此外，ATT 可以有效地转化单个和混合塑料废物，而无需进行广泛的分离，这证明了其商业潜力和现实世界废物成分的可扩展性。总体而言，这项研究将 ATT 确立为塑料废物管理和清洁能源生产的一种有前途且可持续的解决方案，提供了一种经济上可行的低能耗解决方案。</w:t>
      </w:r>
    </w:p>
    <w:p>
      <w:pPr>
        <w:spacing w:before="0" w:after="200" w:lineRule="auto" w:line="276"/>
      </w:pPr>
      <w:r>
        <w:rPr>
          <w:b/>
        </w:rPr>
        <w:t xml:space="preserve">Abstract (EN): </w:t>
      </w:r>
      <w:r>
        <w:t>The global accumulation of plastic waste has spurred extensive research into chemical recycling methods to mitigate environmental issues and convert waste into valuable resources. A major challenge in plastic recycling is the requirement for presorting, which complicates processing and increases costs. Here, we demonstrate alkaline thermal treatment (ATT) as a highly efficient strategy for directly converting mixed plastic waste, including polyethylene terephthalate (PET), polyethylene (PE), and polypropylene (PP), into clean hydrogen energy at low temperatures and atmospheric pressure. Unlike conventional gasification, NaOH-assisted ATT enables plastic decomposition at significantly lower temperatures while producing high-purity hydrogen and minimizing carbon emissions. A key advancement in this work is the oxidation pretreatment of PP and PE, which enhances their reactivity in ATT and allows efficient hydrogen generation even from typically resistant polyolefins. Through systematic optimization of the NaOH-to-plastic ratio and thermal oxidation conditions, hydrogen yields of 43.7, 51.9, and 30.2 mmol/g</w:t>
      </w:r>
      <w:r>
        <w:t xml:space="preserve"> </w:t>
      </w:r>
      <w:r>
        <w:t>plastic</w:t>
      </w:r>
      <w:r>
        <w:t xml:space="preserve"> </w:t>
      </w:r>
      <w:r>
        <w:t>were achieved for PET, PE, and PP, respectively. Furthermore, ATT efficiently converts both individual and mixed plastic waste without requiring extensive separation, demonstrating its commercial potential and scalability with real-world waste compositions. Overall, this study establishes ATT as a promising and sustainable solution for plastic waste management and clean energy production, providing an economically viable low-carbon pathway for hydrogen generation.</w:t>
      </w:r>
    </w:p>
    <w:p>
      <w:pPr>
        <w:spacing w:before="120" w:after="120"/>
      </w:pPr>
      <w:r>
        <w:rPr>
          <w:sz w:val="18"/>
        </w:rPr>
        <w:t>——————————————————————————————————————————————————————————————————————</w:t>
      </w:r>
    </w:p>
    <w:p>
      <w:pPr>
        <w:spacing w:before="160" w:after="40" w:line="240" w:lineRule="auto"/>
      </w:pPr>
      <w:r>
        <w:rPr>
          <w:b/>
        </w:rPr>
        <w:t xml:space="preserve">[11] </w:t>
      </w:r>
      <w:hyperlink r:id="rId188">
        <w:r>
          <w:rPr>
            <w:color w:val="1155CC"/>
            <w:u w:val="single"/>
          </w:rPr>
          <w:t>等离子体电催化氮还原合成氨</w:t>
        </w:r>
      </w:hyperlink>
    </w:p>
    <w:p>
      <w:pPr>
        <w:spacing w:before="0" w:after="80"/>
      </w:pPr>
      <w:r>
        <w:rPr>
          <w:i/>
          <w:sz w:val="20"/>
        </w:rPr>
        <w:t>EN: Plasma-Electrocatalytic Nitrogen Reduction for Ammonia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189">
        <w:r>
          <w:rPr>
            <w:color w:val="1155CC"/>
            <w:u w:val="single"/>
          </w:rPr>
          <w:t>10.1021/jacs.6c04148</w:t>
        </w:r>
      </w:hyperlink>
    </w:p>
    <w:p>
      <w:pPr>
        <w:spacing w:before="0" w:after="120"/>
      </w:pPr>
      <w:r>
        <w:rPr>
          <w:b/>
        </w:rPr>
        <w:t xml:space="preserve">Notes: </w:t>
      </w:r>
      <w:r>
        <w:t>abstract_source=pubmed</w:t>
      </w:r>
    </w:p>
    <w:p>
      <w:pPr>
        <w:spacing w:before="0" w:after="80" w:lineRule="auto" w:line="276"/>
      </w:pPr>
      <w:r>
        <w:rPr>
          <w:b/>
        </w:rPr>
        <w:t xml:space="preserve">摘要（ZH）: </w:t>
      </w:r>
      <w:r>
        <w:t>环境条件下的电化学氮还原受到 N2 的动力学惰性和析氢反应的竞争的限制。在这里，我们报告了一种集成的等离子体电解膜电极组件，它将微结构非热表面放电直接耦合到气体扩散阴极，从而能够原位生成振动激发的 N2、N2(ν) 并将其传递到电催化界面。在筛选的 14 种金属催化剂中，Ag 提供了活性和选择性的最佳平衡，在大气压和室温下，NH3 生成率为 7.7 ± 0.8 nmol s-1 cm-2，电化学法拉第效率为 86 ± 14%（-0.54 V vs RHE）。等离子体/电解开关控制和 15N2 同位素标记实验表明，NH3 的形成需要同时进行等离子体激活和电化学极化，并且源自所提供的 N2。等离子体动力学模型表明放电中存在强烈的振动激发，计算出的有效振动温度约为 4300 K，N2 占据水平为 11.8% (ν = 4-8)。输运模型进一步表明，这些相对较长寿命的激发态持续存在于膜催化剂区域。原位拉曼光谱仅在耦合操作期间揭示了含 N-N 的表面中间体，而密度泛函理论表明振动激发降低了 N2 初始氢化为 *NNH 的自由能要求，并以催化剂依赖性方式改变了速率决定步骤。这些发现</w:t>
      </w:r>
    </w:p>
    <w:p>
      <w:pPr>
        <w:spacing w:before="0" w:after="200" w:lineRule="auto" w:line="276"/>
      </w:pPr>
      <w:r>
        <w:rPr>
          <w:b/>
        </w:rPr>
        <w:t xml:space="preserve">Abstract (EN): </w:t>
      </w:r>
      <w:r>
        <w:t>Electrochemical nitrogen reduction under ambient conditions is constrained by the kinetic inertness of N2 and competition from the hydrogen evolution reaction. Here, we report an integrated plasma-electrolysis membrane-electrode assembly that couples a microstructured nonthermal surface discharge directly to a gas-diffusion cathode, enabling in situ generation and delivery of vibrationally excited N2, N2(ν), to the electrocatalytic interface. Among 14 metal catalysts screened, Ag provided the best balance of activity and selectivity, achieving an NH3 production rate of 7.7 ± 0.8 nmol s-1 cm-2 with an electrochemical Faradaic efficiency of 86 ± 14% at -0.54 V versus RHE under atmospheric pressure and room temperature. Plasma/electrolysis on-off controls and 15N2 isotope-labeling experiments establish that NH3 formation requires simultaneous plasma activation and electrochemical polarization and originates from the supplied N2. Plasma-kinetic modeling indicates strong vibrational excitation in the discharge, with a calculated effective vibrational temperature of approximately 4300 K and 11.8% of N2 occupying levels (ν = 4-8). Transport modeling further suggests that these comparatively long-lived excited states persist to the membrane-catalyst region. In situ Raman spectroscopy reveals N-N-containing surface intermediates only during coupled operation, while density functional theory shows that vibrational excitation lowers the free-energy requirement for the initial hydrogenation of N2 to *NNH and shifts the rate-determining step in a catalyst-dependent manner. These findings establish vibrational-state engineering as a strategy for coupling non-equilibrium molecular activation with electrocatalysis for distributed ammonia synthesis under ambient conditions.</w:t>
      </w:r>
    </w:p>
    <w:p>
      <w:pPr>
        <w:spacing w:before="120" w:after="120"/>
      </w:pPr>
      <w:r>
        <w:rPr>
          <w:sz w:val="18"/>
        </w:rPr>
        <w:t>——————————————————————————————————————————————————————————————————————</w:t>
      </w:r>
    </w:p>
    <w:p>
      <w:pPr>
        <w:spacing w:before="160" w:after="40" w:line="240" w:lineRule="auto"/>
      </w:pPr>
      <w:r>
        <w:rPr>
          <w:b/>
        </w:rPr>
        <w:t xml:space="preserve">[12] </w:t>
      </w:r>
      <w:hyperlink r:id="rId190">
        <w:r>
          <w:rPr>
            <w:color w:val="1155CC"/>
            <w:u w:val="single"/>
          </w:rPr>
          <w:t>交变磁场通过破坏钌催化物质的萨巴蒂尔限制来促进氨裂解</w:t>
        </w:r>
      </w:hyperlink>
    </w:p>
    <w:p>
      <w:pPr>
        <w:spacing w:before="0" w:after="80"/>
      </w:pPr>
      <w:r>
        <w:rPr>
          <w:i/>
          <w:sz w:val="20"/>
        </w:rPr>
        <w:t>EN: Alternating Magnetic Field Promotes Ammonia Cracking by Disrupting the Sabatier Limitation of Ruthenium Catalytic Species</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191">
        <w:r>
          <w:rPr>
            <w:color w:val="1155CC"/>
            <w:u w:val="single"/>
          </w:rPr>
          <w:t>10.1021/jacs.6c03820</w:t>
        </w:r>
      </w:hyperlink>
    </w:p>
    <w:p>
      <w:pPr>
        <w:spacing w:before="0" w:after="120"/>
      </w:pPr>
      <w:r>
        <w:rPr>
          <w:b/>
        </w:rPr>
        <w:t xml:space="preserve">Notes: </w:t>
      </w:r>
      <w:r>
        <w:t>abstract_source=pubmed</w:t>
      </w:r>
    </w:p>
    <w:p>
      <w:pPr>
        <w:spacing w:before="0" w:after="80" w:lineRule="auto" w:line="276"/>
      </w:pPr>
      <w:r>
        <w:rPr>
          <w:b/>
        </w:rPr>
        <w:t xml:space="preserve">摘要（ZH）: </w:t>
      </w:r>
      <w:r>
        <w:t>当催化包含基本反应步骤的反应时，需要连续中间体的强吸附和弱吸附才能完成整个循环，催化金属通常会表现出反应性妥协，称为萨巴蒂尔约束。在此，计算和实验结果表明，催化剂自旋状态的动态调节可以提供一种新的方法，通过低自旋和高自旋催化氨分解来克服这些限制，该反应体现了萨巴蒂尔约束，因为很难分别实现强NH3结合以及弱*H和*N结合以有效形成H2和N2。我们证明，在交变磁场 (AMF) 下运行的自热亚铁磁性 Ru/Fe3O4 催化剂相对于低于 400 °C 的标准热运行，其活性至少提高了 5 倍。主要优点来自于 AMF 下催化剂内随时间变化的磁通量，从而能够在 Ru 位点上实现快速电子响应，从而通过瞬时诱导金属的高自旋构型来减轻 Ru 氮化。这些发现强调了 AMF 驱动的催化作为动态调节催化剂电子态以及表面中间体的通用反应策略，从而克服了各种催化反应中经常遇到的 Sabatier 约束。</w:t>
      </w:r>
    </w:p>
    <w:p>
      <w:pPr>
        <w:spacing w:before="0" w:after="200" w:lineRule="auto" w:line="276"/>
      </w:pPr>
      <w:r>
        <w:rPr>
          <w:b/>
        </w:rPr>
        <w:t xml:space="preserve">Abstract (EN): </w:t>
      </w:r>
      <w:r>
        <w:t>When catalyzing a reaction comprising elementary reaction steps that demand both strong and weak adsorption of sequential intermediates to complete a full cycle, catalytic metals often exhibit reactivity compromises, known as Sabatier constraints. Herein, computational and experimental findings suggest that dynamic modulation of the catalyst spin state can provide a new handle to overcome such limitations via low- and high-spin catalysis for ammonia decomposition, which is a reaction that exemplifies Sabatier constraints due to the difficulty in achieving strong NH3 binding as well as weak *H and *N binding for efficient H2 and N2 formations, respectively. We demonstrate that the self-heating ferrimagnetic Ru/Fe3O4 catalyst operating under an alternating magnetic field (AMF) exhibits at least a 5-fold enhancement in activity relative to standard thermal operation below 400 °C. The key benefit comes from the time-varying magnetic flux within the catalyst under AMF, enabling rapid electronic responses at the Ru sites that mitigate Ru nitridation by transiently inducing a high-spin configuration of the metal. These findings highlight AMF-driven catalysis as a general reaction strategy for dynamically regulating catalyst electronic states and, in turn, surface intermediates, thereby overcoming the often-encountered Sabatier constraints in various catalytic reactions.</w:t>
      </w:r>
    </w:p>
    <w:p>
      <w:pPr>
        <w:spacing w:before="120" w:after="120"/>
      </w:pPr>
      <w:r>
        <w:rPr>
          <w:sz w:val="18"/>
        </w:rPr>
        <w:t>——————————————————————————————————————————————————————————————————————</w:t>
      </w:r>
    </w:p>
    <w:p>
      <w:pPr>
        <w:spacing w:before="160" w:after="40" w:line="240" w:lineRule="auto"/>
      </w:pPr>
      <w:r>
        <w:rPr>
          <w:b/>
        </w:rPr>
        <w:t xml:space="preserve">[13] </w:t>
      </w:r>
      <w:hyperlink r:id="rId192">
        <w:r>
          <w:rPr>
            <w:color w:val="1155CC"/>
            <w:u w:val="single"/>
          </w:rPr>
          <w:t>通过接触电催化中的静电极化增强单原子催化剂的析氢能力</w:t>
        </w:r>
      </w:hyperlink>
    </w:p>
    <w:p>
      <w:pPr>
        <w:spacing w:before="0" w:after="80"/>
      </w:pPr>
      <w:r>
        <w:rPr>
          <w:i/>
          <w:sz w:val="20"/>
        </w:rPr>
        <w:t>EN: Enhanced Hydrogen Evolution over Single-Atom Catalysts via Electrostatic Polarization in Contact-electro-catalysis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193">
        <w:r>
          <w:rPr>
            <w:color w:val="1155CC"/>
            <w:u w:val="single"/>
          </w:rPr>
          <w:t>10.1021/jacs.6c10847</w:t>
        </w:r>
      </w:hyperlink>
    </w:p>
    <w:p>
      <w:pPr>
        <w:spacing w:before="0" w:after="120"/>
      </w:pPr>
      <w:r>
        <w:rPr>
          <w:b/>
        </w:rPr>
        <w:t xml:space="preserve">Notes: </w:t>
      </w:r>
      <w:r>
        <w:t>abstract_source=pubmed</w:t>
      </w:r>
    </w:p>
    <w:p>
      <w:pPr>
        <w:spacing w:before="0" w:after="80" w:lineRule="auto" w:line="276"/>
      </w:pPr>
      <w:r>
        <w:rPr>
          <w:b/>
        </w:rPr>
        <w:t xml:space="preserve">摘要（ZH）: </w:t>
      </w:r>
      <w:r>
        <w:t>接触起电 (CE) 是一种普遍存在的效应，它会使两个接触表面反向充电。这些带电表面会在空间中感应出电场，但这种由 CE 产生的电场引起的极化长期以来一直被忽视。在这里，我们提出了一种静电极化策略，以提高基于 CE 衍生电场的单原子催化剂 (SAC) 的性能。以Ru1/SiO2为例，通过氟化提高SiO2基底的CE能力后，其氢产率可提高7.62倍。这种增强主要归因于氟化 SiO2 基底上的 CE 效应加速，这不仅促进了水的解离过程，而且建立了强电场以提高 Ru SA 的还原活性和质子的静电吸引力。此外，该策略对于基于碳基质的SAC是可行的，进一步表明其普适性。通过从真实海水中析氢证明了Ru1/F-SiO2的实用性，在200小时内实现了1.01 mmol·g-1·h-1的产率。我们期望这种基于静电极化的策略能够形成增强 SAC 活性的通用途径。</w:t>
      </w:r>
    </w:p>
    <w:p>
      <w:pPr>
        <w:spacing w:before="0" w:after="200" w:lineRule="auto" w:line="276"/>
      </w:pPr>
      <w:r>
        <w:rPr>
          <w:b/>
        </w:rPr>
        <w:t xml:space="preserve">Abstract (EN): </w:t>
      </w:r>
      <w:r>
        <w:t>Contact-electrification (CE) is a ubiquitous effect that would render two contact surfaces being reversely charged. These charged surfaces would induce an electric field in space, but polarization caused by this CE-derived electric field has long been ignored. Here, we propose an electrostatic polarization strategy to improve the performance of single-atom catalysts (SACs) based on this CE-derived electric field. Exemplified by Ru1/SiO2, its hydrogen yield could be enhanced by 7.62 times after improving the CE ability of the SiO2 substrate by fluorination. Such enhancement should mainly be ascribed to the expedited CE effect on fluorinated SiO2 substrates, which not only facilitates the water dissociation process but also establishes a strong electric field for improving the reduction activity of Ru SAs and the electrostatic attraction of protons. In addition, this strategy is feasible for SACs based on carbon substrates, further suggesting its generalizability. The practicability of Ru1/F-SiO2 was demonstrated through hydrogen evolution from real seawater, achieving a yield of 1.01 mmol·g-1·h-1 over 200 h. We expect this electrostatic polarization-based strategy to form a universal route for enhancing the activity of SACs.</w:t>
      </w:r>
    </w:p>
    <w:p>
      <w:pPr>
        <w:spacing w:before="120" w:after="120"/>
      </w:pPr>
      <w:r>
        <w:rPr>
          <w:sz w:val="18"/>
        </w:rPr>
        <w:t>——————————————————————————————————————————————————————————————————————</w:t>
      </w:r>
    </w:p>
    <w:p>
      <w:pPr>
        <w:spacing w:before="160" w:after="40" w:line="240" w:lineRule="auto"/>
      </w:pPr>
      <w:r>
        <w:rPr>
          <w:b/>
        </w:rPr>
        <w:t xml:space="preserve">[14] </w:t>
      </w:r>
      <w:hyperlink r:id="rId194">
        <w:r>
          <w:rPr>
            <w:color w:val="1155CC"/>
            <w:u w:val="single"/>
          </w:rPr>
          <w:t>肯尼亚绿色氢能并网</w:t>
        </w:r>
      </w:hyperlink>
    </w:p>
    <w:p>
      <w:pPr>
        <w:spacing w:before="0" w:after="80"/>
      </w:pPr>
      <w:r>
        <w:rPr>
          <w:i/>
          <w:sz w:val="20"/>
        </w:rPr>
        <w:t>EN: Grid integration for green hydrogen in Kenya</w:t>
      </w:r>
    </w:p>
    <w:p>
      <w:pPr>
        <w:spacing w:before="0" w:after="120"/>
      </w:pPr>
      <w:r>
        <w:rPr>
          <w:b/>
        </w:rPr>
        <w:t xml:space="preserve">Source: </w:t>
      </w:r>
      <w:r>
        <w:t>Nature Reviews Clean Technology</w:t>
      </w:r>
      <w:r>
        <w:t xml:space="preserve">    </w:t>
      </w:r>
      <w:r>
        <w:rPr>
          <w:b/>
        </w:rPr>
        <w:t xml:space="preserve">Pub date: </w:t>
      </w:r>
      <w:r>
        <w:t>2026-07-07 00:00:00+00:00</w:t>
      </w:r>
      <w:r>
        <w:t xml:space="preserve">    </w:t>
      </w:r>
      <w:r>
        <w:rPr>
          <w:b/>
        </w:rPr>
        <w:t xml:space="preserve">DOI: </w:t>
      </w:r>
      <w:hyperlink r:id="rId195">
        <w:r>
          <w:rPr>
            <w:color w:val="1155CC"/>
            <w:u w:val="single"/>
          </w:rPr>
          <w:t>10.1038/s44359-026-00199-6</w:t>
        </w:r>
      </w:hyperlink>
    </w:p>
    <w:p>
      <w:pPr>
        <w:spacing w:before="0" w:after="120"/>
      </w:pPr>
      <w:r>
        <w:rPr>
          <w:b/>
        </w:rPr>
        <w:t xml:space="preserve">Notes: </w:t>
      </w:r>
      <w:r>
        <w:t>abstract_source=nature_html</w:t>
      </w:r>
    </w:p>
    <w:p>
      <w:pPr>
        <w:spacing w:before="0" w:after="80" w:lineRule="auto" w:line="276"/>
      </w:pPr>
      <w:r>
        <w:rPr>
          <w:b/>
        </w:rPr>
        <w:t xml:space="preserve">摘要（ZH）: </w:t>
      </w:r>
      <w:r>
        <w:t>《环境科学与技术》中的一篇文章模拟了肯尼亚的绿色氢生产。</w:t>
      </w:r>
    </w:p>
    <w:p>
      <w:pPr>
        <w:spacing w:before="0" w:after="200" w:lineRule="auto" w:line="276"/>
      </w:pPr>
      <w:r>
        <w:rPr>
          <w:b/>
        </w:rPr>
        <w:t xml:space="preserve">Abstract (EN): </w:t>
      </w:r>
      <w:r>
        <w:t>An article in Environmental Science &amp; Technology models green hydrogen production in Kenya.</w:t>
      </w:r>
    </w:p>
    <w:p>
      <w:pPr>
        <w:spacing w:before="120" w:after="120"/>
      </w:pPr>
      <w:r>
        <w:rPr>
          <w:sz w:val="18"/>
        </w:rPr>
        <w:t>——————————————————————————————————————————————————————————————————————</w:t>
      </w:r>
    </w:p>
    <w:p>
      <w:pPr>
        <w:spacing w:before="160" w:after="40" w:line="240" w:lineRule="auto"/>
      </w:pPr>
      <w:r>
        <w:rPr>
          <w:b/>
        </w:rPr>
        <w:t xml:space="preserve">[15] </w:t>
      </w:r>
      <w:hyperlink r:id="rId196">
        <w:r>
          <w:rPr>
            <w:color w:val="1155CC"/>
            <w:u w:val="single"/>
          </w:rPr>
          <w:t>弥合水缺口</w:t>
        </w:r>
      </w:hyperlink>
    </w:p>
    <w:p>
      <w:pPr>
        <w:spacing w:before="0" w:after="80"/>
      </w:pPr>
      <w:r>
        <w:rPr>
          <w:i/>
          <w:sz w:val="20"/>
        </w:rPr>
        <w:t>EN: Bridging the water gap</w:t>
      </w:r>
    </w:p>
    <w:p>
      <w:pPr>
        <w:spacing w:before="0" w:after="120"/>
      </w:pPr>
      <w:r>
        <w:rPr>
          <w:b/>
        </w:rPr>
        <w:t xml:space="preserve">Source: </w:t>
      </w:r>
      <w:r>
        <w:t>Nature Reviews Clean Technology</w:t>
      </w:r>
      <w:r>
        <w:t xml:space="preserve">    </w:t>
      </w:r>
      <w:r>
        <w:rPr>
          <w:b/>
        </w:rPr>
        <w:t xml:space="preserve">Pub date: </w:t>
      </w:r>
      <w:r>
        <w:t>2026-07-07 00:00:00+00:00</w:t>
      </w:r>
      <w:r>
        <w:t xml:space="preserve">    </w:t>
      </w:r>
      <w:r>
        <w:rPr>
          <w:b/>
        </w:rPr>
        <w:t xml:space="preserve">DOI: </w:t>
      </w:r>
      <w:hyperlink r:id="rId197">
        <w:r>
          <w:rPr>
            <w:color w:val="1155CC"/>
            <w:u w:val="single"/>
          </w:rPr>
          <w:t>10.1038/s44359-026-00200-2</w:t>
        </w:r>
      </w:hyperlink>
    </w:p>
    <w:p>
      <w:pPr>
        <w:spacing w:before="0" w:after="120"/>
      </w:pPr>
      <w:r>
        <w:rPr>
          <w:b/>
        </w:rPr>
        <w:t xml:space="preserve">Notes: </w:t>
      </w:r>
      <w:r>
        <w:t>abstract_source=nature_html</w:t>
      </w:r>
    </w:p>
    <w:p>
      <w:pPr>
        <w:spacing w:before="0" w:after="80" w:lineRule="auto" w:line="276"/>
      </w:pPr>
      <w:r>
        <w:rPr>
          <w:b/>
        </w:rPr>
        <w:t xml:space="preserve">摘要（ZH）: </w:t>
      </w:r>
      <w:r>
        <w:t>《能源与环境科学》上的一篇文章提出了一种亚纳米钌簇催化剂，以提高阴离子交换膜水电解槽中绿色氢气生产的效率。</w:t>
      </w:r>
    </w:p>
    <w:p>
      <w:pPr>
        <w:spacing w:before="0" w:after="200" w:lineRule="auto" w:line="276"/>
      </w:pPr>
      <w:r>
        <w:rPr>
          <w:b/>
        </w:rPr>
        <w:t xml:space="preserve">Abstract (EN): </w:t>
      </w:r>
      <w:r>
        <w:t>An article in Energy &amp; Environmental Science proposes a sub-nanometre ruthenium cluster catalyst to improve the efficiency of green hydrogen production in anion exchange membrane water electrolysers.</w:t>
      </w:r>
    </w:p>
    <w:p>
      <w:pPr>
        <w:spacing w:before="120" w:after="120"/>
      </w:pPr>
      <w:r>
        <w:rPr>
          <w:sz w:val="18"/>
        </w:rPr>
        <w:t>——————————————————————————————————————————————————————————————————————</w:t>
      </w:r>
    </w:p>
    <w:p>
      <w:pPr>
        <w:spacing w:before="160" w:after="40" w:line="240" w:lineRule="auto"/>
      </w:pPr>
      <w:r>
        <w:rPr>
          <w:b/>
        </w:rPr>
        <w:t xml:space="preserve">[16] </w:t>
      </w:r>
      <w:hyperlink r:id="rId198">
        <w:r>
          <w:rPr>
            <w:color w:val="1155CC"/>
            <w:u w:val="single"/>
          </w:rPr>
          <w:t>钼掺杂介导的氧空位工程增强质子陶瓷燃料电池的阴极活性</w:t>
        </w:r>
      </w:hyperlink>
    </w:p>
    <w:p>
      <w:pPr>
        <w:spacing w:before="0" w:after="80"/>
      </w:pPr>
      <w:r>
        <w:rPr>
          <w:i/>
          <w:sz w:val="20"/>
        </w:rPr>
        <w:t>EN: Mo Dopant-Mediated Oxygen Vacancy Engineering for Enhanced Cathodic Activity in Protonic Ceramic Fuel Cells</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199">
        <w:r>
          <w:rPr>
            <w:color w:val="1155CC"/>
            <w:u w:val="single"/>
          </w:rPr>
          <w:t>10.1021/acsami.6c06472</w:t>
        </w:r>
      </w:hyperlink>
    </w:p>
    <w:p>
      <w:pPr>
        <w:spacing w:before="0" w:after="120"/>
      </w:pPr>
      <w:r>
        <w:rPr>
          <w:b/>
        </w:rPr>
        <w:t xml:space="preserve">Notes: </w:t>
      </w:r>
      <w:r>
        <w:t>abstract_source=pubmed</w:t>
      </w:r>
    </w:p>
    <w:p>
      <w:pPr>
        <w:spacing w:before="0" w:after="80" w:lineRule="auto" w:line="276"/>
      </w:pPr>
      <w:r>
        <w:rPr>
          <w:b/>
        </w:rPr>
        <w:t xml:space="preserve">摘要（ZH）: </w:t>
      </w:r>
      <w:r>
        <w:t>质子陶瓷燃料电池 (PCFC) 比固体氧化物燃料电池 (SOFC) 更受关注，因为它们具有在较低温度下运行的潜力，因此解决了高温氧离子传导 SOFC 的局限性。具有三重导电 (H+/O2-/e-) 特性的层状双钙钛矿，例如 PrBa0.5Sr0.5Co1.5Fe0.5O5+δ (PBSCF)，作为 PCFC 的阴极表现出了出色的性能。我们对钼掺杂（Mo-掺杂）PBSCF 的研究表明，高价 Mo 掺杂是显着促进氧空位形成并加速整体阴极反应的有效策略。氧还原反应 (ORR) 相关动力学的改进体现在 PBSCFM01 极化电阻 (Rp) 的降低（650 °C 时为 0.052 Ω·cm2）和 PBSCFM01 电池的峰值功率密度 (PPD) 的增强（650 °C 时为 817 mW·cm-2），相当于与纯 PBSCF 相比，Rp 降低了 75%，PPD 增加了 44%。 Mo掺杂促进氧空位的形成，从而优化晶格结构并促进氧离子传输。此外，Mo 的掺入改善了电荷转移动力学和整体电导率，PBSCFM01 样品在 250 °C 时表现出最大电导率 1051 S/cm，比纯 PBSCF 高出约 15%。进一步进行密度泛函理论计算，以阐明钼掺入在调节氧空位形成中的作用。理论结果与实验观察结果非常吻合，提供了原子尺度的</w:t>
      </w:r>
    </w:p>
    <w:p>
      <w:pPr>
        <w:spacing w:before="0" w:after="200" w:lineRule="auto" w:line="276"/>
      </w:pPr>
      <w:r>
        <w:rPr>
          <w:b/>
        </w:rPr>
        <w:t xml:space="preserve">Abstract (EN): </w:t>
      </w:r>
      <w:r>
        <w:t>Protonic ceramic fuel cells (PCFCs) have attracted more interest than solid oxide fuel cells (SOFCs) due to their potential to be operated at lower temperatures, therefore, addressing the limitation of high-temperature oxygen ion conducting SOFC. Layered double perovskite with triple conducting (H+/O2-/e-) properties, such as PrBa0.5Sr0.5Co1.5Fe0.5O5+δ (PBSCF), have demonstrated outstanding performance as cathodes in PCFCs. Our investigation on molybdenum-doped (Mo-doped) PBSCF showed that high valence Mo doping is an effective strategy for substantially promoting the formation of oxygen vacancy and accelerating the overall cathodic reaction. The improved oxygen reduction reaction (ORR)-related kinetics are reflected by the reduced polarization resistance (Rp) of PBSCFM01 (0.052 Ω·cm2 at 650 °C) and the enhanced peak power density (PPD) of the PBSCFM01 cell (817 mW·cm-2 at 650 °C), corresponding to a 75% decrease in Rp and a 44% increase in PPD compared with pure PBSCF. Mo doping promotes the formation of oxygen vacancies, which optimizes the lattice structure and facilitates oxygen ion transport. In addition, Mo incorporation improves the charge transfer kinetics and overall electrical conductivity, with the PBSCFM01 sample exhibiting a maximum conductivity of 1051 S/cm at 250 °C─about 15% higher than that of pure PBSCF. Density functional theory calculations were further performed to elucidate the role of Mo incorporation in modulating oxygen vacancy formation. The theoretical results are in excellent agreement with the experimental observations, providing atomic-scale insight into the enhanced cathodic activity. This work demonstrates Mo as effective dopant for layered double perovskite materials to develop high oxygen reduction reaction activity cathode material PCFCs.</w:t>
      </w:r>
    </w:p>
    <w:p>
      <w:pPr>
        <w:spacing w:before="120" w:after="120"/>
      </w:pPr>
      <w:r>
        <w:rPr>
          <w:sz w:val="18"/>
        </w:rPr>
        <w:t>——————————————————————————————————————————————————————————————————————</w:t>
      </w:r>
    </w:p>
    <w:p>
      <w:pPr>
        <w:spacing w:before="160" w:after="40" w:line="240" w:lineRule="auto"/>
      </w:pPr>
      <w:r>
        <w:rPr>
          <w:b/>
        </w:rPr>
        <w:t xml:space="preserve">[17] </w:t>
      </w:r>
      <w:hyperlink r:id="rId200">
        <w:r>
          <w:rPr>
            <w:color w:val="1155CC"/>
            <w:u w:val="single"/>
          </w:rPr>
          <w:t>设计具有不对称双活性位点的全有机电催化剂，用于不常见的析氧途径</w:t>
        </w:r>
      </w:hyperlink>
    </w:p>
    <w:p>
      <w:pPr>
        <w:spacing w:before="0" w:after="80"/>
      </w:pPr>
      <w:r>
        <w:rPr>
          <w:i/>
          <w:sz w:val="20"/>
        </w:rPr>
        <w:t>EN: Engineering all-organic electrocatalysts with asymmetric dual-active sites for uncommon oxygen-evolving pathway</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电催化析氧反应的性能受分子演化途径的控制，但它们的调节仍然是一个重大的实验和理论障碍。在此，我们提出通过在全有机电催化剂中改造羟基来构建不对称非金属双活性位点，从而触发不常见的不对称氧化物途径机制。该反应途径降低了传统氧化物途径机制对双活性位点吸附能严格平衡的要求，也避免了吸附质演化机制线性标度关系的限制。因此，所提出的无金属电催化剂表现出竞争性的析氧反应性能，在1.0 A·cm−2下的过电势为364.3 ± 4.5 mV。结合原位光谱/质谱和理论计算揭示了不对称氧化物途径机制经历了*OH分子内亲核攻击邻近*O的关键步骤，形成*OOH，并大大降低了能垒。这项工作展示了全有机电催化剂中析氧途径的多样性，并为优化无金属固体的电催化性能提供了观点。</w:t>
      </w:r>
    </w:p>
    <w:p>
      <w:pPr>
        <w:spacing w:before="0" w:after="200" w:lineRule="auto" w:line="276"/>
      </w:pPr>
      <w:r>
        <w:rPr>
          <w:b/>
        </w:rPr>
        <w:t xml:space="preserve">Abstract (EN): </w:t>
      </w:r>
      <w:r>
        <w:t>The performance of electrocatalytic oxygen evolution reaction is governed by molecular evolution pathways, yet their regulation remains a significant experimental and theoretical hurdle. Herein, we propose the construction of asymmetric non-metallic dual-active sites through engineering hydroxyl groups in an all-organic electrocatalyst, thereby triggering an uncommon asymmetric oxide pathway mechanism. This reaction pathway reduces the requirement of strict equilibrium on adsorption energies at dual-active sites for traditional oxide pathway mechanism, and also avoids the limitation of the linear scaling relationship for adsorbate evolution mechanism. Therefore, the proposed metal-free electrocatalyst shows competitive oxygen evolution reaction performance with an overpotential of 364.3 ± 4.5 mV at 1.0 A·cm−2. Combining operando spectroscopic/mass spectrometry and theoretical calculations unveils that the asymmetric oxide pathway mechanism undergoes the critical step of *OH intramolecular nucleophilic attack to neighboring *O, forming *OOH with drastically reducing energy barriers. This work shows the diversity of oxygen evolution pathways in all-organic electrocatalysts and offers a viewpoint for optimizing the electrocatalytic performances of metal-free solids.</w:t>
      </w:r>
    </w:p>
    <w:p>
      <w:pPr>
        <w:spacing w:before="120" w:after="120"/>
      </w:pPr>
      <w:r>
        <w:rPr>
          <w:sz w:val="18"/>
        </w:rPr>
        <w:t>——————————————————————————————————————————————————————————————————————</w:t>
      </w:r>
    </w:p>
    <w:p>
      <w:pPr>
        <w:spacing w:before="160" w:after="40" w:line="240" w:lineRule="auto"/>
      </w:pPr>
      <w:r>
        <w:rPr>
          <w:b/>
        </w:rPr>
        <w:t xml:space="preserve">[18] </w:t>
      </w:r>
      <w:hyperlink r:id="rId156">
        <w:r>
          <w:rPr>
            <w:color w:val="1155CC"/>
            <w:u w:val="single"/>
          </w:rPr>
          <w:t>渗透膜蒸馏和电解的热共生集成直接海水制氢</w:t>
        </w:r>
      </w:hyperlink>
    </w:p>
    <w:p>
      <w:pPr>
        <w:spacing w:before="0" w:after="80"/>
      </w:pPr>
      <w:r>
        <w:rPr>
          <w:i/>
          <w:sz w:val="20"/>
        </w:rPr>
        <w:t>EN: Thermally symbiotic integration of osmotic membrane distillation and electrolysis for direct seawater hydrogen production</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将水净化膜与电解相结合，从海水中原位生产氢气（H2）提供了一条快速实现净零排放的途径，但现有方法受到盐交叉和产水不足的限制。在这里，我们通过将渗透膜蒸馏（OMD）与碱性水电解（AWE）相结合来克服这些限制。在双重热梯度和渗透梯度的驱动下，OMD-AWE 可提供 60 kg m–2 day–1 的氢气生产率，并在连续运行 500 小时内具有出色的稳定性。为了消除 OMD 的外部加热能量损失，我们提出了一种热共生架构，将 AWE 的废热转化为 OMD 的热驱动力，同时 OMD 提供冷却以维持 AWE 最佳温度，这一点已通过我们的热水-水-氢模型验证。这种热共生不仅使 OMD-AWE 能源自给自足，能源效率达到 51 kWh kg(H2)–1，而且还建立了一种自我调节机制，将热驱动力锁相到波动的电力输入，使供水与需求同步，以克服可再生能源的间歇性。我们的方法可以实现任何规模的灵活组件匹配和热自给自足，为膜集成电解提供框架，展示了可持续氢经济的技术卓越性和经济可行性。</w:t>
      </w:r>
    </w:p>
    <w:p>
      <w:pPr>
        <w:spacing w:before="0" w:after="200" w:lineRule="auto" w:line="276"/>
      </w:pPr>
      <w:r>
        <w:rPr>
          <w:b/>
        </w:rPr>
        <w:t xml:space="preserve">Abstract (EN): </w:t>
      </w:r>
      <w:r>
        <w:t>Integrating water purification membranes with electrolysis for in situ hydrogen (H2) production from seawater offers a rapid pathway to net-zero, but is limited by salt crossover and insufficient water production in existing approaches. Here we overcome these limitations by integrating osmotic membrane distillation (OMD) with alkaline water electrolysis (AWE). Driven by dual thermal and osmotic gradients to enhance salt-free water vapour transport, the OMD-AWE delivers a H2 production rate of 60 kg m–2 day–1 with excellent stability over 500 h of continuous operation. To eliminate the external heating energy penalty of OMD, we propose a thermally symbiotic architecture that converts the AWE’s waste heat to OMD’s thermal driving force while OMD simultaneously providing cooling to maintain AWE optimal temperatures, as validated by our thermal-water-hydrogen model. This thermal symbiosis not only makes OMD-AWE energy self-sufficient with energy efficiency of 51 kWh kg(H2)–1 but also establishes a self-regulating mechanism that phase-locks thermal driving force to fluctuating electrical inputs, synchronising water supply with demand to overcome renewable intermittency. Our approach enables flexible component matching and thermal self-sufficiency at any scale, providing a framework for membrane-integrated electrolysis, demonstrating both technical excellence and economic viability towards a sustainable hydrogen economy.</w:t>
      </w:r>
    </w:p>
    <w:p>
      <w:pPr>
        <w:spacing w:before="120" w:after="120"/>
      </w:pPr>
      <w:r>
        <w:rPr>
          <w:sz w:val="18"/>
        </w:rPr>
        <w:t>——————————————————————————————————————————————————————————————————————</w:t>
      </w:r>
    </w:p>
    <w:p>
      <w:pPr>
        <w:spacing w:before="160" w:after="40" w:line="240" w:lineRule="auto"/>
      </w:pPr>
      <w:r>
        <w:rPr>
          <w:b/>
        </w:rPr>
        <w:t xml:space="preserve">[19] </w:t>
      </w:r>
      <w:hyperlink r:id="rId201">
        <w:r>
          <w:rPr>
            <w:color w:val="1155CC"/>
            <w:u w:val="single"/>
          </w:rPr>
          <w:t>高湿度下 PEMFC 电压行为的阴极工作条件降维框架：双指数方法</w:t>
        </w:r>
      </w:hyperlink>
    </w:p>
    <w:p>
      <w:pPr>
        <w:spacing w:before="0" w:after="80"/>
      </w:pPr>
      <w:r>
        <w:rPr>
          <w:i/>
          <w:sz w:val="20"/>
        </w:rPr>
        <w:t>EN: Dimensionality reduction framework of cathode operating conditions for PEMFC voltage behavior under high humidity: A two-index approach</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02">
        <w:r>
          <w:rPr>
            <w:color w:val="1155CC"/>
            <w:u w:val="single"/>
          </w:rPr>
          <w:t>多目标优化驱动的差压质子交换膜电解槽和水电解系统的跨级耦合分析</w:t>
        </w:r>
      </w:hyperlink>
    </w:p>
    <w:p>
      <w:pPr>
        <w:spacing w:before="0" w:after="80"/>
      </w:pPr>
      <w:r>
        <w:rPr>
          <w:i/>
          <w:sz w:val="20"/>
        </w:rPr>
        <w:t>EN: A cross-level coupled analysis of a differential-pressure PEM electrolysis cell and a water electrolysis system driven by multi-objective optimisation</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03">
        <w:r>
          <w:rPr>
            <w:color w:val="1155CC"/>
            <w:u w:val="single"/>
          </w:rPr>
          <w:t>异质固体废物热解制氢的数据驱动视角：综合综述</w:t>
        </w:r>
      </w:hyperlink>
    </w:p>
    <w:p>
      <w:pPr>
        <w:spacing w:before="0" w:after="80"/>
      </w:pPr>
      <w:r>
        <w:rPr>
          <w:i/>
          <w:sz w:val="20"/>
        </w:rPr>
        <w:t>EN: Data-driven perspectives on pyrolysis of heterogeneous solid waste for hydrogen production: A comprehensive review</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204">
        <w:r>
          <w:rPr>
            <w:color w:val="1155CC"/>
            <w:u w:val="single"/>
          </w:rPr>
          <w:t>全球规模可持续航空燃料生产的原料和工艺</w:t>
        </w:r>
      </w:hyperlink>
    </w:p>
    <w:p>
      <w:pPr>
        <w:spacing w:before="0" w:after="80"/>
      </w:pPr>
      <w:r>
        <w:rPr>
          <w:i/>
          <w:sz w:val="20"/>
        </w:rPr>
        <w:t>EN: Feedstocks and processes for global-scale sustainable aviation fuel production</w:t>
      </w:r>
    </w:p>
    <w:p>
      <w:pPr>
        <w:spacing w:before="0" w:after="120"/>
      </w:pPr>
      <w:r>
        <w:rPr>
          <w:b/>
        </w:rPr>
        <w:t xml:space="preserve">Source: </w:t>
      </w:r>
      <w:r>
        <w:t>Nature Reviews Clean Technology</w:t>
      </w:r>
      <w:r>
        <w:t xml:space="preserve">    </w:t>
      </w:r>
      <w:r>
        <w:rPr>
          <w:b/>
        </w:rPr>
        <w:t xml:space="preserve">Pub date: </w:t>
      </w:r>
      <w:r>
        <w:t>2026-07-08 00:00:00+00:00</w:t>
      </w:r>
      <w:r>
        <w:t xml:space="preserve">    </w:t>
      </w:r>
      <w:r>
        <w:rPr>
          <w:b/>
        </w:rPr>
        <w:t xml:space="preserve">DOI: </w:t>
      </w:r>
      <w:hyperlink r:id="rId205">
        <w:r>
          <w:rPr>
            <w:color w:val="1155CC"/>
            <w:u w:val="single"/>
          </w:rPr>
          <w:t>10.1038/s44359-026-00190-1</w:t>
        </w:r>
      </w:hyperlink>
    </w:p>
    <w:p>
      <w:pPr>
        <w:spacing w:before="0" w:after="120"/>
      </w:pPr>
      <w:r>
        <w:rPr>
          <w:b/>
        </w:rPr>
        <w:t xml:space="preserve">Notes: </w:t>
      </w:r>
      <w:r>
        <w:t>abstract_source=nature_html</w:t>
      </w:r>
    </w:p>
    <w:p>
      <w:pPr>
        <w:spacing w:before="0" w:after="80" w:lineRule="auto" w:line="276"/>
      </w:pPr>
      <w:r>
        <w:rPr>
          <w:b/>
        </w:rPr>
        <w:t xml:space="preserve">摘要（ZH）: </w:t>
      </w:r>
      <w:r>
        <w:t>航空依赖碳氢化合物燃料，这使得由生物质和废物生产的可持续航空燃料（SAF）成为一种有吸引力的产品和领先的技术解决方案，以满足未来的燃料需求。在这篇综述中，研究了 SAF 开发的关键方面，比较了 26 种已报道的合成途径的效率、经济性、环境影响和可扩展性。技术成熟、监管机构批准的 SAF 生产方法依赖于全球可用的 100 亿吨生物质和废物原料中的一小部分，并且无法扩大规模来满足全球航空燃料需求。 SAF 生产的新兴途径通过液化、发酵或气化将丰富的生物质资源转化为中间体。然后，这些中间体可以通过催化加氢处理、含氧物催化转化或费托合成开发成 SAF。生物化学、热化学、催化和综合途径的并行技术进步，与包括原料物流、工艺优化以及支持性政策和市场框架在内的整体方法相结合，对于充分利用多样化原料并以具有成本效益的方式扩大 SAF 生产至关重要。</w:t>
      </w:r>
    </w:p>
    <w:p>
      <w:pPr>
        <w:spacing w:before="0" w:after="200" w:lineRule="auto" w:line="276"/>
      </w:pPr>
      <w:r>
        <w:rPr>
          <w:b/>
        </w:rPr>
        <w:t xml:space="preserve">Abstract (EN): </w:t>
      </w:r>
      <w:r>
        <w:t>Aviation relies on hydrocarbon-based fuels, making sustainable aviation fuel (SAF) produced from biomass and waste an attractive product and a leading technological solution to meet future fuel needs. In this Review, the key aspects of SAF development are examined, comparing the efficiency, economics, environmental impact and scalability of 26 reported synthesis pathways. Technologically mature, regulator-approved SAF production methods rely on a small subset of the 10 billion tonnes of globally available biomass and waste feedstocks, and will be unable to scale to meet global aviation fuel demands. Emerging pathways for SAF production convert the abundant biomass resources via liquefaction, fermentation or gasification into intermediates. These intermediates can then be developed into SAFs via catalytic hydrotreating, oxygenate catalytic conversion or Fischer–Tropsch synthesis. Parallel technical advancements across biochemical, thermochemical, catalytic and integrated pathways, combined with a holistic approach that includes feedstock logistics, process optimization, and supportive policy and market frameworks, are essential to fully utilize diverse feedstocks and expand SAF production in a cost-effective manner.</w:t>
      </w:r>
    </w:p>
    <w:p>
      <w:pPr>
        <w:spacing w:before="120" w:after="120"/>
      </w:pPr>
      <w:r>
        <w:rPr>
          <w:sz w:val="18"/>
        </w:rPr>
        <w:t>——————————————————————————————————————————————————————————————————————</w:t>
      </w:r>
    </w:p>
    <w:p>
      <w:pPr>
        <w:spacing w:before="160" w:after="40" w:line="240" w:lineRule="auto"/>
      </w:pPr>
      <w:r>
        <w:rPr>
          <w:b/>
        </w:rPr>
        <w:t xml:space="preserve">[23] </w:t>
      </w:r>
      <w:hyperlink r:id="rId206">
        <w:r>
          <w:rPr>
            <w:color w:val="1155CC"/>
            <w:u w:val="single"/>
          </w:rPr>
          <w:t>质子交换膜燃料电池 (PEMFC) 双极板的增材制造：对最新加工方法、性能和可扩展性的严格审查</w:t>
        </w:r>
      </w:hyperlink>
    </w:p>
    <w:p>
      <w:pPr>
        <w:spacing w:before="0" w:after="80"/>
      </w:pPr>
      <w:r>
        <w:rPr>
          <w:i/>
          <w:sz w:val="20"/>
        </w:rPr>
        <w:t>EN: Additive manufacturing of proton exchange membrane fuel cell (PEMFC) bipolar plates: A critical review of latest processing methods, performance, and scalability</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207">
        <w:r>
          <w:rPr>
            <w:color w:val="1155CC"/>
            <w:u w:val="single"/>
          </w:rPr>
          <w:t>使用堆栈硬件在 80 和 95 °C 下测试聚合物电解质膜燃料电池的降解</w:t>
        </w:r>
      </w:hyperlink>
    </w:p>
    <w:p>
      <w:pPr>
        <w:spacing w:before="0" w:after="80"/>
      </w:pPr>
      <w:r>
        <w:rPr>
          <w:i/>
          <w:sz w:val="20"/>
        </w:rPr>
        <w:t>EN: Degradation of polymer-electrolyte membrane fuel cells tested at 80 and 95 °C using stack hardware</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208">
        <w:r>
          <w:rPr>
            <w:color w:val="1155CC"/>
            <w:u w:val="single"/>
          </w:rPr>
          <w:t>聚光下阴离子交换膜光电化学水分解反应器的光热协同和气泡动力学</w:t>
        </w:r>
      </w:hyperlink>
    </w:p>
    <w:p>
      <w:pPr>
        <w:spacing w:before="0" w:after="80"/>
      </w:pPr>
      <w:r>
        <w:rPr>
          <w:i/>
          <w:sz w:val="20"/>
        </w:rPr>
        <w:t>EN: Photo-thermal synergy and bubble dynamics in an anion exchange membrane photoelectrochemical water splitting reactor under concentrated light</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209">
        <w:r>
          <w:rPr>
            <w:color w:val="1155CC"/>
            <w:u w:val="single"/>
          </w:rPr>
          <w:t>具有状态变迁和内生层级形成的氢能基础设施演化规划模型：以京津冀地区为例</w:t>
        </w:r>
      </w:hyperlink>
    </w:p>
    <w:p>
      <w:pPr>
        <w:spacing w:before="0" w:after="80"/>
      </w:pPr>
      <w:r>
        <w:rPr>
          <w:i/>
          <w:sz w:val="20"/>
        </w:rPr>
        <w:t>EN: An evolutionary planning model for hydrogen infrastructure with state transitions and endogenous hierarchy formation: A case study of the Beijing-Tianjin-Hebei region</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210">
        <w:r>
          <w:rPr>
            <w:color w:val="1155CC"/>
            <w:u w:val="single"/>
          </w:rPr>
          <w:t>通过燃料电池提供可持续电力：固定和运输领域的应用和前景</w:t>
        </w:r>
      </w:hyperlink>
    </w:p>
    <w:p>
      <w:pPr>
        <w:spacing w:before="0" w:after="80"/>
      </w:pPr>
      <w:r>
        <w:rPr>
          <w:i/>
          <w:sz w:val="20"/>
        </w:rPr>
        <w:t>EN: Sustainable power through fuel cells: Applications and prospects in stationary and transportation sectors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211">
        <w:r>
          <w:rPr>
            <w:color w:val="1155CC"/>
            <w:u w:val="single"/>
          </w:rPr>
          <w:t>通过曲率配位耦合对碳点中弯曲的原子活性位点进行编程</w:t>
        </w:r>
      </w:hyperlink>
    </w:p>
    <w:p>
      <w:pPr>
        <w:spacing w:before="0" w:after="80"/>
      </w:pPr>
      <w:r>
        <w:rPr>
          <w:i/>
          <w:sz w:val="20"/>
        </w:rPr>
        <w:t>EN: Programming curved atomic active sites in carbon dots through curvature-coordination coupling</w:t>
      </w:r>
    </w:p>
    <w:p>
      <w:pPr>
        <w:spacing w:before="0" w:after="120"/>
      </w:pPr>
      <w:r>
        <w:rPr>
          <w:b/>
        </w:rPr>
        <w:t xml:space="preserve">Source: </w:t>
      </w:r>
      <w:r>
        <w:t>Matter</w:t>
      </w:r>
      <w:r>
        <w:t xml:space="preserve">    </w:t>
      </w:r>
      <w:r>
        <w:rPr>
          <w:b/>
        </w:rPr>
        <w:t xml:space="preserve">Pub date: </w:t>
      </w:r>
      <w:r>
        <w:t>2026-07-08 00:00:00+00:00</w:t>
      </w:r>
      <w:r>
        <w:t xml:space="preserve">    </w:t>
      </w:r>
      <w:r>
        <w:rPr>
          <w:b/>
        </w:rPr>
        <w:t xml:space="preserve">DOI: </w:t>
      </w:r>
      <w:hyperlink r:id="rId212">
        <w:r>
          <w:rPr>
            <w:color w:val="1155CC"/>
            <w:u w:val="single"/>
          </w:rPr>
          <w:t>10.1016/j.matt.2026.102914</w:t>
        </w:r>
      </w:hyperlink>
    </w:p>
    <w:p>
      <w:pPr>
        <w:spacing w:before="0" w:after="120"/>
      </w:pPr>
      <w:r>
        <w:rPr>
          <w:b/>
        </w:rPr>
        <w:t xml:space="preserve">Notes: </w:t>
      </w:r>
      <w:r>
        <w:t>abstract_source=rss_cell</w:t>
      </w:r>
    </w:p>
    <w:p>
      <w:pPr>
        <w:spacing w:before="0" w:after="80" w:lineRule="auto" w:line="276"/>
      </w:pPr>
      <w:r>
        <w:rPr>
          <w:b/>
        </w:rPr>
        <w:t xml:space="preserve">摘要（ZH）: </w:t>
      </w:r>
      <w:r>
        <w:t>弯曲的碳点提供了一个几何定义的平台，用于将曲率与原子活性位点的第二壳层配位相结合。这种合作调节将 Ni 位点置于最佳电子状态，将尿素固有氧化活性提高近 20 倍，并通过同时进行含尿素废物修复，实现高效节能的氢气生产。</w:t>
      </w:r>
    </w:p>
    <w:p>
      <w:pPr>
        <w:spacing w:before="0" w:after="200" w:lineRule="auto" w:line="276"/>
      </w:pPr>
      <w:r>
        <w:rPr>
          <w:b/>
        </w:rPr>
        <w:t xml:space="preserve">Abstract (EN): </w:t>
      </w:r>
      <w:r>
        <w:t>Curved carbon dots offer a geometry-defined platform for integrating curvature with second-shell coordination in atomic active sites. This cooperative regulation places Ni sites in an optimal electronic regime, raising intrinsic urea oxidation activity by nearly 20-fold and enabling energy-efficient hydrogen production with concurrent urea-containing waste remediation.</w:t>
      </w:r>
    </w:p>
    <w:p>
      <w:pPr>
        <w:spacing w:before="120" w:after="120"/>
      </w:pPr>
      <w:r>
        <w:rPr>
          <w:sz w:val="18"/>
        </w:rPr>
        <w:t>——————————————————————————————————————————————————————————————————————</w:t>
      </w:r>
    </w:p>
    <w:p>
      <w:pPr>
        <w:spacing w:before="160" w:after="40" w:line="240" w:lineRule="auto"/>
      </w:pPr>
      <w:r>
        <w:rPr>
          <w:b/>
        </w:rPr>
        <w:t xml:space="preserve">[29] </w:t>
      </w:r>
      <w:hyperlink r:id="rId213">
        <w:r>
          <w:rPr>
            <w:color w:val="1155CC"/>
            <w:u w:val="single"/>
          </w:rPr>
          <w:t>基于跨部门碳排放流量模型的电氢运一体化三阶段低碳规划框架</w:t>
        </w:r>
      </w:hyperlink>
    </w:p>
    <w:p>
      <w:pPr>
        <w:spacing w:before="0" w:after="80"/>
      </w:pPr>
      <w:r>
        <w:rPr>
          <w:i/>
          <w:sz w:val="20"/>
        </w:rPr>
        <w:t>EN: Cross-sectoral carbon emission flow model based three-stage low-carbon planning framework of integrated electricity‑hydrogen-transportation system</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14">
        <w:r>
          <w:rPr>
            <w:color w:val="1155CC"/>
            <w:u w:val="single"/>
          </w:rPr>
          <w:t>提高氢能区域综合能源系统能源效率：一种新型绿色能源流驱动的多维跨时空决策框架</w:t>
        </w:r>
      </w:hyperlink>
    </w:p>
    <w:p>
      <w:pPr>
        <w:spacing w:before="0" w:after="80"/>
      </w:pPr>
      <w:r>
        <w:rPr>
          <w:i/>
          <w:sz w:val="20"/>
        </w:rPr>
        <w:t>EN: Improving the energy efficiency of regional integrated energy system containing hydrogen energy: a novel green energy flow-driven multi-dimensional cross-spatiotemporal decision framework</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15">
        <w:r>
          <w:rPr>
            <w:color w:val="1155CC"/>
            <w:u w:val="single"/>
          </w:rPr>
          <w:t>将单个 Ni 位点和分离的 Pd 簇固定在共价有机框架中，以增强亚硝酸盐电化学还原为氨的能力</w:t>
        </w:r>
      </w:hyperlink>
    </w:p>
    <w:p>
      <w:pPr>
        <w:spacing w:before="0" w:after="80"/>
      </w:pPr>
      <w:r>
        <w:rPr>
          <w:i/>
          <w:sz w:val="20"/>
        </w:rPr>
        <w:t>EN: Immobilization of Single Ni Sites and Separated Pd Clusters in Covalent Organic Framework for Enhanced Electrochemical Reduction of Nitrite to Ammonia</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216">
        <w:r>
          <w:rPr>
            <w:color w:val="1155CC"/>
            <w:u w:val="single"/>
          </w:rPr>
          <w:t>10.1021/acsami.6c08585</w:t>
        </w:r>
      </w:hyperlink>
    </w:p>
    <w:p>
      <w:pPr>
        <w:spacing w:before="0" w:after="120"/>
      </w:pPr>
      <w:r>
        <w:rPr>
          <w:b/>
        </w:rPr>
        <w:t xml:space="preserve">Notes: </w:t>
      </w:r>
      <w:r>
        <w:t>abstract_source=pubmed</w:t>
      </w:r>
    </w:p>
    <w:p>
      <w:pPr>
        <w:spacing w:before="0" w:after="80" w:lineRule="auto" w:line="276"/>
      </w:pPr>
      <w:r>
        <w:rPr>
          <w:b/>
        </w:rPr>
        <w:t xml:space="preserve">摘要（ZH）: </w:t>
      </w:r>
      <w:r>
        <w:t>亚硝酸盐 (NO2-) 电化学还原为氨 (NH3) 为同时净化废水和生产增值化学品提供了一种有前途的策略。金属活性位点难以同时优化 NO2- 和 H* 的吸附强度，导致中间活化和氢化动力学之间不匹配。在这项工作中，我们构建了一种NiSS-COF/Pd ICs复合催化剂，通过将镍单中心（NiSS）和Pd金属隔离簇（Pd ICs）精确地结合到共价有机框架中来增强催化性能。因此，NiSS-COF/Pd IC 在 -1.0 V（相对于 RHE）下表现出 20.9 mg h-1 mgcat-1 的 NH3 生产率和 95.5% 的高 NH3 法拉第效率。在施加-1.3 V电压时，NiSS-COF/Pd IC产生35.3 mg h-1 mgcat-1 NH3，周转数达到58421，周转频率为3436.8 h-1/Ni。 NiSS 调整电子结构以促进 NO2 吸附，而 Pd IC 通过这些 H* 迁移到 Ni 位点产生 H*，从而促进快速氢化和协同催化。因此，NiSS-COF/Pd IC 催化剂能够实现 NO2- 到 NH3 的高效电化学转化，提供高法拉第效率并提高 NH3 产量。总的来说，这项工作提出了一种新颖的设计策略，用于开发将单位点与金属隔离簇集成的协同催化系统。</w:t>
      </w:r>
    </w:p>
    <w:p>
      <w:pPr>
        <w:spacing w:before="0" w:after="200" w:lineRule="auto" w:line="276"/>
      </w:pPr>
      <w:r>
        <w:rPr>
          <w:b/>
        </w:rPr>
        <w:t xml:space="preserve">Abstract (EN): </w:t>
      </w:r>
      <w:r>
        <w:t>The electrochemical reduction of nitrite (NO2-) to ammonia (NH3) offers a promising strategy for simultaneously purifying wastewater and producing value-added chemicals. The metal active site struggles to simultaneously optimize the adsorption strengths of NO2- and H*, resulting in a mismatch between the kinetics of intermediate activation and hydrogenation. In this work, we construct a composite catalyst of NiSS-COF/Pd ICs, which enhances the catalytic performance by precisely incorporating nickel single sites (NiSS) and Pd metal-isolated clusters (Pd ICs) into covalent organic frameworks. Thus, NiSS-COF/Pd ICs exhibit an NH3 production rate of 20.9 mg h-1 mgcat-1 and a high NH3 Faradaic efficiency of 95.5% at -1.0 V (vs RHE). With -1.3 V applied, NiSS-COF/Pd ICs yielded 35.3 mg h-1 mgcat-1 NH3, the turnover number reached 58421, and the turnover frequency was 3436.8 h-1 per Ni. The NiSS tunes electronic structures to boost NO2- adsorption, while Pd ICs generate H* via these H* migrate to Ni sites, facilitating rapid hydrogenation and synergistic catalysis. As a result, the NiSS-COF/Pd ICs catalyst enables efficient electrochemical conversion of NO2- to NH3, delivering high Faradaic efficiency and enhanced NH3 production. Overall, this work presents a novel design strategy for developing synergistic catalytic systems that integrate single sites with metal-isolated clusters.</w:t>
      </w:r>
    </w:p>
    <w:p>
      <w:pPr>
        <w:spacing w:before="120" w:after="120"/>
      </w:pPr>
      <w:r>
        <w:rPr>
          <w:sz w:val="18"/>
        </w:rPr>
        <w:t>——————————————————————————————————————————————————————————————————————</w:t>
      </w:r>
    </w:p>
    <w:p>
      <w:pPr>
        <w:spacing w:before="160" w:after="40" w:line="240" w:lineRule="auto"/>
      </w:pPr>
      <w:r>
        <w:rPr>
          <w:b/>
        </w:rPr>
        <w:t xml:space="preserve">[32] </w:t>
      </w:r>
      <w:hyperlink r:id="rId217">
        <w:r>
          <w:rPr>
            <w:color w:val="1155CC"/>
            <w:u w:val="single"/>
          </w:rPr>
          <w:t>了解和设计电催化剂的耐久性</w:t>
        </w:r>
      </w:hyperlink>
    </w:p>
    <w:p>
      <w:pPr>
        <w:spacing w:before="0" w:after="80"/>
      </w:pPr>
      <w:r>
        <w:rPr>
          <w:i/>
          <w:sz w:val="20"/>
        </w:rPr>
        <w:t>EN: Understanding and engineering electrocatalyst durability</w:t>
      </w:r>
    </w:p>
    <w:p>
      <w:pPr>
        <w:spacing w:before="0" w:after="120"/>
      </w:pPr>
      <w:r>
        <w:rPr>
          <w:b/>
        </w:rPr>
        <w:t xml:space="preserve">Source: </w:t>
      </w:r>
      <w:r>
        <w:t>Nature Reviews Materials</w:t>
      </w:r>
      <w:r>
        <w:t xml:space="preserve">    </w:t>
      </w:r>
      <w:r>
        <w:rPr>
          <w:b/>
        </w:rPr>
        <w:t xml:space="preserve">Pub date: </w:t>
      </w:r>
      <w:r>
        <w:t>2026-07-08 00:00:00+00:00</w:t>
      </w:r>
      <w:r>
        <w:t xml:space="preserve">    </w:t>
      </w:r>
      <w:r>
        <w:rPr>
          <w:b/>
        </w:rPr>
        <w:t xml:space="preserve">DOI: </w:t>
      </w:r>
      <w:hyperlink r:id="rId218">
        <w:r>
          <w:rPr>
            <w:color w:val="1155CC"/>
            <w:u w:val="single"/>
          </w:rPr>
          <w:t>10.1038/s41578-026-00937-z</w:t>
        </w:r>
      </w:hyperlink>
    </w:p>
    <w:p>
      <w:pPr>
        <w:spacing w:before="0" w:after="120"/>
      </w:pPr>
      <w:r>
        <w:rPr>
          <w:b/>
        </w:rPr>
        <w:t xml:space="preserve">Notes: </w:t>
      </w:r>
      <w:r>
        <w:t>abstract_source=nature_html</w:t>
      </w:r>
    </w:p>
    <w:p>
      <w:pPr>
        <w:spacing w:before="0" w:after="80" w:lineRule="auto" w:line="276"/>
      </w:pPr>
      <w:r>
        <w:rPr>
          <w:b/>
        </w:rPr>
        <w:t xml:space="preserve">摘要（ZH）: </w:t>
      </w:r>
      <w:r>
        <w:t>燃料电池和电解槽等电化学装置对于可持续能源的未来至关重要，但它们的商业可行性取决于电催化剂的稳定性——这是一个与实现高催化活性同样重要的挑战。材料科学家、化学家和工程师需要策略来设计在苛刻的现实条件下保持高性能的催化剂。本综述通过将对纳米结构催化剂的最新基本理解与实际应用指南联系起来，及时洞察控制催化剂稳定性的化学和结构原理（最终决定可靠性、寿命和成本效益的因素）来满足这一需求。我们首先研究化学势如何驱动稳定性，探索内在的工程策略（涵盖组成、结晶度和形态）以及外在策略，例如在恶劣操作条件下保护电催化剂的封装、粘附和微环境优化。在此基础上，我们强调需要先进的原位或操作工具来捕获电催化剂的行为行为，从而能够进一步理解和指导催化剂稳定性的工程。最后，我们对从稳定性描述符到机器学习的新兴方向提出了前瞻性的观点，这些方向有望进一步提高电催化剂的活性和稳定性。通过将稳定放在首位，本次审查希望为学术界和工业界提供全面的视角，加速</w:t>
      </w:r>
    </w:p>
    <w:p>
      <w:pPr>
        <w:spacing w:before="0" w:after="200" w:lineRule="auto" w:line="276"/>
      </w:pPr>
      <w:r>
        <w:rPr>
          <w:b/>
        </w:rPr>
        <w:t xml:space="preserve">Abstract (EN): </w:t>
      </w:r>
      <w:r>
        <w:t>Electrochemical devices such as fuel cells and electrolysers are pivotal to a sustainable energy future, but their commercial viability depends on electrocatalyst stability — a challenge as critical as achieving high catalytic activity. Materials scientists, chemists and engineers need strategies to design catalysts that maintain high performance under demanding real-world conditions. This Review addresses that need by bridging the latest fundamental understanding of nanostructured catalysts with practical application guidelines, offering timely insights into the chemical and structural principles governing catalyst stability — factors that ultimately dictate reliability, longevity and cost effectiveness. We begin by examining how chemical potential drives stability, exploring intrinsic engineering tactics — spanning composition, crystallinity and morphology — as well as extrinsic strategies such as encapsulation, adhesion and microenvironment optimization that protect electrocatalysts under harsh operating conditions. Building on this foundation, we highlight the need for advanced in situ or operando tools that can capture electrocatalyst behaviour in action, thereby enabling further understanding and guiding the engineering of catalyst stability. We conclude with a forward-looking perspective on emerging directions, from stability descriptors to machine learning, that promise to elevate electrocatalyst activity and stability even further. By placing stability at the forefront, this Review hopes to provide a comprehensive perspective for academia and industry, accelerating the development and deployment of robust, economically viable electrocatalysts to facilitate broader adoption of clean energy.</w:t>
      </w:r>
    </w:p>
    <w:p>
      <w:pPr>
        <w:spacing w:before="120" w:after="120"/>
      </w:pPr>
      <w:r>
        <w:rPr>
          <w:sz w:val="18"/>
        </w:rPr>
        <w:t>——————————————————————————————————————————————————————————————————————</w:t>
      </w:r>
    </w:p>
    <w:p>
      <w:pPr>
        <w:spacing w:before="160" w:after="40" w:line="240" w:lineRule="auto"/>
      </w:pPr>
      <w:r>
        <w:rPr>
          <w:b/>
        </w:rPr>
        <w:t xml:space="preserve">[33] </w:t>
      </w:r>
      <w:hyperlink r:id="rId219">
        <w:r>
          <w:rPr>
            <w:color w:val="1155CC"/>
            <w:u w:val="single"/>
          </w:rPr>
          <w:t>层级、门槛和权衡：美国 45V 氢信用额度的政策设计</w:t>
        </w:r>
      </w:hyperlink>
    </w:p>
    <w:p>
      <w:pPr>
        <w:spacing w:before="0" w:after="80"/>
      </w:pPr>
      <w:r>
        <w:rPr>
          <w:i/>
          <w:sz w:val="20"/>
        </w:rPr>
        <w:t>EN: Tiers, thresholds, and trade-offs: Policy design for U.S. 45V hydrogen credits</w:t>
      </w:r>
    </w:p>
    <w:p>
      <w:pPr>
        <w:spacing w:before="0" w:after="120"/>
      </w:pPr>
      <w:r>
        <w:rPr>
          <w:b/>
        </w:rPr>
        <w:t xml:space="preserve">Source: </w:t>
      </w:r>
      <w:r>
        <w:t>ScienceDirect Publication: Energy Policy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20">
        <w:r>
          <w:rPr>
            <w:color w:val="1155CC"/>
            <w:u w:val="single"/>
          </w:rPr>
          <w:t>评估碱性海水分解耐腐蚀催化剂的次氯酸盐选择性</w:t>
        </w:r>
      </w:hyperlink>
    </w:p>
    <w:p>
      <w:pPr>
        <w:spacing w:before="0" w:after="80"/>
      </w:pPr>
      <w:r>
        <w:rPr>
          <w:i/>
          <w:sz w:val="20"/>
        </w:rPr>
        <w:t>EN: Assessing hypochlorite selectivity of corrosion resistance catalysts for alkaline seawater splitting</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使用海水通过电解生产氢气对于节省成本越来越有吸引力。主要挑战是阳极处氢氧化物氧化和氯化物氧化之间的竞争，在酸性和碱性环境中都必须尽量减少这种竞争。静电排斥和离子选择性等策略已被用来减少海水中的氯化物氧化，但没有直接比较来确定哪种更有效。在这里，我们展示了两种策略，使用旋转环盘电极装置来检测具有不同催化剂的碱性盐溶液中圆盘上次氯酸盐的形成。我们发现，在析氧反应催化剂中添加铬可在 5 分钟内将次氯酸盐的形成量从 2.362 mM 减少至 0.670 mM。静电排斥策略（使用硫化物掺杂）在相同条件下将浓度降低至0.966 mM，表明离子选择性策略对于减少碱性海水中的次氯酸盐更有效。然而，静电排斥策略仅导致电化学性能的轻微损失，但通过减少次氯酸盐的形成而提高了选择性。这项研究可以为简化析氧反应催化剂的设计和提高海水电解效率提供见解。</w:t>
      </w:r>
    </w:p>
    <w:p>
      <w:pPr>
        <w:spacing w:before="0" w:after="200" w:lineRule="auto" w:line="276"/>
      </w:pPr>
      <w:r>
        <w:rPr>
          <w:b/>
        </w:rPr>
        <w:t xml:space="preserve">Abstract (EN): </w:t>
      </w:r>
      <w:r>
        <w:t>Using seawater for hydrogen production via electrolysis is increasingly attractive for cost savings. The main challenge is the competition at the anode between hydroxide oxidation and chloride oxidation, which must be minimised in both acidic and alkaline environments. Strategies such as electrostatic repulsion and ion selectivity have been used to reduce chloride oxidation in seawater, but no direct comparison has determined which is more effective. Here, we show two strategies using a rotating ring disc electrode setup to detect hypochlorite formation at the disc in an alkaline saline solution with different catalysts. We show that adding chromium to an oxygen evolution reaction catalyst reduces hypochlorite formation from 2.362 mM to 0.670 mM over 5 minutes. The electrostatic repulsion strategy (using sulphide doping) lowers the concentration to 0.966 mM under the same conditions, indicating that the ion selectivity strategy is more effective at reducing hypochlorite in alkaline seawater. However, the electrostatic repulsion strategy causes only a minor loss in electrochemical performance but improves selectivity by reducing hypochlorite formation. This research could offer insights into streamlining the design of oxygen evolution reaction catalysts and enhancing the efficiency of seawater electrolysis.</w:t>
      </w:r>
    </w:p>
    <w:p>
      <w:pPr>
        <w:spacing w:before="120" w:after="120"/>
      </w:pPr>
      <w:r>
        <w:rPr>
          <w:sz w:val="18"/>
        </w:rPr>
        <w:t>——————————————————————————————————————————————————————————————————————</w:t>
      </w:r>
    </w:p>
    <w:p>
      <w:pPr>
        <w:spacing w:before="160" w:after="40" w:line="240" w:lineRule="auto"/>
      </w:pPr>
      <w:r>
        <w:rPr>
          <w:b/>
        </w:rPr>
        <w:t xml:space="preserve">[35] </w:t>
      </w:r>
      <w:hyperlink r:id="rId221">
        <w:r>
          <w:rPr>
            <w:color w:val="1155CC"/>
            <w:u w:val="single"/>
          </w:rPr>
          <w:t>半人工光合作用简介</w:t>
        </w:r>
      </w:hyperlink>
    </w:p>
    <w:p>
      <w:pPr>
        <w:spacing w:before="0" w:after="80"/>
      </w:pPr>
      <w:r>
        <w:rPr>
          <w:i/>
          <w:sz w:val="20"/>
        </w:rPr>
        <w:t>EN: Introduction to Semi-artificial Photosynthesis</w:t>
      </w:r>
    </w:p>
    <w:p>
      <w:pPr>
        <w:spacing w:before="0" w:after="120"/>
      </w:pPr>
      <w:r>
        <w:rPr>
          <w:b/>
        </w:rPr>
        <w:t xml:space="preserve">Source: </w:t>
      </w:r>
      <w:r>
        <w:t>Chemical Reviews: Latest Articles (ACS Publications)</w:t>
      </w:r>
      <w:r>
        <w:t xml:space="preserve">    </w:t>
      </w:r>
      <w:r>
        <w:rPr>
          <w:b/>
        </w:rPr>
        <w:t xml:space="preserve">Pub date: </w:t>
      </w:r>
      <w:r>
        <w:t>2026-07-08 00:00:00+00:00</w:t>
      </w:r>
      <w:r>
        <w:t xml:space="preserve">    </w:t>
      </w:r>
      <w:r>
        <w:rPr>
          <w:b/>
        </w:rPr>
        <w:t xml:space="preserve">DOI: </w:t>
      </w:r>
      <w:hyperlink r:id="rId222">
        <w:r>
          <w:rPr>
            <w:color w:val="1155CC"/>
            <w:u w:val="single"/>
          </w:rPr>
          <w:t>10.1021/acs.chemrev.6c00539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223">
        <w:r>
          <w:rPr>
            <w:color w:val="1155CC"/>
            <w:u w:val="single"/>
          </w:rPr>
          <w:t>无序空位隔离的 Ce-Gd-O 团簇在燃料电池中实现了优异的低温氧离子电导率</w:t>
        </w:r>
      </w:hyperlink>
    </w:p>
    <w:p>
      <w:pPr>
        <w:spacing w:before="0" w:after="80"/>
      </w:pPr>
      <w:r>
        <w:rPr>
          <w:i/>
          <w:sz w:val="20"/>
        </w:rPr>
        <w:t>EN: Disordered vacancy-isolated Ce-Gd-O clusters achieve exceptional low-temperature oxygen-ion conductivity for fuel cells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224">
        <w:r>
          <w:rPr>
            <w:color w:val="1155CC"/>
            <w:u w:val="single"/>
          </w:rPr>
          <w:t>10.1126/sciadv.aec8053</w:t>
        </w:r>
      </w:hyperlink>
    </w:p>
    <w:p>
      <w:pPr>
        <w:spacing w:before="0" w:after="120"/>
      </w:pPr>
      <w:r>
        <w:rPr>
          <w:b/>
        </w:rPr>
        <w:t xml:space="preserve">Notes: </w:t>
      </w:r>
      <w:r>
        <w:t>abstract_source=crossref</w:t>
      </w:r>
    </w:p>
    <w:p>
      <w:pPr>
        <w:spacing w:before="0" w:after="80" w:lineRule="auto" w:line="276"/>
      </w:pPr>
      <w:r>
        <w:rPr>
          <w:b/>
        </w:rPr>
        <w:t xml:space="preserve">摘要（ZH）: </w:t>
      </w:r>
      <w:r>
        <w:t>氧离子导体是清洁能源技术的核心。传统的长程有序氧化物离子导体需要高工作温度，这会增加成本并限制耐用性；克服低温电导率差距是一个长期存在的挑战。我们通过萤石 Gd 的热冲击剥落创建了铈 (Ce)-钆 (Gd)-氧 (O) 簇</w:t>
      </w:r>
      <w:r>
        <w:t xml:space="preserve"> </w:t>
      </w:r>
      <w:r>
        <w:t>0.1</w:t>
      </w:r>
      <w:r>
        <w:t xml:space="preserve"> </w:t>
      </w:r>
      <w:r>
        <w:t>铈</w:t>
      </w:r>
      <w:r>
        <w:t xml:space="preserve"> </w:t>
      </w:r>
      <w:r>
        <w:t>0.9</w:t>
      </w:r>
      <w:r>
        <w:t xml:space="preserve"> </w:t>
      </w:r>
      <w:r>
        <w:t>氧</w:t>
      </w:r>
      <w:r>
        <w:t xml:space="preserve"> </w:t>
      </w:r>
      <w:r>
        <w:t>1.95</w:t>
      </w:r>
      <w:r>
        <w:t xml:space="preserve"> </w:t>
      </w:r>
      <w:r>
        <w:t>并检查了它们的结构和离子传输。这些无序、空位隔离的簇形成没有长程有序的渗透氧离子路径，在 400°C 下提供每厘米 2.14 ± 0.09 西门子的卓越电导率，比之前报道的大多数氧化物离子导体在类似条件下高出 320 倍以上。在固体氧化物燃料电池中用作 0.5 重量% 的阴极添加剂时，与原始 Pr 相比，它们在 750°C 时的峰值功率密度增加了两倍，达到 2.87 ± 0.04 瓦/平方厘米。</w:t>
      </w:r>
      <w:r>
        <w:t xml:space="preserve"> </w:t>
      </w:r>
      <w:r>
        <w:t>0.5</w:t>
      </w:r>
      <w:r>
        <w:t xml:space="preserve"> </w:t>
      </w:r>
      <w:r>
        <w:t>巴</w:t>
      </w:r>
      <w:r>
        <w:t xml:space="preserve"> </w:t>
      </w:r>
      <w:r>
        <w:t>0.25</w:t>
      </w:r>
      <w:r>
        <w:t xml:space="preserve"> </w:t>
      </w:r>
      <w:r>
        <w:t>钙</w:t>
      </w:r>
      <w:r>
        <w:t xml:space="preserve"> </w:t>
      </w:r>
      <w:r>
        <w:t>0.25</w:t>
      </w:r>
      <w:r>
        <w:t xml:space="preserve"> </w:t>
      </w:r>
      <w:r>
        <w:t>氧化钴</w:t>
      </w:r>
      <w:r>
        <w:t xml:space="preserve"> </w:t>
      </w:r>
      <w:r>
        <w:t>3-δ</w:t>
      </w:r>
      <w:r>
        <w:t xml:space="preserve"> </w:t>
      </w:r>
      <w:r>
        <w:t>/Gd</w:t>
      </w:r>
      <w:r>
        <w:t xml:space="preserve"> </w:t>
      </w:r>
      <w:r>
        <w:t>0.1</w:t>
      </w:r>
      <w:r>
        <w:t xml:space="preserve"> </w:t>
      </w:r>
      <w:r>
        <w:t>铈</w:t>
      </w:r>
      <w:r>
        <w:t xml:space="preserve"> </w:t>
      </w:r>
      <w:r>
        <w:t>0.9</w:t>
      </w:r>
      <w:r>
        <w:t xml:space="preserve"> </w:t>
      </w:r>
      <w:r>
        <w:t>氧</w:t>
      </w:r>
      <w:r>
        <w:t xml:space="preserve"> </w:t>
      </w:r>
      <w:r>
        <w:t>1.95</w:t>
      </w:r>
      <w:r>
        <w:t xml:space="preserve"> </w:t>
      </w:r>
      <w:r>
        <w:t>阴极，每 100 小时退化从 -13.2% 逆转到 +3.4%。这些发现推翻了高氧离子电导率需要长程有序的范式，并强调 Ce-Gd-O 团簇作为先进能源的推动者</w:t>
      </w:r>
    </w:p>
    <w:p>
      <w:pPr>
        <w:spacing w:before="0" w:after="200" w:lineRule="auto" w:line="276"/>
      </w:pPr>
      <w:r>
        <w:rPr>
          <w:b/>
        </w:rPr>
        <w:t xml:space="preserve">Abstract (EN): </w:t>
      </w:r>
      <w:r>
        <w:t>Oxygen-ion conductors are central to clean energy technologies. Conventional long-range–ordered oxide-ion conductors require high operating temperatures, which increase cost and limit durability; overcoming the low temperature conductivity gap is a long-standing challenge. We created cerium (Ce)–gadolinium (Gd)–oxygen (O) clusters by thermal-shock exfoliation of fluorite Gd</w:t>
      </w:r>
      <w:r>
        <w:t xml:space="preserve"> </w:t>
      </w:r>
      <w:r>
        <w:t>0.1</w:t>
      </w:r>
      <w:r>
        <w:t xml:space="preserve"> </w:t>
      </w:r>
      <w:r>
        <w:t>Ce</w:t>
      </w:r>
      <w:r>
        <w:t xml:space="preserve"> </w:t>
      </w:r>
      <w:r>
        <w:t>0.9</w:t>
      </w:r>
      <w:r>
        <w:t xml:space="preserve"> </w:t>
      </w:r>
      <w:r>
        <w:t>O</w:t>
      </w:r>
      <w:r>
        <w:t xml:space="preserve"> </w:t>
      </w:r>
      <w:r>
        <w:t>1.95</w:t>
      </w:r>
      <w:r>
        <w:t xml:space="preserve"> </w:t>
      </w:r>
      <w:r>
        <w:t>and examined their structure and ion transport. These disordered, vacancy-isolated clusters form percolative oxygen-ion pathways without long-range order, delivering exceptional conductivity of 2.14 ± 0.09 siemens per centimeter at 400°C—more than 320-fold higher than most previously reported oxide-ion conductors under comparable conditions. Used as a 0.5 weight % cathode additive in solid oxide fuel cells, they tripled the peak power density to 2.87 ± 0.04 watts per square centimeter at 750°C compared with the pristine Pr</w:t>
      </w:r>
      <w:r>
        <w:t xml:space="preserve"> </w:t>
      </w:r>
      <w:r>
        <w:t>0.5</w:t>
      </w:r>
      <w:r>
        <w:t xml:space="preserve"> </w:t>
      </w:r>
      <w:r>
        <w:t>Ba</w:t>
      </w:r>
      <w:r>
        <w:t xml:space="preserve"> </w:t>
      </w:r>
      <w:r>
        <w:t>0.25</w:t>
      </w:r>
      <w:r>
        <w:t xml:space="preserve"> </w:t>
      </w:r>
      <w:r>
        <w:t>Ca</w:t>
      </w:r>
      <w:r>
        <w:t xml:space="preserve"> </w:t>
      </w:r>
      <w:r>
        <w:t>0.25</w:t>
      </w:r>
      <w:r>
        <w:t xml:space="preserve"> </w:t>
      </w:r>
      <w:r>
        <w:t>CoO</w:t>
      </w:r>
      <w:r>
        <w:t xml:space="preserve"> </w:t>
      </w:r>
      <w:r>
        <w:t>3–δ</w:t>
      </w:r>
      <w:r>
        <w:t xml:space="preserve"> </w:t>
      </w:r>
      <w:r>
        <w:t>/Gd</w:t>
      </w:r>
      <w:r>
        <w:t xml:space="preserve"> </w:t>
      </w:r>
      <w:r>
        <w:t>0.1</w:t>
      </w:r>
      <w:r>
        <w:t xml:space="preserve"> </w:t>
      </w:r>
      <w:r>
        <w:t>Ce</w:t>
      </w:r>
      <w:r>
        <w:t xml:space="preserve"> </w:t>
      </w:r>
      <w:r>
        <w:t>0.9</w:t>
      </w:r>
      <w:r>
        <w:t xml:space="preserve"> </w:t>
      </w:r>
      <w:r>
        <w:t>O</w:t>
      </w:r>
      <w:r>
        <w:t xml:space="preserve"> </w:t>
      </w:r>
      <w:r>
        <w:t>1.95</w:t>
      </w:r>
      <w:r>
        <w:t xml:space="preserve"> </w:t>
      </w:r>
      <w:r>
        <w:t>cathode and reversed degradation from −13.2 to +3.4% per 100 hours. These findings overturn the paradigm that high oxygen-ion conductivity requires long-range order and highlight Ce-Gd-O clusters as enablers for advanced energy technologies.</w:t>
      </w:r>
    </w:p>
    <w:p>
      <w:pPr>
        <w:spacing w:before="120" w:after="120"/>
      </w:pPr>
      <w:r>
        <w:rPr>
          <w:sz w:val="18"/>
        </w:rPr>
        <w:t>——————————————————————————————————————————————————————————————————————</w:t>
      </w:r>
    </w:p>
    <w:p>
      <w:pPr>
        <w:spacing w:before="160" w:after="40" w:line="240" w:lineRule="auto"/>
      </w:pPr>
      <w:r>
        <w:rPr>
          <w:b/>
        </w:rPr>
        <w:t xml:space="preserve">[37] </w:t>
      </w:r>
      <w:hyperlink r:id="rId225">
        <w:r>
          <w:rPr>
            <w:color w:val="1155CC"/>
            <w:u w:val="single"/>
          </w:rPr>
          <w:t>机器学习潜力揭示电化学氨合成中活性位点的自单原子化</w:t>
        </w:r>
      </w:hyperlink>
    </w:p>
    <w:p>
      <w:pPr>
        <w:spacing w:before="0" w:after="80"/>
      </w:pPr>
      <w:r>
        <w:rPr>
          <w:i/>
          <w:sz w:val="20"/>
        </w:rPr>
        <w:t>EN: Self-single-atomization of active sites in electrochemical ammonia synthesis unveiled by machine learning potential</w:t>
      </w:r>
    </w:p>
    <w:p>
      <w:pPr>
        <w:spacing w:before="0" w:after="120"/>
      </w:pPr>
      <w:r>
        <w:rPr>
          <w:b/>
        </w:rPr>
        <w:t xml:space="preserve">Source: </w:t>
      </w:r>
      <w:r>
        <w:t>National Science Review Advance Access</w:t>
      </w:r>
      <w:r>
        <w:t xml:space="preserve">    </w:t>
      </w:r>
      <w:r>
        <w:rPr>
          <w:b/>
        </w:rPr>
        <w:t xml:space="preserve">Pub date: </w:t>
      </w:r>
      <w:r>
        <w:t>2026-07-09 00:00:00+00:00</w:t>
      </w:r>
      <w:r>
        <w:t xml:space="preserve">    </w:t>
      </w:r>
      <w:r>
        <w:rPr>
          <w:b/>
        </w:rPr>
        <w:t xml:space="preserve">DOI: </w:t>
      </w:r>
      <w:hyperlink r:id="rId226">
        <w:r>
          <w:rPr>
            <w:color w:val="1155CC"/>
            <w:u w:val="single"/>
          </w:rPr>
          <w:t>10.1093/nsr/nwag417</w:t>
        </w:r>
      </w:hyperlink>
    </w:p>
    <w:p>
      <w:pPr>
        <w:spacing w:before="0" w:after="120"/>
      </w:pPr>
      <w:r>
        <w:rPr>
          <w:b/>
        </w:rPr>
        <w:t xml:space="preserve">Notes: </w:t>
      </w:r>
      <w:r>
        <w:t>abstract_source=rss_oup</w:t>
      </w:r>
    </w:p>
    <w:p>
      <w:pPr>
        <w:spacing w:before="0" w:after="80" w:lineRule="auto" w:line="276"/>
      </w:pPr>
      <w:r>
        <w:rPr>
          <w:b/>
        </w:rPr>
        <w:t xml:space="preserve">摘要（ZH）: </w:t>
      </w:r>
      <w:r>
        <w:t>电化学NO还原反应（eNORR）已成为合成绿色氨的一种有前景的途径。实验观察到 Fe 对 eNORR 对氨具有很高的活性和选择性。然而，我们发现铁的电化学性能并不是由于其固有活性，而是源于操作条件下自单原子化的自适应能力。我们首先进行了由机器学习势 (MLP) 驱动的大正则蒙特卡罗 (GCMC) 模拟，其中我们探索了约 250 万种可能的活性结构及其随电极势增加而演化的情况。微动力学模型表明，Fe 表面将主要被反应中吸附的 N* 物质覆盖，从而通过自单原子化形成 FeNx 基序。统计结果表明，孤立的 FeNx 基序的顶部位点比桥位和空心位点贡献更高的氨合成活性。此外，基于自单原子化活性位点，我们再现并合理化了不同产品的实验法拉第效率随电极电位的变化趋势，验证了本文提出的活性位点的可靠性。因此，我们建议利用催化剂在工作条件下的自单原子化能力来构建氨合成以外的活性位点。</w:t>
      </w:r>
    </w:p>
    <w:p>
      <w:pPr>
        <w:spacing w:before="0" w:after="200" w:lineRule="auto" w:line="276"/>
      </w:pPr>
      <w:r>
        <w:rPr>
          <w:b/>
        </w:rPr>
        <w:t xml:space="preserve">Abstract (EN): </w:t>
      </w:r>
      <w:r>
        <w:t>Electrochemical NO reduction reaction (eNORR) has emerged as a promising route for the synthesis of green ammonia. Fe was observed experimentally with great activity and selectivity for eNORR to ammonia. However, we found the electrochemical performance over iron is not due to its intrinsic activity, but from an adaptive capability of self-single-atomization in operando condition. We first performed Grand Canonical Monte Carlo (GCMC) simulations driven by a machine learning potential (MLP), where we explored ∼2.5 million possible active structures and their evolution with increased electrode potential. Microkinetic modelling indicates that Fe surface will be predominantly covered by adsorbed N* species in reaction, resulting in the formation of FeNx motifs by self-single-atomizing. Statistical results indicate that the top sites of isolated FeNx motifs contribute higher activity of ammonia synthesis than bridge and hollow sites. Furthermore, based on the self-single-atomized active sites, we reproduced and rationalized the variation trends of experimental Faradaic efficiency of different products with electrode potential, verifying the reliability of proposed active site herein. Hence, we propose to make use of the self-single-atomization capability of catalysts in working conditions to construct active sites beyond ammonia synthesis.</w:t>
      </w:r>
    </w:p>
    <w:p>
      <w:pPr>
        <w:spacing w:before="120" w:after="120"/>
      </w:pPr>
      <w:r>
        <w:rPr>
          <w:sz w:val="18"/>
        </w:rPr>
        <w:t>——————————————————————————————————————————————————————————————————————</w:t>
      </w:r>
    </w:p>
    <w:p>
      <w:pPr>
        <w:spacing w:before="160" w:after="40" w:line="240" w:lineRule="auto"/>
      </w:pPr>
      <w:r>
        <w:rPr>
          <w:b/>
        </w:rPr>
        <w:t xml:space="preserve">[38] </w:t>
      </w:r>
      <w:hyperlink r:id="rId227">
        <w:r>
          <w:rPr>
            <w:color w:val="1155CC"/>
            <w:u w:val="single"/>
          </w:rPr>
          <w:t>层间金属-金属耦合作为单原子催化剂关键活性位点构型和原子描述符的强度</w:t>
        </w:r>
      </w:hyperlink>
    </w:p>
    <w:p>
      <w:pPr>
        <w:spacing w:before="0" w:after="80"/>
      </w:pPr>
      <w:r>
        <w:rPr>
          <w:i/>
          <w:sz w:val="20"/>
        </w:rPr>
        <w:t>EN: Strength of Interlayer Metal–Metal Coupling as Key Active Site Configuration and Atomic Descriptor for Single-Atom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228">
        <w:r>
          <w:rPr>
            <w:color w:val="1155CC"/>
            <w:u w:val="single"/>
          </w:rPr>
          <w:t>10.1021/jacs.6c04989</w:t>
        </w:r>
      </w:hyperlink>
    </w:p>
    <w:p>
      <w:pPr>
        <w:spacing w:before="0" w:after="120"/>
      </w:pPr>
      <w:r>
        <w:rPr>
          <w:b/>
        </w:rPr>
        <w:t xml:space="preserve">Notes: </w:t>
      </w:r>
      <w:r>
        <w:t>abstract_source=pubmed</w:t>
      </w:r>
    </w:p>
    <w:p>
      <w:pPr>
        <w:spacing w:before="0" w:after="80" w:lineRule="auto" w:line="276"/>
      </w:pPr>
      <w:r>
        <w:rPr>
          <w:b/>
        </w:rPr>
        <w:t xml:space="preserve">摘要（ZH）: </w:t>
      </w:r>
      <w:r>
        <w:t>单原子催化剂（SAC）因其卓越的活性、选择性和近乎统一的原子经济性而被广泛考虑用于大规模应用，其中活性位点的配置至关重要。然而，活性位点如何调节催化性能仍不完全清楚。一个长期存在的例子是层状 Fe-N-C，它显示理论预测与实验氧还原反应 (ORR) 活性之间存在巨大差异，限制了合理设计和可预测性。在这里，在 X 射线吸收精细结构 (XAFS) 观察的指导下，并在模拟和机器学习的支持下，我们确定了堆叠双层金属-金属耦合 (MMC) 构型作为这些催化剂中重要的活性位点基序。在不调用恒电位处理或表面羟基覆盖的情况下，我们的模型在标准计算氢电极 (CHE) 框架内构建，重现了实验活动并使理论与实验相一致，支持 MMC 作为 ORR 的合理且重要的机制贡献者。通过构建和比较 15 种单层 (SL) 和 MMC 配置，我们量化了金属-金属耦合强度如何控制活性，并建立了基于耦合强度选择适当建模策略的标准。利用机器学习和数据挖掘，我们进一步确定了局部电子结构描述符，使定量的结构-活性关系能够指导催化剂设计。最后，我们合成了一系列具有双层MMC​​图案或孤立的单金属结构的分子催化剂</w:t>
      </w:r>
    </w:p>
    <w:p>
      <w:pPr>
        <w:spacing w:before="0" w:after="200" w:lineRule="auto" w:line="276"/>
      </w:pPr>
      <w:r>
        <w:rPr>
          <w:b/>
        </w:rPr>
        <w:t xml:space="preserve">Abstract (EN): </w:t>
      </w:r>
      <w:r>
        <w:t>Single-atom catalysts (SACs) are widely considered for large-scale applications due to their exceptional activity, selectivity, and near-unity atom economy, where active-site configuration is critical. Yet how the active site regulates catalytic performance remains incompletely understood. A long-standing example is layered Fe-N-C, which shows a large discrepancy between theoretical predictions and experimental oxygen reduction reaction (ORR) activity, limiting rational design and predictability. Here, guided by X-ray absorption fine structure (XAFS) observations and supported by simulations and machine learning, we identify a stacked bilayer metal-metal coupling (MMC) configuration as an important active-site motif in these catalysts. Without invoking constant-potential treatments or surface hydroxyl coverage, our model, constructed within the standard computational hydrogen electrode (CHE) framework, reproduces the experimental activity and reconciles theory with experiment, supporting MMC as a plausible and important mechanistic contributor to ORR. By constructing and comparing 15 single-layer (SL) and MMC configurations, we quantify how metal-metal coupling strength governs activity and establish a criterion for selecting appropriate modeling strategies based on coupling intensity. Using machine learning and data mining, we further identify local electronic-structure descriptors that enable quantitative structure-activity relationships to guide catalyst design. Finally, we synthesize a series of molecular catalysts featuring bilayer MMC motifs or isolated single-metal sites, thereby experimentally validating the proposed structural motif and its role in ORR characteristics. This discovery provides guidance for the rational design of SACs and highlights that physically faithful active-site modeling is a prerequisite for predictive theory, with transferable implications for electrocatalytic systems beyond ORR.</w:t>
      </w:r>
    </w:p>
    <w:p>
      <w:pPr>
        <w:spacing w:before="120" w:after="120"/>
      </w:pPr>
      <w:r>
        <w:rPr>
          <w:sz w:val="18"/>
        </w:rPr>
        <w:t>——————————————————————————————————————————————————————————————————————</w:t>
      </w:r>
    </w:p>
    <w:p>
      <w:pPr>
        <w:spacing w:before="160" w:after="40" w:line="240" w:lineRule="auto"/>
      </w:pPr>
      <w:r>
        <w:rPr>
          <w:b/>
        </w:rPr>
        <w:t xml:space="preserve">[39] </w:t>
      </w:r>
      <w:hyperlink r:id="rId229">
        <w:r>
          <w:rPr>
            <w:color w:val="1155CC"/>
            <w:u w:val="single"/>
          </w:rPr>
          <w:t>用于燃料电池的精密调整的铂皮金属间催化剂的瞬时组装</w:t>
        </w:r>
      </w:hyperlink>
    </w:p>
    <w:p>
      <w:pPr>
        <w:spacing w:before="0" w:after="80"/>
      </w:pPr>
      <w:r>
        <w:rPr>
          <w:i/>
          <w:sz w:val="20"/>
        </w:rPr>
        <w:t>EN: Transient assembly of precision-tuned platinum-skin intermetallic catalysts for fuel cells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230">
        <w:r>
          <w:rPr>
            <w:color w:val="1155CC"/>
            <w:u w:val="single"/>
          </w:rPr>
          <w:t>10.1126/science.aeg2036</w:t>
        </w:r>
      </w:hyperlink>
    </w:p>
    <w:p>
      <w:pPr>
        <w:spacing w:before="0" w:after="120"/>
      </w:pPr>
      <w:r>
        <w:rPr>
          <w:b/>
        </w:rPr>
        <w:t xml:space="preserve">Notes: </w:t>
      </w:r>
      <w:r>
        <w:t>abstract_source=crossref</w:t>
      </w:r>
    </w:p>
    <w:p>
      <w:pPr>
        <w:spacing w:before="0" w:after="80" w:lineRule="auto" w:line="276"/>
      </w:pPr>
      <w:r>
        <w:rPr>
          <w:b/>
        </w:rPr>
        <w:t xml:space="preserve">摘要（ZH）: </w:t>
      </w:r>
      <w:r>
        <w:t>高效催化剂需要精确设计的复杂结构，而传统的热力学控制合成通常涉及繁琐的程序和有限的结构精度。我们报告了一种用于超快合成复杂结构纳米催化剂的非平衡瞬态组装策略，包括以 Pt@PtFe-i 为例的核壳铂 (Pt) 皮金属间纳米晶体。通过使用周期性热脉冲协议驱动高能瞬态 PtFe 配置的连续演化，我们实现了高阶 PtFe 金属间化合物核和原子层精确 Pt 皮的同步组装。 Pt@PtFe-i 催化剂在 Pt 表层内表现出配位依赖性压缩应变，为氧还原反应创造高密度的高活性位点。的H</w:t>
      </w:r>
      <w:r>
        <w:rPr>
          <w:vertAlign w:val="subscript"/>
        </w:rPr>
        <w:t>2</w:t>
      </w:r>
      <w:r>
        <w:t>-采用 Pt@PtFe-i 的空气燃料电池在阴极 Pt 负载量为 0.1 毫克/平方厘米时可提供每平方厘米 1.25 瓦的峰值功率，经过 30,000 次加速耐久性测试循环后，峰值功率损失为 3.2%。</w:t>
      </w:r>
    </w:p>
    <w:p>
      <w:pPr>
        <w:spacing w:before="0" w:after="200" w:lineRule="auto" w:line="276"/>
      </w:pPr>
      <w:r>
        <w:rPr>
          <w:b/>
        </w:rPr>
        <w:t xml:space="preserve">Abstract (EN): </w:t>
      </w:r>
      <w:r>
        <w:t>Highly efficient catalysts require precisely engineered intricate structures, yet conventional thermodynamically controlled syntheses often involve cumbersome procedures and limited structural precision. We report a nonequilibrium transient assembly strategy for the ultrafast synthesis of intricately structured nanocatalysts, including core-shell platinum (Pt)–skinned intermetallic nanocrystals exemplified by Pt@PtFe-i. By using a periodic thermal-pulse protocol to drive the continuous evolution of high-energy transient PtFe configurations, we achieved the synchronous assembly of a high-order PtFe intermetallic core and an atomic-layer-precise Pt skin. The Pt@PtFe-i catalyst exhibits coordination-dependent compressive strain within the Pt skin, creating a high density of highly active sites for the oxygen reduction reaction. The H</w:t>
      </w:r>
      <w:r>
        <w:rPr>
          <w:vertAlign w:val="subscript"/>
        </w:rPr>
        <w:t>2</w:t>
      </w:r>
      <w:r>
        <w:t>-air fuel cell with Pt@PtFe-i delivers a peak power of 1.25 watts per square centimeter at a cathode Pt loading of 0.1 milligrams per square centimeter, with a small peak power loss of 3.2% after 30,000 accelerated durability testing cycles.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231">
        <w:r>
          <w:rPr>
            <w:color w:val="1155CC"/>
            <w:u w:val="single"/>
          </w:rPr>
          <w:t>协调财政弹性与低碳能源目标：斯里兰卡的碳调整燃料定价</w:t>
        </w:r>
      </w:hyperlink>
    </w:p>
    <w:p>
      <w:pPr>
        <w:spacing w:before="0" w:after="80"/>
      </w:pPr>
      <w:r>
        <w:rPr>
          <w:i/>
          <w:sz w:val="20"/>
        </w:rPr>
        <w:t>EN: Reconciling fiscal resilience with low-carbon energy goals: Sri Lanka's carbon-aligned fuel pricing</w:t>
      </w:r>
    </w:p>
    <w:p>
      <w:pPr>
        <w:spacing w:before="0" w:after="120"/>
      </w:pPr>
      <w:r>
        <w:rPr>
          <w:b/>
        </w:rPr>
        <w:t xml:space="preserve">Source: </w:t>
      </w:r>
      <w:r>
        <w:t>ScienceDirect Publication: Energy Policy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32">
        <w:r>
          <w:rPr>
            <w:color w:val="1155CC"/>
            <w:u w:val="single"/>
          </w:rPr>
          <w:t>附带影响：中美紧张局势和第三国能源转型</w:t>
        </w:r>
      </w:hyperlink>
    </w:p>
    <w:p>
      <w:pPr>
        <w:spacing w:before="0" w:after="80"/>
      </w:pPr>
      <w:r>
        <w:rPr>
          <w:i/>
          <w:sz w:val="20"/>
        </w:rPr>
        <w:t>EN: Collateral impact: U.S.-China tensions and energy transition in third countries</w:t>
      </w:r>
    </w:p>
    <w:p>
      <w:pPr>
        <w:spacing w:before="0" w:after="120"/>
      </w:pPr>
      <w:r>
        <w:rPr>
          <w:b/>
        </w:rPr>
        <w:t xml:space="preserve">Source: </w:t>
      </w:r>
      <w:r>
        <w:t>ScienceDirect Publication: Energy Policy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33">
        <w:r>
          <w:rPr>
            <w:color w:val="1155CC"/>
            <w:u w:val="single"/>
          </w:rPr>
          <w:t>地缘政治风险、绿色金融和环境技术动态如何塑造金砖国家经济体的能源三难困境？</w:t>
        </w:r>
      </w:hyperlink>
    </w:p>
    <w:p>
      <w:pPr>
        <w:spacing w:before="0" w:after="80"/>
      </w:pPr>
      <w:r>
        <w:rPr>
          <w:i/>
          <w:sz w:val="20"/>
        </w:rPr>
        <w:t>EN: How geopolitical risks, green finance, and environmental technologies dynamics shape energy trilemma in BRICS economies?</w:t>
      </w:r>
    </w:p>
    <w:p>
      <w:pPr>
        <w:spacing w:before="0" w:after="120"/>
      </w:pPr>
      <w:r>
        <w:rPr>
          <w:b/>
        </w:rPr>
        <w:t xml:space="preserve">Source: </w:t>
      </w:r>
      <w:r>
        <w:t>ScienceDirect Publication: Energy Policy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34">
        <w:r>
          <w:rPr>
            <w:color w:val="1155CC"/>
            <w:u w:val="single"/>
          </w:rPr>
          <w:t>具有领导者驱动的梦想优化算法的电动汽车充电站动态定价的随机模拟框架</w:t>
        </w:r>
      </w:hyperlink>
    </w:p>
    <w:p>
      <w:pPr>
        <w:spacing w:before="0" w:after="80"/>
      </w:pPr>
      <w:r>
        <w:rPr>
          <w:i/>
          <w:sz w:val="20"/>
        </w:rPr>
        <w:t>EN: A stochastic simulation framework for EV charging station dynamic pricing with leader-driven dream optimization algorithm</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35">
        <w:r>
          <w:rPr>
            <w:color w:val="1155CC"/>
            <w:u w:val="single"/>
          </w:rPr>
          <w:t>Au表面丙烯氧化偶联电合成C 6 化合物</w:t>
        </w:r>
      </w:hyperlink>
    </w:p>
    <w:p>
      <w:pPr>
        <w:spacing w:before="0" w:after="80"/>
      </w:pPr>
      <w:r>
        <w:rPr>
          <w:i/>
          <w:sz w:val="20"/>
        </w:rPr>
        <w:t>EN: Electrosynthesis of C 6 Chemicals by Propylene Oxidative Coupling on Au Surface</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236">
        <w:r>
          <w:rPr>
            <w:color w:val="1155CC"/>
            <w:u w:val="single"/>
          </w:rPr>
          <w:t>10.1021/jacs.6c04024</w:t>
        </w:r>
      </w:hyperlink>
    </w:p>
    <w:p>
      <w:pPr>
        <w:spacing w:before="0" w:after="120"/>
      </w:pPr>
      <w:r>
        <w:rPr>
          <w:b/>
        </w:rPr>
        <w:t xml:space="preserve">Notes: </w:t>
      </w:r>
      <w:r>
        <w:t>abstract_source=pubmed</w:t>
      </w:r>
    </w:p>
    <w:p>
      <w:pPr>
        <w:spacing w:before="0" w:after="80" w:lineRule="auto" w:line="276"/>
      </w:pPr>
      <w:r>
        <w:rPr>
          <w:b/>
        </w:rPr>
        <w:t xml:space="preserve">摘要（ZH）: </w:t>
      </w:r>
      <w:r>
        <w:t>烯烃的电催化氧化代表了未来化学制造中可持续精细化学合成的一条有前途的途径。然而，阳极丙烯转化通常仅产生氧化产物，例如丙二醇、环氧丙烷、丙烯醛或丙酮，缺乏重要的电驱动的C-C耦合过程。在这里，我们报道了金上丙烯氧化的 C-C 偶联途径，产生两种 C6 化合物：2,5-己二酮和 3-己烯-2,5-二酮。在温和条件下，C6产品的总法拉第效率达到36%。结合原位红外光谱、压力相关实验和密度泛函理论计算，揭示了氧化偶联是通过*Pr和*PrOH中间体之间的不对称偶联进行的，遵循Langmuir-Hinshelwood机制。同时增加两种 C3 中间体的表面覆盖率对于有效的 C-C 偶联至关重要。这些发现引入了丙烯的电氧化C-C偶联策略，为精细化学电合成提供了新的机理见解。</w:t>
      </w:r>
    </w:p>
    <w:p>
      <w:pPr>
        <w:spacing w:before="0" w:after="200" w:lineRule="auto" w:line="276"/>
      </w:pPr>
      <w:r>
        <w:rPr>
          <w:b/>
        </w:rPr>
        <w:t xml:space="preserve">Abstract (EN): </w:t>
      </w:r>
      <w:r>
        <w:t>Electrocatalytic oxidation of alkenes represents a promising pathway for sustainable fine chemical synthesis in future chemical manufacturing. However, anodic propylene transformations typically yield only oxygenation products, such as propylene glycol, propylene oxide, acrolein, or acetone, lacking the important electro-driven C-C coupling process. Here, we report a C-C coupling pathway for propylene oxidation on Au, producing two C6 compounds: 2,5-hexanedione and 3-hexene-2,5-dione. Under mild conditions, the total Faradaic efficiency for C6 products reaches 36%. Combining in situ infrared spectroscopy, pressure-dependent experiments, and density functional theory calculations, it was revealed that the oxidative coupling proceeds through asymmetric coupling between *Pr and *PrOH intermediates, following the Langmuir-Hinshelwood mechanism. Simultaneously increasing the surface coverage of both C3 intermediates is crucial for efficient C-C coupling. These findings introduce an electro-oxidative C-C coupling strategy for propylene, providing new mechanistic insights into fine chemical electrosynthesis.</w:t>
      </w:r>
    </w:p>
    <w:p>
      <w:pPr>
        <w:spacing w:before="120" w:after="120"/>
      </w:pPr>
      <w:r>
        <w:rPr>
          <w:sz w:val="18"/>
        </w:rPr>
        <w:t>——————————————————————————————————————————————————————————————————————</w:t>
      </w:r>
    </w:p>
    <w:p>
      <w:pPr>
        <w:spacing w:before="160" w:after="40" w:line="240" w:lineRule="auto"/>
      </w:pPr>
      <w:r>
        <w:rPr>
          <w:b/>
        </w:rPr>
        <w:t xml:space="preserve">[6] </w:t>
      </w:r>
      <w:hyperlink r:id="rId237">
        <w:r>
          <w:rPr>
            <w:color w:val="1155CC"/>
            <w:u w:val="single"/>
          </w:rPr>
          <w:t>低碳未来和全球脱碳的能源建模</w:t>
        </w:r>
      </w:hyperlink>
    </w:p>
    <w:p>
      <w:pPr>
        <w:spacing w:before="0" w:after="80"/>
      </w:pPr>
      <w:r>
        <w:rPr>
          <w:i/>
          <w:sz w:val="20"/>
        </w:rPr>
        <w:t>EN: Energy modeling for a low-carbon future and global decarbonization</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2">
        <w:r>
          <w:rPr>
            <w:color w:val="1155CC"/>
            <w:u w:val="single"/>
          </w:rPr>
          <w:t>LLM授权的PV-EV渗透配电网多智能体智能规划</w:t>
        </w:r>
      </w:hyperlink>
    </w:p>
    <w:p>
      <w:pPr>
        <w:spacing w:before="0" w:after="80"/>
      </w:pPr>
      <w:r>
        <w:rPr>
          <w:i/>
          <w:sz w:val="20"/>
        </w:rPr>
        <w:t>EN: LLM-empowered multi-agent intelligent planning for PV-EV penetrated distribution networks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38">
        <w:r>
          <w:rPr>
            <w:color w:val="1155CC"/>
            <w:u w:val="single"/>
          </w:rPr>
          <w:t>使用区块链的分布式电动汽车智能充电调度方法</w:t>
        </w:r>
      </w:hyperlink>
    </w:p>
    <w:p>
      <w:pPr>
        <w:spacing w:before="0" w:after="80"/>
      </w:pPr>
      <w:r>
        <w:rPr>
          <w:i/>
          <w:sz w:val="20"/>
        </w:rPr>
        <w:t>EN: A distributed approach for electric vehicle smart charging scheduling using blockchain</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39">
        <w:r>
          <w:rPr>
            <w:color w:val="1155CC"/>
            <w:u w:val="single"/>
          </w:rPr>
          <w:t>打破糠醛直接电催化氢解制呋喃生物燃料的活性与选择性困境</w:t>
        </w:r>
      </w:hyperlink>
    </w:p>
    <w:p>
      <w:pPr>
        <w:spacing w:before="0" w:after="80"/>
      </w:pPr>
      <w:r>
        <w:rPr>
          <w:i/>
          <w:sz w:val="20"/>
        </w:rPr>
        <w:t>EN: Breaking the activity-selectivity dilemma in direct electrocatalytic hydrogenolysis of furfural into furanic biofuel</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生物质糠醛的电催化氢解通常会遇到电子的无序流动，特别是通过复杂的四电子转移过程形成2-甲基呋喃。为了解决这个问题，我们开发了一种中间体覆盖诱导策略，通过碳质基质包裹的铜簇中的混合价态，促进电子向2-甲基呋喃的转移，具有动力学和热力学的双重优势。实验结果表明，碳质基质创造了一个有利于糠醛的环境，减少了H+的吸附；在其表面，Fur-CH2OH*中C-O键的断裂很容易被Cu+位点激活生成2-甲基呋喃，而Cu0的部分参与加速了氢化过程，提高了局部H*浓度，导致高选择性和法拉第效率分别为89.8%和76.6%。此外，Cu+和Cu0的共存在阴极条件下也是稳定的，但聚合物的沉积扰乱了中间体的覆盖，随后通过连续流反应器得到缓解。这项研究提供了对电极表面界面调节的见解，推动了用于生物质增值的高效电催化剂的开发。</w:t>
      </w:r>
    </w:p>
    <w:p>
      <w:pPr>
        <w:spacing w:before="0" w:after="200" w:lineRule="auto" w:line="276"/>
      </w:pPr>
      <w:r>
        <w:rPr>
          <w:b/>
        </w:rPr>
        <w:t xml:space="preserve">Abstract (EN): </w:t>
      </w:r>
      <w:r>
        <w:t>Electrocatalytic hydrogenolysis of biomass-derived furfural usually encounters the disordered flow of electrons, particularly for the formation of 2-methylfuran with a complex four-electron transfer process. To address this, we develops an intermediates coverage-induced strategy through the mixed valences in copper clusters wrapped by carbonaceous matrix, which boosts the transfer of electrons toward 2-methylfuran with dual advantages in kinetics and thermodynamics. Experimental results indicate that the carbonaceous matrix create a furural-favorable environment for less adsorption of H+; on it surface, the cleavage of C-O bonds in Fur-CH2OH* can be easily activated by Cu+ sites for 2-methylfuran, while partial participation of Cu0 accelerates the hydrogenation processes with an enhancement of local H* concentration, leading to the high selectivity and faradaic efficiency at 89.8% and 76.6%, respectively. In addition, the coexistence of Cu+ and Cu0 is also stable under cathodic conditions, but the deposition of polymers disturbs the intermediates coverage, which is subsequently mitigated through the continuous-flow reactor. This study provides insights into the interfacial modulation on electrode surface, advancing the development of efficient electrocatalysts for biomass valorization.</w:t>
      </w:r>
    </w:p>
    <w:p>
      <w:pPr>
        <w:spacing w:before="120" w:after="120"/>
      </w:pPr>
      <w:r>
        <w:rPr>
          <w:sz w:val="18"/>
        </w:rPr>
        <w:t>——————————————————————————————————————————————————————————————————————</w:t>
      </w:r>
    </w:p>
    <w:p>
      <w:pPr>
        <w:spacing w:before="160" w:after="40" w:line="240" w:lineRule="auto"/>
      </w:pPr>
      <w:r>
        <w:rPr>
          <w:b/>
        </w:rPr>
        <w:t xml:space="preserve">[10] </w:t>
      </w:r>
      <w:hyperlink r:id="rId240">
        <w:r>
          <w:rPr>
            <w:color w:val="1155CC"/>
            <w:u w:val="single"/>
          </w:rPr>
          <w:t>拓扑飞跃：2D 层到 3D 大孔沸石</w:t>
        </w:r>
      </w:hyperlink>
    </w:p>
    <w:p>
      <w:pPr>
        <w:spacing w:before="0" w:after="80"/>
      </w:pPr>
      <w:r>
        <w:rPr>
          <w:i/>
          <w:sz w:val="20"/>
        </w:rPr>
        <w:t>EN: A Topotactic Leap: 2D Layers to 3D Large-Pore Zeolite</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241">
        <w:r>
          <w:rPr>
            <w:color w:val="1155CC"/>
            <w:u w:val="single"/>
          </w:rPr>
          <w:t>10.1021/jacs.6c09972</w:t>
        </w:r>
      </w:hyperlink>
    </w:p>
    <w:p>
      <w:pPr>
        <w:spacing w:before="0" w:after="120"/>
      </w:pPr>
      <w:r>
        <w:rPr>
          <w:b/>
        </w:rPr>
        <w:t xml:space="preserve">Notes: </w:t>
      </w:r>
      <w:r>
        <w:t>abstract_source=pubmed</w:t>
      </w:r>
    </w:p>
    <w:p>
      <w:pPr>
        <w:spacing w:before="0" w:after="80" w:lineRule="auto" w:line="276"/>
      </w:pPr>
      <w:r>
        <w:rPr>
          <w:b/>
        </w:rPr>
        <w:t xml:space="preserve">摘要（ZH）: </w:t>
      </w:r>
      <w:r>
        <w:t>具有稳定、三维互连大孔通道的沸石，例如工业上关键的Y沸石，对于大分子的催化和分离处理是不可或缺的。然而，综合现有类型之外的新框架仍然是一个持续的挑战。在这里，我们展示了 2D 到 3D 拓扑缩合，以前已知主要产生 1D/2D 通道或小/中孔 3D 结构，提供了一种新型 3D 大孔高硅沸石。通过结构引导设计，开发了一种富含环己基的有机结构导向剂来稳定末端bea结构单元，从而产生了一种新的二维大孔、高硅前体，JU-67。 JU-67 的煅烧诱导其拓扑转化为 3D 大孔沸石 JU-68。该材料具有独特的各向异性12 × 12 × 12环通道系统和大型超级笼，赋予了独特的二甲苯吸附性能和在重油催化裂化中的良好性能，实现了高于工业USY基催化剂的丙烯产率。</w:t>
      </w:r>
    </w:p>
    <w:p>
      <w:pPr>
        <w:spacing w:before="0" w:after="200" w:lineRule="auto" w:line="276"/>
      </w:pPr>
      <w:r>
        <w:rPr>
          <w:b/>
        </w:rPr>
        <w:t xml:space="preserve">Abstract (EN): </w:t>
      </w:r>
      <w:r>
        <w:t>Zeolites with stable, three-dimensionally interconnected large-pore channels, such as the industrially pivotal Y zeolite, are indispensable for the catalytic and separation processing of bulky molecules. Nevertheless, the synthesis of new frameworks beyond established types remains a persistent challenge. Here, we show that 2D-to-3D topotactic condensation, previously known to produce predominantly 1D/2D-channel or small/medium-pore 3D structures, affords a novel 3D large-pore high-silica zeolite. Through structure-guided design, a cyclohexyl-enriched organic structure-directing agent was developed to stabilize terminal bea building units, leading to a new 2D large-pore, high-silica precursor, JU-67. Calcination of JU-67 induced its topotactic conversion into a 3D large-pore zeolite, JU-68. This material possesses a unique anisotropic 12 × 12 × 12-ring channel system and a large supercage, which confers unique xylene adsorption and promising performance in the catalytic cracking of heavy oil, achieving a propylene yield higher than that of the industrial USY-based catalyst.</w:t>
      </w:r>
    </w:p>
    <w:p>
      <w:pPr>
        <w:spacing w:before="120" w:after="120"/>
      </w:pPr>
      <w:r>
        <w:rPr>
          <w:sz w:val="18"/>
        </w:rPr>
        <w:t>——————————————————————————————————————————————————————————————————————</w:t>
      </w:r>
    </w:p>
    <w:p>
      <w:pPr>
        <w:spacing w:before="160" w:after="40" w:line="240" w:lineRule="auto"/>
      </w:pPr>
      <w:r>
        <w:rPr>
          <w:b/>
        </w:rPr>
        <w:t xml:space="preserve">[11] </w:t>
      </w:r>
      <w:hyperlink r:id="rId154">
        <w:r>
          <w:rPr>
            <w:color w:val="1155CC"/>
            <w:u w:val="single"/>
          </w:rPr>
          <w:t>具有低太阳能吸收率的仿生菱形 VO 2 超表面，用于自适应全天候建筑热管理</w:t>
        </w:r>
      </w:hyperlink>
    </w:p>
    <w:p>
      <w:pPr>
        <w:spacing w:before="0" w:after="80"/>
      </w:pPr>
      <w:r>
        <w:rPr>
          <w:i/>
          <w:sz w:val="20"/>
        </w:rPr>
        <w:t>EN: Bioinspired Rhombic VO 2 Metasurface with Low Solar Absorptance for Self-adaptive All-Weather Building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155">
        <w:r>
          <w:rPr>
            <w:color w:val="1155CC"/>
            <w:u w:val="single"/>
          </w:rPr>
          <w:t>10.1021/acsami.6c07795</w:t>
        </w:r>
      </w:hyperlink>
    </w:p>
    <w:p>
      <w:pPr>
        <w:spacing w:before="0" w:after="120"/>
      </w:pPr>
      <w:r>
        <w:rPr>
          <w:b/>
        </w:rPr>
        <w:t xml:space="preserve">Notes: </w:t>
      </w:r>
      <w:r>
        <w:t>abstract_source=pubmed</w:t>
      </w:r>
    </w:p>
    <w:p>
      <w:pPr>
        <w:spacing w:before="0" w:after="80" w:lineRule="auto" w:line="276"/>
      </w:pPr>
      <w:r>
        <w:rPr>
          <w:b/>
        </w:rPr>
        <w:t xml:space="preserve">摘要（ZH）: </w:t>
      </w:r>
      <w:r>
        <w:t>被动辐射冷却可有效降低能耗，但常常会出现冬季过冷的情况。为了应对这一挑战，我们报告了一种仿生菱形图案二氧化钒（VO2）超表面智能热辐射装置（RITD），用于自适应全天候建筑热调节。通过调整 VO2 的金属-绝缘体转变 (MIT) 与法布里-珀罗 (F-P) 腔和亚波长周期性 VO2 阵列的多重谐振之间的协同耦合，RITD 在大气透明窗口 (8-14 μm) 内实现了 0.65（从 0.27 到 0.92）的动态发射度调制 (Δε)。至关重要的是，仿生架构保持了稳定的低太阳能吸收率（αsol = 0.23），有效抑制了过度的太阳能加热，从而在强烈的阳光照射下最大限度地提高了净冷却能力。凭借掺钨可调相变阈值（25-68°C），RITD 表现出白天低于环境温度约 14°C 的冷却能力和夜间保温能力比环境温度高约 3°C 的能力。中国多个城市的建筑能源模拟表明，RITD 集成屋顶通过同时满足夏季冷却需求和冬季隔热需求，每年可节省大量能源。这种机制驱动的设计为推进零能耗建筑和可持续热管理技术提供了可扩展且稳健的策略。</w:t>
      </w:r>
    </w:p>
    <w:p>
      <w:pPr>
        <w:spacing w:before="0" w:after="200" w:lineRule="auto" w:line="276"/>
      </w:pPr>
      <w:r>
        <w:rPr>
          <w:b/>
        </w:rPr>
        <w:t xml:space="preserve">Abstract (EN): </w:t>
      </w:r>
      <w:r>
        <w:t>Passive radiative cooling effectively reduces energy consumption but often suffers from winter overcooling. To address this challenge, we report a bioinspired rhombic-patterned vanadium dioxide (VO2) metasurface intelligent thermal radiative device (RITD) for self-adaptive all-weather building thermal regulation. Through tailoring of the synergistic coupling between the metal-insulator transition (MIT) of VO2 and the multiple resonances of a Fabry-Pérot (F-P) cavity and subwavelength periodic VO2 arrays, the RITD achieves a dynamic emittance modulation (Δε) of 0.65 (from 0.27 to 0.92) within the atmospheric transparency window (8-14 μm). Crucially, the bioinspired architecture maintains a stable, low solar absorptance (αsol = 0.23), effectively suppressing excessive solar heating and thus maximizing the net cooling power during intense sunlight exposure. With a tungsten-doped tunable phase-transition threshold (25-68 °C), the RITD demonstrates a daytime subambient cooling of ∼14 °C and a nighttime heat retention of ∼3 °C above the ambient temperature. Building energy simulations across multiple Chinese cities reveal that RITD-integrated roofs deliver substantial annual energy savings by simultaneously addressing cooling demands in summer and insulation needs in winter. This mechanism-driven design provides a scalable and robust strategy for advancing zero-energy buildings and sustainable thermal management technologies.</w:t>
      </w:r>
    </w:p>
    <w:p>
      <w:pPr>
        <w:spacing w:before="120" w:after="120"/>
      </w:pPr>
      <w:r>
        <w:rPr>
          <w:sz w:val="18"/>
        </w:rPr>
        <w:t>——————————————————————————————————————————————————————————————————————</w:t>
      </w:r>
    </w:p>
    <w:p>
      <w:pPr>
        <w:spacing w:before="160" w:after="40" w:line="240" w:lineRule="auto"/>
      </w:pPr>
      <w:r>
        <w:rPr>
          <w:b/>
        </w:rPr>
        <w:t xml:space="preserve">[12] </w:t>
      </w:r>
      <w:hyperlink r:id="rId242">
        <w:r>
          <w:rPr>
            <w:color w:val="1155CC"/>
            <w:u w:val="single"/>
          </w:rPr>
          <w:t>使用大型语言模型评估企业可持续性：来自欧洲的证据</w:t>
        </w:r>
      </w:hyperlink>
    </w:p>
    <w:p>
      <w:pPr>
        <w:spacing w:before="0" w:after="80"/>
      </w:pPr>
      <w:r>
        <w:rPr>
          <w:i/>
          <w:sz w:val="20"/>
        </w:rPr>
        <w:t>EN: Assessing corporate sustainability with large language models: evidence from Europe</w:t>
      </w:r>
    </w:p>
    <w:p>
      <w:pPr>
        <w:spacing w:before="0" w:after="120"/>
      </w:pPr>
      <w:r>
        <w:rPr>
          <w:b/>
        </w:rPr>
        <w:t xml:space="preserve">Source: </w:t>
      </w:r>
      <w:r>
        <w:t>Scientific community and society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企业在实现全球可持续发展目标方面发挥着至关重要的作用，但有关其在环境、社会和治理 (ESG) 方面取得进展的证据仍然有限。我们开发了一个机器学习框架，从企业报告中系统地提取 ESG 指标。将这种方法应用于 600 家大型欧洲公司的年度报告和可持续发展报告（2014-2023 年），我们构建了一个包含 290 万个涉及环境、社会和治理主题的 ESG 观察数据的数据集。我们根据符合欧洲可持续发展报告标准 (ESRS) 的披露来评估 ESG 透明度，并使用提取的数字指标评估 ESG 绩效。结果揭示了明显的透明度差距：ESG 评级最高十分位的公司披露的指标比最低十分位的公司多 22%，尽管这一差距随着时间的推移而缩小。绩效趋势参差不齐：虽然大多数社会指标基本停滞不前，但除了性别平等方面取得进展外，环境指标却显示出一些改善。报告的范围 3 排放量急剧增加，很大程度上反映了披露的改进。我们的开源框架可以系统地跟踪企业 ESG 工作。</w:t>
      </w:r>
    </w:p>
    <w:p>
      <w:pPr>
        <w:spacing w:before="0" w:after="200" w:lineRule="auto" w:line="276"/>
      </w:pPr>
      <w:r>
        <w:rPr>
          <w:b/>
        </w:rPr>
        <w:t xml:space="preserve">Abstract (EN): </w:t>
      </w:r>
      <w:r>
        <w:t>Companies play a crucial role in achieving global sustainability goals, yet evidence on their progress across environmental, social, and governance (ESG) dimensions remains limited. We develop a machine learning framework to systematically extract ESG indicators from corporate reports. Applying this approach to annual and sustainability reports of 600 large European firms (2014–2023), we construct a dataset of 2.9 million ESG observations across environmental, social, and governance topics. We assess ESG transparency based on disclosures aligned with the European Sustainability Reporting Standards (ESRS) and evaluate ESG performance using extracted numerical indicators. Results reveal a pronounced transparency gap: firms in the top ESG rating decile disclose 22% more indicators than those in the bottom decile, although this gap narrows over time. Performance trends are uneven: while most social indicators remain largely stagnant, except for gains in gender equality, environmental indicators show some improvement. Reported scope 3 emissions increase sharply, largely reflecting improved disclosure. Our open-source framework enables systematic tracking of corporate ESG efforts.</w:t>
      </w:r>
    </w:p>
    <w:p>
      <w:pPr>
        <w:spacing w:before="120" w:after="120"/>
      </w:pPr>
      <w:r>
        <w:rPr>
          <w:sz w:val="18"/>
        </w:rPr>
        <w:t>——————————————————————————————————————————————————————————————————————</w:t>
      </w:r>
    </w:p>
    <w:p>
      <w:pPr>
        <w:spacing w:before="160" w:after="40" w:line="240" w:lineRule="auto"/>
      </w:pPr>
      <w:r>
        <w:rPr>
          <w:b/>
        </w:rPr>
        <w:t xml:space="preserve">[13] </w:t>
      </w:r>
      <w:hyperlink r:id="rId243">
        <w:r>
          <w:rPr>
            <w:color w:val="1155CC"/>
            <w:u w:val="single"/>
          </w:rPr>
          <w:t>设计加速燃煤电厂退役的金融工具：以中国支持的南亚和东南亚燃煤电厂为例</w:t>
        </w:r>
      </w:hyperlink>
    </w:p>
    <w:p>
      <w:pPr>
        <w:spacing w:before="0" w:after="80"/>
      </w:pPr>
      <w:r>
        <w:rPr>
          <w:i/>
          <w:sz w:val="20"/>
        </w:rPr>
        <w:t>EN: Designing financial instruments for accelerated coal plant retirements: the case of China-backed coal plants in South and Southeast Asia</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13">
        <w:r>
          <w:rPr>
            <w:color w:val="1155CC"/>
            <w:u w:val="single"/>
          </w:rPr>
          <w:t>基于跨部门碳排放流量模型的电氢运一体化三阶段低碳规划框架</w:t>
        </w:r>
      </w:hyperlink>
    </w:p>
    <w:p>
      <w:pPr>
        <w:spacing w:before="0" w:after="80"/>
      </w:pPr>
      <w:r>
        <w:rPr>
          <w:i/>
          <w:sz w:val="20"/>
        </w:rPr>
        <w:t>EN: Cross-sectoral carbon emission flow model based three-stage low-carbon planning framework of integrated electricity‑hydrogen-transportation system</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44">
        <w:r>
          <w:rPr>
            <w:color w:val="1155CC"/>
            <w:u w:val="single"/>
          </w:rPr>
          <w:t>针对当地灵活性市场应用的大型建筑的能源灵活性估计和预测</w:t>
        </w:r>
      </w:hyperlink>
    </w:p>
    <w:p>
      <w:pPr>
        <w:spacing w:before="0" w:after="80"/>
      </w:pPr>
      <w:r>
        <w:rPr>
          <w:i/>
          <w:sz w:val="20"/>
        </w:rPr>
        <w:t>EN: Energy flexibility estimation and forecasting in large buildings for local flexibility markets applications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14">
        <w:r>
          <w:rPr>
            <w:color w:val="1155CC"/>
            <w:u w:val="single"/>
          </w:rPr>
          <w:t>提高氢能区域综合能源系统能源效率：一种新型绿色能源流驱动的多维跨时空决策框架</w:t>
        </w:r>
      </w:hyperlink>
    </w:p>
    <w:p>
      <w:pPr>
        <w:spacing w:before="0" w:after="80"/>
      </w:pPr>
      <w:r>
        <w:rPr>
          <w:i/>
          <w:sz w:val="20"/>
        </w:rPr>
        <w:t>EN: Improving the energy efficiency of regional integrated energy system containing hydrogen energy: a novel green energy flow-driven multi-dimensional cross-spatiotemporal decision framework</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45">
        <w:r>
          <w:rPr>
            <w:color w:val="1155CC"/>
            <w:u w:val="single"/>
          </w:rPr>
          <w:t>TiO 2 上的氮调节阳离子金位点能够选择性地将甲烷氧化为甲醇</w:t>
        </w:r>
      </w:hyperlink>
    </w:p>
    <w:p>
      <w:pPr>
        <w:spacing w:before="0" w:after="80"/>
      </w:pPr>
      <w:r>
        <w:rPr>
          <w:i/>
          <w:sz w:val="20"/>
        </w:rPr>
        <w:t>EN: Nitrogen-Tuned Cationic Au Sites on TiO 2 Enable Selective Methane Oxidation to Methanol</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246">
        <w:r>
          <w:rPr>
            <w:color w:val="1155CC"/>
            <w:u w:val="single"/>
          </w:rPr>
          <w:t>10.1021/jacs.6c09658</w:t>
        </w:r>
      </w:hyperlink>
    </w:p>
    <w:p>
      <w:pPr>
        <w:spacing w:before="0" w:after="120"/>
      </w:pPr>
      <w:r>
        <w:rPr>
          <w:b/>
        </w:rPr>
        <w:t xml:space="preserve">Notes: </w:t>
      </w:r>
      <w:r>
        <w:t>abstract_source=pubmed</w:t>
      </w:r>
    </w:p>
    <w:p>
      <w:pPr>
        <w:spacing w:before="0" w:after="80" w:lineRule="auto" w:line="276"/>
      </w:pPr>
      <w:r>
        <w:rPr>
          <w:b/>
        </w:rPr>
        <w:t xml:space="preserve">摘要（ZH）: </w:t>
      </w:r>
      <w:r>
        <w:t>由于甲烷中C-H键的高惰性以及甲醇对过度氧化的敏感性，在温和条件下将甲烷选择性氧化为甲醇仍然是一个长期存在的挑战。在此，我们报告了一种氮掺入策略，用于构建具有阳离子 Au 位点的 TiO2 负载的 Au 催化剂，用于在水性 CH4/O2/CO 介质中使用 O2 作为氧化剂进行选择性甲烷氧化。优化的 Au/N-TiO2 催化剂的甲醇生产率为 3956 μmol gcat-1 h-1，相当于 177 mol molAu-1 h-1，在 180 °C 下选择性为 98%，在可比条件下表现出比大多数报道的系统更优异的催化性能。光谱和结构分析表明，氮的掺入调节了 Au 的电子态，并与适当的 Au 粒径相结合，为构建高效的界面活性位点建立了有利的尺寸-电荷匹配。同位素标记实验、原位漂移、动力学分析和密度泛函理论计算表明，该反应通过 CO 辅助、表面介导的 O2 活化途径进行，涉及表面甲氧基物质作为关键中间体。</w:t>
      </w:r>
    </w:p>
    <w:p>
      <w:pPr>
        <w:spacing w:before="0" w:after="200" w:lineRule="auto" w:line="276"/>
      </w:pPr>
      <w:r>
        <w:rPr>
          <w:b/>
        </w:rPr>
        <w:t xml:space="preserve">Abstract (EN): </w:t>
      </w:r>
      <w:r>
        <w:t>Selective oxidation of methane to methanol under mild conditions remains a long-standing challenge because of the high inertness of the C-H bond in methane and the susceptibility of methanol to overoxidation. Here, we report a nitrogen-incorporation strategy for constructing TiO2-supported Au catalysts with cationic Au sites for selective methane oxidation using O2 as the oxidant in aqueous CH4/O2/CO media. The optimized Au/N-TiO2 catalyst delivers a methanol productivity of 3956 μmol gcat-1 h-1, corresponding to 177 mol molAu-1 h-1, with 98% selectivity at 180 °C, demonstrating superior catalytic performance to most reported systems under comparable conditions. Spectroscopic and structural analyses reveal that nitrogen incorporation modulates the electronic state of Au and, in combination with an appropriate Au particle size, establishes a favorable size-charge match for constructing highly efficient interfacial active sites. Isotope-labeling experiments, in situ DRIFTS, kinetic analysis, and density functional theory calculations show that the reaction proceeds through a CO-assisted, surface-mediated O2 activation pathway involving surface methoxy species as key intermediates.</w:t>
      </w:r>
    </w:p>
    <w:p>
      <w:pPr>
        <w:spacing w:before="120" w:after="120"/>
      </w:pPr>
      <w:r>
        <w:rPr>
          <w:sz w:val="18"/>
        </w:rPr>
        <w:t>——————————————————————————————————————————————————————————————————————</w:t>
      </w:r>
    </w:p>
    <w:p>
      <w:pPr>
        <w:spacing w:before="160" w:after="40" w:line="240" w:lineRule="auto"/>
      </w:pPr>
      <w:r>
        <w:rPr>
          <w:b/>
        </w:rPr>
        <w:t xml:space="preserve">[18] </w:t>
      </w:r>
      <w:hyperlink r:id="rId247">
        <w:r>
          <w:rPr>
            <w:color w:val="1155CC"/>
            <w:u w:val="single"/>
          </w:rPr>
          <w:t>矿化碳酸盐有助于罗马混凝土的千年耐用性</w:t>
        </w:r>
      </w:hyperlink>
    </w:p>
    <w:p>
      <w:pPr>
        <w:spacing w:before="0" w:after="80"/>
      </w:pPr>
      <w:r>
        <w:rPr>
          <w:i/>
          <w:sz w:val="20"/>
        </w:rPr>
        <w:t>EN: Mineralized carbonates contribute to the millennial durability of Roman concrete</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248">
        <w:r>
          <w:rPr>
            <w:color w:val="1155CC"/>
            <w:u w:val="single"/>
          </w:rPr>
          <w:t>10.1126/sciadv.aeb0754</w:t>
        </w:r>
      </w:hyperlink>
    </w:p>
    <w:p>
      <w:pPr>
        <w:spacing w:before="0" w:after="120"/>
      </w:pPr>
      <w:r>
        <w:rPr>
          <w:b/>
        </w:rPr>
        <w:t xml:space="preserve">Notes: </w:t>
      </w:r>
      <w:r>
        <w:t>abstract_source=crossref</w:t>
      </w:r>
    </w:p>
    <w:p>
      <w:pPr>
        <w:spacing w:before="0" w:after="80" w:lineRule="auto" w:line="276"/>
      </w:pPr>
      <w:r>
        <w:rPr>
          <w:b/>
        </w:rPr>
        <w:t xml:space="preserve">摘要（ZH）: </w:t>
      </w:r>
      <w:r>
        <w:t>罗马混凝土结构已经保持了近两千年的使用寿命，并被广泛认为是耐用的古代工程的杰出范例。现有文献将罗马混凝土的长寿归因于活性火山灰和石灰之间发生的火山灰反应。虽然火山灰反应至关重要，但我们认为，长时间的碳化也可以大大提高混凝土的耐久性和潜在的自修复性能。为了验证这一说法，我们使用多尺度光谱和断层扫描方法对哈德良别墅（罗马帝国住所，意大利蒂沃利，公元 2 世纪）Canopus 西部下部结构中的厕所所使用的混凝土进行了全面分析，以揭示这些持久结构的弹性背后的机制。微观结构证据表明，罗马人将由白榴石、方沸石和铁透辉石组成的火山熔岩与石灰以约 0.4 至 0.45 的水胶比混合以混合混凝土。孔隙和裂缝中的方解石胶结物充当主要的粘合矿物相，而在熔岩碎片周围和熔岩碎片之间沉淀形成相对少量的钙铝硅酸盐水合物，以进一步增强混凝土的完整性。相反，未水化的氧化钙与大气中的二氧化碳和水分反应，形成体积占主导地位的方解石水泥，从而成为增强结构强度和闭塞孔隙度的主要驱动力。这种径向纤维状方解石有锅</w:t>
      </w:r>
    </w:p>
    <w:p>
      <w:pPr>
        <w:spacing w:before="0" w:after="200" w:lineRule="auto" w:line="276"/>
      </w:pPr>
      <w:r>
        <w:rPr>
          <w:b/>
        </w:rPr>
        <w:t xml:space="preserve">Abstract (EN): </w:t>
      </w:r>
      <w:r>
        <w:t>Roman concrete structures have remained serviceable for nearly two millennia and are widely regarded as outstanding examples of durable ancient engineering. Existing literature attributes Roman concrete longevity to the pozzolanic reaction that occurs between reactive volcanic ashes and lime. While the pozzolanic reaction is of fundamental importance, we argue that carbonation over a long period of time also substantially enhances the durability and potential self-healing properties of concrete. To validate this claim, a comprehensive analysis of the concrete used in a latrine included in the Canopus western substructures, in Hadrian’s Villa (Roman imperial residence, Tivoli, Italy, 2nd century AD), is performed using multiscale spectroscopic and tomographic approaches to uncover the mechanisms behind the resilience of these enduring structures. Microstructural evidence reveals that volcanic lava composed of leucite, analcime, and ferrian diopside was combined by the Romans with lime at a water-to-binder ratio of ~0.4 to 0.45 to mix the concrete. Calcite cementation in pore spaces and fractures served as the primary binding mineral phase, while the formation of a relatively minor amount of calcium-aluminum-silicate-hydrate precipitated around and between lava fragments to further enhance the integrity of concrete. Conversely, unhydrated calcium oxide reacted with atmospheric carbon dioxide and moisture to form volumetrically dominant calcite cements, creating the primary driver to reinforce structural strength and occlude porosity. This radiaxial fibrous calcite has the potential to mitigate environmental and mechanical stresses in modern concrete infrastructure and advance the development of sustainable and resilient construction materials in the future.</w:t>
      </w:r>
    </w:p>
    <w:p>
      <w:pPr>
        <w:spacing w:before="120" w:after="120"/>
      </w:pPr>
      <w:r>
        <w:rPr>
          <w:sz w:val="18"/>
        </w:rPr>
        <w:t>——————————————————————————————————————————————————————————————————————</w:t>
      </w:r>
    </w:p>
    <w:p>
      <w:pPr>
        <w:spacing w:before="160" w:after="40" w:line="240" w:lineRule="auto"/>
      </w:pPr>
      <w:r>
        <w:rPr>
          <w:b/>
        </w:rPr>
        <w:t xml:space="preserve">[19] </w:t>
      </w:r>
      <w:hyperlink r:id="rId249">
        <w:r>
          <w:rPr>
            <w:color w:val="1155CC"/>
            <w:u w:val="single"/>
          </w:rPr>
          <w:t>提高人工智能可持续性的策略和设计</w:t>
        </w:r>
      </w:hyperlink>
    </w:p>
    <w:p>
      <w:pPr>
        <w:spacing w:before="0" w:after="80"/>
      </w:pPr>
      <w:r>
        <w:rPr>
          <w:i/>
          <w:sz w:val="20"/>
        </w:rPr>
        <w:t>EN: Strategies and design for increasing AI sustainability</w:t>
      </w:r>
    </w:p>
    <w:p>
      <w:pPr>
        <w:spacing w:before="0" w:after="120"/>
      </w:pPr>
      <w:r>
        <w:rPr>
          <w:b/>
        </w:rPr>
        <w:t xml:space="preserve">Source: </w:t>
      </w:r>
      <w:r>
        <w:t>Nature Reviews Clean Technology</w:t>
      </w:r>
      <w:r>
        <w:t xml:space="preserve">    </w:t>
      </w:r>
      <w:r>
        <w:rPr>
          <w:b/>
        </w:rPr>
        <w:t xml:space="preserve">Pub date: </w:t>
      </w:r>
      <w:r>
        <w:t>2026-07-09 00:00:00+00:00</w:t>
      </w:r>
      <w:r>
        <w:t xml:space="preserve">    </w:t>
      </w:r>
      <w:r>
        <w:rPr>
          <w:b/>
        </w:rPr>
        <w:t xml:space="preserve">DOI: </w:t>
      </w:r>
      <w:hyperlink r:id="rId250">
        <w:r>
          <w:rPr>
            <w:color w:val="1155CC"/>
            <w:u w:val="single"/>
          </w:rPr>
          <w:t>10.1038/s44359-026-00195-w</w:t>
        </w:r>
      </w:hyperlink>
    </w:p>
    <w:p>
      <w:pPr>
        <w:spacing w:before="0" w:after="120"/>
      </w:pPr>
      <w:r>
        <w:rPr>
          <w:b/>
        </w:rPr>
        <w:t xml:space="preserve">Notes: </w:t>
      </w:r>
      <w:r>
        <w:t>abstract_source=nature_html</w:t>
      </w:r>
    </w:p>
    <w:p>
      <w:pPr>
        <w:spacing w:before="0" w:after="80" w:lineRule="auto" w:line="276"/>
      </w:pPr>
      <w:r>
        <w:rPr>
          <w:b/>
        </w:rPr>
        <w:t xml:space="preserve">摘要（ZH）: </w:t>
      </w:r>
      <w:r>
        <w:t>为了支持人工智能（AI）的使用而扩建能源密集型数据中心引发了人们对由此产生的温室气体排放、电网压力和淡水资源压力的担忧。在这篇评论中，我们研究了减轻人工智能日益增长的环境影响的挑战以及潜在的解决方案。硬件设计选择（例如使用回收的或旧的组件）可以通过减少隐含排放来将数据中心的总体排放量减少 10-20%。电网集成的人工智能数据中心可以通过将人工智能工作负载管理与电网运行条件结合起来，降低整个人工智能模型生命周期的排放量，在可再生能源渗透率较高的电网中，有可能减少约 10% 的碳排放。数据中心的用水量可能与二氧化碳当量排放量产生负相关，在某些情况下，减少水消耗的方法会增加碳排放量。这些权衡凸显了在设计和管理人工智能基础设施时需要平衡能源和水的使用、碳排放和社会需求的策略。</w:t>
      </w:r>
    </w:p>
    <w:p>
      <w:pPr>
        <w:spacing w:before="0" w:after="200" w:lineRule="auto" w:line="276"/>
      </w:pPr>
      <w:r>
        <w:rPr>
          <w:b/>
        </w:rPr>
        <w:t xml:space="preserve">Abstract (EN): </w:t>
      </w:r>
      <w:r>
        <w:t>The expansion of energy-intensive data centres to support the use of artificial intelligence (AI) has driven concerns about the resulting greenhouse gas emissions, pressure on power grids and stress on freshwater resources. In this Review, we examine the challenges of mitigating the growing environmental impacts of AI, and potential solutions. Hardware design choices, such as using recycled or older components, can reduce the overall emissions of data centres by 10–20% by reducing embodied emissions. Grid-integrated AI data centres can lower emissions across the AI model life cycle by aligning AI workload management with grid operating conditions, potentially reducing carbon emissions by about 10% in grids with high renewable-energy penetration. Water use by data centres can be negatively coupled with CO2-equivalent emissions, with methods of reducing water consumption increasing carbon emissions in some cases. These trade-offs highlight the need for strategies that balance energy and water usage, carbon emissions and societal needs when designing and managing AI infrastructure.</w:t>
      </w:r>
    </w:p>
    <w:p>
      <w:pPr>
        <w:spacing w:before="120" w:after="120"/>
      </w:pPr>
      <w:r>
        <w:rPr>
          <w:sz w:val="18"/>
        </w:rPr>
        <w:t>——————————————————————————————————————————————————————————————————————</w:t>
      </w:r>
    </w:p>
    <w:p>
      <w:pPr>
        <w:spacing w:before="160" w:after="40" w:line="240" w:lineRule="auto"/>
      </w:pPr>
      <w:r>
        <w:rPr>
          <w:b/>
        </w:rPr>
        <w:t xml:space="preserve">[20] </w:t>
      </w:r>
      <w:hyperlink r:id="rId110">
        <w:r>
          <w:rPr>
            <w:color w:val="1155CC"/>
            <w:u w:val="single"/>
          </w:rPr>
          <w:t>来自工业固体废物的地质聚合物电解质用于结构储能</w:t>
        </w:r>
      </w:hyperlink>
    </w:p>
    <w:p>
      <w:pPr>
        <w:spacing w:before="0" w:after="80"/>
      </w:pPr>
      <w:r>
        <w:rPr>
          <w:i/>
          <w:sz w:val="20"/>
        </w:rPr>
        <w:t>EN: Geopolymer-based electrolytes derived from industrial solid waste for structural energy storage</w:t>
      </w:r>
    </w:p>
    <w:p>
      <w:pPr>
        <w:spacing w:before="0" w:after="120"/>
      </w:pPr>
      <w:r>
        <w:rPr>
          <w:b/>
        </w:rPr>
        <w:t xml:space="preserve">Source: </w:t>
      </w:r>
      <w:r>
        <w:t>Joule</w:t>
      </w:r>
      <w:r>
        <w:t xml:space="preserve">    </w:t>
      </w:r>
      <w:r>
        <w:rPr>
          <w:b/>
        </w:rPr>
        <w:t xml:space="preserve">Pub date: </w:t>
      </w:r>
      <w:r>
        <w:t>2026-07-09 00:00:00+00:00</w:t>
      </w:r>
      <w:r>
        <w:t xml:space="preserve">    </w:t>
      </w:r>
      <w:r>
        <w:rPr>
          <w:b/>
        </w:rPr>
        <w:t xml:space="preserve">DOI: </w:t>
      </w:r>
      <w:hyperlink r:id="rId111">
        <w:r>
          <w:rPr>
            <w:color w:val="1155CC"/>
            <w:u w:val="single"/>
          </w:rPr>
          <w:t>10.1016/j.joule.2026.102547</w:t>
        </w:r>
      </w:hyperlink>
    </w:p>
    <w:p>
      <w:pPr>
        <w:spacing w:before="0" w:after="120"/>
      </w:pPr>
      <w:r>
        <w:rPr>
          <w:b/>
        </w:rPr>
        <w:t xml:space="preserve">Notes: </w:t>
      </w:r>
      <w:r>
        <w:t>abstract_source=rss_cell</w:t>
      </w:r>
    </w:p>
    <w:p>
      <w:pPr>
        <w:spacing w:before="0" w:after="80" w:lineRule="auto" w:line="276"/>
      </w:pPr>
      <w:r>
        <w:rPr>
          <w:b/>
        </w:rPr>
        <w:t xml:space="preserve">摘要（ZH）: </w:t>
      </w:r>
      <w:r>
        <w:t>将废物转化为有用的基础设施是低碳能源存储的核心。这项研究将飞灰和矿渣转化为用于锌离子砖电池的强离子导电地质聚合物电解质。通过设计有效引导离子的连通孔，该材料将机械耐久性与长期电化学性能结合起来，指向构建既能承受负载又能储存能量的组件。</w:t>
      </w:r>
    </w:p>
    <w:p>
      <w:pPr>
        <w:spacing w:before="0" w:after="200" w:lineRule="auto" w:line="276"/>
      </w:pPr>
      <w:r>
        <w:rPr>
          <w:b/>
        </w:rPr>
        <w:t xml:space="preserve">Abstract (EN): </w:t>
      </w:r>
      <w:r>
        <w:t>Turning waste into useful infrastructure is central to low-carbon energy storage. This study converts fly ash and slag into a strong, ion-conducting geopolymer electrolyte for zinc-ion brick batteries. By engineering connected pores that guide ions efficiently, the material combines mechanical durability with long-term electrochemical performance, pointing toward building components that can both bear loads and store energy.</w:t>
      </w:r>
    </w:p>
    <w:p>
      <w:pPr>
        <w:spacing w:before="120" w:after="120"/>
      </w:pPr>
      <w:r>
        <w:rPr>
          <w:sz w:val="18"/>
        </w:rPr>
        <w:t>——————————————————————————————————————————————————————————————————————</w:t>
      </w:r>
    </w:p>
    <w:p>
      <w:pPr>
        <w:spacing w:before="160" w:after="40" w:line="240" w:lineRule="auto"/>
      </w:pPr>
      <w:r>
        <w:rPr>
          <w:b/>
        </w:rPr>
        <w:t xml:space="preserve">[21] </w:t>
      </w:r>
      <w:hyperlink r:id="rId251">
        <w:r>
          <w:rPr>
            <w:color w:val="1155CC"/>
            <w:u w:val="single"/>
          </w:rPr>
          <w:t>模块化大分子设计解锁高性能二氧化硅阻垢剂</w:t>
        </w:r>
      </w:hyperlink>
    </w:p>
    <w:p>
      <w:pPr>
        <w:spacing w:before="0" w:after="80"/>
      </w:pPr>
      <w:r>
        <w:rPr>
          <w:i/>
          <w:sz w:val="20"/>
        </w:rPr>
        <w:t>EN: Modular macromolecular design unlocks high-performance silica scale inhibitors</w:t>
      </w:r>
    </w:p>
    <w:p>
      <w:pPr>
        <w:spacing w:before="0" w:after="120"/>
      </w:pPr>
      <w:r>
        <w:rPr>
          <w:b/>
        </w:rPr>
        <w:t xml:space="preserve">Source: </w:t>
      </w:r>
      <w:r>
        <w:t>Nature Chemical Engineering</w:t>
      </w:r>
      <w:r>
        <w:t xml:space="preserve">    </w:t>
      </w:r>
      <w:r>
        <w:rPr>
          <w:b/>
        </w:rPr>
        <w:t xml:space="preserve">Pub date: </w:t>
      </w:r>
      <w:r>
        <w:t>2026-07-09 00:00:00+00:00</w:t>
      </w:r>
      <w:r>
        <w:t xml:space="preserve">    </w:t>
      </w:r>
      <w:r>
        <w:rPr>
          <w:b/>
        </w:rPr>
        <w:t xml:space="preserve">DOI: </w:t>
      </w:r>
      <w:hyperlink r:id="rId252">
        <w:r>
          <w:rPr>
            <w:color w:val="1155CC"/>
            <w:u w:val="single"/>
          </w:rPr>
          <w:t>10.1038/s44286-026-00416-w</w:t>
        </w:r>
      </w:hyperlink>
    </w:p>
    <w:p>
      <w:pPr>
        <w:spacing w:before="0" w:after="120"/>
      </w:pPr>
      <w:r>
        <w:rPr>
          <w:b/>
        </w:rPr>
        <w:t xml:space="preserve">Notes: </w:t>
      </w:r>
      <w:r>
        <w:t>abstract_source=nature_html</w:t>
      </w:r>
    </w:p>
    <w:p>
      <w:pPr>
        <w:spacing w:before="0" w:after="80" w:lineRule="auto" w:line="276"/>
      </w:pPr>
      <w:r>
        <w:rPr>
          <w:b/>
        </w:rPr>
        <w:t xml:space="preserve">摘要（ZH）: </w:t>
      </w:r>
      <w:r>
        <w:t>二氧化硅结垢对工业水系统（包括热交换器、管道和膜分离）提出了长期的挑战，在这些系统中，不受控制的硅酸聚合会导致不可逆的污垢和运行下降。聚合物阻垢剂具有良好的缓解效果；然而，它们的设计仍然受到不完整的分子水平理解的限制。在这里，我们介绍了一个模块化合成平台，该平台将受控自由基聚合与聚合后改性相结合，生成具有独立可调链长、功能和构象的聚合二氧化硅抑制剂。将计算与实验相结合，我们建立了控制抑制性能的关键结构-性质关系。我们进一步确定了传统设计的一个关键限制：表现出高抑制效率的聚合物有时会聚集和自沉淀，从而损害稳定性和长期功效。在这些机制见解的指导下，我们开发了能够维持 75% 以上抑制效率且不产生沉淀的抑制剂。在冷却塔模拟器中，这些聚合物在长时间运行中保持了有效的二氧化硅控制并保持了高传热效率。这项工作为下一代聚合物阻垢剂提供了分子设计框架，推进了可持续水处理和工业基础设施中二氧化硅减排的可扩展策略。</w:t>
      </w:r>
    </w:p>
    <w:p>
      <w:pPr>
        <w:spacing w:before="0" w:after="200" w:lineRule="auto" w:line="276"/>
      </w:pPr>
      <w:r>
        <w:rPr>
          <w:b/>
        </w:rPr>
        <w:t xml:space="preserve">Abstract (EN): </w:t>
      </w:r>
      <w:r>
        <w:t>Silica scaling presents a longstanding challenge in industrial water systems, including heat exchangers, pipelines and membrane separation, where uncontrolled polymerization of silicic acid causes irreversible fouling and operational decline. Polymeric antiscalants offer promising mitigation; however, their design remains limited by incomplete molecular-level understanding. Here we introduce a modular synthetic platform that integrates controlled radical polymerization with post-polymerization modification to generate polymeric silica inhibitors with independently tunable chain length, functionality and conformation. Combining computation with experiment, we establish key structure–property relationships governing inhibition performance. We further identify a critical limitation of conventional designs: polymers displaying high inhibition efficiency sometimes aggregate and self-precipitate, compromising stability and long-term efficacy. Guided by these mechanistic insights, we develop inhibitors that sustain above 75% inhibition efficiency without precipitation. In a cooling-tower simulator, these polymers maintained effective silica control and preserved high thermal-transfer efficiency over extended operation. This work provides a molecular design framework for next-generation polymeric antiscalants, advancing scalable strategies for silica mitigation in sustainable water treatment and industrial infrastructure.</w:t>
      </w:r>
    </w:p>
    <w:p>
      <w:pPr>
        <w:spacing w:before="120" w:after="120"/>
      </w:pPr>
      <w:r>
        <w:rPr>
          <w:sz w:val="18"/>
        </w:rPr>
        <w:t>——————————————————————————————————————————————————————————————————————</w:t>
      </w:r>
    </w:p>
    <w:p>
      <w:pPr>
        <w:spacing w:before="160" w:after="40" w:line="240" w:lineRule="auto"/>
      </w:pPr>
      <w:r>
        <w:rPr>
          <w:b/>
        </w:rPr>
        <w:t xml:space="preserve">[22] </w:t>
      </w:r>
      <w:hyperlink r:id="rId253">
        <w:r>
          <w:rPr>
            <w:color w:val="1155CC"/>
            <w:u w:val="single"/>
          </w:rPr>
          <w:t>协调气候和空气质量目标需要尽早控制中国的臭氧污染</w:t>
        </w:r>
      </w:hyperlink>
    </w:p>
    <w:p>
      <w:pPr>
        <w:spacing w:before="0" w:after="80"/>
      </w:pPr>
      <w:r>
        <w:rPr>
          <w:i/>
          <w:sz w:val="20"/>
        </w:rPr>
        <w:t>EN: Aligning climate and air quality goals demands early VOC control for China’s ozone pollution</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全球表面臭氧 (O3) 因气候变化而加剧，对健康和生态系统构成越来越大的威胁。尽管有严格的空气政策，中国持续存在的臭氧污染体现了与重塑排放途径的气候行动交织在一起的全球挑战。最佳缓解仍然存在争议，主要是由于关于夏季区域 O3 形成的敏感性的结论不一致。在这里，我们展示了数十年尺度上协同清洁空气和气候行动目标实现的 O3 减排策略的路径依赖。这种路径依赖性通过观察到的中国特大城市群除风化 O3 浓度和敏感性趋势的同时稳定期（2020-2023 年）得到了验证。利用对路径依赖的这种理解，我们定量地揭示了最佳的未来策略包括优先考虑早期挥发性有机化合物的减排，因为它们对区域 O3 减排的高效性在 2050 年之前逐渐减弱。这对现行的氮氧化物优先范式提出了挑战。我们的工作重新构建了 O3 控制，为弹性空气质量气候治理提供了范例。</w:t>
      </w:r>
    </w:p>
    <w:p>
      <w:pPr>
        <w:spacing w:before="0" w:after="200" w:lineRule="auto" w:line="276"/>
      </w:pPr>
      <w:r>
        <w:rPr>
          <w:b/>
        </w:rPr>
        <w:t xml:space="preserve">Abstract (EN): </w:t>
      </w:r>
      <w:r>
        <w:t>Global surface ozone (O3), intensified by climate change, poses increasing health and ecosystem threats. Despite stringent air policies, China’s persistent O3 pollution exemplifies a global challenge intertwined with climate actions reshaping emission pathways. Optimal mitigation remains contentious, primarily due to inconsistent conclusions regarding the sensitivity of summer regional O3 formation. Here we show the path dependency in O3 mitigation strategies for synergistic clean air and climate action goal achievement over multidecade scales. This path dependence is validated by observed concurrent plateaus (2020-2023) in deweathered O3 concentrations and sensitivity trends across Chinese megacity clusters. Leveraging this understanding of path dependency, we quantitatively reveal that the optimal future strategy involves prioritizing early volatile organic compound reductions, as their high effectiveness for regional O3 mitigation gradually diminishes towards 2050. This challenges prevailing nitrogen oxides priority paradigms. Our work reframes O3 control, providing a paradigm for resilient air quality-climate governance.</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54">
        <w:r>
          <w:rPr>
            <w:color w:val="1155CC"/>
            <w:u w:val="single"/>
          </w:rPr>
          <w:t>土地与能源关系评估二氧化碳清除在净零排放途径中的贡献</w:t>
        </w:r>
      </w:hyperlink>
    </w:p>
    <w:p>
      <w:pPr>
        <w:spacing w:before="0" w:after="80"/>
      </w:pPr>
      <w:r>
        <w:rPr>
          <w:i/>
          <w:sz w:val="20"/>
        </w:rPr>
        <w:t>EN: Land–energy nexus to assess the contribution of carbon dioxide removal in net-zero emission pathways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3">
        <w:r>
          <w:rPr>
            <w:color w:val="1155CC"/>
            <w:u w:val="single"/>
          </w:rPr>
          <w:t>原位和操作研究作为氧化还原液流电池、氧化还原靶向和CO 2 捕获系统的机械工具箱：进展和前景</w:t>
        </w:r>
      </w:hyperlink>
    </w:p>
    <w:p>
      <w:pPr>
        <w:spacing w:before="0" w:after="80"/>
      </w:pPr>
      <w:r>
        <w:rPr>
          <w:i/>
          <w:sz w:val="20"/>
        </w:rPr>
        <w:t>EN: In Situ and Operando Studies as Mechanistic Toolbox for Redox Flow Batteries, Redox Targeting, and CO 2 Capture Systems: Progress and Perspective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134">
        <w:r>
          <w:rPr>
            <w:color w:val="1155CC"/>
            <w:u w:val="single"/>
          </w:rPr>
          <w:t>10.1021/jacs.6c08499</w:t>
        </w:r>
      </w:hyperlink>
    </w:p>
    <w:p>
      <w:pPr>
        <w:spacing w:before="0" w:after="120"/>
      </w:pPr>
      <w:r>
        <w:rPr>
          <w:b/>
        </w:rPr>
        <w:t xml:space="preserve">Notes: </w:t>
      </w:r>
      <w:r>
        <w:t>abstract_source=pubmed</w:t>
      </w:r>
    </w:p>
    <w:p>
      <w:pPr>
        <w:spacing w:before="0" w:after="80" w:lineRule="auto" w:line="276"/>
      </w:pPr>
      <w:r>
        <w:rPr>
          <w:b/>
        </w:rPr>
        <w:t xml:space="preserve">摘要（ZH）: </w:t>
      </w:r>
      <w:r>
        <w:t>随着可再生能源部署的加速，安全且可扩展的长期储能（LDES）变得越来越重要。氧化还原液流电池 (RFB) 具有固有的不可燃性和解耦的能量-功率架构，但数小时的运行和数十年的使用寿命需要精确的状态解析诊断。对于有机氧化还原活性物质和新兴架构（例如氧化还原靶向液流电池和电化学二氧化碳捕获系统）来说，这些挑战更加严峻。这一观点强调了原位和操作光谱和电化学工具的最新进展，包括紫外可见近红外、核磁共振/电子顺磁共振、振动光谱、X射线技术、荧光显微镜、中子成像、超微电极和SECM，可解决电解质形态、瞬态中间体、聚集和界面动力学。这些方法为合理的电解质设计和下一代 RFB 开发建立了机械框架。</w:t>
      </w:r>
    </w:p>
    <w:p>
      <w:pPr>
        <w:spacing w:before="0" w:after="200" w:lineRule="auto" w:line="276"/>
      </w:pPr>
      <w:r>
        <w:rPr>
          <w:b/>
        </w:rPr>
        <w:t xml:space="preserve">Abstract (EN): </w:t>
      </w:r>
      <w:r>
        <w:t>As renewable energy deployment accelerates, safe and scalable long-duration energy storage (LDES) becomes increasingly critical. Redox flow batteries (RFBs) offer intrinsic nonflammability and decoupled energy-power architectures, yet multihour operation and multidecade lifetimes demand precise and state-resolved diagnostics. These challenges are intensified for organic redox-active species and emerging architectures such as redox-targeting flow batteries and electrochemical CO2 capture systems. This perspective highlights recent advances in in situ and operando spectroscopic and electrochemical tools, including UV-vis-NIR, NMR/EPR, vibrational spectroscopy, X-ray technique, fluorescence microscopy, neutron imaging, ultramicroelectrodes, and SECM, that resolve electrolyte speciation, transient intermediates, aggregation, and interfacial kinetics. These methodologies establish a mechanistic framework for rational electrolyte design and next-generation RFB development.</w:t>
      </w:r>
    </w:p>
    <w:p>
      <w:pPr>
        <w:spacing w:before="120" w:after="120"/>
      </w:pPr>
      <w:r>
        <w:rPr>
          <w:sz w:val="18"/>
        </w:rPr>
        <w:t>——————————————————————————————————————————————————————————————————————</w:t>
      </w:r>
    </w:p>
    <w:p>
      <w:pPr>
        <w:spacing w:before="160" w:after="40" w:line="240" w:lineRule="auto"/>
      </w:pPr>
      <w:r>
        <w:rPr>
          <w:b/>
        </w:rPr>
        <w:t xml:space="preserve">[3] </w:t>
      </w:r>
      <w:hyperlink r:id="rId255">
        <w:r>
          <w:rPr>
            <w:color w:val="1155CC"/>
            <w:u w:val="single"/>
          </w:rPr>
          <w:t>二维单晶共价有机框架光催化剂中的异常多步电荷转移</w:t>
        </w:r>
      </w:hyperlink>
    </w:p>
    <w:p>
      <w:pPr>
        <w:spacing w:before="0" w:after="80"/>
      </w:pPr>
      <w:r>
        <w:rPr>
          <w:i/>
          <w:sz w:val="20"/>
        </w:rPr>
        <w:t>EN: Abnormal Multistep Charge Transfer in a 2D Single-Crystalline Covalent Organic Framework Photocatalyst</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256">
        <w:r>
          <w:rPr>
            <w:color w:val="1155CC"/>
            <w:u w:val="single"/>
          </w:rPr>
          <w:t>10.1021/jacs.6c08611</w:t>
        </w:r>
      </w:hyperlink>
    </w:p>
    <w:p>
      <w:pPr>
        <w:spacing w:before="0" w:after="120"/>
      </w:pPr>
      <w:r>
        <w:rPr>
          <w:b/>
        </w:rPr>
        <w:t xml:space="preserve">Notes: </w:t>
      </w:r>
      <w:r>
        <w:t>abstract_source=pubmed</w:t>
      </w:r>
    </w:p>
    <w:p>
      <w:pPr>
        <w:spacing w:before="0" w:after="80" w:lineRule="auto" w:line="276"/>
      </w:pPr>
      <w:r>
        <w:rPr>
          <w:b/>
        </w:rPr>
        <w:t xml:space="preserve">摘要（ZH）: </w:t>
      </w:r>
      <w:r>
        <w:t>复制自然光合作用的多光子和多电子氧化还原化学仍然是人工光催化的一个挑战。在此，在二维单晶共价有机骨架（COF）（即USTB-35-Cu）中发现了异常的多步电荷转移。连续旋转电子衍射与理论模拟相结合解析了晶体结构，其中包含交错堆积的亚胺连接的 5,10,15,20-四（4-氨基苯基）卟啉铜（II）（CuTAP）和含四醛的苝二酰亚胺（TFPDI）层。在获得光诱导供体-受体（D-A）电荷分离态后，激发的TFPDI阴离子自由基（A•-）依次将光生电子转移到周围的卟啉部分（D）。 TFPDI 阳离子自由基 (A•+) 是由于快速电荷离域而形成的，导致水氢键重排，从而实现有效的质子耦合电子转移。因此，CuTAP阴离子自由基能够实现八电子CO2光还原，实现了188 μmol g-1 h-1的显着CH4产率和99%的选择性。这项工作从热力学和动力学角度展示了单晶 COF 将多步电荷转移与多电子 CO2 光还原耦合的能力。</w:t>
      </w:r>
    </w:p>
    <w:p>
      <w:pPr>
        <w:spacing w:before="0" w:after="200" w:lineRule="auto" w:line="276"/>
      </w:pPr>
      <w:r>
        <w:rPr>
          <w:b/>
        </w:rPr>
        <w:t xml:space="preserve">Abstract (EN): </w:t>
      </w:r>
      <w:r>
        <w:t>Replicating the multiphoton and multielectron redox chemistry of natural photosynthesis remains a challenge for artificial photocatalysis. Herein, abnormal multistep charge transfer is discovered in a two-dimensional single-crystalline covalent organic framework (COF), namely USTB-35-Cu. Continuous rotation electron diffraction coupled with theoretical simulation resolves the crystal structure, containing imine-linked 5,10,15,20-tetrakis(4-aminophenyl)porphyrinato copper(II) (CuTAP) and tetraaldehyde-containing perylenediimide (TFPDI) layers in a staggered packing. After obtaining photoinduced donor-acceptor (D-A) charge-separated states, excited TFPDI anion radicals (A•-) sequentially transfer photogenerated electrons to the surrounding porphyrin moieties (D). The TFPDI cation radicals (A•+) are formed due to fast charge delocalization, leading to the rearrangement of water hydrogen bonding for efficient proton-coupled electron transfer. Therefore, the CuTAP anion radicals enable eight-electron CO2 photoreduction, achieving a remarkable CH4 production rate of 188 μmol g-1 h-1 with a 99% selectivity. This work demonstrates the capability of single-crystalline COFs for coupling multistep charge transfer with multielectron CO2 photoreduction from both thermodynamic and kinetic perspectives.</w:t>
      </w:r>
    </w:p>
    <w:p>
      <w:pPr>
        <w:spacing w:before="120" w:after="120"/>
      </w:pPr>
      <w:r>
        <w:rPr>
          <w:sz w:val="18"/>
        </w:rPr>
        <w:t>——————————————————————————————————————————————————————————————————————</w:t>
      </w:r>
    </w:p>
    <w:p>
      <w:pPr>
        <w:spacing w:before="160" w:after="40" w:line="240" w:lineRule="auto"/>
      </w:pPr>
      <w:r>
        <w:rPr>
          <w:b/>
        </w:rPr>
        <w:t xml:space="preserve">[4] </w:t>
      </w:r>
      <w:hyperlink r:id="rId257">
        <w:r>
          <w:rPr>
            <w:color w:val="1155CC"/>
            <w:u w:val="single"/>
          </w:rPr>
          <w:t>坚固的碳覆盖层作为氢溢出高速公路和共结合屏障增强了反向水-气转移</w:t>
        </w:r>
      </w:hyperlink>
    </w:p>
    <w:p>
      <w:pPr>
        <w:spacing w:before="0" w:after="80"/>
      </w:pPr>
      <w:r>
        <w:rPr>
          <w:i/>
          <w:sz w:val="20"/>
        </w:rPr>
        <w:t>EN: A Robust Carbon Overlayer as Hydrogen Spillover Highway and CO-Binding Barrier Enhances Reverse Water–Gas Shift</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258">
        <w:r>
          <w:rPr>
            <w:color w:val="1155CC"/>
            <w:u w:val="single"/>
          </w:rPr>
          <w:t>10.1021/jacs.6c08703</w:t>
        </w:r>
      </w:hyperlink>
    </w:p>
    <w:p>
      <w:pPr>
        <w:spacing w:before="0" w:after="120"/>
      </w:pPr>
      <w:r>
        <w:rPr>
          <w:b/>
        </w:rPr>
        <w:t xml:space="preserve">Notes: </w:t>
      </w:r>
      <w:r>
        <w:t>abstract_source=pubmed</w:t>
      </w:r>
    </w:p>
    <w:p>
      <w:pPr>
        <w:spacing w:before="0" w:after="80" w:lineRule="auto" w:line="276"/>
      </w:pPr>
      <w:r>
        <w:rPr>
          <w:b/>
        </w:rPr>
        <w:t xml:space="preserve">摘要（ZH）: </w:t>
      </w:r>
      <w:r>
        <w:t>通过逆水煤气变换（RWGS）反应将二氧化碳选择性加氢为二氧化碳是大规模碳减排的关键途径，但由于缺乏高效且可扩展的催化剂，该路线仍然受到阻碍。在这里，我们报告了通过封装在原位创建的坚固碳层中来构建高性能 Ni/TiO2 催化剂，以提高 CO2 转化率和 CO 选择性。机理研究表明，该催化剂遵循氧空位介导的氧化还原途径，可在时空上解耦 CO2 和 H2 的活化，从而提供了一种直接的途径来减轻 RWGS 催化中固有的活性-选择性权衡。碳覆盖层的氢扩散势垒比裸露的 TiO2 表面低得多，可作为氢溢出高速公路，在 TiO2 上产生丰富的远端氧空位，从而驱动有效的 CO2 解离。在通过形成的表面 Ni-C 物质确保有效的 H2 活化的同时，碳覆盖层通过阻止电荷转移来抑制 CO 在 Ni 上的吸附，从而抑制甲烷化和 CO 歧化等不良副反应。这种双重功能使碳包覆的 Ni/TiO2 催化剂能够在工业相关条件下维持平衡 CO2 转化，且 CO 选择性接近 100%，持续时间超过 500 小时，优于大多数先前开发的催化剂。装饰经济有效的碳层以进行几何和电子调谐，为新型加氢催化剂的设计提供了一条有前途的途径。</w:t>
      </w:r>
    </w:p>
    <w:p>
      <w:pPr>
        <w:spacing w:before="0" w:after="200" w:lineRule="auto" w:line="276"/>
      </w:pPr>
      <w:r>
        <w:rPr>
          <w:b/>
        </w:rPr>
        <w:t xml:space="preserve">Abstract (EN): </w:t>
      </w:r>
      <w:r>
        <w:t>Selective CO2 hydrogenation into CO via the reverse water-gas shift (RWGS) reaction is a pivotal route for large-scale carbon abatement, yet it remains hindered by the scarcity of efficient and scalable catalysts. Here, we report the construction of a high-performance Ni/TiO2 catalyst by encapsulating in an in situ-created, robust carbon layer for boosting CO2 conversion and CO selectivity. Mechanistic studies reveal that this catalyst follows an oxygen-vacancy-mediated redox pathway that spatiotemporally decouples CO2 and H2 activation, thereby offering a straightforward route to mitigate the activity-selectivity trade-off inherent in RWGS catalysis. The carbon overlayer, featuring a substantially lower hydrogen diffusion barrier than the bare TiO2 surface, serves as a hydrogen spillover highway that generates abundant and distal oxygen vacancies on TiO2, thereby driving efficient CO2 dissociation. While ensuring effective H2 activation through the formed surface Ni-C species, the carbon overlayer suppresses CO adsorption on Ni by blocking charge transfer, thus inhibiting the undesirable side reactions of methanation and CO disproportionation. This dual functionality enables the carbon-coated Ni/TiO2 catalyst to sustain equilibrium CO2 conversion with a near-100% CO selectivity for over 500 h under industrially relevant conditions, outperforming the majority of previously developed catalysts. Decorating an economical and effective carbon layer for geometric and electronic tuning provides a promising avenue for the design of novel hydrogenation catalysts.</w:t>
      </w:r>
    </w:p>
    <w:p>
      <w:pPr>
        <w:spacing w:before="120" w:after="120"/>
      </w:pPr>
      <w:r>
        <w:rPr>
          <w:sz w:val="18"/>
        </w:rPr>
        <w:t>——————————————————————————————————————————————————————————————————————</w:t>
      </w:r>
    </w:p>
    <w:p>
      <w:pPr>
        <w:spacing w:before="160" w:after="40" w:line="240" w:lineRule="auto"/>
      </w:pPr>
      <w:r>
        <w:rPr>
          <w:b/>
        </w:rPr>
        <w:t xml:space="preserve">[5] </w:t>
      </w:r>
      <w:hyperlink r:id="rId259">
        <w:r>
          <w:rPr>
            <w:color w:val="1155CC"/>
            <w:u w:val="single"/>
          </w:rPr>
          <w:t>阳离子碳纳米管调节表面场，用于水性有机阳离子还原一般酸性二氧化碳</w:t>
        </w:r>
      </w:hyperlink>
    </w:p>
    <w:p>
      <w:pPr>
        <w:spacing w:before="0" w:after="80"/>
      </w:pPr>
      <w:r>
        <w:rPr>
          <w:i/>
          <w:sz w:val="20"/>
        </w:rPr>
        <w:t>EN: Cationic carbon nanotube modulates surface fields for general acidic CO2 reduction with aqueous organic cations</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中性或碱性介质中碳酸（氢）盐的形成严重限制了电化学二氧化碳还原反应（CO2RR）的碳和能量效率。用于抑制酸性 CO2RR 过程中析氢反应 (HER) 的碱金属阳离子和聚合物涂层通常会加剧盐沉淀或增加电池电阻率。在此，我们报告了阳离子碳纳米管 (CCNT) 作为通用添加剂，可在强酸中实现高效的 CO2RR。使用铋、银和氧化铜催化剂，我们在 pH≤1 电解液中对 HCOOH、CO 和 C2H4 的法拉第效率 (FE) 分别达到 95%、100% 和 67%。值得注意的是，虽然有机阳离子通常存在较差的质子屏蔽和较差的选择性，但 CCNT 添加剂使其能够用作选择性酸性 CO2RR 的电解质。它们较高的溶解度可以提高浓度，从而提高稳定性和能源效率。量子力学揭示，CCNT 与金属催化剂物理混合会改变电解质/电极界面处的电场分布，通过抑制水合氢离子迁移同时促进 CO2RR 来阻碍 HER。这些发现凸显了 CCNT 作为通用且有效的添加剂，可促进酸性 CO2RR 的发展，并提高选择性、碳效率、能源效率和稳定性。</w:t>
      </w:r>
    </w:p>
    <w:p>
      <w:pPr>
        <w:spacing w:before="0" w:after="200" w:lineRule="auto" w:line="276"/>
      </w:pPr>
      <w:r>
        <w:rPr>
          <w:b/>
        </w:rPr>
        <w:t xml:space="preserve">Abstract (EN): </w:t>
      </w:r>
      <w:r>
        <w:t>The (bi)carbonate formation in neutral or alkaline media severely limits the carbon and energy efficiency of electrochemical CO2 reduction reaction (CO2RR). Alkali metal cations and polymer coatings employed to inhibit hydrogen evolution reaction (HER) during acidic CO2RR often exacerbate salt precipitation or increase cell resistivity. Here we report cationic carbon nanotubes (CCNTs) as universal additives enabling efficient CO2RR in strong acids. Using bismuth, silver, and copper oxide catalysts, we attain Faradaic efficiency (FE) of 95%, 100%, and 67% for HCOOH, CO, and C2H4 in pH≤1 electrolyte. Notably, while organic cations typically suffer from poor proton shielding and inferior selectivity, CCNT additives enable their use as electrolytes for selective acidic CO2RR. Their higher solubility permits elevated concentrations, improving stability and energy efficiency. Quantum Mechanics reveals that CCNTs physically mixed with metal catalysts alter the distribution of electric field at the electrolyte/electrode interfaces, impeding HER by suppressing hydronium ions migration while promoting CO2RR. These findings highlight CCNTs as versatile and effective additives for advancing acidic CO2RR with improved selectivity, carbon efficiency, energy efficiency, and stability.</w:t>
      </w:r>
    </w:p>
    <w:p>
      <w:pPr>
        <w:spacing w:before="120" w:after="120"/>
      </w:pPr>
      <w:r>
        <w:rPr>
          <w:sz w:val="18"/>
        </w:rPr>
        <w:t>——————————————————————————————————————————————————————————————————————</w:t>
      </w:r>
    </w:p>
    <w:p>
      <w:pPr>
        <w:spacing w:before="160" w:after="40" w:line="240" w:lineRule="auto"/>
      </w:pPr>
      <w:r>
        <w:rPr>
          <w:b/>
        </w:rPr>
        <w:t xml:space="preserve">[6] </w:t>
      </w:r>
      <w:hyperlink r:id="rId260">
        <w:r>
          <w:rPr>
            <w:color w:val="1155CC"/>
            <w:u w:val="single"/>
          </w:rPr>
          <w:t>氢键网络破坏可以有效地直接反应捕获烟气中的二氧化碳</w:t>
        </w:r>
      </w:hyperlink>
    </w:p>
    <w:p>
      <w:pPr>
        <w:spacing w:before="0" w:after="80"/>
      </w:pPr>
      <w:r>
        <w:rPr>
          <w:i/>
          <w:sz w:val="20"/>
        </w:rPr>
        <w:t>EN: Hydrogen bond network disruption enables efficient direct reactive capture of CO2 from flue gas</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电化学二氧化碳转化为脱碳燃料提供了直接途径，但其在工业烟气中的部署仍然受到二氧化碳含量低、氧气含量高以及由此产生的寄生氧还原的阻碍。二元溶剂电解质提供了在这种稀薄且富含杂质的条件下调节局部反应环境的杠杆。在这里，我们展示了一种直接反应捕获（DRC）策略，该策略可在中等压力下将稀流中的二氧化碳转化为有机电解质中的二氧化碳，其法拉第效率接近定量。我们将氢键供给能力（HBD）确定为控制竞争性析氢和氧还原反应的决定性参数。采用低 HBD 电解质会破坏氢键网络，抑制竞争反应，并在 O2 存在的情况下即使在 1% CO2 的情况下也能实现选择性 CO2 转化。当供给 15% CO2 和 8% O2 与 N2 平衡时，优化的系统可维持超过 100 小时的运行，能耗为 30.7 GJ ton−1 CO，并实现约 5.5% 的太阳能燃料效率。这种耐杂质策略解决了工业二氧化碳电解的一个关键障碍，并建立了一条直接从烟气生产太阳能驱动燃料的可扩展路线。</w:t>
      </w:r>
    </w:p>
    <w:p>
      <w:pPr>
        <w:spacing w:before="0" w:after="200" w:lineRule="auto" w:line="276"/>
      </w:pPr>
      <w:r>
        <w:rPr>
          <w:b/>
        </w:rPr>
        <w:t xml:space="preserve">Abstract (EN): </w:t>
      </w:r>
      <w:r>
        <w:t>Electrochemical CO2 conversion offers a direct route to decarbonized fuels, but its deployment on industrial flue gas remains hindered by the low CO2 content, high O2 levels, and the resulting parasitic oxygen reduction. Binary solvent electrolytes offer a lever to tune the local reaction environment under such dilute and impurity-rich conditions. Here we show a direct reactive capture (DRC) strategy that converts CO2 from dilute streams into CO with near-quantitative Faradaic efficiency in organic electrolytes under moderate pressure. We identify hydrogen-bond donation ability (HBD) as a decisive parameter governing competing hydrogen evolution and oxygen reduction reactions. Employing low-HBD electrolytes disrupts the hydrogen-bond network, suppresses competing reactions, and enables selective CO2 conversion even at 1% CO2 in the presence of O2. When fed with 15% CO2 and 8% O2 balanced with N2, the optimized system sustains &gt;100 h operation with an energy consumption of 30.7 GJ ton−1 CO, and achieves a solar-to-fuel efficiency of ~5.5%. This impurity-tolerant strategy addresses a key barrier for industrial CO2 electrolysis and establishes a scalable route to solar-driven fuel production directly from flue gas.</w:t>
      </w:r>
    </w:p>
    <w:p>
      <w:pPr>
        <w:spacing w:before="120" w:after="120"/>
      </w:pPr>
      <w:r>
        <w:rPr>
          <w:sz w:val="18"/>
        </w:rPr>
        <w:t>——————————————————————————————————————————————————————————————————————</w:t>
      </w:r>
    </w:p>
    <w:p>
      <w:pPr>
        <w:spacing w:before="160" w:after="40" w:line="240" w:lineRule="auto"/>
      </w:pPr>
      <w:r>
        <w:rPr>
          <w:b/>
        </w:rPr>
        <w:t xml:space="preserve">[7] </w:t>
      </w:r>
      <w:hyperlink r:id="rId261">
        <w:r>
          <w:rPr>
            <w:color w:val="1155CC"/>
            <w:u w:val="single"/>
          </w:rPr>
          <w:t>I 类产甲烷菌中 8 MDa Hdr–Vhu–Fwd 超级组装的结构</w:t>
        </w:r>
      </w:hyperlink>
    </w:p>
    <w:p>
      <w:pPr>
        <w:spacing w:before="0" w:after="80"/>
      </w:pPr>
      <w:r>
        <w:rPr>
          <w:i/>
          <w:sz w:val="20"/>
        </w:rPr>
        <w:t>EN: Architecture of the 8 MDa Hdr–Vhu–Fwd super-assembly in class I methanogens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262">
        <w:r>
          <w:rPr>
            <w:color w:val="1155CC"/>
            <w:u w:val="single"/>
          </w:rPr>
          <w:t>10.1038/s41586-026-10744-9</w:t>
        </w:r>
      </w:hyperlink>
    </w:p>
    <w:p>
      <w:pPr>
        <w:spacing w:before="0" w:after="120"/>
      </w:pPr>
      <w:r>
        <w:rPr>
          <w:b/>
        </w:rPr>
        <w:t xml:space="preserve">Notes: </w:t>
      </w:r>
      <w:r>
        <w:t>abstract_source=nature_html</w:t>
      </w:r>
    </w:p>
    <w:p>
      <w:pPr>
        <w:spacing w:before="0" w:after="80" w:lineRule="auto" w:line="276"/>
      </w:pPr>
      <w:r>
        <w:rPr>
          <w:b/>
        </w:rPr>
        <w:t xml:space="preserve">摘要（ZH）: </w:t>
      </w:r>
      <w:r>
        <w:t>产甲烷菌是全球碳循环的核心，也是甲烷（一种强效温室气体）的最大生物来源之一。它们能量代谢的核心是 Hdr–Vhu–Fwd 超级组件，它通过基于黄素的电子分叉将 H2 氧化与 CO2 还原耦合起来。在这里，我们展示了来自马里帕鲁迪斯甲烷球菌的 Hdr-Vhu-Fwd 超组装体的低温电子显微镜结构，揭示了一个包含 252 条多肽链和 600 多个氧化还原辅因子的 8 MDa 复合物。冷冻电子断层扫描进一步支持这种超级组装在完整细胞的细胞质内形成完整的结构。该结构由两个六聚体 HdrABC-Vhu 环组成，通过四聚体 FwdF 核心连接，形成连续的圆形电子链。在这种独特的排列中，12个多聚铁氧还蛋白亚基（VhuB）连接Vhu-Hdr和Fwd复合物，从而将电子分叉与CO2还原耦合起来，并直接连接产甲烷的最后一步和第一步。此外，我们还确定了该复合物的模块化变体，其中[NiFe]-氢化酶Vhu被含钨甲酸脱氢酶（FdhAB）取代，这表明电子输入模块的灵活整合有利于不同环境条件下的代谢适应2。分类分布分析表明，这种结构是 I 类产甲烷菌特有的，与 II3 类较小的 Hdr-Fmd 复合体不同。总之，我们的研究揭示了 Hdr-Vhu-Fwd 超级组件具有模块化且适应性强的生物能组件，这表明</w:t>
      </w:r>
    </w:p>
    <w:p>
      <w:pPr>
        <w:spacing w:before="0" w:after="200" w:lineRule="auto" w:line="276"/>
      </w:pPr>
      <w:r>
        <w:rPr>
          <w:b/>
        </w:rPr>
        <w:t xml:space="preserve">Abstract (EN): </w:t>
      </w:r>
      <w:r>
        <w:t>Methanogens are central to global carbon cycling and among the largest biological sources of methane, a potent greenhouse gas1. At the heart of their energy metabolism lies the Hdr–Vhu–Fwd super-assembly, which couples H2 oxidation with CO2 reduction through flavin-based electron bifurcation. Here we present the cryogenic electron microscopy structure of the Hdr–Vhu–Fwd super-assembly from Methanococcus maripaludis, revealing an 8 MDa complex comprising 252 polypeptide chains and over 600 redox cofactors. Cryo-electron tomography further support that this super-assembly forms an intact structure within the cytoplasm of intact cells. This architecture comprises two hexameric HdrABC–Vhu rings linked by a tetrameric FwdF core, forming a continuous, circular electron chain. In this unique arrangement, 12 polyferredoxin subunits (VhuB) connect the Vhu–Hdr and Fwd complexes, thereby coupling electron bifurcation with CO2 reduction and directly linking the last and the first step of methanogenesis. Moreover, we identify a modular variant of the complex in which the [NiFe]-hydrogenase Vhu is substituted by tungsten-containing formate dehydrogenase (FdhAB), indicating flexible integration of electron-input modules facilitating metabolic adaptation under diverse environmental conditions2. Analysis of the taxonomic distribution reveals that this architecture is specific to class I methanogens and is distinct from the smaller Hdr–Fmd complex of class II3. Together, our study reveals that the the Hdr–Vhu–Fwd super-assembly has a modular and adaptable bioenergetic assembly, suggesting a lineage-specific architecture to adapt to diverse anaerobic niches.</w:t>
      </w:r>
    </w:p>
    <w:p>
      <w:pPr>
        <w:spacing w:before="120" w:after="120"/>
      </w:pPr>
      <w:r>
        <w:rPr>
          <w:sz w:val="18"/>
        </w:rPr>
        <w:t>——————————————————————————————————————————————————————————————————————</w:t>
      </w:r>
    </w:p>
    <w:p>
      <w:pPr>
        <w:spacing w:before="160" w:after="40" w:line="240" w:lineRule="auto"/>
      </w:pPr>
      <w:r>
        <w:rPr>
          <w:b/>
        </w:rPr>
        <w:t xml:space="preserve">[8] </w:t>
      </w:r>
      <w:hyperlink r:id="rId263">
        <w:r>
          <w:rPr>
            <w:color w:val="1155CC"/>
            <w:u w:val="single"/>
          </w:rPr>
          <w:t>钢铁和煤炭废物的电化学CO 2 矿化和H 2 生成</w:t>
        </w:r>
      </w:hyperlink>
    </w:p>
    <w:p>
      <w:pPr>
        <w:spacing w:before="0" w:after="80"/>
      </w:pPr>
      <w:r>
        <w:rPr>
          <w:i/>
          <w:sz w:val="20"/>
        </w:rPr>
        <w:t>EN: Electrochemical CO 2 Mineralization and H 2 Generation from Steel and Coal Waste</w:t>
      </w:r>
    </w:p>
    <w:p>
      <w:pPr>
        <w:spacing w:before="0" w:after="120"/>
      </w:pPr>
      <w:r>
        <w:rPr>
          <w:b/>
        </w:rPr>
        <w:t xml:space="preserve">Source: </w:t>
      </w:r>
      <w:r>
        <w:t>ACS Energy Letters: Latest Articles (ACS Publications)</w:t>
      </w:r>
      <w:r>
        <w:t xml:space="preserve">    </w:t>
      </w:r>
      <w:r>
        <w:rPr>
          <w:b/>
        </w:rPr>
        <w:t xml:space="preserve">Pub date: </w:t>
      </w:r>
      <w:r>
        <w:t>2026-07-08 00:00:00+00:00</w:t>
      </w:r>
      <w:r>
        <w:t xml:space="preserve">    </w:t>
      </w:r>
      <w:r>
        <w:rPr>
          <w:b/>
        </w:rPr>
        <w:t xml:space="preserve">DOI: </w:t>
      </w:r>
      <w:hyperlink r:id="rId264">
        <w:r>
          <w:rPr>
            <w:color w:val="1155CC"/>
            <w:u w:val="single"/>
          </w:rPr>
          <w:t>10.1021/acsenergylett.6c01395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65">
        <w:r>
          <w:rPr>
            <w:color w:val="1155CC"/>
            <w:u w:val="single"/>
          </w:rPr>
          <w:t>CCUS 供应链的多目标优化：桥接经济、环境和安全绩效</w:t>
        </w:r>
      </w:hyperlink>
    </w:p>
    <w:p>
      <w:pPr>
        <w:spacing w:before="0" w:after="80"/>
      </w:pPr>
      <w:r>
        <w:rPr>
          <w:i/>
          <w:sz w:val="20"/>
        </w:rPr>
        <w:t>EN: Multi-objective optimisation of CCUS supply chains: Bridging economic, environmental, and safety performance</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66">
        <w:r>
          <w:rPr>
            <w:color w:val="1155CC"/>
            <w:u w:val="single"/>
          </w:rPr>
          <w:t>零间隙CO 2 电解槽中的挤压气体扩散电极─够了</w:t>
        </w:r>
      </w:hyperlink>
    </w:p>
    <w:p>
      <w:pPr>
        <w:spacing w:before="0" w:after="80"/>
      </w:pPr>
      <w:r>
        <w:rPr>
          <w:i/>
          <w:sz w:val="20"/>
        </w:rPr>
        <w:t>EN: Squeezing Gas Diffusion Electrodes in Zero-Gap CO 2 Electrolyzers─Enough Is Enough</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267">
        <w:r>
          <w:rPr>
            <w:color w:val="1155CC"/>
            <w:u w:val="single"/>
          </w:rPr>
          <w:t>10.1021/acsami.6c07060</w:t>
        </w:r>
      </w:hyperlink>
    </w:p>
    <w:p>
      <w:pPr>
        <w:spacing w:before="0" w:after="120"/>
      </w:pPr>
      <w:r>
        <w:rPr>
          <w:b/>
        </w:rPr>
        <w:t xml:space="preserve">Notes: </w:t>
      </w:r>
      <w:r>
        <w:t>abstract_source=pubmed</w:t>
      </w:r>
    </w:p>
    <w:p>
      <w:pPr>
        <w:spacing w:before="0" w:after="80" w:lineRule="auto" w:line="276"/>
      </w:pPr>
      <w:r>
        <w:rPr>
          <w:b/>
        </w:rPr>
        <w:t xml:space="preserve">摘要（ZH）: </w:t>
      </w:r>
      <w:r>
        <w:t>最近的科学进展表明，二氧化碳电化学还原为一氧化碳 (CO2RR) 正在接近工业可行性。除了科学成就之外，技术规模化还需要充分了解如何使用某些电池组件来实现长期最佳性能，以及更大尺寸带来的其他挑战。在这里，我们使用三种根本不同的碳基阴极支架，详细研究了改变阴极气体扩散电极的压缩比如何影响电化学性能。电化学阻抗谱和显微断层扫描测量用于解释观察到的电解性能变化，同时阴极逐渐压缩至原始厚度的 40% 以下。最佳压缩范围取决于气体扩散层的特性。值得注意的是，对于厚的 ELAT1400W 气体扩散层，发现了超过 100 μm 宽的最佳压缩范围（即压缩至其原始厚度的 60-85%），这在 100 小时长的实验中得到了进一步证实。</w:t>
      </w:r>
    </w:p>
    <w:p>
      <w:pPr>
        <w:spacing w:before="0" w:after="200" w:lineRule="auto" w:line="276"/>
      </w:pPr>
      <w:r>
        <w:rPr>
          <w:b/>
        </w:rPr>
        <w:t xml:space="preserve">Abstract (EN): </w:t>
      </w:r>
      <w:r>
        <w:t>Recent scientific advancements indicate that the electrochemical reduction of carbon dioxide to carbon monoxide (CO2RR) is approaching industrial viability. Beyond scientific achievements, technology scale-up requires a full understanding of how certain cell components are to be used for long-term optimal performance and of what other challenges are posed by the larger sizes. Here, we investigated in detail how varying the compression ratio of the cathode gas diffusion electrode affects the electrochemical performance, using three fundamentally different carbon-based cathode supports. Electrochemical impedance spectroscopy and microtomography measurements are presented to explain the observed changes in the electrolysis performance, while the cathodes were gradually compressed to below 40% of their original thickness. The optimal compression range depends on the properties of the gas diffusion layer. Notably, a more than 100 μm wide optimal compression range is found for the thick ELAT1400W gas diffusion layer (i.e., a compression to 60-85% of its original thickness), which is further confirmed in 100-h-long experiments.</w:t>
      </w:r>
    </w:p>
    <w:p>
      <w:pPr>
        <w:spacing w:before="120" w:after="120"/>
      </w:pPr>
      <w:r>
        <w:rPr>
          <w:sz w:val="18"/>
        </w:rPr>
        <w:t>——————————————————————————————————————————————————————————————————————</w:t>
      </w:r>
    </w:p>
    <w:p>
      <w:pPr>
        <w:spacing w:before="160" w:after="40" w:line="240" w:lineRule="auto"/>
      </w:pPr>
      <w:r>
        <w:rPr>
          <w:b/>
        </w:rPr>
        <w:t xml:space="preserve">[11] </w:t>
      </w:r>
      <w:hyperlink r:id="rId268">
        <w:r>
          <w:rPr>
            <w:color w:val="1155CC"/>
            <w:u w:val="single"/>
          </w:rPr>
          <w:t>A520 MOF 膜中活化控制的结构完整性可实现高效 CO 2 /N 2 和 CO 2 /CH 4 分离</w:t>
        </w:r>
      </w:hyperlink>
    </w:p>
    <w:p>
      <w:pPr>
        <w:spacing w:before="0" w:after="80"/>
      </w:pPr>
      <w:r>
        <w:rPr>
          <w:i/>
          <w:sz w:val="20"/>
        </w:rPr>
        <w:t>EN: Activation-Controlled Structural Integrity in A520 MOF Membranes for Efficient CO 2 /N 2 and CO 2 /CH 4 Separation</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269">
        <w:r>
          <w:rPr>
            <w:color w:val="1155CC"/>
            <w:u w:val="single"/>
          </w:rPr>
          <w:t>10.1021/acsami.6c09893</w:t>
        </w:r>
      </w:hyperlink>
    </w:p>
    <w:p>
      <w:pPr>
        <w:spacing w:before="0" w:after="120"/>
      </w:pPr>
      <w:r>
        <w:rPr>
          <w:b/>
        </w:rPr>
        <w:t xml:space="preserve">Notes: </w:t>
      </w:r>
      <w:r>
        <w:t>abstract_source=pubmed</w:t>
      </w:r>
    </w:p>
    <w:p>
      <w:pPr>
        <w:spacing w:before="0" w:after="80" w:lineRule="auto" w:line="276"/>
      </w:pPr>
      <w:r>
        <w:rPr>
          <w:b/>
        </w:rPr>
        <w:t xml:space="preserve">摘要（ZH）: </w:t>
      </w:r>
      <w:r>
        <w:t>富马酸铝（A520）是一种很有前景的金属有机框架（MOF），用于气体吸附和分离。然而，致密、原始的多晶 A520 膜的制造尚未有报道。在此，我们提出了一种强大的种子生长方案，用于在 α-氧化铝基板上制造厚度约为 3 μm 的连续 A520 多晶膜。我们的结果表明，合成后活化过程在确定膜完整性方面起着关键作用。特别是，热活化前的甲醇交换（ME）预处理可有效抑制溶剂蒸发过程中毛细管应力引起的晶格畸变，X射线衍射和气体渗透测试证明了这一点。所得的 A520 (ME) 膜表现出优异的分子筛性能，理想的 CO2/N2 和 CO2/CH4 选择性分别为 71 和 112。混合气体渗透测量揭示了明显的成分依赖性分离行为，其中 CO2 进料量为 20 mol% 时，CO2/N2 分离因子达到 153，超过 2019 Robeson 上限，但在较高 CO2 浓度下会降低。这种行为与受限 A520 通道内成分依赖性竞争吸附和扩散有关。大正则蒙特卡罗 (GCMC) 模拟表明，增加 N2 分压会增强 N2 吸收，但会显着降低其扩散迁移率，这表明额外的 N2 分子占据不太有利的传输环境并经历增加的扩散阻力。相比之下，CO2/CH4 分离重新</w:t>
      </w:r>
    </w:p>
    <w:p>
      <w:pPr>
        <w:spacing w:before="0" w:after="200" w:lineRule="auto" w:line="276"/>
      </w:pPr>
      <w:r>
        <w:rPr>
          <w:b/>
        </w:rPr>
        <w:t xml:space="preserve">Abstract (EN): </w:t>
      </w:r>
      <w:r>
        <w:t>Aluminum fumarate (A520) is a promising metal-organic framework (MOF) for gas adsorption and separation. However, the fabrication of dense, pristine polycrystalline A520 membranes has not yet been reported. Herein, we present a robust seeded-growth protocol to fabricate continuous A520 polycrystalline membranes with a thickness of approximately 3 μm on α-alumina substrates. Our results demonstrate that the post-synthetic activation process plays a critical role in determining membrane integrity. In particular, a methanol exchange (ME) pretreatment prior to thermal activation effectively suppresses lattice distortion induced by capillary stress during solvent evaporation, as evidenced by X-ray diffraction and gas permeation tests. The resulting A520 (ME) membranes exhibit excellent molecular sieving performance, with ideal CO2/N2 and CO2/CH4 selectivities of 71 and 112, respectively. Mixed-gas permeation measurements reveal pronounced composition-dependent separation behavior, where the CO2/N2 separation factor reaches 153 at a 20 mol % CO2 feed, exceeding the 2019 Robeson upper bound, but decreases at higher CO2 concentrations. This behavior is associated with composition-dependent competitive adsorption and diffusion within the confined A520 channels. Grand canonical Monte Carlo (GCMC) simulations reveal that increasing N2 partial pressure enhances N2 uptake but significantly reduces its diffusional mobility, suggesting that additional N2 molecules occupy less favorable transport environments and experience increased diffusion resistance. In contrast, CO2/CH4 separation remains primarily governed by the intrinsic molecular sieving capability of the A520 framework, where the larger kinetic diameter of CH4 results in stronger diffusion limitation. These results highlight the importance of controlled activation strategies and provide insights into the interplay between competitive adsorption and confined diffusion in A520 membranes for carbon capture applications.</w:t>
      </w:r>
    </w:p>
    <w:p>
      <w:pPr>
        <w:spacing w:before="120" w:after="120"/>
      </w:pPr>
      <w:r>
        <w:rPr>
          <w:sz w:val="18"/>
        </w:rPr>
        <w:t>——————————————————————————————————————————————————————————————————————</w:t>
      </w:r>
    </w:p>
    <w:p>
      <w:pPr>
        <w:spacing w:before="160" w:after="40" w:line="240" w:lineRule="auto"/>
      </w:pPr>
      <w:r>
        <w:rPr>
          <w:b/>
        </w:rPr>
        <w:t xml:space="preserve">[12] </w:t>
      </w:r>
      <w:hyperlink r:id="rId270">
        <w:r>
          <w:rPr>
            <w:color w:val="1155CC"/>
            <w:u w:val="single"/>
          </w:rPr>
          <w:t>系统级分析预测 Clostridium autoethanogenum 中不存在自养相关蛋白-RNA 相互作用</w:t>
        </w:r>
      </w:hyperlink>
    </w:p>
    <w:p>
      <w:pPr>
        <w:spacing w:before="0" w:after="80"/>
      </w:pPr>
      <w:r>
        <w:rPr>
          <w:i/>
          <w:sz w:val="20"/>
        </w:rPr>
        <w:t>EN: Systems-level analysis predicts no autotrophy-linked protein-RNA interactions in Clostridium autoethanogenum</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燃烧化石燃料会导致气候变化，对人类造成不利影响，而消费增加造成的废物积累威胁着全球的生物可持续性。气体发酵能够利用气体发酵微生物（即产乙酸菌）将工业废气和气化废物中的碳氧化物（CO 和 CO2）回收成增值产品。然而，我们对基因功能和代谢调控的有限了解阻碍了产乙酸细胞工厂的合理工程。在这项工作中，我们的目的是通过结合稳态恒化器培养、功能基因组学和计算方法，识别有助于模型产乙酸梭菌自养的全基因组蛋白质-RNA 相互作用。我们首先检测到自养和异养之间有限且不偶联的转录和翻译调节。对全基因组转录结构的严格作图揭示了基因和生长底物之间转录起始和终止位点的差异使用和信号强度。然后，我们使用计算工具重建差异调节基因的蛋白质-RNA 相互作用，预测 14 个参与转录后调节但与自养关键基因无关的反式作用调节 RNA 结合蛋白 (RBP)。大多数 RBP（其中一种受翻译调节）执行 RNA 修饰并调节 mRNA 稳定性，而其他 RBP 则针对翻译相关基因。我们的工作为产乙酸菌的代谢工程提供了宝贵的知识，并可能有助于开发</w:t>
      </w:r>
    </w:p>
    <w:p>
      <w:pPr>
        <w:spacing w:before="0" w:after="200" w:lineRule="auto" w:line="276"/>
      </w:pPr>
      <w:r>
        <w:rPr>
          <w:b/>
        </w:rPr>
        <w:t xml:space="preserve">Abstract (EN): </w:t>
      </w:r>
      <w:r>
        <w:t>Burning fossil fuels drives climate change with detrimental consequences on humankind while waste accumulation from increasing consumption threatens biosustainability globally. Gas fermentation enables to recycle carbon oxides (CO and CO2) from industrial waste gases and gasified waste into value-added products using gas-fermenting microbes, namely acetogens. However, our limited understanding of gene function and metabolic regulation is hindering rational engineering of acetogen cell factories. In this work, we aimed to identify genome-wide protein-RNA interactions contributing to autotrophy in the model-acetogen Clostridium autoethanogenum by combining steady-state chemostat cultivation, functional genomics, and computational methods. We first detected limited and uncoupled transcriptional and translational regulation between autotrophy and heterotrophy. Rigorous mapping of genome-wide transcriptional architecture revealed both differential usage and signal strength of transcriptional start and termination sites between genes and growth substrates. We then used computational tools to reconstruct protein-RNA interactions for differentially regulated genes, predicting 14 trans-acting regulatory RNA-binding proteins (RBPs) involved in post-transcriptional regulation but not linked to genes key for autotrophy. Most RBPs, one of which is translationally regulated, perform RNA modifications and regulate mRNA stability while others target translation-related genes. Our work provides valuable knowledge for metabolic engineering of acetogens and potentially contributes towards understanding primordial life on Earth.</w:t>
      </w:r>
    </w:p>
    <w:p>
      <w:pPr>
        <w:spacing w:before="120" w:after="120"/>
      </w:pPr>
      <w:r>
        <w:rPr>
          <w:sz w:val="18"/>
        </w:rPr>
        <w:t>——————————————————————————————————————————————————————————————————————</w:t>
      </w:r>
    </w:p>
    <w:p>
      <w:pPr>
        <w:spacing w:before="160" w:after="40" w:line="240" w:lineRule="auto"/>
      </w:pPr>
      <w:r>
        <w:rPr>
          <w:b/>
        </w:rPr>
        <w:t xml:space="preserve">[13] </w:t>
      </w:r>
      <w:hyperlink r:id="rId271">
        <w:r>
          <w:rPr>
            <w:color w:val="1155CC"/>
            <w:u w:val="single"/>
          </w:rPr>
          <w:t>二氧化碳辅助脱氢-加氢甲酰化级联可实现合成气自给自足和碳高效丙烷升级</w:t>
        </w:r>
      </w:hyperlink>
    </w:p>
    <w:p>
      <w:pPr>
        <w:spacing w:before="0" w:after="80"/>
      </w:pPr>
      <w:r>
        <w:rPr>
          <w:i/>
          <w:sz w:val="20"/>
        </w:rPr>
        <w:t>EN: CO2-assisted dehydrogenation-hydroformylation cascade enables syngas self-sufficiency and carbon-efficient propane upgrading</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272">
        <w:r>
          <w:rPr>
            <w:color w:val="1155CC"/>
            <w:u w:val="single"/>
          </w:rPr>
          <w:t>10.1126/sciadv.aec6721</w:t>
        </w:r>
      </w:hyperlink>
    </w:p>
    <w:p>
      <w:pPr>
        <w:spacing w:before="0" w:after="120"/>
      </w:pPr>
      <w:r>
        <w:rPr>
          <w:b/>
        </w:rPr>
        <w:t xml:space="preserve">Notes: </w:t>
      </w:r>
      <w:r>
        <w:t>abstract_source=crossref</w:t>
      </w:r>
    </w:p>
    <w:p>
      <w:pPr>
        <w:spacing w:before="0" w:after="80" w:lineRule="auto" w:line="276"/>
      </w:pPr>
      <w:r>
        <w:rPr>
          <w:b/>
        </w:rPr>
        <w:t xml:space="preserve">摘要（ZH）: </w:t>
      </w:r>
      <w:r>
        <w:t>丙烷升级从根本上受到传统脱氢的高能源需求和加氢甲酰化对化石合成气的依赖的限制，限制了效率和可持续性。我们通过建立二氧化碳（CO</w:t>
      </w:r>
      <w:r>
        <w:rPr>
          <w:vertAlign w:val="subscript"/>
        </w:rPr>
        <w:t>2</w:t>
      </w:r>
      <w:r>
        <w:t>)–辅助氧化脱氢–加氢甲酰化(CO</w:t>
      </w:r>
      <w:r>
        <w:rPr>
          <w:vertAlign w:val="subscript"/>
        </w:rPr>
        <w:t>2</w:t>
      </w:r>
      <w:r>
        <w:t>-ODH-HF）级联，用 CO 取代丙烷脱氢 (PDH)</w:t>
      </w:r>
      <w:r>
        <w:rPr>
          <w:vertAlign w:val="subscript"/>
        </w:rPr>
        <w:t>2</w:t>
      </w:r>
      <w:r>
        <w:t>-ODH反应器并循环CO</w:t>
      </w:r>
      <w:r>
        <w:rPr>
          <w:vertAlign w:val="subscript"/>
        </w:rPr>
        <w:t>2</w:t>
      </w:r>
      <w:r>
        <w:t>生成一氧化碳（CO）和氢气（H</w:t>
      </w:r>
      <w:r>
        <w:rPr>
          <w:vertAlign w:val="subscript"/>
        </w:rPr>
        <w:t>2</w:t>
      </w:r>
      <w:r>
        <w:t>）内部。 Aspen Plus 模拟表明，反应路线的这种转变创建了一个合成气自给自足的系统，其中丙烯形成、CO</w:t>
      </w:r>
      <w:r>
        <w:rPr>
          <w:vertAlign w:val="subscript"/>
        </w:rPr>
        <w:t>2</w:t>
      </w:r>
      <w:r>
        <w:t>利用和加氢甲酰化直接耦合。与PDH-HF相比，集成级联提高了碳利用效率，消除了外部二氧化碳采购，并大幅降低了总生产成本。生命周期评估进一步表明，每生产一公斤醛，温室气体排放量可降低约 42%，且不会引发经济与环境的权衡。敏感性分析表明，对于含有丙烷化合物的液化石油气 (LPG) 进料价格波动、CO 成本和加氢甲酰化催化剂损失具有很强的鲁棒性。通过重组潜在的反应途径和碳流，CO</w:t>
      </w:r>
      <w:r>
        <w:rPr>
          <w:vertAlign w:val="subscript"/>
        </w:rPr>
        <w:t>2</w:t>
      </w:r>
      <w:r>
        <w:t>-ODH-HF</w:t>
      </w:r>
    </w:p>
    <w:p>
      <w:pPr>
        <w:spacing w:before="0" w:after="200" w:lineRule="auto" w:line="276"/>
      </w:pPr>
      <w:r>
        <w:rPr>
          <w:b/>
        </w:rPr>
        <w:t xml:space="preserve">Abstract (EN): </w:t>
      </w:r>
      <w:r>
        <w:t>Propane upgrading is fundamentally constrained by the high energy demand of conventional dehydrogenation and the reliance of hydroformylation on fossil-derived syngas, limiting both efficiency and sustainability. We redesign this architecture by establishing a carbon dioxide (CO</w:t>
      </w:r>
      <w:r>
        <w:rPr>
          <w:vertAlign w:val="subscript"/>
        </w:rPr>
        <w:t>2</w:t>
      </w:r>
      <w:r>
        <w:t>)–assisted oxidative dehydrogenation–hydroformylation (CO</w:t>
      </w:r>
      <w:r>
        <w:rPr>
          <w:vertAlign w:val="subscript"/>
        </w:rPr>
        <w:t>2</w:t>
      </w:r>
      <w:r>
        <w:t>-ODH-HF) cascade that replaces propane dehydrogenation (PDH) with a CO</w:t>
      </w:r>
      <w:r>
        <w:rPr>
          <w:vertAlign w:val="subscript"/>
        </w:rPr>
        <w:t>2</w:t>
      </w:r>
      <w:r>
        <w:t>-ODH reactor and circulates CO</w:t>
      </w:r>
      <w:r>
        <w:rPr>
          <w:vertAlign w:val="subscript"/>
        </w:rPr>
        <w:t>2</w:t>
      </w:r>
      <w:r>
        <w:t>to generate carbon monoxide (CO) and dihydrogen (H</w:t>
      </w:r>
      <w:r>
        <w:rPr>
          <w:vertAlign w:val="subscript"/>
        </w:rPr>
        <w:t>2</w:t>
      </w:r>
      <w:r>
        <w:t>) internally. Aspen Plus simulations show that this shift in reaction route creates a syngas self-sufficient system in which propylene formation, CO</w:t>
      </w:r>
      <w:r>
        <w:rPr>
          <w:vertAlign w:val="subscript"/>
        </w:rPr>
        <w:t>2</w:t>
      </w:r>
      <w:r>
        <w:t>utilization, and hydroformylation become directly coupled. The integrated cascade enhances carbon-utilization efficiency, eliminates external CO procurement, and substantially reduces total production costs compared with PDH-HF. Life-cycle assessment further indicates ~42% lower greenhouse-gas emissions per kilogram of aldehyde produced, without triggering economic-environmental trade-offs. Sensitivity analyses reveal strong robustness against fluctuations in the feed price of liquefied petroleum gas (LPG) containing propane compounds, CO cost, and hydroformylation catalyst loss. By restructuring underlying reaction pathways and carbon flows, the CO</w:t>
      </w:r>
      <w:r>
        <w:rPr>
          <w:vertAlign w:val="subscript"/>
        </w:rPr>
        <w:t>2</w:t>
      </w:r>
      <w:r>
        <w:t>-ODH-HF cascade establishes a scalable and carbon-efficient route for propane upgrading and aldehyde synthesis.</w:t>
      </w:r>
    </w:p>
    <w:p>
      <w:pPr>
        <w:spacing w:before="120" w:after="120"/>
      </w:pPr>
      <w:r>
        <w:rPr>
          <w:sz w:val="18"/>
        </w:rPr>
        <w:t>——————————————————————————————————————————————————————————————————————</w:t>
      </w:r>
    </w:p>
    <w:p>
      <w:pPr>
        <w:spacing w:before="160" w:after="40" w:line="240" w:lineRule="auto"/>
      </w:pPr>
      <w:r>
        <w:rPr>
          <w:b/>
        </w:rPr>
        <w:t xml:space="preserve">[14] </w:t>
      </w:r>
      <w:hyperlink r:id="rId273">
        <w:r>
          <w:rPr>
            <w:color w:val="1155CC"/>
            <w:u w:val="single"/>
          </w:rPr>
          <w:t>具有半胱氨酸连接的钴卟啉辅因子的 De Novo CO 2 还原酶</w:t>
        </w:r>
      </w:hyperlink>
    </w:p>
    <w:p>
      <w:pPr>
        <w:spacing w:before="0" w:after="80"/>
      </w:pPr>
      <w:r>
        <w:rPr>
          <w:i/>
          <w:sz w:val="20"/>
        </w:rPr>
        <w:t>EN: A De Novo CO 2 Reductase Featuring a Cysteine-Ligated Cobalt Porphyrin Cofactor</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274">
        <w:r>
          <w:rPr>
            <w:color w:val="1155CC"/>
            <w:u w:val="single"/>
          </w:rPr>
          <w:t>10.1021/jacs.6c07615</w:t>
        </w:r>
      </w:hyperlink>
    </w:p>
    <w:p>
      <w:pPr>
        <w:spacing w:before="0" w:after="120"/>
      </w:pPr>
      <w:r>
        <w:rPr>
          <w:b/>
        </w:rPr>
        <w:t xml:space="preserve">Notes: </w:t>
      </w:r>
      <w:r>
        <w:t>abstract_source=pubmed</w:t>
      </w:r>
    </w:p>
    <w:p>
      <w:pPr>
        <w:spacing w:before="0" w:after="80" w:lineRule="auto" w:line="276"/>
      </w:pPr>
      <w:r>
        <w:rPr>
          <w:b/>
        </w:rPr>
        <w:t xml:space="preserve">摘要（ZH）: </w:t>
      </w:r>
      <w:r>
        <w:t>基于深度学习的现代蛋白质设计方法可以生成具有不同几何形状和功能的定制蛋白质支架。在这里，我们利用这些最新进展来开发具有钴卟啉 IX (CoPPIX) 辅因子的超热稳定从头 CO2 还原酶。通过补充钴盐的培养基在体内组装含 CoPPIX 的酶，并评估光催化 CO2 还原酶活性。我们确定了两种半胱氨酸连接设计，它们表现出高活性（&gt; 1000 次翻转，速率高达 25 min-1），同时抑制竞争性析氢途径。 2.1 Å 晶体结构显示与设计模型非常一致，Co-Cys 键按预期编程。这项研究展示了计算蛋白质设计在开发人工酶来激活二氧化碳等具有挑战性的分子方面的力量。</w:t>
      </w:r>
    </w:p>
    <w:p>
      <w:pPr>
        <w:spacing w:before="0" w:after="200" w:lineRule="auto" w:line="276"/>
      </w:pPr>
      <w:r>
        <w:rPr>
          <w:b/>
        </w:rPr>
        <w:t xml:space="preserve">Abstract (EN): </w:t>
      </w:r>
      <w:r>
        <w:t>Modern protein design methods based on deep learning allow generation of customized protein scaffolds with diverse geometries and functionalities. Here we capitalize on these recent advances to develop hyper-thermostable de novo CO2 reductases featuring a cobalt porphyrin IX (CoPPIX) cofactor. CoPPIX-containing enzymes were assembled in vivo through media supplementation with cobalt salts and assessed for photocatalytic CO2 reductase activity. We identified two cysteine-ligated designs that exhibit high activity (&gt;1000 turnovers at rates of up to 25 min-1) while suppressing competing hydrogen evolution pathways. A 2.1 Å crystal structure shows close agreement to the design model with the Co-Cys bond programmed as intended. This study showcases the power of computational protein design in developing artificial enzymes to activate challenging molecules such as CO2.</w:t>
      </w:r>
    </w:p>
    <w:p>
      <w:pPr>
        <w:spacing w:before="120" w:after="120"/>
      </w:pPr>
      <w:r>
        <w:rPr>
          <w:sz w:val="18"/>
        </w:rPr>
        <w:t>——————————————————————————————————————————————————————————————————————</w:t>
      </w:r>
    </w:p>
    <w:p>
      <w:pPr>
        <w:spacing w:before="160" w:after="40" w:line="240" w:lineRule="auto"/>
      </w:pPr>
      <w:r>
        <w:rPr>
          <w:b/>
        </w:rPr>
        <w:t xml:space="preserve">[15] </w:t>
      </w:r>
      <w:hyperlink r:id="rId275">
        <w:r>
          <w:rPr>
            <w:color w:val="1155CC"/>
            <w:u w:val="single"/>
          </w:rPr>
          <w:t>Cu 2 O@SiO 2 催化剂中的纳米工程界面重构调节CO 2 电还原中的C-C耦合和深度氢化</w:t>
        </w:r>
      </w:hyperlink>
    </w:p>
    <w:p>
      <w:pPr>
        <w:spacing w:before="0" w:after="80"/>
      </w:pPr>
      <w:r>
        <w:rPr>
          <w:i/>
          <w:sz w:val="20"/>
        </w:rPr>
        <w:t>EN: Nanoengineering Interfacial Reconstruction in Cu 2 O@SiO 2 Catalysts to Tune C–C Coupling and Deep Hydrogenation in CO 2 Electroreduction</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276">
        <w:r>
          <w:rPr>
            <w:color w:val="1155CC"/>
            <w:u w:val="single"/>
          </w:rPr>
          <w:t>10.1021/acsami.6c07232</w:t>
        </w:r>
      </w:hyperlink>
    </w:p>
    <w:p>
      <w:pPr>
        <w:spacing w:before="0" w:after="120"/>
      </w:pPr>
      <w:r>
        <w:rPr>
          <w:b/>
        </w:rPr>
        <w:t xml:space="preserve">Notes: </w:t>
      </w:r>
      <w:r>
        <w:t>abstract_source=pubmed</w:t>
      </w:r>
    </w:p>
    <w:p>
      <w:pPr>
        <w:spacing w:before="0" w:after="80" w:lineRule="auto" w:line="276"/>
      </w:pPr>
      <w:r>
        <w:rPr>
          <w:b/>
        </w:rPr>
        <w:t xml:space="preserve">摘要（ZH）: </w:t>
      </w:r>
      <w:r>
        <w:t>电化学二氧化碳还原为将二氧化碳转化为增值化学品和燃料提供了一条有前途的途径；然而，通过控制界面重建来切换 C2+ 和 CH4 途径之间的选择性仍然具有挑战性。在此，我们报告了一种简单而有效的界面工程策略来解决这个问题。通过调节 Cu2O 催化剂上二氧化硅壳的厚度，可以将反应路径转向 C2+ 产物或 CH4。采用湿化学法并控制氨添加，合成了两种不同的核壳催化剂：Cu2O@tn-SiO2（具有薄的二氧化硅壳）和Cu2O@tk-SiO2（具有厚的二氧化硅壳）。对于Cu2O@tn-SiO2，薄的SiO2壳有利于预还原时Cu/Cu2O/SiO2三相界面的形成，有利于*CO和*CHO中间体的不对称偶联，并能够产生C2+，最大C2+电流密度为-675.1 mA cm-2，法拉第效率（FE）为80.9%。相比之下，Cu2O@tk-SiO2中的厚SiO2壳稳定了Cu2O/SiO2界面，抑制了广泛的重构，并通过含Si-O-H的界面位点调节氢物种的局部可用性和转移，从而有利于*CHO向CH4的选择性加氢，峰值部分电流密度为-464.4 mA cm-2，FE为61.9%。机理研究表明，二氧化硅壳增强了结构稳定性，调节中间体吸附，并调节界面氢/水环境，共同促进了反应途径中观察到的转换。这项工作提供了</w:t>
      </w:r>
    </w:p>
    <w:p>
      <w:pPr>
        <w:spacing w:before="0" w:after="200" w:lineRule="auto" w:line="276"/>
      </w:pPr>
      <w:r>
        <w:rPr>
          <w:b/>
        </w:rPr>
        <w:t xml:space="preserve">Abstract (EN): </w:t>
      </w:r>
      <w:r>
        <w:t>Electrochemical CO2 reduction offers a promising route for converting CO2 into value-added chemicals and fuels; however, switching selectivity between C2+ and CH4 pathways by controlling interfacial reconstruction remains challenging. Herein, we report a simple and effective interface engineering strategy to address this issue. By tuning the thickness of the silica shell on Cu2O catalysts, the reaction pathway can be steered toward either C2+ products or CH4. Two distinct core-shell catalysts, Cu2O@tn-SiO2 (with a thin silica shell) and Cu2O@tk-SiO2 (with a thick silica shell), were synthesized using a wet-chemical method with controlled ammonia addition. For Cu2O@tn-SiO2, the thin SiO2 shell facilitates the formation of a Cu/Cu2O/SiO2 three-phase interface upon pre-reduction, favoring asymmetric coupling of *CO and *CHO intermediates and enabling C2+ production, with a maximum C2+ current density of -675.1 mA cm-2 and a faradaic efficiency (FE) of 80.9%. In contrast, the thick SiO2 shell in Cu2O@tk-SiO2 stabilizes the Cu2O/SiO2 interface, suppresses extensive reconstruction, and modulates the local availability and transfer of hydrogen species through Si-O-H containing interfacial sites, thereby favoring selective hydrogenation of *CHO toward CH4 with a peak partial current density of -464.4 mA cm-2 and an FE of 61.9%. Mechanistic studies support that the silica shell enhances structural stability, regulates intermediate adsorption, and tunes the interfacial hydrogen/water environment, collectively contributing to the observed switch in reaction pathway. This work provides a straightforward and effective strategy for designing copper-based catalysts with tunable product selectivity for practical CO2 electroreduction.</w:t>
      </w:r>
    </w:p>
    <w:p>
      <w:pPr>
        <w:spacing w:before="120" w:after="120"/>
      </w:pPr>
      <w:r>
        <w:rPr>
          <w:sz w:val="18"/>
        </w:rPr>
        <w:t>——————————————————————————————————————————————————————————————————————</w:t>
      </w:r>
    </w:p>
    <w:p>
      <w:pPr>
        <w:spacing w:before="160" w:after="40" w:line="240" w:lineRule="auto"/>
      </w:pPr>
      <w:r>
        <w:rPr>
          <w:b/>
        </w:rPr>
        <w:t xml:space="preserve">[16] </w:t>
      </w:r>
      <w:hyperlink r:id="rId277">
        <w:r>
          <w:rPr>
            <w:color w:val="1155CC"/>
            <w:u w:val="single"/>
          </w:rPr>
          <w:t>含有 BF 4 - 抗衡阴离子的七核氟桥钴金属有机骨架用于高选择性 C 2 H 2 /CO 2 分离</w:t>
        </w:r>
      </w:hyperlink>
    </w:p>
    <w:p>
      <w:pPr>
        <w:spacing w:before="0" w:after="80"/>
      </w:pPr>
      <w:r>
        <w:rPr>
          <w:i/>
          <w:sz w:val="20"/>
        </w:rPr>
        <w:t>EN: Heptanuclear Fluorido-Bridged Cobalt Metal−Organic Frameworks Containing BF 4 − Counteranions for Highly Selective C 2 H 2 /CO 2 Separation</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278">
        <w:r>
          <w:rPr>
            <w:color w:val="1155CC"/>
            <w:u w:val="single"/>
          </w:rPr>
          <w:t>10.1021/acsami.6c10075</w:t>
        </w:r>
      </w:hyperlink>
    </w:p>
    <w:p>
      <w:pPr>
        <w:spacing w:before="0" w:after="120"/>
      </w:pPr>
      <w:r>
        <w:rPr>
          <w:b/>
        </w:rPr>
        <w:t xml:space="preserve">Notes: </w:t>
      </w:r>
      <w:r>
        <w:t>abstract_source=pubmed</w:t>
      </w:r>
    </w:p>
    <w:p>
      <w:pPr>
        <w:spacing w:before="0" w:after="80" w:lineRule="auto" w:line="276"/>
      </w:pPr>
      <w:r>
        <w:rPr>
          <w:b/>
        </w:rPr>
        <w:t xml:space="preserve">摘要（ZH）: </w:t>
      </w:r>
      <w:r>
        <w:t>由于 C2H2 和 CO2 的分子大小和物理化学性质相似，它们的分离极具挑战性。在此，我们报道了两种同构金属有机框架LIFM-712和LIFM-713，它们由氟桥七核[Co7F12]2+簇和三位吡啶基配体构建，具有吡啶拓扑结构。受限的BF4-抗衡阴离子与桥联氟配体协同作用，产生富氟孔隙环境，从而为C2H2提供丰富的C-H·F识别位点。 LIFM-712 表现出更强的 C2H2 结合力（Qst = 35.2 kJ mol-1），而 LIFM-713 平衡了亲和力和比表面积，在 298 K 和 1 bar 下实现了 149.8 cm3 g-1 的更高 C2H2 吸收。对于 LIFM-713，理想吸附溶液理论计算提供高达 4.5 的 C2H2/CO2 选择性，突破性实验证明在 298 K 下具有 35 分钟 g-1 分离窗口的清晰分离。对于两种 Co-MOF，理论模拟和原位红外光谱表明，簇结合的氟位点和孔限制的抗衡阴离子之间的协同相互作用控制着 C2H2 的选择性吸附。这项工作突出了一种协同氟功能化策略，用于设计高效的吸附剂来应对具有挑战性的气体分离。</w:t>
      </w:r>
    </w:p>
    <w:p>
      <w:pPr>
        <w:spacing w:before="0" w:after="200" w:lineRule="auto" w:line="276"/>
      </w:pPr>
      <w:r>
        <w:rPr>
          <w:b/>
        </w:rPr>
        <w:t xml:space="preserve">Abstract (EN): </w:t>
      </w:r>
      <w:r>
        <w:t>The separation of C2H2 and CO2 is highly challenging owing to their similar molecular sizes and physicochemical properties. Herein, we report two isostructural metal-organic frameworks, LIFM-712 and LIFM-713, constructed from fluorido-bridged heptanuclear [Co7F12]2+ clusters and tritopic pyridyl ligands, which feature a pyr topology. Confined BF4- counteranions synergize with bridging fluorido ligands to generate fluorine-rich pore environments, thus providing abundant C-H···F recognition sites for C2H2. LIFM-712 exhibits stronger C2H2 binding (Qst = 35.2 kJ mol-1), whereas LIFM-713 balances affinity and specific surface area, achieving a higher C2H2 uptake of 149.8 cm3 g-1 at 298 K and 1 bar. For LIFM-713, ideal adsorbed solution theory calculations afford a C2H2/CO2 selectivity up to 4.5, and breakthrough experiments demonstrate a clear separation with a 35 min g-1 separation window at 298 K. For the two Co-MOFs, theoretical simulations and in situ infrared spectra reveal that cooperative interactions between cluster-bound fluorido sites and pore-confined counteranions govern the selective adsorption of C2H2. This work highlights a synergistic fluorine-functionalization strategy for designing efficient adsorbents for challenging gas separations.</w:t>
      </w:r>
    </w:p>
    <w:p>
      <w:pPr>
        <w:spacing w:before="120" w:after="120"/>
      </w:pPr>
      <w:r>
        <w:rPr>
          <w:sz w:val="18"/>
        </w:rPr>
        <w:t>——————————————————————————————————————————————————————————————————————</w:t>
      </w:r>
    </w:p>
    <w:p>
      <w:pPr>
        <w:spacing w:before="160" w:after="120"/>
      </w:pPr>
      <w:r>
        <w:rPr>
          <w:b/>
          <w:sz w:val="28"/>
        </w:rPr>
        <w:t>【海底采矿】</w:t>
      </w:r>
    </w:p>
    <w:p>
      <w:pPr>
        <w:spacing w:before="160" w:after="40" w:line="240" w:lineRule="auto"/>
      </w:pPr>
      <w:r>
        <w:rPr>
          <w:b/>
        </w:rPr>
        <w:t xml:space="preserve">[1] </w:t>
      </w:r>
      <w:hyperlink r:id="rId279">
        <w:r>
          <w:rPr>
            <w:color w:val="1155CC"/>
            <w:u w:val="single"/>
          </w:rPr>
          <w:t>美国军事扩张和深海采矿给关岛带来环境风险</w:t>
        </w:r>
      </w:hyperlink>
    </w:p>
    <w:p>
      <w:pPr>
        <w:spacing w:before="0" w:after="80"/>
      </w:pPr>
      <w:r>
        <w:rPr>
          <w:i/>
          <w:sz w:val="20"/>
        </w:rPr>
        <w:t>EN: US military expansion and deep-sea mining pose environmental risks to Guam</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280">
        <w:r>
          <w:rPr>
            <w:color w:val="1155CC"/>
            <w:u w:val="single"/>
          </w:rPr>
          <w:t>10.1126/science.aej1451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81">
        <w:r>
          <w:rPr>
            <w:color w:val="1155CC"/>
            <w:u w:val="single"/>
          </w:rPr>
          <w:t>通过镍催化脱氰化和顺序乙烯醇分解含腈塑料和橡胶的通用策略</w:t>
        </w:r>
      </w:hyperlink>
    </w:p>
    <w:p>
      <w:pPr>
        <w:spacing w:before="0" w:after="80"/>
      </w:pPr>
      <w:r>
        <w:rPr>
          <w:i/>
          <w:sz w:val="20"/>
        </w:rPr>
        <w:t>EN: A General Strategy for the Degradation of Nitrile-Containing Plastics and Rubbers via Nickel-Catalyzed Decyanation and Sequential Ethenolysis</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282">
        <w:r>
          <w:rPr>
            <w:color w:val="1155CC"/>
            <w:u w:val="single"/>
          </w:rPr>
          <w:t>10.1021/jacs.6c05182</w:t>
        </w:r>
      </w:hyperlink>
    </w:p>
    <w:p>
      <w:pPr>
        <w:spacing w:before="0" w:after="120"/>
      </w:pPr>
      <w:r>
        <w:rPr>
          <w:b/>
        </w:rPr>
        <w:t xml:space="preserve">Notes: </w:t>
      </w:r>
      <w:r>
        <w:t>abstract_source=pubmed</w:t>
      </w:r>
    </w:p>
    <w:p>
      <w:pPr>
        <w:spacing w:before="0" w:after="80" w:lineRule="auto" w:line="276"/>
      </w:pPr>
      <w:r>
        <w:rPr>
          <w:b/>
        </w:rPr>
        <w:t xml:space="preserve">摘要（ZH）: </w:t>
      </w:r>
      <w:r>
        <w:t>含腈聚合物在消费品和工业中广泛应用，但有效的催化升级回收策略仍未得到充分探索。在此，我们报告了一种通用的催化降解策略，该策略能够通过镍催化脱氰化与钌催化乙烯醇解相结合的串联过程来转化各种含腈聚合物。该策略能够去除氰基并回收成增值的腈化合物，而不会释放剧毒的氰化物。此外，该过程可以通过使用乙烯作为氰基受体和复分解伙伴以一锅法进行，从而简化降解过程，提高整体效率，并增加工业采用的潜力。</w:t>
      </w:r>
    </w:p>
    <w:p>
      <w:pPr>
        <w:spacing w:before="0" w:after="200" w:lineRule="auto" w:line="276"/>
      </w:pPr>
      <w:r>
        <w:rPr>
          <w:b/>
        </w:rPr>
        <w:t xml:space="preserve">Abstract (EN): </w:t>
      </w:r>
      <w:r>
        <w:t>Nitrile-containing polymers feature extensively in consumer products and industry, yet efficient catalytic upcycling strategies remain underexplored. Herein, we report a general catalytic degradation strategy that enables the transformation of diverse nitrile-containing polymers via a tandem process combining nickel-catalyzed decyanation with ruthenium-catalyzed ethenolysis. This strategy enables cyano group removal and recycling into value-added nitrile compounds without releasing highly toxic cyanide species. Moreover, the process can be performed in a one-pot manner by employing ethylene as both the cyano group acceptor and the metathesis partner, thereby streamlining the degradation process, enhancing overall efficiency, and increasing potential for industrial adoption.</w:t>
      </w:r>
    </w:p>
    <w:p>
      <w:pPr>
        <w:spacing w:before="120" w:after="120"/>
      </w:pPr>
      <w:r>
        <w:rPr>
          <w:sz w:val="18"/>
        </w:rPr>
        <w:t>——————————————————————————————————————————————————————————————————————</w:t>
      </w:r>
    </w:p>
    <w:p>
      <w:pPr>
        <w:spacing w:before="160" w:after="40" w:line="240" w:lineRule="auto"/>
      </w:pPr>
      <w:r>
        <w:rPr>
          <w:b/>
        </w:rPr>
        <w:t xml:space="preserve">[2] </w:t>
      </w:r>
      <w:hyperlink r:id="rId186">
        <w:r>
          <w:rPr>
            <w:color w:val="1155CC"/>
            <w:u w:val="single"/>
          </w:rPr>
          <w:t>通过碱性热处理和固有的碳储存，从混合塑料废物中选择性直接产生氢气</w:t>
        </w:r>
      </w:hyperlink>
    </w:p>
    <w:p>
      <w:pPr>
        <w:spacing w:before="0" w:after="80"/>
      </w:pPr>
      <w:r>
        <w:rPr>
          <w:i/>
          <w:sz w:val="20"/>
        </w:rPr>
        <w:t>EN: Selective and direct hydrogen generation from mixed plastic waste via alkaline thermal treatment with inherent carbon storage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187">
        <w:r>
          <w:rPr>
            <w:color w:val="1155CC"/>
            <w:u w:val="single"/>
          </w:rPr>
          <w:t>10.1073/pnas.2537552123</w:t>
        </w:r>
      </w:hyperlink>
    </w:p>
    <w:p>
      <w:pPr>
        <w:spacing w:before="0" w:after="120"/>
      </w:pPr>
      <w:r>
        <w:rPr>
          <w:b/>
        </w:rPr>
        <w:t xml:space="preserve">Notes: </w:t>
      </w:r>
      <w:r>
        <w:t>abstract_source=crossref</w:t>
      </w:r>
    </w:p>
    <w:p>
      <w:pPr>
        <w:spacing w:before="0" w:after="80" w:lineRule="auto" w:line="276"/>
      </w:pPr>
      <w:r>
        <w:rPr>
          <w:b/>
        </w:rPr>
        <w:t xml:space="preserve">摘要（ZH）: </w:t>
      </w:r>
      <w:r>
        <w:t>全球塑料废物的积累促使人们对化学回收方法进行广泛研究，以减轻环境问题并将废物转化为宝贵的资源。塑料回收的一个主要挑战是需要进行预分类，这使加工变得复杂并增加了成本。在这里，我们展示了碱性热处理（ATT）作为一种高效策略，可在低温和常压下直接将混合塑料废物（包括聚对苯二甲酸乙二醇酯（PET）、聚乙烯（PE）和聚丙烯（PP））转化为清洁氢能。与传统气化不同，NaOH 辅助的 ATT 能够在显着降低的温度下分解塑料，同时产生高纯度氢气并最大限度地减少碳排放。这项工作的一个关键进展是 PP 和 PE 的氧化预处理，这增强了它们在 ATT 中的反应性，甚至可以从通常具有耐受性的聚烯烃中有效地产生氢气。通过系统优化 NaOH 与塑料的比例和热氧化条件，氢气产率为 43.7、51.9 和 30.2 mmol/g</w:t>
      </w:r>
      <w:r>
        <w:t xml:space="preserve"> </w:t>
      </w:r>
      <w:r>
        <w:t>塑料</w:t>
      </w:r>
      <w:r>
        <w:t xml:space="preserve"> </w:t>
      </w:r>
      <w:r>
        <w:t>分别针对 PET、PE 和 PP 实现了这一目标。此外，ATT 可以有效地转化单个和混合塑料废物，而无需进行广泛的分离，这证明了其商业潜力和现实世界废物成分的可扩展性。总体而言，这项研究将 ATT 确立为塑料废物管理和清洁能源生产的一种有前途且可持续的解决方案，提供了一种经济上可行的低能耗解决方案。</w:t>
      </w:r>
    </w:p>
    <w:p>
      <w:pPr>
        <w:spacing w:before="0" w:after="200" w:lineRule="auto" w:line="276"/>
      </w:pPr>
      <w:r>
        <w:rPr>
          <w:b/>
        </w:rPr>
        <w:t xml:space="preserve">Abstract (EN): </w:t>
      </w:r>
      <w:r>
        <w:t>The global accumulation of plastic waste has spurred extensive research into chemical recycling methods to mitigate environmental issues and convert waste into valuable resources. A major challenge in plastic recycling is the requirement for presorting, which complicates processing and increases costs. Here, we demonstrate alkaline thermal treatment (ATT) as a highly efficient strategy for directly converting mixed plastic waste, including polyethylene terephthalate (PET), polyethylene (PE), and polypropylene (PP), into clean hydrogen energy at low temperatures and atmospheric pressure. Unlike conventional gasification, NaOH-assisted ATT enables plastic decomposition at significantly lower temperatures while producing high-purity hydrogen and minimizing carbon emissions. A key advancement in this work is the oxidation pretreatment of PP and PE, which enhances their reactivity in ATT and allows efficient hydrogen generation even from typically resistant polyolefins. Through systematic optimization of the NaOH-to-plastic ratio and thermal oxidation conditions, hydrogen yields of 43.7, 51.9, and 30.2 mmol/g</w:t>
      </w:r>
      <w:r>
        <w:t xml:space="preserve"> </w:t>
      </w:r>
      <w:r>
        <w:t>plastic</w:t>
      </w:r>
      <w:r>
        <w:t xml:space="preserve"> </w:t>
      </w:r>
      <w:r>
        <w:t>were achieved for PET, PE, and PP, respectively. Furthermore, ATT efficiently converts both individual and mixed plastic waste without requiring extensive separation, demonstrating its commercial potential and scalability with real-world waste compositions. Overall, this study establishes ATT as a promising and sustainable solution for plastic waste management and clean energy production, providing an economically viable low-carbon pathway for hydrogen generation.</w:t>
      </w:r>
    </w:p>
    <w:p>
      <w:pPr>
        <w:spacing w:before="120" w:after="120"/>
      </w:pPr>
      <w:r>
        <w:rPr>
          <w:sz w:val="18"/>
        </w:rPr>
        <w:t>——————————————————————————————————————————————————————————————————————</w:t>
      </w:r>
    </w:p>
    <w:p>
      <w:pPr>
        <w:spacing w:before="160" w:after="40" w:line="240" w:lineRule="auto"/>
      </w:pPr>
      <w:r>
        <w:rPr>
          <w:b/>
        </w:rPr>
        <w:t xml:space="preserve">[3] </w:t>
      </w:r>
      <w:hyperlink r:id="rId283">
        <w:r>
          <w:rPr>
            <w:color w:val="1155CC"/>
            <w:u w:val="single"/>
          </w:rPr>
          <w:t>由镍催化羰基化聚合实现的超强聚酮热熔胶</w:t>
        </w:r>
      </w:hyperlink>
    </w:p>
    <w:p>
      <w:pPr>
        <w:spacing w:before="0" w:after="80"/>
      </w:pPr>
      <w:r>
        <w:rPr>
          <w:i/>
          <w:sz w:val="20"/>
        </w:rPr>
        <w:t>EN: Ultrastrong Polyketone Hot-Melt Adhesives Enabled by Ni-Catalyzed Carbonylative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284">
        <w:r>
          <w:rPr>
            <w:color w:val="1155CC"/>
            <w:u w:val="single"/>
          </w:rPr>
          <w:t>10.1021/jacs.6c08814</w:t>
        </w:r>
      </w:hyperlink>
    </w:p>
    <w:p>
      <w:pPr>
        <w:spacing w:before="0" w:after="120"/>
      </w:pPr>
      <w:r>
        <w:rPr>
          <w:b/>
        </w:rPr>
        <w:t xml:space="preserve">Notes: </w:t>
      </w:r>
      <w:r>
        <w:t>abstract_source=pubmed</w:t>
      </w:r>
    </w:p>
    <w:p>
      <w:pPr>
        <w:spacing w:before="0" w:after="80" w:lineRule="auto" w:line="276"/>
      </w:pPr>
      <w:r>
        <w:rPr>
          <w:b/>
        </w:rPr>
        <w:t xml:space="preserve">摘要（ZH）: </w:t>
      </w:r>
      <w:r>
        <w:t>传统的热熔胶（HMA），例如乙烯-醋酸乙烯酯（EVA），广泛应用于工业和日常生活中，但其不可降解性在其生命周期后引起了环境问题。此外，它们的结合强度不足（&lt;4.0 MPa）对工程应用造成了根本限制。将低成本烯烃原料转化为高性能和可降解的 HMA 仍然是一个重大挑战。在这里，我们报道了一种新型聚酮粘合剂，通过地球上丰富的镍催化剂介导乙烯与α-烯烃的羰基化聚合。通过阐明聚酮成分与粘合性能之间的基本关系，我们发现丙烯/CO含量显着影响粘合强度，并且使用生物质来源的十一碳烯酸单体进行简单的成分调节可在陶瓷基材上赋予高达24.4 MPa的显着粘合强度，远远超过商业EVA。此外，这些聚酮粘合剂对多种基材表现出很强的粘合力，并在极端条件下表现出优异的可重复使用性、耐高温性和对各种有机溶剂的强大耐受性。在结晶域和无定形域中加入最大的羰基含量可以实现粘合剂体系内的有效应力传递，从而实现高强度，并且还赋予所得粘合剂理想的光降解性。</w:t>
      </w:r>
    </w:p>
    <w:p>
      <w:pPr>
        <w:spacing w:before="0" w:after="200" w:lineRule="auto" w:line="276"/>
      </w:pPr>
      <w:r>
        <w:rPr>
          <w:b/>
        </w:rPr>
        <w:t xml:space="preserve">Abstract (EN): </w:t>
      </w:r>
      <w:r>
        <w:t>Conventional hot-melt adhesives (HMAs), such as poly(ethylene-co-vinyl acetate)s (EVA), are widely used in industries and daily life, yet their nondegradability raises environmental concerns after their lifecycle. In addition, their inadequate binding strength (&lt;4.0 MPa) poses a fundamental limitation to engineering application. Transforming low-cost olefin feedstocks into high performance and degradable HMAs remains a significant challenge. Here, we report a novel polyketone adhesive through an earth-abundant nickel catalyst mediated carbonylative polymerization of ethylene with α-olefin. By elucidating the fundamental relationship between polyketone compositions and adhesion properties, we found that propylene/CO content significantly impacts the adhesive strength, and a facile composition regulation to employ biomass-sourced undecenoic acid monomer imparts a remarkable adhesive strength of up to 24.4 MPa on ceramic substrate, far outperforming commercial EVA. Moreover, these polyketone adhesives exhibit strong adhesion to diverse substrates, and demonstrate excellent reusability, high-temperature resistance, and robust tolerance to various organic solvents under extreme conditions. Incorporating maximum carbonyl contents in both of crystalline and amorphous domains enables efficient stress transfer within adhesive system to achieve high strength, and it also endows the resulting adhesives with desirable photodegradability.</w:t>
      </w:r>
    </w:p>
    <w:p>
      <w:pPr>
        <w:spacing w:before="120" w:after="120"/>
      </w:pPr>
      <w:r>
        <w:rPr>
          <w:sz w:val="18"/>
        </w:rPr>
        <w:t>——————————————————————————————————————————————————————————————————————</w:t>
      </w:r>
    </w:p>
    <w:p>
      <w:pPr>
        <w:spacing w:before="160" w:after="40" w:line="240" w:lineRule="auto"/>
      </w:pPr>
      <w:r>
        <w:rPr>
          <w:b/>
        </w:rPr>
        <w:t xml:space="preserve">[4] </w:t>
      </w:r>
      <w:hyperlink r:id="rId285">
        <w:r>
          <w:rPr>
            <w:color w:val="1155CC"/>
            <w:u w:val="single"/>
          </w:rPr>
          <w:t>通过解聚产物的完全重新评估，实现非异氰酸酯聚氨酯泡沫的泡沫到泡沫的回收</w:t>
        </w:r>
      </w:hyperlink>
    </w:p>
    <w:p>
      <w:pPr>
        <w:spacing w:before="0" w:after="80"/>
      </w:pPr>
      <w:r>
        <w:rPr>
          <w:i/>
          <w:sz w:val="20"/>
        </w:rPr>
        <w:t>EN: Foam-to-foam recycling of non-isocyanate polyurethane foams via complete revalorization of depolymerization products</w:t>
      </w:r>
    </w:p>
    <w:p>
      <w:pPr>
        <w:spacing w:before="0" w:after="120"/>
      </w:pPr>
      <w:r>
        <w:rPr>
          <w:b/>
        </w:rPr>
        <w:t xml:space="preserve">Source: </w:t>
      </w:r>
      <w:r>
        <w:t>Chem</w:t>
      </w:r>
      <w:r>
        <w:t xml:space="preserve">    </w:t>
      </w:r>
      <w:r>
        <w:rPr>
          <w:b/>
        </w:rPr>
        <w:t xml:space="preserve">Pub date: </w:t>
      </w:r>
      <w:r>
        <w:t>2026-07-08 00:00:00+00:00</w:t>
      </w:r>
      <w:r>
        <w:t xml:space="preserve">    </w:t>
      </w:r>
      <w:r>
        <w:rPr>
          <w:b/>
        </w:rPr>
        <w:t xml:space="preserve">DOI: </w:t>
      </w:r>
      <w:hyperlink r:id="rId286">
        <w:r>
          <w:rPr>
            <w:color w:val="1155CC"/>
            <w:u w:val="single"/>
          </w:rPr>
          <w:t>10.1016/j.chempr.2026.103145</w:t>
        </w:r>
      </w:hyperlink>
    </w:p>
    <w:p>
      <w:pPr>
        <w:spacing w:before="0" w:after="120"/>
      </w:pPr>
      <w:r>
        <w:rPr>
          <w:b/>
        </w:rPr>
        <w:t xml:space="preserve">Notes: </w:t>
      </w:r>
      <w:r>
        <w:t>abstract_source=rss_cell</w:t>
      </w:r>
    </w:p>
    <w:p>
      <w:pPr>
        <w:spacing w:before="0" w:after="80" w:lineRule="auto" w:line="276"/>
      </w:pPr>
      <w:r>
        <w:rPr>
          <w:b/>
        </w:rPr>
        <w:t xml:space="preserve">摘要（ZH）: </w:t>
      </w:r>
      <w:r>
        <w:t>这项工作介绍了一种化学回收途径，将二氧化碳基非异氰酸酯聚氨酯 (NIPU) 泡沫转化回环状碳酸酯结构单元 (re-5CC) 以便直接重新发泡。逐步的一锅工艺将泡沫解构和再功能化结合起来，重复利用所有主要解聚产物，同时避免中间纯化并减少浪费。所生产的 re-5CC 可实现具有高达 100% 回收碳酸盐源的第二代泡沫，从而推进 NIPU 泡沫的实用泡沫到泡沫回收。</w:t>
      </w:r>
    </w:p>
    <w:p>
      <w:pPr>
        <w:spacing w:before="0" w:after="200" w:lineRule="auto" w:line="276"/>
      </w:pPr>
      <w:r>
        <w:rPr>
          <w:b/>
        </w:rPr>
        <w:t xml:space="preserve">Abstract (EN): </w:t>
      </w:r>
      <w:r>
        <w:t>This work introduces a chemical recycling route that converts CO2-based non-isocyanate polyurethane (NIPU) foams back into cyclic carbonate building blocks (re-5CC) for direct re-foaming. A stepwise one-pot process combines foam deconstruction and re-functionalization, reusing all major depolymerization products while avoiding intermediate purification and reducing waste. The produced re-5CCs enable second-generation foams with up to 100% recycled carbonate source, advancing practical foam-to-foam recycling for NIPU foams.</w:t>
      </w:r>
    </w:p>
    <w:p>
      <w:pPr>
        <w:spacing w:before="120" w:after="120"/>
      </w:pPr>
      <w:r>
        <w:rPr>
          <w:sz w:val="18"/>
        </w:rPr>
        <w:t>——————————————————————————————————————————————————————————————————————</w:t>
      </w:r>
    </w:p>
    <w:p>
      <w:pPr>
        <w:spacing w:before="160" w:after="40" w:line="240" w:lineRule="auto"/>
      </w:pPr>
      <w:r>
        <w:rPr>
          <w:b/>
        </w:rPr>
        <w:t xml:space="preserve">[5] </w:t>
      </w:r>
      <w:hyperlink r:id="rId287">
        <w:r>
          <w:rPr>
            <w:color w:val="1155CC"/>
            <w:u w:val="single"/>
          </w:rPr>
          <w:t>过渡金属催化使聚合物化学取得进展</w:t>
        </w:r>
      </w:hyperlink>
    </w:p>
    <w:p>
      <w:pPr>
        <w:spacing w:before="0" w:after="80"/>
      </w:pPr>
      <w:r>
        <w:rPr>
          <w:i/>
          <w:sz w:val="20"/>
        </w:rPr>
        <w:t>EN: Advances in polymer chemistry enabled by transition metal catalysis</w:t>
      </w:r>
    </w:p>
    <w:p>
      <w:pPr>
        <w:spacing w:before="0" w:after="120"/>
      </w:pPr>
      <w:r>
        <w:rPr>
          <w:b/>
        </w:rPr>
        <w:t xml:space="preserve">Source: </w:t>
      </w:r>
      <w:r>
        <w:t>Chem</w:t>
      </w:r>
      <w:r>
        <w:t xml:space="preserve">    </w:t>
      </w:r>
      <w:r>
        <w:rPr>
          <w:b/>
        </w:rPr>
        <w:t xml:space="preserve">Pub date: </w:t>
      </w:r>
      <w:r>
        <w:t>2026-07-08 00:00:00+00:00</w:t>
      </w:r>
      <w:r>
        <w:t xml:space="preserve">    </w:t>
      </w:r>
      <w:r>
        <w:rPr>
          <w:b/>
        </w:rPr>
        <w:t xml:space="preserve">DOI: </w:t>
      </w:r>
      <w:hyperlink r:id="rId288">
        <w:r>
          <w:rPr>
            <w:color w:val="1155CC"/>
            <w:u w:val="single"/>
          </w:rPr>
          <w:t>10.1016/j.chempr.2026.103140</w:t>
        </w:r>
      </w:hyperlink>
    </w:p>
    <w:p>
      <w:pPr>
        <w:spacing w:before="0" w:after="120"/>
      </w:pPr>
      <w:r>
        <w:rPr>
          <w:b/>
        </w:rPr>
        <w:t xml:space="preserve">Notes: </w:t>
      </w:r>
      <w:r>
        <w:t>abstract_source=rss_cell</w:t>
      </w:r>
    </w:p>
    <w:p>
      <w:pPr>
        <w:spacing w:before="0" w:after="80" w:lineRule="auto" w:line="276"/>
      </w:pPr>
      <w:r>
        <w:rPr>
          <w:b/>
        </w:rPr>
        <w:t xml:space="preserve">摘要（ZH）: </w:t>
      </w:r>
      <w:r>
        <w:t>过渡金属催化在推动聚合物化学的进步方面发挥了核心作用。从这个角度来看，我们提出了案例研究，其中最初为小分子底物开发的催化反应随后用于聚合物的合成或改性。描述了功能材料制备以及塑料降解、回收或升级循环中的应用。</w:t>
      </w:r>
    </w:p>
    <w:p>
      <w:pPr>
        <w:spacing w:before="0" w:after="200" w:lineRule="auto" w:line="276"/>
      </w:pPr>
      <w:r>
        <w:rPr>
          <w:b/>
        </w:rPr>
        <w:t xml:space="preserve">Abstract (EN): </w:t>
      </w:r>
      <w:r>
        <w:t>Transition metal catalysis has played a central role in driving advances in polymer chemistry. In this perspective, we present case studies where catalytic reactions initially developed for small-molecule substrates were subsequently used for the synthesis or modification of polymers. Applications in the preparation of functional materials and in the degradation, recycling, or upcycling of plastics are described.</w:t>
      </w:r>
    </w:p>
    <w:p>
      <w:pPr>
        <w:spacing w:before="120" w:after="120"/>
      </w:pPr>
      <w:r>
        <w:rPr>
          <w:sz w:val="18"/>
        </w:rPr>
        <w:t>——————————————————————————————————————————————————————————————————————</w:t>
      </w:r>
    </w:p>
    <w:p>
      <w:pPr>
        <w:spacing w:before="160" w:after="40" w:line="240" w:lineRule="auto"/>
      </w:pPr>
      <w:r>
        <w:rPr>
          <w:b/>
        </w:rPr>
        <w:t xml:space="preserve">[6] </w:t>
      </w:r>
      <w:hyperlink r:id="rId289">
        <w:r>
          <w:rPr>
            <w:color w:val="1155CC"/>
            <w:u w:val="single"/>
          </w:rPr>
          <w:t>反式氨基磷酸酯交换使环氧共价适应性网络具有内在的防火安全性</w:t>
        </w:r>
      </w:hyperlink>
    </w:p>
    <w:p>
      <w:pPr>
        <w:spacing w:before="0" w:after="80"/>
      </w:pPr>
      <w:r>
        <w:rPr>
          <w:i/>
          <w:sz w:val="20"/>
        </w:rPr>
        <w:t>EN: Trans -Phosphonamidate Exchange Enables Epoxy Covalent Adaptable Networks with Intrinsic Fire Safety</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290">
        <w:r>
          <w:rPr>
            <w:color w:val="1155CC"/>
            <w:u w:val="single"/>
          </w:rPr>
          <w:t>10.1021/acsami.6c08713</w:t>
        </w:r>
      </w:hyperlink>
    </w:p>
    <w:p>
      <w:pPr>
        <w:spacing w:before="0" w:after="120"/>
      </w:pPr>
      <w:r>
        <w:rPr>
          <w:b/>
        </w:rPr>
        <w:t xml:space="preserve">Notes: </w:t>
      </w:r>
      <w:r>
        <w:t>abstract_source=pubmed</w:t>
      </w:r>
    </w:p>
    <w:p>
      <w:pPr>
        <w:spacing w:before="0" w:after="80" w:lineRule="auto" w:line="276"/>
      </w:pPr>
      <w:r>
        <w:rPr>
          <w:b/>
        </w:rPr>
        <w:t xml:space="preserve">摘要（ZH）: </w:t>
      </w:r>
      <w:r>
        <w:t>这项工作展示了膦酰胺衍生的共价适应性网络（CAN），为克服热固性材料中可持续性和防火安全之间的传统权衡提供了一种有前景的策略。我们推出基于膦酰胺的固化剂，它将环氧固化、固有阻燃性和动态键交换集成在单分子设计中。这些固化剂能够形成环氧基 CAN，通过 P-O 键上高效的反式膦酰胺交换机制，可以多次再加工而不会损失性能。相对于其他磷酸化网络，膦酰胺结构进一步促进更快的键交换，促进动态网络重排。除了可回收性之外，固有的磷-氮框架还具有出色的耐火性，仅在​​磷含量为 2 wt% 的情况下即可达到 UL-94 V-0 等级，同时显着降低峰值热释放。重要的是，反复回收后阻燃性能保持稳定，证明了这种方法的稳健性。热和机械分析揭示了可调节的玻璃化转变温度、高热稳定性以及五个回收周期内的耐用性能。为了展示应用潜力，我们制造了碳纤维增强复合材料，证实这些 CAN 系统可以加工成高性能结构材料。总体而言，膦酰胺固化剂为需要可回收性、防火安全和结构性的热固性树脂和复合材料提供了一个多功能平台</w:t>
      </w:r>
    </w:p>
    <w:p>
      <w:pPr>
        <w:spacing w:before="0" w:after="200" w:lineRule="auto" w:line="276"/>
      </w:pPr>
      <w:r>
        <w:rPr>
          <w:b/>
        </w:rPr>
        <w:t xml:space="preserve">Abstract (EN): </w:t>
      </w:r>
      <w:r>
        <w:t>This work presents the demonstration of phosphonamidate-derived covalent adaptable networks (CANs), offering a promising strategy to overcome the traditional trade-off between sustainability and fire safety in thermoset materials. We introduce phosphonamidate-based curing agents that integrate epoxy curing, intrinsic flame retardancy, and dynamic bond exchange within a single molecular design. These curing agents enable the formation of epoxy-based CANs that can be reprocessed multiple times without loss of performance, enabled by an efficient trans-phosphonamidate exchange mechanism at the P-O bond. The phosphonamidate structure further promotes faster bond exchange relative to other phosphorylated networks, facilitating dynamic network rearrangement. Beyond recyclability, the intrinsic phosphorus-nitrogen framework provides excellent fire resistance, achieving UL-94 V-0 ratings at only 2 wt % phosphorus loading while significantly reducing peak heat release. Importantly, the flame-retardant performance remains stable after repeated recycling, demonstrating the robustness of this approach. Thermal and mechanical analyses reveal tunable glass-transition temperatures, high thermal stability, and durable performance over five recycling cycles. To demonstrate application potential, carbon-fiber-reinforced composites were fabricated, confirming that these CAN systems can be processed into high-performance structural materials. Overall, phosphonamidate hardeners provide a versatile platform for thermoset resins and composites requiring recyclability, fire safety, and structural performance.</w:t>
      </w:r>
    </w:p>
    <w:p>
      <w:pPr>
        <w:spacing w:before="120" w:after="120"/>
      </w:pPr>
      <w:r>
        <w:rPr>
          <w:sz w:val="18"/>
        </w:rPr>
        <w:t>——————————————————————————————————————————————————————————————————————</w:t>
      </w:r>
    </w:p>
    <w:p>
      <w:pPr>
        <w:spacing w:before="160" w:after="40" w:line="240" w:lineRule="auto"/>
      </w:pPr>
      <w:r>
        <w:rPr>
          <w:b/>
        </w:rPr>
        <w:t xml:space="preserve">[7] </w:t>
      </w:r>
      <w:hyperlink r:id="rId291">
        <w:r>
          <w:rPr>
            <w:color w:val="1155CC"/>
            <w:u w:val="single"/>
          </w:rPr>
          <w:t>弥合数据差距以支持《全球塑料条约》</w:t>
        </w:r>
      </w:hyperlink>
    </w:p>
    <w:p>
      <w:pPr>
        <w:spacing w:before="0" w:after="80"/>
      </w:pPr>
      <w:r>
        <w:rPr>
          <w:i/>
          <w:sz w:val="20"/>
        </w:rPr>
        <w:t>EN: Bridging data gaps to support the Global Plastics Treaty</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292">
        <w:r>
          <w:rPr>
            <w:color w:val="1155CC"/>
            <w:u w:val="single"/>
          </w:rPr>
          <w:t>10.1126/science.aea6562</w:t>
        </w:r>
      </w:hyperlink>
    </w:p>
    <w:p>
      <w:pPr>
        <w:spacing w:before="0" w:after="120"/>
      </w:pPr>
      <w:r>
        <w:rPr>
          <w:b/>
        </w:rPr>
        <w:t xml:space="preserve">Notes: </w:t>
      </w:r>
      <w:r>
        <w:t>abstract_source=crossref</w:t>
      </w:r>
    </w:p>
    <w:p>
      <w:pPr>
        <w:spacing w:before="0" w:after="80" w:lineRule="auto" w:line="276"/>
      </w:pPr>
      <w:r>
        <w:rPr>
          <w:b/>
        </w:rPr>
        <w:t xml:space="preserve">摘要（ZH）: </w:t>
      </w:r>
      <w:r>
        <w:t>报告应考虑数据协调、供应链指标和污染热点识别</w:t>
      </w:r>
    </w:p>
    <w:p>
      <w:pPr>
        <w:spacing w:before="0" w:after="200" w:lineRule="auto" w:line="276"/>
      </w:pPr>
      <w:r>
        <w:rPr>
          <w:b/>
        </w:rPr>
        <w:t xml:space="preserve">Abstract (EN): </w:t>
      </w:r>
      <w:r>
        <w:t>Reporting should consider data harmonization, supply chain metrics, and pollution hotspot identification</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93">
        <w:r>
          <w:rPr>
            <w:color w:val="1155CC"/>
            <w:u w:val="single"/>
          </w:rPr>
          <w:t>BRCA1-A 复合物限制 ATM 缺陷细胞中复制叉逆转依赖性 DNA 修复</w:t>
        </w:r>
      </w:hyperlink>
    </w:p>
    <w:p>
      <w:pPr>
        <w:spacing w:before="0" w:after="80"/>
      </w:pPr>
      <w:r>
        <w:rPr>
          <w:i/>
          <w:sz w:val="20"/>
        </w:rPr>
        <w:t>EN: The BRCA1-A complex restricts replication fork reversal-dependent DNA repair in ATM deficient cells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共济失调毛细血管扩张突变 (ATM) 激酶缺陷会导致癌症易感性和药物过敏。 BRCA1 相互作用 A 复合物或 XRCC4/连接酶 4 的缺陷会导致 ATM 缺陷细胞对拓扑异构酶 I 或 PARP1 抑制剂产生耐药性。这表明 BRCA1-A 通过非法末端连接对 ATM 突变细胞中的叉损伤剂产生毒性。在这里，我们表明，ATM 抑制会触发 SUMO 和泛素介导的 BRCA1-A 受损叉识别相结合，以限制末端切除并引起拓扑异构酶 I 抑制剂超敏反应。 BRCA1-A 缺陷细胞在受损叉处显示出更高的染色质可及性和核酸酶活性，同时恢复了切除和耐药性。电子显微镜证据表明，ATM 抑制可防止复制叉逆转，而 BRCA1-A 丢失可恢复复制叉逆转，从而生成用于末端切除的底物。这些发现表明，BRCA1-A 强制限制性染色质状态来抑制切除底物的发生，表明叉逆转是 ATM 缺陷细胞化疗反应的关键决定因素。</w:t>
      </w:r>
    </w:p>
    <w:p>
      <w:pPr>
        <w:spacing w:before="0" w:after="200" w:lineRule="auto" w:line="276"/>
      </w:pPr>
      <w:r>
        <w:rPr>
          <w:b/>
        </w:rPr>
        <w:t xml:space="preserve">Abstract (EN): </w:t>
      </w:r>
      <w:r>
        <w:t>Ataxia Telangiectasia Mutated (ATM) kinase deficiency results in cancer susceptibility and drug hypersensitivity. Deficiency in either the BRCA1 interacting A complex or XRCC4/Ligase 4 confers resistance to Topoisomerase I or PARP1 inhibitors in ATM-deficient cells. This suggests that BRCA1-A directs toxicity to fork-damaging agents in ATM mutated cells via illegitimate end-joining. Here, we show that ATM inhibition triggers combined SUMO and ubiquitin mediated BRCA1-A damaged fork recognition to restrict end-resection and cause Topoisomerase I inhibitor hypersensitivity. BRCA1-A deficient cells display elevated chromatin accessibility and nuclease activity at damaged forks, coupled with restored resection and drug resistance. Electron microscopy evidence demonstrates that ATM inhibition prevents replication fork reversal, which is restored by BRCA1-A loss to generate substrates for end resection. These findings reveal that BRCA1-A enforces a restrictive chromatin state to suppress the genesis of resection substrates, implicating fork reversal as a key determinant of chemotherapy response in ATM deficient cells.</w:t>
      </w:r>
    </w:p>
    <w:p>
      <w:pPr>
        <w:spacing w:before="120" w:after="120"/>
      </w:pPr>
      <w:r>
        <w:rPr>
          <w:sz w:val="18"/>
        </w:rPr>
        <w:t>——————————————————————————————————————————————————————————————————————</w:t>
      </w:r>
    </w:p>
    <w:p>
      <w:pPr>
        <w:spacing w:before="160" w:after="40" w:line="240" w:lineRule="auto"/>
      </w:pPr>
      <w:r>
        <w:rPr>
          <w:b/>
        </w:rPr>
        <w:t xml:space="preserve">[2] </w:t>
      </w:r>
      <w:hyperlink r:id="rId294">
        <w:r>
          <w:rPr>
            <w:color w:val="1155CC"/>
            <w:u w:val="single"/>
          </w:rPr>
          <w:t>通过溢出-储存-弛豫氢化机制实现安培级乙炔制乙烯电合成克服活性选择性约束</w:t>
        </w:r>
      </w:hyperlink>
    </w:p>
    <w:p>
      <w:pPr>
        <w:spacing w:before="0" w:after="80"/>
      </w:pPr>
      <w:r>
        <w:rPr>
          <w:i/>
          <w:sz w:val="20"/>
        </w:rPr>
        <w:t>EN: Ampere-Level Acetylene-to-Ethylene Electrosynthesis by a Spillover-Storage-Relaxation Hydrogenation Mechanism to Overcome the Activity-Selectivity Constraint</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295">
        <w:r>
          <w:rPr>
            <w:color w:val="1155CC"/>
            <w:u w:val="single"/>
          </w:rPr>
          <w:t>10.1021/jacs.6c04407</w:t>
        </w:r>
      </w:hyperlink>
    </w:p>
    <w:p>
      <w:pPr>
        <w:spacing w:before="0" w:after="120"/>
      </w:pPr>
      <w:r>
        <w:rPr>
          <w:b/>
        </w:rPr>
        <w:t xml:space="preserve">Notes: </w:t>
      </w:r>
      <w:r>
        <w:t>abstract_source=openalex</w:t>
      </w:r>
    </w:p>
    <w:p>
      <w:pPr>
        <w:spacing w:before="0" w:after="80" w:lineRule="auto" w:line="276"/>
      </w:pPr>
      <w:r>
        <w:rPr>
          <w:b/>
        </w:rPr>
        <w:t xml:space="preserve">摘要（ZH）: </w:t>
      </w:r>
      <w:r>
        <w:t>电催化氢化反应（EHR）的活性和选择性之间的比例关系是由严重的析氢反应和过度氢化引起的，因为高电流密度下过量吸附的氢（*H）不可避免地会阻塞活性位点。在此，提出了溢出-存储-弛豫氢化机制来克服缩放关系。以乙炔（C 2 H 2 ）转化为乙烯（C 2 H 4 ）为例，理论上预测和实验证明，Cu负载原子分散WO x (WO x /Cu)具有丰富的界面*H形成Cu和*H储WO x位点，是一种有前景的催化剂。因此，合成了WO x /Cu，其C 2 H 4 部分电流密度约为1.43 A cm –2，C 2 H 4 法拉第效率高于95%。从Cu到WO x 的*H转移不仅释放了C 2 H 2 吸附位点，而且为后续加氢保留了氢源。此外，这种机制适用于其他 EHR 中的 Mo(W)O x /Cu(Ag)。</w:t>
      </w:r>
    </w:p>
    <w:p>
      <w:pPr>
        <w:spacing w:before="0" w:after="200" w:lineRule="auto" w:line="276"/>
      </w:pPr>
      <w:r>
        <w:rPr>
          <w:b/>
        </w:rPr>
        <w:t xml:space="preserve">Abstract (EN): </w:t>
      </w:r>
      <w:r>
        <w:t>The scaling relationship between the activity and selectivity of electrocatalytic hydrogenation reactions (EHRs) is caused by severe hydrogen evolution reactions and overhydrogenation because of the inevitable blocking of active sites through excessive adsorbed hydrogen (*H) at high current density. Herein, a spillover–storage–relaxation hydrogenation mechanism is proposed to overcome the scaling relationship. By employing acetylene (C 2 H 2 ) to ethylene (C 2 H 4 ) conversion as an example, Cu-supported atomically dispersed WO x (WO x /Cu), with abundant interfacial *H-formation Cu and *H-reservoir WO x sites, is theoretically predicted and experimentally proven to be a promising catalyst. Consequently, WO x /Cu is synthesized and demonstrates a C 2 H 4 partial current density of ∼1.43 A cm –2, with a C 2 H 4 Faradaic efficiency higher than 95%. The *H transfer from Cu to WO x not only frees sites for C 2 H 2 adsorption but also reserves a hydrogen source for subsequent hydrogenation. Additionally, such a mechanism is suitable for Mo(W)O x /Cu(Ag) in other EHRs.</w:t>
      </w:r>
    </w:p>
    <w:p>
      <w:pPr>
        <w:spacing w:before="120" w:after="120"/>
      </w:pPr>
      <w:r>
        <w:rPr>
          <w:sz w:val="18"/>
        </w:rPr>
        <w:t>——————————————————————————————————————————————————————————————————————</w:t>
      </w:r>
    </w:p>
    <w:p>
      <w:pPr>
        <w:spacing w:before="160" w:after="40" w:line="240" w:lineRule="auto"/>
      </w:pPr>
      <w:r>
        <w:rPr>
          <w:b/>
        </w:rPr>
        <w:t xml:space="preserve">[3] </w:t>
      </w:r>
      <w:hyperlink r:id="rId296">
        <w:r>
          <w:rPr>
            <w:color w:val="1155CC"/>
            <w:u w:val="single"/>
          </w:rPr>
          <w:t>铁氧化过程中 Fe3O 介导的氧化物生长的原子尺度洞察</w:t>
        </w:r>
      </w:hyperlink>
    </w:p>
    <w:p>
      <w:pPr>
        <w:spacing w:before="0" w:after="80"/>
      </w:pPr>
      <w:r>
        <w:rPr>
          <w:i/>
          <w:sz w:val="20"/>
        </w:rPr>
        <w:t>EN: Atomic-Scale Insights into the FeO-Mediated Oxide Growth during Iron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297">
        <w:r>
          <w:rPr>
            <w:color w:val="1155CC"/>
            <w:u w:val="single"/>
          </w:rPr>
          <w:t>10.1021/jacs.6c11029</w:t>
        </w:r>
      </w:hyperlink>
    </w:p>
    <w:p>
      <w:pPr>
        <w:spacing w:before="0" w:after="120"/>
      </w:pPr>
      <w:r>
        <w:rPr>
          <w:b/>
        </w:rPr>
        <w:t xml:space="preserve">Notes: </w:t>
      </w:r>
      <w:r>
        <w:t>abstract_source=openalex</w:t>
      </w:r>
    </w:p>
    <w:p>
      <w:pPr>
        <w:spacing w:before="0" w:after="80" w:lineRule="auto" w:line="276"/>
      </w:pPr>
      <w:r>
        <w:rPr>
          <w:b/>
        </w:rPr>
        <w:t xml:space="preserve">摘要（ZH）: </w:t>
      </w:r>
      <w:r>
        <w:t>铁 (Fe) 氧化代表了理解气固反应的原型系统，直接影响腐蚀科学、多相催化和氧化物异质结构设计。尽管氧化物构型和氧化途径已被广泛记录，但将气体表面反应与固态相变耦合的原子尺度结构动力学仍然有限。在这里，我们使用原位原子分辨率环境扫描透射电子显微镜 (ESTEM)，通过热退火制备原子级平坦的金属 α-Fe(001) 表面，并揭示了在 ESTEM 基础真空下冷却过程中从 Fe 到 Fe 3 O 4 的根本不同的氧化途径。我们证明亚稳态 Fe3O 在两种中间状态下发挥着动态持续的作用。首先，FeO 在低于 300 °C 的温度下在 Fe(001) 上成核，形成独特的纳米级岛，表现出截角锥体形貌。其次，在内部 FeO 转变为 Fe 3 O 4 的过程中，FeO 作为覆盖层保留在氧化物上，从而形成倒置的相层次结构 (FeO/Fe 3 O 4 /Fe)。 FeO 层为 Fe 扩散提供了一条活跃的途径，它们的生长和转变主导了随后的氧化物膨胀​​。尽管 FeO 在氧化物的 (001) 和 {111} 表面上具有不同的生长行为，但它们的相变是由共同的基本单元驱动的。在结构上，FeO 到 Fe 3 O 4 的转变是通过八面体 Fe 易位到四面体位点并伴随向外扩散来实现的。这项工作揭示了控制耦合表面的原子尺度动力学</w:t>
      </w:r>
    </w:p>
    <w:p>
      <w:pPr>
        <w:spacing w:before="0" w:after="200" w:lineRule="auto" w:line="276"/>
      </w:pPr>
      <w:r>
        <w:rPr>
          <w:b/>
        </w:rPr>
        <w:t xml:space="preserve">Abstract (EN): </w:t>
      </w:r>
      <w:r>
        <w:t>Iron (Fe) oxidation represents a prototypical system for understanding gas–solid reactions, directly impacting corrosion science, heterogeneous catalysis, and oxide-heterostructure design. Although the oxide configurations and oxidation pathways have been extensively documented, the atomic-scale structural dynamics that couple gas-surface reactions to solid-state phase transitions remain limited. Here, using in situ atomic-resolution environmental scanning transmission electron microscopy (ESTEM), we prepare atomically flat metal α-Fe(001) surfaces via thermal annealing and reveal a fundamentally different oxidation pathway from Fe to Fe 3 O 4 during cooling under the ESTEM base vacuum. We demonstrate that metastable FeO plays a dynamically sustained role in two intermediate states. First, FeO nucleates on Fe(001) as distinct nanoscale islands below 300 °C, exhibiting a truncated square-pyramidal morphology. Second, FeO is retained as capping layers on the oxide during the transformation of the inner FeO into Fe 3 O 4, creating an inverted phase hierarchy (FeO/Fe 3 O 4 /Fe). The FeO layers provide an active pathway for Fe diffusion, with their growth and transition dominating the subsequent oxide expansion. Despite the distinct growth behaviors of FeO on the (001) and {111} surfaces of oxide, their phase transitions are driven by a common basic unit. Structurally, the FeO-to-Fe 3 O 4 transition is achieved via the translocation of octahedral Fe to tetrahedral sites, accompanied by outward diffusion. This work unveils the atomic-scale dynamics governing the coupled surface and interfacial reactions during the Fe oxidation via an island growth mode and establishes a new paradigm for understanding the unconventional oxide configurations in multilayer oxide-forming metals.</w:t>
      </w:r>
    </w:p>
    <w:p>
      <w:pPr>
        <w:spacing w:before="120" w:after="120"/>
      </w:pPr>
      <w:r>
        <w:rPr>
          <w:sz w:val="18"/>
        </w:rPr>
        <w:t>——————————————————————————————————————————————————————————————————————</w:t>
      </w:r>
    </w:p>
    <w:p>
      <w:pPr>
        <w:spacing w:before="160" w:after="40" w:line="240" w:lineRule="auto"/>
      </w:pPr>
      <w:r>
        <w:rPr>
          <w:b/>
        </w:rPr>
        <w:t xml:space="preserve">[4] </w:t>
      </w:r>
      <w:hyperlink r:id="rId298">
        <w:r>
          <w:rPr>
            <w:color w:val="1155CC"/>
            <w:u w:val="single"/>
          </w:rPr>
          <w:t>二维 Rashba 超导体中高阶范霍夫奇点的本征稳定性</w:t>
        </w:r>
      </w:hyperlink>
    </w:p>
    <w:p>
      <w:pPr>
        <w:spacing w:before="0" w:after="80"/>
      </w:pPr>
      <w:r>
        <w:rPr>
          <w:i/>
          <w:sz w:val="20"/>
        </w:rPr>
        <w:t>EN: Intrinsic Stabilization of High-Order Van Hove Singularity in 2D Rashba Superconductor</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299">
        <w:r>
          <w:rPr>
            <w:color w:val="1155CC"/>
            <w:u w:val="single"/>
          </w:rPr>
          <w:t>10.1021/jacs.6c08452</w:t>
        </w:r>
      </w:hyperlink>
    </w:p>
    <w:p>
      <w:pPr>
        <w:spacing w:before="0" w:after="120"/>
      </w:pPr>
      <w:r>
        <w:rPr>
          <w:b/>
        </w:rPr>
        <w:t xml:space="preserve">Notes: </w:t>
      </w:r>
      <w:r>
        <w:t>abstract_source=openalex</w:t>
      </w:r>
    </w:p>
    <w:p>
      <w:pPr>
        <w:spacing w:before="0" w:after="80" w:lineRule="auto" w:line="276"/>
      </w:pPr>
      <w:r>
        <w:rPr>
          <w:b/>
        </w:rPr>
        <w:t xml:space="preserve">摘要（ZH）: </w:t>
      </w:r>
      <w:r>
        <w:t>二维 (2D) 系统中的电子相关性受到范霍夫奇点的强烈控制，范霍夫奇点会产生态密度发散并增强相关效应。尽管高阶范霍夫奇点（HOVHS）通常与需要外部调谐的工程能带结构相关，但它们在现实晶体材料中的内在出现在很大程度上仍未被探索。我们报告了一种界面驱动机制，该机制本质上稳定了在 Si(111) 上外延生长的原子薄 Pb 单层中的 II 型 HOVHS（出现在布里渊区的不规则点）。结合角度分辨光电子能谱、扫描隧道光谱和最先进的从头计算，我们证明了 HOVHS 形成于拉什巴分裂表面态内的费米能级附近，并产生超过传统鞍点的明显的态密度幂律发散。我们证明 HOVHS 的产生无需任何外部控制，并且通过 Pb/Si 界面处的强自旋轨道耦合和轨道杂化而稳定。我们的结果建立了一种界面驱动机制，用于在自旋轨道耦合二维超导体中生成 HOVHS。</w:t>
      </w:r>
    </w:p>
    <w:p>
      <w:pPr>
        <w:spacing w:before="0" w:after="200" w:lineRule="auto" w:line="276"/>
      </w:pPr>
      <w:r>
        <w:rPr>
          <w:b/>
        </w:rPr>
        <w:t xml:space="preserve">Abstract (EN): </w:t>
      </w:r>
      <w:r>
        <w:t>Electronic correlations in two-dimensional (2D) systems are strongly governed by Van Hove singularities, which generate divergences in the density of states and enhance correlation effects. Although high-order Van Hove singularities (HOVHSs) are typically associated with engineered band structures that require external tuning, their intrinsic emergence in realistic crystalline materials remains largely unexplored. We report on an interface-driven mechanism that intrinsically stabilizes a type-II HOVHS (emerged at nonregular points of the Brillouin zone) in an atomically thin Pb monolayer epitaxially grown on Si(111). Combining angle-resolved photoemission spectroscopy, scanning tunneling spectroscopy, and state-of-the-art ab initio calculations, we demonstrated that the HOVHS forms in close proximity to the Fermi level within Rashba-split surface states and produces a pronounced power-law divergence of the density of states exceeding that of conventional saddle points. We show that HOVHS arises without any external control and is stabilized by strong spin–orbit coupling and orbital hybridization at the Pb/Si interface. Our results establish an interface-driven mechanism for generating HOVHSs in spin–orbit coupled two-dimensional superconductors.</w:t>
      </w:r>
    </w:p>
    <w:p>
      <w:pPr>
        <w:spacing w:before="120" w:after="120"/>
      </w:pPr>
      <w:r>
        <w:rPr>
          <w:sz w:val="18"/>
        </w:rPr>
        <w:t>——————————————————————————————————————————————————————————————————————</w:t>
      </w:r>
    </w:p>
    <w:p>
      <w:pPr>
        <w:spacing w:before="160" w:after="40" w:line="240" w:lineRule="auto"/>
      </w:pPr>
      <w:r>
        <w:rPr>
          <w:b/>
        </w:rPr>
        <w:t xml:space="preserve">[5] </w:t>
      </w:r>
      <w:hyperlink r:id="rId300">
        <w:r>
          <w:rPr>
            <w:color w:val="1155CC"/>
            <w:u w:val="single"/>
          </w:rPr>
          <w:t>海上混合风浪能转换系统的稳态动力学</w:t>
        </w:r>
      </w:hyperlink>
    </w:p>
    <w:p>
      <w:pPr>
        <w:spacing w:before="0" w:after="80"/>
      </w:pPr>
      <w:r>
        <w:rPr>
          <w:i/>
          <w:sz w:val="20"/>
        </w:rPr>
        <w:t>EN: Steady-state dynamics of an offshore hybrid wind-wave energy conversion system</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01">
        <w:r>
          <w:rPr>
            <w:color w:val="1155CC"/>
            <w:u w:val="single"/>
          </w:rPr>
          <w:t>单晶 X 射线衍射揭示三维共价有机框架的受控轴向生长和形态演化</w:t>
        </w:r>
      </w:hyperlink>
    </w:p>
    <w:p>
      <w:pPr>
        <w:spacing w:before="0" w:after="80"/>
      </w:pPr>
      <w:r>
        <w:rPr>
          <w:i/>
          <w:sz w:val="20"/>
        </w:rPr>
        <w:t>EN: Controlled Axial Growth and Morphological Evolution of Three-Dimensional Covalent Organic Frameworks Unveiled by Single-Crystal X-ray Diffraction</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302">
        <w:r>
          <w:rPr>
            <w:color w:val="1155CC"/>
            <w:u w:val="single"/>
          </w:rPr>
          <w:t>10.1021/jacs.6c07820</w:t>
        </w:r>
      </w:hyperlink>
    </w:p>
    <w:p>
      <w:pPr>
        <w:spacing w:before="0" w:after="120"/>
      </w:pPr>
      <w:r>
        <w:rPr>
          <w:b/>
        </w:rPr>
        <w:t xml:space="preserve">Notes: </w:t>
      </w:r>
      <w:r>
        <w:t>abstract_source=openalex</w:t>
      </w:r>
    </w:p>
    <w:p>
      <w:pPr>
        <w:spacing w:before="0" w:after="80" w:lineRule="auto" w:line="276"/>
      </w:pPr>
      <w:r>
        <w:rPr>
          <w:b/>
        </w:rPr>
        <w:t xml:space="preserve">摘要（ZH）: </w:t>
      </w:r>
      <w:r>
        <w:t>精确定制共价有机框架（COF）的宏观形态从根本上驱动其物理化学性质。然而，共价键的稳健性和高度方向性使得单晶水平的这种控制成为一项艰巨的挑战。为了解决这一瓶颈，我们建立了一种协同的布朗斯台德和路易斯双酸催化策略，以控制具有直径拓扑的大型（≥50μm）三维（3D）COF单晶（XNU-375-X；X = 1–6，a，p，EtOH）的受控轴向生长和形态演化。调节作为路易斯酸的三氟甲磺酸镝 (Dy(OTf) 3 ) 的浓度，可显着抑制孪生速率。因此，这种有针对性的调控驱动了从八面体到四方双锥体几何形状的连续形态转变。单晶 X 射线衍射 (SCXRD) 明确证实了整个宏观演化过程中微观结构的一致性。至关重要的是，在客体溶剂去除和交换过程中，这些晶体学分析直接捕获了罕见的结构灵活性和动态“呼吸”效应，46% 的巨大体积变化证明了这一点。密度泛函理论 (DFT) 计算阐明了潜在的生长动力学。以特定的暴露面（{100} 与 {001}）为条件，Dy 3+ 表现出不同的吸附行为，可有效钝化侧面游离胺位点。就这些位点控制水平增殖而言，这种选择性结合同时促进有序的 c 轴堆积</w:t>
      </w:r>
    </w:p>
    <w:p>
      <w:pPr>
        <w:spacing w:before="0" w:after="200" w:lineRule="auto" w:line="276"/>
      </w:pPr>
      <w:r>
        <w:rPr>
          <w:b/>
        </w:rPr>
        <w:t xml:space="preserve">Abstract (EN): </w:t>
      </w:r>
      <w:r>
        <w:t>Precisely tailoring the macroscopic morphology of covalent organic frameworks (COFs) fundamentally drives their physicochemical properties. However, the robust and highly directional nature of covalent bonds makes such control at the single-crystal level a formidable challenge. Resolving this bottleneck, we establish a synergistic Brønsted and Lewis dual-acid catalytic strategy to dictate the controlled axial growth and morphological evolution of large (≥50 μm) three-dimensional(3D) COFs single crystals (the XNU-375-X; X = 1–6, a, p, EtOH) featuring a dia topology. Modulating the concentration of dysprosium trifluoromethanesulfonate (Dy(OTf) 3 ), acting as the Lewis acid, drastically suppresses the twinning rate. Consequently, this targeted regulation drives a continuous morphological transition from octahedral to tetragonal bipyramidal geometries. Single-crystal X-ray diffraction (SCXRD) explicitly confirms the microscopic structural consistency throughout this macroscopic evolution. Crucially, during guest solvent removal and exchange, these crystallographic analyses directly capture a rare structural flexibility and dynamic “breathing” effect, evidenced by a massive 46% volume variation. Density functional theory (DFT) calculations elucidate the underlying growth kinetics. Conditional on the specific exposed facets ({100} versus {001}), Dy 3+ exhibits differential adsorption behaviors that effectively passivate lateral free amine sites. To the extent that these sites govern horizontal proliferation, this selective binding simultaneously promotes ordered c -axis stacking and intrinsic self-correction. Ultimately, this work bridges the gap in the precision morphological tailoring of 3D COFs single crystals, providing a robust platform for the anisotropic growth and targeted synthesis of complex porous architectures.</w:t>
      </w:r>
    </w:p>
    <w:p>
      <w:pPr>
        <w:spacing w:before="120" w:after="120"/>
      </w:pPr>
      <w:r>
        <w:rPr>
          <w:sz w:val="18"/>
        </w:rPr>
        <w:t>——————————————————————————————————————————————————————————————————————</w:t>
      </w:r>
    </w:p>
    <w:p>
      <w:pPr>
        <w:spacing w:before="160" w:after="40" w:line="240" w:lineRule="auto"/>
      </w:pPr>
      <w:r>
        <w:rPr>
          <w:b/>
        </w:rPr>
        <w:t xml:space="preserve">[7] </w:t>
      </w:r>
      <w:hyperlink r:id="rId303">
        <w:r>
          <w:rPr>
            <w:color w:val="1155CC"/>
            <w:u w:val="single"/>
          </w:rPr>
          <w:t>通过在用于 X 射线探测器的 LiYMo 2 O 8 单晶中掺杂 Zr 4+ 改善载流子传输并增强探测灵敏度</w:t>
        </w:r>
      </w:hyperlink>
    </w:p>
    <w:p>
      <w:pPr>
        <w:spacing w:before="0" w:after="80"/>
      </w:pPr>
      <w:r>
        <w:rPr>
          <w:i/>
          <w:sz w:val="20"/>
        </w:rPr>
        <w:t>EN: Improved Carrier Transport and Enhanced Detection Sensitivity Through Zr 4+ Doping in LiYMo 2 O 8 Single Crystals for X-ray Detectors</w:t>
      </w:r>
    </w:p>
    <w:p>
      <w:pPr>
        <w:spacing w:before="0" w:after="120"/>
      </w:pPr>
      <w:r>
        <w:rPr>
          <w:b/>
        </w:rPr>
        <w:t xml:space="preserve">Source: </w:t>
      </w:r>
      <w:r>
        <w:t>ACS Applied Materials &amp; Interfaces: Latest Articles (ACS Publications)</w:t>
      </w:r>
      <w:r>
        <w:t xml:space="preserve">    </w:t>
      </w:r>
      <w:r>
        <w:rPr>
          <w:b/>
        </w:rPr>
        <w:t xml:space="preserve">Pub date: </w:t>
      </w:r>
      <w:r>
        <w:t>2026-07-04 00:00:00+00:00</w:t>
      </w:r>
      <w:r>
        <w:t xml:space="preserve">    </w:t>
      </w:r>
      <w:r>
        <w:rPr>
          <w:b/>
        </w:rPr>
        <w:t xml:space="preserve">DOI: </w:t>
      </w:r>
      <w:hyperlink r:id="rId304">
        <w:r>
          <w:rPr>
            <w:color w:val="1155CC"/>
            <w:u w:val="single"/>
          </w:rPr>
          <w:t>10.1021/acsami.6c07546</w:t>
        </w:r>
      </w:hyperlink>
    </w:p>
    <w:p>
      <w:pPr>
        <w:spacing w:before="0" w:after="120"/>
      </w:pPr>
      <w:r>
        <w:rPr>
          <w:b/>
        </w:rPr>
        <w:t xml:space="preserve">Notes: </w:t>
      </w:r>
      <w:r>
        <w:t>abstract_source=openalex</w:t>
      </w:r>
    </w:p>
    <w:p>
      <w:pPr>
        <w:spacing w:before="0" w:after="80" w:lineRule="auto" w:line="276"/>
      </w:pPr>
      <w:r>
        <w:rPr>
          <w:b/>
        </w:rPr>
        <w:t xml:space="preserve">摘要（ZH）: </w:t>
      </w:r>
      <w:r>
        <w:t>X射线探测器在医学成像、安全检查、工业无损检测、高能物理等领域发挥着重要作用。氧化物单晶因其高化学稳定性、良好的机械鲁棒性以及大尺寸晶体生长的可行性而成为直接X射线检测的有吸引力的候选者。然而，它们的超高本征电阻率通常限制光电流的产生，从而限制检测灵敏度。在此，提出Zr掺杂作为调节LiYMo 2 O 8 (LYMO)单晶中载流子传输的策略。通过顶部晶种溶液生长方法成功生长了原始 LYMO 和 Zr 掺杂 LYMO 晶体。原始LYMO晶体沿a轴和c轴的电阻率分别为9.96 × 10 13 和1.44 × 10 14 Ω cm，相应的迁移率寿命（μτ）乘积为1.15 × 10 –3 和1.81 × 10 –3 cm 2 V –1 。掺入Zr后，a轴电阻率降低至5.68×10 9 Ω cm，而μτ乘积增加至8.97×10 –3 cm 2 V –1 。结果，在40 keV X射线照射下，a轴X射线灵敏度达到431 μC Gy –1 cm –2，是原始LYMO探测器的两倍多。 Zr 掺杂 LYMO 探测器沿 a 轴和 c 轴分别保持 50.1 和 29.8 nGy s –1 的低检测限。这些结果表明，合理的 Zr 4+ 施主掺杂是平衡高电阻率氧化物晶体的电阻率、电荷收集效率和基线稳定性以改善 X 射线检测的有效方法。</w:t>
      </w:r>
    </w:p>
    <w:p>
      <w:pPr>
        <w:spacing w:before="0" w:after="200" w:lineRule="auto" w:line="276"/>
      </w:pPr>
      <w:r>
        <w:rPr>
          <w:b/>
        </w:rPr>
        <w:t xml:space="preserve">Abstract (EN): </w:t>
      </w:r>
      <w:r>
        <w:t>X-ray detectors play an important role in medical imaging, security inspection, industrial nondestructive testing, and high-energy physics. Oxide single crystals are attractive candidates for direct X-ray detection because of their high chemical stability, good mechanical robustness, and feasibility for large-size crystal growth. However, their ultrahigh intrinsic resistivity often limits photocurrent generation and thus restricts detection sensitivity. Here, Zr doping is proposed as a strategy to regulate carrier transport in LiYMo 2 O 8 (LYMO) single crystals. Pristine LYMO and Zr-doped LYMO crystals were successfully grown by the top-seeded solution growth method. The pristine LYMO crystal exhibits resistivities of 9.96 × 10 13 and 1.44 × 10 14 Ω cm along the a - and c -axes, respectively, with corresponding mobility-lifetime ( μτ ) products of 1.15 × 10 –3 and 1.81 × 10 –3 cm 2 V –1 . After Zr incorporation, the a -axis resistivity decreases to 5.68 × 10 9 Ω cm, while the μτ product increases to 8.97 × 10 –3 cm 2 V –1 . As a result, the a -axis X-ray sensitivity reaches 431 μC Gy –1 cm –2 under 40 keV X-ray irradiation, more than twice that of the pristine LYMO detector. The Zr-doped LYMO detector also maintains low detection limits of 50.1 and 29.8 nGy s –1 along the a - and c -axes, respectively. These results demonstrate that rational Zr 4+ donor doping is an effective approach to balancing resistivity, charge collection efficiency, and baseline stability in high-resistivity oxide crystals for improved X-ray detection.</w:t>
      </w:r>
    </w:p>
    <w:p>
      <w:pPr>
        <w:spacing w:before="120" w:after="120"/>
      </w:pPr>
      <w:r>
        <w:rPr>
          <w:sz w:val="18"/>
        </w:rPr>
        <w:t>——————————————————————————————————————————————————————————————————————</w:t>
      </w:r>
    </w:p>
    <w:p>
      <w:pPr>
        <w:spacing w:before="160" w:after="40" w:line="240" w:lineRule="auto"/>
      </w:pPr>
      <w:r>
        <w:rPr>
          <w:b/>
        </w:rPr>
        <w:t xml:space="preserve">[8] </w:t>
      </w:r>
      <w:hyperlink r:id="rId305">
        <w:r>
          <w:rPr>
            <w:color w:val="1155CC"/>
            <w:u w:val="single"/>
          </w:rPr>
          <w:t>使用蛋白质钝化石墨烯界面对乳酸脱氢酶和白细胞介素 6 进行无标记电容免疫传感</w:t>
        </w:r>
      </w:hyperlink>
    </w:p>
    <w:p>
      <w:pPr>
        <w:spacing w:before="0" w:after="80"/>
      </w:pPr>
      <w:r>
        <w:rPr>
          <w:i/>
          <w:sz w:val="20"/>
        </w:rPr>
        <w:t>EN: Label-Free Capacitive Immunosensing of Lactate Dehydrogenase and Interleukin-6 Using a Protein-Passivated Graphene Interface</w:t>
      </w:r>
    </w:p>
    <w:p>
      <w:pPr>
        <w:spacing w:before="0" w:after="120"/>
      </w:pPr>
      <w:r>
        <w:rPr>
          <w:b/>
        </w:rPr>
        <w:t xml:space="preserve">Source: </w:t>
      </w:r>
      <w:r>
        <w:t>ACS Applied Materials &amp; Interfaces: Latest Articles (ACS Publications)</w:t>
      </w:r>
      <w:r>
        <w:t xml:space="preserve">    </w:t>
      </w:r>
      <w:r>
        <w:rPr>
          <w:b/>
        </w:rPr>
        <w:t xml:space="preserve">Pub date: </w:t>
      </w:r>
      <w:r>
        <w:t>2026-07-04 00:00:00+00:00</w:t>
      </w:r>
      <w:r>
        <w:t xml:space="preserve">    </w:t>
      </w:r>
      <w:r>
        <w:rPr>
          <w:b/>
        </w:rPr>
        <w:t xml:space="preserve">DOI: </w:t>
      </w:r>
      <w:hyperlink r:id="rId306">
        <w:r>
          <w:rPr>
            <w:color w:val="1155CC"/>
            <w:u w:val="single"/>
          </w:rPr>
          <w:t>10.1021/acsami.6c10068</w:t>
        </w:r>
      </w:hyperlink>
    </w:p>
    <w:p>
      <w:pPr>
        <w:spacing w:before="0" w:after="120"/>
      </w:pPr>
      <w:r>
        <w:rPr>
          <w:b/>
        </w:rPr>
        <w:t xml:space="preserve">Notes: </w:t>
      </w:r>
      <w:r>
        <w:t>abstract_source=openalex</w:t>
      </w:r>
    </w:p>
    <w:p>
      <w:pPr>
        <w:spacing w:before="0" w:after="80" w:lineRule="auto" w:line="276"/>
      </w:pPr>
      <w:r>
        <w:rPr>
          <w:b/>
        </w:rPr>
        <w:t xml:space="preserve">摘要（ZH）: </w:t>
      </w:r>
      <w:r>
        <w:t>乳酸脱氢酶 (LDH) 和白细胞介素 6 (IL-6) 作为评估疾病进展和细胞模型状态的两个关键生物标志物，分别从细胞代谢和免疫调节的角度提供全面的病理学见解。最广泛使用的 LDH 检测方法是利用烟酰胺腺嘌呤二核苷酸 (NAD) 作为辅酶和乳酸作为底物的比色测定法，通过测量甲臜染料来定量 LDH 活性。尽管这种方法具有高灵敏度，但其对复杂仪器的依赖限制了其在资源有限的环境中的适用性。在这项研究中，我们开发了一种具有特定抗体功能的电容传感电极，用于使用电化学电容光谱 (ECS) 同时检测 LDH 和 IL-6。与 ELISA 等基于标记的方法不同，这种无标记策略可以直接识别目标，无需标记试剂或额外的程序步骤。采用一步修饰过程构建了蛋白质钝化的石墨烯生物电化学界面，使抗体能够共价固定在电极表面上。该传感器基于共面 ITO 三电极系统运行，在目标分子跨越 5 个数量级的宽浓度范围内表现出显着的信号响应。这些结果强调了 ECS 在定量 LDH 和 IL-6 方面的潜力，支持其在即时护理 (PoC) 生物传感器开发中的应用前景。</w:t>
      </w:r>
    </w:p>
    <w:p>
      <w:pPr>
        <w:spacing w:before="0" w:after="200" w:lineRule="auto" w:line="276"/>
      </w:pPr>
      <w:r>
        <w:rPr>
          <w:b/>
        </w:rPr>
        <w:t xml:space="preserve">Abstract (EN): </w:t>
      </w:r>
      <w:r>
        <w:t>Lactate dehydrogenase (LDH) and interleukin-6 (IL-6) serve as two critical biomarkers for assessing disease progression and cellular model status, providing comprehensive pathological insights from the perspectives of cellular metabolism and immunomodulation, respectively. The most widely used method for LDH detection is a colorimetric assay utilizing nicotinamide adenine dinucleotide (NAD) as a coenzyme and lactate as the substrate, which quantifies LDH activity by measuring formazan dye. Although this method offers high sensitivity, its reliance on sophisticated instrumentation limits its applicability in resource-constrained settings. In this study, we developed a capacitive sensing electrode functionalized with specific antibodies for the simultaneous detection of LDH and IL-6 using electrochemical capacitance spectroscopy (ECS). Unlike label-based methods such as ELISA, this label-free strategy enables direct target recognition without the need for labeling reagents or additional procedural steps. A one-step modification process was employed to construct a protein-passivated graphene bioelectrochemical interface, enabling covalent immobilization of antibodies on the electrode surface. This sensor operates based on a coplanar ITO three-electrode system, exhibiting a significant signal response over a broad concentration range spanning 5 orders of magnitude for the target molecules. These results underscore the potential of ECS for the quantification of LDH and IL-6, supporting its promising application in the development of point-of-care (PoC) biosensors.</w:t>
      </w:r>
    </w:p>
    <w:p>
      <w:pPr>
        <w:spacing w:before="120" w:after="120"/>
      </w:pPr>
      <w:r>
        <w:rPr>
          <w:sz w:val="18"/>
        </w:rPr>
        <w:t>——————————————————————————————————————————————————————————————————————</w:t>
      </w:r>
    </w:p>
    <w:p>
      <w:pPr>
        <w:spacing w:before="160" w:after="40" w:line="240" w:lineRule="auto"/>
      </w:pPr>
      <w:r>
        <w:rPr>
          <w:b/>
        </w:rPr>
        <w:t xml:space="preserve">[9] </w:t>
      </w:r>
      <w:hyperlink r:id="rId307">
        <w:r>
          <w:rPr>
            <w:color w:val="1155CC"/>
            <w:u w:val="single"/>
          </w:rPr>
          <w:t>单层 Ca 2 Nb 3 O 10 纳米片模板的间隙控制介导的织构化 SrRuO 3 薄膜中的可调谐电传输和磁各向异性</w:t>
        </w:r>
      </w:hyperlink>
    </w:p>
    <w:p>
      <w:pPr>
        <w:spacing w:before="0" w:after="80"/>
      </w:pPr>
      <w:r>
        <w:rPr>
          <w:i/>
          <w:sz w:val="20"/>
        </w:rPr>
        <w:t>EN: Tunable Electrical Transport and Magnetic Anisotropy in Textured SrRuO 3 Films Mediated by Gap Control of Monolayer Ca 2 Nb 3 O 10 Nanosheet Templates</w:t>
      </w:r>
    </w:p>
    <w:p>
      <w:pPr>
        <w:spacing w:before="0" w:after="120"/>
      </w:pPr>
      <w:r>
        <w:rPr>
          <w:b/>
        </w:rPr>
        <w:t xml:space="preserve">Source: </w:t>
      </w:r>
      <w:r>
        <w:t>ACS Applied Materials &amp; Interfaces: Latest Articles (ACS Publications)</w:t>
      </w:r>
      <w:r>
        <w:t xml:space="preserve">    </w:t>
      </w:r>
      <w:r>
        <w:rPr>
          <w:b/>
        </w:rPr>
        <w:t xml:space="preserve">Pub date: </w:t>
      </w:r>
      <w:r>
        <w:t>2026-07-04 00:00:00+00:00</w:t>
      </w:r>
      <w:r>
        <w:t xml:space="preserve">    </w:t>
      </w:r>
      <w:r>
        <w:rPr>
          <w:b/>
        </w:rPr>
        <w:t xml:space="preserve">DOI: </w:t>
      </w:r>
      <w:hyperlink r:id="rId308">
        <w:r>
          <w:rPr>
            <w:color w:val="1155CC"/>
            <w:u w:val="single"/>
          </w:rPr>
          <w:t>10.1021/acsami.6c06016</w:t>
        </w:r>
      </w:hyperlink>
    </w:p>
    <w:p>
      <w:pPr>
        <w:spacing w:before="0" w:after="120"/>
      </w:pPr>
      <w:r>
        <w:rPr>
          <w:b/>
        </w:rPr>
        <w:t xml:space="preserve">Notes: </w:t>
      </w:r>
      <w:r>
        <w:t>abstract_source=openalex</w:t>
      </w:r>
    </w:p>
    <w:p>
      <w:pPr>
        <w:spacing w:before="0" w:after="80" w:lineRule="auto" w:line="276"/>
      </w:pPr>
      <w:r>
        <w:rPr>
          <w:b/>
        </w:rPr>
        <w:t xml:space="preserve">摘要（ZH）: </w:t>
      </w:r>
      <w:r>
        <w:t>功能性氧化物薄膜在技术相关基板上的确定性集成是氧化物电子学面临的长期挑战。二维 Ca 2 Nb 3 O 10 纳米片已成为多功能外延模板，通过将上层与底层支撑解耦，可以在任意基材上实现高质量薄膜生长。然而，单层纳米片组件固有的固有间隙源于不规则的几何形状和随机沉积过程。这些间隙产生了暴露的基底区域，引入了第二个独特的生长环境，而其对薄膜特性的影响仍然知之甚少。在这里，我们证明这些纳米级间隙不仅仅是结构缺陷，而是控制 SrRuO 3 薄膜的结晶度、输运行为和磁各向异性的可调元素。通过设计具有受控横向尺寸分布（&gt;20 μm 和 &lt;2 μm）的 Ca 2 Nb 3 O 10 纳米片并系统地改变基底覆盖率（约 90% 和约 95%），实现了间隙成核 SrRuO 3 晶体相的精确调制。该相从SiO 2 上的非晶态到Si和Al 2 O 3 上的多晶态，并与以纳米片为模板的c轴取向外延共存。这种共存引起了新出现的现象，包括非单轴磁各向异性、双通道异常霍尔特征和逐步磁化反转，所有这些现象都可以通过覆盖范围和基底选择来调节。双层纳米片涂层有效消除间隙贡献，恢复原始状态</w:t>
      </w:r>
    </w:p>
    <w:p>
      <w:pPr>
        <w:spacing w:before="0" w:after="200" w:lineRule="auto" w:line="276"/>
      </w:pPr>
      <w:r>
        <w:rPr>
          <w:b/>
        </w:rPr>
        <w:t xml:space="preserve">Abstract (EN): </w:t>
      </w:r>
      <w:r>
        <w:t>The deterministic integration of functional oxide thin films on technologically relevant substrates is a longstanding challenge for oxide electronics. Two-dimensional Ca 2 Nb 3 O 10 nanosheets have emerged as versatile epitaxial templates, enabling high-quality film growth on arbitrary substrates by decoupling the overlying layer from the underlying support. However, the intrinsic gaps inherent in monolayer nanosheet assemblies originate from irregular geometry and stochastic deposition processes. These gaps create exposed substrate regions that introduce a second, distinct growth environment, whose influence on film properties remains poorly understood. Here, we demonstrate that these nanoscale gaps are not merely structural imperfections but rather tunable elements that govern the crystallinity, transport behavior, and magnetic anisotropy of SrRuO 3 thin films. By engineering Ca 2 Nb 3 O 10 nanosheets with controlled lateral size distributions (&gt;20 μm and &lt;2 μm) and systematically varying substrate coverage (≈90% and ≈95%), precise modulation of the crystallographic phase of gap-nucleated SrRuO 3 is achieved. The phase varies from amorphous on SiO 2 to polycrystalline on Si and Al 2 O 3, and coexists with c -axis-oriented epitaxy templated by the nanosheets. This coexistence gives rise to emergent phenomena including nonuniaxial magnetic anisotropy, two-channel anomalous Hall signatures, and stepwise magnetization reversal, all of which are tunable through coverage and substrate selection. Bilayer nanosheet coatings effectively eliminate gap contributions, restoring pristine in-plane easy magnetization axis and confirming complete film–substrate decoupling. Our findings establish a previously unrecognized design paradigm in which the deliberate control of nanosheet gaps enables the engineering of composite magnetic and electronic ground states in oxide thin films, providing a scalable route toward multifunctional spintronic devices on arbitrary substrates.</w:t>
      </w:r>
    </w:p>
    <w:p>
      <w:pPr>
        <w:spacing w:before="120" w:after="120"/>
      </w:pPr>
      <w:r>
        <w:rPr>
          <w:sz w:val="18"/>
        </w:rPr>
        <w:t>——————————————————————————————————————————————————————————————————————</w:t>
      </w:r>
    </w:p>
    <w:p>
      <w:pPr>
        <w:spacing w:before="160" w:after="40" w:line="240" w:lineRule="auto"/>
      </w:pPr>
      <w:r>
        <w:rPr>
          <w:b/>
        </w:rPr>
        <w:t xml:space="preserve">[10] </w:t>
      </w:r>
      <w:hyperlink r:id="rId309">
        <w:r>
          <w:rPr>
            <w:color w:val="1155CC"/>
            <w:u w:val="single"/>
          </w:rPr>
          <w:t>用于心肌细胞对齐的近红外光驱动微槽 UCNP/偶氮苯-LCE 致动器和基底</w:t>
        </w:r>
      </w:hyperlink>
    </w:p>
    <w:p>
      <w:pPr>
        <w:spacing w:before="0" w:after="80"/>
      </w:pPr>
      <w:r>
        <w:rPr>
          <w:i/>
          <w:sz w:val="20"/>
        </w:rPr>
        <w:t>EN: Near-Infrared Light-Driven Microgrooved UCNPs/Azobenzene-LCE Actuators and Substrates for Cardiomyoblast Alignment</w:t>
      </w:r>
    </w:p>
    <w:p>
      <w:pPr>
        <w:spacing w:before="0" w:after="120"/>
      </w:pPr>
      <w:r>
        <w:rPr>
          <w:b/>
        </w:rPr>
        <w:t xml:space="preserve">Source: </w:t>
      </w:r>
      <w:r>
        <w:t>ACS Applied Materials &amp; Interfaces: Latest Articles (ACS Publications)</w:t>
      </w:r>
      <w:r>
        <w:t xml:space="preserve">    </w:t>
      </w:r>
      <w:r>
        <w:rPr>
          <w:b/>
        </w:rPr>
        <w:t xml:space="preserve">Pub date: </w:t>
      </w:r>
      <w:r>
        <w:t>2026-07-04 00:00:00+00:00</w:t>
      </w:r>
      <w:r>
        <w:t xml:space="preserve">    </w:t>
      </w:r>
      <w:r>
        <w:rPr>
          <w:b/>
        </w:rPr>
        <w:t xml:space="preserve">DOI: </w:t>
      </w:r>
      <w:hyperlink r:id="rId310">
        <w:r>
          <w:rPr>
            <w:color w:val="1155CC"/>
            <w:u w:val="single"/>
          </w:rPr>
          <w:t>10.1021/acsami.6c07815</w:t>
        </w:r>
      </w:hyperlink>
    </w:p>
    <w:p>
      <w:pPr>
        <w:spacing w:before="0" w:after="120"/>
      </w:pPr>
      <w:r>
        <w:rPr>
          <w:b/>
        </w:rPr>
        <w:t xml:space="preserve">Notes: </w:t>
      </w:r>
      <w:r>
        <w:t>abstract_source=openalex</w:t>
      </w:r>
    </w:p>
    <w:p>
      <w:pPr>
        <w:spacing w:before="0" w:after="80" w:lineRule="auto" w:line="276"/>
      </w:pPr>
      <w:r>
        <w:rPr>
          <w:b/>
        </w:rPr>
        <w:t xml:space="preserve">摘要（ZH）: </w:t>
      </w:r>
      <w:r>
        <w:t>高分辨率图像下载 MS PowerPoint 幻灯片 基于光异构化的液晶弹性体 (LCE) 执行器可对机械变形进行精确的时空控制，但由于光毒性和组织渗透性差，它们对紫外线 (UV) 照射的依赖限制了生物医学适用性。在此，我们报道了一种基于偶氮苯交联LCE（Azo-LCE）与NaYF 4:Yb/Tm@NaYF 4:Yb/Nd@NaYF 4核-壳-壳上转换纳米颗粒（CSS-UCNP）集成的808 nm近红外（NIR）光驱动光异构化致动器。 Nd 3+ 敏化 CSS-UCNP 将 808 nm 近红外光转换为紫外/蓝色上转换发射光（345-476 nm），驱动偶氮苯单元的反式异构化并诱导 LCE 薄膜的宏观弯曲。为了评估驱动性能，UCNPs/Azo-LCE薄膜在功率密度为4-24 W cm –2 的连续波808 nm照射下测试20秒，在24 W cm –2 下达到42.8 ± 2.6°的最大弯曲角度，并在16 W cm –2 下表现出超过50个循环的稳定循环驱动。对于生物学相关操作，较低辐照强度下的热评估显示，在 4–8 W cm –2 辐照下，培养基中仅出现有限的温升（Δ T = 2.29–4.36 °C），在循环操作期间（20 秒开/20 秒关，50 个循环）没有明显的累积加热。此外，微槽图案的 UCNP/Azo-LCE 基底支持大鼠成肌细胞 (H9c2) 的粘附和扩散，并引导槽宽度依赖性单轴排列。这项工作建立了 808 nm 激发的策略</w:t>
      </w:r>
    </w:p>
    <w:p>
      <w:pPr>
        <w:spacing w:before="0" w:after="200" w:lineRule="auto" w:line="276"/>
      </w:pPr>
      <w:r>
        <w:rPr>
          <w:b/>
        </w:rPr>
        <w:t xml:space="preserve">Abstract (EN): </w:t>
      </w:r>
      <w:r>
        <w:t>High Resolution Image Download MS PowerPoint Slide Photoisomerization-based liquid crystal elastomer (LCE) actuators offer precise spatiotemporal control over mechanical deformation, yet their reliance on ultraviolet (UV) irradiation limits biomedical applicability due to phototoxicity and poor tissue penetration. Herein, we report an 808 nm near-infrared (NIR) light-driven photoisomerization actuator based on azobenzene-cross-linked LCEs (Azo-LCEs) integrated with NaYF 4:Yb/Tm@NaYF 4:Yb/Nd@NaYF 4 core–shell–shell upconversion nanoparticles (CSS-UCNPs). The Nd 3+ -sensitized CSS-UCNPs convert 808 nm NIR light into UV/blue upconversion emissions (345–476 nm), driving trans -to- cis isomerization of azobenzene units and inducing macroscopic bending of the LCE films. To evaluate the actuation performance, the UCNPs/Azo-LCE films were tested under continuous-wave 808 nm irradiation for 20 s at power densities of 4–24 W cm –2, reaching a maximum bending angle of 42.8 ± 2.6° at 24 W cm –2 and exhibiting stable cyclic actuation over 50 cycles at 16 W cm –2 . For biologically relevant operation, thermal assessment at lower irradiation intensities revealed only a limited temperature rise in the culture medium under 4–8 W cm –2 irradiation (Δ T = 2.29–4.36 °C), with no obvious cumulative heating during cyclic operation (20 s on/20 s off, 50 cycles). In addition, microgroove-patterned UCNPs/Azo-LCE substrates supported the adhesion and spreading of rat cardiomyoblast cells (H9c2) and guided groove-width-dependent uniaxial alignment. This work establishes a strategy for 808 nm-excited photoisomerization-driven LCE actuation and highlights its potential as an NIR-addressable soft actuator platform for future studies of dynamic cell-guidance, while operating with a modest thermal burden under the tested conditions.</w:t>
      </w:r>
    </w:p>
    <w:p>
      <w:pPr>
        <w:spacing w:before="120" w:after="120"/>
      </w:pPr>
      <w:r>
        <w:rPr>
          <w:sz w:val="18"/>
        </w:rPr>
        <w:t>——————————————————————————————————————————————————————————————————————</w:t>
      </w:r>
    </w:p>
    <w:p>
      <w:pPr>
        <w:spacing w:before="160" w:after="40" w:line="240" w:lineRule="auto"/>
      </w:pPr>
      <w:r>
        <w:rPr>
          <w:b/>
        </w:rPr>
        <w:t xml:space="preserve">[11] </w:t>
      </w:r>
      <w:hyperlink r:id="rId311">
        <w:r>
          <w:rPr>
            <w:color w:val="1155CC"/>
            <w:u w:val="single"/>
          </w:rPr>
          <w:t>古代羽流强化岩石圈调节当今地壳流体迁移和变形</w:t>
        </w:r>
      </w:hyperlink>
    </w:p>
    <w:p>
      <w:pPr>
        <w:spacing w:before="0" w:after="80"/>
      </w:pPr>
      <w:r>
        <w:rPr>
          <w:i/>
          <w:sz w:val="20"/>
        </w:rPr>
        <w:t>EN: Ancient plume-reinforced lithosphere modulates present-day crustal fluid migration and deformation</w:t>
      </w:r>
    </w:p>
    <w:p>
      <w:pPr>
        <w:spacing w:before="0" w:after="120"/>
      </w:pPr>
      <w:r>
        <w:rPr>
          <w:b/>
        </w:rPr>
        <w:t xml:space="preserve">Source: </w:t>
      </w:r>
      <w:r>
        <w:t>Earth and environmental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了解古代地幔柱残留物如何改变岩石圈结构并影响构造变形仍然具有挑战性，特别是在玄武岩未暴露在地表的地幔柱外围区域。在这里，我们展示了中国二叠纪峨眉山大型火成岩省外区华蓥山断层的大地电磁成像。电阻率模型揭示了断层下方垂直广泛的高电阻率结构，与高地震速度和高密度相一致，并且最一致地解释为来自峨眉山地幔柱的地幔玄武岩熔体的结晶产物。我们使用上地幔尺度的地球动力学模拟来研究羽流驱动的熔化和羽流衍生的物质如何与岩石圈异质性相互作用。虽然这些模型没有明确模拟小规模熔体提取或地壳侵位，但它们表明预先存在的岩石圈异质性可以塑造羽流衍生材料的横向重新分布。我们推断，在断层带内原位结晶的残余羽流材料形成了低渗透性、机械强度高的岩石圈屏障，可能会阻碍或改变地壳流体的迁移方向。这种羽流强化的岩石圈可能会促进其西北侧的应力局部化，那里是当今地震优先聚集的地方。总之，这些结果表明，羽流改变的岩石圈可以保留调节地壳流体迁移和大陆变形的长期结构印记。</w:t>
      </w:r>
    </w:p>
    <w:p>
      <w:pPr>
        <w:spacing w:before="0" w:after="200" w:lineRule="auto" w:line="276"/>
      </w:pPr>
      <w:r>
        <w:rPr>
          <w:b/>
        </w:rPr>
        <w:t xml:space="preserve">Abstract (EN): </w:t>
      </w:r>
      <w:r>
        <w:t>Understanding how ancient mantle plume residues modify lithospheric structure and influence tectonic deformation remains challenging, especially in plume-peripheral regions where basalts are not exposed at the surface. Here, we present magnetotelluric imaging across the Huayingshan Fault in the outer zone of the Permian Emeishan large igneous province, China. The resistivity model reveals a vertically extensive high-resistivity structure beneath the fault that coincides with high seismic velocities and high density, and is most consistently interpreted as the crystallized product of mantle-derived basaltic melts from the Emeishan plume. We use upper-mantle-scale geodynamic simulations to examine how plume-driven melting and plume-derived material interact with lithospheric heterogeneity. While these models do not explicitly simulate small-scale melt extraction or crustal emplacement, they suggest that pre-existing lithospheric heterogeneity can shape the lateral redistribution of plume-derived material. We infer that residual plume material crystallized in situ within the fault zone formed a low-permeability, mechanically strong lithospheric barrier that may impede or redirect crustal-fluid migration. This plume-reinforced lithosphere may promote stress localization on its northwestern side, where present-day earthquakes are preferentially clustered. Together, these results suggest that plume-modified lithosphere can preserve a long-lived structural imprint that modulates crustal-fluid migration and continental deformation.</w:t>
      </w:r>
    </w:p>
    <w:p>
      <w:pPr>
        <w:spacing w:before="120" w:after="120"/>
      </w:pPr>
      <w:r>
        <w:rPr>
          <w:sz w:val="18"/>
        </w:rPr>
        <w:t>——————————————————————————————————————————————————————————————————————</w:t>
      </w:r>
    </w:p>
    <w:p>
      <w:pPr>
        <w:spacing w:before="160" w:after="40" w:line="240" w:lineRule="auto"/>
      </w:pPr>
      <w:r>
        <w:rPr>
          <w:b/>
        </w:rPr>
        <w:t xml:space="preserve">[12] </w:t>
      </w:r>
      <w:hyperlink r:id="rId312">
        <w:r>
          <w:rPr>
            <w:color w:val="1155CC"/>
            <w:u w:val="single"/>
          </w:rPr>
          <w:t>通过电网现代化缓解能源贫困：中国特高压输电项目的微观证据</w:t>
        </w:r>
      </w:hyperlink>
    </w:p>
    <w:p>
      <w:pPr>
        <w:spacing w:before="0" w:after="80"/>
      </w:pPr>
      <w:r>
        <w:rPr>
          <w:i/>
          <w:sz w:val="20"/>
        </w:rPr>
        <w:t>EN: Alleviating energy poverty through grid modernization: Micro-evidence from China's ultra-high-voltage transmission projects</w:t>
      </w:r>
    </w:p>
    <w:p>
      <w:pPr>
        <w:spacing w:before="0" w:after="120"/>
      </w:pPr>
      <w:r>
        <w:rPr>
          <w:b/>
        </w:rPr>
        <w:t xml:space="preserve">Source: </w:t>
      </w:r>
      <w:r>
        <w:t>ScienceDirect Publication: Energy Policy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313">
        <w:r>
          <w:rPr>
            <w:color w:val="1155CC"/>
            <w:u w:val="single"/>
          </w:rPr>
          <w:t>配电网共享储能的自适应风险差网络定价</w:t>
        </w:r>
      </w:hyperlink>
    </w:p>
    <w:p>
      <w:pPr>
        <w:spacing w:before="0" w:after="80"/>
      </w:pPr>
      <w:r>
        <w:rPr>
          <w:i/>
          <w:sz w:val="20"/>
        </w:rPr>
        <w:t>EN: Adaptive risk-difference-based network pricing for shared energy storage in distribution networks</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14">
        <w:r>
          <w:rPr>
            <w:color w:val="1155CC"/>
            <w:u w:val="single"/>
          </w:rPr>
          <w:t>数字孪生驱动的深度强化学习分布式储能集群协调调度与状态预测</w:t>
        </w:r>
      </w:hyperlink>
    </w:p>
    <w:p>
      <w:pPr>
        <w:spacing w:before="0" w:after="80"/>
      </w:pPr>
      <w:r>
        <w:rPr>
          <w:i/>
          <w:sz w:val="20"/>
        </w:rPr>
        <w:t>EN: Digital twin-driven deep reinforcement learning for coordinated scheduling and state prediction of distributed energy storage clusters</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15">
        <w:r>
          <w:rPr>
            <w:color w:val="1155CC"/>
            <w:u w:val="single"/>
          </w:rPr>
          <w:t>用于风力涡轮机尾流预测的物理信息神经网络：不同数据密度下的约束层次结构</w:t>
        </w:r>
      </w:hyperlink>
    </w:p>
    <w:p>
      <w:pPr>
        <w:spacing w:before="0" w:after="80"/>
      </w:pPr>
      <w:r>
        <w:rPr>
          <w:i/>
          <w:sz w:val="20"/>
        </w:rPr>
        <w:t>EN: Physics-informed neural networks for wind turbine wake prediction: Constraint hierarchy under varying data density</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16">
        <w:r>
          <w:rPr>
            <w:color w:val="1155CC"/>
            <w:u w:val="single"/>
          </w:rPr>
          <w:t>绿色证书和碳排放交易如何影响清洁能源投资？进化博弈模型的证据</w:t>
        </w:r>
      </w:hyperlink>
    </w:p>
    <w:p>
      <w:pPr>
        <w:spacing w:before="0" w:after="80"/>
      </w:pPr>
      <w:r>
        <w:rPr>
          <w:i/>
          <w:sz w:val="20"/>
        </w:rPr>
        <w:t>EN: How do green certificate and carbon emission trading impact clean energy investment? Evidence from evolutionary game modeling</w:t>
      </w:r>
    </w:p>
    <w:p>
      <w:pPr>
        <w:spacing w:before="0" w:after="120"/>
      </w:pPr>
      <w:r>
        <w:rPr>
          <w:b/>
        </w:rPr>
        <w:t xml:space="preserve">Source: </w:t>
      </w:r>
      <w:r>
        <w:t>ScienceDirect Publication: Energy Policy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17">
        <w:r>
          <w:rPr>
            <w:color w:val="1155CC"/>
            <w:u w:val="single"/>
          </w:rPr>
          <w:t>通过连续双碳-碳键断裂进行后期羰基去除</w:t>
        </w:r>
      </w:hyperlink>
    </w:p>
    <w:p>
      <w:pPr>
        <w:spacing w:before="0" w:after="80"/>
      </w:pPr>
      <w:r>
        <w:rPr>
          <w:i/>
          <w:sz w:val="20"/>
        </w:rPr>
        <w:t>EN: Late-Stage Carbonyl Removal via Sequential Double Carbon–Carbon Bond Cleavage</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318">
        <w:r>
          <w:rPr>
            <w:color w:val="1155CC"/>
            <w:u w:val="single"/>
          </w:rPr>
          <w:t>10.1021/jacs.6c10600</w:t>
        </w:r>
      </w:hyperlink>
    </w:p>
    <w:p>
      <w:pPr>
        <w:spacing w:before="0" w:after="120"/>
      </w:pPr>
      <w:r>
        <w:rPr>
          <w:b/>
        </w:rPr>
        <w:t xml:space="preserve">Notes: </w:t>
      </w:r>
      <w:r>
        <w:t>abstract_source=openalex</w:t>
      </w:r>
    </w:p>
    <w:p>
      <w:pPr>
        <w:spacing w:before="0" w:after="80" w:lineRule="auto" w:line="276"/>
      </w:pPr>
      <w:r>
        <w:rPr>
          <w:b/>
        </w:rPr>
        <w:t xml:space="preserve">摘要（ZH）: </w:t>
      </w:r>
      <w:r>
        <w:t>从环酮中直接去除羰基提供了一种非直观但简单的途径，通过后期修饰获得多取代的饱和结构基序。然而，这种转变很难实现，尤其是以化学选择性的方式。在这里，我们报告了还原和环化羰基去除方法，该方法由 N'-烷基肼酰胺 (NAHA) 试剂通过连续双 C-C 键裂解实现。这些转化有效地将不同的环酮转化为具有广泛官能团耐受性的相应开环和缩环类似物。除了复杂生物活性化合物的后期修饰外，这种羰基去除策略还可以应用于缺乏极性官能团、末端氘化和迭代环收缩的全碳四元中心的合成。</w:t>
      </w:r>
    </w:p>
    <w:p>
      <w:pPr>
        <w:spacing w:before="0" w:after="200" w:lineRule="auto" w:line="276"/>
      </w:pPr>
      <w:r>
        <w:rPr>
          <w:b/>
        </w:rPr>
        <w:t xml:space="preserve">Abstract (EN): </w:t>
      </w:r>
      <w:r>
        <w:t>The direct removal of carbonyl groups from cyclic ketones offers a nonintuitive but straightforward route to access multisubstituted saturated structural motifs via late-stage modification. However, such transformations have been challenging to achieve, especially in a chemoselective manner. Here we report reductive and annulative carbonyl removal methods, enabled by the N ′-alkyl hydrazonamide (NAHA) reagents, via sequential double C–C bond cleavage. These transformations efficiently convert diverse cyclic ketones to the corresponding ring-opened and ring-contracted analogues with broad functional group tolerance. Besides late-stage modification of complex bioactive compounds, this carbonyl-removal strategy can also be applied to the synthesis of all-carbon quaternary centers lacking polar functional groups, terminal deuteration, and iterative ring contraction.</w:t>
      </w:r>
    </w:p>
    <w:p>
      <w:pPr>
        <w:spacing w:before="120" w:after="120"/>
      </w:pPr>
      <w:r>
        <w:rPr>
          <w:sz w:val="18"/>
        </w:rPr>
        <w:t>——————————————————————————————————————————————————————————————————————</w:t>
      </w:r>
    </w:p>
    <w:p>
      <w:pPr>
        <w:spacing w:before="160" w:after="40" w:line="240" w:lineRule="auto"/>
      </w:pPr>
      <w:r>
        <w:rPr>
          <w:b/>
        </w:rPr>
        <w:t xml:space="preserve">[18] </w:t>
      </w:r>
      <w:hyperlink r:id="rId319">
        <w:r>
          <w:rPr>
            <w:color w:val="1155CC"/>
            <w:u w:val="single"/>
          </w:rPr>
          <w:t>肿瘤-间质相互作用的下游信号传导调节粘液性结直肠腺癌顶端基底极性</w:t>
        </w:r>
      </w:hyperlink>
    </w:p>
    <w:p>
      <w:pPr>
        <w:spacing w:before="0" w:after="80"/>
      </w:pPr>
      <w:r>
        <w:rPr>
          <w:i/>
          <w:sz w:val="20"/>
        </w:rPr>
        <w:t>EN: Signaling downstream of tumor–stroma interaction regulates mucinous colorectal adenocarcinoma apicobasal polarity</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粘液性结直肠癌（MUC CRC）转移至多个器官和腹膜，与不良预后相关。播散性 MUC CRC 表现出影响患者预后的传统（顶端向内）或反向（顶端向外）极性。因此，确定如何调节 MUC CRC 极性至关重要。在这里，我们分析了具有顶端向内或顶端向外极性的患者来源的 MUC CRC 异种移植物。单细胞分析表明 α2β1-整合素是这些模型中关键的胶原蛋白结合受体。胶原蛋白 - α2β1 - 整合素相互作用激活 Src 并上调 SorLA（一种内体分选受体）。 SorLA 通过促进整合素回收和 HER2/HER3 表达来支持顶端极性。我们观察到患者样本中的 HER2、HER3 和 SorLA 与心尖呈现组织中较高的 HER2 表达呈正相关。临床相关的 HER2/HER3 靶向抗体可恢复肿瘤球极性，并阻止胶原蛋白重塑和与小鼠腹膜的粘附。该 SorLA-整合素-HER2/HER3 轴可以代表 MUC CRC 患者分层方法，并且与具有顶端外表型的其他癌症相关。</w:t>
      </w:r>
    </w:p>
    <w:p>
      <w:pPr>
        <w:spacing w:before="0" w:after="200" w:lineRule="auto" w:line="276"/>
      </w:pPr>
      <w:r>
        <w:rPr>
          <w:b/>
        </w:rPr>
        <w:t xml:space="preserve">Abstract (EN): </w:t>
      </w:r>
      <w:r>
        <w:t>Mucinous colorectal carcinoma (MUC CRC) metastasis to multiple organs, and to the peritoneum, is associated with poor prognosis. Disseminating MUC CRCs exhibit either conventional (apical-in) or inverted (apical-out) polarity that influence patient outcomes. Therefore, it is critical to identify how MUC CRC polarity is regulated. Here, we analyze patient-derived MUC CRC xenografts with either apical-in or apical-out polarity. Single-cell analyses reveal α2β1-integrin as a key collagen-binding receptor in these models. Collagen–α2β1-integrin interaction activates Src and upregulates SorLA, an endosomal sorting receptor. SorLA supports apical-in polarity by promoting integrin recycling and HER2/HER3 expression. We observe positive correlation between HER2, HER3 and SorLA in patient samples and higher HER2 expression in apical-in-presenting tissues. Clinically relevant HER2/HER3-targeting antibodies revert tumor sphere polarity, and impede collagen remodeling and adhesion to mouse peritoneum. This SorLA—integrin—HER2/HER3 axis could represent a MUC CRC-patient stratification approach and be relevant for other carcinomas with apical-out phenotypes.</w:t>
      </w:r>
    </w:p>
    <w:p>
      <w:pPr>
        <w:spacing w:before="120" w:after="120"/>
      </w:pPr>
      <w:r>
        <w:rPr>
          <w:sz w:val="18"/>
        </w:rPr>
        <w:t>——————————————————————————————————————————————————————————————————————</w:t>
      </w:r>
    </w:p>
    <w:p>
      <w:pPr>
        <w:spacing w:before="160" w:after="40" w:line="240" w:lineRule="auto"/>
      </w:pPr>
      <w:r>
        <w:rPr>
          <w:b/>
        </w:rPr>
        <w:t xml:space="preserve">[19] </w:t>
      </w:r>
      <w:hyperlink r:id="rId320">
        <w:r>
          <w:rPr>
            <w:color w:val="1155CC"/>
            <w:u w:val="single"/>
          </w:rPr>
          <w:t>耐药细菌感染的负担：因果视角</w:t>
        </w:r>
      </w:hyperlink>
    </w:p>
    <w:p>
      <w:pPr>
        <w:spacing w:before="0" w:after="80"/>
      </w:pPr>
      <w:r>
        <w:rPr>
          <w:i/>
          <w:sz w:val="20"/>
        </w:rPr>
        <w:t>EN: The burden of antimicrobial-resistant bacterial infections: a causal perspective</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可预防的抗菌素耐药性 (AMR) 负担的估计对于为地方、国家、区域和全球政策、目标和研究重点提供信息非常重要。这种估计在很大程度上依赖于模型假设，并且已经使用了几种分析方法。在这篇前瞻性文章中，我们概述了估计抗菌素耐药性负担的关键概念和实际挑战，并提出了在现有工作的基础上获得更多与政策相关的负担估计的策略。我们强调采用明确因果视角的新方法如何解决这些问题，并有可能改进结合个别研究结果来估计国家和地区抗菌素耐药性负担的方式。</w:t>
      </w:r>
    </w:p>
    <w:p>
      <w:pPr>
        <w:spacing w:before="0" w:after="200" w:lineRule="auto" w:line="276"/>
      </w:pPr>
      <w:r>
        <w:rPr>
          <w:b/>
        </w:rPr>
        <w:t xml:space="preserve">Abstract (EN): </w:t>
      </w:r>
      <w:r>
        <w:t>Estimates of preventable antimicrobial resistance (AMR) burden are important to inform local, national, regional, and global policies, targets and research priorities. Such estimates rely heavily on model assumptions and several analytical approaches have been used. In this perspective article, we outline key conceptual and practical challenges in estimating AMR burden, and propose strategies for building on existing work to obtain more policy-relevant burden estimates. We highlight how new approaches taking an explicitly causal perspective are tackling these problems and have the potential to improve the way results are combined from individual studies to estimate national and regional AMR burden.</w:t>
      </w:r>
    </w:p>
    <w:p>
      <w:pPr>
        <w:spacing w:before="120" w:after="120"/>
      </w:pPr>
      <w:r>
        <w:rPr>
          <w:sz w:val="18"/>
        </w:rPr>
        <w:t>——————————————————————————————————————————————————————————————————————</w:t>
      </w:r>
    </w:p>
    <w:p>
      <w:pPr>
        <w:spacing w:before="160" w:after="40" w:line="240" w:lineRule="auto"/>
      </w:pPr>
      <w:r>
        <w:rPr>
          <w:b/>
        </w:rPr>
        <w:t xml:space="preserve">[20] </w:t>
      </w:r>
      <w:hyperlink r:id="rId321">
        <w:r>
          <w:rPr>
            <w:color w:val="1155CC"/>
            <w:u w:val="single"/>
          </w:rPr>
          <w:t>metilene3：通过自动分类识别多种条件下的 DMR</w:t>
        </w:r>
      </w:hyperlink>
    </w:p>
    <w:p>
      <w:pPr>
        <w:spacing w:before="0" w:after="80"/>
      </w:pPr>
      <w:r>
        <w:rPr>
          <w:i/>
          <w:sz w:val="20"/>
        </w:rPr>
        <w:t>EN: metilene3: identifying DMRs across multiple conditions with auto-classification</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DNA 甲基化是许多物种的关键表观遗传标记，识别差异甲基化区域 (DMR) 对于了解基因组调控至关重要。大多数现有的 DMR 检测方法需要预定义的样本条件，限制了新的表观遗传模式的发现，特别是当群体身份未知或不确定时，这在临床环境中很常见。此外，只有极少数方法可以跨多种条件进行比较。为了解决这一重大差距，我们提出了 metilene3，这是一种快速、多条件 DMR 检测的方法，可以在监督和无监督模式下运行，使用用户提供的标签或自动聚类未标记的样本。通过基于多个成对甲基化差异信号对基因组进行分段，metilene3 能够实现样本分类和表观遗传关系的 DMR 锚定推断。使用模拟和多样化的人类数据集，我们表明 metilene3 可以准确检测 DMR，稳健地对样本进行聚类，并具有揭示新的调控元件和样本分层的潜力。具体来说，在胰腺组织数据集中，metilene3 识别出富含参与胰腺癌发展的关键转录因子的 DMR，暗示 NFKB-NFAT 调控程序发生了改变。 metilene3 共同提供了一个快速、可解释的框架，用于探索异质甲基化组并发现复杂的生物和临床数据集中的表观遗传模式。</w:t>
      </w:r>
    </w:p>
    <w:p>
      <w:pPr>
        <w:spacing w:before="0" w:after="200" w:lineRule="auto" w:line="276"/>
      </w:pPr>
      <w:r>
        <w:rPr>
          <w:b/>
        </w:rPr>
        <w:t xml:space="preserve">Abstract (EN): </w:t>
      </w:r>
      <w:r>
        <w:t>DNA methylation is a critical epigenetic mark across numerous species, and identifying differentially methylated regions (DMRs) is essential for understanding genome regulation. Most existing DMR detection methods require predefined sample conditions, limiting the discovery of new epigenetic patterns, especially when group identities are unknown or uncertain, as is common in clinical settings. Additionally, only a very few approaches enable comparisons across multiple conditions. To address this significant gap, we present metilene3, a method for rapid, multi-condition DMR detection that operates in both supervised and unsupervised modes, using user-provided labels or autonomously clustering unlabeled samples. By segmenting the genome based on multiple pairwise methylation difference signals, metilene3 enables sample classification and DMR-anchored inference of epigenetic relationships. Using simulated and diverse human datasets, we show that metilene3 accurately detects DMRs, robustly clusters samples, and holds the potential to reveal new regulatory elements and sample stratifications. Specifically, in a pancreatic tissue dataset, metilene3 identifies DMRs enriched for key transcription factors involved in pancreatic cancer development, hinting towards an altered NFKB-NFAT regulatory program. Together, metilene3 provides a fast, interpretable framework for exploring heterogeneous methylomes and discovering epigenetic patterns across complex biological and clinical datasets.</w:t>
      </w:r>
    </w:p>
    <w:p>
      <w:pPr>
        <w:spacing w:before="120" w:after="120"/>
      </w:pPr>
      <w:r>
        <w:rPr>
          <w:sz w:val="18"/>
        </w:rPr>
        <w:t>——————————————————————————————————————————————————————————————————————</w:t>
      </w:r>
    </w:p>
    <w:p>
      <w:pPr>
        <w:spacing w:before="160" w:after="40" w:line="240" w:lineRule="auto"/>
      </w:pPr>
      <w:r>
        <w:rPr>
          <w:b/>
        </w:rPr>
        <w:t xml:space="preserve">[21] </w:t>
      </w:r>
      <w:hyperlink r:id="rId322">
        <w:r>
          <w:rPr>
            <w:color w:val="1155CC"/>
            <w:u w:val="single"/>
          </w:rPr>
          <w:t>脑萎缩、白质高信号和认知的联合轨迹量化大脑维护</w:t>
        </w:r>
      </w:hyperlink>
    </w:p>
    <w:p>
      <w:pPr>
        <w:spacing w:before="0" w:after="80"/>
      </w:pPr>
      <w:r>
        <w:rPr>
          <w:i/>
          <w:sz w:val="20"/>
        </w:rPr>
        <w:t>EN: Joint trajectories of brain atrophy, white matter hyperintensities and cognition quantify brain maintenance</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大脑维护——与认知表现相关的大脑结构或功能的保存——仍然难以量化。在这里，我们提出了一个领域通用的大脑维护指数，该指数是通过对衰老相关萎缩（通过内侧颞叶与心室比率，MTLV比率）、白质高信号（WMH）和使用潜在生长曲线建模的临床前阿尔茨海默氏症认知复合物（PACC5）评估的整体认知的纵向共同进化进行联合建模而得出的。我们在 DELCODE 队列中的 543 名认知未受损的老年人中展示了它的实用性，并在四年内每年进行一次跟踪。我们发现 MTLV 比率和 WMH 的变化可以相加地预测认知变化。我们进一步表明，较高的神经质、抑郁症状、较低的开放性和较快的生物衰老与不利的特定领域轨迹和较差的大脑维护有关。我们的研究结果强调了 WMH 和衰老相关萎缩动力学对大脑维护的综合相关性。保持脑血管和心理健康以及认知参与可以促进大脑维护，延缓认知能力下降和痴呆。</w:t>
      </w:r>
    </w:p>
    <w:p>
      <w:pPr>
        <w:spacing w:before="0" w:after="200" w:lineRule="auto" w:line="276"/>
      </w:pPr>
      <w:r>
        <w:rPr>
          <w:b/>
        </w:rPr>
        <w:t xml:space="preserve">Abstract (EN): </w:t>
      </w:r>
      <w:r>
        <w:t>Brain maintenance – the preservation of brain structure or function relevant to cognitive performance – remains challenging to quantify. Here, we propose a domain-general brain maintenance index derived by jointly modelling the longitudinal co-evolution of ageing-related atrophy (via medial temporal lobe to ventricle ratio, MTLV-ratio), white matter hyperintensities (WMH), and global cognition assessed by the preclinical Alzheimer’s cognitive composite (PACC5) using latent growth curve modelling. We demonstrate its utility in 543 cognitively unimpaired older adults from the DELCODE cohort, followed annually over four years. We show that changes in MTLV-ratio and WMH additively predict cognitive change. We further show that higher neuroticism, depressive symptoms, lower openness, and faster biological ageing are related to unfavourable domain-specific trajectories and poorer brain maintenance. Our findings highlight the combined relevance of WMH and ageing-related atrophy dynamics for brain maintenance. Maintaining cerebrovascular and mental health alongside cognitive engagement could promote brain maintenance, delay cognitive decline and dementia.</w:t>
      </w:r>
    </w:p>
    <w:p>
      <w:pPr>
        <w:spacing w:before="120" w:after="120"/>
      </w:pPr>
      <w:r>
        <w:rPr>
          <w:sz w:val="18"/>
        </w:rPr>
        <w:t>——————————————————————————————————————————————————————————————————————</w:t>
      </w:r>
    </w:p>
    <w:p>
      <w:pPr>
        <w:spacing w:before="160" w:after="40" w:line="240" w:lineRule="auto"/>
      </w:pPr>
      <w:r>
        <w:rPr>
          <w:b/>
        </w:rPr>
        <w:t xml:space="preserve">[22] </w:t>
      </w:r>
      <w:hyperlink r:id="rId323">
        <w:r>
          <w:rPr>
            <w:color w:val="1155CC"/>
            <w:u w:val="single"/>
          </w:rPr>
          <w:t>靶向长读长测序能够全面分析遗传性肌病的遗传和表观遗传景观</w:t>
        </w:r>
      </w:hyperlink>
    </w:p>
    <w:p>
      <w:pPr>
        <w:spacing w:before="0" w:after="80"/>
      </w:pPr>
      <w:r>
        <w:rPr>
          <w:i/>
          <w:sz w:val="20"/>
        </w:rPr>
        <w:t>EN: Targeted long-read sequencing enables comprehensive analysis of the genetic and epigenetic landscape of inherited myopathies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导致遗传性肌病的遗传变异在类型、大小和序列背景上差异很大，包括小序列变异、大结构变异、重复扩增和更复杂的事件，例如导致面肩肱型肌营养不良的 D4Z4 大卫星收缩和低甲基化。使用下一代测序和其他旧的分子技术来表征其中许多都具有挑战性。为了解决这个问题，我们开发了一种有针对性的长读长测序分析和生物信息学分析框架，捕获目前与遗传性肌病有关的全套基因、变异和表观遗传特征。将其应用于一组肌病患者，我们证明了我们的方法的分析有效性以及与现有方法相比提高的准确性和分辨率。我们的检测对 35.5% (11/31) 的经过标准临床基因检测后仍未确诊的患者进行了新的基因诊断。该方法构成了遗传性肌病的全面遗传和表观遗传特征的单一简化测定。</w:t>
      </w:r>
    </w:p>
    <w:p>
      <w:pPr>
        <w:spacing w:before="0" w:after="200" w:lineRule="auto" w:line="276"/>
      </w:pPr>
      <w:r>
        <w:rPr>
          <w:b/>
        </w:rPr>
        <w:t xml:space="preserve">Abstract (EN): </w:t>
      </w:r>
      <w:r>
        <w:t>The genetic variants that cause inherited myopathies vary widely in type, size and sequence context, encompassing small sequence variants, large structural variants, repeat expansions, and more complex events, such as the D4Z4 macrosatellite contraction and hypomethylation that causes facioscapulohumeral muscular dystrophy. Many of these are challenging to characterise using next-generation sequencing and other older molecular technologies. To address this, we developed a targeted long-read sequencing assay and bioinformatics analysis framework that captures the full suite of genes, variants and epigenetic signatures currently implicated in inherited myopathies. Applying this to a cohort of myopathy patients, we demonstrate the analytical validity of our approach and its improved accuracy and resolution compared to existing methods. Our assay led to new genetic diagnoses in 35.5% (11/31) of patients who remained undiagnosed after standard clinical genetic testing. This methodology constitutes a single streamlined assay for comprehensive genetic and epigenetic characterisation of inherited myopathies.</w:t>
      </w:r>
    </w:p>
    <w:p>
      <w:pPr>
        <w:spacing w:before="120" w:after="120"/>
      </w:pPr>
      <w:r>
        <w:rPr>
          <w:sz w:val="18"/>
        </w:rPr>
        <w:t>——————————————————————————————————————————————————————————————————————</w:t>
      </w:r>
    </w:p>
    <w:p>
      <w:pPr>
        <w:spacing w:before="160" w:after="40" w:line="240" w:lineRule="auto"/>
      </w:pPr>
      <w:r>
        <w:rPr>
          <w:b/>
        </w:rPr>
        <w:t xml:space="preserve">[23] </w:t>
      </w:r>
      <w:hyperlink r:id="rId324">
        <w:r>
          <w:rPr>
            <w:color w:val="1155CC"/>
            <w:u w:val="single"/>
          </w:rPr>
          <w:t>通过谷氨酰胺拮抗作用重编程巨噬细胞免疫代谢可增强小鼠结直肠癌治疗</w:t>
        </w:r>
      </w:hyperlink>
    </w:p>
    <w:p>
      <w:pPr>
        <w:spacing w:before="0" w:after="80"/>
      </w:pPr>
      <w:r>
        <w:rPr>
          <w:i/>
          <w:sz w:val="20"/>
        </w:rPr>
        <w:t>EN: Reprogramming macrophage immunometabolism via glutamine antagonism potentiates colorectal cancer therapy in mice</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结直肠癌 (CRC) 通常表现出抑制性肿瘤微环境，该微环境与谷氨酰胺代谢升高和免疫抑制巨噬细胞的诱导有关。谷氨酰胺拮抗剂，如 6-重氮-5-氧代-L-正亮氨酸 (DON) 及其前药 JHU-083 可以限制肿瘤生长，但其毒性和免疫细胞选择性仍然不理想。在这里，我们将 DON 与巨噬细胞靶向部分青蒿酯结合，开发出 WGF-T17 (T17)，它可以阻断巨噬细胞中的谷氨酰胺代谢。在体外，T17 将巨噬细胞代谢重新连接至糖酵解，诱导乳酸积累和组蛋白乳酸化，增强线粒体裂变和吞噬细胞活性，从而将巨噬细胞重新编程为炎症状态。在体内，T17 通过巨噬细胞依赖性途径比 JHU-083 更好地控制肿瘤生长，并且还提高了携带皮下 CRC 肿瘤的雌性小鼠的免疫治疗、化疗和抗血管生成治疗的疗效。因此，我们的研究结果表明，T17 通过靶向巨噬细胞谷氨酰胺代谢来逆转免疫抑制，是一种有前途的 CRC 治疗策略。</w:t>
      </w:r>
    </w:p>
    <w:p>
      <w:pPr>
        <w:spacing w:before="0" w:after="200" w:lineRule="auto" w:line="276"/>
      </w:pPr>
      <w:r>
        <w:rPr>
          <w:b/>
        </w:rPr>
        <w:t xml:space="preserve">Abstract (EN): </w:t>
      </w:r>
      <w:r>
        <w:t>Colorectal cancer (CRC) often exhibits a suppressive tumor microenvironment that is associated with elevated glutamine metabolism and induction of immunosuppressive macrophages. Glutamine antagonists such as 6-diazo-5-oxo-L-norleucine (DON) and its prodrug JHU-083 can limit tumor growth, but their toxicity and immune cell selectivity remain suboptimal. Here, we conjugate DON with the macrophage-targeting moiety artesunate to develop WGF-T17 (T17), which blocks glutamine metabolism in macrophages. In vitro, T17 rewires macrophage metabolism toward glycolysis, inducing lactate buildup and histone lactylation, enhancing mitochondrial fission and phagocytic activity, and thereby reprogramming macrophages to an inflammatory state. In vivo, T17 controls tumor growth better than JHU-083 via macrophage-dependent pathways, and also increases the efficacy of immunotherapy, chemotherapy and anti-angiogenic therapy in female mice carrying subcutaneous CRC tumors. Our findings thus hint T17 as a promising treatment strategy for CRC by targeting macrophage glutamine metabolism to reverse immune suppression.</w:t>
      </w:r>
    </w:p>
    <w:p>
      <w:pPr>
        <w:spacing w:before="120" w:after="120"/>
      </w:pPr>
      <w:r>
        <w:rPr>
          <w:sz w:val="18"/>
        </w:rPr>
        <w:t>——————————————————————————————————————————————————————————————————————</w:t>
      </w:r>
    </w:p>
    <w:p>
      <w:pPr>
        <w:spacing w:before="160" w:after="40" w:line="240" w:lineRule="auto"/>
      </w:pPr>
      <w:r>
        <w:rPr>
          <w:b/>
        </w:rPr>
        <w:t xml:space="preserve">[24] </w:t>
      </w:r>
      <w:hyperlink r:id="rId325">
        <w:r>
          <w:rPr>
            <w:color w:val="1155CC"/>
            <w:u w:val="single"/>
          </w:rPr>
          <w:t>非洲马瘟病毒 VP2 受体结合蛋白的冷冻电镜结构使纳米颗粒疫苗设计成为可能</w:t>
        </w:r>
      </w:hyperlink>
    </w:p>
    <w:p>
      <w:pPr>
        <w:spacing w:before="0" w:after="80"/>
      </w:pPr>
      <w:r>
        <w:rPr>
          <w:i/>
          <w:sz w:val="20"/>
        </w:rPr>
        <w:t>EN: Cryo-EM structure of African horse sickness virus VP2 receptor-binding protein enables nanoparticle vaccine design</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非洲马瘟病毒（AHSV）是一种致命的马病原体，除了含有减毒病毒的疫苗外，没有获得许可的疫苗，存在安全风险。 AHSV 是撒哈拉以南非洲地区的流行病，已在西班牙、葡萄牙、塞浦路斯、摩洛哥、中东、印度和巴基斯坦以及最近的泰国引发动物流行。在这里，我们解析了 AHSV 血清型 4 的全长 VP2 的 3.11 Å 冷冻电镜结构，采用其天然的 triskelion 结构，并揭示了锚定 triskelion 核心的 α 螺旋结构域，这在其他结构特征的环状病毒中是不存在的。结构引导映射将 VP2 的一个子结构域确定为中和抗体的关键靶点。该结构域利用 SpyCatcher/SpyTag 技术显示在纳米颗粒上，为小鼠在病毒攻击感染后提供了针对临床疾病的完全保护，并在 AHSV 的目标物种马中引发了强大而持久的免疫反应。这些发现为下一代针对 AHSV 和相关环状病毒的重组疫苗提供了结构蓝图。</w:t>
      </w:r>
    </w:p>
    <w:p>
      <w:pPr>
        <w:spacing w:before="0" w:after="200" w:lineRule="auto" w:line="276"/>
      </w:pPr>
      <w:r>
        <w:rPr>
          <w:b/>
        </w:rPr>
        <w:t xml:space="preserve">Abstract (EN): </w:t>
      </w:r>
      <w:r>
        <w:t>African horse sickness virus (AHSV) is a lethal equine pathogen with no licensed vaccine other than vaccines containing attenuated virus, which pose safety risks. Endemic to sub-Saharan Africa, AHSV has caused epizootics in Spain and Portugal, Cyprus, Morocco, the Middle East, India and Pakistan and, most recently, Thailand. Here, we resolve the 3.11 Å cryo-EM structure of full-length VP2 from AHSV serotype 4, adopting its native triskelion architecture and shedding light on an α-helical domain anchoring the triskelion core, which is absent in other structurally characterized orbiviruses. Structure-guided mapping identified a subdomain of VP2 as a key target of neutralizing antibodies. Displayed on nanoparticles using the SpyCatcher/SpyTag technology, the domain conferred complete protection from clinical disease after viral challenge infection in mice and elicited robust and long-lasting immune responses in horses, the target species of AHSV. These findings provide a structural blueprint for the next generation of recombinant vaccines against AHSV and related orbiviruses.</w:t>
      </w:r>
    </w:p>
    <w:p>
      <w:pPr>
        <w:spacing w:before="120" w:after="120"/>
      </w:pPr>
      <w:r>
        <w:rPr>
          <w:sz w:val="18"/>
        </w:rPr>
        <w:t>——————————————————————————————————————————————————————————————————————</w:t>
      </w:r>
    </w:p>
    <w:p>
      <w:pPr>
        <w:spacing w:before="160" w:after="40" w:line="240" w:lineRule="auto"/>
      </w:pPr>
      <w:r>
        <w:rPr>
          <w:b/>
        </w:rPr>
        <w:t xml:space="preserve">[25] </w:t>
      </w:r>
      <w:hyperlink r:id="rId326">
        <w:r>
          <w:rPr>
            <w:color w:val="1155CC"/>
            <w:u w:val="single"/>
          </w:rPr>
          <w:t>具有深度代表性的风电预测：一项调查</w:t>
        </w:r>
      </w:hyperlink>
    </w:p>
    <w:p>
      <w:pPr>
        <w:spacing w:before="0" w:after="80"/>
      </w:pPr>
      <w:r>
        <w:rPr>
          <w:i/>
          <w:sz w:val="20"/>
        </w:rPr>
        <w:t>EN: Wind power forecasting with deep representation: A survey</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27">
        <w:r>
          <w:rPr>
            <w:color w:val="1155CC"/>
            <w:u w:val="single"/>
          </w:rPr>
          <w:t>BZR1-BLH1-PIF4 反馈模块充当拟南芥中精确热形态发生的分子放大器</w:t>
        </w:r>
      </w:hyperlink>
    </w:p>
    <w:p>
      <w:pPr>
        <w:spacing w:before="0" w:after="80"/>
      </w:pPr>
      <w:r>
        <w:rPr>
          <w:i/>
          <w:sz w:val="20"/>
        </w:rPr>
        <w:t>EN: The BZR1-BLH1-PIF4 feedback module acts as a molecular amplifier for precise thermomorphogenesis in Arabidopsis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全球气温升高的强度和频率的增加正在威胁生态系统的稳定性和作物产量。了解植物热形态发生对于开发气候适应型作物至关重要，但其潜在机制仍有待阐明。在这里，我们将 BEL1-LIKE HOMEODOMAIN 转录因子 BLH1 确定为热形态发生的关键负调节因子，调节关键的BRASSINAZOLE-RESISTANT 1 (BZR1)-PHYTOCHROME INTERACTING FACTOR 4 (PIF4)热形态发生调节模块。 BLH1 或其同源物的过度表达会导致高温 (HT) 不敏感，而 blh 高阶突变体则表现出 HT 超敏性。 BLH1 表达受 BZR1 直接抑制，并受 HT 下调。我们进一步证明BLH1直接结合PIF4启动子以抑制其转录，同时与PIF4蛋白相互作用以抑制其活性。 BLH1 的过表达可挽救 bzr1-1D 或 PIF4 过表达植物中伸长的下胚轴表型。我们的研究结果定义了 BZR1-BLH1-PIF4 调节轴，该轴调节 BZR1-PIF4-生长素-BR-BZR1 正反馈环，确保对 HT 的平衡热形态发生反应。</w:t>
      </w:r>
    </w:p>
    <w:p>
      <w:pPr>
        <w:spacing w:before="0" w:after="200" w:lineRule="auto" w:line="276"/>
      </w:pPr>
      <w:r>
        <w:rPr>
          <w:b/>
        </w:rPr>
        <w:t xml:space="preserve">Abstract (EN): </w:t>
      </w:r>
      <w:r>
        <w:t>Global increases in the intensity and frequency of elevated temperatures is threatening ecosystem stability and crop yield. Understanding plant thermomorphogenesis is critical for developing climate-resilient crops, yet the underlying mechanisms remain to be clarified. Here, we identify the BEL1-LIKE HOMEODOMAIN transcription factor BLH1 as a critical negative regulator of thermomorphogenesis that modulates the key BRASSINAZOLE-RESISTANT 1 (BZR1)-PHYTOCHROME INTERACTING FACTOR 4 (PIF4) thermomorphogenic regulatory module. Overexpression of BLH1 or its homologs confers high-temperature (HT) insensitivity, whereas blh higher-order mutants exhibit HT hypersensitivity. BLH1 expression is directly repressed by BZR1 and is down-regulated by HT. We further demonstrate that BLH1 directly binds to the PIF4 promoter to repress its transcription and concurrently interacts with the PIF4 protein to inhibit its activity. Overexpression of BLH1 rescues the elongated hypocotyl phenotype in bzr1-1D or PIF4 overexpression plants. Our findings define a BZR1-BLH1-PIF4 regulatory axis that modulates the BZR1-PIF4-auxin-BR-BZR1 positive feedback loop, ensuring a balanced thermomorphogenic response to HT.</w:t>
      </w:r>
    </w:p>
    <w:p>
      <w:pPr>
        <w:spacing w:before="120" w:after="120"/>
      </w:pPr>
      <w:r>
        <w:rPr>
          <w:sz w:val="18"/>
        </w:rPr>
        <w:t>——————————————————————————————————————————————————————————————————————</w:t>
      </w:r>
    </w:p>
    <w:p>
      <w:pPr>
        <w:spacing w:before="160" w:after="40" w:line="240" w:lineRule="auto"/>
      </w:pPr>
      <w:r>
        <w:rPr>
          <w:b/>
        </w:rPr>
        <w:t xml:space="preserve">[27] </w:t>
      </w:r>
      <w:hyperlink r:id="rId328">
        <w:r>
          <w:rPr>
            <w:color w:val="1155CC"/>
            <w:u w:val="single"/>
          </w:rPr>
          <w:t>ZNF689 缺失会损害同源重组，从而使三阴性乳腺癌对 PARP 和 PD-L1 联合抑制敏感</w:t>
        </w:r>
      </w:hyperlink>
    </w:p>
    <w:p>
      <w:pPr>
        <w:spacing w:before="0" w:after="80"/>
      </w:pPr>
      <w:r>
        <w:rPr>
          <w:i/>
          <w:sz w:val="20"/>
        </w:rPr>
        <w:t>EN: ZNF689 loss impairs homologous recombination sensitizing triple-negative breast cancer to combined PARP and PD-L1 inhibition</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三阴性乳腺癌（TNBC）是乳腺癌中最具侵袭性的亚型，由于缺乏有效的靶向治疗，其特点是预后不良。虽然聚（ADP-核糖）聚合酶（PARP）抑制剂有利于 BRCA1/2 突变的 TNBC，但它们对 BRCA 野生型肿瘤的疗效仍然有限。在这项研究中，我们发现了锌指蛋白 689 (ZNF689) 在调节 TNBC 同源重组 (HR) 修复中的关键作用。我们的研究结果表明，响应 DNA 损伤，ZNF689 被 ATM 磷酸化，并通过 E3 连接酶 SKP2 促进 NBS1 泛素化，从而导致 MRN 复合物的稳定和随后的 ATM 激活，从而促进 HR 修复。 ZNF689 缺失显着增强了 TNBC 对 PARP 抑制剂的敏感性，特别是与紫杉醇联合使用时。此外，PARP 抑制可通过激活 STING 通路上调 ZNF689 缺陷的 TNBC 细胞中的 PD-L1 表达。值得注意的是，ZNF689 缺失增强了 PARP 抑制加抗 PD-L1 免疫疗法的治疗效果。总之，这些发现表明 ZNF689 是 HR 修复的关键调节因子，并为 ZNF689 低 TNBC 患者结合 PARP 抑制和 PD-L1 阻断提供了概念验证。</w:t>
      </w:r>
    </w:p>
    <w:p>
      <w:pPr>
        <w:spacing w:before="0" w:after="200" w:lineRule="auto" w:line="276"/>
      </w:pPr>
      <w:r>
        <w:rPr>
          <w:b/>
        </w:rPr>
        <w:t xml:space="preserve">Abstract (EN): </w:t>
      </w:r>
      <w:r>
        <w:t>Triple-negative breast cancer (TNBC) is the most aggressive subtype of breast cancer, characterized by a poor prognosis due to the lack of effective targeted therapies. While poly (ADP-ribose) polymerase (PARP) inhibitors benefit BRCA1/2-mutated TNBC, their efficacy in BRCA wild-type tumors remains limited. In this study, we uncover a critical role of zinc-finger protein 689 (ZNF689) in regulating homologous recombination (HR) repair in TNBC. Our findings reveal that in response to DNA damage, ZNF689 is phosphorylated by ATM and promotes NBS1 ubiquitination via E3 ligase SKP2, leading to the stabilization of the MRN complex and subsequent ATM activation, thereby facilitating HR repair. ZNF689 loss markedly enhances sensitivity to PARP inhibitors in TNBC, particularly when combined with paclitaxel. Furthermore, PARP inhibition upregulates PD-L1 expression in ZNF689-deficient TNBC cells through activation of the STING pathway. Notably, ZNF689 loss enhances the therapeutic efficacy of PARP inhibition plus anti-PD-L1 immunotherapy. Together, these findings suggest ZNF689 as a crucial regulator of HR repair and provide proof-of-concept for combining PARP inhibition and PD-L1 blockade in patients with ZNF689-low TNBC.</w:t>
      </w:r>
    </w:p>
    <w:p>
      <w:pPr>
        <w:spacing w:before="120" w:after="120"/>
      </w:pPr>
      <w:r>
        <w:rPr>
          <w:sz w:val="18"/>
        </w:rPr>
        <w:t>——————————————————————————————————————————————————————————————————————</w:t>
      </w:r>
    </w:p>
    <w:p>
      <w:pPr>
        <w:spacing w:before="160" w:after="40" w:line="240" w:lineRule="auto"/>
      </w:pPr>
      <w:r>
        <w:rPr>
          <w:b/>
        </w:rPr>
        <w:t xml:space="preserve">[28] </w:t>
      </w:r>
      <w:hyperlink r:id="rId329">
        <w:r>
          <w:rPr>
            <w:color w:val="1155CC"/>
            <w:u w:val="single"/>
          </w:rPr>
          <w:t>剪接修饰化合物的特异性和外显子靶空间</w:t>
        </w:r>
      </w:hyperlink>
    </w:p>
    <w:p>
      <w:pPr>
        <w:spacing w:before="0" w:after="80"/>
      </w:pPr>
      <w:r>
        <w:rPr>
          <w:i/>
          <w:sz w:val="20"/>
        </w:rPr>
        <w:t>EN: Specificity and exon target space of splicing modifying compounds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剪接调节是一种既定的治疗策略，具有临床应用和靶向特定外显子以影响基因表达的潜力。 Risdiplam 和 Branaplam 等小分子剪接修饰剂会诱导外显子的包含，这些外显子通常由于 5′" role="presentation"&gt;5′{5}^{{\prime} } 剪接位点较弱而被跳过。Risdiplam 优先在 3′" role="presentation"&gt;3′{3}^{{\prime} } 外显子末端诱导具有 N−3G−2A−1 序列的外显子，而Branaplam 有利于 A−3G−2A−1 结尾的外显子。然而，特异性的决定因素仍不清楚，因为许多基序匹配的外显子未被诱导。在这里，我们研究了剪接调节剂特异性的分子基础。使用生化测定、转录组分析和遗传扰动，我们确定了决定外显子对剪接调节剂诱导的反应性的序列依赖性特征。我们进一步证明，可以通过操纵 U1 snRNA 来重新编程特异性。这些发现完善了剪接调节剂靶空间的决定因素，并可能支持其他靶外显子和化合物的鉴定。</w:t>
      </w:r>
    </w:p>
    <w:p>
      <w:pPr>
        <w:spacing w:before="0" w:after="200" w:lineRule="auto" w:line="276"/>
      </w:pPr>
      <w:r>
        <w:rPr>
          <w:b/>
        </w:rPr>
        <w:t xml:space="preserve">Abstract (EN): </w:t>
      </w:r>
      <w:r>
        <w:t>Modulation of splicing is an established therapeutic strategy with clinical applications and potential to target specific exons to influence gene expression. Small-molecule splicing modifiers such as Risdiplam and Branaplam induce inclusion of exons typically skipped due to weak 5&amp;#x2032;" role="presentation"&gt;5′{5}^{{\prime} } splice sites. Risdiplam preferentially induces exons with an N−3G−2A−1 sequence at the 3&amp;#x2032;" role="presentation"&gt;3′{3}^{{\prime} } exon end, whereas Branaplam favors A−3G−2A−1-ending exons. However, determinants of specificity remain unclear, as many motif-matching exons are not induced. Here, we investigate the molecular basis of splicing-modulator specificity. Using biochemical assays, transcriptome analyses, and genetic perturbations, we identify sequence-dependent features that determine exon responsiveness to splicing-modulator induction. We further demonstrate that specificity can be reprogrammed through manipulation of U1 snRNA. These findings refine the determinants of splicing-modulator target space and may support identification of additional target exons and compounds.</w:t>
      </w:r>
    </w:p>
    <w:p>
      <w:pPr>
        <w:spacing w:before="120" w:after="120"/>
      </w:pPr>
      <w:r>
        <w:rPr>
          <w:sz w:val="18"/>
        </w:rPr>
        <w:t>——————————————————————————————————————————————————————————————————————</w:t>
      </w:r>
    </w:p>
    <w:p>
      <w:pPr>
        <w:spacing w:before="160" w:after="40" w:line="240" w:lineRule="auto"/>
      </w:pPr>
      <w:r>
        <w:rPr>
          <w:b/>
        </w:rPr>
        <w:t xml:space="preserve">[29] </w:t>
      </w:r>
      <w:hyperlink r:id="rId330">
        <w:r>
          <w:rPr>
            <w:color w:val="1155CC"/>
            <w:u w:val="single"/>
          </w:rPr>
          <w:t>外源间充质通过间充质到上皮的转变有助于表皮干细胞的形成</w:t>
        </w:r>
      </w:hyperlink>
    </w:p>
    <w:p>
      <w:pPr>
        <w:spacing w:before="0" w:after="80"/>
      </w:pPr>
      <w:r>
        <w:rPr>
          <w:i/>
          <w:sz w:val="20"/>
        </w:rPr>
        <w:t>EN: Ectomesenchyme contributes to epidermal stem cell formation through mesenchymal-to-epithelial transition</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皮肤发育是由非神经外胚层上皮和下面的间充质细胞之间的串扰启动的。最近的研究表明，一些间充质细胞有助于受损皮肤角质形成细胞的再生。然而，间充质细胞是否有助于生理正常皮肤中角质形成细胞的形成仍不清楚。在这里，我们利用小鼠皮肤的谱系追踪、单细胞转录组和表观基因组分析表明，滤泡间表皮主要由间充质谱系细胞组成。对小鼠胚胎的进一步谱系追踪和实时成像分析表明，这些间充质谱系表皮祖细胞源自外胚层，并通过胚胎第 8.5 天和第 9.5 天之间的间充质到上皮过渡样过程，形成表面外胚层。我们还建立了人类诱导多能干细胞来源的外胚充质，并证明它能产生表达 p63 的角质形成细胞。这些数据揭示了外间充质对皮肤发育的先前未被认识到的贡献，并为涉及表皮嵌合的皮肤疾病提供了见解。</w:t>
      </w:r>
    </w:p>
    <w:p>
      <w:pPr>
        <w:spacing w:before="0" w:after="200" w:lineRule="auto" w:line="276"/>
      </w:pPr>
      <w:r>
        <w:rPr>
          <w:b/>
        </w:rPr>
        <w:t xml:space="preserve">Abstract (EN): </w:t>
      </w:r>
      <w:r>
        <w:t>Cutaneous development is initiated by crosstalk between non-neural ectodermal epithelium and underlying mesenchymal cells. Recent studies have shown that some mesenchymal cells contribute to keratinocyte regeneration in injured skin. However, whether mesenchymal cells contribute to keratinocyte formation in physiologically normal skin remains unclear. Here we show, using lineage tracing, single-cell transcriptome and epigenome analyses of mouse skin, that the interfollicular epidermis consists largely of mesenchymal-lineage cells. Further lineage-tracing and live-imaging analysis of mouse embryos indicate that these mesenchymal-lineage epidermal progenitor cells arise from ectomesenchyme and contribute to the surface ectoderm through a mesenchymal-to-epithelial transition-like process between embryonic days 8.5 and 9.5. We also establish human induced pluripotent stem cell-derived ectomesenchyme and demonstrate that it generates p63-expressing keratinocytes. These data reveal a previously unappreciated contribution of ectomesenchyme to cutaneous development and provide insight into skin diseases involving epidermal mosaicism.</w:t>
      </w:r>
    </w:p>
    <w:p>
      <w:pPr>
        <w:spacing w:before="120" w:after="120"/>
      </w:pPr>
      <w:r>
        <w:rPr>
          <w:sz w:val="18"/>
        </w:rPr>
        <w:t>——————————————————————————————————————————————————————————————————————</w:t>
      </w:r>
    </w:p>
    <w:p>
      <w:pPr>
        <w:spacing w:before="160" w:after="40" w:line="240" w:lineRule="auto"/>
      </w:pPr>
      <w:r>
        <w:rPr>
          <w:b/>
        </w:rPr>
        <w:t xml:space="preserve">[30] </w:t>
      </w:r>
      <w:hyperlink r:id="rId331">
        <w:r>
          <w:rPr>
            <w:color w:val="1155CC"/>
            <w:u w:val="single"/>
          </w:rPr>
          <w:t>快速和慢速时间尺度的视觉学习是由灵长类动物颞下皮层的独特可塑性规则驱动的</w:t>
        </w:r>
      </w:hyperlink>
    </w:p>
    <w:p>
      <w:pPr>
        <w:spacing w:before="0" w:after="80"/>
      </w:pPr>
      <w:r>
        <w:rPr>
          <w:i/>
          <w:sz w:val="20"/>
        </w:rPr>
        <w:t>EN: Visual learning at fast and slow timescales is driven by distinct plasticity rules in primate inferotemporal cortex</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我们学习识别大量熟悉的物体，这个过程涉及颞下皮层（IT）活动中与学习相关的变化。发现熟悉性学习机制的一个挑战是，它跨越从几分钟到几天的多个时间尺度，并且伴随着细胞、突触和网络属性的同时变化。我们利用综合实验理论方法，使用两只雄性猕猴在会话内和会话间熟悉度学习期间的 IT 记录来推断潜在的可塑性机制。我们确定了与学习相关的变化的两个时间尺度，从几分钟到几天，与不同的突触和细胞机制一致。在整个会话中，平均反应随着熟悉程度逐渐下降，这与突触可塑性一致。相反，会话内的变化，包括快速响应衰减和自发活动增加，与内在的可塑性机制相一致。赋予从实验中推断出的学习规则的循环网络复制了观察到的学习动态，支持了我们对不同学习机制的假设——长时间尺度上的缓慢的突触可塑性和短时间尺度上的快速的内在可塑性。</w:t>
      </w:r>
    </w:p>
    <w:p>
      <w:pPr>
        <w:spacing w:before="0" w:after="200" w:lineRule="auto" w:line="276"/>
      </w:pPr>
      <w:r>
        <w:rPr>
          <w:b/>
        </w:rPr>
        <w:t xml:space="preserve">Abstract (EN): </w:t>
      </w:r>
      <w:r>
        <w:t>We learn to recognize a vast array of familiar objects, a process involving learning-related changes in inferotemporal cortex (IT) activity. A challenge to discovering mechanisms of familiarity learning is that it spans multiple timescales from minutes to days, and is accompanied by simultaneous changes in cellular, synaptic, and network properties. We leverage an integrated experimental-theoretical approach, using IT recordings in two male macaques during familiarity learning within and across sessions to infer underlying plasticity mechanisms. We identified two timescales of learning-related changes spanning minutes to days, consistent with distinct synaptic and cellular mechanisms. Across sessions, averaged responses gradually decreased with familiarity, consistent with synaptic plasticity. In contrast, within-session changes, including rapid response decay and increased spontaneous activity, aligned with intrinsic plasticity mechanisms. Recurrent networks endowed with learning rules inferred from experiments replicated the observed learning dynamics, supporting our hypothesis of distinct learning mechanisms - slow, synaptic plasticity at long timescales and fast, intrinsic plasticity at short timescales.</w:t>
      </w:r>
    </w:p>
    <w:p>
      <w:pPr>
        <w:spacing w:before="120" w:after="120"/>
      </w:pPr>
      <w:r>
        <w:rPr>
          <w:sz w:val="18"/>
        </w:rPr>
        <w:t>——————————————————————————————————————————————————————————————————————</w:t>
      </w:r>
    </w:p>
    <w:p>
      <w:pPr>
        <w:spacing w:before="160" w:after="40" w:line="240" w:lineRule="auto"/>
      </w:pPr>
      <w:r>
        <w:rPr>
          <w:b/>
        </w:rPr>
        <w:t xml:space="preserve">[31] </w:t>
      </w:r>
      <w:hyperlink r:id="rId332">
        <w:r>
          <w:rPr>
            <w:color w:val="1155CC"/>
            <w:u w:val="single"/>
          </w:rPr>
          <w:t>利用深度学习模型对顺式调控代码和核小体组织进行位置解释</w:t>
        </w:r>
      </w:hyperlink>
    </w:p>
    <w:p>
      <w:pPr>
        <w:spacing w:before="0" w:after="80"/>
      </w:pPr>
      <w:r>
        <w:rPr>
          <w:i/>
          <w:sz w:val="20"/>
        </w:rPr>
        <w:t>EN: Positional interpretation of cis-regulatory code and nucleosome organization with deep learning models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序列到功能神经网络学习驱动多种类型基因组数据的顺式调控序列规则。解释这些模型以将序列规则与潜在的生物过程联系起来仍然具有挑战性，特别是对于复杂的基因组读数，例如 MNase-seq，它映射核小体占据，但受到实验偏差的混淆。在这里，我们引入了序列归因的成对影响（PISA），它使用归因来组合解码哪些碱基对特定基因组坐标的读数有贡献。 PISA 可视化转录因子基序的影响，检测具有复杂贡献模式的未被发现的基序，并揭示实验偏差。通过了解 MNase-seq 的偏差，PISA 实现了前所未有的核小体预测模型。这些模型允许从头发现核小体定位基序，并通过系统基序扰动揭示 Micro-C 染色质结构域边界的基础。最后，这些模型允许设计具有改变的核小体配置的序列。这些结果表明，PISA 是一种多功能工具，可以扩展我们在基因组数据上训练和解释序列功能神经网络并理解底层顺式调控代码的能力。</w:t>
      </w:r>
    </w:p>
    <w:p>
      <w:pPr>
        <w:spacing w:before="0" w:after="200" w:lineRule="auto" w:line="276"/>
      </w:pPr>
      <w:r>
        <w:rPr>
          <w:b/>
        </w:rPr>
        <w:t xml:space="preserve">Abstract (EN): </w:t>
      </w:r>
      <w:r>
        <w:t>Sequence-to-function neural networks learn cis-regulatory sequence rules driving many types of genomic data. Interpreting these models to relate the sequence rules to underlying biological processes remains challenging, especially for complex genomic readouts such as MNase-seq, which maps nucleosome occupancy but is confounded by experimental bias. Here, we introduce pairwise influence by sequence attribution (PISA), which uses attribution to combinatorially decode which bases contributed to the readout at a specific genomic coordinate. PISA visualizes the effects of transcription factor motifs, detects undiscovered motifs with complex contribution patterns, and reveals experimental biases. By learning the bias for MNase-seq, PISA enables unprecedented nucleosome prediction models. These models allow the de novo discovery of nucleosome-positioning motifs and reveal the basis of Micro-C chromatin domain boundaries through systematic motif perturbations. Finally, these models allow the design of sequences with altered nucleosome configurations. These results show that PISA is a versatile tool that expands our ability to train and interpret sequence-to-function neural networks on genomics data and understand the underlying cis-regulatory code.</w:t>
      </w:r>
    </w:p>
    <w:p>
      <w:pPr>
        <w:spacing w:before="120" w:after="120"/>
      </w:pPr>
      <w:r>
        <w:rPr>
          <w:sz w:val="18"/>
        </w:rPr>
        <w:t>——————————————————————————————————————————————————————————————————————</w:t>
      </w:r>
    </w:p>
    <w:p>
      <w:pPr>
        <w:spacing w:before="160" w:after="40" w:line="240" w:lineRule="auto"/>
      </w:pPr>
      <w:r>
        <w:rPr>
          <w:b/>
        </w:rPr>
        <w:t xml:space="preserve">[32] </w:t>
      </w:r>
      <w:hyperlink r:id="rId333">
        <w:r>
          <w:rPr>
            <w:color w:val="1155CC"/>
            <w:u w:val="single"/>
          </w:rPr>
          <w:t>CSF1R 调节单核细胞亚群分化和细胞内代谢</w:t>
        </w:r>
      </w:hyperlink>
    </w:p>
    <w:p>
      <w:pPr>
        <w:spacing w:before="0" w:after="80"/>
      </w:pPr>
      <w:r>
        <w:rPr>
          <w:i/>
          <w:sz w:val="20"/>
        </w:rPr>
        <w:t>EN: CSF1R regulates monocyte subset differentiation and intracellular metabolism</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单核细胞是血管稳态、先天免疫和炎症的关键循环效应器。在小鼠骨髓中产生后，经典 (Ly6Chigh) 单核细胞被动员到血液循环中，在那里它们成熟为非经典 (Ly6Clow) 巡逻单核细胞，或者被招募到外周组织中，在那里它们分化为组织驻留或炎症巨噬细胞。单核细胞和巨噬细胞表达 CSF1R (CD115)，即谱系特异性生长因子 CSF1 和 IL-34 的受体。在这里，我们报告说，急性 CSF1R 阻断或基因缺失会负面干扰单核细胞的细胞内代谢，并部分通过削弱 Ly6Chigh 单核细胞的分化来减少血液 Ly6Clow 单核细胞。基于谷氨酰胺-果糖-6-磷酸转氨酶 1 (GFPT1) 的谱系特异性缺失，己糖胺生物合成途径 (HBP) 被确定为 CSF1R 表达和单核细胞亚群的重要调节因子。抑制受体酪氨酸激酶 CSF1R 和 FLT3 重新连接并部分损害人类单核细胞的代谢活动。我们的研究结果提供了对 CSF1R 信号传导、代谢调节以及单核细胞存活和分化之间联系的见解。</w:t>
      </w:r>
    </w:p>
    <w:p>
      <w:pPr>
        <w:spacing w:before="0" w:after="200" w:lineRule="auto" w:line="276"/>
      </w:pPr>
      <w:r>
        <w:rPr>
          <w:b/>
        </w:rPr>
        <w:t xml:space="preserve">Abstract (EN): </w:t>
      </w:r>
      <w:r>
        <w:t>Monocytes are key circulating effectors of vascular homeostasis, innate immunity and inflammation. Following their generation in mouse bone marrow, classical (Ly6Chigh) monocytes are mobilized into the blood circulation where they mature into non-classical (Ly6Clow) patrolling monocytes or are recruited into peripheral tissues where they differentiate into tissue resident or inflammatory macrophages. Monocytes and macrophages express CSF1R (CD115), the receptor for lineage-specific growth factors CSF1 and IL-34. Here, we report that acute CSF1R blockade or genetic deletion negatively interferes with monocyte intracellular metabolism and reduces blood Ly6Clow monocytes in part by blunting differentiation of Ly6Chigh monocytes. Based upon lineage-specific deletion of Glutamine-Fructose-6-Phosphate Transaminase 1 (GFPT1), the hexosamine biosynthetic pathway (HBP) is identified as an important regulator of CSF1R expression and monocyte subsets. Inhibition of receptor tyrosine kinases CSF1R and FLT3 rewires and partially impairs metabolic activity in human monocytes. Our findings provide insights into the link between CSF1R signaling, metabolic regulation, and monocyte survival and differentiation.</w:t>
      </w:r>
    </w:p>
    <w:p>
      <w:pPr>
        <w:spacing w:before="120" w:after="120"/>
      </w:pPr>
      <w:r>
        <w:rPr>
          <w:sz w:val="18"/>
        </w:rPr>
        <w:t>——————————————————————————————————————————————————————————————————————</w:t>
      </w:r>
    </w:p>
    <w:p>
      <w:pPr>
        <w:spacing w:before="160" w:after="40" w:line="240" w:lineRule="auto"/>
      </w:pPr>
      <w:r>
        <w:rPr>
          <w:b/>
        </w:rPr>
        <w:t xml:space="preserve">[33] </w:t>
      </w:r>
      <w:hyperlink r:id="rId334">
        <w:r>
          <w:rPr>
            <w:color w:val="1155CC"/>
            <w:u w:val="single"/>
          </w:rPr>
          <w:t>一种基于似然性的尖峰序列重放识别方法</w:t>
        </w:r>
      </w:hyperlink>
    </w:p>
    <w:p>
      <w:pPr>
        <w:spacing w:before="0" w:after="80"/>
      </w:pPr>
      <w:r>
        <w:rPr>
          <w:i/>
          <w:sz w:val="20"/>
        </w:rPr>
        <w:t>EN: A likelihood-based method for identifying replay from spike sequences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海马体重放（位置细胞的顺序重新激活）与记忆回忆、巩固和规划有关，但传统分析依赖于空间调谐并排除非位置细胞，从而限制了其范围。没有空间模板的基于模型的分析通常依赖于预定义的参数和约束模式定义，这使得它们对参数敏感并且可能存在偏差。为了解决这些限制，我们开发了一种分析方法，根据在主动行为期间观察到的成对发射顺序概率来估计尖峰序列的可能性，而不管它们的行为相关性如何。我们使用模拟、大鼠单单元记录和小鼠钙成像验证了该方法，显示出与传统重放指标的强烈一致性和广泛的适用性。当应用于被动观看自然电影刺激的头部固定小鼠时，该方法在海马体和视觉皮层中检测到显着的重放，证明了其在揭示跨大脑区域和感觉域的结构化重放方面的实用性。</w:t>
      </w:r>
    </w:p>
    <w:p>
      <w:pPr>
        <w:spacing w:before="0" w:after="200" w:lineRule="auto" w:line="276"/>
      </w:pPr>
      <w:r>
        <w:rPr>
          <w:b/>
        </w:rPr>
        <w:t xml:space="preserve">Abstract (EN): </w:t>
      </w:r>
      <w:r>
        <w:t>Hippocampal replay—sequential reactivation of place cells—has been implicated in memory recall, consolidation and planning, but traditional analyses rely on spatial tuning and exclude non-place cells, limiting their scope. Model-based analyses without spatial templates often depend on predefined parameters and constrained pattern definitions, making them parameter-sensitive and potentially biased. To address these limitations, we developed an analysis that estimates the likelihood of spike sequences based on pairwise firing order probabilities observed during active behavior regardless of their behavioral correlates. We validated the method using simulations, rat single-unit recordings, and mouse calcium imaging, showing strong agreement with conventional replay metrics and broad applicability. When applied to head-fixed mice passively viewing naturalistic movie stimuli, the method detected significant replay in both hippocampus and visual cortex, demonstrating its utility in uncovering structured replay across brain regions and sensory domains.</w:t>
      </w:r>
    </w:p>
    <w:p>
      <w:pPr>
        <w:spacing w:before="120" w:after="120"/>
      </w:pPr>
      <w:r>
        <w:rPr>
          <w:sz w:val="18"/>
        </w:rPr>
        <w:t>——————————————————————————————————————————————————————————————————————</w:t>
      </w:r>
    </w:p>
    <w:p>
      <w:pPr>
        <w:spacing w:before="160" w:after="40" w:line="240" w:lineRule="auto"/>
      </w:pPr>
      <w:r>
        <w:rPr>
          <w:b/>
        </w:rPr>
        <w:t xml:space="preserve">[34] </w:t>
      </w:r>
      <w:hyperlink r:id="rId335">
        <w:r>
          <w:rPr>
            <w:color w:val="1155CC"/>
            <w:u w:val="single"/>
          </w:rPr>
          <w:t>物种分布对气候变化的生态进化反应</w:t>
        </w:r>
      </w:hyperlink>
    </w:p>
    <w:p>
      <w:pPr>
        <w:spacing w:before="0" w:after="80"/>
      </w:pPr>
      <w:r>
        <w:rPr>
          <w:i/>
          <w:sz w:val="20"/>
        </w:rPr>
        <w:t>EN: Eco-evolutionary responses of species distributions to climate change</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物种海拔变化是对气候变化的有据可查的反应，许多物种向上坡移动以追踪合适的条件。然而，这些变化在方向和速率上都有很大差异，而且这种变化的根本原因尚不清楚。本研究通过分析全球 845 个动植物物种记录中成对的下缘和上缘变化，探讨了海拔变化如何取决于地理区域以及物种的气候生态位、全球流行率和进化历史。我们发现这些驱动因素对分配上限和分配下限有明显的影响。热带物种的下缘向上移动速度比温带物种更快。具有更温暖和更湿润的最佳气候生态位的物种表现出更快的上边缘变化，而那些只有更湿润的气候生态位的物种则表现出更快的下边缘变化。全球流行的物种通过将较快的上缘进步与较慢的下缘收缩相结合，随着气候变化扩大了它们的分布，这可能反映了它们对干燥气候的适应。重要的是，这些生态效应与系统发育效应基本重叠，而系统发育保守主义独立解释了海拔反应变化的显着部分。这些发现凸显了进化历史和生态过程在影响物种气候反应方面的复杂性，并强调了某些物种由于其进化惯性而面临的气候脆弱性。</w:t>
      </w:r>
    </w:p>
    <w:p>
      <w:pPr>
        <w:spacing w:before="0" w:after="200" w:lineRule="auto" w:line="276"/>
      </w:pPr>
      <w:r>
        <w:rPr>
          <w:b/>
        </w:rPr>
        <w:t xml:space="preserve">Abstract (EN): </w:t>
      </w:r>
      <w:r>
        <w:t>Species elevational shifts are well-documented responses to climate change, with many moving upslope to track suitable conditions. However, these shifts can vary considerably in both direction and rate, and the underlying causes of this variability are not well understood. This study examines how elevational shifts depend on geographical zones along with species’ climatic niches, global prevalence, and evolutionary history by analyzing paired lower and upper edge shifts across 845 plant and animal species records worldwide. We find distinct effects of these drivers on upper versus lower distribution limits. Tropical species experienced more rapid upward shifts of their lower edges than did temperate species. Species with warmer and wetter optimal climatic niches displayed faster upper-edge shifts, while those only with wetter ones showed more rapid lower-edge shifts. Globally prevalent species expanded their distributions with climate change by combining faster upper-edge advances with slower lower-edge contractions, likely reflecting their drier climatic adaptation. Importantly, these ecological effects overlapped substantially with phylogenetic effects, and phylogenetic conservatism independently explained a notable portion of the variation in elevational responses. These findings highlight the complexity of evolutionary history and ecological processes in shaping species’ climate responses and underscore the climate vulnerability of some species due to their evolutionary inertia.</w:t>
      </w:r>
    </w:p>
    <w:p>
      <w:pPr>
        <w:spacing w:before="120" w:after="120"/>
      </w:pPr>
      <w:r>
        <w:rPr>
          <w:sz w:val="18"/>
        </w:rPr>
        <w:t>——————————————————————————————————————————————————————————————————————</w:t>
      </w:r>
    </w:p>
    <w:p>
      <w:pPr>
        <w:spacing w:before="160" w:after="40" w:line="240" w:lineRule="auto"/>
      </w:pPr>
      <w:r>
        <w:rPr>
          <w:b/>
        </w:rPr>
        <w:t xml:space="preserve">[35] </w:t>
      </w:r>
      <w:hyperlink r:id="rId336">
        <w:r>
          <w:rPr>
            <w:color w:val="1155CC"/>
            <w:u w:val="single"/>
          </w:rPr>
          <w:t>集体自消费社区中数据驱动的能源共享：中期预测集成框架</w:t>
        </w:r>
      </w:hyperlink>
    </w:p>
    <w:p>
      <w:pPr>
        <w:spacing w:before="0" w:after="80"/>
      </w:pPr>
      <w:r>
        <w:rPr>
          <w:i/>
          <w:sz w:val="20"/>
        </w:rPr>
        <w:t>EN: Data-driven energy sharing in collective self-consumption communities: a medium-term predictive ensemble framework</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337">
        <w:r>
          <w:rPr>
            <w:color w:val="1155CC"/>
            <w:u w:val="single"/>
          </w:rPr>
          <w:t>非唤醒和唤醒条件下风力发电机的动态响应</w:t>
        </w:r>
      </w:hyperlink>
    </w:p>
    <w:p>
      <w:pPr>
        <w:spacing w:before="0" w:after="80"/>
      </w:pPr>
      <w:r>
        <w:rPr>
          <w:i/>
          <w:sz w:val="20"/>
        </w:rPr>
        <w:t>EN: Dynamic responses of wind turbines under unwaked and waked conditions</w:t>
      </w:r>
    </w:p>
    <w:p>
      <w:pPr>
        <w:spacing w:before="0" w:after="120"/>
      </w:pPr>
      <w:r>
        <w:rPr>
          <w:b/>
        </w:rPr>
        <w:t xml:space="preserve">Source: </w:t>
      </w:r>
      <w:r>
        <w:t>ScienceDirect Publication: Applied Energy</w:t>
      </w:r>
      <w:r>
        <w:t xml:space="preserve">    </w:t>
      </w:r>
      <w:r>
        <w:rPr>
          <w:b/>
        </w:rPr>
        <w:t xml:space="preserve">Pub date: </w:t>
      </w:r>
      <w:r>
        <w:t>2026-07-04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338">
        <w:r>
          <w:rPr>
            <w:color w:val="1155CC"/>
            <w:u w:val="single"/>
          </w:rPr>
          <w:t>交替极性电解可利用氯化钠实现高效的对映选择性半频哪醇重排</w:t>
        </w:r>
      </w:hyperlink>
    </w:p>
    <w:p>
      <w:pPr>
        <w:spacing w:before="0" w:after="80"/>
      </w:pPr>
      <w:r>
        <w:rPr>
          <w:i/>
          <w:sz w:val="20"/>
        </w:rPr>
        <w:t>EN: Alternating-Polarity Electrolysis Enables Efficient Enantioselective Semipinacol Rearrangement Using Sodium Chloride</w:t>
      </w:r>
    </w:p>
    <w:p>
      <w:pPr>
        <w:spacing w:before="0" w:after="120"/>
      </w:pPr>
      <w:r>
        <w:rPr>
          <w:b/>
        </w:rPr>
        <w:t xml:space="preserve">Source: </w:t>
      </w:r>
      <w:r>
        <w:t>Journal of the American Chemical Society: Latest Articles (ACS Publications)</w:t>
      </w:r>
      <w:r>
        <w:t xml:space="preserve">    </w:t>
      </w:r>
      <w:r>
        <w:rPr>
          <w:b/>
        </w:rPr>
        <w:t xml:space="preserve">Pub date: </w:t>
      </w:r>
      <w:r>
        <w:t>2026-07-04 00:00:00+00:00</w:t>
      </w:r>
      <w:r>
        <w:t xml:space="preserve">    </w:t>
      </w:r>
      <w:r>
        <w:rPr>
          <w:b/>
        </w:rPr>
        <w:t xml:space="preserve">DOI: </w:t>
      </w:r>
      <w:hyperlink r:id="rId339">
        <w:r>
          <w:rPr>
            <w:color w:val="1155CC"/>
            <w:u w:val="single"/>
          </w:rPr>
          <w:t>10.1021/jacs.6c09845</w:t>
        </w:r>
      </w:hyperlink>
    </w:p>
    <w:p>
      <w:pPr>
        <w:spacing w:before="0" w:after="120"/>
      </w:pPr>
      <w:r>
        <w:rPr>
          <w:b/>
        </w:rPr>
        <w:t xml:space="preserve">Notes: </w:t>
      </w:r>
      <w:r>
        <w:t>abstract_source=openalex</w:t>
      </w:r>
    </w:p>
    <w:p>
      <w:pPr>
        <w:spacing w:before="0" w:after="80" w:lineRule="auto" w:line="276"/>
      </w:pPr>
      <w:r>
        <w:rPr>
          <w:b/>
        </w:rPr>
        <w:t xml:space="preserve">摘要（ZH）: </w:t>
      </w:r>
      <w:r>
        <w:t>高分辨率图片 下载 MS PowerPoint 幻灯片 使用可持续氯化物源进行对映选择性氯化一直是有机合成领域的追求。摆脱化学计量、腐蚀性和昂贵的亲电子试剂，我们报告使用 NaCl 作为绿色氯源，用于有机分子的对映选择性氯化，而不需要化学氧化剂。通过利用电化学原位氧化，我们展示了第一个电驱动的对映选择性半频那醇重排。该方法的核心是双有机催化剂相转移系统，可协同管理相转移和对映体诱导。值得注意的是，交流电（AC）的实施被证明对于防止催化剂沉积在电极表面上至关重要，从而在综合有用的规模上实现高效率。这项工作代表了交流电在不对称电合成中的罕见应用及其在有机催化中的首次应用。合成了多种具有全碳季立体中心的环状和功能化酮，具有高对映选择性和优异的官能团相容性。控制实验、循环伏安法以及 DFT 计算支持的详细机制见解进一步阐明了催化循环。该协议为未来使用可持续氯化物来源的对映选择性氯化过程建立了一个实用平台。</w:t>
      </w:r>
    </w:p>
    <w:p>
      <w:pPr>
        <w:spacing w:before="0" w:after="200" w:lineRule="auto" w:line="276"/>
      </w:pPr>
      <w:r>
        <w:rPr>
          <w:b/>
        </w:rPr>
        <w:t xml:space="preserve">Abstract (EN): </w:t>
      </w:r>
      <w:r>
        <w:t>High Resolution Image Download MS PowerPoint Slide Enantioselective chlorination using sustainable chloride sources has long been a pursuit in organic synthesis. Moving away from stoichiometric, corrosive, and costly electrophilic reagents, we report the use of NaCl as a green chlorine source for the enantioselective chlorination of organic molecules without the need for chemical oxidants. By leveraging electrochemical in situ oxidation, we demonstrate the first electricity-driven enantioselective semipinacol rearrangement. Central to this approach is a dual-organocatalyst phase-transfer system that synergistically manages both phase transfer and enantiomeric induction. Notably, the implementation of alternating current (AC) proved essential in preventing catalyst deposition on the electrode surface, enabling high efficiency at a synthetically useful scale. This work represents a rare application of AC in asymmetric electrosynthesis and its inaugural use in organocatalysis. A variety of cyclic and functionalized ketones bearing all-carbon quaternary stereocenters were synthesized with high enantioselectivity and excellent functional group compatibility. Detailed mechanistic insights supported by control experiments and cyclic voltammetry as well as DFT calculation further elucidate the catalytic cycle. This protocol establishes a practical platform for future enantioselective chlorination processes using sustainable chloride sources.</w:t>
      </w:r>
    </w:p>
    <w:p>
      <w:pPr>
        <w:spacing w:before="120" w:after="120"/>
      </w:pPr>
      <w:r>
        <w:rPr>
          <w:sz w:val="18"/>
        </w:rPr>
        <w:t>——————————————————————————————————————————————————————————————————————</w:t>
      </w:r>
    </w:p>
    <w:p>
      <w:pPr>
        <w:spacing w:before="160" w:after="40" w:line="240" w:lineRule="auto"/>
      </w:pPr>
      <w:r>
        <w:rPr>
          <w:b/>
        </w:rPr>
        <w:t xml:space="preserve">[38] </w:t>
      </w:r>
      <w:hyperlink r:id="rId340">
        <w:r>
          <w:rPr>
            <w:color w:val="1155CC"/>
            <w:u w:val="single"/>
          </w:rPr>
          <w:t>动态贝叶斯模型揭示灵长类动物前额叶-杏仁核网络中社交凝视的因果动力学</w:t>
        </w:r>
      </w:hyperlink>
    </w:p>
    <w:p>
      <w:pPr>
        <w:spacing w:before="0" w:after="80"/>
      </w:pPr>
      <w:r>
        <w:rPr>
          <w:i/>
          <w:sz w:val="20"/>
        </w:rPr>
        <w:t>EN: Causal Dynamics of Social Gaze in Primate Prefrontal-Amygdala Networks Revealed by Dynamic Bayesian Modeling</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社交凝视是灵长类动物交​​流的基本渠道，可塑造动态互动并促进相互理解。虽然之前的研究已经绘制了前额叶-杏仁核回路中社交凝视的行为相关性，但这些相互作用的因果结构仍然知之甚少。在这里，我们开发了一种算法，将雄性猕猴独立记录的会话整合到“超级会话”中，并使用地面实况合成数据进行验证，从而能够重建与匹配的注视序列对齐的同时多区域记录。将动态贝叶斯网络分析应用于这些超级会话，我们揭示了杏仁核、眶额皮层、背内侧前额叶皮层（dmPFC）和前扣带皮层之间的时间结构、行为依赖的因果相互作用。当猕猴成为社交目光的目标时，大脑行为网络表现出正向时间调节，dmPFC 成为主要来源，杏仁核成为影响的主要接受者。当猕猴将目光转向它们的伴侣时，dmPFC 和杏仁核保留了各自的角色。前额叶区域相互正向调节，而杏仁核仅作为下游目标，接收专门负向调节的前额叶输入。这些发现揭示了灵长类动物社交大脑中以前未知的定向相互作用，并强调了社会注意力双向动态背后的独特因果结构。</w:t>
      </w:r>
    </w:p>
    <w:p>
      <w:pPr>
        <w:spacing w:before="0" w:after="200" w:lineRule="auto" w:line="276"/>
      </w:pPr>
      <w:r>
        <w:rPr>
          <w:b/>
        </w:rPr>
        <w:t xml:space="preserve">Abstract (EN): </w:t>
      </w:r>
      <w:r>
        <w:t>Social gaze is a fundamental channel of primate communication, shaping dynamic interactions and fostering mutual understanding. While prior studies have mapped the behavioral correlates of social gaze across the prefrontal-amygdala circuits, the causal architecture of these interactions remains poorly understood. Here, we develop an algorithm to integrate independently recorded sessions from male macaques into “super-sessions”, validated using ground-truth synthetic data, enabling the reconstruction of simultaneous multi-area recordings aligned to matched gaze sequences. Applying Dynamic Bayesian Network analysis to these super-sessions, we uncover temporally structured, behavior-dependent causal interactions among the amygdala, orbitofrontal cortex, dorsomedial prefrontal cortex (dmPFC), and anterior cingulate cortex. When macaques were the targets of social gaze, the brain-behavior network exhibited positive temporal modulations, with the dmPFC emerging as the dominant source and the amygdala as a primary recipient of influence. When macaques directed their gaze toward their partners, the dmPFC and amygdala retained their respective roles. Prefrontal regions positively modulated one another, while the amygdala acted solely as a downstream target receiving exclusively negatively modulated prefrontal inputs. These findings reveal previously unknown directional interactions in the primate social brain and highlight distinct causal architectures underlying the bidirectional dynamics of social attention.</w:t>
      </w:r>
    </w:p>
    <w:p>
      <w:pPr>
        <w:spacing w:before="120" w:after="120"/>
      </w:pPr>
      <w:r>
        <w:rPr>
          <w:sz w:val="18"/>
        </w:rPr>
        <w:t>——————————————————————————————————————————————————————————————————————</w:t>
      </w:r>
    </w:p>
    <w:p>
      <w:pPr>
        <w:spacing w:before="160" w:after="40" w:line="240" w:lineRule="auto"/>
      </w:pPr>
      <w:r>
        <w:rPr>
          <w:b/>
        </w:rPr>
        <w:t xml:space="preserve">[39] </w:t>
      </w:r>
      <w:hyperlink r:id="rId341">
        <w:r>
          <w:rPr>
            <w:color w:val="1155CC"/>
            <w:u w:val="single"/>
          </w:rPr>
          <w:t>心脏代谢特征的大规模多祖先线粒体变异关联分析</w:t>
        </w:r>
      </w:hyperlink>
    </w:p>
    <w:p>
      <w:pPr>
        <w:spacing w:before="0" w:after="80"/>
      </w:pPr>
      <w:r>
        <w:rPr>
          <w:i/>
          <w:sz w:val="20"/>
        </w:rPr>
        <w:t>EN: A large-scale multi-ancestry mitochondrial variant association analysis for cardiometabolic traits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将线粒体 DNA (mtDNA) 与复杂性状联系起来的研究通常受到样本量较小的限制，或者侧重于临床选择的队列中的特定表型。在这里，我们使用来自百万退伍军人计划 (MVP) 的超过 600,000 名参与者的数据，对欧洲 (EUR)、非洲 (AFR)、美洲混血 (AMR) 和东亚 (EAS) 人群的线粒体 DNA (mtDNA) 变异和心脏代谢表型进行多祖先分析。在验证 248 个 mtDNA 位点后，我们在性别和 2 型糖尿病 (T2D) 分层分析中确定了 10 个祖先分层的单变异关联（8 EUR，2 AFR）和 23 个附加信号。标记单倍群 J、D 环 MT228G &gt; A、MT-ND3 MT10398A &gt; G (p.Thr114Ala)、MT-ND5 MT13708G &gt; A (p.Ala458Thr) 和 MT-CYB MT14798T &gt; C (p.Phe18Leu) 的四个变体与欧洲的甲状腺功能减退症相关，并在英国复制生物样本库 (UKBB) 具有一致的效果。在欧洲女性中，MT-RNR1 MT1555A &gt; G 会增加心脏炎和心力衰竭表型的风险，这支持了先前关于母系遗传性心肌病的报道。基于基因的罕见变异测试（次要等位基因频率≤2%）产生 26 个关联（12 EUR、10 AFR、2 AMR、2 EAS），包括与原发性心肌病（女性）和眼球突出（男性）相关的线粒体 tRNA 负荷。 33 个单变异信号中有 23 个映射到内分泌/代谢类别，表明显着富集（Fisher 精确 P = 0.003）。这些结果定义了 mtDNA 对心脏代谢疾病的祖先和背景特定的贡献，其中显着集中在内分泌特征和公害方面。</w:t>
      </w:r>
    </w:p>
    <w:p>
      <w:pPr>
        <w:spacing w:before="0" w:after="200" w:lineRule="auto" w:line="276"/>
      </w:pPr>
      <w:r>
        <w:rPr>
          <w:b/>
        </w:rPr>
        <w:t xml:space="preserve">Abstract (EN): </w:t>
      </w:r>
      <w:r>
        <w:t>Studies linking mitochondrial DNA (mtDNA) with complex traits are often limited by small sample sizes or focused on specific phenotypes in clinically selected cohorts. Here, we use data from &gt;600,000 participants in the Million Veteran Program (MVP) to perform a multi-ancestry analysis of mitochondrial DNA (mtDNA) variation and cardiometabolic phenotypes across European (EUR), African (AFR), Admixed American (AMR), and East Asian (EAS) populations. After validating 248 mtDNA loci, we identify 10 ancestry-stratified single-variant associations (8 EUR, 2 AFR) and 23 additional signals in sex- and type 2 diabetes (T2D)–stratified analyses. Four variants tagging haplogroup J, D-loop MT228G &gt; A, MT-ND3 MT10398A &gt; G (p.Thr114Ala), MT-ND5 MT13708G &gt; A (p.Ala458Thr), and MT-CYB MT14798T &gt; C (p.Phe18Leu), are associated with hypothyroidism in EUR and replicated in UK Biobank (UKBB) with concordant effects. In EUR females, MT-RNR1 MT1555A &gt; G increases the risk of carditis and heart failure phenotypes, supporting prior reports of maternally inherited cardiomyopathy. Gene-based rare-variant tests (minor allele frequency ≤2%) yield 26 associations (12 EUR, 10 AFR, 2 AMR, 2 EAS), including mitochondrial tRNA burdens linked to primary cardiomyopathy (females) and exophthalmos (males). Twenty-three of the 33 single-variant signals map to the endocrine/metabolic category, indicating significant enrichment (Fisher’s exact P = 0.003). These results define ancestry- and context-specific contributions of mtDNA to cardiometabolic disease, with a notable concentration in endocrine traits, and provide a framework for mtDNA analysis across diverse biobank cohorts.</w:t>
      </w:r>
    </w:p>
    <w:p>
      <w:pPr>
        <w:spacing w:before="120" w:after="120"/>
      </w:pPr>
      <w:r>
        <w:rPr>
          <w:sz w:val="18"/>
        </w:rPr>
        <w:t>——————————————————————————————————————————————————————————————————————</w:t>
      </w:r>
    </w:p>
    <w:p>
      <w:pPr>
        <w:spacing w:before="160" w:after="40" w:line="240" w:lineRule="auto"/>
      </w:pPr>
      <w:r>
        <w:rPr>
          <w:b/>
        </w:rPr>
        <w:t xml:space="preserve">[40] </w:t>
      </w:r>
      <w:hyperlink r:id="rId342">
        <w:r>
          <w:rPr>
            <w:color w:val="1155CC"/>
            <w:u w:val="single"/>
          </w:rPr>
          <w:t>前岛叶高伽玛活动的闭环读数可引导基于价值的决策</w:t>
        </w:r>
      </w:hyperlink>
    </w:p>
    <w:p>
      <w:pPr>
        <w:spacing w:before="0" w:after="80"/>
      </w:pPr>
      <w:r>
        <w:rPr>
          <w:i/>
          <w:sz w:val="20"/>
        </w:rPr>
        <w:t>EN: Closed-loop readout of anterior insula high-gamma activity steers value-based decisions</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决策领域长期以来一直试图了解人类选择变异性的起源。变异性的潜在来源在于正在进行的神经活动的自发波动，这可能会影响多个认知领域的行为。在这里，我们开发了一种闭环颅内脑机接口，可检测宽带伽玛活动（BGA，70-150 Hz）的瞬态波动，以触发取决于高或低神经状态的刺激呈现。使用这种方法，我们研究了前岛叶的自发活动如何影响接受/拒绝决策，涉及结合愉快和不愉快成分的多属性提议。前岛叶高 BGA 之前的提议与前岛叶活动的短暂提议后抑制相关，这使得在假设的多属性选择中倾向于接受不愉快的项目以换取愉快的项目。这些发现表明，亚秒内源性神经波动直接调节选择行为，通过强调内在大脑状态在塑造决策可变性中的关键作用，对当前的神经计算模型提出了挑战。</w:t>
      </w:r>
    </w:p>
    <w:p>
      <w:pPr>
        <w:spacing w:before="0" w:after="200" w:lineRule="auto" w:line="276"/>
      </w:pPr>
      <w:r>
        <w:rPr>
          <w:b/>
        </w:rPr>
        <w:t xml:space="preserve">Abstract (EN): </w:t>
      </w:r>
      <w:r>
        <w:t>The decision-making field has long attempted to understand the origins of human choice variability. A potential source of variability lies in spontaneous fluctuations of ongoing neural activity, which may influence behavior across several cognitive domains. Here, we developed a closed-loop intracranial brain-computer interface that detects transient fluctuations of broadband gamma activity (BGA, 70–150 Hz) to trigger stimulus presentations contingent on high or low neural states. Using this approach, we examined how spontaneous activity in the anterior insula influences accept/reject decisions involving multi-attribute offers combining pleasant and unpleasant components. Offers preceded by high BGA in the anterior insula were associated with a transient post-offer suppression in anterior insula activity, which biased decisions toward accepting an unpleasant item in exchange for a pleasant one in hypothetical multi-attribute choices. These findings demonstrate that sub-second endogenous neural fluctuations directly modulate choice behavior, challenging current neuro-computational models by emphasizing the critical role of intrinsic brain states in shaping decision variability.</w:t>
      </w:r>
    </w:p>
    <w:p>
      <w:pPr>
        <w:spacing w:before="120" w:after="120"/>
      </w:pPr>
      <w:r>
        <w:rPr>
          <w:sz w:val="18"/>
        </w:rPr>
        <w:t>——————————————————————————————————————————————————————————————————————</w:t>
      </w:r>
    </w:p>
    <w:p>
      <w:pPr>
        <w:spacing w:before="160" w:after="40" w:line="240" w:lineRule="auto"/>
      </w:pPr>
      <w:r>
        <w:rPr>
          <w:b/>
        </w:rPr>
        <w:t xml:space="preserve">[41] </w:t>
      </w:r>
      <w:hyperlink r:id="rId343">
        <w:r>
          <w:rPr>
            <w:color w:val="1155CC"/>
            <w:u w:val="single"/>
          </w:rPr>
          <w:t>谷氨酸信号是儿童数学和阅读能力的大脑结构组织的基础</w:t>
        </w:r>
      </w:hyperlink>
    </w:p>
    <w:p>
      <w:pPr>
        <w:spacing w:before="0" w:after="80"/>
      </w:pPr>
      <w:r>
        <w:rPr>
          <w:i/>
          <w:sz w:val="20"/>
        </w:rPr>
        <w:t>EN: Glutamatergic signaling underlies brain structural organization for mathematical and reading abilities in children</w:t>
      </w:r>
    </w:p>
    <w:p>
      <w:pPr>
        <w:spacing w:before="0" w:after="120"/>
      </w:pPr>
      <w:r>
        <w:rPr>
          <w:b/>
        </w:rPr>
        <w:t xml:space="preserve">Source: </w:t>
      </w:r>
      <w:r>
        <w:t>Biological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儿童数学和阅读能力个体差异背后的神经化学机制仍然很大程度上未知。在这里，我们研究了两个独立儿童群体（N = 991）中神经递质系统如何与支持这些能力的大脑结构组织相关。我们将与学习成绩相关的全脑结构表型映射到包含 19 种神经递质受体和转运蛋白的综合 PET 图谱上。在这两个领域和队列中，NMDA 谷氨酸受体分布显示出与支持学术能力的大脑结构组织最一致的关联（数学的复制贝叶斯因子 &gt;9e4；阅读的复制贝叶斯因子 &gt;4）。 NMDA 受体密度与数学能力的多个功能网络相对应，但在阅读的视觉网络中显示出更多的空间集中关联，表明共享的和特定领域的神经化学机制。多巴胺能、胆碱能、血清素能和 GABA 能系统表现出较弱、不可复制的关联。这些发现将分子神经化学和支持学术技能的宏观大脑结构联系起来，将谷氨酸信号确定为解决学习障碍干预措施的候选目标。</w:t>
      </w:r>
    </w:p>
    <w:p>
      <w:pPr>
        <w:spacing w:before="0" w:after="200" w:lineRule="auto" w:line="276"/>
      </w:pPr>
      <w:r>
        <w:rPr>
          <w:b/>
        </w:rPr>
        <w:t xml:space="preserve">Abstract (EN): </w:t>
      </w:r>
      <w:r>
        <w:t>The neurochemical mechanisms underlying individual differences in children’s mathematical and reading abilities remain largely unknown. Here we investigate how neurotransmitter systems relate to brain structural organization supporting these abilities in two independent cohorts of children (N = 991). We mapped brain-wide structural phenotypes associated with academic performance onto a comprehensive PET atlas of 19 neurotransmitter receptors and transporters. Across both domains and cohorts, NMDA glutamatergic receptor distribution showed the most consistent associations with brain structural organization supporting academic abilities (replication Bayes factors &gt;9e4 for mathematics; &gt;4 for reading). NMDA receptor density corresponded with multiple functional networks for mathematical abilities but showed more spatially focused associations within visual networks for reading, suggesting both shared and domain-specific neurochemical mechanisms. Dopaminergic, cholinergic, serotonergic, and GABAergic systems showed weaker, non-replicable associations. These findings bridge molecular neurochemistry and macro-scale brain architecture supporting academic skills, identifying glutamatergic signaling as a candidate target for interventions addressing learning disabilities.</w:t>
      </w:r>
    </w:p>
    <w:p>
      <w:pPr>
        <w:spacing w:before="120" w:after="120"/>
      </w:pPr>
      <w:r>
        <w:rPr>
          <w:sz w:val="18"/>
        </w:rPr>
        <w:t>——————————————————————————————————————————————————————————————————————</w:t>
      </w:r>
    </w:p>
    <w:p>
      <w:pPr>
        <w:spacing w:before="160" w:after="40" w:line="240" w:lineRule="auto"/>
      </w:pPr>
      <w:r>
        <w:rPr>
          <w:b/>
        </w:rPr>
        <w:t xml:space="preserve">[42] </w:t>
      </w:r>
      <w:hyperlink r:id="rId344">
        <w:r>
          <w:rPr>
            <w:color w:val="1155CC"/>
            <w:u w:val="single"/>
          </w:rPr>
          <w:t>北太平洋融水削弱了大西洋经向翻转环流并为 Heinrich Stadial 1 奠定了先决条件</w:t>
        </w:r>
      </w:hyperlink>
    </w:p>
    <w:p>
      <w:pPr>
        <w:spacing w:before="0" w:after="80"/>
      </w:pPr>
      <w:r>
        <w:rPr>
          <w:i/>
          <w:sz w:val="20"/>
        </w:rPr>
        <w:t>EN: North Pacific meltwater weakens the Atlantic Meridional Overturning Circulation and preconditions Heinrich Stadial 1</w:t>
      </w:r>
    </w:p>
    <w:p>
      <w:pPr>
        <w:spacing w:before="0" w:after="120"/>
      </w:pPr>
      <w:r>
        <w:rPr>
          <w:b/>
        </w:rPr>
        <w:t xml:space="preserve">Source: </w:t>
      </w:r>
      <w:r>
        <w:t>Earth and environmental sciences : Nature Communications subject feeds</w:t>
      </w:r>
      <w:r>
        <w:t xml:space="preserve">    </w:t>
      </w:r>
      <w:r>
        <w:rPr>
          <w:b/>
        </w:rPr>
        <w:t xml:space="preserve">Pub date: </w:t>
      </w:r>
      <w:r>
        <w:t>2026-07-04 00:00:00+00:00</w:t>
      </w:r>
    </w:p>
    <w:p>
      <w:pPr>
        <w:spacing w:before="0" w:after="120"/>
      </w:pPr>
      <w:r>
        <w:rPr>
          <w:b/>
        </w:rPr>
        <w:t xml:space="preserve">Notes: </w:t>
      </w:r>
      <w:r>
        <w:t>abstract_source=nature_html</w:t>
      </w:r>
    </w:p>
    <w:p>
      <w:pPr>
        <w:spacing w:before="0" w:after="80" w:lineRule="auto" w:line="276"/>
      </w:pPr>
      <w:r>
        <w:rPr>
          <w:b/>
        </w:rPr>
        <w:t xml:space="preserve">摘要（ZH）: </w:t>
      </w:r>
      <w:r>
        <w:t>Heinrich Stadials 提供了有关大西洋经向翻转环流 (AMOC) 未来可能减弱的见解，但在这些时间间隔内驱动 AMOC 减弱的机制仍然难以捉摸。虽然海因里希·斯塔迪亚尔斯与北大西洋的冰山放电事件（即海因里希事件）有关，但已知 AMOC 减弱先于海因里希事件。在这里，我们进行了淡水冲洗实验，以表明同期东北太平洋冰山排放事件（即 Siku 事件）持续发生在 Heinrich Stadials 爆发时，可能会通过将淡水输送到北大西洋深水形成区域来引发 AMOC 减弱。这种最初的减弱随后可能会因北大西洋东北部和北部的地下逐步变暖而引起的英国和劳伦太德冰原的进一步融水释放而放大。我们的研究结果表明，Siku 事件可能在北大西洋海因里希事件的预处理中发挥了关键作用，强调了全球海洋-冰冻圈系统相互关联的性质。</w:t>
      </w:r>
    </w:p>
    <w:p>
      <w:pPr>
        <w:spacing w:before="0" w:after="200" w:lineRule="auto" w:line="276"/>
      </w:pPr>
      <w:r>
        <w:rPr>
          <w:b/>
        </w:rPr>
        <w:t xml:space="preserve">Abstract (EN): </w:t>
      </w:r>
      <w:r>
        <w:t>Heinrich Stadials provide insights into a potential future weakening of the Atlantic Meridional Overturning Circulation (AMOC), yet the mechanisms driving AMOC weakening during these intervals remain elusive. While Heinrich Stadials are associated with iceberg-discharge events over the North Atlantic (i.e., Heinrich events), AMOC weakening is known to precede Heinrich events. Here we run freshwater hosing experiments to show that contemporaneous Northeast Pacific iceberg-discharge events (i.e., Siku events), which consistently occur at the onsets of Heinrich Stadials, could trigger AMOC weakening by transporting freshwater to the North Atlantic deepwater formation regions. This initial weakening may subsequently be amplified by further meltwater release from the British and Laurentide Ice Sheets, induced by stepwise subsurface warming in the northeastern and northern North Atlantic. Our findings suggest that Siku events may have played a critical role in preconditioning the North Atlantic for Heinrich events, underscoring the interconnected nature of the global ocean–cryosphere system.</w:t>
      </w:r>
    </w:p>
    <w:p>
      <w:pPr>
        <w:spacing w:before="120" w:after="120"/>
      </w:pPr>
      <w:r>
        <w:rPr>
          <w:sz w:val="18"/>
        </w:rPr>
        <w:t>——————————————————————————————————————————————————————————————————————</w:t>
      </w:r>
    </w:p>
    <w:p>
      <w:pPr>
        <w:spacing w:before="160" w:after="40" w:line="240" w:lineRule="auto"/>
      </w:pPr>
      <w:r>
        <w:rPr>
          <w:b/>
        </w:rPr>
        <w:t xml:space="preserve">[43] </w:t>
      </w:r>
      <w:hyperlink r:id="rId345">
        <w:r>
          <w:rPr>
            <w:color w:val="1155CC"/>
            <w:u w:val="single"/>
          </w:rPr>
          <w:t>动态电位图指导大型电动汽车充电站的实时协调</w:t>
        </w:r>
      </w:hyperlink>
    </w:p>
    <w:p>
      <w:pPr>
        <w:spacing w:before="0" w:after="80"/>
      </w:pPr>
      <w:r>
        <w:rPr>
          <w:i/>
          <w:sz w:val="20"/>
        </w:rPr>
        <w:t>EN: Dynamic potential graphs guided real-time coordination for large-scale EV charging stations</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346">
        <w:r>
          <w:rPr>
            <w:color w:val="1155CC"/>
            <w:u w:val="single"/>
          </w:rPr>
          <w:t>企业感知到的政治不稳定是否会影响能源贫困？</w:t>
        </w:r>
      </w:hyperlink>
    </w:p>
    <w:p>
      <w:pPr>
        <w:spacing w:before="0" w:after="80"/>
      </w:pPr>
      <w:r>
        <w:rPr>
          <w:i/>
          <w:sz w:val="20"/>
        </w:rPr>
        <w:t>EN: Does firms’ perceived political instability affect energy poverty?</w:t>
      </w:r>
    </w:p>
    <w:p>
      <w:pPr>
        <w:spacing w:before="0" w:after="120"/>
      </w:pPr>
      <w:r>
        <w:rPr>
          <w:b/>
        </w:rPr>
        <w:t xml:space="preserve">Source: </w:t>
      </w:r>
      <w:r>
        <w:t>ScienceDirect Publication: Energy Policy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347">
        <w:r>
          <w:rPr>
            <w:color w:val="1155CC"/>
            <w:u w:val="single"/>
          </w:rPr>
          <w:t>新兴国家和发展中国家不确定性下的金融包容性以及获得清洁烹饪燃料和技术的机会</w:t>
        </w:r>
      </w:hyperlink>
    </w:p>
    <w:p>
      <w:pPr>
        <w:spacing w:before="0" w:after="80"/>
      </w:pPr>
      <w:r>
        <w:rPr>
          <w:i/>
          <w:sz w:val="20"/>
        </w:rPr>
        <w:t>EN: Financial inclusion and access to clean cooking fuels and technologies under uncertainty in emerging and developing countries</w:t>
      </w:r>
    </w:p>
    <w:p>
      <w:pPr>
        <w:spacing w:before="0" w:after="120"/>
      </w:pPr>
      <w:r>
        <w:rPr>
          <w:b/>
        </w:rPr>
        <w:t xml:space="preserve">Source: </w:t>
      </w:r>
      <w:r>
        <w:t>ScienceDirect Publication: Energy Policy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348">
        <w:r>
          <w:rPr>
            <w:color w:val="1155CC"/>
            <w:u w:val="single"/>
          </w:rPr>
          <w:t>基于外场调制的 Weyl 半金属薄膜的液体中痕量 Pb 2+ 太赫兹传感器</w:t>
        </w:r>
      </w:hyperlink>
    </w:p>
    <w:p>
      <w:pPr>
        <w:spacing w:before="0" w:after="80"/>
      </w:pPr>
      <w:r>
        <w:rPr>
          <w:i/>
          <w:sz w:val="20"/>
        </w:rPr>
        <w:t>EN: Terahertz Sensor for Trace Pb 2+ in Liquid Based on Weyl Semimetal Films with External Field Modulation</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349">
        <w:r>
          <w:rPr>
            <w:color w:val="1155CC"/>
            <w:u w:val="single"/>
          </w:rPr>
          <w:t>10.1021/acsami.6c10290</w:t>
        </w:r>
      </w:hyperlink>
    </w:p>
    <w:p>
      <w:pPr>
        <w:spacing w:before="0" w:after="120"/>
      </w:pPr>
      <w:r>
        <w:rPr>
          <w:b/>
        </w:rPr>
        <w:t xml:space="preserve">Notes: </w:t>
      </w:r>
      <w:r>
        <w:t>abstract_source=pubmed</w:t>
      </w:r>
    </w:p>
    <w:p>
      <w:pPr>
        <w:spacing w:before="0" w:after="80" w:lineRule="auto" w:line="276"/>
      </w:pPr>
      <w:r>
        <w:rPr>
          <w:b/>
        </w:rPr>
        <w:t xml:space="preserve">摘要（ZH）: </w:t>
      </w:r>
      <w:r>
        <w:t>液体环境中痕量铅离子 (Pb2+) 的快速、非直接接触和超灵敏检测仍然是环境监测和公共卫生保护的关键挑战。传统的分析技术通常需要复杂的样品预处理、直接电极接触或笨重的仪器，限制了其实际适用性。在这里，我们报告了一种在 0.1 THz 下工作的非直接接触、无标记太赫兹 (THz) 传感器，该传感器基于磁控溅射制造的 Weyl 半金属 (WSM) 薄膜，并与叉指电极结构集成。传感响应源自由吸附的 Pb2+ 触发的 Weyl 半金属中太赫兹电导率的调制，并得到材料的拓扑表面状态、高载流子迁移率以及与贝里曲率相关的非线性传输特性的支持。引入激光照明和声激励作为辅助调制策略，以增强信噪比、增加响应幅度、降低噪声等效功率（NEP），从而进一步提高检测灵敏度。该传感器对液体样品中 Pb2+ 的检测限达到 6.0 ng/L，并表现出线性浓度响应关系。这项工作集成了拓扑量子材料、太赫兹光电子学和协同多物理场调节，建立了可行的传感框架，为实时现场环境监测和液体痕量重金属定量提供了实用途径。</w:t>
      </w:r>
    </w:p>
    <w:p>
      <w:pPr>
        <w:spacing w:before="0" w:after="200" w:lineRule="auto" w:line="276"/>
      </w:pPr>
      <w:r>
        <w:rPr>
          <w:b/>
        </w:rPr>
        <w:t xml:space="preserve">Abstract (EN): </w:t>
      </w:r>
      <w:r>
        <w:t>The rapid, nondirect contact and ultrasensitive detection of trace lead ions (Pb2+) in liquid environments remains a critical challenge for environmental monitoring and public health protection. Conventional analytical techniques often require complex sample pretreatment, direct electrode contact, or bulky instrumentation, limiting their practical applicability. Here, we report a nondirect contact, label-free terahertz (THz) sensor operating at 0.1 THz, based on Weyl semimetal (WSM) thin films fabricated by magnetron sputtering and integrated with an interdigitated electrode structure. The sensing response arises from the modulation of terahertz conductivity in Weyl semimetals triggered by adsorbed Pb2+, supported by the material's topological surface states, high carrier mobility, and nonlinear transport properties associated with Berry curvature. Laser illumination and acoustic excitation are introduced as auxiliary modulation strategies to enhance the signal-to-noise ratio, increase response amplitude, and reduce the noise-equivalent power (NEP), thereby further improving the detection sensitivity. The sensor reaches a limit of detection of 6.0 ng/L for Pb2+ in liquid samples and exhibits a linear concentration response relationship. This work integrates topological quantum materials, terahertz optoelectronics and synergistic multiphysics field regulation to establish a feasible sensing framework, offering a practical route toward real-time field environmental monitoring and liquid trace heavy metal quantification.</w:t>
      </w:r>
    </w:p>
    <w:p>
      <w:pPr>
        <w:spacing w:before="120" w:after="120"/>
      </w:pPr>
      <w:r>
        <w:rPr>
          <w:sz w:val="18"/>
        </w:rPr>
        <w:t>——————————————————————————————————————————————————————————————————————</w:t>
      </w:r>
    </w:p>
    <w:p>
      <w:pPr>
        <w:spacing w:before="160" w:after="40" w:line="240" w:lineRule="auto"/>
      </w:pPr>
      <w:r>
        <w:rPr>
          <w:b/>
        </w:rPr>
        <w:t xml:space="preserve">[47] </w:t>
      </w:r>
      <w:hyperlink r:id="rId350">
        <w:r>
          <w:rPr>
            <w:color w:val="1155CC"/>
            <w:u w:val="single"/>
          </w:rPr>
          <w:t>高效光控半导体器件的多维界面结构设计：忆阻突触案例研究</w:t>
        </w:r>
      </w:hyperlink>
    </w:p>
    <w:p>
      <w:pPr>
        <w:spacing w:before="0" w:after="80"/>
      </w:pPr>
      <w:r>
        <w:rPr>
          <w:i/>
          <w:sz w:val="20"/>
        </w:rPr>
        <w:t>EN: Multidimensional Interface Structure Design for High-Efficiency Optically Controlled Semiconductor Devices: A Case Study on Memristive Synapses</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351">
        <w:r>
          <w:rPr>
            <w:color w:val="1155CC"/>
            <w:u w:val="single"/>
          </w:rPr>
          <w:t>10.1021/acsami.6c06343</w:t>
        </w:r>
      </w:hyperlink>
    </w:p>
    <w:p>
      <w:pPr>
        <w:spacing w:before="0" w:after="120"/>
      </w:pPr>
      <w:r>
        <w:rPr>
          <w:b/>
        </w:rPr>
        <w:t xml:space="preserve">Notes: </w:t>
      </w:r>
      <w:r>
        <w:t>abstract_source=pubmed</w:t>
      </w:r>
    </w:p>
    <w:p>
      <w:pPr>
        <w:spacing w:before="0" w:after="80" w:lineRule="auto" w:line="276"/>
      </w:pPr>
      <w:r>
        <w:rPr>
          <w:b/>
        </w:rPr>
        <w:t xml:space="preserve">摘要（ZH）: </w:t>
      </w:r>
      <w:r>
        <w:t>全光控半导体器件对于下一代神经拟态计算和人工视觉至关重要，但由于难以实现可逆光调制以及高运行效率和稳定性，这些器件仍然具有挑战性。在此，通过灵活的解决方案工艺设计并制造了基于二维（2D）薄膜/氧化物量子点（QD）的多维界面结构。该结构具有显着扩大的有效界面面积，显着增强了光生载流子分离和界面电荷注入效率。因此，在紫外光下实现了完全光学驱动的可逆操作，消除了对电刺激的需要。该器件具有高灵敏度、出色的非易失性和强大的突触功能，包括“学习-遗忘-再学习”动态。此外，阵列成功地模拟了人类的视觉感知和记忆，展示了对光强度和持续时间的动态响应。值得注意的是，在强照明（&gt;1.77 W·cm-2）下观察到自我保护光学RESET效应，从而实现可逆调节并防止数据异常。这项工作克服了光电耦合的关键限制，为高效、低串扰的神经形态视觉系统和光学驱动机器人提供了一个有前景的平台。</w:t>
      </w:r>
    </w:p>
    <w:p>
      <w:pPr>
        <w:spacing w:before="0" w:after="200" w:lineRule="auto" w:line="276"/>
      </w:pPr>
      <w:r>
        <w:rPr>
          <w:b/>
        </w:rPr>
        <w:t xml:space="preserve">Abstract (EN): </w:t>
      </w:r>
      <w:r>
        <w:t>All-optically controlled semiconductor devices are pivotal for next-generation neuromorphic computing and artificial vision, yet these remain challenging due to the difficulty in achieving reversible optical modulation as well as high operational efficiency and stability. Herein, a multidimensional interface structure based on two-dimensional (2D) thin film/oxide quantum dots (QDs) has been designed and fabricated via a flexible solution process. This architecture features a significantly enlarged effective interface area, which dramatically enhances photogenerated carrier separation and interfacial charge injection efficiency. Consequently, fully optically driven reversible operations are realized under ultraviolet light, eliminating the need for electrical stimuli. The device exhibits high sensitivity, excellent nonvolatility, and robust synaptic functions, including "learning-forgetting-relearning" dynamics. Furthermore, an array successfully emulates human visual perception and memory, demonstrating a dynamic response to light intensity and duration. Remarkably, a self-protective optical RESET effect is observed under strong illumination (&gt;1.77 W·cm-2), enabling reversible regulation and safeguarding against data anomalies. This work overcomes critical limitations of photoelectric coupling and presents a promising platform for high-efficiency, low-crosstalk neuromorphic vision systems and optically driven robotics.</w:t>
      </w:r>
    </w:p>
    <w:p>
      <w:pPr>
        <w:spacing w:before="120" w:after="120"/>
      </w:pPr>
      <w:r>
        <w:rPr>
          <w:sz w:val="18"/>
        </w:rPr>
        <w:t>——————————————————————————————————————————————————————————————————————</w:t>
      </w:r>
    </w:p>
    <w:p>
      <w:pPr>
        <w:spacing w:before="160" w:after="40" w:line="240" w:lineRule="auto"/>
      </w:pPr>
      <w:r>
        <w:rPr>
          <w:b/>
        </w:rPr>
        <w:t xml:space="preserve">[48] </w:t>
      </w:r>
      <w:hyperlink r:id="rId352">
        <w:r>
          <w:rPr>
            <w:color w:val="1155CC"/>
            <w:u w:val="single"/>
          </w:rPr>
          <w:t>静电纺丝液晶弹性体作为无应力热响应和光响应执行器</w:t>
        </w:r>
      </w:hyperlink>
    </w:p>
    <w:p>
      <w:pPr>
        <w:spacing w:before="0" w:after="80"/>
      </w:pPr>
      <w:r>
        <w:rPr>
          <w:i/>
          <w:sz w:val="20"/>
        </w:rPr>
        <w:t>EN: Electrospun Liquid Crystal Elastomers as Stress-Free Thermo- and Photoresponsive Actuators</w:t>
      </w:r>
    </w:p>
    <w:p>
      <w:pPr>
        <w:spacing w:before="0" w:after="120"/>
      </w:pPr>
      <w:r>
        <w:rPr>
          <w:b/>
        </w:rPr>
        <w:t xml:space="preserve">Source: </w:t>
      </w:r>
      <w:r>
        <w:t>ACS Applied Materials &amp; Interfaces: Latest Articles (ACS Publications)</w:t>
      </w:r>
      <w:r>
        <w:t xml:space="preserve">    </w:t>
      </w:r>
      <w:r>
        <w:rPr>
          <w:b/>
        </w:rPr>
        <w:t xml:space="preserve">Pub date: </w:t>
      </w:r>
      <w:r>
        <w:t>2026-07-05 00:00:00+00:00</w:t>
      </w:r>
      <w:r>
        <w:t xml:space="preserve">    </w:t>
      </w:r>
      <w:r>
        <w:rPr>
          <w:b/>
        </w:rPr>
        <w:t xml:space="preserve">DOI: </w:t>
      </w:r>
      <w:hyperlink r:id="rId353">
        <w:r>
          <w:rPr>
            <w:color w:val="1155CC"/>
            <w:u w:val="single"/>
          </w:rPr>
          <w:t>10.1021/acsami.6c09275</w:t>
        </w:r>
      </w:hyperlink>
    </w:p>
    <w:p>
      <w:pPr>
        <w:spacing w:before="0" w:after="120"/>
      </w:pPr>
      <w:r>
        <w:rPr>
          <w:b/>
        </w:rPr>
        <w:t xml:space="preserve">Notes: </w:t>
      </w:r>
      <w:r>
        <w:t>abstract_source=pubmed</w:t>
      </w:r>
    </w:p>
    <w:p>
      <w:pPr>
        <w:spacing w:before="0" w:after="80" w:lineRule="auto" w:line="276"/>
      </w:pPr>
      <w:r>
        <w:rPr>
          <w:b/>
        </w:rPr>
        <w:t xml:space="preserve">摘要（ZH）: </w:t>
      </w:r>
      <w:r>
        <w:t>基于液晶弹性体 (LCE) 的执行器可以实现可逆且复杂的形状变化，可用于软机器人、执行器、表面触觉、光控微流体和人造肌肉。 LCE 驱动的一个关键先决条件在于介晶单元的预定排列。在这里，我们描述了使用静电纺丝结合同时光交联来制造 LCE 执行器的单步制造工艺。设计和合成支化低聚物是为了解决电纺性和交联密度之间的权衡问题。此外，优化光引发剂系统和静电纺丝装置使我们能够实现液晶域的长程排列。这些纤维材料表现出令人印象深刻的无应力热驱动，无需外部负载，可逆变形达到 30% 以上。此外，我们通过集成光热染料探索光响应行为，从而实现由紫外线或蓝光触发的运动。这些结果为开发适合软机器人和人造肌肉应用的智能材料提供了一个可扩展的框架。</w:t>
      </w:r>
    </w:p>
    <w:p>
      <w:pPr>
        <w:spacing w:before="0" w:after="200" w:lineRule="auto" w:line="276"/>
      </w:pPr>
      <w:r>
        <w:rPr>
          <w:b/>
        </w:rPr>
        <w:t xml:space="preserve">Abstract (EN): </w:t>
      </w:r>
      <w:r>
        <w:t>Actuators based on liquid crystalline elastomers (LCEs) can realize reversible and complex shape changes exploitable in soft robotics, actuators, surface haptics, photocontrolled microfluidic, and artificial muscles. A key prerequisite for the actuation of LCEs lies in predetermined alignment of mesogenic units. Here, we describe a single-step fabrication process for manufacturing LCE actuators using electrospinning coupled with simultaneous photo-cross-linking. Branched oligomers were designed and synthesized to address the trade-off between electrospinnability and cross-linking density. Moreover, optimizing the photoinitiator system and electrospinning setup allowed us to achieve long-range alignment of liquid crystalline domains. These fibrous materials display impressive stress-free thermal actuation without the need for external loads, reaching reversible deformations of over 30%. Additionally, we explored photoresponsive behavior by integrating photothermal dyes, enabling movement triggered by either UV or blue light. These results provide a scalable framework for developing smart materials suitable for applications in soft robotics and artificial muscles.</w:t>
      </w:r>
    </w:p>
    <w:p>
      <w:pPr>
        <w:spacing w:before="120" w:after="120"/>
      </w:pPr>
      <w:r>
        <w:rPr>
          <w:sz w:val="18"/>
        </w:rPr>
        <w:t>——————————————————————————————————————————————————————————————————————</w:t>
      </w:r>
    </w:p>
    <w:p>
      <w:pPr>
        <w:spacing w:before="160" w:after="40" w:line="240" w:lineRule="auto"/>
      </w:pPr>
      <w:r>
        <w:rPr>
          <w:b/>
        </w:rPr>
        <w:t xml:space="preserve">[49] </w:t>
      </w:r>
      <w:hyperlink r:id="rId354">
        <w:r>
          <w:rPr>
            <w:color w:val="1155CC"/>
            <w:u w:val="single"/>
          </w:rPr>
          <w:t>固相糖脂合成加速脂质体功能化</w:t>
        </w:r>
      </w:hyperlink>
    </w:p>
    <w:p>
      <w:pPr>
        <w:spacing w:before="0" w:after="80"/>
      </w:pPr>
      <w:r>
        <w:rPr>
          <w:i/>
          <w:sz w:val="20"/>
        </w:rPr>
        <w:t>EN: Solid-Phase Glycolipid Synthesis Expedites Liposome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355">
        <w:r>
          <w:rPr>
            <w:color w:val="1155CC"/>
            <w:u w:val="single"/>
          </w:rPr>
          <w:t>10.1021/jacs.6c10089</w:t>
        </w:r>
      </w:hyperlink>
    </w:p>
    <w:p>
      <w:pPr>
        <w:spacing w:before="0" w:after="120"/>
      </w:pPr>
      <w:r>
        <w:rPr>
          <w:b/>
        </w:rPr>
        <w:t xml:space="preserve">Notes: </w:t>
      </w:r>
      <w:r>
        <w:t>abstract_source=pubmed</w:t>
      </w:r>
    </w:p>
    <w:p>
      <w:pPr>
        <w:spacing w:before="0" w:after="80" w:lineRule="auto" w:line="276"/>
      </w:pPr>
      <w:r>
        <w:rPr>
          <w:b/>
        </w:rPr>
        <w:t xml:space="preserve">摘要（ZH）: </w:t>
      </w:r>
      <w:r>
        <w:t>糖脂在免疫调节中发挥着重要作用，这使得它们成为疫苗输送系统有吸引力的成分。然而，获取这些分子仍然是一个主要限制，因为大多数合成方法都依赖于艰巨的溶液相策略。在这里，我们报告了一个统一的固相平台，该平台结合了自动聚糖组装和迭代酰胺偶联，用于在树脂上快速生成各种甘露聚糖和 Gb3 衍生的糖脂。这种模块化方法能够在单一合成框架内实现聚糖和脂质锚结构域的系统多样化。合成结构用于生成具有免疫细胞靶向潜力的糖功能化脂质体纳米颗粒。初步生物学研究表明，抗原呈递细胞能够有效地进行细胞相关摄取，并表明生物学性能不仅受聚糖特性的影响，还受锚定结构的影响。</w:t>
      </w:r>
    </w:p>
    <w:p>
      <w:pPr>
        <w:spacing w:before="0" w:after="200" w:lineRule="auto" w:line="276"/>
      </w:pPr>
      <w:r>
        <w:rPr>
          <w:b/>
        </w:rPr>
        <w:t xml:space="preserve">Abstract (EN): </w:t>
      </w:r>
      <w:r>
        <w:t>Glycolipids play important roles in immune modulation, which makes them attractive components for vaccine delivery systems. However, access to these molecules remains a major limitation as most synthetic approaches rely on arduous solution-phase strategies. Here, we report a unified solid-phase platform that combines automated glycan assembly and iterative amide couplings for the rapid on-resin generation of a variety of mannan- and Gb3-derived glycolipids. This modular method enables the systematic diversification of glycan and lipid-anchor domains within a single synthetic framework. The synthetic constructs were used to generate glyco-functionalized liposomal nanoparticles with potential for immune cell targeting. Preliminary biological studies demonstrate efficient cell-associated uptake by antigen-presenting cells and show that biological performance is governed not only by glycan identity but also by anchor architecture.</w:t>
      </w:r>
    </w:p>
    <w:p>
      <w:pPr>
        <w:spacing w:before="120" w:after="120"/>
      </w:pPr>
      <w:r>
        <w:rPr>
          <w:sz w:val="18"/>
        </w:rPr>
        <w:t>——————————————————————————————————————————————————————————————————————</w:t>
      </w:r>
    </w:p>
    <w:p>
      <w:pPr>
        <w:spacing w:before="160" w:after="40" w:line="240" w:lineRule="auto"/>
      </w:pPr>
      <w:r>
        <w:rPr>
          <w:b/>
        </w:rPr>
        <w:t xml:space="preserve">[50] </w:t>
      </w:r>
      <w:hyperlink r:id="rId356">
        <w:r>
          <w:rPr>
            <w:color w:val="1155CC"/>
            <w:u w:val="single"/>
          </w:rPr>
          <w:t>用于改进立体选择性环氧化物聚合的系统催化剂变化：细微的修改带来卓越的效率</w:t>
        </w:r>
      </w:hyperlink>
    </w:p>
    <w:p>
      <w:pPr>
        <w:spacing w:before="0" w:after="80"/>
      </w:pPr>
      <w:r>
        <w:rPr>
          <w:i/>
          <w:sz w:val="20"/>
        </w:rPr>
        <w:t>EN: Systematic Catalyst Variation for Improved Stereoselective Epoxide Polymerization: Subtle Modifications Resulting in Superior Efficiency</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357">
        <w:r>
          <w:rPr>
            <w:color w:val="1155CC"/>
            <w:u w:val="single"/>
          </w:rPr>
          <w:t>10.1021/jacs.6c02471</w:t>
        </w:r>
      </w:hyperlink>
    </w:p>
    <w:p>
      <w:pPr>
        <w:spacing w:before="0" w:after="120"/>
      </w:pPr>
      <w:r>
        <w:rPr>
          <w:b/>
        </w:rPr>
        <w:t xml:space="preserve">Notes: </w:t>
      </w:r>
      <w:r>
        <w:t>abstract_source=pubmed</w:t>
      </w:r>
    </w:p>
    <w:p>
      <w:pPr>
        <w:spacing w:before="0" w:after="80" w:lineRule="auto" w:line="276"/>
      </w:pPr>
      <w:r>
        <w:rPr>
          <w:b/>
        </w:rPr>
        <w:t xml:space="preserve">摘要（ZH）: </w:t>
      </w:r>
      <w:r>
        <w:t>全同立构聚环氧丙烷 (iPPO) 是一种半结晶聚醚，已成为海洋应用的高强度、可光降解材料。为了提高iPPO的可及性，需要具有更高活性和选择性的催化剂。利用基于计算见解的合理催化剂设计，我们开发了一种灵活束缚的双金属铬催化剂，该催化剂在环氧丙烷（PO）聚合中表现出高对映选择性（krel ∼ 100）和前所未有的活性（TOF ∼ 50,000 h-1）。机理研究表明，高对映选择性源于水杨亚胺部分邻位空间体积的增加，这增加了醇盐链端与处于不利过渡态的配体之间的空间排斥力。此外，引入偕二甲基使两个配体部分之间的柔性链刚性化，通过破坏聚合过程中的静止状态来显着增强催化剂活性。该催化剂在负载量低至 0.5 ppm 时仍保持活性，从而能够合成无色、坚韧的 iPPO。</w:t>
      </w:r>
    </w:p>
    <w:p>
      <w:pPr>
        <w:spacing w:before="0" w:after="200" w:lineRule="auto" w:line="276"/>
      </w:pPr>
      <w:r>
        <w:rPr>
          <w:b/>
        </w:rPr>
        <w:t xml:space="preserve">Abstract (EN): </w:t>
      </w:r>
      <w:r>
        <w:t>Isotactic poly(propylene oxide) (iPPO) is a semicrystalline polyether that has emerged as a high-strength, photodegradable material for marine applications. To improve the accessibility of iPPO, catalysts with higher activity and selectivity are required. Using rational catalyst design informed by computational insights, we developed a flexibly tethered, bimetallic chromium catalyst exhibiting high enantioselectivity (krel ∼ 100) and unprecedented activity (TOF ∼ 50,000 h-1) for propylene oxide (PO) polymerization. Mechanistic studies reveal that high enantioselectivity originates from increased steric bulk at the ortho position of the salicylimine moiety, which increases steric repulsion between the alkoxide chain end and the ligand in the disfavored transition state. Furthermore, introducing geminal dimethyl groups that rigidify the flexible tether between the two ligand moieties significantly enhances catalyst activity by destabilizing the resting state during polymerization. The catalyst remains active at loadings as low as 0.5 ppm, enabling the synthesis of colorless, tough iPPO.</w:t>
      </w:r>
    </w:p>
    <w:p>
      <w:pPr>
        <w:spacing w:before="120" w:after="120"/>
      </w:pPr>
      <w:r>
        <w:rPr>
          <w:sz w:val="18"/>
        </w:rPr>
        <w:t>——————————————————————————————————————————————————————————————————————</w:t>
      </w:r>
    </w:p>
    <w:p>
      <w:pPr>
        <w:spacing w:before="160" w:after="40" w:line="240" w:lineRule="auto"/>
      </w:pPr>
      <w:r>
        <w:rPr>
          <w:b/>
        </w:rPr>
        <w:t xml:space="preserve">[51] </w:t>
      </w:r>
      <w:hyperlink r:id="rId358">
        <w:r>
          <w:rPr>
            <w:color w:val="1155CC"/>
            <w:u w:val="single"/>
          </w:rPr>
          <w:t>铜催化的 Ynamide 的反式选择性芳基烯丙基化：一种非常规的跳跃二烯路线</w:t>
        </w:r>
      </w:hyperlink>
    </w:p>
    <w:p>
      <w:pPr>
        <w:spacing w:before="0" w:after="80"/>
      </w:pPr>
      <w:r>
        <w:rPr>
          <w:i/>
          <w:sz w:val="20"/>
        </w:rPr>
        <w:t>EN: Copper-Catalyzed trans -Selective Aryl-Allylation of Ynamide: An Unconventional Route to Skipped Dienes</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359">
        <w:r>
          <w:rPr>
            <w:color w:val="1155CC"/>
            <w:u w:val="single"/>
          </w:rPr>
          <w:t>10.1021/jacs.6c03240</w:t>
        </w:r>
      </w:hyperlink>
    </w:p>
    <w:p>
      <w:pPr>
        <w:spacing w:before="0" w:after="120"/>
      </w:pPr>
      <w:r>
        <w:rPr>
          <w:b/>
        </w:rPr>
        <w:t xml:space="preserve">Notes: </w:t>
      </w:r>
      <w:r>
        <w:t>abstract_source=pubmed</w:t>
      </w:r>
    </w:p>
    <w:p>
      <w:pPr>
        <w:spacing w:before="0" w:after="80" w:lineRule="auto" w:line="276"/>
      </w:pPr>
      <w:r>
        <w:rPr>
          <w:b/>
        </w:rPr>
        <w:t xml:space="preserve">摘要（ZH）: </w:t>
      </w:r>
      <w:r>
        <w:t>跳跃二烯是多不饱和脂肪酸和生物碱、萜类化合物和聚酮化合物等生物活性分子的基本成分。虽然炔烃的烯丙基化可以直接获得此类二烯，但它在烯丙基单元并入步骤中提出了区域和立体控制挑战。在此，我们提出了一种高度区域和反式选择性的铜催化的炔酰胺三组分芳基烯丙基化反应，使用芳基硼酸和烯丙基卤化物作为偶联伙伴。配体在确定区域选择性和立体选择性结果中起着至关重要的作用。广泛的底物范围表现出出色的不稳定官能团耐受性。使用后期转化获得了有价值的四取代α-羟基-α'-芳基-α”-烯丙基酮和环醚大环化合物。对照实验和 DFT 研究阐明了反式选择性的起源，这是由 ynamide 的吡咯烷酮部分提供的定向效应的结果。</w:t>
      </w:r>
    </w:p>
    <w:p>
      <w:pPr>
        <w:spacing w:before="0" w:after="200" w:lineRule="auto" w:line="276"/>
      </w:pPr>
      <w:r>
        <w:rPr>
          <w:b/>
        </w:rPr>
        <w:t xml:space="preserve">Abstract (EN): </w:t>
      </w:r>
      <w:r>
        <w:t>Skipped dienes are fundamental components of polyunsaturated fatty acids and bioactive molecules like alkaloids, terpenoids, and polyketides. While allylation of alkynes offers straightforward access to such dienes, it poses regio- and stereocontrol challenges in the allyl unit incorporation step. Herein, we present a highly regio- and trans-selective copper-catalyzed three-component aryl-allylation of ynamides using arylboronic acids and allyl halides as coupling partners. The ligand plays a vital role in determining the regio- and stereoselective outcome. Broad substrate scopes demonstrate excellent labile functional group tolerance. Valuable tetrasubstituted α-hydroxy-α'-aryl-α″-allyl ketones and cyclic ether macrocycles were accessed using late-stage transformations. Control experiments and DFT studies elucidate the origin of the trans-selectivity as a consequence of the directing effect provided by the pyrrolidinone moiety of the ynamide.</w:t>
      </w:r>
    </w:p>
    <w:p>
      <w:pPr>
        <w:spacing w:before="120" w:after="120"/>
      </w:pPr>
      <w:r>
        <w:rPr>
          <w:sz w:val="18"/>
        </w:rPr>
        <w:t>——————————————————————————————————————————————————————————————————————</w:t>
      </w:r>
    </w:p>
    <w:p>
      <w:pPr>
        <w:spacing w:before="160" w:after="40" w:line="240" w:lineRule="auto"/>
      </w:pPr>
      <w:r>
        <w:rPr>
          <w:b/>
        </w:rPr>
        <w:t xml:space="preserve">[52] </w:t>
      </w:r>
      <w:hyperlink r:id="rId360">
        <w:r>
          <w:rPr>
            <w:color w:val="1155CC"/>
            <w:u w:val="single"/>
          </w:rPr>
          <w:t>海水微滴上的自由基级联驱动大气汞氧化</w:t>
        </w:r>
      </w:hyperlink>
    </w:p>
    <w:p>
      <w:pPr>
        <w:spacing w:before="0" w:after="80"/>
      </w:pPr>
      <w:r>
        <w:rPr>
          <w:i/>
          <w:sz w:val="20"/>
        </w:rPr>
        <w:t>EN: Radical Cascades on Seawater Microdroplets Drive Atmospheric Mercury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361">
        <w:r>
          <w:rPr>
            <w:color w:val="1155CC"/>
            <w:u w:val="single"/>
          </w:rPr>
          <w:t>10.1021/jacs.6c05171</w:t>
        </w:r>
      </w:hyperlink>
    </w:p>
    <w:p>
      <w:pPr>
        <w:spacing w:before="0" w:after="120"/>
      </w:pPr>
      <w:r>
        <w:rPr>
          <w:b/>
        </w:rPr>
        <w:t xml:space="preserve">Notes: </w:t>
      </w:r>
      <w:r>
        <w:t>abstract_source=pubmed</w:t>
      </w:r>
    </w:p>
    <w:p>
      <w:pPr>
        <w:spacing w:before="0" w:after="80" w:lineRule="auto" w:line="276"/>
      </w:pPr>
      <w:r>
        <w:rPr>
          <w:b/>
        </w:rPr>
        <w:t xml:space="preserve">摘要（ZH）: </w:t>
      </w:r>
      <w:r>
        <w:t>水性微滴的空气-水界面能够自发产生羟基自由基（·OH）。然而，这些主要氧化剂在海水等复杂、富含离子的介质中的环境归宿和影响仍然未知。在这里，我们发现海水微滴的界面维持着自由基级联，这显着增强了其氧化能力，超过了纯水微滴。界面处自发产生的·OH 快速与丰富的溴化物和碳酸氢根离子发生协同反应，引发次级自由基网络，包括活性溴 (·Br) 和碳酸盐 (·CO3-) 物质。通过自由基捕获和光谱方法证明了这种自我维持的界面循环中的共存和相互转化。为了评估这一过程对环境的影响，我们量化了其在气态元素汞暗氧化中的作用。我们的研究结果推进了从单纯的界面氧化剂生成到特定离子的自由基网络的理解，为预测环境水性微滴中的化学反应性提供了一个新的框架。</w:t>
      </w:r>
    </w:p>
    <w:p>
      <w:pPr>
        <w:spacing w:before="0" w:after="200" w:lineRule="auto" w:line="276"/>
      </w:pPr>
      <w:r>
        <w:rPr>
          <w:b/>
        </w:rPr>
        <w:t xml:space="preserve">Abstract (EN): </w:t>
      </w:r>
      <w:r>
        <w:t>The air-water interface of aqueous microdroplets enables the spontaneous generation of hydroxyl radicals (·OH). However, the environmental fate and effect of these primary oxidants in complex, ion-rich media such as seawater remains uncharted. Here, we discover that the interface of seawater microdroplets sustains a radical cascade, which markedly amplifies their oxidative power beyond that of pure water microdroplets. Spontaneously produced ·OH at the interface quickly engages in synergistic reactions with abundant bromide and bicarbonate ions, initiating a network of secondary radicals, including reactive bromine (·Br) and carbonate (·CO3-) species. The coexistence and interconversion within this self-sustaining interfacial cycle are demonstrated through radical trapping and spectroscopic methods. To assess the environmental implications of this process, we have quantified its role in the dark oxidation of gaseous elemental mercury. Our findings advance the understanding from mere interfacial oxidant generation to the radical networks by specific ions, offering a novel framework for predicting chemical reactivity in environmental aqueous microdroplets.</w:t>
      </w:r>
    </w:p>
    <w:p>
      <w:pPr>
        <w:spacing w:before="120" w:after="120"/>
      </w:pPr>
      <w:r>
        <w:rPr>
          <w:sz w:val="18"/>
        </w:rPr>
        <w:t>——————————————————————————————————————————————————————————————————————</w:t>
      </w:r>
    </w:p>
    <w:p>
      <w:pPr>
        <w:spacing w:before="160" w:after="40" w:line="240" w:lineRule="auto"/>
      </w:pPr>
      <w:r>
        <w:rPr>
          <w:b/>
        </w:rPr>
        <w:t xml:space="preserve">[53] </w:t>
      </w:r>
      <w:hyperlink r:id="rId362">
        <w:r>
          <w:rPr>
            <w:color w:val="1155CC"/>
            <w:u w:val="single"/>
          </w:rPr>
          <w:t>振动能源为离网能源获取和可持续能源转型做出贡献</w:t>
        </w:r>
      </w:hyperlink>
    </w:p>
    <w:p>
      <w:pPr>
        <w:spacing w:before="0" w:after="80"/>
      </w:pPr>
      <w:r>
        <w:rPr>
          <w:i/>
          <w:sz w:val="20"/>
        </w:rPr>
        <w:t>EN: Vibration energy as a contributor to off-grid energy access and the sustainable energy transition</w:t>
      </w:r>
    </w:p>
    <w:p>
      <w:pPr>
        <w:spacing w:before="0" w:after="120"/>
      </w:pPr>
      <w:r>
        <w:rPr>
          <w:b/>
        </w:rPr>
        <w:t xml:space="preserve">Source: </w:t>
      </w:r>
      <w:r>
        <w:t>ScienceDirect Publication: Applied Energy</w:t>
      </w:r>
      <w:r>
        <w:t xml:space="preserve">    </w:t>
      </w:r>
      <w:r>
        <w:rPr>
          <w:b/>
        </w:rPr>
        <w:t xml:space="preserve">Pub date: </w:t>
      </w:r>
      <w:r>
        <w:t>2026-07-05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363">
        <w:r>
          <w:rPr>
            <w:color w:val="1155CC"/>
            <w:u w:val="single"/>
          </w:rPr>
          <w:t>具有有序相变的软质多孔 MOF/离子液体复合材料的卓越选择性和快速 NH 3 吸附</w:t>
        </w:r>
      </w:hyperlink>
    </w:p>
    <w:p>
      <w:pPr>
        <w:spacing w:before="0" w:after="80"/>
      </w:pPr>
      <w:r>
        <w:rPr>
          <w:i/>
          <w:sz w:val="20"/>
        </w:rPr>
        <w:t>EN: Superior Selective and Fast NH 3 Adsorption of Soft Porous MOF/Ionic Liquid Composites with Ordering Phase Transitions</w:t>
      </w:r>
    </w:p>
    <w:p>
      <w:pPr>
        <w:spacing w:before="0" w:after="120"/>
      </w:pPr>
      <w:r>
        <w:rPr>
          <w:b/>
        </w:rPr>
        <w:t xml:space="preserve">Source: </w:t>
      </w:r>
      <w:r>
        <w:t>Journal of the American Chemical Society: Latest Articles (ACS Publications)</w:t>
      </w:r>
      <w:r>
        <w:t xml:space="preserve">    </w:t>
      </w:r>
      <w:r>
        <w:rPr>
          <w:b/>
        </w:rPr>
        <w:t xml:space="preserve">Pub date: </w:t>
      </w:r>
      <w:r>
        <w:t>2026-07-05 00:00:00+00:00</w:t>
      </w:r>
      <w:r>
        <w:t xml:space="preserve">    </w:t>
      </w:r>
      <w:r>
        <w:rPr>
          <w:b/>
        </w:rPr>
        <w:t xml:space="preserve">DOI: </w:t>
      </w:r>
      <w:hyperlink r:id="rId364">
        <w:r>
          <w:rPr>
            <w:color w:val="1155CC"/>
            <w:u w:val="single"/>
          </w:rPr>
          <w:t>10.1021/jacs.6c05989</w:t>
        </w:r>
      </w:hyperlink>
    </w:p>
    <w:p>
      <w:pPr>
        <w:spacing w:before="0" w:after="120"/>
      </w:pPr>
      <w:r>
        <w:rPr>
          <w:b/>
        </w:rPr>
        <w:t xml:space="preserve">Notes: </w:t>
      </w:r>
      <w:r>
        <w:t>abstract_source=pubmed</w:t>
      </w:r>
    </w:p>
    <w:p>
      <w:pPr>
        <w:spacing w:before="0" w:after="80" w:lineRule="auto" w:line="276"/>
      </w:pPr>
      <w:r>
        <w:rPr>
          <w:b/>
        </w:rPr>
        <w:t xml:space="preserve">摘要（ZH）: </w:t>
      </w:r>
      <w:r>
        <w:t>尽管有效的氨捕获对于资源利用和可持续发展至关重要，但它仍然是一个重大且尚未解决的挑战。为了实现这一目标，非常需要同时具有高容量、优异的选择性和快速吸附动力学的吸附剂。在这项工作中，我们通过将高度 NH3 亲和力的功能性 IL 与具有扩散促进通道的蒽基 MOF 集成，开发了离子液体负载金属有机框架 (MOF/IL) 复合材料。受益于空间限制的 IL-NH3 的有序相变，该复合材料呈现出独特的“S 形 NH3 吸附等温线”，并且在 298 K 和 1 bar 下的高体积 NH3 吸收量为 455.81 cm3/cm3。此外，在原始 MOF 内额外创建的用高密度离子位点装饰的路径能够特异性识别 NH3 分子，同时促进 NH3 在整个复合基质中的传输，从而确保高选择性和快速吸附动力学。总的来说，这项工作为设计用于高效气体捕获的功能性软多孔材料提供了一种新的范例和简单的方法。</w:t>
      </w:r>
    </w:p>
    <w:p>
      <w:pPr>
        <w:spacing w:before="0" w:after="200" w:lineRule="auto" w:line="276"/>
      </w:pPr>
      <w:r>
        <w:rPr>
          <w:b/>
        </w:rPr>
        <w:t xml:space="preserve">Abstract (EN): </w:t>
      </w:r>
      <w:r>
        <w:t>Efficient NH3 capture remains a significant and unresolved challenge, despite its critical importance for resource utilization and sustainable development. To achieve this goal, adsorbents simultaneously featuring high capacity, superior selectivity, and rapid adsorption kinetics are highly desired. In this work, we developed ionic liquid-loaded metal-organic framework (MOF/IL) composites by integrating highly NH3-affinitive functional IL with anthracene-based MOFs featuring diffusion-facilitated channels. Benefiting from the ordering phase transitions of space-confined IL-NH3, the composite presents a unique "S-shaped NH3 adsorption isotherm" and high volumetric NH3 uptake of 455.81 cm3/cm3 at 298 K and 1 bar. Moreover, the additionally created pathways decorated with a high density of ionic sites localized within the original MOF enable the specific recognition of NH3 molecules while facilitating NH3 transport throughout the composite matrix, thereby ensuring both high selectivity and fast adsorption kinetics. Overall, this work offers a new paradigm and an easy method for designing functional soft porous materials for efficient gas capture.</w:t>
      </w:r>
    </w:p>
    <w:p>
      <w:pPr>
        <w:spacing w:before="120" w:after="120"/>
      </w:pPr>
      <w:r>
        <w:rPr>
          <w:sz w:val="18"/>
        </w:rPr>
        <w:t>——————————————————————————————————————————————————————————————————————</w:t>
      </w:r>
    </w:p>
    <w:p>
      <w:pPr>
        <w:spacing w:before="160" w:after="40" w:line="240" w:lineRule="auto"/>
      </w:pPr>
      <w:r>
        <w:rPr>
          <w:b/>
        </w:rPr>
        <w:t xml:space="preserve">[55] </w:t>
      </w:r>
      <w:hyperlink r:id="rId365">
        <w:r>
          <w:rPr>
            <w:color w:val="1155CC"/>
            <w:u w:val="single"/>
          </w:rPr>
          <w:t>缓解中国未来的地下水压力需要在现有措施之外采取更严格的适应措施</w:t>
        </w:r>
      </w:hyperlink>
    </w:p>
    <w:p>
      <w:pPr>
        <w:spacing w:before="0" w:after="80"/>
      </w:pPr>
      <w:r>
        <w:rPr>
          <w:i/>
          <w:sz w:val="20"/>
        </w:rPr>
        <w:t>EN: Alleviating future groundwater stress in China requires more stringent adaptation beyond existing measures</w:t>
      </w:r>
    </w:p>
    <w:p>
      <w:pPr>
        <w:spacing w:before="0" w:after="120"/>
      </w:pPr>
      <w:r>
        <w:rPr>
          <w:b/>
        </w:rPr>
        <w:t xml:space="preserve">Source: </w:t>
      </w:r>
      <w:r>
        <w:t>One Earth</w:t>
      </w:r>
      <w:r>
        <w:t xml:space="preserve">    </w:t>
      </w:r>
      <w:r>
        <w:rPr>
          <w:b/>
        </w:rPr>
        <w:t xml:space="preserve">Pub date: </w:t>
      </w:r>
      <w:r>
        <w:t>2026-07-06 00:00:00+00:00</w:t>
      </w:r>
      <w:r>
        <w:t xml:space="preserve">    </w:t>
      </w:r>
      <w:r>
        <w:rPr>
          <w:b/>
        </w:rPr>
        <w:t xml:space="preserve">DOI: </w:t>
      </w:r>
      <w:hyperlink r:id="rId366">
        <w:r>
          <w:rPr>
            <w:color w:val="1155CC"/>
            <w:u w:val="single"/>
          </w:rPr>
          <w:t>10.1016/j.oneear.2026.101753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367">
        <w:r>
          <w:rPr>
            <w:color w:val="1155CC"/>
            <w:u w:val="single"/>
          </w:rPr>
          <w:t>工程生活材料需要工程欧盟监管</w:t>
        </w:r>
      </w:hyperlink>
    </w:p>
    <w:p>
      <w:pPr>
        <w:spacing w:before="0" w:after="80"/>
      </w:pPr>
      <w:r>
        <w:rPr>
          <w:i/>
          <w:sz w:val="20"/>
        </w:rPr>
        <w:t>EN: Engineered living materials need engineered EU regulation</w:t>
      </w:r>
    </w:p>
    <w:p>
      <w:pPr>
        <w:spacing w:before="0" w:after="120"/>
      </w:pPr>
      <w:r>
        <w:rPr>
          <w:b/>
        </w:rPr>
        <w:t xml:space="preserve">Source: </w:t>
      </w:r>
      <w:r>
        <w:t>Nature Materials</w:t>
      </w:r>
      <w:r>
        <w:t xml:space="preserve">    </w:t>
      </w:r>
      <w:r>
        <w:rPr>
          <w:b/>
        </w:rPr>
        <w:t xml:space="preserve">Pub date: </w:t>
      </w:r>
      <w:r>
        <w:t>2026-07-06 00:00:00+00:00</w:t>
      </w:r>
      <w:r>
        <w:t xml:space="preserve">    </w:t>
      </w:r>
      <w:r>
        <w:rPr>
          <w:b/>
        </w:rPr>
        <w:t xml:space="preserve">DOI: </w:t>
      </w:r>
      <w:hyperlink r:id="rId368">
        <w:r>
          <w:rPr>
            <w:color w:val="1155CC"/>
            <w:u w:val="single"/>
          </w:rPr>
          <w:t>10.1038/s41563-026-02651-1</w:t>
        </w:r>
      </w:hyperlink>
    </w:p>
    <w:p>
      <w:pPr>
        <w:spacing w:before="0" w:after="120"/>
      </w:pPr>
      <w:r>
        <w:rPr>
          <w:b/>
        </w:rPr>
        <w:t xml:space="preserve">Notes: </w:t>
      </w:r>
      <w:r>
        <w:t>abstract_source=nature_html</w:t>
      </w:r>
    </w:p>
    <w:p>
      <w:pPr>
        <w:spacing w:before="0" w:after="80" w:lineRule="auto" w:line="276"/>
      </w:pPr>
      <w:r>
        <w:rPr>
          <w:b/>
        </w:rPr>
        <w:t xml:space="preserve">摘要（ZH）: </w:t>
      </w:r>
      <w:r>
        <w:t>Kai Purnhagen 和 Justus Wesseler 讨论了欧盟法律如何需要改革以解决生活复合材料的市场准入瓶颈。</w:t>
      </w:r>
    </w:p>
    <w:p>
      <w:pPr>
        <w:spacing w:before="0" w:after="200" w:lineRule="auto" w:line="276"/>
      </w:pPr>
      <w:r>
        <w:rPr>
          <w:b/>
        </w:rPr>
        <w:t xml:space="preserve">Abstract (EN): </w:t>
      </w:r>
      <w:r>
        <w:t>Kai Purnhagen and Justus Wesseler discuss how EU law needs reform to address market access bottlenecks for living composites.</w:t>
      </w:r>
    </w:p>
    <w:p>
      <w:pPr>
        <w:spacing w:before="120" w:after="120"/>
      </w:pPr>
      <w:r>
        <w:rPr>
          <w:sz w:val="18"/>
        </w:rPr>
        <w:t>——————————————————————————————————————————————————————————————————————</w:t>
      </w:r>
    </w:p>
    <w:p>
      <w:pPr>
        <w:spacing w:before="160" w:after="40" w:line="240" w:lineRule="auto"/>
      </w:pPr>
      <w:r>
        <w:rPr>
          <w:b/>
        </w:rPr>
        <w:t xml:space="preserve">[57] </w:t>
      </w:r>
      <w:hyperlink r:id="rId369">
        <w:r>
          <w:rPr>
            <w:color w:val="1155CC"/>
            <w:u w:val="single"/>
          </w:rPr>
          <w:t>克服 Dexter 距离约束：不对称光催化的中继策略</w:t>
        </w:r>
      </w:hyperlink>
    </w:p>
    <w:p>
      <w:pPr>
        <w:spacing w:before="0" w:after="80"/>
      </w:pPr>
      <w:r>
        <w:rPr>
          <w:i/>
          <w:sz w:val="20"/>
        </w:rPr>
        <w:t>EN: Overcoming the Dexter distance constraint: a relay strategy for asymmetric photocatalysis</w:t>
      </w:r>
    </w:p>
    <w:p>
      <w:pPr>
        <w:spacing w:before="0" w:after="120"/>
      </w:pPr>
      <w:r>
        <w:rPr>
          <w:b/>
        </w:rPr>
        <w:t xml:space="preserve">Source: </w:t>
      </w:r>
      <w:r>
        <w:t>National Science Review Advance Access</w:t>
      </w:r>
      <w:r>
        <w:t xml:space="preserve">    </w:t>
      </w:r>
      <w:r>
        <w:rPr>
          <w:b/>
        </w:rPr>
        <w:t xml:space="preserve">Pub date: </w:t>
      </w:r>
      <w:r>
        <w:t>2026-07-06 00:00:00+00:00</w:t>
      </w:r>
      <w:r>
        <w:t xml:space="preserve">    </w:t>
      </w:r>
      <w:r>
        <w:rPr>
          <w:b/>
        </w:rPr>
        <w:t xml:space="preserve">DOI: </w:t>
      </w:r>
      <w:hyperlink r:id="rId370">
        <w:r>
          <w:rPr>
            <w:color w:val="1155CC"/>
            <w:u w:val="single"/>
          </w:rPr>
          <w:t>10.1093/nsr/nwag410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371">
        <w:r>
          <w:rPr>
            <w:color w:val="1155CC"/>
            <w:u w:val="single"/>
          </w:rPr>
          <w:t>高效、安全的体内引物编辑的非病毒途径</w:t>
        </w:r>
      </w:hyperlink>
    </w:p>
    <w:p>
      <w:pPr>
        <w:spacing w:before="0" w:after="80"/>
      </w:pPr>
      <w:r>
        <w:rPr>
          <w:i/>
          <w:sz w:val="20"/>
        </w:rPr>
        <w:t>EN: A non-viral path to efficient and safe prime editing in vivo</w:t>
      </w:r>
    </w:p>
    <w:p>
      <w:pPr>
        <w:spacing w:before="0" w:after="120"/>
      </w:pPr>
      <w:r>
        <w:rPr>
          <w:b/>
        </w:rPr>
        <w:t xml:space="preserve">Source: </w:t>
      </w:r>
      <w:r>
        <w:t>Nature Nanotechnology</w:t>
      </w:r>
      <w:r>
        <w:t xml:space="preserve">    </w:t>
      </w:r>
      <w:r>
        <w:rPr>
          <w:b/>
        </w:rPr>
        <w:t xml:space="preserve">Pub date: </w:t>
      </w:r>
      <w:r>
        <w:t>2026-07-06 00:00:00+00:00</w:t>
      </w:r>
      <w:r>
        <w:t xml:space="preserve">    </w:t>
      </w:r>
      <w:r>
        <w:rPr>
          <w:b/>
        </w:rPr>
        <w:t xml:space="preserve">DOI: </w:t>
      </w:r>
      <w:hyperlink r:id="rId372">
        <w:r>
          <w:rPr>
            <w:color w:val="1155CC"/>
            <w:u w:val="single"/>
          </w:rPr>
          <w:t>10.1038/s41565-026-02205-1</w:t>
        </w:r>
      </w:hyperlink>
    </w:p>
    <w:p>
      <w:pPr>
        <w:spacing w:before="0" w:after="120"/>
      </w:pPr>
      <w:r>
        <w:rPr>
          <w:b/>
        </w:rPr>
        <w:t xml:space="preserve">Notes: </w:t>
      </w:r>
      <w:r>
        <w:t>abstract_source=nature_html</w:t>
      </w:r>
    </w:p>
    <w:p>
      <w:pPr>
        <w:spacing w:before="0" w:after="80" w:lineRule="auto" w:line="276"/>
      </w:pPr>
      <w:r>
        <w:rPr>
          <w:b/>
        </w:rPr>
        <w:t xml:space="preserve">摘要（ZH）: </w:t>
      </w:r>
      <w:r>
        <w:t>解决四个递送瓶颈使得脂质纳米粒子能够在小鼠中实现治疗性引物编辑。</w:t>
      </w:r>
    </w:p>
    <w:p>
      <w:pPr>
        <w:spacing w:before="0" w:after="200" w:lineRule="auto" w:line="276"/>
      </w:pPr>
      <w:r>
        <w:rPr>
          <w:b/>
        </w:rPr>
        <w:t xml:space="preserve">Abstract (EN): </w:t>
      </w:r>
      <w:r>
        <w:t>Solving four delivery bottlenecks enables lipid nanoparticles to achieve curative prime editing in mice.</w:t>
      </w:r>
    </w:p>
    <w:p>
      <w:pPr>
        <w:spacing w:before="120" w:after="120"/>
      </w:pPr>
      <w:r>
        <w:rPr>
          <w:sz w:val="18"/>
        </w:rPr>
        <w:t>——————————————————————————————————————————————————————————————————————</w:t>
      </w:r>
    </w:p>
    <w:p>
      <w:pPr>
        <w:spacing w:before="160" w:after="40" w:line="240" w:lineRule="auto"/>
      </w:pPr>
      <w:r>
        <w:rPr>
          <w:b/>
        </w:rPr>
        <w:t xml:space="preserve">[59] </w:t>
      </w:r>
      <w:hyperlink r:id="rId373">
        <w:r>
          <w:rPr>
            <w:color w:val="1155CC"/>
            <w:u w:val="single"/>
          </w:rPr>
          <w:t>朝着定制设计的自主运动蛋白迈进</w:t>
        </w:r>
      </w:hyperlink>
    </w:p>
    <w:p>
      <w:pPr>
        <w:spacing w:before="0" w:after="80"/>
      </w:pPr>
      <w:r>
        <w:rPr>
          <w:i/>
          <w:sz w:val="20"/>
        </w:rPr>
        <w:t>EN: Stepping ahead toward custom-designed autonomous motor proteins</w:t>
      </w:r>
    </w:p>
    <w:p>
      <w:pPr>
        <w:spacing w:before="0" w:after="120"/>
      </w:pPr>
      <w:r>
        <w:rPr>
          <w:b/>
        </w:rPr>
        <w:t xml:space="preserve">Source: </w:t>
      </w:r>
      <w:r>
        <w:t>Nature Nanotechnology</w:t>
      </w:r>
      <w:r>
        <w:t xml:space="preserve">    </w:t>
      </w:r>
      <w:r>
        <w:rPr>
          <w:b/>
        </w:rPr>
        <w:t xml:space="preserve">Pub date: </w:t>
      </w:r>
      <w:r>
        <w:t>2026-07-06 00:00:00+00:00</w:t>
      </w:r>
      <w:r>
        <w:t xml:space="preserve">    </w:t>
      </w:r>
      <w:r>
        <w:rPr>
          <w:b/>
        </w:rPr>
        <w:t xml:space="preserve">DOI: </w:t>
      </w:r>
      <w:hyperlink r:id="rId374">
        <w:r>
          <w:rPr>
            <w:color w:val="1155CC"/>
            <w:u w:val="single"/>
          </w:rPr>
          <w:t>10.1038/s41565-026-02210-4</w:t>
        </w:r>
      </w:hyperlink>
    </w:p>
    <w:p>
      <w:pPr>
        <w:spacing w:before="0" w:after="120"/>
      </w:pPr>
      <w:r>
        <w:rPr>
          <w:b/>
        </w:rPr>
        <w:t xml:space="preserve">Notes: </w:t>
      </w:r>
      <w:r>
        <w:t>abstract_source=nature_html</w:t>
      </w:r>
    </w:p>
    <w:p>
      <w:pPr>
        <w:spacing w:before="0" w:after="80" w:lineRule="auto" w:line="276"/>
      </w:pPr>
      <w:r>
        <w:rPr>
          <w:b/>
        </w:rPr>
        <w:t xml:space="preserve">摘要（ZH）: </w:t>
      </w:r>
      <w:r>
        <w:t>人工蛋白质行走器“Tumbleweed”展示了配体驱动的 DNA 轨迹行走，标志着模块化、定制设计的自主运动蛋白质的关键进步。</w:t>
      </w:r>
    </w:p>
    <w:p>
      <w:pPr>
        <w:spacing w:before="0" w:after="200" w:lineRule="auto" w:line="276"/>
      </w:pPr>
      <w:r>
        <w:rPr>
          <w:b/>
        </w:rPr>
        <w:t xml:space="preserve">Abstract (EN): </w:t>
      </w:r>
      <w:r>
        <w:t>An artificial protein walker ‘Tumbleweed’ demonstrates ligand-driven stepping on DNA tracks, marking a key advance toward modular, custom-designed autonomous motor proteins.</w:t>
      </w:r>
    </w:p>
    <w:p>
      <w:pPr>
        <w:spacing w:before="120" w:after="120"/>
      </w:pPr>
      <w:r>
        <w:rPr>
          <w:sz w:val="18"/>
        </w:rPr>
        <w:t>——————————————————————————————————————————————————————————————————————</w:t>
      </w:r>
    </w:p>
    <w:p>
      <w:pPr>
        <w:spacing w:before="160" w:after="40" w:line="240" w:lineRule="auto"/>
      </w:pPr>
      <w:r>
        <w:rPr>
          <w:b/>
        </w:rPr>
        <w:t xml:space="preserve">[60] </w:t>
      </w:r>
      <w:hyperlink r:id="rId375">
        <w:r>
          <w:rPr>
            <w:color w:val="1155CC"/>
            <w:u w:val="single"/>
          </w:rPr>
          <w:t>Ta2Pd3Te5 中单个杂质激子对断裂的光谱可视化</w:t>
        </w:r>
      </w:hyperlink>
    </w:p>
    <w:p>
      <w:pPr>
        <w:spacing w:before="0" w:after="80"/>
      </w:pPr>
      <w:r>
        <w:rPr>
          <w:i/>
          <w:sz w:val="20"/>
        </w:rPr>
        <w:t>EN: Spectral visualization of excitonic pair breaking at individual impurities in Ta2Pd3Te5</w:t>
      </w:r>
    </w:p>
    <w:p>
      <w:pPr>
        <w:spacing w:before="0" w:after="120"/>
      </w:pPr>
      <w:r>
        <w:rPr>
          <w:b/>
        </w:rPr>
        <w:t xml:space="preserve">Source: </w:t>
      </w:r>
      <w:r>
        <w:t>Nature Nanotechnology</w:t>
      </w:r>
      <w:r>
        <w:t xml:space="preserve">    </w:t>
      </w:r>
      <w:r>
        <w:rPr>
          <w:b/>
        </w:rPr>
        <w:t xml:space="preserve">Pub date: </w:t>
      </w:r>
      <w:r>
        <w:t>2026-07-06 00:00:00+00:00</w:t>
      </w:r>
      <w:r>
        <w:t xml:space="preserve">    </w:t>
      </w:r>
      <w:r>
        <w:rPr>
          <w:b/>
        </w:rPr>
        <w:t xml:space="preserve">DOI: </w:t>
      </w:r>
      <w:hyperlink r:id="rId376">
        <w:r>
          <w:rPr>
            <w:color w:val="1155CC"/>
            <w:u w:val="single"/>
          </w:rPr>
          <w:t>10.1038/s41565-026-02218-w</w:t>
        </w:r>
      </w:hyperlink>
    </w:p>
    <w:p>
      <w:pPr>
        <w:spacing w:before="0" w:after="120"/>
      </w:pPr>
      <w:r>
        <w:rPr>
          <w:b/>
        </w:rPr>
        <w:t xml:space="preserve">Notes: </w:t>
      </w:r>
      <w:r>
        <w:t>abstract_source=nature_html</w:t>
      </w:r>
    </w:p>
    <w:p>
      <w:pPr>
        <w:spacing w:before="0" w:after="80" w:lineRule="auto" w:line="276"/>
      </w:pPr>
      <w:r>
        <w:rPr>
          <w:b/>
        </w:rPr>
        <w:t xml:space="preserve">摘要（ZH）: </w:t>
      </w:r>
      <w:r>
        <w:t>激子绝缘体承载束缚电子空穴对的凝聚体，为研究相关玻色子量子态和下一代器件应用提供了平台。然而，宏观一致性如何从局部崩溃的配对中出现仍然难以捉摸。在这里，我们使用扫描隧道光谱，报告了激子绝缘体 Ta2Pd3Te5 中杂质引起的电子对断裂。单个 Te 空位在激子间隙内产生一对光谱峰。它们的能量敏感地取决于缺陷配置，并且可以使用尖端电场连续可调，表明杂质散射是可控的。谱图显示了亚能隙态的空间各向异性和电子耦合电子空穴分量。这些观察结果与平均场模型一起表明了激子对断裂的起源。在强电子-空穴不平衡区域中，出现了二次配对断裂效应，表现为一对能量明显较低的额外的亚带隙态，并显示出配对断裂与不同激子级数参数的相互作用。我们的研究结果证明了原子水平上局部激子脱配对的光谱指纹，为激子凝聚的关键行为提供了重要线索。</w:t>
      </w:r>
    </w:p>
    <w:p>
      <w:pPr>
        <w:spacing w:before="0" w:after="200" w:lineRule="auto" w:line="276"/>
      </w:pPr>
      <w:r>
        <w:rPr>
          <w:b/>
        </w:rPr>
        <w:t xml:space="preserve">Abstract (EN): </w:t>
      </w:r>
      <w:r>
        <w:t>Excitonic insulators host the condensates of bound electron–hole pairs, offering a platform for studying correlated bosonic quantum states and for next-generation device applications. However, how macroscopic coherence emerges from locally collapsed pairing remains elusive. Here, using scanning tunnelling spectroscopy, we report the impurity-induced pair breaking in the excitonic insulator Ta2Pd3Te5. Individual Te vacancies generate a pair of spectral peaks within the excitonic gap. Their energies depend sensitively on the defect configurations and are continuously tunable using tip electric field, indicating controllable impurity scatterings. Spectral mapping shows spatially anisotropic and electronically coupled electron–hole components of the subgap states. These observations, together with mean-field modelling, suggest an excitonic pair-breaking origin. In the strongly electron–hole-imbalanced region, a secondary pair-breaking effect, manifesting an additional pair of subgap states with distinctly lower energies, emerges and displays the interplay of pairing breakings with different excitonic order parameters. Our findings demonstrate the spectroscopic fingerprint of local excitonic depairing at the atomic level, offering a crucial clue to the critical behaviour across excitonic condensation.</w:t>
      </w:r>
    </w:p>
    <w:p>
      <w:pPr>
        <w:spacing w:before="120" w:after="120"/>
      </w:pPr>
      <w:r>
        <w:rPr>
          <w:sz w:val="18"/>
        </w:rPr>
        <w:t>——————————————————————————————————————————————————————————————————————</w:t>
      </w:r>
    </w:p>
    <w:p>
      <w:pPr>
        <w:spacing w:before="160" w:after="40" w:line="240" w:lineRule="auto"/>
      </w:pPr>
      <w:r>
        <w:rPr>
          <w:b/>
        </w:rPr>
        <w:t xml:space="preserve">[61] </w:t>
      </w:r>
      <w:hyperlink r:id="rId377">
        <w:r>
          <w:rPr>
            <w:color w:val="1155CC"/>
            <w:u w:val="single"/>
          </w:rPr>
          <w:t>人工蛋白质行走器沿着 DNA 轨道进行计时步进</w:t>
        </w:r>
      </w:hyperlink>
    </w:p>
    <w:p>
      <w:pPr>
        <w:spacing w:before="0" w:after="80"/>
      </w:pPr>
      <w:r>
        <w:rPr>
          <w:i/>
          <w:sz w:val="20"/>
        </w:rPr>
        <w:t>EN: Clocked stepping of an artificial protein walker along a DNA track</w:t>
      </w:r>
    </w:p>
    <w:p>
      <w:pPr>
        <w:spacing w:before="0" w:after="120"/>
      </w:pPr>
      <w:r>
        <w:rPr>
          <w:b/>
        </w:rPr>
        <w:t xml:space="preserve">Source: </w:t>
      </w:r>
      <w:r>
        <w:t>Nature Nanotechnology</w:t>
      </w:r>
      <w:r>
        <w:t xml:space="preserve">    </w:t>
      </w:r>
      <w:r>
        <w:rPr>
          <w:b/>
        </w:rPr>
        <w:t xml:space="preserve">Pub date: </w:t>
      </w:r>
      <w:r>
        <w:t>2026-07-06 00:00:00+00:00</w:t>
      </w:r>
      <w:r>
        <w:t xml:space="preserve">    </w:t>
      </w:r>
      <w:r>
        <w:rPr>
          <w:b/>
        </w:rPr>
        <w:t xml:space="preserve">DOI: </w:t>
      </w:r>
      <w:hyperlink r:id="rId378">
        <w:r>
          <w:rPr>
            <w:color w:val="1155CC"/>
            <w:u w:val="single"/>
          </w:rPr>
          <w:t>10.1038/s41565-026-02211-3</w:t>
        </w:r>
      </w:hyperlink>
    </w:p>
    <w:p>
      <w:pPr>
        <w:spacing w:before="0" w:after="120"/>
      </w:pPr>
      <w:r>
        <w:rPr>
          <w:b/>
        </w:rPr>
        <w:t xml:space="preserve">Notes: </w:t>
      </w:r>
      <w:r>
        <w:t>abstract_source=nature_html</w:t>
      </w:r>
    </w:p>
    <w:p>
      <w:pPr>
        <w:spacing w:before="0" w:after="80" w:lineRule="auto" w:line="276"/>
      </w:pPr>
      <w:r>
        <w:rPr>
          <w:b/>
        </w:rPr>
        <w:t xml:space="preserve">摘要（ZH）: </w:t>
      </w:r>
      <w:r>
        <w:t>分子马达是生命的基础，因为它们将自由能转化为机械功，这种能力植根于其组成蛋白质的化学和结构复杂性。尽管基于小分子和DNA的马达已经被开发出来，但人工蛋白质马达的创造仍然是合成生物学中一个难以捉摸的目标。在这里，我们报告了一种人工的、外部控制的蛋白质马达的实现，称为风滚草（TW）。 TW 采用模块化设计策略进行设计，该策略将具有良好表征特性的蛋白质结合起来，以产生新兴的运动功能和方向性。 TW 由三个“腿”组成，每个腿都包含一个配体门控 DNA 结合域，能够与 DNA 轨道上的特定位点选择性相互作用。使用单分子荧光测定与可编程微流体装置相结合，我们表明 TW 沿着设计的 DNA 底物采取定向 16 nm 步长，以响应定义的配体输入序列。而且，迈步的时机和方向都可以在秒级的时间尺度上精确控制。这种方法提供了一个多功能平台，用于设计动态和复杂的基于蛋白质的纳米机器，以及探索具有精确定义的架构的蛋白质行走者的物理原理。</w:t>
      </w:r>
    </w:p>
    <w:p>
      <w:pPr>
        <w:spacing w:before="0" w:after="200" w:lineRule="auto" w:line="276"/>
      </w:pPr>
      <w:r>
        <w:rPr>
          <w:b/>
        </w:rPr>
        <w:t xml:space="preserve">Abstract (EN): </w:t>
      </w:r>
      <w:r>
        <w:t>Molecular motors are fundamental to life because they transduce free energy into mechanical work, a capability rooted in the chemical and structural complexity of their constituent proteins. Although motors based on small molecules and DNA have been developed, the creation of an artificial protein motor has remained an elusive goal in synthetic biology. Here we report the realization of an artificial, externally controlled protein motor, termed Tumbleweed (TW). TW was engineered using a modular design strategy that combines proteins with well-characterized properties to produce emergent motor function and directionality. TW comprises three ‘legs’, each containing a ligand-gated DNA-binding domain that enables selective interaction with specific sites along a DNA track. Using single-molecule fluorescence assays in conjunction with a programmable microfluidic device, we show that TW takes directional 16 nm steps along a designed DNA substrate in response to a defined sequence of ligand inputs. Moreover, both the timing and direction of stepping can be precisely controlled on a timescale of seconds. This approach provides a versatile platform for engineering dynamic and sophisticated protein-based nanomachines, as well as for probing the physical principles governing protein walkers with precisely defined architectures.</w:t>
      </w:r>
    </w:p>
    <w:p>
      <w:pPr>
        <w:spacing w:before="120" w:after="120"/>
      </w:pPr>
      <w:r>
        <w:rPr>
          <w:sz w:val="18"/>
        </w:rPr>
        <w:t>——————————————————————————————————————————————————————————————————————</w:t>
      </w:r>
    </w:p>
    <w:p>
      <w:pPr>
        <w:spacing w:before="160" w:after="40" w:line="240" w:lineRule="auto"/>
      </w:pPr>
      <w:r>
        <w:rPr>
          <w:b/>
        </w:rPr>
        <w:t xml:space="preserve">[62] </w:t>
      </w:r>
      <w:hyperlink r:id="rId379">
        <w:r>
          <w:rPr>
            <w:color w:val="1155CC"/>
            <w:u w:val="single"/>
          </w:rPr>
          <w:t>双层石墨烯/BN异质结构中扭转角控制的反常门控</w:t>
        </w:r>
      </w:hyperlink>
    </w:p>
    <w:p>
      <w:pPr>
        <w:spacing w:before="0" w:after="80"/>
      </w:pPr>
      <w:r>
        <w:rPr>
          <w:i/>
          <w:sz w:val="20"/>
        </w:rPr>
        <w:t>EN: Twist-angle-controlled anomalous gating in bilayer graphene/BN heterostructures</w:t>
      </w:r>
    </w:p>
    <w:p>
      <w:pPr>
        <w:spacing w:before="0" w:after="120"/>
      </w:pPr>
      <w:r>
        <w:rPr>
          <w:b/>
        </w:rPr>
        <w:t xml:space="preserve">Source: </w:t>
      </w:r>
      <w:r>
        <w:t>Nature Materials</w:t>
      </w:r>
      <w:r>
        <w:t xml:space="preserve">    </w:t>
      </w:r>
      <w:r>
        <w:rPr>
          <w:b/>
        </w:rPr>
        <w:t xml:space="preserve">Pub date: </w:t>
      </w:r>
      <w:r>
        <w:t>2026-07-06 00:00:00+00:00</w:t>
      </w:r>
      <w:r>
        <w:t xml:space="preserve">    </w:t>
      </w:r>
      <w:r>
        <w:rPr>
          <w:b/>
        </w:rPr>
        <w:t xml:space="preserve">DOI: </w:t>
      </w:r>
      <w:hyperlink r:id="rId380">
        <w:r>
          <w:rPr>
            <w:color w:val="1155CC"/>
            <w:u w:val="single"/>
          </w:rPr>
          <w:t>10.1038/s41563-026-02667-7</w:t>
        </w:r>
      </w:hyperlink>
    </w:p>
    <w:p>
      <w:pPr>
        <w:spacing w:before="0" w:after="120"/>
      </w:pPr>
      <w:r>
        <w:rPr>
          <w:b/>
        </w:rPr>
        <w:t xml:space="preserve">Notes: </w:t>
      </w:r>
      <w:r>
        <w:t>abstract_source=nature_html</w:t>
      </w:r>
    </w:p>
    <w:p>
      <w:pPr>
        <w:spacing w:before="0" w:after="80" w:lineRule="auto" w:line="276"/>
      </w:pPr>
      <w:r>
        <w:rPr>
          <w:b/>
        </w:rPr>
        <w:t xml:space="preserve">摘要（ZH）: </w:t>
      </w:r>
      <w:r>
        <w:t>在封装在氮化硼 (BN) 中的基于石墨烯的系统中观察到异常选通效应，例如无效的静电控制和强的电阻滞后，并与可能的铁电态相关。然而，它们的起源、稳定性和再现性仍然存在争议。在这里，我们使用基于 BN 中封装的双层石墨烯的双门动态旋转范德华异质结构证明，两个 BN 层之间的角度对齐（而不是石墨烯莫尔超晶格的存在）是控制这些效应的关键参数。为了观察室温下的反常选通效应，两个 BN 层之间的相关排列位于大约 15° 和 45° 之间，没有证据表明预期的 60° 周期性。栅极无效和滞后都对小角度变化高度敏感，我们将其分为三种不同的状态。我们的结果阐明了重现这些现象所需的条件，并为其微观起源的理论研究铺平了道路。</w:t>
      </w:r>
    </w:p>
    <w:p>
      <w:pPr>
        <w:spacing w:before="0" w:after="200" w:lineRule="auto" w:line="276"/>
      </w:pPr>
      <w:r>
        <w:rPr>
          <w:b/>
        </w:rPr>
        <w:t xml:space="preserve">Abstract (EN): </w:t>
      </w:r>
      <w:r>
        <w:t>Anomalous gating effects—such as ineffective electrostatic control and strong hysteresis in resistance—have been observed in graphene-based systems encapsulated in boron nitride (BN) and linked to a possible ferroelectric state. However, their origin, stability and reproducibility remain under debate. Here we show, using dual-gated, dynamically rotatable van der Waals heterostructures based on bilayer graphene encapsulated in BN, that the angular alignment between the two BN layers—rather than the presence of a moiré superlattice with graphene—is the key parameter governing these effects. The relevant alignment between the two BN layers, to observe the anomalous gating effect at room temperature, lies between approximately 15° and 45°, with no evidence of the expected 60° periodicity. Both gate ineffectiveness and hysteresis are highly sensitive to small angular changes, which we classify into three distinct regimes. Our results clarify the conditions necessary to reproduce these phenomena and pave the way for theoretical investigation of their microscopic origins.</w:t>
      </w:r>
    </w:p>
    <w:p>
      <w:pPr>
        <w:spacing w:before="120" w:after="120"/>
      </w:pPr>
      <w:r>
        <w:rPr>
          <w:sz w:val="18"/>
        </w:rPr>
        <w:t>——————————————————————————————————————————————————————————————————————</w:t>
      </w:r>
    </w:p>
    <w:p>
      <w:pPr>
        <w:spacing w:before="160" w:after="40" w:line="240" w:lineRule="auto"/>
      </w:pPr>
      <w:r>
        <w:rPr>
          <w:b/>
        </w:rPr>
        <w:t xml:space="preserve">[63] </w:t>
      </w:r>
      <w:hyperlink r:id="rId381">
        <w:r>
          <w:rPr>
            <w:color w:val="1155CC"/>
            <w:u w:val="single"/>
          </w:rPr>
          <w:t>计算机芯片的兴起——以及控制它们的竞赛</w:t>
        </w:r>
      </w:hyperlink>
    </w:p>
    <w:p>
      <w:pPr>
        <w:spacing w:before="0" w:after="80"/>
      </w:pPr>
      <w:r>
        <w:rPr>
          <w:i/>
          <w:sz w:val="20"/>
        </w:rPr>
        <w:t>EN: The rise of computer chips — and the race to control them</w:t>
      </w:r>
    </w:p>
    <w:p>
      <w:pPr>
        <w:spacing w:before="0" w:after="120"/>
      </w:pPr>
      <w:r>
        <w:rPr>
          <w:b/>
        </w:rPr>
        <w:t xml:space="preserve">Source: </w:t>
      </w:r>
      <w:r>
        <w:t>Nature</w:t>
      </w:r>
      <w:r>
        <w:t xml:space="preserve">    </w:t>
      </w:r>
      <w:r>
        <w:rPr>
          <w:b/>
        </w:rPr>
        <w:t xml:space="preserve">Pub date: </w:t>
      </w:r>
      <w:r>
        <w:t>2026-07-06 00:00:00+00:00</w:t>
      </w:r>
      <w:r>
        <w:t xml:space="preserve">    </w:t>
      </w:r>
      <w:r>
        <w:rPr>
          <w:b/>
        </w:rPr>
        <w:t xml:space="preserve">DOI: </w:t>
      </w:r>
      <w:hyperlink r:id="rId382">
        <w:r>
          <w:rPr>
            <w:color w:val="1155CC"/>
            <w:u w:val="single"/>
          </w:rPr>
          <w:t>10.1038/d41586-026-02099-y</w:t>
        </w:r>
      </w:hyperlink>
    </w:p>
    <w:p>
      <w:pPr>
        <w:spacing w:before="0" w:after="120"/>
      </w:pPr>
      <w:r>
        <w:rPr>
          <w:b/>
        </w:rPr>
        <w:t xml:space="preserve">Notes: </w:t>
      </w:r>
      <w:r>
        <w:t>abstract_source=nature_html</w:t>
      </w:r>
    </w:p>
    <w:p>
      <w:pPr>
        <w:spacing w:before="0" w:after="80" w:lineRule="auto" w:line="276"/>
      </w:pPr>
      <w:r>
        <w:rPr>
          <w:b/>
        </w:rPr>
        <w:t xml:space="preserve">摘要（ZH）: </w:t>
      </w:r>
      <w:r>
        <w:t>一项分析阐述了软件和加州企业家之外的计算历史。一项分析阐述了软件和加州企业家之外的计算历史。</w:t>
      </w:r>
    </w:p>
    <w:p>
      <w:pPr>
        <w:spacing w:before="0" w:after="200" w:lineRule="auto" w:line="276"/>
      </w:pPr>
      <w:r>
        <w:rPr>
          <w:b/>
        </w:rPr>
        <w:t xml:space="preserve">Abstract (EN): </w:t>
      </w:r>
      <w:r>
        <w:t>An analysis sets out the history of computing beyond software and Californian entrepreneurs. An analysis sets out the history of computing beyond software and Californian entrepreneurs.</w:t>
      </w:r>
    </w:p>
    <w:p>
      <w:pPr>
        <w:spacing w:before="120" w:after="120"/>
      </w:pPr>
      <w:r>
        <w:rPr>
          <w:sz w:val="18"/>
        </w:rPr>
        <w:t>——————————————————————————————————————————————————————————————————————</w:t>
      </w:r>
    </w:p>
    <w:p>
      <w:pPr>
        <w:spacing w:before="160" w:after="40" w:line="240" w:lineRule="auto"/>
      </w:pPr>
      <w:r>
        <w:rPr>
          <w:b/>
        </w:rPr>
        <w:t xml:space="preserve">[64] </w:t>
      </w:r>
      <w:hyperlink r:id="rId383">
        <w:r>
          <w:rPr>
            <w:color w:val="1155CC"/>
            <w:u w:val="single"/>
          </w:rPr>
          <w:t>锗配体氧化还原协同性：两亲性和可切换的二电子和四电子转移的关键</w:t>
        </w:r>
      </w:hyperlink>
    </w:p>
    <w:p>
      <w:pPr>
        <w:spacing w:before="0" w:after="80"/>
      </w:pPr>
      <w:r>
        <w:rPr>
          <w:i/>
          <w:sz w:val="20"/>
        </w:rPr>
        <w:t>EN: Germanium ligand redox cooperativity: A key to ambiphilicity and switchable two- and four-electron transfer</w:t>
      </w:r>
    </w:p>
    <w:p>
      <w:pPr>
        <w:spacing w:before="0" w:after="120"/>
      </w:pPr>
      <w:r>
        <w:rPr>
          <w:b/>
        </w:rPr>
        <w:t xml:space="preserve">Source: </w:t>
      </w:r>
      <w:r>
        <w:t>Chem</w:t>
      </w:r>
      <w:r>
        <w:t xml:space="preserve">    </w:t>
      </w:r>
      <w:r>
        <w:rPr>
          <w:b/>
        </w:rPr>
        <w:t xml:space="preserve">Pub date: </w:t>
      </w:r>
      <w:r>
        <w:t>2026-07-06 00:00:00+00:00</w:t>
      </w:r>
      <w:r>
        <w:t xml:space="preserve">    </w:t>
      </w:r>
      <w:r>
        <w:rPr>
          <w:b/>
        </w:rPr>
        <w:t xml:space="preserve">DOI: </w:t>
      </w:r>
      <w:hyperlink r:id="rId384">
        <w:r>
          <w:rPr>
            <w:color w:val="1155CC"/>
            <w:u w:val="single"/>
          </w:rPr>
          <w:t>10.1016/j.chempr.2026.103127</w:t>
        </w:r>
      </w:hyperlink>
    </w:p>
    <w:p>
      <w:pPr>
        <w:spacing w:before="0" w:after="120"/>
      </w:pPr>
      <w:r>
        <w:rPr>
          <w:b/>
        </w:rPr>
        <w:t xml:space="preserve">Notes: </w:t>
      </w:r>
      <w:r>
        <w:t>abstract_source=rss_cell</w:t>
      </w:r>
    </w:p>
    <w:p>
      <w:pPr>
        <w:spacing w:before="0" w:after="80" w:lineRule="auto" w:line="276"/>
      </w:pPr>
      <w:r>
        <w:rPr>
          <w:b/>
        </w:rPr>
        <w:t xml:space="preserve">摘要（ZH）: </w:t>
      </w:r>
      <w:r>
        <w:t>这项工作表明，可以设计主族化合物来参与通常与过渡金属相关的多电子转移化学。通过将锗与氧化还原活性配体配对，该分子可以引导二电子或四电子路径，并在一个位点表现出电子供体和电子接受行为。该设计提供了一个简单的原理，用于构建更通用、地球资源丰富的系统，用于主族化学中的氧活化和相关转化。</w:t>
      </w:r>
    </w:p>
    <w:p>
      <w:pPr>
        <w:spacing w:before="0" w:after="200" w:lineRule="auto" w:line="276"/>
      </w:pPr>
      <w:r>
        <w:rPr>
          <w:b/>
        </w:rPr>
        <w:t xml:space="preserve">Abstract (EN): </w:t>
      </w:r>
      <w:r>
        <w:t>This work shows that a main-group compound can be designed to engage in multielectron transfer chemistry often associated with transition metals. By pairing germanium with a redox-active ligand, the molecule can direct either two- or four-electron pathways and display both electron-donating and electron-accepting behavior at one site. This design offers a simple principle for building more versatile, earth-abundant systems for oxygen activation and related transformations in main-group chemistry.</w:t>
      </w:r>
    </w:p>
    <w:p>
      <w:pPr>
        <w:spacing w:before="120" w:after="120"/>
      </w:pPr>
      <w:r>
        <w:rPr>
          <w:sz w:val="18"/>
        </w:rPr>
        <w:t>——————————————————————————————————————————————————————————————————————</w:t>
      </w:r>
    </w:p>
    <w:p>
      <w:pPr>
        <w:spacing w:before="160" w:after="40" w:line="240" w:lineRule="auto"/>
      </w:pPr>
      <w:r>
        <w:rPr>
          <w:b/>
        </w:rPr>
        <w:t xml:space="preserve">[65] </w:t>
      </w:r>
      <w:hyperlink r:id="rId385">
        <w:r>
          <w:rPr>
            <w:color w:val="1155CC"/>
            <w:u w:val="single"/>
          </w:rPr>
          <w:t>从克隆到基因编辑：多莉羊的不朽遗产</w:t>
        </w:r>
      </w:hyperlink>
    </w:p>
    <w:p>
      <w:pPr>
        <w:spacing w:before="0" w:after="80"/>
      </w:pPr>
      <w:r>
        <w:rPr>
          <w:i/>
          <w:sz w:val="20"/>
        </w:rPr>
        <w:t>EN: From cloning to gene-editing: the enduring legacy of Dolly the sheep</w:t>
      </w:r>
    </w:p>
    <w:p>
      <w:pPr>
        <w:spacing w:before="0" w:after="120"/>
      </w:pPr>
      <w:r>
        <w:rPr>
          <w:b/>
        </w:rPr>
        <w:t xml:space="preserve">Source: </w:t>
      </w:r>
      <w:r>
        <w:t>Nature</w:t>
      </w:r>
      <w:r>
        <w:t xml:space="preserve">    </w:t>
      </w:r>
      <w:r>
        <w:rPr>
          <w:b/>
        </w:rPr>
        <w:t xml:space="preserve">Pub date: </w:t>
      </w:r>
      <w:r>
        <w:t>2026-07-06 00:00:00+00:00</w:t>
      </w:r>
      <w:r>
        <w:t xml:space="preserve">    </w:t>
      </w:r>
      <w:r>
        <w:rPr>
          <w:b/>
        </w:rPr>
        <w:t xml:space="preserve">DOI: </w:t>
      </w:r>
      <w:hyperlink r:id="rId386">
        <w:r>
          <w:rPr>
            <w:color w:val="1155CC"/>
            <w:u w:val="single"/>
          </w:rPr>
          <w:t>10.1038/d41586-026-02096-1</w:t>
        </w:r>
      </w:hyperlink>
    </w:p>
    <w:p>
      <w:pPr>
        <w:spacing w:before="0" w:after="120"/>
      </w:pPr>
      <w:r>
        <w:rPr>
          <w:b/>
        </w:rPr>
        <w:t xml:space="preserve">Notes: </w:t>
      </w:r>
      <w:r>
        <w:t>abstract_source=nature_html</w:t>
      </w:r>
    </w:p>
    <w:p>
      <w:pPr>
        <w:spacing w:before="0" w:after="80" w:lineRule="auto" w:line="276"/>
      </w:pPr>
      <w:r>
        <w:rPr>
          <w:b/>
        </w:rPr>
        <w:t xml:space="preserve">摘要（ZH）: </w:t>
      </w:r>
      <w:r>
        <w:t>多莉与名人的接触可以为当前有关生殖技术的讨论提供教训。多莉与名人的接触可以为当前有关生殖技术的讨论提供教训。</w:t>
      </w:r>
    </w:p>
    <w:p>
      <w:pPr>
        <w:spacing w:before="0" w:after="200" w:lineRule="auto" w:line="276"/>
      </w:pPr>
      <w:r>
        <w:rPr>
          <w:b/>
        </w:rPr>
        <w:t xml:space="preserve">Abstract (EN): </w:t>
      </w:r>
      <w:r>
        <w:t>Dolly’s brush with celebrity could hold lessons for current discussions about reproductive technologies. Dolly’s brush with celebrity could hold lessons for current discussions about reproductive technologies.</w:t>
      </w:r>
    </w:p>
    <w:p>
      <w:pPr>
        <w:spacing w:before="120" w:after="120"/>
      </w:pPr>
      <w:r>
        <w:rPr>
          <w:sz w:val="18"/>
        </w:rPr>
        <w:t>——————————————————————————————————————————————————————————————————————</w:t>
      </w:r>
    </w:p>
    <w:p>
      <w:pPr>
        <w:spacing w:before="160" w:after="40" w:line="240" w:lineRule="auto"/>
      </w:pPr>
      <w:r>
        <w:rPr>
          <w:b/>
        </w:rPr>
        <w:t xml:space="preserve">[66] </w:t>
      </w:r>
      <w:hyperlink r:id="rId387">
        <w:r>
          <w:rPr>
            <w:color w:val="1155CC"/>
            <w:u w:val="single"/>
          </w:rPr>
          <w:t>大学依靠人工智能检测软件来发现作弊行为。这些计划的效果如何？</w:t>
        </w:r>
      </w:hyperlink>
    </w:p>
    <w:p>
      <w:pPr>
        <w:spacing w:before="0" w:after="80"/>
      </w:pPr>
      <w:r>
        <w:rPr>
          <w:i/>
          <w:sz w:val="20"/>
        </w:rPr>
        <w:t>EN: Universities are relying on AI-detection software to catch cheating. How well do the programs work?</w:t>
      </w:r>
    </w:p>
    <w:p>
      <w:pPr>
        <w:spacing w:before="0" w:after="120"/>
      </w:pPr>
      <w:r>
        <w:rPr>
          <w:b/>
        </w:rPr>
        <w:t xml:space="preserve">Source: </w:t>
      </w:r>
      <w:r>
        <w:t>Nature</w:t>
      </w:r>
      <w:r>
        <w:t xml:space="preserve">    </w:t>
      </w:r>
      <w:r>
        <w:rPr>
          <w:b/>
        </w:rPr>
        <w:t xml:space="preserve">Pub date: </w:t>
      </w:r>
      <w:r>
        <w:t>2026-07-06 00:00:00+00:00</w:t>
      </w:r>
      <w:r>
        <w:t xml:space="preserve">    </w:t>
      </w:r>
      <w:r>
        <w:rPr>
          <w:b/>
        </w:rPr>
        <w:t xml:space="preserve">DOI: </w:t>
      </w:r>
      <w:hyperlink r:id="rId388">
        <w:r>
          <w:rPr>
            <w:color w:val="1155CC"/>
            <w:u w:val="single"/>
          </w:rPr>
          <w:t>10.1038/d41586-026-01358-2</w:t>
        </w:r>
      </w:hyperlink>
    </w:p>
    <w:p>
      <w:pPr>
        <w:spacing w:before="0" w:after="120"/>
      </w:pPr>
      <w:r>
        <w:rPr>
          <w:b/>
        </w:rPr>
        <w:t xml:space="preserve">Notes: </w:t>
      </w:r>
      <w:r>
        <w:t>abstract_source=nature_html</w:t>
      </w:r>
    </w:p>
    <w:p>
      <w:pPr>
        <w:spacing w:before="0" w:after="80" w:lineRule="auto" w:line="276"/>
      </w:pPr>
      <w:r>
        <w:rPr>
          <w:b/>
        </w:rPr>
        <w:t xml:space="preserve">摘要（ZH）: </w:t>
      </w:r>
      <w:r>
        <w:t>科技公司表示，他们的服务可以嗅出人工智能生成的文字，但他们的工具在技术和质量上各不相同。科技公司表示，他们的服务可以嗅出人工智能生成的文字，但他们的工具在技术和质量上各不相同。</w:t>
      </w:r>
    </w:p>
    <w:p>
      <w:pPr>
        <w:spacing w:before="0" w:after="200" w:lineRule="auto" w:line="276"/>
      </w:pPr>
      <w:r>
        <w:rPr>
          <w:b/>
        </w:rPr>
        <w:t xml:space="preserve">Abstract (EN): </w:t>
      </w:r>
      <w:r>
        <w:t>Technology companies say that their services can sniff out AI-generated writing, but their tools vary in technique and quality. Technology companies say that their services can sniff out AI-generated writing, but their tools vary in technique and quality.</w:t>
      </w:r>
    </w:p>
    <w:p>
      <w:pPr>
        <w:spacing w:before="120" w:after="120"/>
      </w:pPr>
      <w:r>
        <w:rPr>
          <w:sz w:val="18"/>
        </w:rPr>
        <w:t>——————————————————————————————————————————————————————————————————————</w:t>
      </w:r>
    </w:p>
    <w:p>
      <w:pPr>
        <w:spacing w:before="160" w:after="40" w:line="240" w:lineRule="auto"/>
      </w:pPr>
      <w:r>
        <w:rPr>
          <w:b/>
        </w:rPr>
        <w:t xml:space="preserve">[67] </w:t>
      </w:r>
      <w:hyperlink r:id="rId389">
        <w:r>
          <w:rPr>
            <w:color w:val="1155CC"/>
            <w:u w:val="single"/>
          </w:rPr>
          <w:t>深海奇异现象和其他新物种——六月的最佳科学图片</w:t>
        </w:r>
      </w:hyperlink>
    </w:p>
    <w:p>
      <w:pPr>
        <w:spacing w:before="0" w:after="80"/>
      </w:pPr>
      <w:r>
        <w:rPr>
          <w:i/>
          <w:sz w:val="20"/>
        </w:rPr>
        <w:t>EN: Deep-sea oddities and boatloads of other new species — June’s best science images</w:t>
      </w:r>
    </w:p>
    <w:p>
      <w:pPr>
        <w:spacing w:before="0" w:after="120"/>
      </w:pPr>
      <w:r>
        <w:rPr>
          <w:b/>
        </w:rPr>
        <w:t xml:space="preserve">Source: </w:t>
      </w:r>
      <w:r>
        <w:t>Nature</w:t>
      </w:r>
      <w:r>
        <w:t xml:space="preserve">    </w:t>
      </w:r>
      <w:r>
        <w:rPr>
          <w:b/>
        </w:rPr>
        <w:t xml:space="preserve">Pub date: </w:t>
      </w:r>
      <w:r>
        <w:t>2026-07-06 00:00:00+00:00</w:t>
      </w:r>
      <w:r>
        <w:t xml:space="preserve">    </w:t>
      </w:r>
      <w:r>
        <w:rPr>
          <w:b/>
        </w:rPr>
        <w:t xml:space="preserve">DOI: </w:t>
      </w:r>
      <w:hyperlink r:id="rId390">
        <w:r>
          <w:rPr>
            <w:color w:val="1155CC"/>
            <w:u w:val="single"/>
          </w:rPr>
          <w:t>10.1038/d41586-026-02087-2</w:t>
        </w:r>
      </w:hyperlink>
    </w:p>
    <w:p>
      <w:pPr>
        <w:spacing w:before="0" w:after="120"/>
      </w:pPr>
      <w:r>
        <w:rPr>
          <w:b/>
        </w:rPr>
        <w:t xml:space="preserve">Notes: </w:t>
      </w:r>
      <w:r>
        <w:t>abstract_source=nature_html</w:t>
      </w:r>
    </w:p>
    <w:p>
      <w:pPr>
        <w:spacing w:before="0" w:after="80" w:lineRule="auto" w:line="276"/>
      </w:pPr>
      <w:r>
        <w:rPr>
          <w:b/>
        </w:rPr>
        <w:t xml:space="preserve">摘要（ZH）: </w:t>
      </w:r>
      <w:r>
        <w:t>《自然》摄影团队评选出本月最清晰的科学照片。</w:t>
      </w:r>
    </w:p>
    <w:p>
      <w:pPr>
        <w:spacing w:before="0" w:after="200" w:lineRule="auto" w:line="276"/>
      </w:pPr>
      <w:r>
        <w:rPr>
          <w:b/>
        </w:rPr>
        <w:t xml:space="preserve">Abstract (EN): </w:t>
      </w:r>
      <w:r>
        <w:t>The month’s sharpest science shots, selected by Nature’s photo team.</w:t>
      </w:r>
    </w:p>
    <w:p>
      <w:pPr>
        <w:spacing w:before="120" w:after="120"/>
      </w:pPr>
      <w:r>
        <w:rPr>
          <w:sz w:val="18"/>
        </w:rPr>
        <w:t>——————————————————————————————————————————————————————————————————————</w:t>
      </w:r>
    </w:p>
    <w:p>
      <w:pPr>
        <w:spacing w:before="160" w:after="40" w:line="240" w:lineRule="auto"/>
      </w:pPr>
      <w:r>
        <w:rPr>
          <w:b/>
        </w:rPr>
        <w:t xml:space="preserve">[68] </w:t>
      </w:r>
      <w:hyperlink r:id="rId391">
        <w:r>
          <w:rPr>
            <w:color w:val="1155CC"/>
            <w:u w:val="single"/>
          </w:rPr>
          <w:t>纤连蛋白诱导的 αVβ3-PI3K-PIP3-PDK1-ILK 信号过度激活导致马凡综合征主动脉疾病</w:t>
        </w:r>
      </w:hyperlink>
    </w:p>
    <w:p>
      <w:pPr>
        <w:spacing w:before="0" w:after="80"/>
      </w:pPr>
      <w:r>
        <w:rPr>
          <w:i/>
          <w:sz w:val="20"/>
        </w:rPr>
        <w:t>EN: Fibronectin-induced overactivation of αVβ3-PI3K-PIP3-PDK1-ILK signaling drives aortic disease in Marfan syndrome</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胸主动脉瘤和夹层（TAAD）是马凡综合征（MFS）的一种危及生命的并发症，缺乏治疗方法。我们之前的研究表明，多功能蛋白聚糖积累通过 AKT-NO 通路过度激活驱动 MFS 主动脉病变，但上游机制仍不清楚。在这里，我们发现多功能蛋白聚糖驱动的纤连蛋白 (FN) 积累会激活 αVβ3-PI3K-PIP3-PDK1-ILK 信号级联，导致 AKT-NOS2 上调和主动脉疾病。 FN 在 MFS 患者和两性小鼠的主动脉中积累，并与 αVβ3 整合素和 ILK 表达增加相关。破坏 FN 组装或抑制 αVβ3、PI3K、PIP3、PDK1 或 ILK 可防止 FN 诱导的 AKT 激活和 NOS2 上调，恢复血管收缩力，并限制 MFS 小鼠的主动脉扩张。 ILK 或 PDK1 的抑制、Ilk 的主动脉沉默或 Ilk 的平滑肌特异性缺失可逆转或阻止主动脉生长。总之，这些发现定义了 MFS 中机械整合的 FN-αVβ3-PI3K-PIP3-PDK1-ILK-AKT-NOS2 信号级联，并支持其在人类 TAAD 中的致病作用，强调其成分作为治疗干预的潜在目标。</w:t>
      </w:r>
    </w:p>
    <w:p>
      <w:pPr>
        <w:spacing w:before="0" w:after="200" w:lineRule="auto" w:line="276"/>
      </w:pPr>
      <w:r>
        <w:rPr>
          <w:b/>
        </w:rPr>
        <w:t xml:space="preserve">Abstract (EN): </w:t>
      </w:r>
      <w:r>
        <w:t>Thoracic aortic aneurysms and dissections (TAAD), a life-threatening complication of Marfan syndrome (MFS), lack curative therapies. Our previous studies revealed that versican accumulation drives MFS aortopathy through AKT-NO pathway overactivation, but the upstream mechanisms remained unclear. Here, we show that versican-driven fibronectin (FN) accumulation activates an αVβ3-PI3K-PIP3-PDK1-ILK signaling cascade leading to AKT-NOS2 upregulation and aortic disease. FN accumulates in aortas of MFS patients and mice of both sexes and correlates with increased αVβ3 integrin and ILK expression. Disrupting FN assembly or inhibiting αVβ3, PI3K, PIP3, PDK1 or ILK prevents FN-induced AKT activation and NOS2 upregulation, restores vascular contractility, and limits aortic dilation in MFS mice. Inhibition of ILK or PDK1, aortic silencing of Ilk, or smooth muscle-specific deletion of Ilk reverses or prevents aortic growth. Together, these findings define a mechanistically integrated FN-αVβ3-PI3K-PIP3-PDK1-ILK-AKT-NOS2 signaling cascade in MFS and support its causative role in human TAAD, highlighting its components as potential targets for therapeutic intervention.</w:t>
      </w:r>
    </w:p>
    <w:p>
      <w:pPr>
        <w:spacing w:before="120" w:after="120"/>
      </w:pPr>
      <w:r>
        <w:rPr>
          <w:sz w:val="18"/>
        </w:rPr>
        <w:t>——————————————————————————————————————————————————————————————————————</w:t>
      </w:r>
    </w:p>
    <w:p>
      <w:pPr>
        <w:spacing w:before="160" w:after="40" w:line="240" w:lineRule="auto"/>
      </w:pPr>
      <w:r>
        <w:rPr>
          <w:b/>
        </w:rPr>
        <w:t xml:space="preserve">[69] </w:t>
      </w:r>
      <w:hyperlink r:id="rId392">
        <w:r>
          <w:rPr>
            <w:color w:val="1155CC"/>
            <w:u w:val="single"/>
          </w:rPr>
          <w:t>及时补充水分会打破红牌吗？科学告诉我们如何保持冷静</w:t>
        </w:r>
      </w:hyperlink>
    </w:p>
    <w:p>
      <w:pPr>
        <w:spacing w:before="0" w:after="80"/>
      </w:pPr>
      <w:r>
        <w:rPr>
          <w:i/>
          <w:sz w:val="20"/>
        </w:rPr>
        <w:t>EN: Time to give hydration breaks the red card? What science says about keeping cool</w:t>
      </w:r>
    </w:p>
    <w:p>
      <w:pPr>
        <w:spacing w:before="0" w:after="120"/>
      </w:pPr>
      <w:r>
        <w:rPr>
          <w:b/>
        </w:rPr>
        <w:t xml:space="preserve">Source: </w:t>
      </w:r>
      <w:r>
        <w:t>Nature</w:t>
      </w:r>
      <w:r>
        <w:t xml:space="preserve">    </w:t>
      </w:r>
      <w:r>
        <w:rPr>
          <w:b/>
        </w:rPr>
        <w:t xml:space="preserve">Pub date: </w:t>
      </w:r>
      <w:r>
        <w:t>2026-07-06 00:00:00+00:00</w:t>
      </w:r>
      <w:r>
        <w:t xml:space="preserve">    </w:t>
      </w:r>
      <w:r>
        <w:rPr>
          <w:b/>
        </w:rPr>
        <w:t xml:space="preserve">DOI: </w:t>
      </w:r>
      <w:hyperlink r:id="rId393">
        <w:r>
          <w:rPr>
            <w:color w:val="1155CC"/>
            <w:u w:val="single"/>
          </w:rPr>
          <w:t>10.1038/d41586-026-02097-0</w:t>
        </w:r>
      </w:hyperlink>
    </w:p>
    <w:p>
      <w:pPr>
        <w:spacing w:before="0" w:after="120"/>
      </w:pPr>
      <w:r>
        <w:rPr>
          <w:b/>
        </w:rPr>
        <w:t xml:space="preserve">Notes: </w:t>
      </w:r>
      <w:r>
        <w:t>abstract_source=nature_html</w:t>
      </w:r>
    </w:p>
    <w:p>
      <w:pPr>
        <w:spacing w:before="0" w:after="80" w:lineRule="auto" w:line="276"/>
      </w:pPr>
      <w:r>
        <w:rPr>
          <w:b/>
        </w:rPr>
        <w:t xml:space="preserve">摘要（ZH）: </w:t>
      </w:r>
      <w:r>
        <w:t>运动中不恰当地使用降温休息正在破坏人们对热健康研究的信任。运动中不恰当地使用降温休息正在破坏人们对热健康研究的信任。</w:t>
      </w:r>
    </w:p>
    <w:p>
      <w:pPr>
        <w:spacing w:before="0" w:after="200" w:lineRule="auto" w:line="276"/>
      </w:pPr>
      <w:r>
        <w:rPr>
          <w:b/>
        </w:rPr>
        <w:t xml:space="preserve">Abstract (EN): </w:t>
      </w:r>
      <w:r>
        <w:t>Inappropriate use of cooling breaks in sport is undermining trust in heat-health research. Inappropriate use of cooling breaks in sport is undermining trust in heat-health research.</w:t>
      </w:r>
    </w:p>
    <w:p>
      <w:pPr>
        <w:spacing w:before="120" w:after="120"/>
      </w:pPr>
      <w:r>
        <w:rPr>
          <w:sz w:val="18"/>
        </w:rPr>
        <w:t>——————————————————————————————————————————————————————————————————————</w:t>
      </w:r>
    </w:p>
    <w:p>
      <w:pPr>
        <w:spacing w:before="160" w:after="40" w:line="240" w:lineRule="auto"/>
      </w:pPr>
      <w:r>
        <w:rPr>
          <w:b/>
        </w:rPr>
        <w:t xml:space="preserve">[70] </w:t>
      </w:r>
      <w:hyperlink r:id="rId394">
        <w:r>
          <w:rPr>
            <w:color w:val="1155CC"/>
            <w:u w:val="single"/>
          </w:rPr>
          <w:t>NIR-II 光热驱动脉冲 PTH 释放用于骨质疏松骨修复</w:t>
        </w:r>
      </w:hyperlink>
    </w:p>
    <w:p>
      <w:pPr>
        <w:spacing w:before="0" w:after="80"/>
      </w:pPr>
      <w:r>
        <w:rPr>
          <w:i/>
          <w:sz w:val="20"/>
        </w:rPr>
        <w:t>EN: NIR-II photothermal-driven pulsatile PTH release for osteoporotic bone repair</w:t>
      </w:r>
    </w:p>
    <w:p>
      <w:pPr>
        <w:spacing w:before="0" w:after="120"/>
      </w:pPr>
      <w:r>
        <w:rPr>
          <w:b/>
        </w:rPr>
        <w:t xml:space="preserve">Source: </w:t>
      </w:r>
      <w:r>
        <w:t>National Science Review Advance Access</w:t>
      </w:r>
      <w:r>
        <w:t xml:space="preserve">    </w:t>
      </w:r>
      <w:r>
        <w:rPr>
          <w:b/>
        </w:rPr>
        <w:t xml:space="preserve">Pub date: </w:t>
      </w:r>
      <w:r>
        <w:t>2026-07-06 00:00:00+00:00</w:t>
      </w:r>
      <w:r>
        <w:t xml:space="preserve">    </w:t>
      </w:r>
      <w:r>
        <w:rPr>
          <w:b/>
        </w:rPr>
        <w:t xml:space="preserve">DOI: </w:t>
      </w:r>
      <w:hyperlink r:id="rId395">
        <w:r>
          <w:rPr>
            <w:color w:val="1155CC"/>
            <w:u w:val="single"/>
          </w:rPr>
          <w:t>10.1093/nsr/nwag407</w:t>
        </w:r>
      </w:hyperlink>
    </w:p>
    <w:p>
      <w:pPr>
        <w:spacing w:before="0" w:after="120"/>
      </w:pPr>
      <w:r>
        <w:rPr>
          <w:b/>
        </w:rPr>
        <w:t xml:space="preserve">Notes: </w:t>
      </w:r>
      <w:r>
        <w:t>abstract_source=rss_oup</w:t>
      </w:r>
    </w:p>
    <w:p>
      <w:pPr>
        <w:spacing w:before="0" w:after="80" w:lineRule="auto" w:line="276"/>
      </w:pPr>
      <w:r>
        <w:rPr>
          <w:b/>
        </w:rPr>
        <w:t xml:space="preserve">摘要（ZH）: </w:t>
      </w:r>
      <w:r>
        <w:t>将光控智能材料集成到 3D 打印技术中，为骨组织工程带来了巨大的希望，可以实现原位药物剂量的时空控制。然而，这种集成面临着关键的分子设计挑战，因为合并的光响应分子必须同时满足紫外线介导的光聚合期间的高紫外线稳定性和深层组织激活的强长波长吸收的双重要求。在这里，我们报告了一种波长选择性喹啉鎓染料（QC7CN）作为光响应“染料墨水”来解决这一困境。该染料具有高紫外线透明度，可确保打印过程中的稳定性，同时具有强大的第二近红外 (NIR-II) 吸光度，可实现深层光热响应。利用这些特性，我们设计了一种 NIR-II 光控 3D 打印支架，由甲基丙烯酰化明胶和磷酸钙低聚物作为打印基质，热敏相变微球作为甲状旁腺激素 (PTH) 药物载体，QC7CN 作为光热触发器组成。在 NIR-II 激光照射下，QC7CN 诱导局部温和热疗，驱动微球的凝胶-溶胶相变，从而操纵脉动 PTH 释放，实现深部组织骨质疏松骨修复。因此，我们的研究为分子设计和增材制造提供了充分的论证，以突破智能材料在精准医学中的极限。</w:t>
      </w:r>
    </w:p>
    <w:p>
      <w:pPr>
        <w:spacing w:before="0" w:after="200" w:lineRule="auto" w:line="276"/>
      </w:pPr>
      <w:r>
        <w:rPr>
          <w:b/>
        </w:rPr>
        <w:t xml:space="preserve">Abstract (EN): </w:t>
      </w:r>
      <w:r>
        <w:t>Integrating light-controlled intelligent materials into 3D printing technology holds great promise for bone tissue engineering, enabling spatiotemporal control over in situ drug dosing. However, this integration faces a critical molecular design challenge, as incorporated photoresponsive molecules must simultaneously fulfill the dual demands of high UV-stability during UV-mediated photopolymerization, and strong long-wavelength absorption for deep-tissue activation. Here, we report a wavelength-selective quinolinium dye (QC7CN) as photoresponsive ‘dye ink’ for addressing this dilemma. This dye features high UV-transparency that ensures stability during printing process, while possessing robust second near infrared (NIR-II) absorbance for deep-seated photothermal responsiveness. Leveraging these properties, we engineer a NIR-II light-controlled 3D-printed scaffold, composed of methacryloylated gelatin and calcium phosphate oligomers as printing matrix, thermosensitive phase-transformable microspheres as parathyroid hormone (PTH) drug carrier, and QC7CN as photothermal trigger. Upon NIR-II laser irradiation, QC7CN induces localized mild hyperthermia to drive gel-sol phase transition of microspheres, thereby manipulating pulsatile PTH release for deep-tissue osteoporotic bone repair. As such, our study provides a full demonstration in molecular design and additive manufacturing to push the limits of intelligent materials in precision medicine.</w:t>
      </w:r>
    </w:p>
    <w:p>
      <w:pPr>
        <w:spacing w:before="120" w:after="120"/>
      </w:pPr>
      <w:r>
        <w:rPr>
          <w:sz w:val="18"/>
        </w:rPr>
        <w:t>——————————————————————————————————————————————————————————————————————</w:t>
      </w:r>
    </w:p>
    <w:p>
      <w:pPr>
        <w:spacing w:before="160" w:after="40" w:line="240" w:lineRule="auto"/>
      </w:pPr>
      <w:r>
        <w:rPr>
          <w:b/>
        </w:rPr>
        <w:t xml:space="preserve">[71] </w:t>
      </w:r>
      <w:hyperlink r:id="rId396">
        <w:r>
          <w:rPr>
            <w:color w:val="1155CC"/>
            <w:u w:val="single"/>
          </w:rPr>
          <w:t>儿茶酚胺对清醒、睡眠和麻醉期间额叶皮质点火的调节</w:t>
        </w:r>
      </w:hyperlink>
    </w:p>
    <w:p>
      <w:pPr>
        <w:spacing w:before="0" w:after="80"/>
      </w:pPr>
      <w:r>
        <w:rPr>
          <w:i/>
          <w:sz w:val="20"/>
        </w:rPr>
        <w:t>EN: Catecholamine modulation of frontal cortical ignition during wakefulness, sleep, and anesthesia</w:t>
      </w:r>
    </w:p>
    <w:p>
      <w:pPr>
        <w:spacing w:before="0" w:after="120"/>
      </w:pPr>
      <w:r>
        <w:rPr>
          <w:b/>
        </w:rPr>
        <w:t xml:space="preserve">Source: </w:t>
      </w:r>
      <w:r>
        <w:t>National Science Review Advance Access</w:t>
      </w:r>
      <w:r>
        <w:t xml:space="preserve">    </w:t>
      </w:r>
      <w:r>
        <w:rPr>
          <w:b/>
        </w:rPr>
        <w:t xml:space="preserve">Pub date: </w:t>
      </w:r>
      <w:r>
        <w:t>2026-07-06 00:00:00+00:00</w:t>
      </w:r>
      <w:r>
        <w:t xml:space="preserve">    </w:t>
      </w:r>
      <w:r>
        <w:rPr>
          <w:b/>
        </w:rPr>
        <w:t xml:space="preserve">DOI: </w:t>
      </w:r>
      <w:hyperlink r:id="rId397">
        <w:r>
          <w:rPr>
            <w:color w:val="1155CC"/>
            <w:u w:val="single"/>
          </w:rPr>
          <w:t>10.1093/nsr/nwag412</w:t>
        </w:r>
      </w:hyperlink>
    </w:p>
    <w:p>
      <w:pPr>
        <w:spacing w:before="0" w:after="120"/>
      </w:pPr>
      <w:r>
        <w:rPr>
          <w:b/>
        </w:rPr>
        <w:t xml:space="preserve">Notes: </w:t>
      </w:r>
      <w:r>
        <w:t>abstract_source=rss_oup</w:t>
      </w:r>
    </w:p>
    <w:p>
      <w:pPr>
        <w:spacing w:before="0" w:after="80" w:lineRule="auto" w:line="276"/>
      </w:pPr>
      <w:r>
        <w:rPr>
          <w:b/>
        </w:rPr>
        <w:t xml:space="preserve">摘要（ZH）: </w:t>
      </w:r>
      <w:r>
        <w:t>在非快速眼动 (NREM) 睡眠和全身麻醉期间，清醒意识普遍存在，但其潜在机制仍知之甚少。在这里，我们发现儿茶酚胺神经元的活动（已知在清醒状态下比非快速眼动睡眠时更高）增强了皮质点火，这是一个与意识意识密切相关的过程。儿茶酚胺神经元，特别是腹侧被盖区（VTA）中的多巴胺能神经元的化学遗传学激活和失活分别增加和减少了视觉皮层（V1）刺激引起的前扣带区（ACA）兴奋的幅度。氯胺酮和异氟烷是两种常用的全身麻醉剂，可大大降低 V1 至 ACA 活性的传播。除了抑制正在进行的皮质活动外，这些全身麻醉药还显着降低了 VTA 多巴胺能和基底前脑 (BF) 胆碱能神经元的活性，其中多巴胺能活性降至远低于 NREM 睡眠期间的水平。 V1 刺激引起的额叶皮层活动的强烈抑制在 NREM 睡眠期间很明显，但在氯胺酮和异氟烷麻醉下也不存在。这些结果表明全身麻醉和 NREM 睡眠通过重叠但不相同的机制抑制全局点火。</w:t>
      </w:r>
    </w:p>
    <w:p>
      <w:pPr>
        <w:spacing w:before="0" w:after="200" w:lineRule="auto" w:line="276"/>
      </w:pPr>
      <w:r>
        <w:rPr>
          <w:b/>
        </w:rPr>
        <w:t xml:space="preserve">Abstract (EN): </w:t>
      </w:r>
      <w:r>
        <w:t>Conscious awareness—diminished during non-rapid-eye-movement (NREM) sleep and general anesthesia—is prevalent during wakefulness, but the underlying mechanism remains poorly understood. Here we show that activity of catecholamine neurons, known to be higher during wakefulness than NREM sleep, enhances cortical ignition, a process closely associated with conscious awareness. Chemogenetic activation and inactivation of catecholamine neurons, particularly dopaminergic neurons in the ventral tegmental area (VTA), respectively increased and decreased the amplitude of anterior cingulate area (ACA) excitation evoked by visual cortex (V1) stimulation. Ketamine and isoflurane, two commonly used general anesthetics, greatly reduced V1-to-ACA activity propagation. In addition to suppressing ongoing cortical activity, these general anesthetics significantly reduced the activity of VTA dopaminergic and basal forebrain (BF) cholinergic neurons, with dopaminergic activity dropping well below its level during NREM sleep. The strong inhibition of frontal cortical activity evoked by V1 stimulation, prominent during NREM sleep, was also absent under ketamine and isoflurane anesthesia. These results indicate that general anesthesia and NREM sleep suppress global ignition through overlapping but non-identical mechanisms.</w:t>
      </w:r>
    </w:p>
    <w:p>
      <w:pPr>
        <w:spacing w:before="120" w:after="120"/>
      </w:pPr>
      <w:r>
        <w:rPr>
          <w:sz w:val="18"/>
        </w:rPr>
        <w:t>——————————————————————————————————————————————————————————————————————</w:t>
      </w:r>
    </w:p>
    <w:p>
      <w:pPr>
        <w:spacing w:before="160" w:after="40" w:line="240" w:lineRule="auto"/>
      </w:pPr>
      <w:r>
        <w:rPr>
          <w:b/>
        </w:rPr>
        <w:t xml:space="preserve">[72] </w:t>
      </w:r>
      <w:hyperlink r:id="rId398">
        <w:r>
          <w:rPr>
            <w:color w:val="1155CC"/>
            <w:u w:val="single"/>
          </w:rPr>
          <w:t>突破空间位阻限制：压缩金属键实现深能级轨道离域</w:t>
        </w:r>
      </w:hyperlink>
    </w:p>
    <w:p>
      <w:pPr>
        <w:spacing w:before="0" w:after="80"/>
      </w:pPr>
      <w:r>
        <w:rPr>
          <w:i/>
          <w:sz w:val="20"/>
        </w:rPr>
        <w:t>EN: Breaking steric hindrance restriction: compressed metal bonds realizing deep-level orbital delocalization</w:t>
      </w:r>
    </w:p>
    <w:p>
      <w:pPr>
        <w:spacing w:before="0" w:after="120"/>
      </w:pPr>
      <w:r>
        <w:rPr>
          <w:b/>
        </w:rPr>
        <w:t xml:space="preserve">Source: </w:t>
      </w:r>
      <w:r>
        <w:t>National Science Review Advance Access</w:t>
      </w:r>
      <w:r>
        <w:t xml:space="preserve">    </w:t>
      </w:r>
      <w:r>
        <w:rPr>
          <w:b/>
        </w:rPr>
        <w:t xml:space="preserve">Pub date: </w:t>
      </w:r>
      <w:r>
        <w:t>2026-07-06 00:00:00+00:00</w:t>
      </w:r>
      <w:r>
        <w:t xml:space="preserve">    </w:t>
      </w:r>
      <w:r>
        <w:rPr>
          <w:b/>
        </w:rPr>
        <w:t xml:space="preserve">DOI: </w:t>
      </w:r>
      <w:hyperlink r:id="rId399">
        <w:r>
          <w:rPr>
            <w:color w:val="1155CC"/>
            <w:u w:val="single"/>
          </w:rPr>
          <w:t>10.1093/nsr/nwag388</w:t>
        </w:r>
      </w:hyperlink>
    </w:p>
    <w:p>
      <w:pPr>
        <w:spacing w:before="0" w:after="120"/>
      </w:pPr>
      <w:r>
        <w:rPr>
          <w:b/>
        </w:rPr>
        <w:t xml:space="preserve">Notes: </w:t>
      </w:r>
      <w:r>
        <w:t>abstract_source=rss_oup</w:t>
      </w:r>
    </w:p>
    <w:p>
      <w:pPr>
        <w:spacing w:before="0" w:after="80" w:lineRule="auto" w:line="276"/>
      </w:pPr>
      <w:r>
        <w:rPr>
          <w:b/>
        </w:rPr>
        <w:t xml:space="preserve">摘要（ZH）: </w:t>
      </w:r>
      <w:r>
        <w:t>引入大官能团是提高化学品稳定性和价值的行之有效的策略。然而，伴随的空间位阻效应会严重阻碍反应进程，给合成设计带来严重的困境。在此，提出了一种空位约束策略，通过压缩金属键实现催化剂的深层次离域化来打破空间位阻限制。具体而言，离域深能级轨道表现出强大的穿透能力，通过增强活性位点和底物之间的电荷转移过程来克服大官能团的空间位阻效应。以缺陷CeO2上负载的铋原子为例，通过将两个相邻的Bi原子限制在CeO2纳米片的空位中，构建了“O4-Bi-Bi-O4”系综，其中Bi-Bi键被强烈限制在3.10 Å至3.05 Å之间。这种功能性Bi2/CeO2催化剂在克服大官能团的空间位阻方面表现出增强的光催化效率，比Bi单原子催化剂和Bi簇催化剂高3倍和2倍。这项工作提出了一种在高附加值化学合成过程中克服空间位阻效应的适用方法。</w:t>
      </w:r>
    </w:p>
    <w:p>
      <w:pPr>
        <w:spacing w:before="0" w:after="200" w:lineRule="auto" w:line="276"/>
      </w:pPr>
      <w:r>
        <w:rPr>
          <w:b/>
        </w:rPr>
        <w:t xml:space="preserve">Abstract (EN): </w:t>
      </w:r>
      <w:r>
        <w:t>The introduction of large functional groups is a well-established strategy to enhance the stability and value of chemicals. However, the accompanying steric hindrance effects can significantly impede reaction progress, presenting a critical dilemma in synthetic design. Herein, a vacancy-constrained strategy was proposed to breaking steric hindrance restriction by realizing the deep-level delocalization of catalyst with compressed metal bonds. In detail, the delocalized deep-level orbit exhibits strong penetrating capability to overcome the steric hindrance effect of large functional groups by enhancing the charge-transfer process between the active sites and substrates. By taking bismuth atoms supported on defective CeO2 as an example, an ‘O4-Bi-Bi-O4’ ensemble was constructed by confining two adjacent Bi atoms in the vacancy of CeO2 nanosheets, where the Bi–Bi bond was strongly constrained from 3.10 Å to 3.05 Å. Such a functional Bi2/CeO2 catalyst exhibits enhanced photocatalytic efficiency in overcoming the steric hindrance from large functional groups, which is three times and two times higher than that of Bi single-atom catalyst and Bi clusters catalyst. This work proposed an applicable way in overcoming steric hindrance effects during high value-added chemical synthesis.</w:t>
      </w:r>
    </w:p>
    <w:p>
      <w:pPr>
        <w:spacing w:before="120" w:after="120"/>
      </w:pPr>
      <w:r>
        <w:rPr>
          <w:sz w:val="18"/>
        </w:rPr>
        <w:t>——————————————————————————————————————————————————————————————————————</w:t>
      </w:r>
    </w:p>
    <w:p>
      <w:pPr>
        <w:spacing w:before="160" w:after="40" w:line="240" w:lineRule="auto"/>
      </w:pPr>
      <w:r>
        <w:rPr>
          <w:b/>
        </w:rPr>
        <w:t xml:space="preserve">[73] </w:t>
      </w:r>
      <w:hyperlink r:id="rId400">
        <w:r>
          <w:rPr>
            <w:color w:val="1155CC"/>
            <w:u w:val="single"/>
          </w:rPr>
          <w:t>量子材料的多模态扫描探针量子传感</w:t>
        </w:r>
      </w:hyperlink>
    </w:p>
    <w:p>
      <w:pPr>
        <w:spacing w:before="0" w:after="80"/>
      </w:pPr>
      <w:r>
        <w:rPr>
          <w:i/>
          <w:sz w:val="20"/>
        </w:rPr>
        <w:t>EN: Multimodal scanning-probe quantum sensing of quantum materials</w:t>
      </w:r>
    </w:p>
    <w:p>
      <w:pPr>
        <w:spacing w:before="0" w:after="120"/>
      </w:pPr>
      <w:r>
        <w:rPr>
          <w:b/>
        </w:rPr>
        <w:t xml:space="preserve">Source: </w:t>
      </w:r>
      <w:r>
        <w:t>Nature Materials</w:t>
      </w:r>
      <w:r>
        <w:t xml:space="preserve">    </w:t>
      </w:r>
      <w:r>
        <w:rPr>
          <w:b/>
        </w:rPr>
        <w:t xml:space="preserve">Pub date: </w:t>
      </w:r>
      <w:r>
        <w:t>2026-07-06 00:00:00+00:00</w:t>
      </w:r>
      <w:r>
        <w:t xml:space="preserve">    </w:t>
      </w:r>
      <w:r>
        <w:rPr>
          <w:b/>
        </w:rPr>
        <w:t xml:space="preserve">DOI: </w:t>
      </w:r>
      <w:hyperlink r:id="rId401">
        <w:r>
          <w:rPr>
            <w:color w:val="1155CC"/>
            <w:u w:val="single"/>
          </w:rPr>
          <w:t>10.1038/s41563-026-02648-w</w:t>
        </w:r>
      </w:hyperlink>
    </w:p>
    <w:p>
      <w:pPr>
        <w:spacing w:before="0" w:after="120"/>
      </w:pPr>
      <w:r>
        <w:rPr>
          <w:b/>
        </w:rPr>
        <w:t xml:space="preserve">Notes: </w:t>
      </w:r>
      <w:r>
        <w:t>abstract_source=nature_html</w:t>
      </w:r>
    </w:p>
    <w:p>
      <w:pPr>
        <w:spacing w:before="0" w:after="80" w:lineRule="auto" w:line="276"/>
      </w:pPr>
      <w:r>
        <w:rPr>
          <w:b/>
        </w:rPr>
        <w:t xml:space="preserve">摘要（ZH）: </w:t>
      </w:r>
      <w:r>
        <w:t>基于自旋缺陷的量子显微镜最近在尖端科学研究和技术创新方面取得了革命性的进展。量子自旋缺陷的高灵敏度、高空间分辨率和出色的测量方式为凝聚态物理研究的前沿开辟了一系列机会。这种方法的许多优点源于传感器的量子力学性质，它提供了传统传感器所不具备的功能。在这篇综述中，我们概述了扫描探针氮空位量子传感研究的进展及其在研究具有纳米级空间分辨率的新兴量子材料物理方面的应用。我们还讨论了基于最近发现的氮空位中心之外的一维和二维材料中的自旋缺陷构建的量子传感平台。最后，我们对这些快速发展的量子传感技术的未来方向和机遇进行了展望。</w:t>
      </w:r>
    </w:p>
    <w:p>
      <w:pPr>
        <w:spacing w:before="0" w:after="200" w:lineRule="auto" w:line="276"/>
      </w:pPr>
      <w:r>
        <w:rPr>
          <w:b/>
        </w:rPr>
        <w:t xml:space="preserve">Abstract (EN): </w:t>
      </w:r>
      <w:r>
        <w:t>Spin-defect-based quantum microscopy has recently made transformative advances in cutting-edge scientific research and technological innovation. The high sensitivity, high spatial resolution and excellent measurement modalities of quantum spin defects open up a range of opportunities at the forefront of condensed-matter physics research. Many of the advantages of this approach result from the quantum mechanical nature of the sensors, which offer functionalities that are not available with their classical counterparts. In this Review, we provide an overview of progress on scanning-probe nitrogen-vacancy quantum sensing research and its application to investigating the physics of emergent quantum materials with nanoscale spatial resolution. We also discuss quantum sensing platforms built on more recently discovered spin defects in one-dimensional and two-dimensional materials beyond nitrogen-vacancy centres. We conclude with an outlook on future directions and opportunities for these rapidly advancing quantum sensing technologies.</w:t>
      </w:r>
    </w:p>
    <w:p>
      <w:pPr>
        <w:spacing w:before="120" w:after="120"/>
      </w:pPr>
      <w:r>
        <w:rPr>
          <w:sz w:val="18"/>
        </w:rPr>
        <w:t>——————————————————————————————————————————————————————————————————————</w:t>
      </w:r>
    </w:p>
    <w:p>
      <w:pPr>
        <w:spacing w:before="160" w:after="40" w:line="240" w:lineRule="auto"/>
      </w:pPr>
      <w:r>
        <w:rPr>
          <w:b/>
        </w:rPr>
        <w:t xml:space="preserve">[74] </w:t>
      </w:r>
      <w:hyperlink r:id="rId402">
        <w:r>
          <w:rPr>
            <w:color w:val="1155CC"/>
            <w:u w:val="single"/>
          </w:rPr>
          <w:t>利用振动探针监测聚合物电化学掺杂过程中极化子-阴离子相互作用</w:t>
        </w:r>
      </w:hyperlink>
    </w:p>
    <w:p>
      <w:pPr>
        <w:spacing w:before="0" w:after="80"/>
      </w:pPr>
      <w:r>
        <w:rPr>
          <w:i/>
          <w:sz w:val="20"/>
        </w:rPr>
        <w:t>EN: Utilizing Vibrational Probes to Monitor Polaron–Anion Interactions during Polymer Electrochemical Doping</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03">
        <w:r>
          <w:rPr>
            <w:color w:val="1155CC"/>
            <w:u w:val="single"/>
          </w:rPr>
          <w:t>10.1021/jacs.6c06402</w:t>
        </w:r>
      </w:hyperlink>
    </w:p>
    <w:p>
      <w:pPr>
        <w:spacing w:before="0" w:after="120"/>
      </w:pPr>
      <w:r>
        <w:rPr>
          <w:b/>
        </w:rPr>
        <w:t xml:space="preserve">Notes: </w:t>
      </w:r>
      <w:r>
        <w:t>abstract_source=pubmed</w:t>
      </w:r>
    </w:p>
    <w:p>
      <w:pPr>
        <w:spacing w:before="0" w:after="80" w:lineRule="auto" w:line="276"/>
      </w:pPr>
      <w:r>
        <w:rPr>
          <w:b/>
        </w:rPr>
        <w:t xml:space="preserve">摘要（ZH）: </w:t>
      </w:r>
      <w:r>
        <w:t>了解电荷载体（极化子）和补偿反离子之间的静电相互作用，以及它们在混合离子电子导电聚合物的电化学掺杂过程中如何演变，对于设计新材料以实现从生物电子学到神经形态计算的应用至关重要。然而，对这些相互作用的直接实验探索仍然有限，阻碍了它们的发展。在这里，我们介绍了一种原位光谱电化学（SEC）方法，该方法将可见光（vis）、近红外（NIR）和红外（IR）光谱与振动斯塔克效应相结合，以直接监测混合导电聚合物电化学掺杂过程中的极化子-离子对。使用聚[3-(4-丁酸乙酯)噻吩-2,5-二基] (P3EBT) 作为模型，我们利用其侧链中的酯羰基作为极化子及其反离子产生的局部静电场的内部振动探针。使用逐步可见光/近红外/红外 SEC，我们分配了电化学掺杂的多个阶段。第一阶段发生在低电压下，其特征是聚合物的聚集体和晶域中具有高度离域的二维极化子。在第二阶段，离子插入这些域，导致极化子由于静电捕获而定位于单链。此后，在第 3 阶段，非晶区域中形成极化子。结合振动溶剂化变色测量和分子动力学模拟来校准振动探针，我们量化了电子之间静电相互作用的掺杂水平相关变化。</w:t>
      </w:r>
    </w:p>
    <w:p>
      <w:pPr>
        <w:spacing w:before="0" w:after="200" w:lineRule="auto" w:line="276"/>
      </w:pPr>
      <w:r>
        <w:rPr>
          <w:b/>
        </w:rPr>
        <w:t xml:space="preserve">Abstract (EN): </w:t>
      </w:r>
      <w:r>
        <w:t>Understanding the electrostatic interactions between an electrical charge carrier (polaron) and the compensating counterion, and how they evolve during the electrochemical doping of mixed ionic-electronic conducting polymers, is critical for designing new materials to enable applications from bioelectronics to neuromorphic computing. However, direct experimental probes of these interactions remain limited, hindering their development. Here, we introduce an in situ spectroelectrochemistry (SEC) approach that combines visible (vis), near-infrared (NIR), and infrared (IR) spectroscopy with the vibrational Stark effect to directly monitor polaron-ion pairs during the electrochemical doping of mixed conducting polymers. Using poly[3-(ethyl-4-butanoate)thiophene-2,5-diyl] (P3EBT) as a model, we exploit the ester carbonyl in its side chain as an internal vibrational probe of the local electrostatic field created by the polaron and its counterion. Using stepwise vis/NIR/IR SEC, we assign multiple stages of electrochemical doping. Stage 1 occurs at low voltages and features highly delocalized, two-dimensional polarons in aggregates and crystalline domains of the polymer. During stage 2, ions intercalate these domains, causing polarons to localize to single chains due to electrostatic trapping. After this, polarons form in the amorphous regions during stage 3. Calibrating the vibrational probe using a combination of vibrational solvatochromism measurements and molecular dynamic simulations, we quantify doping level-dependent changes in the electrostatic interactions between electronic and ionic charges, with changes in the detected local electric field strength as high as 5 MV/cm. These measurements suggest that polaron-ion distance governs trapping at low voltages, while polymer chain coherence length and bipolaron formation play a larger role at higher voltages. This work establishes the vibrational Stark effect probe as a powerful spectroelectrochemical tool for investigating mixed conducting materials.</w:t>
      </w:r>
    </w:p>
    <w:p>
      <w:pPr>
        <w:spacing w:before="120" w:after="120"/>
      </w:pPr>
      <w:r>
        <w:rPr>
          <w:sz w:val="18"/>
        </w:rPr>
        <w:t>——————————————————————————————————————————————————————————————————————</w:t>
      </w:r>
    </w:p>
    <w:p>
      <w:pPr>
        <w:spacing w:before="160" w:after="40" w:line="240" w:lineRule="auto"/>
      </w:pPr>
      <w:r>
        <w:rPr>
          <w:b/>
        </w:rPr>
        <w:t xml:space="preserve">[75] </w:t>
      </w:r>
      <w:hyperlink r:id="rId404">
        <w:r>
          <w:rPr>
            <w:color w:val="1155CC"/>
            <w:u w:val="single"/>
          </w:rPr>
          <w:t>平面外鲁德尔斯登-波普尔铁电体迎来突破</w:t>
        </w:r>
      </w:hyperlink>
    </w:p>
    <w:p>
      <w:pPr>
        <w:spacing w:before="0" w:after="80"/>
      </w:pPr>
      <w:r>
        <w:rPr>
          <w:i/>
          <w:sz w:val="20"/>
        </w:rPr>
        <w:t>EN: Out-of-plane Ruddlesden–Popper ferroelectrics catch a break</w:t>
      </w:r>
    </w:p>
    <w:p>
      <w:pPr>
        <w:spacing w:before="0" w:after="120"/>
      </w:pPr>
      <w:r>
        <w:rPr>
          <w:b/>
        </w:rPr>
        <w:t xml:space="preserve">Source: </w:t>
      </w:r>
      <w:r>
        <w:t>Nature Electronics</w:t>
      </w:r>
      <w:r>
        <w:t xml:space="preserve">    </w:t>
      </w:r>
      <w:r>
        <w:rPr>
          <w:b/>
        </w:rPr>
        <w:t xml:space="preserve">Pub date: </w:t>
      </w:r>
      <w:r>
        <w:t>2026-07-06 00:00:00+00:00</w:t>
      </w:r>
      <w:r>
        <w:t xml:space="preserve">    </w:t>
      </w:r>
      <w:r>
        <w:rPr>
          <w:b/>
        </w:rPr>
        <w:t xml:space="preserve">DOI: </w:t>
      </w:r>
      <w:hyperlink r:id="rId405">
        <w:r>
          <w:rPr>
            <w:color w:val="1155CC"/>
            <w:u w:val="single"/>
          </w:rPr>
          <w:t>10.1038/s41928-026-01665-6</w:t>
        </w:r>
      </w:hyperlink>
    </w:p>
    <w:p>
      <w:pPr>
        <w:spacing w:before="0" w:after="120"/>
      </w:pPr>
      <w:r>
        <w:rPr>
          <w:b/>
        </w:rPr>
        <w:t xml:space="preserve">Notes: </w:t>
      </w:r>
      <w:r>
        <w:t>abstract_source=nature_html</w:t>
      </w:r>
    </w:p>
    <w:p>
      <w:pPr>
        <w:spacing w:before="0" w:after="80" w:lineRule="auto" w:line="276"/>
      </w:pPr>
      <w:r>
        <w:rPr>
          <w:b/>
        </w:rPr>
        <w:t xml:space="preserve">摘要（ZH）: </w:t>
      </w:r>
      <w:r>
        <w:t>通过打破 Ruddlesden-Popper 铁电材料的对称性，可以制造出具有高可调性和低损耗的面外介电材料。</w:t>
      </w:r>
    </w:p>
    <w:p>
      <w:pPr>
        <w:spacing w:before="0" w:after="200" w:lineRule="auto" w:line="276"/>
      </w:pPr>
      <w:r>
        <w:rPr>
          <w:b/>
        </w:rPr>
        <w:t xml:space="preserve">Abstract (EN): </w:t>
      </w:r>
      <w:r>
        <w:t>By breaking the symmetry of a Ruddlesden–Popper ferroelectric material, an out-of-plane dielectric material with high tunability and low loss can be fabricated.</w:t>
      </w:r>
    </w:p>
    <w:p>
      <w:pPr>
        <w:spacing w:before="120" w:after="120"/>
      </w:pPr>
      <w:r>
        <w:rPr>
          <w:sz w:val="18"/>
        </w:rPr>
        <w:t>——————————————————————————————————————————————————————————————————————</w:t>
      </w:r>
    </w:p>
    <w:p>
      <w:pPr>
        <w:spacing w:before="160" w:after="40" w:line="240" w:lineRule="auto"/>
      </w:pPr>
      <w:r>
        <w:rPr>
          <w:b/>
        </w:rPr>
        <w:t xml:space="preserve">[76] </w:t>
      </w:r>
      <w:hyperlink r:id="rId406">
        <w:r>
          <w:rPr>
            <w:color w:val="1155CC"/>
            <w:u w:val="single"/>
          </w:rPr>
          <w:t>用于护理点水平直接实时逆转录 PCR 的超快等离子体纳米腔热循环仪</w:t>
        </w:r>
      </w:hyperlink>
    </w:p>
    <w:p>
      <w:pPr>
        <w:spacing w:before="0" w:after="80"/>
      </w:pPr>
      <w:r>
        <w:rPr>
          <w:i/>
          <w:sz w:val="20"/>
        </w:rPr>
        <w:t>EN: Ultrafast Plasmonic Nanocavity Thermocycler for Direct Real-Time Reverse Transcription PCR at a Point-of-Care Level</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07">
        <w:r>
          <w:rPr>
            <w:color w:val="1155CC"/>
            <w:u w:val="single"/>
          </w:rPr>
          <w:t>10.1021/acsami.6c04810</w:t>
        </w:r>
      </w:hyperlink>
    </w:p>
    <w:p>
      <w:pPr>
        <w:spacing w:before="0" w:after="120"/>
      </w:pPr>
      <w:r>
        <w:rPr>
          <w:b/>
        </w:rPr>
        <w:t xml:space="preserve">Notes: </w:t>
      </w:r>
      <w:r>
        <w:t>abstract_source=pubmed</w:t>
      </w:r>
    </w:p>
    <w:p>
      <w:pPr>
        <w:spacing w:before="0" w:after="80" w:lineRule="auto" w:line="276"/>
      </w:pPr>
      <w:r>
        <w:rPr>
          <w:b/>
        </w:rPr>
        <w:t xml:space="preserve">摘要（ZH）: </w:t>
      </w:r>
      <w:r>
        <w:t>快速分子诊断仍然受到两个基本瓶颈的限制：核酸提取和缓慢的热循环，这两者共同限制了真正的现场护理部署。在这里，我们报告了用于即时护理水平的直接实时逆转录 PCR (DRT-qPCR) 的超快等离子体纳米腔热循环仪 (PNT)。 PNT 具有由簇状 Au、二氧化硅 (SiO2) 和 Au 薄膜组成的等离子体纳米腔，并配有 Pt 电阻温度检测器和白色发光二极管 (WLED)。在 WLED 照明下，PNT 显示出高效的光热转换，具有快速加热 (20.4 °C/s) 和冷却 (7.5 °C/s) 速率，在 269 秒内完成 40 个热循环。 PNT 与微透镜阵列荧光相机和一次性 PCR 盒紧凑集成到手掌大小的实时 PCR 系统中。 DRT-qPCR在不到15分钟内完成样品制备、反转录和PCR扩增，达到与商用台式PCR机相当的扩增效率。对 60 个 SARS-CoV-2 样本进行的临床验证显示出 87.1% 的敏感性、100% 的特异性和 93.3% 的诊断准确性，并且在重新测试后成功检测到所有假阴性。基于 PNT 的 DRT-qPCR 可以为多种传染病的分散和时间敏感环境中的快速分子诊断提供精确且可扩展的解决方案。</w:t>
      </w:r>
    </w:p>
    <w:p>
      <w:pPr>
        <w:spacing w:before="0" w:after="200" w:lineRule="auto" w:line="276"/>
      </w:pPr>
      <w:r>
        <w:rPr>
          <w:b/>
        </w:rPr>
        <w:t xml:space="preserve">Abstract (EN): </w:t>
      </w:r>
      <w:r>
        <w:t>Rapid molecular diagnostics remain constrained by two fundamental bottlenecks: nucleic acid extraction and slow thermocycling, which together limit true point-of-care deployment. Here we report ultrafast plasmonic nanocavity thermocycler (PNT) for direct real-time reverse transcription PCR (DRT-qPCR) at a point-of-care level. The PNT features a plasmonic nanocavity of clustered Au, silicon dioxide (SiO2), and Au thin film, with Pt resistance temperature detector and a white light-emitting diode (WLED). Under WLED illumination, the PNT shows highly efficient photothermal conversion with rapid heating (20.4 °C/s) and cooling (7.5 °C/s) rates, completing 40 thermocycles in 269 s. The PNT is compactly integrated with a microlens array fluorescence camera and a disposable PCR cartridge into a palm-sized real-time PCR system. The DRT-qPCR completes sample preparation, reverse transcription, and PCR amplification in less than 15 min, achieving amplification efficiency comparable to a commercial benchtop PCR machine. Clinical validation with 60 SARS-CoV-2 samples demonstrates 87.1% sensitivity, 100% specificity, and 93.3% diagnostic accuracy, with all false negatives successfully detected upon retesting. The PNT-based DRT-qPCR can provide a precise and scalable solution for rapid molecular diagnostics in decentralized and time-sensitive settings across diverse infectious diseases.</w:t>
      </w:r>
    </w:p>
    <w:p>
      <w:pPr>
        <w:spacing w:before="120" w:after="120"/>
      </w:pPr>
      <w:r>
        <w:rPr>
          <w:sz w:val="18"/>
        </w:rPr>
        <w:t>——————————————————————————————————————————————————————————————————————</w:t>
      </w:r>
    </w:p>
    <w:p>
      <w:pPr>
        <w:spacing w:before="160" w:after="40" w:line="240" w:lineRule="auto"/>
      </w:pPr>
      <w:r>
        <w:rPr>
          <w:b/>
        </w:rPr>
        <w:t xml:space="preserve">[77] </w:t>
      </w:r>
      <w:hyperlink r:id="rId408">
        <w:r>
          <w:rPr>
            <w:color w:val="1155CC"/>
            <w:u w:val="single"/>
          </w:rPr>
          <w:t>增强拉曼光谱或化学反应中等离子体界面电荷转移的选择性路由</w:t>
        </w:r>
      </w:hyperlink>
    </w:p>
    <w:p>
      <w:pPr>
        <w:spacing w:before="0" w:after="80"/>
      </w:pPr>
      <w:r>
        <w:rPr>
          <w:i/>
          <w:sz w:val="20"/>
        </w:rPr>
        <w:t>EN: The Selective Routing of Plasmonic Interface Charge Transfer in Enhanced Raman Spectroscopy or Chemical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09">
        <w:r>
          <w:rPr>
            <w:color w:val="1155CC"/>
            <w:u w:val="single"/>
          </w:rPr>
          <w:t>10.1021/jacs.6c08942</w:t>
        </w:r>
      </w:hyperlink>
    </w:p>
    <w:p>
      <w:pPr>
        <w:spacing w:before="0" w:after="120"/>
      </w:pPr>
      <w:r>
        <w:rPr>
          <w:b/>
        </w:rPr>
        <w:t xml:space="preserve">Notes: </w:t>
      </w:r>
      <w:r>
        <w:t>abstract_source=pubmed</w:t>
      </w:r>
    </w:p>
    <w:p>
      <w:pPr>
        <w:spacing w:before="0" w:after="80" w:lineRule="auto" w:line="276"/>
      </w:pPr>
      <w:r>
        <w:rPr>
          <w:b/>
        </w:rPr>
        <w:t xml:space="preserve">摘要（ZH）: </w:t>
      </w:r>
      <w:r>
        <w:t>从表面增强拉曼光谱 (SERS) 中的化学增强机制 (CM) 开始，到等离激元介导的化学反应 (PMCR) 达到顶峰，半个世纪以来，等离激元诱导的界面电荷转移引起了持久和广泛的兴趣。然而其在各个应用上的机制却比较纠结，严重阻碍了相关领域的发展。因此，迫切需要揭示增强光谱和/或反应中转移电子选择性路径的主导因素。在此，我们阐明了直接电子转移作为控制 CM 的核心过程，其中转移电子的数量和寿命作为关键描述符。此外，我们发现 SERS 的 CM 和 PMCR 的化学界面阻尼具有竞争性，这取决于转移电子的寿命。此外，我们强调了局域电磁场对界面电子转移的增强作用，揭示了 CM 和电磁场增强之间被忽视的协同作用。这项工作提供了对 CM 的见解，并探索了界面电子转移和相关应用的前沿。</w:t>
      </w:r>
    </w:p>
    <w:p>
      <w:pPr>
        <w:spacing w:before="0" w:after="200" w:lineRule="auto" w:line="276"/>
      </w:pPr>
      <w:r>
        <w:rPr>
          <w:b/>
        </w:rPr>
        <w:t xml:space="preserve">Abstract (EN): </w:t>
      </w:r>
      <w:r>
        <w:t>Plasmon-induced interface charge transfer has garnered enduring and widespread interest over the half century, starting from the chemical enhancement mechanism (CM) in surface-enhanced Raman spectroscopy (SERS) and climaxing with plasmon-mediated chemical reactions (PMCR). However, its mechanisms on various applications are tangled, severely hindering the development of related fields. Thus, it is urgent to reveal what dominates the selective routing of transferred electrons in enhanced spectroscopy and/or reaction. Herein, we elucidated direct electron transfer as the core process governing CM, with the number and lifetime of transferred electrons as key descriptors. Furthermore, we discovered that the CM for SERS and the chemical interface damping for PMCR are competitive, determined by the lifetimes of transferred electrons. Also, we emphasized the enhancement effect of the local electromagnetic field on interfacial electron transfer, revealing the overlooked synergy between CM and electromagnetic field enhancement. This work provides insights into CM and pursues the frontiers of interfacial electron transfer and related applications.</w:t>
      </w:r>
    </w:p>
    <w:p>
      <w:pPr>
        <w:spacing w:before="120" w:after="120"/>
      </w:pPr>
      <w:r>
        <w:rPr>
          <w:sz w:val="18"/>
        </w:rPr>
        <w:t>——————————————————————————————————————————————————————————————————————</w:t>
      </w:r>
    </w:p>
    <w:p>
      <w:pPr>
        <w:spacing w:before="160" w:after="40" w:line="240" w:lineRule="auto"/>
      </w:pPr>
      <w:r>
        <w:rPr>
          <w:b/>
        </w:rPr>
        <w:t xml:space="preserve">[78] </w:t>
      </w:r>
      <w:hyperlink r:id="rId410">
        <w:r>
          <w:rPr>
            <w:color w:val="1155CC"/>
            <w:u w:val="single"/>
          </w:rPr>
          <w:t>黄素中光诱导质子化位点转换的直接证据</w:t>
        </w:r>
      </w:hyperlink>
    </w:p>
    <w:p>
      <w:pPr>
        <w:spacing w:before="0" w:after="80"/>
      </w:pPr>
      <w:r>
        <w:rPr>
          <w:i/>
          <w:sz w:val="20"/>
        </w:rPr>
        <w:t>EN: Direct Evidence of Photoinduced Protonation-Site Switching in Flavins</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11">
        <w:r>
          <w:rPr>
            <w:color w:val="1155CC"/>
            <w:u w:val="single"/>
          </w:rPr>
          <w:t>10.1021/jacs.6c06496</w:t>
        </w:r>
      </w:hyperlink>
    </w:p>
    <w:p>
      <w:pPr>
        <w:spacing w:before="0" w:after="120"/>
      </w:pPr>
      <w:r>
        <w:rPr>
          <w:b/>
        </w:rPr>
        <w:t xml:space="preserve">Notes: </w:t>
      </w:r>
      <w:r>
        <w:t>abstract_source=pubmed</w:t>
      </w:r>
    </w:p>
    <w:p>
      <w:pPr>
        <w:spacing w:before="0" w:after="80" w:lineRule="auto" w:line="276"/>
      </w:pPr>
      <w:r>
        <w:rPr>
          <w:b/>
        </w:rPr>
        <w:t xml:space="preserve">摘要（ZH）: </w:t>
      </w:r>
      <w:r>
        <w:t>黄素经常在生物和人工系统中充当可见光感光体。先前的研究（主要是计算）表明光诱导质子化位点转换是黄素光反应性的基本起源。特别是，光激发预计会将优选的质子化位点改变到三环芳香黄素环的另一侧。然而，通过光激发直接实验鉴定这种质子化位点仍然是一个突出的挑战。在此，我们通过将低温离子阱红外光谱与水分子控制的微溶剂化相结合，直接证明了光诱导质子化位点转换。使用质子化的光黄素作为典型模型黄素，我们证明 S1 ← S0 光激发触发由跨芳环的水桥催化的质子转移。这些结果提供了黄素光化学的一般设计原理，对开发生物/人造光活性分子具有重要意义。</w:t>
      </w:r>
    </w:p>
    <w:p>
      <w:pPr>
        <w:spacing w:before="0" w:after="200" w:lineRule="auto" w:line="276"/>
      </w:pPr>
      <w:r>
        <w:rPr>
          <w:b/>
        </w:rPr>
        <w:t xml:space="preserve">Abstract (EN): </w:t>
      </w:r>
      <w:r>
        <w:t>Flavins frequently operate as visible-light photoreceptor in both biological and artificial systems. Previous studies (mostly computational) suggest photoinduced protonation-site switching as the fundamental origin of the flavin photoreactivity. In particular, photoexcitation is predicted to change the preferred protonation site to the opposite side of the tricyclic aromatic flavin ring. However, direct experimental identification of such protonation-site switching by photoexcitation has remained an outstanding challenge. Herein, we directly prove the photoinduced protonation-site switching by combining cryogenic ion-trap infrared spectroscopy with controlled microsolvation by water molecules. Using protonated lumiflavin as prototypical model flavin, we show that S1 ← S0 photoexcitation triggers proton transfer catalyzed by a water bridge across the aromatic ring. These results provide a general design principle of flavin photochemistry, with implications for developing biological/artificial photoactive molecules.</w:t>
      </w:r>
    </w:p>
    <w:p>
      <w:pPr>
        <w:spacing w:before="120" w:after="120"/>
      </w:pPr>
      <w:r>
        <w:rPr>
          <w:sz w:val="18"/>
        </w:rPr>
        <w:t>——————————————————————————————————————————————————————————————————————</w:t>
      </w:r>
    </w:p>
    <w:p>
      <w:pPr>
        <w:spacing w:before="160" w:after="40" w:line="240" w:lineRule="auto"/>
      </w:pPr>
      <w:r>
        <w:rPr>
          <w:b/>
        </w:rPr>
        <w:t xml:space="preserve">[79] </w:t>
      </w:r>
      <w:hyperlink r:id="rId412">
        <w:r>
          <w:rPr>
            <w:color w:val="1155CC"/>
            <w:u w:val="single"/>
          </w:rPr>
          <w:t>设计用于立体发散​​自由基 C(sp 3 )–C(sp 3 ) 键形成的硫胺素依赖性苯甲酰甲酸脱羧酶</w:t>
        </w:r>
      </w:hyperlink>
    </w:p>
    <w:p>
      <w:pPr>
        <w:spacing w:before="0" w:after="80"/>
      </w:pPr>
      <w:r>
        <w:rPr>
          <w:i/>
          <w:sz w:val="20"/>
        </w:rPr>
        <w:t>EN: Engineering a Thiamine-Dependent Benzoylformate Decarboxylase for Stereodivergent Radical C(sp 3 )–C(sp 3 ) Bond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13">
        <w:r>
          <w:rPr>
            <w:color w:val="1155CC"/>
            <w:u w:val="single"/>
          </w:rPr>
          <w:t>10.1021/jacs.6c04025</w:t>
        </w:r>
      </w:hyperlink>
    </w:p>
    <w:p>
      <w:pPr>
        <w:spacing w:before="0" w:after="120"/>
      </w:pPr>
      <w:r>
        <w:rPr>
          <w:b/>
        </w:rPr>
        <w:t xml:space="preserve">Notes: </w:t>
      </w:r>
      <w:r>
        <w:t>abstract_source=pubmed</w:t>
      </w:r>
    </w:p>
    <w:p>
      <w:pPr>
        <w:spacing w:before="0" w:after="80" w:lineRule="auto" w:line="276"/>
      </w:pPr>
      <w:r>
        <w:rPr>
          <w:b/>
        </w:rPr>
        <w:t xml:space="preserve">摘要（ZH）: </w:t>
      </w:r>
      <w:r>
        <w:t>两个前手性基团之间的 C(sp3)-C(sp3) 键的立体发散结构仍然是一个艰巨的挑战。在这里，我们报告了硫胺素二磷酸依赖性自由基酶的工程设计，以催化两个亲电 C(sp3) 前体的氧化还原中性和立体发散交叉偶联。这种新颖的酶反应性是通过前所未有的酶促乙烯基 Breslow 中间体的光加速单电子转移实现的，产生两个不同的前手性自由基，其立体选择性重组形成新的 C(sp3)-C(sp3) 键。通过系统的蛋白质工程，我们开发了四种酶变体，它们共同高效地传递所有四种立体异构体（产率高达 82%、对映体过量 (ee) 和 &gt;20:1 非对映体比例 (d.r.)）。这项工作建立了一个酶催化、还原剂-自由基交叉偶联的平台，同时控制两个 C(sp3) 立构中心。</w:t>
      </w:r>
    </w:p>
    <w:p>
      <w:pPr>
        <w:spacing w:before="0" w:after="200" w:lineRule="auto" w:line="276"/>
      </w:pPr>
      <w:r>
        <w:rPr>
          <w:b/>
        </w:rPr>
        <w:t xml:space="preserve">Abstract (EN): </w:t>
      </w:r>
      <w:r>
        <w:t>The stereodivergent construction of C(sp3)-C(sp3) bonds between two prochiral radicals remains a formidable challenge. Here, we report the engineering of a thiamine-diphosphate-dependent radical enzyme to catalyze redox-neutral and stereodivergent cross-coupling of two electrophilic C(sp3) precursors. This new-to-nature enzyme reactivity was achieved via light-accelerated single-electron transfer from an unprecedented enzymatic vinyl Breslow intermediate, generating two distinct prochiral radicals whose stereoselective recombination forges the new C(sp3)-C(sp3) bond. Through systematic protein engineering, we developed four enzyme variants that collectively deliver all four stereoisomers with high efficiency (up to 82% yield, 99% enantiomeric excess (ee) and &gt;20:1 diastereomeric ratio (d.r.)). This work establishes a platform for enzymatic, reductant-free radical cross-coupling with simultaneous control over two C(sp3) stereocenters.</w:t>
      </w:r>
    </w:p>
    <w:p>
      <w:pPr>
        <w:spacing w:before="120" w:after="120"/>
      </w:pPr>
      <w:r>
        <w:rPr>
          <w:sz w:val="18"/>
        </w:rPr>
        <w:t>——————————————————————————————————————————————————————————————————————</w:t>
      </w:r>
    </w:p>
    <w:p>
      <w:pPr>
        <w:spacing w:before="160" w:after="40" w:line="240" w:lineRule="auto"/>
      </w:pPr>
      <w:r>
        <w:rPr>
          <w:b/>
        </w:rPr>
        <w:t xml:space="preserve">[80] </w:t>
      </w:r>
      <w:hyperlink r:id="rId414">
        <w:r>
          <w:rPr>
            <w:color w:val="1155CC"/>
            <w:u w:val="single"/>
          </w:rPr>
          <w:t>使用 1,3-丙二硫醇作为高效氢原子转移试剂进行交流电驱动的脂肪胺氢同位素标记</w:t>
        </w:r>
      </w:hyperlink>
    </w:p>
    <w:p>
      <w:pPr>
        <w:spacing w:before="0" w:after="80"/>
      </w:pPr>
      <w:r>
        <w:rPr>
          <w:i/>
          <w:sz w:val="20"/>
        </w:rPr>
        <w:t>EN: Alternating Current-Driven Hydrogen Isotope Labeling of Aliphatic Amines Using 1,3-Propanedithiol as an Efficient Hydrogen Atom Transfer Reagent</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15">
        <w:r>
          <w:rPr>
            <w:color w:val="1155CC"/>
            <w:u w:val="single"/>
          </w:rPr>
          <w:t>10.1021/jacs.6c09099</w:t>
        </w:r>
      </w:hyperlink>
    </w:p>
    <w:p>
      <w:pPr>
        <w:spacing w:before="0" w:after="120"/>
      </w:pPr>
      <w:r>
        <w:rPr>
          <w:b/>
        </w:rPr>
        <w:t xml:space="preserve">Notes: </w:t>
      </w:r>
      <w:r>
        <w:t>abstract_source=pubmed</w:t>
      </w:r>
    </w:p>
    <w:p>
      <w:pPr>
        <w:spacing w:before="0" w:after="80" w:lineRule="auto" w:line="276"/>
      </w:pPr>
      <w:r>
        <w:rPr>
          <w:b/>
        </w:rPr>
        <w:t xml:space="preserve">摘要（ZH）: </w:t>
      </w:r>
      <w:r>
        <w:t>氢同位素交换（HIE）在同位素标记化合物的合成中发挥着关键作用，这些化合物广泛应用于制药行业的药物药代动力学和药效学研究。虽然电化学 HIE 已成为 C-H 键位点选择性标记的强大策略，但由于 α-氨基自由基的不稳定性及其对过度氧化的敏感性，其在含烷基胺药物中的应用扩展受到阻碍。在这里，我们报告了第一个电化学 HIE 协议，该协议能够对环状和无环烷基胺底物进行高效的氘 (D) 标记。关键创新在于使用1,3-丙二硫醇作为氢原子转移（HAT）催化剂，通过交流电解原位产生有效的HAT试剂——巯基自由基。与传统的单硫醇 HAT 催化剂（〜80 kcal/mol）相比，由放热二硫环形成驱动，该自由基受益于 34 kcal/mol 的有效 S-H 键解离能显着减弱。机理研究和计算分析揭示了二硫醇之间存在很强的结构-活性关系，确定 1,3-丙二硫醇是最佳催化剂，它特别适合平衡快速 HAT 动力学与二硫醇的高效再生。将该方法应用于 30 多种药学相关化合物，每个分子的检测结果高达 3.7 D。这项工作解决了电化学 HIE 中长期存在的挑战，并引入了在合成和生物化学领域具有广泛潜力的新 HAT 平台。</w:t>
      </w:r>
    </w:p>
    <w:p>
      <w:pPr>
        <w:spacing w:before="0" w:after="200" w:lineRule="auto" w:line="276"/>
      </w:pPr>
      <w:r>
        <w:rPr>
          <w:b/>
        </w:rPr>
        <w:t xml:space="preserve">Abstract (EN): </w:t>
      </w:r>
      <w:r>
        <w:t>Hydrogen isotope exchange (HIE) plays a pivotal role in the synthesis of isotopically labeled compounds, which are widely used in the pharmaceutical industry for drug pharmacokinetic and pharmacodynamic studies. While electrochemical HIE has emerged as a powerful strategy for site-selective labeling of C-H bonds, extending its application to alkyl amine-containing drugs has been hindered by the instability of α-amino radicals and their susceptibility to overoxidation. Here, we report the first electrochemical HIE protocol that enables efficient deuterium (D) labeling of both cyclic and acyclic alkyl amine substrates. The key innovation lies in using 1,3-propanedithiol as the hydrogen atom transfer (HAT) catalyst, which could in situ generate a potent HAT agent─a mercaptothiyl radical─via alternating current electrolysis. This radical benefits from a significantly weakened effective S-H bond dissociation energy of 34 kcal/mol compared to conventional monothiol HAT catalysts (∼80 kcal/mol), driven by exothermic disulfide ring formation. Mechanistic studies and computational analyses reveal a strong structure-activity relationship among dithiols, identifying 1,3-propanedithiol as the optimal catalyst, which is uniquely suited to balance fast HAT kinetics with efficient regeneration of the dithiol. The application of this method to over 30 pharmaceutically relevant compounds achieved up to 3.7 D per molecule. This work addresses a long-standing challenge in electrochemical HIE and introduces a new HAT platform with broad potential in synthetic and biological chemistry.</w:t>
      </w:r>
    </w:p>
    <w:p>
      <w:pPr>
        <w:spacing w:before="120" w:after="120"/>
      </w:pPr>
      <w:r>
        <w:rPr>
          <w:sz w:val="18"/>
        </w:rPr>
        <w:t>——————————————————————————————————————————————————————————————————————</w:t>
      </w:r>
    </w:p>
    <w:p>
      <w:pPr>
        <w:spacing w:before="160" w:after="40" w:line="240" w:lineRule="auto"/>
      </w:pPr>
      <w:r>
        <w:rPr>
          <w:b/>
        </w:rPr>
        <w:t xml:space="preserve">[81] </w:t>
      </w:r>
      <w:hyperlink r:id="rId416">
        <w:r>
          <w:rPr>
            <w:color w:val="1155CC"/>
            <w:u w:val="single"/>
          </w:rPr>
          <w:t>通过自由基烯丙基 Heck 反应跳过二烯</w:t>
        </w:r>
      </w:hyperlink>
    </w:p>
    <w:p>
      <w:pPr>
        <w:spacing w:before="0" w:after="80"/>
      </w:pPr>
      <w:r>
        <w:rPr>
          <w:i/>
          <w:sz w:val="20"/>
        </w:rPr>
        <w:t>EN: Skipped Dienes via Radical Allylic Heck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17">
        <w:r>
          <w:rPr>
            <w:color w:val="1155CC"/>
            <w:u w:val="single"/>
          </w:rPr>
          <w:t>10.1021/jacs.6c05412</w:t>
        </w:r>
      </w:hyperlink>
    </w:p>
    <w:p>
      <w:pPr>
        <w:spacing w:before="0" w:after="120"/>
      </w:pPr>
      <w:r>
        <w:rPr>
          <w:b/>
        </w:rPr>
        <w:t xml:space="preserve">Notes: </w:t>
      </w:r>
      <w:r>
        <w:t>abstract_source=pubmed</w:t>
      </w:r>
    </w:p>
    <w:p>
      <w:pPr>
        <w:spacing w:before="0" w:after="80" w:lineRule="auto" w:line="276"/>
      </w:pPr>
      <w:r>
        <w:rPr>
          <w:b/>
        </w:rPr>
        <w:t xml:space="preserve">摘要（ZH）: </w:t>
      </w:r>
      <w:r>
        <w:t>开发了一种光诱导钯催化的烯丙基 Heck 反应，使烯丙基亲电子试剂与烯烃直接偶联，形成密集官能化的跳跃二烯和共轭二烯。该转化通过杂化 Pd 烯丙基自由基中间体进行，该中间体允许有效且区域选择性的 C-C 键形成，同时表现出广泛的底物范围和高官能团耐受性。这项工作为烯丙基 Heck 反应引入了一种独特的基于自由基的途径，为复杂的 1,4- 和 1,3-二烯基序的合成提供了通用平台，并扩展了光诱导 Pd 催化的概念框架。</w:t>
      </w:r>
    </w:p>
    <w:p>
      <w:pPr>
        <w:spacing w:before="0" w:after="200" w:lineRule="auto" w:line="276"/>
      </w:pPr>
      <w:r>
        <w:rPr>
          <w:b/>
        </w:rPr>
        <w:t xml:space="preserve">Abstract (EN): </w:t>
      </w:r>
      <w:r>
        <w:t>A photoinduced palladium-catalyzed allylic Heck reaction has been developed, enabling direct coupling of allylic electrophiles with alkenes to furnish densely functionalized skipped and conjugated dienes. The transformation proceeds through a hybrid Pd allyl radical intermediate, which allows efficient and regioselective C-C bond formation while exhibiting broad substrate scope and high functional group tolerance. This work introduces a distinct radical-based pathway for the allylic Heck reaction, providing a general platform for the synthesis of complex 1,4- and 1,3-diene motifs and expanding the conceptual framework of photoinduced Pd catalysis.</w:t>
      </w:r>
    </w:p>
    <w:p>
      <w:pPr>
        <w:spacing w:before="120" w:after="120"/>
      </w:pPr>
      <w:r>
        <w:rPr>
          <w:sz w:val="18"/>
        </w:rPr>
        <w:t>——————————————————————————————————————————————————————————————————————</w:t>
      </w:r>
    </w:p>
    <w:p>
      <w:pPr>
        <w:spacing w:before="160" w:after="40" w:line="240" w:lineRule="auto"/>
      </w:pPr>
      <w:r>
        <w:rPr>
          <w:b/>
        </w:rPr>
        <w:t xml:space="preserve">[82] </w:t>
      </w:r>
      <w:hyperlink r:id="rId418">
        <w:r>
          <w:rPr>
            <w:color w:val="1155CC"/>
            <w:u w:val="single"/>
          </w:rPr>
          <w:t>非常规氧化态 Au 2+ 如何在卤化物钙钛矿 Cs 4 Au 3 Cl 12 中稳定：极化子晶体性质的第一性原理研究</w:t>
        </w:r>
      </w:hyperlink>
    </w:p>
    <w:p>
      <w:pPr>
        <w:spacing w:before="0" w:after="80"/>
      </w:pPr>
      <w:r>
        <w:rPr>
          <w:i/>
          <w:sz w:val="20"/>
        </w:rPr>
        <w:t>EN: How the Unconventional Oxidation State Au 2+ Is Stabilized in the Halide Perovskite Cs 4 Au 3 Cl 12 : A First-Principles Study of Its Polaron Crystal Nature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19">
        <w:r>
          <w:rPr>
            <w:color w:val="1155CC"/>
            <w:u w:val="single"/>
          </w:rPr>
          <w:t>10.1021/jacs.6c04469</w:t>
        </w:r>
      </w:hyperlink>
    </w:p>
    <w:p>
      <w:pPr>
        <w:spacing w:before="0" w:after="120"/>
      </w:pPr>
      <w:r>
        <w:rPr>
          <w:b/>
        </w:rPr>
        <w:t xml:space="preserve">Notes: </w:t>
      </w:r>
      <w:r>
        <w:t>abstract_source=pubmed</w:t>
      </w:r>
    </w:p>
    <w:p>
      <w:pPr>
        <w:spacing w:before="0" w:after="80" w:lineRule="auto" w:line="276"/>
      </w:pPr>
      <w:r>
        <w:rPr>
          <w:b/>
        </w:rPr>
        <w:t xml:space="preserve">摘要（ZH）: </w:t>
      </w:r>
      <w:r>
        <w:t>晶体化合物中的金通常仅在氧化态 Au1+ 和 Au3+ 下稳定。即使标称具有 Au2+ 的化合物通常也会歧化为 Au1+ 和 Au3+。最近，合成了 Cs4Au3Cl12，其中金大部分呈 2+ 态。在这里，我们使用第一原理计算研究了这种化合物，并表明 Au2+ 离子的稳定是通过形成极化子晶体来实现的。电子和声子结构表明键合网络可以解释为[Au2+Cl4]2-和[Au3+Cl4]1-方形平面图案的集合，并且晶体缺乏Au2+歧化为Au1+和Au3+而不产生悬空键的平滑路径。 Au 的电子态包含在每个 AuCl4 基序内，这使得 Au2+ 态能够以电子方式定位和隔离。 Au2+ 位点形成有序结构，这是由 [Au2+Cl4]2- 基序之间由于晶格畸变而产生的强烈排斥相互作用驱动的。通过考虑氧化还原反应，我们表明 Cs4Au3Cl12 具有 Au2+ 的最大密度，进一步还原将诱导离域态。 Cs4Au3Cl12 具有独特的电子结构，具有窄带隙、孤立的 HOMO 和 LUMO 能带强烈局域于 Au 位点，以及 Au2+ 位点的磁化，使 Cs4Au3Cl12 在量子材料中独一无二。 Cs4Au3Cl12 可以作为探索新型金化学的试验台，为通过晶格畸变工程控制氧化态提供机会。</w:t>
      </w:r>
    </w:p>
    <w:p>
      <w:pPr>
        <w:spacing w:before="0" w:after="200" w:lineRule="auto" w:line="276"/>
      </w:pPr>
      <w:r>
        <w:rPr>
          <w:b/>
        </w:rPr>
        <w:t xml:space="preserve">Abstract (EN): </w:t>
      </w:r>
      <w:r>
        <w:t>Gold in crystalline compounds is typically only stable in oxidation states Au1+ and Au3+. Even compounds with nominal Au2+ usually disproportionate into Au1+ and Au3+. Recently, Cs4Au3Cl12 was synthesized, where gold took the 2+ state in the bulk. Here, we investigate this compound using first-principles calculations and show that stabilization of the Au2+ ion is through the formation of a polaron crystal. The electronic and phononic structures suggest that the bonding network can be interpreted as a collection of [Au2+Cl4]2- and [Au3+Cl4]1- square planar motifs, and the crystal lacks a smooth pathway for Au2+ to disproportionate into Au1+ and Au3+ without creating dangling bonds. The electronic states of Au are contained within each AuCl4 motif, which allows for the Au2+ state to be localized and isolated electronically. The Au2+ sites form an ordered structure, which is driven by a strong repulsive interaction between [Au2+Cl4]2- motifs due to their lattice distortion. By considering a redox reaction, we show that Cs4Au3Cl12 has the maximal density of Au2+, and further reduction will induce a delocalized state. Cs4Au3Cl12 has a distinctive electronic structure, with a narrow gap, isolated HOMO and LUMO bands strongly localized at the Au sites, and magnetization at the Au2+ sites, making Cs4Au3Cl12 unique among quantum materials. Cs4Au3Cl12 can be a testbed to explore novel gold chemistry, opening opportunities to control the oxidation state through engineering of lattice distortions.</w:t>
      </w:r>
    </w:p>
    <w:p>
      <w:pPr>
        <w:spacing w:before="120" w:after="120"/>
      </w:pPr>
      <w:r>
        <w:rPr>
          <w:sz w:val="18"/>
        </w:rPr>
        <w:t>——————————————————————————————————————————————————————————————————————</w:t>
      </w:r>
    </w:p>
    <w:p>
      <w:pPr>
        <w:spacing w:before="160" w:after="40" w:line="240" w:lineRule="auto"/>
      </w:pPr>
      <w:r>
        <w:rPr>
          <w:b/>
        </w:rPr>
        <w:t xml:space="preserve">[83] </w:t>
      </w:r>
      <w:hyperlink r:id="rId420">
        <w:r>
          <w:rPr>
            <w:color w:val="1155CC"/>
            <w:u w:val="single"/>
          </w:rPr>
          <w:t>使用 Ir( t Bu-POCOP)H 2 催化剂通过机理洞察实现受控胺-硼烷脱氢聚合</w:t>
        </w:r>
      </w:hyperlink>
    </w:p>
    <w:p>
      <w:pPr>
        <w:spacing w:before="0" w:after="80"/>
      </w:pPr>
      <w:r>
        <w:rPr>
          <w:i/>
          <w:sz w:val="20"/>
        </w:rPr>
        <w:t>EN: Controlled Amine-Borane Dehydropolymerization Enabled by Mechanistic Insight Using the Ir( t Bu-POCOP)H 2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21">
        <w:r>
          <w:rPr>
            <w:color w:val="1155CC"/>
            <w:u w:val="single"/>
          </w:rPr>
          <w:t>10.1021/jacs.5c21118</w:t>
        </w:r>
      </w:hyperlink>
    </w:p>
    <w:p>
      <w:pPr>
        <w:spacing w:before="0" w:after="120"/>
      </w:pPr>
      <w:r>
        <w:rPr>
          <w:b/>
        </w:rPr>
        <w:t xml:space="preserve">Notes: </w:t>
      </w:r>
      <w:r>
        <w:t>abstract_source=pubmed</w:t>
      </w:r>
    </w:p>
    <w:p>
      <w:pPr>
        <w:spacing w:before="0" w:after="80" w:lineRule="auto" w:line="276"/>
      </w:pPr>
      <w:r>
        <w:rPr>
          <w:b/>
        </w:rPr>
        <w:t xml:space="preserve">摘要（ZH）: </w:t>
      </w:r>
      <w:r>
        <w:t>报道了使用 Ir(tBu-POCOP)H2 作为预催化剂，对 H3B·NMeH2 进行受控、催化、级联式脱氢聚合形成 N-甲基聚氨基硼烷 [H2BNMeH]n (Me-PAB) 的详细动力学、机理和操作形态研究。使用在线 FlowNMR 监测的催化剂形态显示，在诱导期内形成了硼氢化物配合物 Ir(tBu-POCOP)(H)(BH4)，并在生产周转期间迅速形成 Ir(tBu-POCOP)H4。 NMeH2、痕量水和 [H3B·NMeH2] 在诱导期、生产催化和形态形成中的作用的动力学研究揭示了一组复杂的过程，为数值和计算 (DFT) 建模提供了框架。这些共同支持 H3B·NMeH2 脱氢形成实际单体 H2B=NMeH 的机制，该机制涉及协调的 B-H/N-H 活化。通过了解控制最大脱氢速率 [ν(max)] 和催化剂形态的因素，并采用温度变化和胺添加剂，可以获得宽范围的 Me-PAB 分子量 (Mn = 35,000-191,200 g·mol-1)；除了低催化剂负载量 (21 ppm)、多克级 (16 g) 和水/空气耐受性之外。此类系统的开发可使用所提供的基材和简单催化剂选择性地生产 Me-PAB，该系统也可用于材料测试，从而促进 Me-PAB 作为六氮化硼的通用陶瓷前体的更广泛应用。</w:t>
      </w:r>
    </w:p>
    <w:p>
      <w:pPr>
        <w:spacing w:before="0" w:after="200" w:lineRule="auto" w:line="276"/>
      </w:pPr>
      <w:r>
        <w:rPr>
          <w:b/>
        </w:rPr>
        <w:t xml:space="preserve">Abstract (EN): </w:t>
      </w:r>
      <w:r>
        <w:t>A detailed kinetic, mechanism, and operando speciation study on the controlled, catalytic, cascade-like dehydropolymerization of H3B·NMeH2 to form N-methyl polyaminoborane [H2BNMeH]n (Me-PAB) using Ir(tBu-POCOP)H2 as a precatalyst is reported. Catalyst speciation, as monitored using online FlowNMR, shows the formation of a borohydride complex Ir(tBu-POCOP)(H)(BH4) during an induction period, that rapidly speciates to Ir(tBu-POCOP)H4 during productive turnover. Kinetic studies in the roles of NMeH2, trace water, and [H3B·NMeH2] on the induction period, productive catalysis and speciation reveal a complex set of processes that provide a framework for numerical and computational (DFT) modeling. Collectively these combine to support a mechanism for the dehydrogenation of H3B·NMeH2 to form the actual monomer, H2B═NMeH, that involves concerted B-H/N-H activation. By understanding the factors that control the maximum rate of dehydrogenation [ν(max)] and catalyst speciation, and deploying temperature variation and amine additives, a wide-range of Me-PAB molecular weights (Mn = 35,000-191,200 g·mol-1) can be achieved; in addition to low catalyst loadings (21 ppm), multigram scales (16 g) and water/air tolerance. The development of such systems which operate to selectively produce Me-PAB, using as-supplied substrates and simple catalysts, that also work on a scale useful for materials testing, promotes the wider exploitation of Me-PAB as a general preceramic precursor to hex-boron nitride.</w:t>
      </w:r>
    </w:p>
    <w:p>
      <w:pPr>
        <w:spacing w:before="120" w:after="120"/>
      </w:pPr>
      <w:r>
        <w:rPr>
          <w:sz w:val="18"/>
        </w:rPr>
        <w:t>——————————————————————————————————————————————————————————————————————</w:t>
      </w:r>
    </w:p>
    <w:p>
      <w:pPr>
        <w:spacing w:before="160" w:after="40" w:line="240" w:lineRule="auto"/>
      </w:pPr>
      <w:r>
        <w:rPr>
          <w:b/>
        </w:rPr>
        <w:t xml:space="preserve">[84] </w:t>
      </w:r>
      <w:hyperlink r:id="rId422">
        <w:r>
          <w:rPr>
            <w:color w:val="1155CC"/>
            <w:u w:val="single"/>
          </w:rPr>
          <w:t>负曲手性双层纳米石墨烯</w:t>
        </w:r>
      </w:hyperlink>
    </w:p>
    <w:p>
      <w:pPr>
        <w:spacing w:before="0" w:after="80"/>
      </w:pPr>
      <w:r>
        <w:rPr>
          <w:i/>
          <w:sz w:val="20"/>
        </w:rPr>
        <w:t>EN: Negatively Curved Chiral Bilayer Nanographene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23">
        <w:r>
          <w:rPr>
            <w:color w:val="1155CC"/>
            <w:u w:val="single"/>
          </w:rPr>
          <w:t>10.1021/jacs.6c12281</w:t>
        </w:r>
      </w:hyperlink>
    </w:p>
    <w:p>
      <w:pPr>
        <w:spacing w:before="0" w:after="120"/>
      </w:pPr>
      <w:r>
        <w:rPr>
          <w:b/>
        </w:rPr>
        <w:t xml:space="preserve">Notes: </w:t>
      </w:r>
      <w:r>
        <w:t>abstract_source=pubmed</w:t>
      </w:r>
    </w:p>
    <w:p>
      <w:pPr>
        <w:spacing w:before="0" w:after="80" w:lineRule="auto" w:line="276"/>
      </w:pPr>
      <w:r>
        <w:rPr>
          <w:b/>
        </w:rPr>
        <w:t xml:space="preserve">摘要（ZH）: </w:t>
      </w:r>
      <w:r>
        <w:t>离散的 π-π 堆叠纳米碳作为层状石墨材料的原子精确模型，表现出独特的光学和电子特性。然而，大多数报道的例子仅限于平面构建块。在这项工作中，合成了两种含有六[7]环烯核的负弯曲手性纳米石墨烯（1和2）。 1和2在结晶状态下均形成双层结构，分别采用重叠构象和置换构象。双层堆叠是由层间 π-π 和 C-H…π 相互作用驱动的。 NMR 研究证实了溶液中 (1)2 的明确双层结构。循环伏安法测量证明了 (1)2 中的层间耦合。利用圆二色光谱和理论计算研究了手性异构体的反转行为，揭示了双层堆叠稳定了(1)2的手性结构。 (1)2 中观察到增强的手性光学不对称因子。这项工作不仅建立了 (1)2 作为负弯曲双层石墨烯的分子模型，而且还强调了通过堆叠调节手性行为，为构建基于负弯曲纳米碳的明确手性组装体提供了策略。</w:t>
      </w:r>
    </w:p>
    <w:p>
      <w:pPr>
        <w:spacing w:before="0" w:after="200" w:lineRule="auto" w:line="276"/>
      </w:pPr>
      <w:r>
        <w:rPr>
          <w:b/>
        </w:rPr>
        <w:t xml:space="preserve">Abstract (EN): </w:t>
      </w:r>
      <w:r>
        <w:t>Discrete π-π stacked nanocarbons, which serve as atomically precise models for layered graphitic materials, exhibit distinct optical and electronic properties. However, most reported examples are limited to planar building blocks. In this work, two negatively curved chiral nanographenes (1 and 2) containing a hexa[7]circulene core were synthesized. Both 1 and 2 form bilayer structures in the crystalline state, adopting eclipsed and displaced conformations, respectively. The bilayer stacking is driven by interlayer π-π and C-H···π interactions. NMR studies confirmed the well-defined bilayer structure of (1)2 in solution. Cyclic voltammetry measurements demonstrated interlayer coupling in (1)2. The inversion behavior of the chiral isomers was investigated using circular dichroism spectroscopy and theoretical calculations, revealing that the bilayer stacking stabilizes the chiral structure of (1)2. Enhanced chiroptical dissymmetry factors were observed in (1)2. This work not only establishes (1)2 as a molecular model for negatively curved bilayer graphene but also highlights the modulation of chiral behavior through stacking, offering a strategy for constructing well-defined chiral assemblies based on negatively curved nanocarbons.</w:t>
      </w:r>
    </w:p>
    <w:p>
      <w:pPr>
        <w:spacing w:before="120" w:after="120"/>
      </w:pPr>
      <w:r>
        <w:rPr>
          <w:sz w:val="18"/>
        </w:rPr>
        <w:t>——————————————————————————————————————————————————————————————————————</w:t>
      </w:r>
    </w:p>
    <w:p>
      <w:pPr>
        <w:spacing w:before="160" w:after="40" w:line="240" w:lineRule="auto"/>
      </w:pPr>
      <w:r>
        <w:rPr>
          <w:b/>
        </w:rPr>
        <w:t xml:space="preserve">[85] </w:t>
      </w:r>
      <w:hyperlink r:id="rId424">
        <w:r>
          <w:rPr>
            <w:color w:val="1155CC"/>
            <w:u w:val="single"/>
          </w:rPr>
          <w:t>掺铈纳米晶体的光学检测磁共振：走向直接自旋光学界面的通用性</w:t>
        </w:r>
      </w:hyperlink>
    </w:p>
    <w:p>
      <w:pPr>
        <w:spacing w:before="0" w:after="80"/>
      </w:pPr>
      <w:r>
        <w:rPr>
          <w:i/>
          <w:sz w:val="20"/>
        </w:rPr>
        <w:t>EN: Optically Detected Magnetic Resonance of a Cerium-Doped Nanocrystal: Toward the Generality of a Direct Spin-Optical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25">
        <w:r>
          <w:rPr>
            <w:color w:val="1155CC"/>
            <w:u w:val="single"/>
          </w:rPr>
          <w:t>10.1021/jacs.6c06612</w:t>
        </w:r>
      </w:hyperlink>
    </w:p>
    <w:p>
      <w:pPr>
        <w:spacing w:before="0" w:after="120"/>
      </w:pPr>
      <w:r>
        <w:rPr>
          <w:b/>
        </w:rPr>
        <w:t xml:space="preserve">Notes: </w:t>
      </w:r>
      <w:r>
        <w:t>abstract_source=pubmed</w:t>
      </w:r>
    </w:p>
    <w:p>
      <w:pPr>
        <w:spacing w:before="0" w:after="80" w:lineRule="auto" w:line="276"/>
      </w:pPr>
      <w:r>
        <w:rPr>
          <w:b/>
        </w:rPr>
        <w:t xml:space="preserve">摘要（ZH）: </w:t>
      </w:r>
      <w:r>
        <w:t>自旋光学界面能够主动控制材料中的自旋态，引起了广泛的兴趣。圆偏振光可用于通过光学激发将角动量直接注入自旋载流子中，从而提供可靠的自旋偏振和读出方法。这种方法虽然具有光子和自旋量子态之间的直接映射，但在化学系统中尚未得到充分探索。在这项工作中，CaS:Ce3+纳米晶体被用来证明实现这种策略的化学自由度。 CaS主体具有高对称性、低磁噪声、红移光致发光光谱以及进一步功能化的开放性。提出了该系统中自旋选择性的确切机制的分析推导，并使用从低温光致发光光谱中提取的有效哈密顿参数进行了数值验证。我们构建了低温共焦光学检测磁共振（ODMR）光谱仪来实现 CaS:Ce3+ 纳米晶体中的光学自旋偏振并进行脉冲 ODMR 实验，并将结果与​​ X 波段 EPR 进行比较以获得进一步的见解。据我们所知，这是首次在化学合成纳米晶体上实现 ODMR。在 2.9 K 和 350 G 的当前设置下，我们实现了超过 12% 的自旋极化和 105 个自旋的检测极限。通过自旋极化的恢复测量自旋晶格弛豫时间T1 = 0.65(2) ms。自旋相干时间 T2 = 2.5(7) μs 和移相时间 T2*=45(7)ns w</w:t>
      </w:r>
    </w:p>
    <w:p>
      <w:pPr>
        <w:spacing w:before="0" w:after="200" w:lineRule="auto" w:line="276"/>
      </w:pPr>
      <w:r>
        <w:rPr>
          <w:b/>
        </w:rPr>
        <w:t xml:space="preserve">Abstract (EN): </w:t>
      </w:r>
      <w:r>
        <w:t>The spin-optical interface, enabling active control of spin states in materials, has attracted widespread interest. Circularly polarized light can be used to directly inject angular momentum into spin carriers by optical excitation, providing a robust means of spin polarization and readout. This approach, although featuring direct mapping between the photonic and spin quantum states, is yet underexplored among chemical systems. In this work, CaS:Ce3+ nanocrystals were used to demonstrate the chemical degrees of freedom in the realization of such a strategy. CaS host possesses high symmetry, low magnetic noise, red-shifted photoluminescence spectra, and openness to further functionalization. An analytical derivation of the exact mechanism underlying the spin selectivity in this system is presented, which is numerically verified using effective Hamiltonian parameters extracted from low-temperature photoluminescence spectra. We built a cryogenic confocal optically detected magnetic resonance (ODMR) spectrometer to realize the optical spin polarization in CaS:Ce3+ nanocrystals and to conduct pulsed ODMR experiments, and the results of which are compared with X-band EPR for further insights. To the best of our knowledge, this is the first realization of ODMR on chemically synthesized nanocrystals. With the current setup at 2.9 K and 350 G, we achieved spin polarization exceeding 12% and a detection limit of 105 spins. Spin-lattice relaxation time T1 = 0.65(2) ms was measured by the recovery of spin polarization. Spin coherence time T2 = 2.5(7) μs and dephasing time T2*=45(7)ns were measured by pulsed ODMR. Based on the resonance spectrum, the CaS:Ce3+ nanocrystals can function as a magnetic field sensor with an estimated sensitivity normalized to 55 fT·mol1/2·Hz-1/2.</w:t>
      </w:r>
    </w:p>
    <w:p>
      <w:pPr>
        <w:spacing w:before="120" w:after="120"/>
      </w:pPr>
      <w:r>
        <w:rPr>
          <w:sz w:val="18"/>
        </w:rPr>
        <w:t>——————————————————————————————————————————————————————————————————————</w:t>
      </w:r>
    </w:p>
    <w:p>
      <w:pPr>
        <w:spacing w:before="160" w:after="40" w:line="240" w:lineRule="auto"/>
      </w:pPr>
      <w:r>
        <w:rPr>
          <w:b/>
        </w:rPr>
        <w:t xml:space="preserve">[86] </w:t>
      </w:r>
      <w:hyperlink r:id="rId426">
        <w:r>
          <w:rPr>
            <w:color w:val="1155CC"/>
            <w:u w:val="single"/>
          </w:rPr>
          <w:t>仿生 α 螺旋结构中的固有偶极场实现加速定向质子耦合电子转移</w:t>
        </w:r>
      </w:hyperlink>
    </w:p>
    <w:p>
      <w:pPr>
        <w:spacing w:before="0" w:after="80"/>
      </w:pPr>
      <w:r>
        <w:rPr>
          <w:i/>
          <w:sz w:val="20"/>
        </w:rPr>
        <w:t>EN: Accelerated Directional Proton-Coupled Electron Transfer Enabled by Intrinsic Dipole Field in Biomimetic α-Helical Structure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27">
        <w:r>
          <w:rPr>
            <w:color w:val="1155CC"/>
            <w:u w:val="single"/>
          </w:rPr>
          <w:t>10.1021/jacs.6c06120</w:t>
        </w:r>
      </w:hyperlink>
    </w:p>
    <w:p>
      <w:pPr>
        <w:spacing w:before="0" w:after="120"/>
      </w:pPr>
      <w:r>
        <w:rPr>
          <w:b/>
        </w:rPr>
        <w:t xml:space="preserve">Notes: </w:t>
      </w:r>
      <w:r>
        <w:t>abstract_source=pubmed</w:t>
      </w:r>
    </w:p>
    <w:p>
      <w:pPr>
        <w:spacing w:before="0" w:after="80" w:lineRule="auto" w:line="276"/>
      </w:pPr>
      <w:r>
        <w:rPr>
          <w:b/>
        </w:rPr>
        <w:t xml:space="preserve">摘要（ZH）: </w:t>
      </w:r>
      <w:r>
        <w:t>质子耦合电子转移（PCET）是光合作用和细胞呼吸等能量转换过程的基本机制，但其通过分子构象的精确调节仍然具有挑战性。在这里，我们报告了一种使用 α-螺旋肽支架调节分子内 PCET 的仿生策略。通过将罗丹明染料接枝到设计的肽主链 (Pep-Rh) 上，获得了明确的 α 螺旋结构，提供了与 PCET 期间的质子转移途径对齐的内在偶极场。光谱、电化学和理论分析表明，α-螺旋的偶极场加速了 PCET，优于非螺旋小分子和聚合物类似物。这项工作建立了一个通过结构偶极子调控PCET的新机制框架，并为精确控制能量转换提供了策略。这些发现建立了一个明确的分子模型，用于理解光诱导 PCET 系统中的结构-场-功能关系，强调了结构偶极子在分子水平上的作用。</w:t>
      </w:r>
    </w:p>
    <w:p>
      <w:pPr>
        <w:spacing w:before="0" w:after="200" w:lineRule="auto" w:line="276"/>
      </w:pPr>
      <w:r>
        <w:rPr>
          <w:b/>
        </w:rPr>
        <w:t xml:space="preserve">Abstract (EN): </w:t>
      </w:r>
      <w:r>
        <w:t>Proton-coupled electron transfer (PCET) is a fundamental mechanism in energy conversion processes such as photosynthesis and cellular respiration, yet its precise regulation through molecular conformation remains challenging. Here, we report a biomimetic strategy to modulate intramolecular PCET using an α-helical peptide scaffold. By grafting rhodamine dyes onto a designed peptide backbone (Pep-Rh), a well-defined α-helical structure is obtained, providing an intrinsic dipole field that is aligned with the proton transfer pathway during PCET. Spectroscopic, electrochemical, and theoretical analyses reveal that the dipole field of the α-helix accelerates PCET, outperforming nonhelical small molecule and polymeric analogues. This work establishes a new mechanistic framework for regulating PCET through structural dipoles and provides a strategy for precise control of energy conversion. The findings establish a well-defined molecular model for understanding structure-field-function relationships in photoinduced PCET systems, highlighting the role of structural dipoles at the molecular level.</w:t>
      </w:r>
    </w:p>
    <w:p>
      <w:pPr>
        <w:spacing w:before="120" w:after="120"/>
      </w:pPr>
      <w:r>
        <w:rPr>
          <w:sz w:val="18"/>
        </w:rPr>
        <w:t>——————————————————————————————————————————————————————————————————————</w:t>
      </w:r>
    </w:p>
    <w:p>
      <w:pPr>
        <w:spacing w:before="160" w:after="40" w:line="240" w:lineRule="auto"/>
      </w:pPr>
      <w:r>
        <w:rPr>
          <w:b/>
        </w:rPr>
        <w:t xml:space="preserve">[87] </w:t>
      </w:r>
      <w:hyperlink r:id="rId428">
        <w:r>
          <w:rPr>
            <w:color w:val="1155CC"/>
            <w:u w:val="single"/>
          </w:rPr>
          <w:t>通过形状伪装进行低密度超晶格的熵驱动组装</w:t>
        </w:r>
      </w:hyperlink>
    </w:p>
    <w:p>
      <w:pPr>
        <w:spacing w:before="0" w:after="80"/>
      </w:pPr>
      <w:r>
        <w:rPr>
          <w:i/>
          <w:sz w:val="20"/>
        </w:rPr>
        <w:t>EN: Entropy-Driven Assembly of Low-Density Superlattices via Shape Camouflage</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29">
        <w:r>
          <w:rPr>
            <w:color w:val="1155CC"/>
            <w:u w:val="single"/>
          </w:rPr>
          <w:t>10.1021/jacs.6c04705</w:t>
        </w:r>
      </w:hyperlink>
    </w:p>
    <w:p>
      <w:pPr>
        <w:spacing w:before="0" w:after="120"/>
      </w:pPr>
      <w:r>
        <w:rPr>
          <w:b/>
        </w:rPr>
        <w:t xml:space="preserve">Notes: </w:t>
      </w:r>
      <w:r>
        <w:t>abstract_source=pubmed</w:t>
      </w:r>
    </w:p>
    <w:p>
      <w:pPr>
        <w:spacing w:before="0" w:after="80" w:lineRule="auto" w:line="276"/>
      </w:pPr>
      <w:r>
        <w:rPr>
          <w:b/>
        </w:rPr>
        <w:t xml:space="preserve">摘要（ZH）: </w:t>
      </w:r>
      <w:r>
        <w:t>熵驱动的胶体组装利用形状熵和耗尽熵来形成有序超晶格（SL）。在许多胶体系统中，这些熵的贡献往往有利于紧凑、高配位的排列，使得开放、低密度SL的制造成为一个显着的挑战。我们使用形状伪装引导（SCG）策略来应对这一挑战。通过在纳米粒子上外延生长牺牲壳，我们将晶格对称性与核心形态解耦，允许壳定义的有效几何形状直接组装，并在壳去除后将其转化为目标非致密结构。至关重要的是，壳的选择性蚀刻留下了通过直接颗粒间接触稳定的自支撑 3D 框架，避免了传统模板辅助方法中常见的塌陷。我们展示了从面心立方到简单立方晶格的可编程演化，并将这种策略应用于 2D 和 3D 维度的球形和高度各向异性粒子。此外，FDTD 模拟表明这些开放框架会产生强烈的电磁热点。因此，该策略提供了制造可编程、高孔隙率SL的通用途径，为先进的等离子体传感和近场催化提供了多功能平台。</w:t>
      </w:r>
    </w:p>
    <w:p>
      <w:pPr>
        <w:spacing w:before="0" w:after="200" w:lineRule="auto" w:line="276"/>
      </w:pPr>
      <w:r>
        <w:rPr>
          <w:b/>
        </w:rPr>
        <w:t xml:space="preserve">Abstract (EN): </w:t>
      </w:r>
      <w:r>
        <w:t>Entropy-driven colloidal assembly exploits both shape entropy and depletion entropy to form ordered superlattices (SLs). In many colloidal systems, these entropic contributions tend to favor compact, high-coordination arrangements, making the fabrication of open, low-density SLs a notable challenge. We address this challenge using a shape-camouflage-guided (SCG) strategy. By epitaxially growing sacrificial shells on nanoparticles, we decouple lattice symmetry from core morphology, allowing the shell-defined effective geometry to direct assembly and translate it into target nondense architectures after shell removal. Crucially, selective etching of the shells leaves behind self-supporting 3D frameworks stabilized by direct interparticle contacts, avoiding the collapse common in traditional template-assisted methods. We demonstrate a programmable evolution from face-centered cubic to simple cubic lattices, applying this strategy to spherical and highly anisotropic particles across 2D and 3D dimensions. Furthermore, FDTD simulations reveal that these open frameworks generate intense electromagnetic hotspots. Consequently, this strategy provides a general route for fabricating programmable, high-porosity SLs, offering versatile platforms for advanced plasmonic sensing and near-field catalysis.</w:t>
      </w:r>
    </w:p>
    <w:p>
      <w:pPr>
        <w:spacing w:before="120" w:after="120"/>
      </w:pPr>
      <w:r>
        <w:rPr>
          <w:sz w:val="18"/>
        </w:rPr>
        <w:t>——————————————————————————————————————————————————————————————————————</w:t>
      </w:r>
    </w:p>
    <w:p>
      <w:pPr>
        <w:spacing w:before="160" w:after="40" w:line="240" w:lineRule="auto"/>
      </w:pPr>
      <w:r>
        <w:rPr>
          <w:b/>
        </w:rPr>
        <w:t xml:space="preserve">[88] </w:t>
      </w:r>
      <w:hyperlink r:id="rId430">
        <w:r>
          <w:rPr>
            <w:color w:val="1155CC"/>
            <w:u w:val="single"/>
          </w:rPr>
          <w:t>金属异质性对多元和高熵 MOF SBU 的影响</w:t>
        </w:r>
      </w:hyperlink>
    </w:p>
    <w:p>
      <w:pPr>
        <w:spacing w:before="0" w:after="80"/>
      </w:pPr>
      <w:r>
        <w:rPr>
          <w:i/>
          <w:sz w:val="20"/>
        </w:rPr>
        <w:t>EN: Impact of Metal Heterogeneity on Multivariate and High-Entropy MOF SBUs</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31">
        <w:r>
          <w:rPr>
            <w:color w:val="1155CC"/>
            <w:u w:val="single"/>
          </w:rPr>
          <w:t>10.1021/jacs.6c06164</w:t>
        </w:r>
      </w:hyperlink>
    </w:p>
    <w:p>
      <w:pPr>
        <w:spacing w:before="0" w:after="120"/>
      </w:pPr>
      <w:r>
        <w:rPr>
          <w:b/>
        </w:rPr>
        <w:t xml:space="preserve">Notes: </w:t>
      </w:r>
      <w:r>
        <w:t>abstract_source=pubmed</w:t>
      </w:r>
    </w:p>
    <w:p>
      <w:pPr>
        <w:spacing w:before="0" w:after="80" w:lineRule="auto" w:line="276"/>
      </w:pPr>
      <w:r>
        <w:rPr>
          <w:b/>
        </w:rPr>
        <w:t xml:space="preserve">摘要（ZH）: </w:t>
      </w:r>
      <w:r>
        <w:t>在化学复杂的多金属系统中，局部配位不对称性如何出现和传播以定义整体结构行为仍然从根本上尚未解决。在高熵金属有机框架（MOF）中，长程晶体有序与内在化学无序共存，但金属特性、局域配位几何和晶格尺度响应之间的定量关系尚未建立。在这里，我们证明金属异质性会在三核次级构建单元（SBU）内引起明确的、与成分相关的扭曲，这些扭曲相干地传播以产生可测量的晶格级结构变化。使用具有保守拓扑的卟啉 TCPP 框架，含有 Fe、Co、Ni、Cu 和 Zn 的单金属、双金属、三金属和五金属组合物的金属特性各不相同。近 20 种成分和约 50 种元素特定的扩展 X 射线吸收精细结构 (EXAFS) 测量为整个系列提供了金属相关的键距参考。单金属和双金属参考解决了 M-O、M-C 和 M-M 距离，表明异金属替代会产生不对称、依赖于占用的节点扭曲。在三金属和五金属成分中，EXAFS 特征保持分布而不是塌陷为单一平均几何形状，表明保守框架内持续存在局部异质性。这些局部扭曲与可再现的、依赖于成分的晶格参数变化相关，同时保留长程有序。时间分辨 X 射线衍射 (XRD) 和电感耦合等离子体 m</w:t>
      </w:r>
    </w:p>
    <w:p>
      <w:pPr>
        <w:spacing w:before="0" w:after="200" w:lineRule="auto" w:line="276"/>
      </w:pPr>
      <w:r>
        <w:rPr>
          <w:b/>
        </w:rPr>
        <w:t xml:space="preserve">Abstract (EN): </w:t>
      </w:r>
      <w:r>
        <w:t>In chemically complex multimetal systems, how local coordination asymmetry emerges and propagates to define the bulk structural behavior remains fundamentally unresolved. In high-entropy metal-organic frameworks (MOFs), long-range crystallographic order coexists with intrinsic chemical disorder, yet a quantitative relationship among metal identity, local coordination geometry, and lattice-scale response has not been established. Here, we demonstrate that metal heterogeneity induces well-defined, composition-dependent distortions within trinuclear secondary building units (SBUs), which propagate coherently to produce measurable lattice-level structural changes. Using a porphyrinic TCPP framework with conserved topology, metal identity was varied across mono-, bi-, tri-, and five-metal compositions containing Fe, Co, Ni, Cu, and Zn. Nearly 20 compositions and ∼50 element-specific extended X-ray absorption fine structure (EXAFS) measurements provide metal-dependent bond-distance references across the full series. Single- and bimetallic references resolve M-O, M-C, and M-M distances, showing that heterometal substitution generates asymmetric, occupancy-dependent node distortions. In tri- and five-metal compositions, EXAFS signatures remain distributed rather than collapsing to a single averaged geometry, indicating persistent local heterogeneity within the conserved framework. These local distortions correlate with reproducible, composition-dependent lattice-parameter shifts while retaining long-range order. Time-resolved X-ray diffraction (XRD) and inductively coupled plasma mass spectrometry (ICP-MS) further reveal dynamic, metal-dependent incorporation during framework formation, while molecular dynamics (MD) simulations identify metal-nitrate binding and precursor lability as descriptors that rationalize early incorporation and late substitution trends. Together, these results provide an experimentally anchored framework for connecting metal identity, local coordination asymmetry, lattice response, and time-dependent incorporation in multivariate and high-entropy MOFs.</w:t>
      </w:r>
    </w:p>
    <w:p>
      <w:pPr>
        <w:spacing w:before="120" w:after="120"/>
      </w:pPr>
      <w:r>
        <w:rPr>
          <w:sz w:val="18"/>
        </w:rPr>
        <w:t>——————————————————————————————————————————————————————————————————————</w:t>
      </w:r>
    </w:p>
    <w:p>
      <w:pPr>
        <w:spacing w:before="160" w:after="40" w:line="240" w:lineRule="auto"/>
      </w:pPr>
      <w:r>
        <w:rPr>
          <w:b/>
        </w:rPr>
        <w:t xml:space="preserve">[89] </w:t>
      </w:r>
      <w:hyperlink r:id="rId432">
        <w:r>
          <w:rPr>
            <w:color w:val="1155CC"/>
            <w:u w:val="single"/>
          </w:rPr>
          <w:t>工程细胞器门控报告基因用于活细胞中亚细胞酶活性的成像</w:t>
        </w:r>
      </w:hyperlink>
    </w:p>
    <w:p>
      <w:pPr>
        <w:spacing w:before="0" w:after="80"/>
      </w:pPr>
      <w:r>
        <w:rPr>
          <w:i/>
          <w:sz w:val="20"/>
        </w:rPr>
        <w:t>EN: Engineering Organelle-Gated Reporters for Imaging Subcellular Enzyme Activity in Living Cells</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33">
        <w:r>
          <w:rPr>
            <w:color w:val="1155CC"/>
            <w:u w:val="single"/>
          </w:rPr>
          <w:t>10.1021/jacs.6c10647</w:t>
        </w:r>
      </w:hyperlink>
    </w:p>
    <w:p>
      <w:pPr>
        <w:spacing w:before="0" w:after="120"/>
      </w:pPr>
      <w:r>
        <w:rPr>
          <w:b/>
        </w:rPr>
        <w:t xml:space="preserve">Notes: </w:t>
      </w:r>
      <w:r>
        <w:t>abstract_source=pubmed</w:t>
      </w:r>
    </w:p>
    <w:p>
      <w:pPr>
        <w:spacing w:before="0" w:after="80" w:lineRule="auto" w:line="276"/>
      </w:pPr>
      <w:r>
        <w:rPr>
          <w:b/>
        </w:rPr>
        <w:t xml:space="preserve">摘要（ZH）: </w:t>
      </w:r>
      <w:r>
        <w:t>酶催化所有生命系统中的生化反应，其亚细胞定位可以深刻影响不同的细胞功能。然而，由于缺乏能够在活细胞中以细胞器水平精度对酶活性进行成像的工具，亚细胞酶活性的生理作用在很大程度上仍未被探索。在这里，我们提出了一类荧光报告基因，用于对特定亚细胞区室内的酶活性进行时空分辨成像，包括线粒体（Mito）、溶酶体（Lyso）、内质网（ER）和高尔基体（Golgi）。这些荧光报告分子包含对甲氨基酚荧光团，其荧光被酶特异性底物和生物正交笼基团猝灭，信号恢复仅在细胞器定位的生物正交激活剂连续解笼和随后的酶促激活时发生。我们应用这种多功能策略来可视化活细胞中不同家族的酶的活性，例如亮氨酰氨肽酶 (LAP)、γ-谷氨酰转移酶 (GGT) 和单胺氧化酶 A (MAO-A)。 LAP 的应用揭示了独特的区室依赖性功能：Mito-LAP 活性维持应激细胞中的氧化还原稳态，有利于肿瘤细胞存活，而 ER-LAP 活性则促进抗原呈递和免疫介导的肿瘤细胞杀伤。值得注意的是，药物分析显示顺铂 (CDDP) 和喜树碱 (CPT) 同时增强 Mito-LAP 和 ER-LAP 活性，对肿瘤进展产生相反的影响。这些发现还表明</w:t>
      </w:r>
    </w:p>
    <w:p>
      <w:pPr>
        <w:spacing w:before="0" w:after="200" w:lineRule="auto" w:line="276"/>
      </w:pPr>
      <w:r>
        <w:rPr>
          <w:b/>
        </w:rPr>
        <w:t xml:space="preserve">Abstract (EN): </w:t>
      </w:r>
      <w:r>
        <w:t>Enzymes catalyze biochemical reactions in all living systems, and their subcellular localizations can profoundly influence distinct cellular functions. Yet, the physiological roles of subcellular enzyme activity remain largely unexplored, owing to the lack of tools that allow imaging of enzymatic activity with organelle-level precision in living cells. Here, we present a class of fluorogenic reporters for spatiotemporally resolved imaging of enzyme activity within specific subcellular compartments, including mitochondria (Mito), lysosomes (Lyso), endoplasmic reticulum (ER), and Golgi apparatus (Golgi). These fluorogenic reporters comprise a rhodol fluorophore whose fluorescence is quenched by an enzyme-specific substrate and a bioorthogonal cage group, with signal restoration occurring only upon sequential uncaging by an organelle-localized bioorthogonal activator and subsequent enzymatic activation. We applied this versatile strategy to visualize the activity of enzymes from different families in live cells, such as leucyl aminopeptidases (LAP), γ-glutamyl transferases (GGT), and monoamine oxidase A (MAO-A). Application to LAPs revealed distinct, compartment-dependent functions: Mito-LAP activity maintained redox homeostasis in stressed cells, favoring tumor cell survival, whereas ER-LAP activity promoted antigen presentation and immune-mediated tumor cell killing. Notably, drug profiling showed that cisplatin (CDDP) and camptothecin (CPT) concurrently amplified both Mito-LAP and ER-LAP activities, eliciting opposing influences on tumor progression. These findings also inspire the development of a mitochondria-targeted inhibitor to improve anticancer efficacy. This platform offers a genetically independent, broadly adaptable framework for dissecting compartmentalized enzymology in living cells.</w:t>
      </w:r>
    </w:p>
    <w:p>
      <w:pPr>
        <w:spacing w:before="120" w:after="120"/>
      </w:pPr>
      <w:r>
        <w:rPr>
          <w:sz w:val="18"/>
        </w:rPr>
        <w:t>——————————————————————————————————————————————————————————————————————</w:t>
      </w:r>
    </w:p>
    <w:p>
      <w:pPr>
        <w:spacing w:before="160" w:after="40" w:line="240" w:lineRule="auto"/>
      </w:pPr>
      <w:r>
        <w:rPr>
          <w:b/>
        </w:rPr>
        <w:t xml:space="preserve">[90] </w:t>
      </w:r>
      <w:hyperlink r:id="rId434">
        <w:r>
          <w:rPr>
            <w:color w:val="1155CC"/>
            <w:u w:val="single"/>
          </w:rPr>
          <w:t>二维范德华极性金属 MoOBr 2</w:t>
        </w:r>
      </w:hyperlink>
    </w:p>
    <w:p>
      <w:pPr>
        <w:spacing w:before="0" w:after="80"/>
      </w:pPr>
      <w:r>
        <w:rPr>
          <w:i/>
          <w:sz w:val="20"/>
        </w:rPr>
        <w:t>EN: Two-Dimensional van der Waals Polar Metal MoOBr 2</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35">
        <w:r>
          <w:rPr>
            <w:color w:val="1155CC"/>
            <w:u w:val="single"/>
          </w:rPr>
          <w:t>10.1021/jacs.6c08223</w:t>
        </w:r>
      </w:hyperlink>
    </w:p>
    <w:p>
      <w:pPr>
        <w:spacing w:before="0" w:after="120"/>
      </w:pPr>
      <w:r>
        <w:rPr>
          <w:b/>
        </w:rPr>
        <w:t xml:space="preserve">Notes: </w:t>
      </w:r>
      <w:r>
        <w:t>abstract_source=pubmed</w:t>
      </w:r>
    </w:p>
    <w:p>
      <w:pPr>
        <w:spacing w:before="0" w:after="80" w:lineRule="auto" w:line="276"/>
      </w:pPr>
      <w:r>
        <w:rPr>
          <w:b/>
        </w:rPr>
        <w:t xml:space="preserve">摘要（ZH）: </w:t>
      </w:r>
      <w:r>
        <w:t>二维（2D）范德华（vdW）极性金属集成了长程极性有序和金属导电性，因其非凡的性能（包括非互易电荷传输和非线性光学效应）而引起了人们的极大兴趣。然而，本征二维 vdW 极性金属仍然极其罕见，因为密集的流动电子强烈屏蔽内部电场并破坏极性有序所需的宏观极化的稳定性。在此，我们报告了 MoOBr2 的发现，这是第一个由极性原子层堆叠的二维 vdW 极性金属。单晶X射线衍射和原子分辨率扫描透射电子显微镜表明，MoOBr2在非中心对称空间群C2中结晶，其极性源于不对称的[MoO2Br4]八面体扭曲。角分辨光电子能谱和电传输测量证实了其金属行为，室温电阻率为 5.13 × 10-5 Ω m，载流子浓度为 1.34 × 1020 cm-3。二次谐波产生和二阶非线性电输运测量进一步证明了 MoOBr2 破缺的空间反演对称性，提供了极性金属态的互补特征。值得注意的是，MoOBr2 具有 219 W m-1 K-1 的高导热率，可在高功率密度纳米级器件中实现高效散热。这项工作不仅有利于下一代多功能自旋电子和非线性光电应用，而且为新型极化提供了合理的化学设计策略。</w:t>
      </w:r>
    </w:p>
    <w:p>
      <w:pPr>
        <w:spacing w:before="0" w:after="200" w:lineRule="auto" w:line="276"/>
      </w:pPr>
      <w:r>
        <w:rPr>
          <w:b/>
        </w:rPr>
        <w:t xml:space="preserve">Abstract (EN): </w:t>
      </w:r>
      <w:r>
        <w:t>Two-dimensional (2D) van der Waals (vdW) polar metals, which integrate long-range polar order and metallic conductivity, have garnered enormous interest for their extraordinary properties, including non-reciprocal charge transport and nonlinear optical effects. However, intrinsic 2D vdW polar metals remain exceedingly rare, as the dense itinerant electrons strongly screen internal electric fields and destabilize the macroscopic polarization needed for polar order. Herein, we report the discovery of MoOBr2, the first 2D vdW polar metal stacked by polar atomic layers. Single-crystal X-ray diffraction and atomic-resolution scanning transmission electron microscopy reveal that MoOBr2 crystallizes in the non-centrosymmetric space group C2, with polarity originating from asymmetric [MoO2Br4] octahedral distortions. Angle-resolved photoemission spectroscopy and electrical transport measurements confirm its metallic behavior with a room-temperature resistivity of 5.13 × 10-5 Ω m and a carrier concentration of 1.34 × 1020 cm-3. The broken spatial inversion symmetry of MoOBr2 was further demonstrated by both second-harmonic generation and second-order nonlinear electrical transport measurement, providing the complementary signatures of the polar metallic state. Remarkably, MoOBr2 exhibits a high thermal conductivity of 219 W m-1 K-1, enabling efficient heat dissipation in high-power-density nanoscale devices. This work not only benefits next-generation multifunctional spintronic and nonlinear optoelectronic applications but also offers a rational chemical design strategy for new polar metals.</w:t>
      </w:r>
    </w:p>
    <w:p>
      <w:pPr>
        <w:spacing w:before="120" w:after="120"/>
      </w:pPr>
      <w:r>
        <w:rPr>
          <w:sz w:val="18"/>
        </w:rPr>
        <w:t>——————————————————————————————————————————————————————————————————————</w:t>
      </w:r>
    </w:p>
    <w:p>
      <w:pPr>
        <w:spacing w:before="160" w:after="40" w:line="240" w:lineRule="auto"/>
      </w:pPr>
      <w:r>
        <w:rPr>
          <w:b/>
        </w:rPr>
        <w:t xml:space="preserve">[91] </w:t>
      </w:r>
      <w:hyperlink r:id="rId436">
        <w:r>
          <w:rPr>
            <w:color w:val="1155CC"/>
            <w:u w:val="single"/>
          </w:rPr>
          <w:t>通过控制铂纳米颗粒密度增强催化脱氢</w:t>
        </w:r>
      </w:hyperlink>
    </w:p>
    <w:p>
      <w:pPr>
        <w:spacing w:before="0" w:after="80"/>
      </w:pPr>
      <w:r>
        <w:rPr>
          <w:i/>
          <w:sz w:val="20"/>
        </w:rPr>
        <w:t>EN: Catalytic Dehydrogenation Enhanced by Controlling Platinum Nanoparticle Density</w:t>
      </w:r>
    </w:p>
    <w:p>
      <w:pPr>
        <w:spacing w:before="0" w:after="120"/>
      </w:pPr>
      <w:r>
        <w:rPr>
          <w:b/>
        </w:rPr>
        <w:t xml:space="preserve">Source: </w:t>
      </w:r>
      <w:r>
        <w:t>Journal of the American Chemical Society: Latest Articles (ACS Publications)</w:t>
      </w:r>
      <w:r>
        <w:t xml:space="preserve">    </w:t>
      </w:r>
      <w:r>
        <w:rPr>
          <w:b/>
        </w:rPr>
        <w:t xml:space="preserve">Pub date: </w:t>
      </w:r>
      <w:r>
        <w:t>2026-07-06 00:00:00+00:00</w:t>
      </w:r>
      <w:r>
        <w:t xml:space="preserve">    </w:t>
      </w:r>
      <w:r>
        <w:rPr>
          <w:b/>
        </w:rPr>
        <w:t xml:space="preserve">DOI: </w:t>
      </w:r>
      <w:hyperlink r:id="rId437">
        <w:r>
          <w:rPr>
            <w:color w:val="1155CC"/>
            <w:u w:val="single"/>
          </w:rPr>
          <w:t>10.1021/jacs.6c04487</w:t>
        </w:r>
      </w:hyperlink>
    </w:p>
    <w:p>
      <w:pPr>
        <w:spacing w:before="0" w:after="120"/>
      </w:pPr>
      <w:r>
        <w:rPr>
          <w:b/>
        </w:rPr>
        <w:t xml:space="preserve">Notes: </w:t>
      </w:r>
      <w:r>
        <w:t>abstract_source=pubmed</w:t>
      </w:r>
    </w:p>
    <w:p>
      <w:pPr>
        <w:spacing w:before="0" w:after="80" w:lineRule="auto" w:line="276"/>
      </w:pPr>
      <w:r>
        <w:rPr>
          <w:b/>
        </w:rPr>
        <w:t xml:space="preserve">摘要（ZH）: </w:t>
      </w:r>
      <w:r>
        <w:t>增强负载纳米颗粒的催化活性传统上依赖于优化纳米颗粒尺寸和电子态。我们发现，优化纳米颗粒密度，同时保持相似的颗粒尺寸和电子状态，可以增强内在的催化活性。在环己烷催化脱氢中，调节 Pt 纳米颗粒密度可使 Pt 效率提高 9.6 倍，苯的形成率为 24,217 molC6H6 molPt-1 h-1，优于之前的催化剂。纳米颗粒密度优化的催化剂在 800 小时的连续测试中保持耐用。</w:t>
      </w:r>
    </w:p>
    <w:p>
      <w:pPr>
        <w:spacing w:before="0" w:after="200" w:lineRule="auto" w:line="276"/>
      </w:pPr>
      <w:r>
        <w:rPr>
          <w:b/>
        </w:rPr>
        <w:t xml:space="preserve">Abstract (EN): </w:t>
      </w:r>
      <w:r>
        <w:t>Enhancing the catalytic activity of supported nanoparticles has traditionally relied on optimizing the nanoparticle size and electronic state. We found that optimizing nanoparticle density, while maintaining similar particle sizes and electronic states, could enhance intrinsic catalytic activity. In the catalytic dehydrogenation of cyclohexane, tuning the Pt nanoparticle density leads to a 9.6-fold increase in Pt efficiency, achieving a benzene formation rate of 24,217 molC6H6 molPt-1 h-1, which outperforms previous catalysts. The nanoparticle density-optimized catalyst remained durable during a continuous test for 800 h.</w:t>
      </w:r>
    </w:p>
    <w:p>
      <w:pPr>
        <w:spacing w:before="120" w:after="120"/>
      </w:pPr>
      <w:r>
        <w:rPr>
          <w:sz w:val="18"/>
        </w:rPr>
        <w:t>——————————————————————————————————————————————————————————————————————</w:t>
      </w:r>
    </w:p>
    <w:p>
      <w:pPr>
        <w:spacing w:before="160" w:after="40" w:line="240" w:lineRule="auto"/>
      </w:pPr>
      <w:r>
        <w:rPr>
          <w:b/>
        </w:rPr>
        <w:t xml:space="preserve">[92] </w:t>
      </w:r>
      <w:hyperlink r:id="rId438">
        <w:r>
          <w:rPr>
            <w:color w:val="1155CC"/>
            <w:u w:val="single"/>
          </w:rPr>
          <w:t>评估地球重点企业的生物多样性承诺</w:t>
        </w:r>
      </w:hyperlink>
    </w:p>
    <w:p>
      <w:pPr>
        <w:spacing w:before="0" w:after="80"/>
      </w:pPr>
      <w:r>
        <w:rPr>
          <w:i/>
          <w:sz w:val="20"/>
        </w:rPr>
        <w:t>EN: Evaluating the biodiversity commitments of Earth’s keystone corporations</w:t>
      </w:r>
    </w:p>
    <w:p>
      <w:pPr>
        <w:spacing w:before="0" w:after="120"/>
      </w:pPr>
      <w:r>
        <w:rPr>
          <w:b/>
        </w:rPr>
        <w:t xml:space="preserve">Source: </w:t>
      </w:r>
      <w:r>
        <w:t>One Earth</w:t>
      </w:r>
      <w:r>
        <w:t xml:space="preserve">    </w:t>
      </w:r>
      <w:r>
        <w:rPr>
          <w:b/>
        </w:rPr>
        <w:t xml:space="preserve">Pub date: </w:t>
      </w:r>
      <w:r>
        <w:t>2026-07-06 00:00:00+00:00</w:t>
      </w:r>
      <w:r>
        <w:t xml:space="preserve">    </w:t>
      </w:r>
      <w:r>
        <w:rPr>
          <w:b/>
        </w:rPr>
        <w:t xml:space="preserve">DOI: </w:t>
      </w:r>
      <w:hyperlink r:id="rId439">
        <w:r>
          <w:rPr>
            <w:color w:val="1155CC"/>
            <w:u w:val="single"/>
          </w:rPr>
          <w:t>10.1016/j.oneear.2026.101747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 </w:t>
      </w:r>
      <w:hyperlink r:id="rId440">
        <w:r>
          <w:rPr>
            <w:color w:val="1155CC"/>
            <w:u w:val="single"/>
          </w:rPr>
          <w:t>对“肝素胶束同时作为载体和药物的抗肿瘤和抗转移活性”的更正</w:t>
        </w:r>
      </w:hyperlink>
    </w:p>
    <w:p>
      <w:pPr>
        <w:spacing w:before="0" w:after="80"/>
      </w:pPr>
      <w:r>
        <w:rPr>
          <w:i/>
          <w:sz w:val="20"/>
        </w:rPr>
        <w:t>EN: Correction to “Antitumor and Antimetastasis Activities of Heparin-based Micelle Served As Both Carrier and Drug”</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41">
        <w:r>
          <w:rPr>
            <w:color w:val="1155CC"/>
            <w:u w:val="single"/>
          </w:rPr>
          <w:t>10.1021/acsami.6c13026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442">
        <w:r>
          <w:rPr>
            <w:color w:val="1155CC"/>
            <w:u w:val="single"/>
          </w:rPr>
          <w:t>在中性脂质环境中实现超分子聚合物的可编程构建</w:t>
        </w:r>
      </w:hyperlink>
    </w:p>
    <w:p>
      <w:pPr>
        <w:spacing w:before="0" w:after="80"/>
      </w:pPr>
      <w:r>
        <w:rPr>
          <w:i/>
          <w:sz w:val="20"/>
        </w:rPr>
        <w:t>EN: Programmable Construction of Supramolecular Polymers Achieved in Neutral Lipid Environments</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活细胞内的超分子聚合已成为控制细胞功能的一种有前景的策略。脂滴是主要由中性脂质组成的细胞内细胞器，提供低极性环境，但其在调节超分子组装途径中的作用仍不清楚。在这里，我们表明，三油酸甘油酯是一种具有三个酯基和顺式-9-十八碳烯基链的代表性三酰基甘油，可作为动力学控制的超分子聚合的有效介质。基于丙氨酸的二酰胺功能化荧光团通过成核-延伸机制在三油酸甘油酯中形成超分子聚合物，其中初始核触发后续生长。尽管其热力学稳定性与常用有机溶剂二正丁基醚相当，但三油酸甘油酯可抑制自发成核和纤维间成束，从而产生一个滞后阶段，在此期间种子聚合引导单体沿着确定的组装路径前进。油酸乙酯（三油酸甘油酯的结构类似物）的动力学研究表明，瞬时溶质-溶剂相互作用有助于抑制成核和成束事件。这种动力学控制能够实现多嵌段纳米结构的逐步种子生长，并建立中性脂质作为超分子聚合物精确控制结构的功能介质。</w:t>
      </w:r>
    </w:p>
    <w:p>
      <w:pPr>
        <w:spacing w:before="0" w:after="200" w:lineRule="auto" w:line="276"/>
      </w:pPr>
      <w:r>
        <w:rPr>
          <w:b/>
        </w:rPr>
        <w:t xml:space="preserve">Abstract (EN): </w:t>
      </w:r>
      <w:r>
        <w:t>Supramolecular polymerization within living cells has emerged as a promising strategy for controlling cellular functions. Lipid droplets, intracellular organelles mainly composed of neutral lipids, provide low-polarity environments, yet their role in regulating supramolecular assembly pathways remains unclear. Here we show that triolein, a representative triacylglycerol featuring three ester groups and cis-9-octadecenyl chains, acts as an effective medium for kinetically controlled supramolecular polymerization. An alanine-based diamide-functionalized fluorophore forms supramolecular polymers in triolein through a nucleation-elongation mechanism, in which an initial nucleus triggers subsequent growth. Although the thermodynamic stability is comparable to that in di-n-butyl ether, a commonly used organic solvent, triolein suppresses spontaneous nucleation and inter-fiber bundling, creating a lag phase during which seeded polymerization guides monomers along a defined assembly pathway. Kinetic studies with ethyl oleate, a structural analogue of triolein, indicate that transient solute-solvent interactions contribute to the suppression of both nucleation and bundling events. This kinetic control enables stepwise seeded growth of multiblock nanostructures and establishes neutral lipids as functional media for the precision-controlled construction of supramolecular polymers.</w:t>
      </w:r>
    </w:p>
    <w:p>
      <w:pPr>
        <w:spacing w:before="120" w:after="120"/>
      </w:pPr>
      <w:r>
        <w:rPr>
          <w:sz w:val="18"/>
        </w:rPr>
        <w:t>——————————————————————————————————————————————————————————————————————</w:t>
      </w:r>
    </w:p>
    <w:p>
      <w:pPr>
        <w:spacing w:before="160" w:after="40" w:line="240" w:lineRule="auto"/>
      </w:pPr>
      <w:r>
        <w:rPr>
          <w:b/>
        </w:rPr>
        <w:t xml:space="preserve">[95] </w:t>
      </w:r>
      <w:hyperlink r:id="rId443">
        <w:r>
          <w:rPr>
            <w:color w:val="1155CC"/>
            <w:u w:val="single"/>
          </w:rPr>
          <w:t>有毒细菌特征与结直肠癌手术后复发的发生有关</w:t>
        </w:r>
      </w:hyperlink>
    </w:p>
    <w:p>
      <w:pPr>
        <w:spacing w:before="0" w:after="80"/>
      </w:pPr>
      <w:r>
        <w:rPr>
          <w:i/>
          <w:sz w:val="20"/>
        </w:rPr>
        <w:t>EN: A virulent bacterial signature is associated with the development of recurrence following colorectal cancer surgery</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非转移性结直肠癌的主要治疗方法是手术切除。尽管使用新辅助和/或辅助放化疗，但高达 30% 接受结直肠癌手术的患者会出现术后复发。尽管所有已知的癌症在手术时都被切除，但为什么患者在术后仍会出现肿瘤，目前尚不清楚，并且缺乏可以预测复发发展的新型生物标志物。在这里，我们报告了围手术期肠道中存在的独特细菌特征，该特征与术后肿瘤的发展密切相关。通过研究接受结直肠癌切除术的患者，我们证明手术当天的肠道微生物组富含产生胶原酶的细菌，这些细菌后来出现复发。该细菌群落表现出增强的抗菌素耐药性，标准化围手术期肠道准备无法根除，并且可以促进癌细胞迁移和侵袭。我们的研究表明，微生物群可能会导致术后结直肠癌复发，并可作为术后肿瘤结果的预后生物标志物。</w:t>
      </w:r>
    </w:p>
    <w:p>
      <w:pPr>
        <w:spacing w:before="0" w:after="200" w:lineRule="auto" w:line="276"/>
      </w:pPr>
      <w:r>
        <w:rPr>
          <w:b/>
        </w:rPr>
        <w:t xml:space="preserve">Abstract (EN): </w:t>
      </w:r>
      <w:r>
        <w:t>The primary treatment for non-metastatic colorectal cancer is surgical resection. Despite the use of neoadjuvant and/or adjuvant chemoradiation, up to 30% of patients undergoing surgery for colorectal cancer will develop a postoperative recurrence. Why patients develop postoperative tumors despite all known cancer being resected at the time of surgery is largely unknown, and novel biomarkers that can predict the development of recurrence are lacking. Here, we report a unique bacterial signature present in the gut during the perioperative period that is strongly associated with the development of postoperative tumors. By studying patients undergoing resection for colorectal cancer, we demonstrate that the gut microbiome on the day of surgery is enriched with collagenase-producing bacteria in patients who later develop a recurrence. This bacterial community demonstrated enhanced antimicrobial resistance, was not eradicated by the standardized perioperative bowel preparation, and could promote cancer cell migration and invasion. Our study establishes that microbiota may contribute to postoperative colorectal cancer recurrence and serve as a prognostic biomarker for postoperative oncologic outcomes.</w:t>
      </w:r>
    </w:p>
    <w:p>
      <w:pPr>
        <w:spacing w:before="120" w:after="120"/>
      </w:pPr>
      <w:r>
        <w:rPr>
          <w:sz w:val="18"/>
        </w:rPr>
        <w:t>——————————————————————————————————————————————————————————————————————</w:t>
      </w:r>
    </w:p>
    <w:p>
      <w:pPr>
        <w:spacing w:before="160" w:after="40" w:line="240" w:lineRule="auto"/>
      </w:pPr>
      <w:r>
        <w:rPr>
          <w:b/>
        </w:rPr>
        <w:t xml:space="preserve">[96] </w:t>
      </w:r>
      <w:hyperlink r:id="rId444">
        <w:r>
          <w:rPr>
            <w:color w:val="1155CC"/>
            <w:u w:val="single"/>
          </w:rPr>
          <w:t>H3K4 甲基转移酶 KMT2D 是红系基因增强子 GATA1 的重要辅助因子</w:t>
        </w:r>
      </w:hyperlink>
    </w:p>
    <w:p>
      <w:pPr>
        <w:spacing w:before="0" w:after="80"/>
      </w:pPr>
      <w:r>
        <w:rPr>
          <w:i/>
          <w:sz w:val="20"/>
        </w:rPr>
        <w:t>EN: The H3K4 methyltransferase KMT2D is an essential cofactor for GATA1 at erythroid gene enhancers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细胞分化过程中的基因表达是通过转录因子 (TF) 和辅因子之间的组合相互作用来协调的。尽管 TF GATA1 协调造血过程中的基因转录，但 GATA1 驱动的基因表达所需的特定辅因子尚未完全确定。我们确定 H3K4 甲基转移酶 KMT2D 是红细胞生成过程中 GATA1 的辅助因子。人类红系前体细胞中 KMT2D 的缺失会导致发育停滞，并导致许多红系基因的表达受损。从机制上讲，KMT2D 与 GATA1 共定位于 1000 多个红细胞增强子上，并且这种共占据与单独占据 GATA1 相比更强的转录活性相关。红系前体中 KMT2D 的急性耗竭会导致 GATA1 结合增强子子集上的 H3K4me1 和 H3K27ac 快速减少，并损害其靶基因表达。此外，GATA1 或 KMT2D 的急性缺失会导致重叠基因组的下调。我们的研究结果证明了谱系特异性 TF 如何与普遍存在的表观遗传调节因子合作来驱动谱系特异性基因表达。</w:t>
      </w:r>
    </w:p>
    <w:p>
      <w:pPr>
        <w:spacing w:before="0" w:after="200" w:lineRule="auto" w:line="276"/>
      </w:pPr>
      <w:r>
        <w:rPr>
          <w:b/>
        </w:rPr>
        <w:t xml:space="preserve">Abstract (EN): </w:t>
      </w:r>
      <w:r>
        <w:t>Gene expression during cellular differentiation is coordinated by combinatorial interactions between transcription factors (TFs) and cofactors. Although the TF GATA1 coordinates gene transcription in hematopoiesis, the specific cofactors required for GATA1-driven gene expression are incompletely defined. We identify the H3K4 methyltransferase KMT2D, as a cofactor of GATA1 in erythropoiesis. Loss of KMT2D in human erythroid precursors causes developmental arrest with impaired expression of numerous erythroid genes. Mechanistically, KMT2D colocalizes with GATA1 on more than one thousand erythroid enhancers, and such co-occupancy is associated with stronger transcriptional activity than occupancy by GATA1 alone. Acute depletion of KMT2D in erythroid precursors causes rapid reductions of H3K4me1 and H3K27ac on a subset of GATA1-bound enhancers and impairs their target gene expression. Moreover, acute depletion of GATA1 or KMT2D individually causes downregulation of overlapping gene sets. Our findings demonstrate how a lineage-specific TF cooperates with a ubiquitous epigenetic regulator to drive lineage-specific gene expression.</w:t>
      </w:r>
    </w:p>
    <w:p>
      <w:pPr>
        <w:spacing w:before="120" w:after="120"/>
      </w:pPr>
      <w:r>
        <w:rPr>
          <w:sz w:val="18"/>
        </w:rPr>
        <w:t>——————————————————————————————————————————————————————————————————————</w:t>
      </w:r>
    </w:p>
    <w:p>
      <w:pPr>
        <w:spacing w:before="160" w:after="40" w:line="240" w:lineRule="auto"/>
      </w:pPr>
      <w:r>
        <w:rPr>
          <w:b/>
        </w:rPr>
        <w:t xml:space="preserve">[97] </w:t>
      </w:r>
      <w:hyperlink r:id="rId445">
        <w:r>
          <w:rPr>
            <w:color w:val="1155CC"/>
            <w:u w:val="single"/>
          </w:rPr>
          <w:t>长效镇痛TRPV1激动剂MSP20的设计、合成及结构作用机制</w:t>
        </w:r>
      </w:hyperlink>
    </w:p>
    <w:p>
      <w:pPr>
        <w:spacing w:before="0" w:after="80"/>
      </w:pPr>
      <w:r>
        <w:rPr>
          <w:i/>
          <w:sz w:val="20"/>
        </w:rPr>
        <w:t>EN: Design, synthesis and structural mechanism of action of TRPV1 agonist MSP20 with long-lasting analgesic effect</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瞬时受体电位香草酸 1 型 (TRPV1) 通道是一种参与疼痛感知和神经元信号传导的多模式受体，是镇痛药和神经保护剂开发的一个有前景的靶点。在这项研究中，我们结合了计算技术和化学库的针对性设计，以发现对 TRPV1 具有高亲和力和功效的苯并噻吩取代的 TRPV1 激动剂。体外功能实验表明，长期或反复接触这些化合物会诱导 TRPV1 钙依赖性脱敏，使其对有害刺激不敏感。我们解析了人 TRPV1 (hTRPV1) 与最有前途的苯并噻吩取代激动剂 MSP20 复合物的冷冻电子显微镜 (cryo-EM) 结构。该结构揭示了 MSP20 与香草酸位点结合的分子细节和 hTRPV1 的脱敏构象，其特征是封闭的离子通道孔、α-螺旋 C 末端和环状脂质的独特行为。我们的体内实验表明，MSP20 表现出强大而持久的镇痛活性，并具有离体神经保护作用，支持苯并噻吩取代的香草醛作为未来镇痛药的前景。</w:t>
      </w:r>
    </w:p>
    <w:p>
      <w:pPr>
        <w:spacing w:before="0" w:after="200" w:lineRule="auto" w:line="276"/>
      </w:pPr>
      <w:r>
        <w:rPr>
          <w:b/>
        </w:rPr>
        <w:t xml:space="preserve">Abstract (EN): </w:t>
      </w:r>
      <w:r>
        <w:t>Transient receptor potential vanilloid type-1 (TRPV1) channel is a polymodal receptor involved in pain perception and neuronal signalling that represents a promising target for the development of analgesics and neuroprotective agents. In this study we implement a combination of computational techniques and targeted design of chemical libraries to discover benzothiophene-substituted TRPV1 agonists with high affinity and efficacy toward TRPV1. In vitro functional experiments show that prolonged or repeated exposure to these compounds induce calcium-dependent desensitization of TRPV1, making it insensitive to noxious stimuli. We solve a cryo-electron microscopy (cryo-EM) structure of human TRPV1 (hTRPV1) in complex with the most promising benzothiophene-substituted agonist MSP20. The structure reveals molecular details of MSP20 binding to the vanilloid site and a desensitized conformation of hTRPV1, characterized by the closed ion channel pore, α-helical C-terminus and distinct behaviour of annular lipids. Our in vivo experiments demonstrate that MSP20 exhibits robust and long-lasting antinociceptive activity with ex-vivo neuroprotective effects, supporting the perspective of benzothiophene-substituted vanilloids as future analgesics.</w:t>
      </w:r>
    </w:p>
    <w:p>
      <w:pPr>
        <w:spacing w:before="120" w:after="120"/>
      </w:pPr>
      <w:r>
        <w:rPr>
          <w:sz w:val="18"/>
        </w:rPr>
        <w:t>——————————————————————————————————————————————————————————————————————</w:t>
      </w:r>
    </w:p>
    <w:p>
      <w:pPr>
        <w:spacing w:before="160" w:after="40" w:line="240" w:lineRule="auto"/>
      </w:pPr>
      <w:r>
        <w:rPr>
          <w:b/>
        </w:rPr>
        <w:t xml:space="preserve">[98] </w:t>
      </w:r>
      <w:hyperlink r:id="rId446">
        <w:r>
          <w:rPr>
            <w:color w:val="1155CC"/>
            <w:u w:val="single"/>
          </w:rPr>
          <w:t>二肽基肽酶 3 设置实验细菌感染期间免疫激活和存活的阈值</w:t>
        </w:r>
      </w:hyperlink>
    </w:p>
    <w:p>
      <w:pPr>
        <w:spacing w:before="0" w:after="80"/>
      </w:pPr>
      <w:r>
        <w:rPr>
          <w:i/>
          <w:sz w:val="20"/>
        </w:rPr>
        <w:t>EN: Dipeptidyl peptidase 3 sets the threshold for immune activation and survival during experimental bacterial infection</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有效的宿主防御需要免疫激活、代谢和氧化还原平衡的协调调节，但这些过程如何整合仍不清楚。在这里，我们将二肽基肽酶 3 (Dpp3) 确定为细菌感染期间免疫激活阈值的调节剂。 Dpp3−/− 小鼠对肺炎克雷伯菌表现出增强的抵抗力，细菌负荷早期出现分歧，提高了生存率，保留了组织结构，并减少了全身炎症。过继转移实验表明，Dpp3 缺陷的免疫细胞足以提供保护，表明细胞内在效应。从机制上讲，Dpp3 缺乏会损害诱导型 Nrf2 稳定性，导致 ROS 积累放大并增强 NF-κB 相关反应。综合代谢组学、生物能量学和蛋白质组学分析揭示了协调的线粒体重塑和炎症信号网络的激活，与代谢引发的免疫状态一致。总的来说，这些发现确立了 Dpp3 作为一种系统级调节因子，整合了氧化还原控制和免疫代谢，以校准感染期间的抗菌反应。</w:t>
      </w:r>
    </w:p>
    <w:p>
      <w:pPr>
        <w:spacing w:before="0" w:after="200" w:lineRule="auto" w:line="276"/>
      </w:pPr>
      <w:r>
        <w:rPr>
          <w:b/>
        </w:rPr>
        <w:t xml:space="preserve">Abstract (EN): </w:t>
      </w:r>
      <w:r>
        <w:t>Effective host defense requires coordinated regulation of immune activation, metabolism, and redox balance, yet how these processes are integrated remains unclear. Here, we identify dipeptidyl peptidase 3 (Dpp3) as a regulator of immune activation thresholds during bacterial infection. Dpp3−/− mice display enhanced resistance to Klebsiella pneumoniae, with early divergence in bacterial burden, improved survival, preserved tissue architecture, and reduced systemic inflammation. Adoptive transfer experiments demonstrate that Dpp3-deficient immune cells are sufficient to confer protection, indicating a cell-intrinsic effect. Mechanistically, Dpp3 deficiency impairs inducible Nrf2 stabilization, resulting in amplified ROS accumulation and enhanced NF-κB–associated responses. Integrated metabolomic, bioenergetic, and proteomic analyses reveal coordinated mitochondrial remodeling and activation of inflammatory signaling networks, consistent with a metabolically primed immune state. Collectively, these findings establish Dpp3 as a systems-level regulator integrating redox control and immunometabolism to calibrate antimicrobial responses during infection.</w:t>
      </w:r>
    </w:p>
    <w:p>
      <w:pPr>
        <w:spacing w:before="120" w:after="120"/>
      </w:pPr>
      <w:r>
        <w:rPr>
          <w:sz w:val="18"/>
        </w:rPr>
        <w:t>——————————————————————————————————————————————————————————————————————</w:t>
      </w:r>
    </w:p>
    <w:p>
      <w:pPr>
        <w:spacing w:before="160" w:after="40" w:line="240" w:lineRule="auto"/>
      </w:pPr>
      <w:r>
        <w:rPr>
          <w:b/>
        </w:rPr>
        <w:t xml:space="preserve">[99] </w:t>
      </w:r>
      <w:hyperlink r:id="rId447">
        <w:r>
          <w:rPr>
            <w:color w:val="1155CC"/>
            <w:u w:val="single"/>
          </w:rPr>
          <w:t>动态S-酰化控制CMG2成熟细胞外基质调节和体内炭疽毒素敏感性</w:t>
        </w:r>
      </w:hyperlink>
    </w:p>
    <w:p>
      <w:pPr>
        <w:spacing w:before="0" w:after="80"/>
      </w:pPr>
      <w:r>
        <w:rPr>
          <w:i/>
          <w:sz w:val="20"/>
        </w:rPr>
        <w:t>EN: Dynamic S-acylation controls CMG2 maturation extracellular matrix regulation and anthrax toxin susceptibility in vivo</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CMG2/ANTXR2 充当细胞外基质稳态所需的 VI 型胶原蛋白受体，并作为炭疽毒素进入的主要门户。 CMG2 突变会导致透明纤维瘤病综合征 (HFS)，这是一种罕见且往往致命的遗传性疾病，其特征是细胞外基质过度积累，但调节 CMG2 功能的分子机制仍知之甚少。我们发现 CMG2 受 S-酰化和脱酰化有序循环控制，调节其折叠、运输和信号传导能力。 ZDHHC7 对两个近膜半胱氨酸进行 S-酰化，通过稳定折叠中间体来保护 CMG2 免受 ER 相关降解，导致能够 ER 退出的折叠受体增加约 5 倍。在高尔基体中，第三个半胱氨酸的 ZDHHC3 依赖性酰化促进 Arf6 介导的 CMG2 转运至质膜，并在质膜中发挥其功能。配体结合触发硫酯酶 APT2 的募集，从而使 CMG2 从肌动蛋白细胞骨架和内吞作用中释放，将细胞外识别与细胞内信号传导和摄取联系起来。在斑马鱼模型中，APT2 的抑制可减少 VI 型胶原蛋白的更新，并强烈减弱炭疽毒素的毒性，表明脂化循环是受体功能的调节剂和潜在的治疗靶点。</w:t>
      </w:r>
    </w:p>
    <w:p>
      <w:pPr>
        <w:spacing w:before="0" w:after="200" w:lineRule="auto" w:line="276"/>
      </w:pPr>
      <w:r>
        <w:rPr>
          <w:b/>
        </w:rPr>
        <w:t xml:space="preserve">Abstract (EN): </w:t>
      </w:r>
      <w:r>
        <w:t>CMG2/ANTXR2 functions as a Collagen VI receptor required for extracellular matrix homeostasis and as the primary portal for anthrax toxin entry. Mutations in CMG2 cause Hyaline Fibromatosis Syndrome (HFS), a rare and often fatal genetic disorder characterized by excessive extracellular matrix accumulation, yet the molecular mechanisms regulating CMG2 function remain poorly understood. We show that CMG2 is controlled by ordered cycles of S-acylation and deacylation that regulate its folding, trafficking, and signalling competence. S-acylation by ZDHHC7 on two juxtamembrane cysteines protects CMG2 from ER-associated degradation by stabilizing folding intermediates, leading to a ~ 5-fold increase in folded receptors competent for ER exit. In the Golgi, ZDHHC3-dependent acylation of a third cysteine promotes Arf6-mediated CMG2 transport to the plasma membrane, where it exerts its functions. Ligand binding triggers recruitment of the thioesterase APT2, which enables release of CMG2 from the actin cytoskeleton and endocytosis, linking extracellular recognition to intracellular signalling and uptake. Inhibition of APT2 reduces Collagen VI turnover and strongly attenuates anthrax toxin toxicity in a zebrafish model, showing lipidation cycles as regulators of receptor function and potential therapeutic targets.</w:t>
      </w:r>
    </w:p>
    <w:p>
      <w:pPr>
        <w:spacing w:before="120" w:after="120"/>
      </w:pPr>
      <w:r>
        <w:rPr>
          <w:sz w:val="18"/>
        </w:rPr>
        <w:t>——————————————————————————————————————————————————————————————————————</w:t>
      </w:r>
    </w:p>
    <w:p>
      <w:pPr>
        <w:spacing w:before="160" w:after="40" w:line="240" w:lineRule="auto"/>
      </w:pPr>
      <w:r>
        <w:rPr>
          <w:b/>
        </w:rPr>
        <w:t xml:space="preserve">[100] </w:t>
      </w:r>
      <w:hyperlink r:id="rId448">
        <w:r>
          <w:rPr>
            <w:color w:val="1155CC"/>
            <w:u w:val="single"/>
          </w:rPr>
          <w:t>对 MLH1-FAN1 相互作用的结构洞察揭示了 MLH1 上未表征的结合界面</w:t>
        </w:r>
      </w:hyperlink>
    </w:p>
    <w:p>
      <w:pPr>
        <w:spacing w:before="0" w:after="80"/>
      </w:pPr>
      <w:r>
        <w:rPr>
          <w:i/>
          <w:sz w:val="20"/>
        </w:rPr>
        <w:t>EN: Structural insights into the MLH1–FAN1 interaction reveal an uncharacterized binding interface on MLH1</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亨廷顿病是由突变亨廷顿基因中的 CAG 重复扩增引起的。核酸酶 FAN1 和错配修复蛋白 MLH1 通过直接相互作用调节重复扩增，但潜在的结构基础仍不清楚。在这里，我们表明 MLH1 C 末端结构域以相当的亲和力与含有 MIP 或 MIM 基序的 FAN1 衍生肽结合。该结构域与每个基序结合的晶体结构为人类 MLH1-FAN1 相互作用提供了结构见解，揭示了 FAN1-MIP 识别的保守机制以及 MLH1 上先前未识别的用于 FAN1-MIM 接合的结合位点（称为 S3 位点）。免疫共沉淀分析证实，关键 MLH1 残基的突变会破坏 FAN1 在细胞中的结合。这些发现建立了 MLH1-FAN1 识别的分子基础，并为理解亨廷顿病中 CAG 重复扩增的调节提供了结构框架。</w:t>
      </w:r>
    </w:p>
    <w:p>
      <w:pPr>
        <w:spacing w:before="0" w:after="200" w:lineRule="auto" w:line="276"/>
      </w:pPr>
      <w:r>
        <w:rPr>
          <w:b/>
        </w:rPr>
        <w:t xml:space="preserve">Abstract (EN): </w:t>
      </w:r>
      <w:r>
        <w:t>Huntington’s disease is driven by CAG repeat expansion in the mutant huntingtin gene. Nuclease FAN1 and mismatch repair protein MLH1 regulate repeat expansion through direct interaction, but the underlying structural basis remains unclear. Here, we show that the MLH1 C-terminal domain binds to FAN1-derived peptides containing either the MIP or MIM motif with comparable affinities. Crystal structures of this domain bound to each motif provide structural insights into human MLH1–FAN1 interaction, revealing a conserved mechanism for FAN1-MIP recognition and a previously unrecognized binding site on MLH1, termed the S3 site, for FAN1-MIM engagement. Co-immunoprecipitation assays confirmed that mutation of key MLH1 residues disrupts FAN1 binding in cells. These findings establish the molecular basis of MLH1–FAN1 recognition and provide a structural framework for understanding the regulation of CAG repeat expansion in Huntington’s disease.</w:t>
      </w:r>
    </w:p>
    <w:p>
      <w:pPr>
        <w:spacing w:before="120" w:after="120"/>
      </w:pPr>
      <w:r>
        <w:rPr>
          <w:sz w:val="18"/>
        </w:rPr>
        <w:t>——————————————————————————————————————————————————————————————————————</w:t>
      </w:r>
    </w:p>
    <w:p>
      <w:pPr>
        <w:spacing w:before="160" w:after="40" w:line="240" w:lineRule="auto"/>
      </w:pPr>
      <w:r>
        <w:rPr>
          <w:b/>
        </w:rPr>
        <w:t xml:space="preserve">[101] </w:t>
      </w:r>
      <w:hyperlink r:id="rId449">
        <w:r>
          <w:rPr>
            <w:color w:val="1155CC"/>
            <w:u w:val="single"/>
          </w:rPr>
          <w:t>骨内整合素-α8⁺间充质干细胞通过细胞外基质介导的相互作用维持造血干细胞功能</w:t>
        </w:r>
      </w:hyperlink>
    </w:p>
    <w:p>
      <w:pPr>
        <w:spacing w:before="0" w:after="80"/>
      </w:pPr>
      <w:r>
        <w:rPr>
          <w:i/>
          <w:sz w:val="20"/>
        </w:rPr>
        <w:t>EN: Endosteal integrin-α8⁺ mesenchymal stem cells maintain haematopoietic stem cell function via extracellular matrix-mediated interactions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干细胞生态位是维持造血干细胞（HSC）所必需的特殊微环境。在这里，我们鉴定了骨髓 (BM) 内膜内表达整合素 α8 (Itga8⁺ MSC) 的间充质干细胞 (MSC) 的独特子集。与其他 MSC 亚群相比，这些细胞表现出独特的 MSC 特性和更高的造血支持活性。 Itga8⁺ MSC 的消耗减少了 HSC 数量，减少了骨内 HSC 的静止状态并降低了 BM 重新增殖能力。 Itga8⁺ MSC 通过细胞粘附相关机制支持造血。单细胞 RNA 测序进一步鉴定 Itga8⁺ MSC 是骨衬细胞内的一个独特亚群。此外，我们将 Mfap4 确定为 Itga8⁺ MSC 中表达的候选因子，并且 Mfap4 支持 HSC 的 BM 重建能力。这些结果表明 Itga8⁺ MSC 代表了 HSC 维持的独特生态位细胞群。这项工作为 HSC 调节和优化体外 HSC 维持和增强体内植入的策略提供了新的见解。</w:t>
      </w:r>
    </w:p>
    <w:p>
      <w:pPr>
        <w:spacing w:before="0" w:after="200" w:lineRule="auto" w:line="276"/>
      </w:pPr>
      <w:r>
        <w:rPr>
          <w:b/>
        </w:rPr>
        <w:t xml:space="preserve">Abstract (EN): </w:t>
      </w:r>
      <w:r>
        <w:t>The stem cell niche is a specialised microenvironment essential for maintaining haematopoietic stem cells (HSCs). Here we identify a distinct subset of mesenchymal stem cells (MSCs) expressing integrin α8 (Itga8⁺ MSCs) within the bone marrow (BM) endosteum. These cells exhibit distinct MSC properties and higher haematopoietic supportive activity than other MSC subsets. Depletion of Itga8⁺ MSCs decreased HSC numbers, reduced quiescence of endosteal HSCs and diminished BM repopulating capacity. Itga8⁺ MSCs support haematopoiesis through cell adhesion-related mechanisms. Single-cell RNA sequencing further identified Itga8⁺ MSCs as a distinct subpopulation within bone-lining cells. Moreover, we identified Mfap4 as a candidate factor expressed in Itga8⁺ MSCs, and Mfap4 supported the BM reconstitution capacity of HSCs. These results suggest that Itga8⁺ MSCs represent a distinct niche cell population for HSC maintenance. This work provides new insights into HSC regulation and strategies to optimise in vitro HSC maintenance and enhance in vivo engraftment.</w:t>
      </w:r>
    </w:p>
    <w:p>
      <w:pPr>
        <w:spacing w:before="120" w:after="120"/>
      </w:pPr>
      <w:r>
        <w:rPr>
          <w:sz w:val="18"/>
        </w:rPr>
        <w:t>——————————————————————————————————————————————————————————————————————</w:t>
      </w:r>
    </w:p>
    <w:p>
      <w:pPr>
        <w:spacing w:before="160" w:after="40" w:line="240" w:lineRule="auto"/>
      </w:pPr>
      <w:r>
        <w:rPr>
          <w:b/>
        </w:rPr>
        <w:t xml:space="preserve">[102] </w:t>
      </w:r>
      <w:hyperlink r:id="rId450">
        <w:r>
          <w:rPr>
            <w:color w:val="1155CC"/>
            <w:u w:val="single"/>
          </w:rPr>
          <w:t>通过消除胚胎和干细胞衍生胚胎模型中谱系特异性非整倍体细胞来控制胚胎质量</w:t>
        </w:r>
      </w:hyperlink>
    </w:p>
    <w:p>
      <w:pPr>
        <w:spacing w:before="0" w:after="80"/>
      </w:pPr>
      <w:r>
        <w:rPr>
          <w:i/>
          <w:sz w:val="20"/>
        </w:rPr>
        <w:t>EN: Embryo quality control via lineage-specific aneuploid cell elimination in embryos and stem cell-derived embryo models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非整倍体在人类植入前胚胎中很常见，也是早期妊娠失败的主要原因，但在出生时很少观察到，这意味着强有力的胚胎监测。在这里，我们使用集成的三系干细胞衍生胚胎模型定义了植入后如何进行这种监视，该模型概括了外胚层（EPI）、内脏内胚层（VE）和胚胎外外胚层（ExE）。将非整倍体细胞接种到每个谱系中独立地揭示了谱系特异性命运：非整倍体细胞选择性地耗尽 EPI 和 VE，但在 ExE 中持续存在。实时成像捕捉到它们通过细胞凋亡或物理挤压而被去除。单细胞 RNA 测序显示非整倍体细胞中 p53 激活和 Myc 抑制，通路扰动调节其清除，证实了因果关系。总之，这些发现证明了一种植入后、谱系限制的质量控制程序，该程序从胚胎本身消除非整倍体细胞，同时允许胚胎外耐受。他们还建立了集成胚胎模型作为易于处理的平台来剖析发育质量控制的分子逻辑。</w:t>
      </w:r>
    </w:p>
    <w:p>
      <w:pPr>
        <w:spacing w:before="0" w:after="200" w:lineRule="auto" w:line="276"/>
      </w:pPr>
      <w:r>
        <w:rPr>
          <w:b/>
        </w:rPr>
        <w:t xml:space="preserve">Abstract (EN): </w:t>
      </w:r>
      <w:r>
        <w:t>Aneuploidy is frequent in human pre-implantation embryos and a leading cause of early pregnancy loss, yet is rarely observed at birth, implying robust embryonic surveillance. Here we define how this surveillance operates after implantation using an integrated, three-lineage stem cell–derived embryo model that recapitulates the epiblast (EPI), visceral endoderm (VE), and extraembryonic ectoderm (ExE). Seeding of aneuploid cells into each lineage independently reveals lineage-specific fates: aneuploid cells are selectively depleted from EPI and VE but persist within ExE. Live imaging captures their removal by apoptosis or physical extrusion. Single-cell RNA sequencing shows p53 activation and Myc repression in aneuploid cells, and pathway perturbations modulate their clearance, confirming causality. Together, these findings demonstrate a post-implantation, lineage-restricted quality-control program that eliminates aneuploid cells from the embryo proper while permitting extraembryonic tolerance. They also establish integrated embryo models as a tractable platform to dissect the molecular logic of developmental quality control.</w:t>
      </w:r>
    </w:p>
    <w:p>
      <w:pPr>
        <w:spacing w:before="120" w:after="120"/>
      </w:pPr>
      <w:r>
        <w:rPr>
          <w:sz w:val="18"/>
        </w:rPr>
        <w:t>——————————————————————————————————————————————————————————————————————</w:t>
      </w:r>
    </w:p>
    <w:p>
      <w:pPr>
        <w:spacing w:before="160" w:after="40" w:line="240" w:lineRule="auto"/>
      </w:pPr>
      <w:r>
        <w:rPr>
          <w:b/>
        </w:rPr>
        <w:t xml:space="preserve">[103] </w:t>
      </w:r>
      <w:hyperlink r:id="rId451">
        <w:r>
          <w:rPr>
            <w:color w:val="1155CC"/>
            <w:u w:val="single"/>
          </w:rPr>
          <w:t>AI 引导的 CRISPR 筛选揭示了银屑病的治疗靶点</w:t>
        </w:r>
      </w:hyperlink>
    </w:p>
    <w:p>
      <w:pPr>
        <w:spacing w:before="0" w:after="80"/>
      </w:pPr>
      <w:r>
        <w:rPr>
          <w:i/>
          <w:sz w:val="20"/>
        </w:rPr>
        <w:t>EN: AI-guided CRISPR screening reveals therapeutic targets in psoriasis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银屑病影响全球超过 1.25 亿人。针对 IL-17/IL-17RA 轴的生物制剂有效，但需要全身给药，价格昂贵，并且不适合某些患者。开发局部小分子替代品需要更好地了解 IL-17 受体 A (IL17RA) 在角质形成细胞（银屑病病变的主要效应细胞）中的调节机制。在这里，我们报告了原代人表皮角质形成细胞中表面 IL17RA 调节因子的全基因组 CRISPR 敲除筛选。我们使用实验富集与VirtualCRISPR（一种基于功能基因组数据训练的语言模型框架）一起对命中进行优先级排序，并验证与IL17RA具有最小先前连接的两个调节因子：5-脂氧合酶（ALOX5）和催产素受体（OXTR），它们通过不同的细胞固有机制发挥作用。局部用齐留通（一种 ALOX5 抑制剂）和克利戈西班（一种 OXTR 拮抗剂）可抑制小鼠中咪喹莫特诱导的银屑病样皮炎，反映了全身抗 IL17RA 抗体的功效。通过将人工智能引导的选择与遗传扰动筛选联系起来，这项研究提供了一条从候选基因提名到生物验证和治疗发现的有效途径。</w:t>
      </w:r>
    </w:p>
    <w:p>
      <w:pPr>
        <w:spacing w:before="0" w:after="200" w:lineRule="auto" w:line="276"/>
      </w:pPr>
      <w:r>
        <w:rPr>
          <w:b/>
        </w:rPr>
        <w:t xml:space="preserve">Abstract (EN): </w:t>
      </w:r>
      <w:r>
        <w:t>Psoriasis affects over 125 million people globally. Biologics targeting the IL-17/IL-17RA axis are effective but require systemic administration, are costly, and are unsuitable for some patients. Developing topical small-molecule alternatives requires a better understanding of how IL-17 receptor A (IL17RA) is regulated in keratinocytes, the principal effector cells of psoriatic lesions. Here, we report a genome-wide CRISPR knockout screen for regulators of surface IL17RA in primary human epidermal keratinocytes. We prioritize hits using experimental enrichment together with VirtualCRISPR, a language-model framework trained on functional-genomics data, and validate two regulators with minimal prior connection to IL17RA: 5-lipoxygenase (ALOX5) and the oxytocin receptor (OXTR), which act through distinct cell-intrinsic mechanisms. Topical zileuton, an ALOX5 inhibitor, and cligosiban, an OXTR antagonist, suppress imiquimod-induced psoriasiform dermatitis in mice, mirroring systemic anti-IL17RA antibody efficacy. By linking AI- guided selection to genetic perturbation screening, this study provides an efficient route from candidate gene nomination to biological validation and therapeutic discovery.</w:t>
      </w:r>
    </w:p>
    <w:p>
      <w:pPr>
        <w:spacing w:before="120" w:after="120"/>
      </w:pPr>
      <w:r>
        <w:rPr>
          <w:sz w:val="18"/>
        </w:rPr>
        <w:t>——————————————————————————————————————————————————————————————————————</w:t>
      </w:r>
    </w:p>
    <w:p>
      <w:pPr>
        <w:spacing w:before="160" w:after="40" w:line="240" w:lineRule="auto"/>
      </w:pPr>
      <w:r>
        <w:rPr>
          <w:b/>
        </w:rPr>
        <w:t xml:space="preserve">[104] </w:t>
      </w:r>
      <w:hyperlink r:id="rId452">
        <w:r>
          <w:rPr>
            <w:color w:val="1155CC"/>
            <w:u w:val="single"/>
          </w:rPr>
          <w:t>保守和谱系特异性机制驱动爬行动物中的色素细胞分化</w:t>
        </w:r>
      </w:hyperlink>
    </w:p>
    <w:p>
      <w:pPr>
        <w:spacing w:before="0" w:after="80"/>
      </w:pPr>
      <w:r>
        <w:rPr>
          <w:i/>
          <w:sz w:val="20"/>
        </w:rPr>
        <w:t>EN: Conserved and lineage-specific mechanisms drive chromatophore differentiation in reptiles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新的分化途径进化产生新细胞类型的机制尚未完全了解。色素细胞（皮肤中的色素细胞）提供了一个理想的范例，因为每种类型都是从神经嵴细胞独立发育而来，利用特征明确的生物合成途径产生独特的颜色。在这里，我们利用单细胞基因表达分析表明，典型的色素细胞是在玉米蛇和胡须龙蜥蜴的胚胎皮肤中发育的。然而，我们在胡须龙中发现了以前未描述过的色素亚型。正如整体原位杂交所揭示的，这些群体共同表达祖细胞和成熟标记，并可能有助于胚胎皮肤图案的形成。比较分析发现，虽然成熟的色素细胞表现出跨物种相似性，反映了共享的色素功能，但祖细胞状态在转录因子的使用方面有所不同，包括 MITF、PAX7 和 TFEC 的物种特异性部署。与硬骨鱼和两栖动物数据集的整合证实，色素沉着的多样化是通过不同的祖细胞轨迹汇聚到相似的成熟状态而产生的。</w:t>
      </w:r>
    </w:p>
    <w:p>
      <w:pPr>
        <w:spacing w:before="0" w:after="200" w:lineRule="auto" w:line="276"/>
      </w:pPr>
      <w:r>
        <w:rPr>
          <w:b/>
        </w:rPr>
        <w:t xml:space="preserve">Abstract (EN): </w:t>
      </w:r>
      <w:r>
        <w:t>The mechanisms by which novel differentiation pathways evolve to produce new cell types are still not fully understood. Chromatophores, the pigmented cells in the skin, offer an ideal paradigm because each type independently develops from neural crest cells to produce a distinct colour using well-characterised biosynthetic pathways. Here we show, using single-cell gene expression analyses, that canonical chromatophores develop in the embryonic skin of corn snakes and bearded dragon lizards. Yet, we identify previously undescribed chromatophore subtypes in the bearded dragon. These populations co-express progenitor and mature markers and possibly contribute to embryonic skin patterning, as revealed by whole-mount in situ hybridisation. Comparative analyses uncover that while mature chromatophores show cross-species similarity reflecting shared pigmentary function, progenitor states differ in transcription factor usage, including species-specific deployment of MITF, PAX7, and TFEC. Integration with teleost and amphibian datasets confirms that diversification of pigmentation arises through distinct progenitor trajectories converging on similar mature states.</w:t>
      </w:r>
    </w:p>
    <w:p>
      <w:pPr>
        <w:spacing w:before="120" w:after="120"/>
      </w:pPr>
      <w:r>
        <w:rPr>
          <w:sz w:val="18"/>
        </w:rPr>
        <w:t>——————————————————————————————————————————————————————————————————————</w:t>
      </w:r>
    </w:p>
    <w:p>
      <w:pPr>
        <w:spacing w:before="160" w:after="40" w:line="240" w:lineRule="auto"/>
      </w:pPr>
      <w:r>
        <w:rPr>
          <w:b/>
        </w:rPr>
        <w:t xml:space="preserve">[105] </w:t>
      </w:r>
      <w:hyperlink r:id="rId453">
        <w:r>
          <w:rPr>
            <w:color w:val="1155CC"/>
            <w:u w:val="single"/>
          </w:rPr>
          <w:t>使用立方氮化硼复合岛解决可拉伸电子器件中的热积累和刚软界面不匹配问题</w:t>
        </w:r>
      </w:hyperlink>
    </w:p>
    <w:p>
      <w:pPr>
        <w:spacing w:before="0" w:after="80"/>
      </w:pPr>
      <w:r>
        <w:rPr>
          <w:i/>
          <w:sz w:val="20"/>
        </w:rPr>
        <w:t>EN: Resolving Thermal Accumulation and Rigid–Soft Interface Mismatch in Stretchable Electronics with Cubic Boron Nitride Composite Islands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54">
        <w:r>
          <w:rPr>
            <w:color w:val="1155CC"/>
            <w:u w:val="single"/>
          </w:rPr>
          <w:t>10.1021/acsami.6c07103</w:t>
        </w:r>
      </w:hyperlink>
    </w:p>
    <w:p>
      <w:pPr>
        <w:spacing w:before="0" w:after="120"/>
      </w:pPr>
      <w:r>
        <w:rPr>
          <w:b/>
        </w:rPr>
        <w:t xml:space="preserve">Notes: </w:t>
      </w:r>
      <w:r>
        <w:t>abstract_source=pubmed</w:t>
      </w:r>
    </w:p>
    <w:p>
      <w:pPr>
        <w:spacing w:before="0" w:after="80" w:lineRule="auto" w:line="276"/>
      </w:pPr>
      <w:r>
        <w:rPr>
          <w:b/>
        </w:rPr>
        <w:t xml:space="preserve">摘要（ZH）: </w:t>
      </w:r>
      <w:r>
        <w:t>用于软机器人和可穿戴设备的集成可拉伸电子系统需要有效的热管理，以减轻功能组件周围的热量积聚。在这里，我们提出了一种岛桥架构，具有局部导热复合岛以增强散热。通过将立方氮化硼 (c-BN) 纳入软基板的选定区域，我们构建了导热复合岛，其面内和面内导热系数分别为 2.327 和 2.596 Wm1-K-1。与没有复合岛的衬底相比，峰值温度降低了12.8℃。此外，基于该设计的可伸缩计算平台在实际操作过程中可将工作温度保持在40°C以下，这为人体接触应用展示了重要的热安全优势。此外，芯片附近的复合材料岛产生的局部模量梯度减轻了刚软界面失配，从而减轻了应力集中，并将拉伸率从 70.41% 提高到 122.67%。所提出的设计进一步证明了软机器人末端执行器和可穿戴系统的长期稳定性，为在高度集成的可拉伸电子设备中实现热安全性和机械可靠性提供了有效的策略。</w:t>
      </w:r>
    </w:p>
    <w:p>
      <w:pPr>
        <w:spacing w:before="0" w:after="200" w:lineRule="auto" w:line="276"/>
      </w:pPr>
      <w:r>
        <w:rPr>
          <w:b/>
        </w:rPr>
        <w:t xml:space="preserve">Abstract (EN): </w:t>
      </w:r>
      <w:r>
        <w:t>Integrated stretchable electronic systems for soft robotics and wearable devices require effective thermal management to mitigate heat accumulation around functional components. Here, we propose an island-bridge architecture with localized thermally conductive composite islands for enhanced heat dissipation. By incorporating cubic boron nitride (c-BN) into selected regions of the soft substrate, we construct thermally conductive composite islands with in-plane and through-plane thermal conductivities of 2.327 and 2.596 Wm1-K-1, respectively. Compared with the substrate without composite islands, the peak temperature is reduced by 12.8 °C. Furthermore, a stretchable computing platform based on this design maintains an operating temperature below 40 °C during practical operation, demonstrating an important thermal safety advantage for human-contact applications. In addition, the local modulus gradient created by the composite islands near the chip mitigates rigid-soft interfacial mismatch, thereby alleviating stress concentration and increasing stretchability from 70.41% to 122.67%. The proposed design further demonstrates long-term stability in soft robotic end-effectors and wearable systems, providing an effective strategy for achieving both thermal safety and mechanical reliability in highly integrated stretchable electronics.</w:t>
      </w:r>
    </w:p>
    <w:p>
      <w:pPr>
        <w:spacing w:before="120" w:after="120"/>
      </w:pPr>
      <w:r>
        <w:rPr>
          <w:sz w:val="18"/>
        </w:rPr>
        <w:t>——————————————————————————————————————————————————————————————————————</w:t>
      </w:r>
    </w:p>
    <w:p>
      <w:pPr>
        <w:spacing w:before="160" w:after="40" w:line="240" w:lineRule="auto"/>
      </w:pPr>
      <w:r>
        <w:rPr>
          <w:b/>
        </w:rPr>
        <w:t xml:space="preserve">[106] </w:t>
      </w:r>
      <w:hyperlink r:id="rId455">
        <w:r>
          <w:rPr>
            <w:color w:val="1155CC"/>
            <w:u w:val="single"/>
          </w:rPr>
          <w:t>静电纺丝素纳米纤维在组织工程中的设计策略和新兴应用</w:t>
        </w:r>
      </w:hyperlink>
    </w:p>
    <w:p>
      <w:pPr>
        <w:spacing w:before="0" w:after="80"/>
      </w:pPr>
      <w:r>
        <w:rPr>
          <w:i/>
          <w:sz w:val="20"/>
        </w:rPr>
        <w:t>EN: Design Strategies and Emerging Applications of Electrospun Silk Fibroin Nanofibers for Tissue Engineering</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56">
        <w:r>
          <w:rPr>
            <w:color w:val="1155CC"/>
            <w:u w:val="single"/>
          </w:rPr>
          <w:t>10.1021/acsami.6c05865</w:t>
        </w:r>
      </w:hyperlink>
    </w:p>
    <w:p>
      <w:pPr>
        <w:spacing w:before="0" w:after="120"/>
      </w:pPr>
      <w:r>
        <w:rPr>
          <w:b/>
        </w:rPr>
        <w:t xml:space="preserve">Notes: </w:t>
      </w:r>
      <w:r>
        <w:t>abstract_source=pubmed</w:t>
      </w:r>
    </w:p>
    <w:p>
      <w:pPr>
        <w:spacing w:before="0" w:after="80" w:lineRule="auto" w:line="276"/>
      </w:pPr>
      <w:r>
        <w:rPr>
          <w:b/>
        </w:rPr>
        <w:t xml:space="preserve">摘要（ZH）: </w:t>
      </w:r>
      <w:r>
        <w:t>电纺丝素蛋白纳米纤维 (SFNF) 结合了卓越的生物相容性、可调节的机械性能和天然细胞外基质 (ECM) 模拟结构，使其成为组织工程中引人注目的支架。尽管取得了快速进展，但当前的研究往往追求孤立的材料增强，缺乏将支架设计与目标组织复杂的生物物理和生化微环境相结合的一致策略。为了弥补这一差距，本综述提出了一个“设计-应用耦合”框架，该框架系统地将 SFNF 成分、加工和表面修饰与组织特异性再生需求相结合。我们没有详尽地详细介绍基本制造，而是简洁地提炼出先进的静电纺丝模式和有针对性的功能化策略（例如无机强化和免疫调节），这些策略决定了机械鲁棒性和生物活性。至关重要的是，我们将这些工程特性直接映射到其新兴的临床应用，全面分析 SFNF 在骨骼、骨骼肌、心血管、神经和皮肤组织再生中的性能。最后，我们讨论了临床转化的关键挑战，包括可扩展性和监管标准化，并提出了智能生物响应材料的未来方向。该框架提供了从实验室创新到临床应用的系统途径，指导下一代基于 SFNF 的再生支架。</w:t>
      </w:r>
    </w:p>
    <w:p>
      <w:pPr>
        <w:spacing w:before="0" w:after="200" w:lineRule="auto" w:line="276"/>
      </w:pPr>
      <w:r>
        <w:rPr>
          <w:b/>
        </w:rPr>
        <w:t xml:space="preserve">Abstract (EN): </w:t>
      </w:r>
      <w:r>
        <w:t>Electrospun silk fibroin nanofibers (SFNFs) combine exceptional biocompatibility, tunable mechanical properties, and a native extracellular matrix (ECM)-mimetic architecture, making them compelling scaffolds for tissue engineering. Despite rapid progress, current research often pursues isolated material enhancements, lacking a cohesive strategy that aligns scaffold design with the complex biophysical and biochemical microenvironments of targeted tissues. To bridge this gap, this review presents a "design-application coupling" framework that systematically integrates SFNF composition, processing, and surface modifications with tissue-specific regenerative demands. Rather than exhaustively detailing basic manufacturing, we concisely distill advanced electrospinning modalities and targeted functionalization strategies─such as inorganic reinforcement and immunomodulation─that dictate mechanical robustness and bioactivity. Crucially, we map these engineered properties directly to their emerging clinical applications, comprehensively analyzing SFNF performance in the regeneration of bone, skeletal muscle, cardiovascular, neural, and skin tissues. Finally, we discuss critical challenges to clinical translation, including scalability and regulatory standardization, and propose future directions toward smart, bioresponsive materials. This framework provides a systematic pathway from bench-side innovation to bedside application, guiding the next generation of SFNF-based regenerative scaffolds.</w:t>
      </w:r>
    </w:p>
    <w:p>
      <w:pPr>
        <w:spacing w:before="120" w:after="120"/>
      </w:pPr>
      <w:r>
        <w:rPr>
          <w:sz w:val="18"/>
        </w:rPr>
        <w:t>——————————————————————————————————————————————————————————————————————</w:t>
      </w:r>
    </w:p>
    <w:p>
      <w:pPr>
        <w:spacing w:before="160" w:after="40" w:line="240" w:lineRule="auto"/>
      </w:pPr>
      <w:r>
        <w:rPr>
          <w:b/>
        </w:rPr>
        <w:t xml:space="preserve">[107] </w:t>
      </w:r>
      <w:hyperlink r:id="rId457">
        <w:r>
          <w:rPr>
            <w:color w:val="1155CC"/>
            <w:u w:val="single"/>
          </w:rPr>
          <w:t>碳硅烷树状聚合物-siRNA纳米平台从单细胞生物相容性到血脑屏障模型动力学和小鼠阿尔茨海默病模型行为评估的分层评估</w:t>
        </w:r>
      </w:hyperlink>
    </w:p>
    <w:p>
      <w:pPr>
        <w:spacing w:before="0" w:after="80"/>
      </w:pPr>
      <w:r>
        <w:rPr>
          <w:i/>
          <w:sz w:val="20"/>
        </w:rPr>
        <w:t>EN: Tiered Evaluation of Carbosilane Dendrimer–siRNA Nanoplatform from Single-Cell Biocompatibility to Blood-Brain Barrier Model Dynamics and Murine Alzheimer Model Behavior Assessment</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58">
        <w:r>
          <w:rPr>
            <w:color w:val="1155CC"/>
            <w:u w:val="single"/>
          </w:rPr>
          <w:t>10.1021/acsami.6c06099</w:t>
        </w:r>
      </w:hyperlink>
    </w:p>
    <w:p>
      <w:pPr>
        <w:spacing w:before="0" w:after="120"/>
      </w:pPr>
      <w:r>
        <w:rPr>
          <w:b/>
        </w:rPr>
        <w:t xml:space="preserve">Notes: </w:t>
      </w:r>
      <w:r>
        <w:t>abstract_source=pubmed</w:t>
      </w:r>
    </w:p>
    <w:p>
      <w:pPr>
        <w:spacing w:before="0" w:after="80" w:lineRule="auto" w:line="276"/>
      </w:pPr>
      <w:r>
        <w:rPr>
          <w:b/>
        </w:rPr>
        <w:t xml:space="preserve">摘要（ZH）: </w:t>
      </w:r>
      <w:r>
        <w:t>血脑屏障（BBB）运输仍然是阿尔茨海默病（AD）治疗中实现可预测的中枢神经系统暴露的主要限制，这推动了对具有屏障解决和功能相关终点的递送平台的评估。我们使用分层的上游策略评估了碳硅烷树枝状聚合物 (G3Si PEG6000) 及其 siRNA 树枝状复合物，该策略涵盖细胞内化、DNA 损伤筛选、BBB 模型完整性和渗透性以及体内 AD 相关小鼠模型学习。在细胞水平上，树枝状聚合物增强了细胞内 siRNA 相关信号，主要定位于细胞质，并且相对于非复合载体，siRNA 复合减弱了基因毒性。在 BBB 三培养模型中，屏障功能得以保留，而没有持续的跨内皮电阻 (TEER) 损失，并且补充示踪剂通量读数显示出时间和配方依赖性的非单调变化，包括与屏障相关的旁细胞反应的非均匀扰动一致的 TEER 渗透性解耦和时间依赖性变化。在 APOE4 敲入小鼠中，在莫里斯水迷宫探针试验中，树状复合物处理增加了平台区交叉，而目标象限时间仅显示出适度的、不显着的趋势。总的来说，这些综合结果表明 siRNA 复合改善了 G3Si PEG6000 的 BBB 相关安全性能平衡，并支持将大脑暴露和目标参与与认知结果直接联系起来的进一步研究。</w:t>
      </w:r>
    </w:p>
    <w:p>
      <w:pPr>
        <w:spacing w:before="0" w:after="200" w:lineRule="auto" w:line="276"/>
      </w:pPr>
      <w:r>
        <w:rPr>
          <w:b/>
        </w:rPr>
        <w:t xml:space="preserve">Abstract (EN): </w:t>
      </w:r>
      <w:r>
        <w:t>Blood-brain barrier (BBB) transport remains a primary constraint on achieving predictable central nervous system exposure for Alzheimer's disease (AD) therapeutics, motivating the evaluation of delivery platforms with barrier-resolved and functionally relevant end points. We assessed a carbosilane dendrimer (G3Si PEG6000) and its siRNA dendriplex using a tiered, upstream strategy spanning cell internalization, DNA damage screening, BBB model integrity and permeability, and in vivo AD-relevant murine model learning. At the cellular level, the dendrimer enhanced intracellular siRNA-associated signal with predominantly cytoplasmic localization, and siRNA complexation attenuated genotoxicity relative to the noncomplexed carrier. In a BBB triculture model, barrier function was preserved without sustained transendothelial electrical resistance (TEER) loss, and complementary tracer flux readouts showed time- and formulation-dependent, nonmonotonic changes, including TEER-permeability decoupling consistent with nonuniform perturbation and time-dependent changes in barrier-associated paracellular responses. In APOE4 knock-in mice, dendriplex treatment increased platform-zone crossings in the Morris Water Maze probe trial, whereas target-quadrant time showed only a modest, nonsignificant trend. Collectively, these integrated results indicate that siRNA complexation improves the BBB-relevant safety-performance balance of G3Si PEG6000 and supports further studies that directly link brain exposure and target engagement to cognitive outcomes.</w:t>
      </w:r>
    </w:p>
    <w:p>
      <w:pPr>
        <w:spacing w:before="120" w:after="120"/>
      </w:pPr>
      <w:r>
        <w:rPr>
          <w:sz w:val="18"/>
        </w:rPr>
        <w:t>——————————————————————————————————————————————————————————————————————</w:t>
      </w:r>
    </w:p>
    <w:p>
      <w:pPr>
        <w:spacing w:before="160" w:after="40" w:line="240" w:lineRule="auto"/>
      </w:pPr>
      <w:r>
        <w:rPr>
          <w:b/>
        </w:rPr>
        <w:t xml:space="preserve">[108] </w:t>
      </w:r>
      <w:hyperlink r:id="rId459">
        <w:r>
          <w:rPr>
            <w:color w:val="1155CC"/>
            <w:u w:val="single"/>
          </w:rPr>
          <w:t>人属脑化和面部缩小的进化驱动因素</w:t>
        </w:r>
      </w:hyperlink>
    </w:p>
    <w:p>
      <w:pPr>
        <w:spacing w:before="0" w:after="80"/>
      </w:pPr>
      <w:r>
        <w:rPr>
          <w:i/>
          <w:sz w:val="20"/>
        </w:rPr>
        <w:t>EN: Evolutionary drivers of encephalization and facial reduction in the genus Homo</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人属颅骨形态进化的特点是随着时间的推移，脑化程度不断增强，面部坚固性不断降低。这些变化通常被认为是定向自然选择的产物，因为大脑尺寸更大，与更强的认知能力有关，而面部尺寸的减小是为了降低能量成本，因为通过食物加工和工具使用减少了咀嚼需求。在这里，我们通过探索六个进化过程的预测与观察到的人属颅骨形态变异的拟合优度来检验这一假设。我们分析了全面的神经颅骨和面部 3D 地标坐标数据集，分为八个操作分类单元，从早期智人开始，代表两个谱系：智人和尼安德特人。我们的神经颅骨分析发现了对两个谱系的中性进化（无偏随机游走）和停滞模型的最有力支持。同样，这张脸显示出对停滞、严格停滞和中性进化（无偏随机游走）模型的最强支持。我们的研究结果表明，逐步定向选择的作用有限，并强调了稳定选择和限制在我们谱系进化中的重要性，强调了环境限制和可能的文化行为作为人类进化核心驱动力的重要性。</w:t>
      </w:r>
    </w:p>
    <w:p>
      <w:pPr>
        <w:spacing w:before="0" w:after="200" w:lineRule="auto" w:line="276"/>
      </w:pPr>
      <w:r>
        <w:rPr>
          <w:b/>
        </w:rPr>
        <w:t xml:space="preserve">Abstract (EN): </w:t>
      </w:r>
      <w:r>
        <w:t>The evolution of cranial morphology in the genus Homo is marked by increasing encephalization and reduced facial robusticity through time. These changes are often assumed to be the product of directional natural selection for larger brain size, presumed to be associated with greater cognitive abilities, and for decreasing facial size to lower energetic costs, as masticatory demands were reduced through food processing and tool use. Here, we test this hypothesis by exploring the goodness-of-fit of the predictions of six evolutionary processes to the observed cranial morphological variation in Homo. We analyzed comprehensive neurocranial and facial 3D landmark coordinate datasets, grouped into eight Operational Taxonomic Units starting with early Homo and representing two lineages, Homo sapiens and Homo neanderthalensis. Our neurocranial analysis found strongest support for models of neutral evolution (Unbiased Random Walk) and stasis across both lineages. Similarly, the face shows strongest support for models of stasis, strict stasis, and neutral evolution (Unbiased Random Walk). Our findings suggest a limited role for gradual directional selection and underscore the importance of stabilizing selection and constraints in our lineage’s evolution, highlighting the importance of environmental constraints and possibly cultural behaviors as core drivers of human evolution.</w:t>
      </w:r>
    </w:p>
    <w:p>
      <w:pPr>
        <w:spacing w:before="120" w:after="120"/>
      </w:pPr>
      <w:r>
        <w:rPr>
          <w:sz w:val="18"/>
        </w:rPr>
        <w:t>——————————————————————————————————————————————————————————————————————</w:t>
      </w:r>
    </w:p>
    <w:p>
      <w:pPr>
        <w:spacing w:before="160" w:after="40" w:line="240" w:lineRule="auto"/>
      </w:pPr>
      <w:r>
        <w:rPr>
          <w:b/>
        </w:rPr>
        <w:t xml:space="preserve">[109] </w:t>
      </w:r>
      <w:hyperlink r:id="rId460">
        <w:r>
          <w:rPr>
            <w:color w:val="1155CC"/>
            <w:u w:val="single"/>
          </w:rPr>
          <w:t>出版商更正：使用环形纳米传感器阵列进行化学流出成像进行原位膀胱癌检测</w:t>
        </w:r>
      </w:hyperlink>
    </w:p>
    <w:p>
      <w:pPr>
        <w:spacing w:before="0" w:after="80"/>
      </w:pPr>
      <w:r>
        <w:rPr>
          <w:i/>
          <w:sz w:val="20"/>
        </w:rPr>
        <w:t>EN: Publisher Correction: Chemical efflux imaging using an annular nanosensor array for in situ bladder cancer detection</w:t>
      </w:r>
    </w:p>
    <w:p>
      <w:pPr>
        <w:spacing w:before="0" w:after="120"/>
      </w:pPr>
      <w:r>
        <w:rPr>
          <w:b/>
        </w:rPr>
        <w:t xml:space="preserve">Source: </w:t>
      </w:r>
      <w:r>
        <w:t>Nature Nanotechnology</w:t>
      </w:r>
      <w:r>
        <w:t xml:space="preserve">    </w:t>
      </w:r>
      <w:r>
        <w:rPr>
          <w:b/>
        </w:rPr>
        <w:t xml:space="preserve">Pub date: </w:t>
      </w:r>
      <w:r>
        <w:t>2026-07-06 00:00:00+00:00</w:t>
      </w:r>
      <w:r>
        <w:t xml:space="preserve">    </w:t>
      </w:r>
      <w:r>
        <w:rPr>
          <w:b/>
        </w:rPr>
        <w:t xml:space="preserve">DOI: </w:t>
      </w:r>
      <w:hyperlink r:id="rId461">
        <w:r>
          <w:rPr>
            <w:color w:val="1155CC"/>
            <w:u w:val="single"/>
          </w:rPr>
          <w:t>10.1038/s41565-026-02239-5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[110] </w:t>
      </w:r>
      <w:hyperlink r:id="rId462">
        <w:r>
          <w:rPr>
            <w:color w:val="1155CC"/>
            <w:u w:val="single"/>
          </w:rPr>
          <w:t>阿尔及利亚西尼罗河病毒的出现和传播模式</w:t>
        </w:r>
      </w:hyperlink>
    </w:p>
    <w:p>
      <w:pPr>
        <w:spacing w:before="0" w:after="80"/>
      </w:pPr>
      <w:r>
        <w:rPr>
          <w:i/>
          <w:sz w:val="20"/>
        </w:rPr>
        <w:t>EN: Patterns of emergence and circulation of West Nile Virus in Algeria</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近年来，许多国家经历了病媒传播疾病的爆发增加，例如西尼罗河病毒（WNV）。西尼罗河病毒主要通过受感染的库蚊叮咬传播给人类，并具有涉及鸟类的地方性人畜共患传播周期。在阿尔及利亚，人类中西尼罗河病毒的血清学证据可以追溯到 20 世纪 70 年代，但传播模式的特征却很少。为了解决这个问题，我们对人类中的西尼罗河病毒进行了横断面血清流行率调查，并根据数据拟合了血清催化模型。我们还分析了西尼罗河病毒严重病例的数据。在这项研究中，我们报告血清阳性率为 16.7%。我们将年龄、地区和居住类型确定为感染的危险因素。我们还表明，南方两个省份的传播模式与几十年来的低水平流行风险一致，而北方三个省份的传播模式都与过去 10-15 年内发生的单次疫情一致。奥兰可能于 2010 年爆发，吉杰勒和提济乌祖分别于 2017 年和 2018 年数据收集前后爆发。有必要调查病毒传播的潜在驱动因素，并持续监测西尼罗河病毒病例，特别是在北部省份。</w:t>
      </w:r>
    </w:p>
    <w:p>
      <w:pPr>
        <w:spacing w:before="0" w:after="200" w:lineRule="auto" w:line="276"/>
      </w:pPr>
      <w:r>
        <w:rPr>
          <w:b/>
        </w:rPr>
        <w:t xml:space="preserve">Abstract (EN): </w:t>
      </w:r>
      <w:r>
        <w:t>In recent years, many countries have experienced increased outbreaks of vector-borne diseases, such as West Nile virus (WNV). WNV is primarily transmitted to humans by the bite of infected Culex mosquitoes and has an enzoonotic transmission cycle involving birds. In Algeria, serological evidence of WNV in humans dates back to the 1970s, but circulation patterns are poorly characterized. To address this, we conduct a cross-sectional seroprevalence survey of WNV in humans and fit serocatalytic models to the data. We also analyze data on severe WNV cases. In this study, we report a seroprevalence of 16.7%. We identify age, region, and residence type as risk factors for infection. We also show that patterns of spread in two provinces in the south are consistent with low level endemic risk over decades, while those from three provinces in the north are all consistent with single outbreaks that occurred within the last 10-15 years. An outbreak may have occurred in Oran in 2010 and in Jijel and Tizi Ouzou near the time of data collection in 2017 and 2018, respectively. Investigation of potential drivers of viral establishment, along with continued surveillance of WNV cases, especially in the northern provinces, is warranted.</w:t>
      </w:r>
    </w:p>
    <w:p>
      <w:pPr>
        <w:spacing w:before="120" w:after="120"/>
      </w:pPr>
      <w:r>
        <w:rPr>
          <w:sz w:val="18"/>
        </w:rPr>
        <w:t>——————————————————————————————————————————————————————————————————————</w:t>
      </w:r>
    </w:p>
    <w:p>
      <w:pPr>
        <w:spacing w:before="160" w:after="40" w:line="240" w:lineRule="auto"/>
      </w:pPr>
      <w:r>
        <w:rPr>
          <w:b/>
        </w:rPr>
        <w:t xml:space="preserve">[111] </w:t>
      </w:r>
      <w:hyperlink r:id="rId463">
        <w:r>
          <w:rPr>
            <w:color w:val="1155CC"/>
            <w:u w:val="single"/>
          </w:rPr>
          <w:t>父母行为与儿童攻击行为之间关联的遗传和环境因素的三角测量证据</w:t>
        </w:r>
      </w:hyperlink>
    </w:p>
    <w:p>
      <w:pPr>
        <w:spacing w:before="0" w:after="80"/>
      </w:pPr>
      <w:r>
        <w:rPr>
          <w:i/>
          <w:sz w:val="20"/>
        </w:rPr>
        <w:t>EN: Triangulating evidence for genetic and environmental components of associations between parental behaviours and aggressive behaviour in children</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养育行为通常与儿童时期的攻击行为有关，但许多研究未能解释共同的遗传或测试方向性。使用基于家族的设计，我们控制了遗传混杂，并检查了两个样本的双向效应。首先，我们在挪威母亲父亲和儿童队列研究中应用了双胞胎/兄弟姐妹的孩子设计，该研究利用家庭成员之间的遗传相关性来区分亲子关联的遗传和环境成分。其次，我们在美国的早期生长和发育研究中使用了纵向模型，这是一个收养样本，其中父母和孩子没有遗传相关性，从而能够在没有遗传混杂的情况下估计亲子关联。在这两项研究中，我们发现了养育和孩子攻击性之间遗传和环境传播的证据。我们在两个样本中都显示出对不一致纪律的显着影响。在双胞胎子女分析中，积极养育和儿童攻击性之间的关联被证明是由于共同的遗传因素，而在收养样本中没有观察到统计上显着的关联。这些发现建立在越来越多的文献基础上，这些文献显示遗传对攻击性和养育行为的影响，同时强调了三角测量的价值。</w:t>
      </w:r>
    </w:p>
    <w:p>
      <w:pPr>
        <w:spacing w:before="0" w:after="200" w:lineRule="auto" w:line="276"/>
      </w:pPr>
      <w:r>
        <w:rPr>
          <w:b/>
        </w:rPr>
        <w:t xml:space="preserve">Abstract (EN): </w:t>
      </w:r>
      <w:r>
        <w:t>Parenting behaviours are often linked to childhood aggression, but many studies fail to account for shared genetics or test directionality. Using family-based designs, we control for genetic confounding and examined bidirectional effects across two samples. First, we apply a children-of-twins/siblings design in the Norwegian Mother Father and Child Cohort Study which uses genetic relatedness between family members to separate genetic and environmental components of parent-child associations. Second, we use longitudinal models in the USA-based Early Growth and Development Study, an adoption sample where parents and child are not genetically related, enabling estimation of parent-child associations without genetic confounding.Across both studies, we find evidence for genetic and environmental transmission between parenting and child aggression. We show significant child-to-parent effects on inconsistent discipline in both samples. In the children-of-twins analysis, the association between positive parenting and child aggression is shown to be due to shared genetics, where no statistically significant association is observed in the adoption sample. These findings build on the growing body of literature showing genetic influences on both aggression and parenting behaviours, whilst underscoring the value of triangulation.</w:t>
      </w:r>
    </w:p>
    <w:p>
      <w:pPr>
        <w:spacing w:before="120" w:after="120"/>
      </w:pPr>
      <w:r>
        <w:rPr>
          <w:sz w:val="18"/>
        </w:rPr>
        <w:t>——————————————————————————————————————————————————————————————————————</w:t>
      </w:r>
    </w:p>
    <w:p>
      <w:pPr>
        <w:spacing w:before="160" w:after="40" w:line="240" w:lineRule="auto"/>
      </w:pPr>
      <w:r>
        <w:rPr>
          <w:b/>
        </w:rPr>
        <w:t xml:space="preserve">[112] </w:t>
      </w:r>
      <w:hyperlink r:id="rId464">
        <w:r>
          <w:rPr>
            <w:color w:val="1155CC"/>
            <w:u w:val="single"/>
          </w:rPr>
          <w:t>细胞类型特异性可塑性在塑造学习动作时机的新皮质动力学中的互补作用</w:t>
        </w:r>
      </w:hyperlink>
    </w:p>
    <w:p>
      <w:pPr>
        <w:spacing w:before="0" w:after="80"/>
      </w:pPr>
      <w:r>
        <w:rPr>
          <w:i/>
          <w:sz w:val="20"/>
        </w:rPr>
        <w:t>EN: Complementary roles of cell-type-specific plasticity in shaping neocortical dynamics for learning action timing</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新皮质尖峰动态是自愿行为的基础，被认为是通过学习过程中的突触可塑性而出现的。然而，不同皮质细胞类型的可塑性在塑造群体动态方面的因果作用仍不清楚。为了解决这个问题，我们在学习运动计时任务的小鼠中操纵了 Ca2+/钙调蛋白依赖性蛋白激酶 II (CaMKII)，这是可塑性的关键介质。前运动皮层中的短暂 CaMKII 失活会损害学习，但不会影响所学动作的执行。细胞类型特异性操作表明，两种锥体束 (PT) 神经元亚型（而非端脑内 (IT) 神经元）中的 CaMKII 依赖性可塑性是学习所必需的。同时进行的大规模电生理学研究表明，两种 PT 亚型中的 CaMKII 活性对于塑造共同预测运动时序的运动前皮质动力学的不同方面是必要的，而 IT 神经元可塑性则需要降低皮质活动的维度。总之，主要皮层细胞类型的突触可塑性在学习过程中塑造皮层动态方面发挥着专门和互补的作用。</w:t>
      </w:r>
    </w:p>
    <w:p>
      <w:pPr>
        <w:spacing w:before="0" w:after="200" w:lineRule="auto" w:line="276"/>
      </w:pPr>
      <w:r>
        <w:rPr>
          <w:b/>
        </w:rPr>
        <w:t xml:space="preserve">Abstract (EN): </w:t>
      </w:r>
      <w:r>
        <w:t>Neocortical spiking dynamics underlie voluntary behavior and are thought to emerge through synaptic plasticity during learning. However, the causal role of plasticity across cortical cell types in shaping population dynamics remains unclear. To address this, we manipulated Ca2+/calmodulin-dependent protein kinase II (CaMKII), a key mediator of plasticity, in mice learning a motor timing task. Transient CaMKII inactivation in the premotor cortex impaired learning without affecting execution of learned actions. Cell-type-specific manipulations revealed that CaMKII-dependent plasticity in two pyramidal tract (PT) neuron subtypes—but not intratelencephalic (IT) neurons—was required for learning. Concurrent large-scale electrophysiology showed that CaMKII activity in the two PT subtypes was necessary to shape distinct aspects of premotor cortical dynamics that jointly anticipate motor timing, whereas IT neuron plasticity was required to reduce the dimensionality of cortical activity. Together, synaptic plasticity in major cortical cell types plays specialized and complementary roles in sculpting cortical dynamics during learning.</w:t>
      </w:r>
    </w:p>
    <w:p>
      <w:pPr>
        <w:spacing w:before="120" w:after="120"/>
      </w:pPr>
      <w:r>
        <w:rPr>
          <w:sz w:val="18"/>
        </w:rPr>
        <w:t>——————————————————————————————————————————————————————————————————————</w:t>
      </w:r>
    </w:p>
    <w:p>
      <w:pPr>
        <w:spacing w:before="160" w:after="40" w:line="240" w:lineRule="auto"/>
      </w:pPr>
      <w:r>
        <w:rPr>
          <w:b/>
        </w:rPr>
        <w:t xml:space="preserve">[113] </w:t>
      </w:r>
      <w:hyperlink r:id="rId465">
        <w:r>
          <w:rPr>
            <w:color w:val="1155CC"/>
            <w:u w:val="single"/>
          </w:rPr>
          <w:t>沙门氏菌 SopB 抑制转录后调节的细胞因子释放，以减少早期组织炎症并延缓疾病进展</w:t>
        </w:r>
      </w:hyperlink>
    </w:p>
    <w:p>
      <w:pPr>
        <w:spacing w:before="0" w:after="80"/>
      </w:pPr>
      <w:r>
        <w:rPr>
          <w:i/>
          <w:sz w:val="20"/>
        </w:rPr>
        <w:t>EN: Salmonella SopB suppresses post-transcriptionally regulated cytokine release to reduce early tissue inflammation and delay disease progression</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肠沙门氏菌亚种鼠伤寒肠杆菌（S. Typhimurium）通过将效应分子易位到宿主细胞胞浆中来操纵细胞过程。利用最近建立的新生儿鼠伤寒沙门氏菌感染模型，我们提供了关于沙门氏菌外部蛋白 B (SopB) 如何抑制早期粘膜组织炎症并延长宿主生存的功能性见解。从机制上讲，SopB 可防止解整合素和金属蛋白酶 17 (ADAM17) 激活、质膜易位以及肠细胞释放膜结合 TNFα，并通过 mTOR 控制的分泌性自噬减少上皮细胞 IL-18 的分泌。这消除了早期上皮转录反应，减少了免疫细胞的募集和程序性细胞死亡介导的粘膜屏障破坏，从而延缓了疾病进展。 SopB 的免疫抑制作用独立于 C 端编码的磷脂酰肌醇磷酸酶和磷酸转移酶活性，但需要完整的 N 端结构域。此外，它仅限于以沙门氏菌致病岛 (SPI)1 3 型分泌系统 (T3SS) 依赖性肠上皮细胞入侵驱动的粘膜易位为特征的新生小鼠模型。因此，我们在这里证明 SopB 以不依赖肌醇磷酸酶的方式抑制上皮细胞因子释放的早期转录后调节，可能促进病原体传播。</w:t>
      </w:r>
    </w:p>
    <w:p>
      <w:pPr>
        <w:spacing w:before="0" w:after="200" w:lineRule="auto" w:line="276"/>
      </w:pPr>
      <w:r>
        <w:rPr>
          <w:b/>
        </w:rPr>
        <w:t xml:space="preserve">Abstract (EN): </w:t>
      </w:r>
      <w:r>
        <w:t>Salmonella enterica subsp. enterica serovar Typhimurium (S. Typhimurium) manipulates cellular processes through the translocation of effector molecules into the host cell cytosol. Using a recently established neonatal S. Typhimurium infection model, we provide functional insights into how Salmonella outer protein B (SopB) suppresses early mucosal tissue inflammation and prolongs host survival. Mechanistically, SopB prevents a disintegrin and metalloprotease 17 (ADAM17) activation, plasma membrane translocation and the release of membrane-bound TNFα from enterocytes and reduces epithelial secretion of IL-18 via mTOR-controlled secretory autophagy. This abolishes the early epithelial transcriptional response and reduces immune cell recruitment and programmed cell death-mediated mucosal barrier disruption delaying disease progression. The immunosuppressive effect of SopB is independent of the C-terminally encoded phosphatidylinositol phosphatase and phosphotransferase activity but requires an intact N-terminal domain. Also, it is restricted to the neonatal mouse model characterised by Salmonella pathogenicity island (SPI)1 type 3 secretion system (T3SS)-dependent enterocyte invasion-driven mucosal translocation. Thus, here we demonstrate that SopB suppresses the early, post-transcriptional regulation of epithelial cytokine release in an inositol phosphatase-independent manner likely promoting pathogen transmission.</w:t>
      </w:r>
    </w:p>
    <w:p>
      <w:pPr>
        <w:spacing w:before="120" w:after="120"/>
      </w:pPr>
      <w:r>
        <w:rPr>
          <w:sz w:val="18"/>
        </w:rPr>
        <w:t>——————————————————————————————————————————————————————————————————————</w:t>
      </w:r>
    </w:p>
    <w:p>
      <w:pPr>
        <w:spacing w:before="160" w:after="40" w:line="240" w:lineRule="auto"/>
      </w:pPr>
      <w:r>
        <w:rPr>
          <w:b/>
        </w:rPr>
        <w:t xml:space="preserve">[114] </w:t>
      </w:r>
      <w:hyperlink r:id="rId466">
        <w:r>
          <w:rPr>
            <w:color w:val="1155CC"/>
            <w:u w:val="single"/>
          </w:rPr>
          <w:t>流动浓缩乳液中的非互易聚结破碎动力学</w:t>
        </w:r>
      </w:hyperlink>
    </w:p>
    <w:p>
      <w:pPr>
        <w:spacing w:before="0" w:after="80"/>
      </w:pPr>
      <w:r>
        <w:rPr>
          <w:i/>
          <w:sz w:val="20"/>
        </w:rPr>
        <w:t>EN: Non-reciprocal coalescence-breakup dynamics in flowing concentrated emulsions</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致密稳定乳液是不混溶流体的混合物，其中高体积分数液滴分散相通过空间相互作用稳定防止聚结。乳液的生产是食品、化妆品和化学工业的关键过程，涉及高剪切流、弹性和空间相互作用，并且由于液滴和界面的聚结和破碎而进行。所有这些相互作用之间复杂的相互作用是确定小尺度液滴形态以及大规模乳液流变学的关键。众所周知，在临界体积分数 ψc 下，乳液会失去稳定性，并经历乳液中流体成分交换作用的极其快速的过程。这个过程被称为灾难性相转变，在几个方面类似于动态相变，从实验和理论的角度来看仍然广泛难以捉摸。在这项工作中，我们提供了最先进的实验和数值数据来支持动力学系统框架，该框架能够精确地突出系统在接近灾难性相转化时发生的动力学。我们的研究清楚地强调，在高体积分数下，液滴数量开始剧烈波动，导致乳液的流变性和稳定性发生巨大变化。此外，我们表明，在接近临界体积分数时，动力学可以简化为由相关长度的演化控制，在我们的系统中，相关长度由最大液滴的尺寸表示。这种动态共享一个cl</w:t>
      </w:r>
    </w:p>
    <w:p>
      <w:pPr>
        <w:spacing w:before="0" w:after="200" w:lineRule="auto" w:line="276"/>
      </w:pPr>
      <w:r>
        <w:rPr>
          <w:b/>
        </w:rPr>
        <w:t xml:space="preserve">Abstract (EN): </w:t>
      </w:r>
      <w:r>
        <w:t>Dense stabilized emulsions are mixtures of immiscible fluids where the high-volume fraction droplet dispersed phase is stabilized against coalescence by steric interactions. The production of emulsions-a key process in food, cosmetics and chemical industries-involves high-shear flows, elastic and steric interactions, and proceeds thanks to coalescence and breakup of droplets and interfaces. The complex interplay between all these interactions is key in determining both small-scale droplet morphology as well as large-scale emulsion rheology. It is well known that at a critical volume fraction, ϕc, the emulsion loses stability, undergoing an extremely rapid process where the fluid components in the emulsion exchange roles. This process, called catastrophic phase inversion, which resembles in several respects a dynamical phase transition, has remained widely elusive from an experimental and theoretical point of view. In this work, we present state-of-the-art experimental and numerical data to support a dynamical-system framework capable of precisely highlighting the dynamics occurring in the system as it approaches the catastrophic phase inversion. Our study clearly highlights that at high volume fractions, the droplet population starts to fluctuate wildly, leading to dramatic changes in the emulsion’s rheology and stability. Additionally, we show that at approaching the critical volume fractions, the dynamics can be simplified as being controlled by the evolution of a correlation length represented, in our systems, by the size of the largest droplet. This dynamics shares a close connection with non-reciprocal phase transitions where two different physical mechanisms, coalescences and breakups, can get out of balance leading to large non-symmetric periodic excursions in phase space. We clarify the phenomenology observed and quantitatively explain the essential aspects of the highly complex dynamics of flowing stabilized emulsions undergoing catastrophic phase inversion. More generally, our approach sets the basis for the definition and modeling of a vast number of dynamical phase transitions in hydrodynamic systems out-of-equilibrium where the flow, or other advection mechanisms, can enhance both aggregation and breakup of aggregates.</w:t>
      </w:r>
    </w:p>
    <w:p>
      <w:pPr>
        <w:spacing w:before="120" w:after="120"/>
      </w:pPr>
      <w:r>
        <w:rPr>
          <w:sz w:val="18"/>
        </w:rPr>
        <w:t>——————————————————————————————————————————————————————————————————————</w:t>
      </w:r>
    </w:p>
    <w:p>
      <w:pPr>
        <w:spacing w:before="160" w:after="40" w:line="240" w:lineRule="auto"/>
      </w:pPr>
      <w:r>
        <w:rPr>
          <w:b/>
        </w:rPr>
        <w:t xml:space="preserve">[115] </w:t>
      </w:r>
      <w:hyperlink r:id="rId467">
        <w:r>
          <w:rPr>
            <w:color w:val="1155CC"/>
            <w:u w:val="single"/>
          </w:rPr>
          <w:t>自主系统的具体认知驱动的可解释轨迹预测</w:t>
        </w:r>
      </w:hyperlink>
    </w:p>
    <w:p>
      <w:pPr>
        <w:spacing w:before="0" w:after="80"/>
      </w:pPr>
      <w:r>
        <w:rPr>
          <w:i/>
          <w:sz w:val="20"/>
        </w:rPr>
        <w:t>EN: Embodied cognition-driven interpretable trajectory prediction of autonomous systems</w:t>
      </w:r>
    </w:p>
    <w:p>
      <w:pPr>
        <w:spacing w:before="0" w:after="120"/>
      </w:pPr>
      <w:r>
        <w:rPr>
          <w:b/>
        </w:rPr>
        <w:t xml:space="preserve">Source: </w:t>
      </w:r>
      <w:r>
        <w:t>Scientific community and society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为了让自主系统在密集的交通中安全可靠地运行，它们必须通过类人的、可解释的推理来执行轨迹预测。流行的数据驱动的“黑匣子”模型从根本上缺乏这种能力。这项研究提出了向具身智能的范式转变，将认知科学原理统一到分层框架中：用于威胁优先级排序的场景注意机制、用于意图推断的社会影响理论驱动的图表以及符合物理的社会力模型。实验结果表明，与 ETH 和 UCY 上现有的最先进模型相比，我们的框架将平均位移误差降低了 42%，最终位移误差降低了 40%，同时实现了近实时推理（0.003 秒）。至关重要的是，该模型的可解释架构通过风险敏感热图和图形可视化进行验证，揭示了代理如何动态平衡安全、效率和社会文化规范。除了性能提升之外，这项工作还在计算模型和人类认知科学之间构建了一座可解释的桥梁，为值得信赖的自治系统奠定了基础。</w:t>
      </w:r>
    </w:p>
    <w:p>
      <w:pPr>
        <w:spacing w:before="0" w:after="200" w:lineRule="auto" w:line="276"/>
      </w:pPr>
      <w:r>
        <w:rPr>
          <w:b/>
        </w:rPr>
        <w:t xml:space="preserve">Abstract (EN): </w:t>
      </w:r>
      <w:r>
        <w:t>For autonomous systems to operate safely and reliably in dense traffic, they must perform trajectory prediction with human-like, interpretable reasoning. Prevailing data-driven “black-box” models fundamentally lack this capability. This research proposes a paradigm shift toward embodied intelligence, unifying cognitive science principles into a hierarchical framework: a Scene Attention Mechanism for threat prioritization, Social Impact Theory-driven graphs for intent inference, and a physics-compliant Social Force Model. Experimental results demonstrate that our framework reduces average displacement error by 42% and Final Displacement Error by 40% compared to existing state-of-the-art models on ETH and UCY, while enabling near-real-time inference (0.003 s). Crucially, the model’s interpretable architecture, which is validated through risk-sensitive heatmaps and graph visualizations, reveals how agents dynamically balance safety, efficiency, and socio-cultural norms. Beyond performance gains, this work constructs an interpretable bridge between computational models and human cognitive science, laying a foundation for trustworthy autonomous systems.</w:t>
      </w:r>
    </w:p>
    <w:p>
      <w:pPr>
        <w:spacing w:before="120" w:after="120"/>
      </w:pPr>
      <w:r>
        <w:rPr>
          <w:sz w:val="18"/>
        </w:rPr>
        <w:t>——————————————————————————————————————————————————————————————————————</w:t>
      </w:r>
    </w:p>
    <w:p>
      <w:pPr>
        <w:spacing w:before="160" w:after="40" w:line="240" w:lineRule="auto"/>
      </w:pPr>
      <w:r>
        <w:rPr>
          <w:b/>
        </w:rPr>
        <w:t xml:space="preserve">[116] </w:t>
      </w:r>
      <w:hyperlink r:id="rId468">
        <w:r>
          <w:rPr>
            <w:color w:val="1155CC"/>
            <w:u w:val="single"/>
          </w:rPr>
          <w:t>人类特有的 microRNA 控制兴奋性突触发生的时间</w:t>
        </w:r>
      </w:hyperlink>
    </w:p>
    <w:p>
      <w:pPr>
        <w:spacing w:before="0" w:after="80"/>
      </w:pPr>
      <w:r>
        <w:rPr>
          <w:i/>
          <w:sz w:val="20"/>
        </w:rPr>
        <w:t>EN: A human-specific microRNA controls the timing of excitatory synaptogenesis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与非人类灵长类动物相比，人类皮层的神经回路发育时间要长得多，这一特征有助于现代人类卓越的认知能力。在这里，我们探讨了非编码 RNA 在人类诱导多能干细胞衍生神经元突触发育中的调节作用，这些 RNA 在大脑进化过程中急剧扩展。我们发现抑制人类特异性 microRNA miR-1229-3p 会改变人类神经元成熟的轨迹并增强兴奋性突触传递。 miR-1229 敲除后的转录组分析揭示了线粒体 DNA (mtDNA) 编码基因的下调。我们进一步表明，miR-1229 调节线粒体形态、mtDNA 丰度以及线粒体自噬，并且刺激线粒体代谢可以挽救 miR-1229-3p 耗尽的神经元中钙缓冲的减少。因此，miR-1229 直接靶向参与线粒体功能和 ER 相关蛋白稳态的整个基因网络。我们的研究结果揭示了人类特异性 miR-1229-3p 在人类突触发生的发育时间中的重要功能，并且通常暗示非编码 RNA 在人类连接和认知的控制中。</w:t>
      </w:r>
    </w:p>
    <w:p>
      <w:pPr>
        <w:spacing w:before="0" w:after="200" w:lineRule="auto" w:line="276"/>
      </w:pPr>
      <w:r>
        <w:rPr>
          <w:b/>
        </w:rPr>
        <w:t xml:space="preserve">Abstract (EN): </w:t>
      </w:r>
      <w:r>
        <w:t>Neural circuit development in the human cortex is considerably prolonged in comparison to non-human primates, a trait that contributes to the remarkable cognitive capacity of modern humans. Here, we explore the regulatory role of non-coding RNAs, which dramatically expanded during brain evolution, in synapse development of human induced pluripotent stem-cell derived neurons. We found that inhibition of a human-specific microRNA, miR-1229-3p, alters the trajectory of human neuronal maturation and enhances excitatory synaptic transmission. Transcriptome analysis following miR-1229 knockdown revealed a downregulation of mitochondrial DNA (mtDNA) encoded genes. We further show that miR-1229 regulates mitochondrial morphology, mtDNA abundance as well as mitophagy, and that stimulation of mitochondrial metabolism rescues decreased calcium buffering in miR-1229-3p depleted neurons. Accordingly, miR-1229 directly targets an entire network of genes involved in mitochondrial function and ER-associated protein homeostasis. Our findings reveal an important function of human-specific miR-1229-3p in developmental timing of human synaptogenesis and generally implicate non-coding RNAs in the control of human connectivity and cognition.</w:t>
      </w:r>
    </w:p>
    <w:p>
      <w:pPr>
        <w:spacing w:before="120" w:after="120"/>
      </w:pPr>
      <w:r>
        <w:rPr>
          <w:sz w:val="18"/>
        </w:rPr>
        <w:t>——————————————————————————————————————————————————————————————————————</w:t>
      </w:r>
    </w:p>
    <w:p>
      <w:pPr>
        <w:spacing w:before="160" w:after="40" w:line="240" w:lineRule="auto"/>
      </w:pPr>
      <w:r>
        <w:rPr>
          <w:b/>
        </w:rPr>
        <w:t xml:space="preserve">[117] </w:t>
      </w:r>
      <w:hyperlink r:id="rId469">
        <w:r>
          <w:rPr>
            <w:color w:val="1155CC"/>
            <w:u w:val="single"/>
          </w:rPr>
          <w:t>光化学开环反应的时间分辨库仑爆炸成像</w:t>
        </w:r>
      </w:hyperlink>
    </w:p>
    <w:p>
      <w:pPr>
        <w:spacing w:before="0" w:after="80"/>
      </w:pPr>
      <w:r>
        <w:rPr>
          <w:i/>
          <w:sz w:val="20"/>
        </w:rPr>
        <w:t>EN: Time-resolved Coulomb explosion imaging of a photochemical ring opening reaction</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环状有机分子的光诱导开环是从维生素 D 生物合成到分子光学开关等许多光化学过程的基础。尽管几种超快技术取得了进步，但超快核运动的直接和明确的成像仍然是一个重大挑战。因此，即使对于广泛研究的原型系统，反应机制仍然存在争议。在这里，我们展示了时间分辨库仑爆炸成像与分子动力学模拟相结合，可用于识别和绘制紫外光激发后气相呋喃的开环反应，该反应已被报道为广泛相互矛盾的预测和观察。通过直接对瞬态碳骨架结构进行成像，我们揭示了平均大约 70 fs 发生的强开环途径的存在。随着更高重复率激光器的发展，我们预计我们的方法将能够绘制广泛的超快光化学反应。</w:t>
      </w:r>
    </w:p>
    <w:p>
      <w:pPr>
        <w:spacing w:before="0" w:after="200" w:lineRule="auto" w:line="276"/>
      </w:pPr>
      <w:r>
        <w:rPr>
          <w:b/>
        </w:rPr>
        <w:t xml:space="preserve">Abstract (EN): </w:t>
      </w:r>
      <w:r>
        <w:t>Photoinduced ring-opening of cyclic organic molecules is fundamental to many photochemical processes, from vitamin D biosynthesis to molecular optical switching. Despite advances in several ultrafast techniques, direct and unambiguous imaging of the ultrafast nuclear motion is still a major challenge. As a consequence, reaction mechanisms remain controversial even for extensively studied prototypical systems. Here, we show that time-resolved Coulomb explosion imaging, together with molecular dynamics simulation, can be used to identify and map the ring-opening reaction of gas-phase furan following ultraviolet photoexcitation, a reaction for which widely contradicting predictions and observations have been reported. By directly imaging the transient carbon-backbone structure, we reveal the presence of a strong ring-opening pathway that occurs on average at approximately 70 fs. With the development of higher-repetition-rate lasers, we anticipate that our approach will enable mapping of a broad range of ultrafast photochemical reactions.</w:t>
      </w:r>
    </w:p>
    <w:p>
      <w:pPr>
        <w:spacing w:before="120" w:after="120"/>
      </w:pPr>
      <w:r>
        <w:rPr>
          <w:sz w:val="18"/>
        </w:rPr>
        <w:t>——————————————————————————————————————————————————————————————————————</w:t>
      </w:r>
    </w:p>
    <w:p>
      <w:pPr>
        <w:spacing w:before="160" w:after="40" w:line="240" w:lineRule="auto"/>
      </w:pPr>
      <w:r>
        <w:rPr>
          <w:b/>
        </w:rPr>
        <w:t xml:space="preserve">[118] </w:t>
      </w:r>
      <w:hyperlink r:id="rId470">
        <w:r>
          <w:rPr>
            <w:color w:val="1155CC"/>
            <w:u w:val="single"/>
          </w:rPr>
          <w:t>天然橡胶/炭黑复合材料中基于 Calix[6] 芳烃的联锁反硫化胶使网络-界面协同增强</w:t>
        </w:r>
      </w:hyperlink>
    </w:p>
    <w:p>
      <w:pPr>
        <w:spacing w:before="0" w:after="80"/>
      </w:pPr>
      <w:r>
        <w:rPr>
          <w:i/>
          <w:sz w:val="20"/>
        </w:rPr>
        <w:t>EN: Calix[6]arene-Based Interlocked Inverse Vulcanizate Enabling Network–Interface Cooperative Reinforcement in Natural Rubber/Carbon Black Composites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71">
        <w:r>
          <w:rPr>
            <w:color w:val="1155CC"/>
            <w:u w:val="single"/>
          </w:rPr>
          <w:t>10.1021/acsami.6c09322</w:t>
        </w:r>
      </w:hyperlink>
    </w:p>
    <w:p>
      <w:pPr>
        <w:spacing w:before="0" w:after="120"/>
      </w:pPr>
      <w:r>
        <w:rPr>
          <w:b/>
        </w:rPr>
        <w:t xml:space="preserve">Notes: </w:t>
      </w:r>
      <w:r>
        <w:t>abstract_source=pubmed</w:t>
      </w:r>
    </w:p>
    <w:p>
      <w:pPr>
        <w:spacing w:before="0" w:after="80" w:lineRule="auto" w:line="276"/>
      </w:pPr>
      <w:r>
        <w:rPr>
          <w:b/>
        </w:rPr>
        <w:t xml:space="preserve">摘要（ZH）: </w:t>
      </w:r>
      <w:r>
        <w:t>传统的硫磺硫化为不饱和橡胶提供了实用的交联，但难以通过简单且可扩展的策略同时提高抗撕裂性、冲击耐久性、加工稳定性和老化性能。在此，我们报告了一种杯[6]芳烃介导的逆硫化方法，用于设计天然橡胶/炭黑（NR/CB）复合材料的机械互锁多硫化物交联剂。设计了两个大循环系统来阐明界面集成的作用。叔丁基杯[6]芳烃（TBC6）缺乏可聚合基团，形成聚轮烷结构，主要在橡胶-填料界面起作用，增强结合橡胶的形成并实现界面滑动。相比之下，烯丙基官能化的杯[6]芳烃（ATBC6）共价结合到硫化网络中，在本体内部构建可滑动的交联，同时增强橡胶-填料界面耦合。这种协调的网络接口架构可促进有效的应力传递并抑制裂纹扩展。与传统硫化橡胶相比，基于 ATBC6 的复合材料的撕裂强度提高了 140%，断裂韧性提高了 340%，同时具有显着的应变率硬化和改进的能量吸收。此外，稳定的多硫键和酚单元赋予增强的热氧化老化性能。这种可扩展的界面工程策略为高性能弹性体复合材料提供了一条实用途径。</w:t>
      </w:r>
    </w:p>
    <w:p>
      <w:pPr>
        <w:spacing w:before="0" w:after="200" w:lineRule="auto" w:line="276"/>
      </w:pPr>
      <w:r>
        <w:rPr>
          <w:b/>
        </w:rPr>
        <w:t xml:space="preserve">Abstract (EN): </w:t>
      </w:r>
      <w:r>
        <w:t>Conventional sulfur vulcanization provides practical cross-linking for unsaturated rubbers but struggles to simultaneously improve tear resistance, impact durability, processing stability, and aging performance through a simple and scalable strategy. Herein, we report a calix[6]arene-mediated inverse vulcanization approach to engineer mechanically interlocked polysulfide cross-linkers for natural rubber/carbon black (NR/CB) composites. Two macrocyclic systems were designed to clarify the role of the interface integration. Tert-butylcalix[6]arene (TBC6), lacking polymerizable groups, forms polyrotaxane structures that operate primarily at the rubber-filler interface, enhancing bound rubber formation and enabling interfacial sliding. In contrast, allyl-functionalized calix[6]arene (ATBC6) covalently incorporates into the vulcanized network, constructing slidable cross-links within the bulk while simultaneously strengthening rubber-filler interfacial coupling. This coordinated network interface architecture promotes efficient stress transfer and suppresses crack propagation. The ATBC6-based composite exhibits a 140% increase in tear strength and a 340% enhancement in fracture toughness relative to those of conventional vulcanizates, accompanied by pronounced strain-rate hardening and improved energy absorption. Additionally, stable polysulfide linkages and phenolic units impart enhanced thermo-oxidative aging resistance. This scalable interface engineering strategy offers a practical pathway toward high-performance elastomer composites.</w:t>
      </w:r>
    </w:p>
    <w:p>
      <w:pPr>
        <w:spacing w:before="120" w:after="120"/>
      </w:pPr>
      <w:r>
        <w:rPr>
          <w:sz w:val="18"/>
        </w:rPr>
        <w:t>——————————————————————————————————————————————————————————————————————</w:t>
      </w:r>
    </w:p>
    <w:p>
      <w:pPr>
        <w:spacing w:before="160" w:after="40" w:line="240" w:lineRule="auto"/>
      </w:pPr>
      <w:r>
        <w:rPr>
          <w:b/>
        </w:rPr>
        <w:t xml:space="preserve">[119] </w:t>
      </w:r>
      <w:hyperlink r:id="rId472">
        <w:r>
          <w:rPr>
            <w:color w:val="1155CC"/>
            <w:u w:val="single"/>
          </w:rPr>
          <w:t>受墨鱼骨启发的轻质蜂窝材料的程序化低温制造，具有增强的能量吸收能力</w:t>
        </w:r>
      </w:hyperlink>
    </w:p>
    <w:p>
      <w:pPr>
        <w:spacing w:before="0" w:after="80"/>
      </w:pPr>
      <w:r>
        <w:rPr>
          <w:i/>
          <w:sz w:val="20"/>
        </w:rPr>
        <w:t>EN: Programmed cryogenic fabrication of cuttlebone-inspired lightweight cellular materials with enhanced energy absorption</w:t>
      </w:r>
    </w:p>
    <w:p>
      <w:pPr>
        <w:spacing w:before="0" w:after="120"/>
      </w:pPr>
      <w:r>
        <w:rPr>
          <w:b/>
        </w:rPr>
        <w:t xml:space="preserve">Source: </w:t>
      </w:r>
      <w:r>
        <w:t>Physical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具有高能量吸收的轻质工程材料对于各个战略领域至关重要。然而，设计克服密度和能量耗散之间的权衡的多孔材料仍然具有挑战性。受墨鱼骨壁隔膜结构的启发，我们使用简便的逐层冷冻技术开发了一种轻质多孔环氧树脂。所得材料表现出高抗压强度和比能量吸收，在密度为 0.55 g cm−3 时达到 34.5 J g−1。壁-隔膜结构中的多孔壁层之间的致密隔膜增强了针对壁屈曲的结构稳定性，并在压缩期间提供横向限制。这种结构还提高了高应变率冲击强度，与传统的各向同性和单向结构相比，动态比能量吸收分别提高了 190% 和 66%。大尺寸吸能环氧树脂板易于制造，并在高速冲击下表现出冲击防护性能。这项工作为制备具有更高能量吸收效率的轻质蜂窝材料提供了一条实用途径。</w:t>
      </w:r>
    </w:p>
    <w:p>
      <w:pPr>
        <w:spacing w:before="0" w:after="200" w:lineRule="auto" w:line="276"/>
      </w:pPr>
      <w:r>
        <w:rPr>
          <w:b/>
        </w:rPr>
        <w:t xml:space="preserve">Abstract (EN): </w:t>
      </w:r>
      <w:r>
        <w:t>Lightweight engineering materials with high energy absorption are critical for various strategic fields. However, designing cellular materials that overcome the trade-off between density and energy dissipation remains challenging. Inspired by the wall-septum architecture of cuttlebone, we develop a lightweight cellular epoxy resin using a facile layer-by-layer freezing technique. The resulting material exhibits high compressive strength and specific energy absorption, reaching 34.5 J g−1 at a density of 0.55 g cm−3. The dense septa between porous wall layers in the wall-septum structure enhance structural stability against wall buckling and provide lateral confinement during compression. Such architecture also improves high-strain-rate impact strength, achieving 190% and 66% increase in dynamic specific energy absorption compared to conventional isotropic and unidirectional structures, respectively. Large-size energy-absorbing epoxy panels are readily fabricated and demonstrate impact protection performance under high-speed impact. This work provides a practical route to lightweight cellular materials with improved energy absorption efficiency.</w:t>
      </w:r>
    </w:p>
    <w:p>
      <w:pPr>
        <w:spacing w:before="120" w:after="120"/>
      </w:pPr>
      <w:r>
        <w:rPr>
          <w:sz w:val="18"/>
        </w:rPr>
        <w:t>——————————————————————————————————————————————————————————————————————</w:t>
      </w:r>
    </w:p>
    <w:p>
      <w:pPr>
        <w:spacing w:before="160" w:after="40" w:line="240" w:lineRule="auto"/>
      </w:pPr>
      <w:r>
        <w:rPr>
          <w:b/>
        </w:rPr>
        <w:t xml:space="preserve">[120] </w:t>
      </w:r>
      <w:hyperlink r:id="rId473">
        <w:r>
          <w:rPr>
            <w:color w:val="1155CC"/>
            <w:u w:val="single"/>
          </w:rPr>
          <w:t>用于高性能并行储层计算的有机电化学晶体管的可调谐氧化还原动力学</w:t>
        </w:r>
      </w:hyperlink>
    </w:p>
    <w:p>
      <w:pPr>
        <w:spacing w:before="0" w:after="80"/>
      </w:pPr>
      <w:r>
        <w:rPr>
          <w:i/>
          <w:sz w:val="20"/>
        </w:rPr>
        <w:t>EN: Tunable Redox Dynamics of Organic Electrochemical Transistors for High-Performance Parallel Reservoir Computing</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74">
        <w:r>
          <w:rPr>
            <w:color w:val="1155CC"/>
            <w:u w:val="single"/>
          </w:rPr>
          <w:t>10.1021/acsami.6c03640</w:t>
        </w:r>
      </w:hyperlink>
    </w:p>
    <w:p>
      <w:pPr>
        <w:spacing w:before="0" w:after="120"/>
      </w:pPr>
      <w:r>
        <w:rPr>
          <w:b/>
        </w:rPr>
        <w:t xml:space="preserve">Notes: </w:t>
      </w:r>
      <w:r>
        <w:t>abstract_source=pubmed</w:t>
      </w:r>
    </w:p>
    <w:p>
      <w:pPr>
        <w:spacing w:before="0" w:after="80" w:lineRule="auto" w:line="276"/>
      </w:pPr>
      <w:r>
        <w:rPr>
          <w:b/>
        </w:rPr>
        <w:t xml:space="preserve">摘要（ZH）: </w:t>
      </w:r>
      <w:r>
        <w:t>有机电化学晶体管 (OECT) 的性能取决于通道材料传输离子和电子的能力。然而，许多高迁移率有机半导体具有疏水性和离子不可渗透性，这限制了它们的电化学活性。因此，实现可控的氧化还原调节需要复杂的分子设计和多步骤合成，从而阻碍了它们在不同应用中的使用。在此，我们建立了一种简便的半导体混合策略，可以在 OECT 中实现分层氧化还原控制，从而将其推向高性能并行储层计算（RC）。通过将亲水性有机混合离子电子导体 (OMIEC) 集成到疏水性半导体中，所得的相分离微结构保留了用于电荷传输的有序分子堆积，同时控制了取决于成分的离子可及性。这使得按需电化学掺杂动力学能够优化转移特性，克服原始 PBTTT-C14 的电化学不活性问题，并实现高电流、大开/关比 (∼2.3 × 104) 以及改善的循环稳定性。更重要的是，混合 OECT 作为多时间尺度突触节点，通过利用这些不同的松弛动力学，我们通过多时间尺度融合构建了一个并行存储库，与单个 OECT 相比，将 Fashion-MNIST 数据集的准确性提高了 10% 以上。这项工作开创了一种以材料为中心的范例，通过可编程微结构设计新兴的离子电子功能，从而奠定了材料基础</w:t>
      </w:r>
    </w:p>
    <w:p>
      <w:pPr>
        <w:spacing w:before="0" w:after="200" w:lineRule="auto" w:line="276"/>
      </w:pPr>
      <w:r>
        <w:rPr>
          <w:b/>
        </w:rPr>
        <w:t xml:space="preserve">Abstract (EN): </w:t>
      </w:r>
      <w:r>
        <w:t>Organic electrochemical transistor (OECT) performance is determined by the channel material's ability to transport both ions and electrons. However, many high-mobility organic semiconductors are hydrophobic and ion-impermeable, which limits their electrochemical activity. Consequently, achieving controllable redox modulation requires complex molecular design and multistep synthesis, thereby impeding their use in diverse applications. Herein, we establish a facile semiconductor blending strategy that enables hierarchical redox control in OECTs, advancing them toward high-performance parallel reservoir computing (RC). By integrating a hydrophilic organic mixed ionic-electronic conductor (OMIEC) into a hydrophobic semiconductor, the resulting phase-separated microstructure preserves ordered molecular packing for charge transport while governing composition-dependent ion accessibility. This allows on-demand electrochemical doping kinetics to optimize transfer characteristics, overcome the electrochemical inactivity issue of pristine PBTTT-C14, and achieve high current, large on/off ratio (∼2.3 × 104) along with improved cycling stability. More importantly, blended OECTs serve as multitime scale synaptic nodes, and by leveraging these distinct relaxation dynamics, we construct a parallel reservoir via multitime scale fusion, boosting Fashion-MNIST data set accuracy by over 10% compared to a single OECT. This work pioneers a materials-centric paradigm for engineering emergent ion-electron functionalities via programmable microstructures, thereby laying the material foundation for next-generation neuromorphic hardware capable of integrated sensing, memory, and parallel computation.</w:t>
      </w:r>
    </w:p>
    <w:p>
      <w:pPr>
        <w:spacing w:before="120" w:after="120"/>
      </w:pPr>
      <w:r>
        <w:rPr>
          <w:sz w:val="18"/>
        </w:rPr>
        <w:t>——————————————————————————————————————————————————————————————————————</w:t>
      </w:r>
    </w:p>
    <w:p>
      <w:pPr>
        <w:spacing w:before="160" w:after="40" w:line="240" w:lineRule="auto"/>
      </w:pPr>
      <w:r>
        <w:rPr>
          <w:b/>
        </w:rPr>
        <w:t xml:space="preserve">[121] </w:t>
      </w:r>
      <w:hyperlink r:id="rId475">
        <w:r>
          <w:rPr>
            <w:color w:val="1155CC"/>
            <w:u w:val="single"/>
          </w:rPr>
          <w:t>高度有序的金纳米球阵列诱导可编程细胞方向</w:t>
        </w:r>
      </w:hyperlink>
    </w:p>
    <w:p>
      <w:pPr>
        <w:spacing w:before="0" w:after="80"/>
      </w:pPr>
      <w:r>
        <w:rPr>
          <w:i/>
          <w:sz w:val="20"/>
        </w:rPr>
        <w:t>EN: Programmable Cell Orientation Induced by Highly Ordered Gold Nanosphere Arrays</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76">
        <w:r>
          <w:rPr>
            <w:color w:val="1155CC"/>
            <w:u w:val="single"/>
          </w:rPr>
          <w:t>10.1021/acsami.6c08528</w:t>
        </w:r>
      </w:hyperlink>
    </w:p>
    <w:p>
      <w:pPr>
        <w:spacing w:before="0" w:after="120"/>
      </w:pPr>
      <w:r>
        <w:rPr>
          <w:b/>
        </w:rPr>
        <w:t xml:space="preserve">Notes: </w:t>
      </w:r>
      <w:r>
        <w:t>abstract_source=pubmed</w:t>
      </w:r>
    </w:p>
    <w:p>
      <w:pPr>
        <w:spacing w:before="0" w:after="80" w:lineRule="auto" w:line="276"/>
      </w:pPr>
      <w:r>
        <w:rPr>
          <w:b/>
        </w:rPr>
        <w:t xml:space="preserve">摘要（ZH）: </w:t>
      </w:r>
      <w:r>
        <w:t>细胞定向对于许多天然组织的形成和功能至关重要，在组织工程和再生中发挥着关键作用。在这里，在褶皱的聚二甲基硅氧烷基底上制造了由高度有序的金纳米球（AuNS）线性组装组成的各向异性表面纳米结构，以指导细胞排列。 AuNS 线性组件提供纳米形貌线索，诱导 RSC96 雪旺细胞沿着 AuNS 链显着伸长和定向排列，从而超越潜在皱纹形貌的引导效应。免疫荧光分析进一步揭示，这种引导效应与粘着斑的定向组织和张力依赖性机械转导有关，涉及肌球蛋白 II 介导的细胞骨架重组。这种细胞引导效应也在多种细胞类型中观察到，包括 L929 成纤维细胞、HeLa 细胞和骨髓间充质干细胞，证明了其在多种细胞类型中的广泛适用性。此外，图案化的 AuNS 组件可以实现对细胞排列和迁移的可编程控制。这种由 AuNS 线性组件实现的表面纳米结构为操纵细胞结构和推进组织工程和再生医学提供了潜在的策略。</w:t>
      </w:r>
    </w:p>
    <w:p>
      <w:pPr>
        <w:spacing w:before="0" w:after="200" w:lineRule="auto" w:line="276"/>
      </w:pPr>
      <w:r>
        <w:rPr>
          <w:b/>
        </w:rPr>
        <w:t xml:space="preserve">Abstract (EN): </w:t>
      </w:r>
      <w:r>
        <w:t>Cellular orientation is critical for the formation and functionality of many native tissues, which plays a pivotal role in tissue engineering and regeneration. Here, an anisotropic surface nanostructure composed of highly ordered linear assemblies of gold nanospheres (AuNSs) on wrinkled polydimethylsiloxane substrates is fabricated to direct cell alignment. The AuNS linear assemblies provide nanotopographical cues that induce pronounced elongation and directional alignment of RSC96 Schwann cells along the AuNS chains, overriding the guidance effect of the underlying wrinkle topography. Immunofluorescence analysis further reveals that this guidance effect is associated with the directional organization of focal adhesions and tension-dependent mechanotransduction, involving myosin II-mediated cytoskeletal reorganization. This cell-guidance effect is also observed across multiple cell types, including L929 fibroblasts, HeLa cells, and bone marrow mesenchymal stem cells, demonstrating broad applicability across multiple cell types. Furthermore, the patterned AuNS assemblies could enable programmable control over cell alignment and migration. This surface nanostructure achieved by AuNS linear assemblies provides a potential strategy for manipulating cellular architecture and advancing the tissue engineering and regenerative medicine.</w:t>
      </w:r>
    </w:p>
    <w:p>
      <w:pPr>
        <w:spacing w:before="120" w:after="120"/>
      </w:pPr>
      <w:r>
        <w:rPr>
          <w:sz w:val="18"/>
        </w:rPr>
        <w:t>——————————————————————————————————————————————————————————————————————</w:t>
      </w:r>
    </w:p>
    <w:p>
      <w:pPr>
        <w:spacing w:before="160" w:after="40" w:line="240" w:lineRule="auto"/>
      </w:pPr>
      <w:r>
        <w:rPr>
          <w:b/>
        </w:rPr>
        <w:t xml:space="preserve">[122] </w:t>
      </w:r>
      <w:hyperlink r:id="rId477">
        <w:r>
          <w:rPr>
            <w:color w:val="1155CC"/>
            <w:u w:val="single"/>
          </w:rPr>
          <w:t>小麦串联激酶 WTK4 中的 HMA 样整合域可识别 RNase 样病原体效应子</w:t>
        </w:r>
      </w:hyperlink>
    </w:p>
    <w:p>
      <w:pPr>
        <w:spacing w:before="0" w:after="80"/>
      </w:pPr>
      <w:r>
        <w:rPr>
          <w:i/>
          <w:sz w:val="20"/>
        </w:rPr>
        <w:t>EN: An HMA-like integrated domain in the wheat tandem kinase WTK4 recognises an RNase-like pathogen effector</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具有串联激酶结构的蛋白质最近已成为谷类作物种族特异性抗性的参与者。然而，由于缺乏对这些免疫受体识别的病原体效应子的了解，对这些免疫受体抵抗机制的分子理解受到限制。在这项工作中，我们通过双亲遗传图谱和诱变的结合，鉴定了 AvrWTK4，即由小麦串联激酶蛋白 WTK4 识别的小麦白粉病 RNase 样效应子。我们证明 AvrWTK4 基因的突变或其表达的减少会导致 WTK4 的毒力。 AvrWTK4 的转染特异性诱导表达 WTK4 的节节山羊草原生质体中的细胞死亡。无毒 AvrWTK4 变体与 WTK4 N 端重金属相关 (HMA) 样结构域的相互作用比强毒变体更强。我们发现集成的 HMA 样结构域可能作为 WTK4 的直接效应器结合诱饵，为串联激酶蛋白的效应器识别提供了机制范例。</w:t>
      </w:r>
    </w:p>
    <w:p>
      <w:pPr>
        <w:spacing w:before="0" w:after="200" w:lineRule="auto" w:line="276"/>
      </w:pPr>
      <w:r>
        <w:rPr>
          <w:b/>
        </w:rPr>
        <w:t xml:space="preserve">Abstract (EN): </w:t>
      </w:r>
      <w:r>
        <w:t>Proteins with a tandem kinase structure have recently emerged as players in race-specific resistance in cereal crops. However, the molecular understanding of these immune receptors’ resistance mechanisms is limited by the lack of knowledge about the pathogen effectors that they recognise. In this work, we identify AvrWTK4, the wheat powdery mildew RNase-like effector recognised by the wheat tandem kinase protein WTK4, through a combination of bi-parental genetic mapping and mutagenesis. We demonstrate that mutations in the AvrWTK4 gene or a reduction of its expression lead to virulence on WTK4. Transfection of AvrWTK4 specifically induced cell death in WTK4-expressing Aegilops tauschii protoplasts. The avirulent AvrWTK4 variant interacts more strongly than the virulent variant with the N-terminal heavy metal-associated (HMA)-like domain of WTK4. We found that the integrated HMA-like domain possibly serves as a direct effector-binding decoy for WTK4, providing a mechanistic paradigm for effector recognition by tandem kinase proteins.</w:t>
      </w:r>
    </w:p>
    <w:p>
      <w:pPr>
        <w:spacing w:before="120" w:after="120"/>
      </w:pPr>
      <w:r>
        <w:rPr>
          <w:sz w:val="18"/>
        </w:rPr>
        <w:t>——————————————————————————————————————————————————————————————————————</w:t>
      </w:r>
    </w:p>
    <w:p>
      <w:pPr>
        <w:spacing w:before="160" w:after="40" w:line="240" w:lineRule="auto"/>
      </w:pPr>
      <w:r>
        <w:rPr>
          <w:b/>
        </w:rPr>
        <w:t xml:space="preserve">[123] </w:t>
      </w:r>
      <w:hyperlink r:id="rId478">
        <w:r>
          <w:rPr>
            <w:color w:val="1155CC"/>
            <w:u w:val="single"/>
          </w:rPr>
          <w:t>人工智能和机器学习在精准营养中的应用</w:t>
        </w:r>
      </w:hyperlink>
    </w:p>
    <w:p>
      <w:pPr>
        <w:spacing w:before="0" w:after="80"/>
      </w:pPr>
      <w:r>
        <w:rPr>
          <w:i/>
          <w:sz w:val="20"/>
        </w:rPr>
        <w:t>EN: Applying Artificial Intelligence and machine learning in precision nutrition</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精准营养与健康方法的一个关键特征是能够利用大规模生物库和队列的多模式数据根据个体差异定制干预措施。人工智能 (AI) 和机器学习 (ML) 模型为复杂数据建模提供了新的潜力，但仍然受到与数据质量、可解释性、验证和因果推理相关的挑战的限制。本视角综合了 PN 中当前的 AI/ML 方法，阐明了它们与多组学和营养数据的独特特征之间的相互作用，例如成分、情景、上下文相关和容易出错，并描述了特定于营养的最佳实践，以在研究和实践中实现稳健、可解释和临床可操作的 AI 集成。</w:t>
      </w:r>
    </w:p>
    <w:p>
      <w:pPr>
        <w:spacing w:before="0" w:after="200" w:lineRule="auto" w:line="276"/>
      </w:pPr>
      <w:r>
        <w:rPr>
          <w:b/>
        </w:rPr>
        <w:t xml:space="preserve">Abstract (EN): </w:t>
      </w:r>
      <w:r>
        <w:t>A key feature of the Precision Nutrition and Health approach is the ability to tailor interventions to individual variability using multimodal data from large-scale biobanks and cohorts. Artificial intelligence (AI) and machine learning (ML) models offer new potential to model complex data but remain constrained by challenges related to data quality, interpretability, validation, and causal inference. This Perspective synthesizes current AI/ML methodologies in PN, elucidates their interplay with the distinctive features of multi-omic and nutritional data, such as being compositional, episodic, context-dependent, and error-prone, and delineates nutrition-specific best practices for achieving robust, interpretable, and clinically actionable AI integration in research and practice.</w:t>
      </w:r>
    </w:p>
    <w:p>
      <w:pPr>
        <w:spacing w:before="120" w:after="120"/>
      </w:pPr>
      <w:r>
        <w:rPr>
          <w:sz w:val="18"/>
        </w:rPr>
        <w:t>——————————————————————————————————————————————————————————————————————</w:t>
      </w:r>
    </w:p>
    <w:p>
      <w:pPr>
        <w:spacing w:before="160" w:after="40" w:line="240" w:lineRule="auto"/>
      </w:pPr>
      <w:r>
        <w:rPr>
          <w:b/>
        </w:rPr>
        <w:t xml:space="preserve">[124] </w:t>
      </w:r>
      <w:hyperlink r:id="rId479">
        <w:r>
          <w:rPr>
            <w:color w:val="1155CC"/>
            <w:u w:val="single"/>
          </w:rPr>
          <w:t>FLOWR.ROOT – 基于流匹配的基础模型，用于联合多用途结构感知 3D 配体生成和亲和力预测</w:t>
        </w:r>
      </w:hyperlink>
    </w:p>
    <w:p>
      <w:pPr>
        <w:spacing w:before="0" w:after="80"/>
      </w:pPr>
      <w:r>
        <w:rPr>
          <w:i/>
          <w:sz w:val="20"/>
        </w:rPr>
        <w:t>EN: FLOWR.ROOT – A flow matching-based foundation model for joint multi-purpose structure-aware 3D ligand generation and affinity prediction</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我们提出了 FLOWR.ROOT，一种 SE(3) 等变流匹配基础模型，它将口袋感知 3D 配体生成与多端点结合亲和力预测（pIC50、pKi、pKd、pEC50）和基于 pLDDT 的置信度估计统一在单个主干中。一种训练有素的模型支持从头口袋条件生成、相互作用和药效基团条件采样、支架跳跃和精加工以及片段生长或替换，通过混合各向同性-各向异性预先放置策略实现。训练分三个阶段进行：对数十亿个配体构象和数百万个混合保真度蛋白质-配体复合物进行大规模预训练，对策划的共晶数据进行细化，以及通过参数高效的 LoRA 微调进行项目特定的适应。联合结构亲和力建模可以为单目标和多目标设计提供推理时间重要性采样指导，而无需外部评分函数。关于激酶选择性 (CK2α/CLK3) 的案例研究以及 TYK2、ERα 和 BACE1 的支架阐述说明了从命中识别到先导化合物优化的实用性。</w:t>
      </w:r>
    </w:p>
    <w:p>
      <w:pPr>
        <w:spacing w:before="0" w:after="200" w:lineRule="auto" w:line="276"/>
      </w:pPr>
      <w:r>
        <w:rPr>
          <w:b/>
        </w:rPr>
        <w:t xml:space="preserve">Abstract (EN): </w:t>
      </w:r>
      <w:r>
        <w:t>We present FLOWR.ROOT, an SE(3)-equivariant flow-matching foundation model that unifies pocket-aware 3D ligand generation with multi-endpoint binding affinity prediction (pIC50, pKi, pKd, pEC50) and pLDDT-based confidence estimation in a single backbone. One trained model supports de novo pocket-conditional generation, interaction- and pharmacophore-conditional sampling, scaffold hopping and elaboration, and fragment growing or replacement, enabled by a mixed isotropic–anisotropic prior placement strategy. Training proceeds in three stages: large-scale pre-training on billions of ligand conformations and millions of mixed-fidelity protein–ligand complexes, refinement on curated co-crystal data, and project-specific adaptation via parameter-efficient LoRA finetuning. Joint structure–affinity modelling enables inference-time importance-sampling guidance for single- and multi-objective design without external scoring functions. Case studies on kinase selectivity (CK2α/CLK3) and scaffold elaboration on TYK2, ERα, and BACE1 illustrate utility from hit identification through lead optimization.</w:t>
      </w:r>
    </w:p>
    <w:p>
      <w:pPr>
        <w:spacing w:before="120" w:after="120"/>
      </w:pPr>
      <w:r>
        <w:rPr>
          <w:sz w:val="18"/>
        </w:rPr>
        <w:t>——————————————————————————————————————————————————————————————————————</w:t>
      </w:r>
    </w:p>
    <w:p>
      <w:pPr>
        <w:spacing w:before="160" w:after="40" w:line="240" w:lineRule="auto"/>
      </w:pPr>
      <w:r>
        <w:rPr>
          <w:b/>
        </w:rPr>
        <w:t xml:space="preserve">[125] </w:t>
      </w:r>
      <w:hyperlink r:id="rId480">
        <w:r>
          <w:rPr>
            <w:color w:val="1155CC"/>
            <w:u w:val="single"/>
          </w:rPr>
          <w:t>设计体外模型来复制慢性伤口的复杂性</w:t>
        </w:r>
      </w:hyperlink>
    </w:p>
    <w:p>
      <w:pPr>
        <w:spacing w:before="0" w:after="80"/>
      </w:pPr>
      <w:r>
        <w:rPr>
          <w:i/>
          <w:sz w:val="20"/>
        </w:rPr>
        <w:t>EN: Engineering in vitro models to replicate the complexity of chronic wounds</w:t>
      </w:r>
    </w:p>
    <w:p>
      <w:pPr>
        <w:spacing w:before="0" w:after="120"/>
      </w:pPr>
      <w:r>
        <w:rPr>
          <w:b/>
        </w:rPr>
        <w:t xml:space="preserve">Source: </w:t>
      </w:r>
      <w:r>
        <w:t>Biological sciences : Nature Communications subject feeds</w:t>
      </w:r>
      <w:r>
        <w:t xml:space="preserve">    </w:t>
      </w:r>
      <w:r>
        <w:rPr>
          <w:b/>
        </w:rPr>
        <w:t xml:space="preserve">Pub date: </w:t>
      </w:r>
      <w:r>
        <w:t>2026-07-06 00:00:00+00:00</w:t>
      </w:r>
    </w:p>
    <w:p>
      <w:pPr>
        <w:spacing w:before="0" w:after="120"/>
      </w:pPr>
      <w:r>
        <w:rPr>
          <w:b/>
        </w:rPr>
        <w:t xml:space="preserve">Notes: </w:t>
      </w:r>
      <w:r>
        <w:t>abstract_source=nature_html</w:t>
      </w:r>
    </w:p>
    <w:p>
      <w:pPr>
        <w:spacing w:before="0" w:after="80" w:lineRule="auto" w:line="276"/>
      </w:pPr>
      <w:r>
        <w:rPr>
          <w:b/>
        </w:rPr>
        <w:t xml:space="preserve">摘要（ZH）: </w:t>
      </w:r>
      <w:r>
        <w:t>慢性伤口是由持续炎症、蛋白水解失衡、微生物定植和组织再生受损引起的主要临床挑战。本综述严格审查了慢性伤口研究中使用的 2D 和 3D 体外模型，评估了它们重现腿部静脉溃疡、糖尿病足溃疡和压疮慢性病的能力。当前的系统缺乏重现非愈合表型的关键特征所需的生化复杂性。基于定量的临床伤口渗出液数据，我们提出了一个特征驱动的、病因学分层的框架，为体外模型和慢性伤口模拟介质提供模块化设计考虑。</w:t>
      </w:r>
    </w:p>
    <w:p>
      <w:pPr>
        <w:spacing w:before="0" w:after="200" w:lineRule="auto" w:line="276"/>
      </w:pPr>
      <w:r>
        <w:rPr>
          <w:b/>
        </w:rPr>
        <w:t xml:space="preserve">Abstract (EN): </w:t>
      </w:r>
      <w:r>
        <w:t>Chronic wounds represent a major clinical challenge driven by sustained inflammation, proteolytic imbalance, microbial colonisation, and impaired tissue regeneration. This review critically examines 2D and 3D in vitro models used in chronic wound research, evaluating their capacity to recapitulate chronicity across venous leg ulcers, diabetic foot ulcers, and pressure ulcers. Current systems lack the biochemical complexity required to reproduce key features of the non-healing phenotype. Building on quantitative clinical wound exudate data, we propose a feature-driven, aetiology-stratified framework that provides modular design considerations for in vitro models and chronic wound simulating media.</w:t>
      </w:r>
    </w:p>
    <w:p>
      <w:pPr>
        <w:spacing w:before="120" w:after="120"/>
      </w:pPr>
      <w:r>
        <w:rPr>
          <w:sz w:val="18"/>
        </w:rPr>
        <w:t>——————————————————————————————————————————————————————————————————————</w:t>
      </w:r>
    </w:p>
    <w:p>
      <w:pPr>
        <w:spacing w:before="160" w:after="40" w:line="240" w:lineRule="auto"/>
      </w:pPr>
      <w:r>
        <w:rPr>
          <w:b/>
        </w:rPr>
        <w:t xml:space="preserve">[126] </w:t>
      </w:r>
      <w:hyperlink r:id="rId481">
        <w:r>
          <w:rPr>
            <w:color w:val="1155CC"/>
            <w:u w:val="single"/>
          </w:rPr>
          <w:t>液滴微流体使线粒体从年轻的间充质干细胞转移到衰老的间充质干细胞以改善细胞衰老</w:t>
        </w:r>
      </w:hyperlink>
    </w:p>
    <w:p>
      <w:pPr>
        <w:spacing w:before="0" w:after="80"/>
      </w:pPr>
      <w:r>
        <w:rPr>
          <w:i/>
          <w:sz w:val="20"/>
        </w:rPr>
        <w:t>EN: Droplet Microfluidics-Enabled Mitochondrial Transfer from Young to Senescent MSCs to Ameliorate Cellular Senescence</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82">
        <w:r>
          <w:rPr>
            <w:color w:val="1155CC"/>
            <w:u w:val="single"/>
          </w:rPr>
          <w:t>10.1021/acsami.6c05873</w:t>
        </w:r>
      </w:hyperlink>
    </w:p>
    <w:p>
      <w:pPr>
        <w:spacing w:before="0" w:after="120"/>
      </w:pPr>
      <w:r>
        <w:rPr>
          <w:b/>
        </w:rPr>
        <w:t xml:space="preserve">Notes: </w:t>
      </w:r>
      <w:r>
        <w:t>abstract_source=pubmed</w:t>
      </w:r>
    </w:p>
    <w:p>
      <w:pPr>
        <w:spacing w:before="0" w:after="80" w:lineRule="auto" w:line="276"/>
      </w:pPr>
      <w:r>
        <w:rPr>
          <w:b/>
        </w:rPr>
        <w:t xml:space="preserve">摘要（ZH）: </w:t>
      </w:r>
      <w:r>
        <w:t>间充质干细胞（MSC）广泛用于组织修复和再生，但长时间的体外扩增会诱导衰老并限制其治疗效果。鉴于线粒体在细胞衰老和代谢调节中的关键作用，线粒体转移可能为改善衰老相关表型提供一种有前景的策略。然而，传统的线粒体转移方法，如共培养和显微注射，受到定量控制差、通量低和潜在细胞损伤的限制。在此，开发了惯性聚焦辅助液滴微流控平台，用于在单细胞水平上高通量、高效、定量地控制线粒体转移。该平台实现了 29.2% 的单细胞液滴和 1.3% 的多细胞液滴，在超过 4000 Hz 的液滴生成速率下，传输效率高达 56%。利用该平台，将19个线粒体从年轻的脂肪源性间充质干细胞（ADSCs）转移到衰老的ADSCs，增强了增殖能力和代谢活性，减少了衰老相关标志物，并将衰老表型转化为年轻的MSC样表型。所开发的技术为线粒体相关疾病提供了细胞治疗策略。</w:t>
      </w:r>
    </w:p>
    <w:p>
      <w:pPr>
        <w:spacing w:before="0" w:after="200" w:lineRule="auto" w:line="276"/>
      </w:pPr>
      <w:r>
        <w:rPr>
          <w:b/>
        </w:rPr>
        <w:t xml:space="preserve">Abstract (EN): </w:t>
      </w:r>
      <w:r>
        <w:t>Mesenchymal stem cells (MSCs) are widely used for tissue repair and regeneration, but prolonged in vitro expansion induces senescence and limits their therapeutic efficacy. Given the key role of mitochondria in cellular senescence and metabolic regulation, mitochondrial transfer may offer a promising strategy for ameliorating senescence-associated phenotypes. However, conventional mitochondrial transfer methods, such as coculture and microinjection, are limited by poor quantitative control, low throughput, and potential cell damage. Here, an inertial-focusing-assisted droplet microfluidic platform was developed for high-throughput, high-efficiency, and quantitative control of mitochondrial transfer at the single-cell level. The platform achieved 29.2% single-cell droplets and 1.3% multicell droplets, with a transfer efficiency of up to 56% at a droplet generation rate exceeding 4000 Hz. Using this platform, the transfer of 19 mitochondria from young adipose-derived MSCs (ADSCs) to senescent ADSCs enhanced proliferation capacity and metabolic activities, reduced senescence-associated markers, and transformed the senescent phenotype into a young MSC-like phenotype. The developed technique provides a cell therapy strategy for mitochondrial-related diseases.</w:t>
      </w:r>
    </w:p>
    <w:p>
      <w:pPr>
        <w:spacing w:before="120" w:after="120"/>
      </w:pPr>
      <w:r>
        <w:rPr>
          <w:sz w:val="18"/>
        </w:rPr>
        <w:t>——————————————————————————————————————————————————————————————————————</w:t>
      </w:r>
    </w:p>
    <w:p>
      <w:pPr>
        <w:spacing w:before="160" w:after="40" w:line="240" w:lineRule="auto"/>
      </w:pPr>
      <w:r>
        <w:rPr>
          <w:b/>
        </w:rPr>
        <w:t xml:space="preserve">[127] </w:t>
      </w:r>
      <w:hyperlink r:id="rId483">
        <w:r>
          <w:rPr>
            <w:color w:val="1155CC"/>
            <w:u w:val="single"/>
          </w:rPr>
          <w:t>氮掺杂无定形碳作为原子级薄单片膜</w:t>
        </w:r>
      </w:hyperlink>
    </w:p>
    <w:p>
      <w:pPr>
        <w:spacing w:before="0" w:after="80"/>
      </w:pPr>
      <w:r>
        <w:rPr>
          <w:i/>
          <w:sz w:val="20"/>
        </w:rPr>
        <w:t>EN: Nitrogen-doped amorphous carbon as atomically thin monolithic membrane</w:t>
      </w:r>
    </w:p>
    <w:p>
      <w:pPr>
        <w:spacing w:before="0" w:after="120"/>
      </w:pPr>
      <w:r>
        <w:rPr>
          <w:b/>
        </w:rPr>
        <w:t xml:space="preserve">Source: </w:t>
      </w:r>
      <w:r>
        <w:t>Matter</w:t>
      </w:r>
      <w:r>
        <w:t xml:space="preserve">    </w:t>
      </w:r>
      <w:r>
        <w:rPr>
          <w:b/>
        </w:rPr>
        <w:t xml:space="preserve">Pub date: </w:t>
      </w:r>
      <w:r>
        <w:t>2026-07-06 00:00:00+00:00</w:t>
      </w:r>
      <w:r>
        <w:t xml:space="preserve">    </w:t>
      </w:r>
      <w:r>
        <w:rPr>
          <w:b/>
        </w:rPr>
        <w:t xml:space="preserve">DOI: </w:t>
      </w:r>
      <w:hyperlink r:id="rId484">
        <w:r>
          <w:rPr>
            <w:color w:val="1155CC"/>
            <w:u w:val="single"/>
          </w:rPr>
          <w:t>10.1016/j.matt.2026.102911</w:t>
        </w:r>
      </w:hyperlink>
    </w:p>
    <w:p>
      <w:pPr>
        <w:spacing w:before="0" w:after="120"/>
      </w:pPr>
      <w:r>
        <w:rPr>
          <w:b/>
        </w:rPr>
        <w:t xml:space="preserve">Notes: </w:t>
      </w:r>
      <w:r>
        <w:t>abstract_source=rss_cell</w:t>
      </w:r>
    </w:p>
    <w:p>
      <w:pPr>
        <w:spacing w:before="0" w:after="80" w:lineRule="auto" w:line="276"/>
      </w:pPr>
      <w:r>
        <w:rPr>
          <w:b/>
        </w:rPr>
        <w:t xml:space="preserve">摘要（ZH）: </w:t>
      </w:r>
      <w:r>
        <w:t>原子薄非晶材料结合了二维几何和结构无序的优点。在这里，我们报告了一种远程等离子体辅助方法来合成厚度从亚1纳米到几纳米连续可调的氮掺杂非晶碳（NDAC）膜，并展示了其在电子传输和铜扩散势垒领域的应用前景。这项工作使 NDAC 成为需要极高厚度、连续性和各向同性的下一代电子和阻隔涂层的候选材料。</w:t>
      </w:r>
    </w:p>
    <w:p>
      <w:pPr>
        <w:spacing w:before="0" w:after="200" w:lineRule="auto" w:line="276"/>
      </w:pPr>
      <w:r>
        <w:rPr>
          <w:b/>
        </w:rPr>
        <w:t xml:space="preserve">Abstract (EN): </w:t>
      </w:r>
      <w:r>
        <w:t>Atomically thin amorphous materials combine the benefits of two-dimensional geometry and structural disorder. Here, we report a remote plasma-assisted method to synthesize nitrogen-doped amorphous carbon (NDAC) membranes with continuously tunable thickness from sub-1 nm to several nanometers and demonstrate its application prospects in electron transmission and copper diffusion barrier fields. This work enables NDAC as a candidate for next-generation electronics and barrier coatings requiring extreme thickness, continuity, and isotropy.</w:t>
      </w:r>
    </w:p>
    <w:p>
      <w:pPr>
        <w:spacing w:before="120" w:after="120"/>
      </w:pPr>
      <w:r>
        <w:rPr>
          <w:sz w:val="18"/>
        </w:rPr>
        <w:t>——————————————————————————————————————————————————————————————————————</w:t>
      </w:r>
    </w:p>
    <w:p>
      <w:pPr>
        <w:spacing w:before="160" w:after="40" w:line="240" w:lineRule="auto"/>
      </w:pPr>
      <w:r>
        <w:rPr>
          <w:b/>
        </w:rPr>
        <w:t xml:space="preserve">[128] </w:t>
      </w:r>
      <w:hyperlink r:id="rId485">
        <w:r>
          <w:rPr>
            <w:color w:val="1155CC"/>
            <w:u w:val="single"/>
          </w:rPr>
          <w:t>高速原子力显微镜揭示适体介导的 METTL3–METTL14 构象捕获以抑制 m 6 A</w:t>
        </w:r>
      </w:hyperlink>
    </w:p>
    <w:p>
      <w:pPr>
        <w:spacing w:before="0" w:after="80"/>
      </w:pPr>
      <w:r>
        <w:rPr>
          <w:i/>
          <w:sz w:val="20"/>
        </w:rPr>
        <w:t>EN: High-Speed Atomic Force Microscopy Reveals Aptamer-Mediated Conformational Trapping of METTL3–METTL14 for m 6 A Inhibition</w:t>
      </w:r>
    </w:p>
    <w:p>
      <w:pPr>
        <w:spacing w:before="0" w:after="120"/>
      </w:pPr>
      <w:r>
        <w:rPr>
          <w:b/>
        </w:rPr>
        <w:t xml:space="preserve">Source: </w:t>
      </w:r>
      <w:r>
        <w:t>ACS Applied Materials &amp; Interfaces: Latest Articles (ACS Publications)</w:t>
      </w:r>
      <w:r>
        <w:t xml:space="preserve">    </w:t>
      </w:r>
      <w:r>
        <w:rPr>
          <w:b/>
        </w:rPr>
        <w:t xml:space="preserve">Pub date: </w:t>
      </w:r>
      <w:r>
        <w:t>2026-07-06 00:00:00+00:00</w:t>
      </w:r>
      <w:r>
        <w:t xml:space="preserve">    </w:t>
      </w:r>
      <w:r>
        <w:rPr>
          <w:b/>
        </w:rPr>
        <w:t xml:space="preserve">DOI: </w:t>
      </w:r>
      <w:hyperlink r:id="rId486">
        <w:r>
          <w:rPr>
            <w:color w:val="1155CC"/>
            <w:u w:val="single"/>
          </w:rPr>
          <w:t>10.1021/acsami.6c04789</w:t>
        </w:r>
      </w:hyperlink>
    </w:p>
    <w:p>
      <w:pPr>
        <w:spacing w:before="0" w:after="120"/>
      </w:pPr>
      <w:r>
        <w:rPr>
          <w:b/>
        </w:rPr>
        <w:t xml:space="preserve">Notes: </w:t>
      </w:r>
      <w:r>
        <w:t>abstract_source=pubmed</w:t>
      </w:r>
    </w:p>
    <w:p>
      <w:pPr>
        <w:spacing w:before="0" w:after="80" w:lineRule="auto" w:line="276"/>
      </w:pPr>
      <w:r>
        <w:rPr>
          <w:b/>
        </w:rPr>
        <w:t xml:space="preserve">摘要（ZH）: </w:t>
      </w:r>
      <w:r>
        <w:t>METTL3-METTL14 (M3/M14) 异二聚体是 N6-甲基腺苷 (m6A) 沉积的催化核心，其构象动力学在很大程度上仍未得到探索，限制了对催化动态调节和癌症治疗靶向机会的深入了解。在这里，我们报告了通过高速原子力显微镜 (HS-AFM) 首次对 M3/M14 动力学进行单分子可视化。我们的测量表明，底物 RNA 结合诱导从具有开放叶间凹槽的刚性载脂蛋白异二聚体到紧凑的催化活性状态的构象转变。在这些动态见解的指导下，我们使用竞争性体外选择策略，确定了 M3/M14、M3B 和 M3L 两种有效的 DNA 适体抑制剂。 HS-AFM 与分子对接相结合表明，两个适体均插入 M3/M14 界面，形成三明治样复合物，稳定扭曲的开放构象并防止 RNA 诱导的压缩。这种构象捕获抑制甲基转移酶活性，降低整体 m6A 水平，并抑制 A549 肺癌细胞的生长。这些发现定义了 m6A writer 复合物的动态调节、叶间可靶向状态，并证明了 HS-AFM 在揭示动态调节机制和指导表观转录组生物学中构象靶向疗法的开发方面的实用性。</w:t>
      </w:r>
    </w:p>
    <w:p>
      <w:pPr>
        <w:spacing w:before="0" w:after="200" w:lineRule="auto" w:line="276"/>
      </w:pPr>
      <w:r>
        <w:rPr>
          <w:b/>
        </w:rPr>
        <w:t xml:space="preserve">Abstract (EN): </w:t>
      </w:r>
      <w:r>
        <w:t>The conformational dynamics of METTL3-METTL14 (M3/M14) heterodimer, the catalytic core for N6-methyladenosine (m6A) deposition, remain largely unexplored, limiting insight into dynamic regulation of catalysis and opportunities for therapeutic targeting in cancer. Here, we report the first single-molecule visualization of M3/M14 dynamics by high-speed atomic force microscopy (HS-AFM). Our measurements show that substrate RNA binding induces a conformational transition from a rigid apo heterodimer with an open interlobe groove to a compact, catalytically competent state. Guided by these dynamic insights, we identify two potent DNA aptamer inhibitors of M3/M14, M3B, and M3L, using a competitive in vitro selection strategy. HS-AFM integrated with molecular docking reveals that both aptamers insert into the M3/M14 interface, forming a sandwich-like complex that stabilizes a distorted, open conformation and prevents RNA-induced compaction. This conformational trapping inhibits methyltransferase activity, reduces global m6A levels, and suppresses A549 lung cancer cell growth. These findings define a dynamically regulated, interlobe targetable state of the m6A writer complex and demonstrate the utility of HS-AFM for uncovering dynamic regulatory mechanisms and guiding the development of conformationally targeted therapeutics in epitranscriptomic biology.</w:t>
      </w:r>
    </w:p>
    <w:p>
      <w:pPr>
        <w:spacing w:before="120" w:after="120"/>
      </w:pPr>
      <w:r>
        <w:rPr>
          <w:sz w:val="18"/>
        </w:rPr>
        <w:t>——————————————————————————————————————————————————————————————————————</w:t>
      </w:r>
    </w:p>
    <w:p>
      <w:pPr>
        <w:spacing w:before="160" w:after="40" w:line="240" w:lineRule="auto"/>
      </w:pPr>
      <w:r>
        <w:rPr>
          <w:b/>
        </w:rPr>
        <w:t xml:space="preserve">[129] </w:t>
      </w:r>
      <w:hyperlink r:id="rId487">
        <w:r>
          <w:rPr>
            <w:color w:val="1155CC"/>
            <w:u w:val="single"/>
          </w:rPr>
          <w:t>黎凡特北部 Üçağızlı II 洞穴中尼安德特人至现代人类序列的长期文化连续性</w:t>
        </w:r>
      </w:hyperlink>
    </w:p>
    <w:p>
      <w:pPr>
        <w:spacing w:before="0" w:after="80"/>
      </w:pPr>
      <w:r>
        <w:rPr>
          <w:i/>
          <w:sz w:val="20"/>
        </w:rPr>
        <w:t>EN: Long-term cultural continuity across the Neanderthal–modern human sequence at Üçağızlı II Cave, northern Levant</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488">
        <w:r>
          <w:rPr>
            <w:color w:val="1155CC"/>
            <w:u w:val="single"/>
          </w:rPr>
          <w:t>10.1073/pnas.2609061123</w:t>
        </w:r>
      </w:hyperlink>
    </w:p>
    <w:p>
      <w:pPr>
        <w:spacing w:before="0" w:after="120"/>
      </w:pPr>
      <w:r>
        <w:rPr>
          <w:b/>
        </w:rPr>
        <w:t xml:space="preserve">Notes: </w:t>
      </w:r>
      <w:r>
        <w:t>abstract_source=crossref</w:t>
      </w:r>
    </w:p>
    <w:p>
      <w:pPr>
        <w:spacing w:before="0" w:after="80" w:lineRule="auto" w:line="276"/>
      </w:pPr>
      <w:r>
        <w:rPr>
          <w:b/>
        </w:rPr>
        <w:t xml:space="preserve">摘要（ZH）: </w:t>
      </w:r>
      <w:r>
        <w:t>我们提供来自土耳其黎凡特北部 Üçağızlı II 洞穴的证据，记录了尼安德特人的连续占领（</w:t>
      </w:r>
      <w:r>
        <w:t xml:space="preserve"> </w:t>
      </w:r>
      <w:r>
        <w:t>尼安德特人</w:t>
      </w:r>
      <w:r>
        <w:t xml:space="preserve"> </w:t>
      </w:r>
      <w:r>
        <w:t>; 77–59 ka）和现代人类（</w:t>
      </w:r>
      <w:r>
        <w:t xml:space="preserve"> </w:t>
      </w:r>
      <w:r>
        <w:t>智人</w:t>
      </w:r>
      <w:r>
        <w:t xml:space="preserve"> </w:t>
      </w:r>
      <w:r>
        <w:t>; 59–47 ka）。人类化石、动物和花卉遗骸、石器和手工艺品的综合证据表明，整个分类序列具有显着的行为和技术连续性，其特征是一致的生存策略以及特定非食性软体动物壳的持续选择和运输。这些石器组合在很大程度上符合旧石器时代中期晚期的传统，表现出典型的莫斯特风格变体。诊断人类化石与这些考古遗迹的关联表明，从尼安德特人到现代人类的转变发生在一个文化连续体中。我们的研究结果表明，尼安德特人和现代人类之间的共同行为超出了生存范围，还包括在此研究的特定地理和时间背景下的非功利行为。</w:t>
      </w:r>
    </w:p>
    <w:p>
      <w:pPr>
        <w:spacing w:before="0" w:after="200" w:lineRule="auto" w:line="276"/>
      </w:pPr>
      <w:r>
        <w:rPr>
          <w:b/>
        </w:rPr>
        <w:t xml:space="preserve">Abstract (EN): </w:t>
      </w:r>
      <w:r>
        <w:t>We present evidence from Üçağızlı II Cave in the northern Levant, Türkiye, documenting the sequential occupation by Neanderthals (</w:t>
      </w:r>
      <w:r>
        <w:t xml:space="preserve"> </w:t>
      </w:r>
      <w:r>
        <w:t>Homo neanderthalensis</w:t>
      </w:r>
      <w:r>
        <w:t xml:space="preserve"> </w:t>
      </w:r>
      <w:r>
        <w:t>; 77–59 ka) and modern humans (</w:t>
      </w:r>
      <w:r>
        <w:t xml:space="preserve"> </w:t>
      </w:r>
      <w:r>
        <w:t>Homo sapiens</w:t>
      </w:r>
      <w:r>
        <w:t xml:space="preserve"> </w:t>
      </w:r>
      <w:r>
        <w:t>; 59–47 ka). The combined evidence of human fossils, faunal and floral remains, lithics, and manuports demonstrates significant behavioral and technological continuity across this taxonomic sequence, characterized by consistent subsistence strategies and the persistent selection and transport of specific nondietary mollusk shells. The lithic assemblages largely align with late Middle Paleolithic traditions, exhibiting characteristic Mousterian variants. The association of diagnostic human fossils with these archaeological remains demonstrates that the shift from Neanderthals to modern humans occurred within a cultural continuum. Our findings suggest shared behaviors between Neanderthals and modern humans that extended beyond subsistence to include nonutilitarian behaviors within the specific geographic and temporal context studied here.</w:t>
      </w:r>
    </w:p>
    <w:p>
      <w:pPr>
        <w:spacing w:before="120" w:after="120"/>
      </w:pPr>
      <w:r>
        <w:rPr>
          <w:sz w:val="18"/>
        </w:rPr>
        <w:t>——————————————————————————————————————————————————————————————————————</w:t>
      </w:r>
    </w:p>
    <w:p>
      <w:pPr>
        <w:spacing w:before="160" w:after="40" w:line="240" w:lineRule="auto"/>
      </w:pPr>
      <w:r>
        <w:rPr>
          <w:b/>
        </w:rPr>
        <w:t xml:space="preserve">[130] </w:t>
      </w:r>
      <w:hyperlink r:id="rId489">
        <w:r>
          <w:rPr>
            <w:color w:val="1155CC"/>
            <w:u w:val="single"/>
          </w:rPr>
          <w:t>Interleukin-6 在 Gcn2 缺陷小鼠肺血管疾病的发展中至关重要</w:t>
        </w:r>
      </w:hyperlink>
    </w:p>
    <w:p>
      <w:pPr>
        <w:spacing w:before="0" w:after="80"/>
      </w:pPr>
      <w:r>
        <w:rPr>
          <w:i/>
          <w:sz w:val="20"/>
        </w:rPr>
        <w:t>EN: Interleukin-6 is critical in the development of pulmonary vascular disease in Gcn2-deficient mice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490">
        <w:r>
          <w:rPr>
            <w:color w:val="1155CC"/>
            <w:u w:val="single"/>
          </w:rPr>
          <w:t>10.1073/pnas.2531623123</w:t>
        </w:r>
      </w:hyperlink>
    </w:p>
    <w:p>
      <w:pPr>
        <w:spacing w:before="0" w:after="120"/>
      </w:pPr>
      <w:r>
        <w:rPr>
          <w:b/>
        </w:rPr>
        <w:t xml:space="preserve">Notes: </w:t>
      </w:r>
      <w:r>
        <w:t>abstract_source=crossref</w:t>
      </w:r>
    </w:p>
    <w:p>
      <w:pPr>
        <w:spacing w:before="0" w:after="80" w:lineRule="auto" w:line="276"/>
      </w:pPr>
      <w:r>
        <w:rPr>
          <w:b/>
        </w:rPr>
        <w:t xml:space="preserve">摘要（ZH）: </w:t>
      </w:r>
      <w:r>
        <w:t>EIF2AK4 编码真核翻译起始因子 2α 激酶 4 或一般控制非抑制性 2 (GCN2) 的双等位基因突变会导致肺静脉闭塞性疾病 (PVOD)，这是一种致命的肺动脉高压。 GCN2 缺乏与肺血管病理学之间的联系机制尚不清楚。为了研究这一点，我们开发了两种小鼠模型：</w:t>
      </w:r>
      <w:r>
        <w:t xml:space="preserve"> </w:t>
      </w:r>
      <w:r>
        <w:t>GCN2</w:t>
      </w:r>
      <w:r>
        <w:t xml:space="preserve"> </w:t>
      </w:r>
      <w:r>
        <w:t>, 镜像</w:t>
      </w:r>
      <w:r>
        <w:t xml:space="preserve"> </w:t>
      </w:r>
      <w:r>
        <w:t>GCN2</w:t>
      </w:r>
      <w:r>
        <w:t xml:space="preserve"> </w:t>
      </w:r>
      <w:r>
        <w:t>-突变阳性PVOD，以及使用丝裂霉素C的药理学模型，丝裂霉素C是一种可以引起PVOD的特殊药物反应的药物。两种模型均进行了表型分析，并且来自野生型和</w:t>
      </w:r>
      <w:r>
        <w:t xml:space="preserve"> </w:t>
      </w:r>
      <w:r>
        <w:t>GCN2</w:t>
      </w:r>
      <w:r>
        <w:t xml:space="preserve"> </w:t>
      </w:r>
      <w:r>
        <w:t>-使用单细胞RNA测序分析缺陷小鼠。我们表明，纯合子丢失</w:t>
      </w:r>
      <w:r>
        <w:t xml:space="preserve"> </w:t>
      </w:r>
      <w:r>
        <w:t>GCN2</w:t>
      </w:r>
      <w:r>
        <w:t xml:space="preserve"> </w:t>
      </w:r>
      <w:r>
        <w:t>足以诱发小鼠轻度肺动脉高压。单细胞转录组分析确定外膜成纤维细胞是表现出最多的细胞群</w:t>
      </w:r>
      <w:r>
        <w:t xml:space="preserve"> </w:t>
      </w:r>
      <w:r>
        <w:t>GCN2</w:t>
      </w:r>
      <w:r>
        <w:t xml:space="preserve"> </w:t>
      </w:r>
      <w:r>
        <w:t>依赖性转录变化。通路分析显示炎症信号传导上调</w:t>
      </w:r>
      <w:r>
        <w:t xml:space="preserve"> </w:t>
      </w:r>
      <w:r>
        <w:t>GCN2</w:t>
      </w:r>
      <w:r>
        <w:t xml:space="preserve"> </w:t>
      </w:r>
      <w:r>
        <w:t>−/−</w:t>
      </w:r>
      <w:r>
        <w:t xml:space="preserve"> </w:t>
      </w:r>
      <w:r>
        <w:t>外膜成纤维细胞。与此一致，我们证明了促炎表型</w:t>
      </w:r>
      <w:r>
        <w:t xml:space="preserve"> </w:t>
      </w:r>
      <w:r>
        <w:t>GCN2</w:t>
      </w:r>
      <w:r>
        <w:t xml:space="preserve"> </w:t>
      </w:r>
      <w:r>
        <w:t>−/−</w:t>
      </w:r>
      <w:r>
        <w:t xml:space="preserve"> </w:t>
      </w:r>
      <w:r>
        <w:t>小鼠成纤维细胞和</w:t>
      </w:r>
      <w:r>
        <w:t xml:space="preserve"> </w:t>
      </w:r>
      <w:r>
        <w:t>GCN2</w:t>
      </w:r>
    </w:p>
    <w:p>
      <w:pPr>
        <w:spacing w:before="0" w:after="200" w:lineRule="auto" w:line="276"/>
      </w:pPr>
      <w:r>
        <w:rPr>
          <w:b/>
        </w:rPr>
        <w:t xml:space="preserve">Abstract (EN): </w:t>
      </w:r>
      <w:r>
        <w:t>Biallelic mutations in EIF2AK4, encoding Eukaryotic Translation Initiation Factor 2α kinase 4 or General Control Nonderepressible 2 (GCN2), cause pulmonary veno-occlusive disease (PVOD), a fatal form of pulmonary hypertension. The mechanisms linking GCN2 deficiency with pulmonary vascular pathology are poorly understood. To investigate this, we developed two mouse models: genetic ablation of</w:t>
      </w:r>
      <w:r>
        <w:t xml:space="preserve"> </w:t>
      </w:r>
      <w:r>
        <w:t>Gcn2</w:t>
      </w:r>
      <w:r>
        <w:t xml:space="preserve"> </w:t>
      </w:r>
      <w:r>
        <w:t>, to mirror</w:t>
      </w:r>
      <w:r>
        <w:t xml:space="preserve"> </w:t>
      </w:r>
      <w:r>
        <w:t>GCN2</w:t>
      </w:r>
      <w:r>
        <w:t xml:space="preserve"> </w:t>
      </w:r>
      <w:r>
        <w:t>-mutation positive PVOD, and a pharmacological model using mitomycin C, a drug which can cause PVOD as an idiosyncratic drug reaction. Both models were phenotyped, and lungs from wild-type and</w:t>
      </w:r>
      <w:r>
        <w:t xml:space="preserve"> </w:t>
      </w:r>
      <w:r>
        <w:t>Gcn2</w:t>
      </w:r>
      <w:r>
        <w:t xml:space="preserve"> </w:t>
      </w:r>
      <w:r>
        <w:t>-deficient mice were analyzed using single-cell RNA sequencing. We show that homozygous loss of</w:t>
      </w:r>
      <w:r>
        <w:t xml:space="preserve"> </w:t>
      </w:r>
      <w:r>
        <w:t>Gcn2</w:t>
      </w:r>
      <w:r>
        <w:t xml:space="preserve"> </w:t>
      </w:r>
      <w:r>
        <w:t>is sufficient to induce mild pulmonary hypertension in mice. Single-cell transcriptomic profiling identified adventitial fibroblasts as the cell population exhibiting the most</w:t>
      </w:r>
      <w:r>
        <w:t xml:space="preserve"> </w:t>
      </w:r>
      <w:r>
        <w:t>Gcn2</w:t>
      </w:r>
      <w:r>
        <w:t xml:space="preserve"> </w:t>
      </w:r>
      <w:r>
        <w:t>-dependent transcriptional changes. Pathway analysis revealed upregulation of inflammatory signaling in</w:t>
      </w:r>
      <w:r>
        <w:t xml:space="preserve"> </w:t>
      </w:r>
      <w:r>
        <w:t>Gcn2</w:t>
      </w:r>
      <w:r>
        <w:t xml:space="preserve"> </w:t>
      </w:r>
      <w:r>
        <w:t>−/−</w:t>
      </w:r>
      <w:r>
        <w:t xml:space="preserve"> </w:t>
      </w:r>
      <w:r>
        <w:t>adventitial fibroblasts. Consistent with this, we demonstrate a proinflammatory phenotype in</w:t>
      </w:r>
      <w:r>
        <w:t xml:space="preserve"> </w:t>
      </w:r>
      <w:r>
        <w:t>Gcn2</w:t>
      </w:r>
      <w:r>
        <w:t xml:space="preserve"> </w:t>
      </w:r>
      <w:r>
        <w:t>−/−</w:t>
      </w:r>
      <w:r>
        <w:t xml:space="preserve"> </w:t>
      </w:r>
      <w:r>
        <w:t>mouse fibroblasts and in</w:t>
      </w:r>
      <w:r>
        <w:t xml:space="preserve"> </w:t>
      </w:r>
      <w:r>
        <w:t>Gcn2</w:t>
      </w:r>
      <w:r>
        <w:t xml:space="preserve"> </w:t>
      </w:r>
      <w:r>
        <w:t>−/−</w:t>
      </w:r>
      <w:r>
        <w:t xml:space="preserve"> </w:t>
      </w:r>
      <w:r>
        <w:t>mice. Using a mitomycin C–induced murine model, genetic deletion of interleukin-6 (</w:t>
      </w:r>
      <w:r>
        <w:t xml:space="preserve"> </w:t>
      </w:r>
      <w:r>
        <w:t>Il6</w:t>
      </w:r>
      <w:r>
        <w:t xml:space="preserve"> </w:t>
      </w:r>
      <w:r>
        <w:t>) rescued the pulmonary vascular phenotype. Furthermore, chronic lipopolysaccharide exposure exaggerated pulmonary hypertension in</w:t>
      </w:r>
      <w:r>
        <w:t xml:space="preserve"> </w:t>
      </w:r>
      <w:r>
        <w:t>Gcn2</w:t>
      </w:r>
      <w:r>
        <w:t xml:space="preserve"> </w:t>
      </w:r>
      <w:r>
        <w:t>−/−</w:t>
      </w:r>
      <w:r>
        <w:t xml:space="preserve"> </w:t>
      </w:r>
      <w:r>
        <w:t>mice, and</w:t>
      </w:r>
      <w:r>
        <w:t xml:space="preserve"> </w:t>
      </w:r>
      <w:r>
        <w:t>Il6</w:t>
      </w:r>
      <w:r>
        <w:t xml:space="preserve"> </w:t>
      </w:r>
      <w:r>
        <w:t>ablation rescued both baseline and lipopolysaccharide-exacerbated disease. Pharmacological inhibition or genetic ablation of the Integrated Stress Response, which can be driven by GCN2-activation, phenocopies</w:t>
      </w:r>
      <w:r>
        <w:t xml:space="preserve"> </w:t>
      </w:r>
      <w:r>
        <w:t>Gcn2</w:t>
      </w:r>
      <w:r>
        <w:t xml:space="preserve"> </w:t>
      </w:r>
      <w:r>
        <w:t>deficiency. Therefore, we establish a regulatory effect of an intact GCN2-Integrated Stress Response on IL-6 signaling. Together, we show that interleukin-6 is a critical mediator of both</w:t>
      </w:r>
      <w:r>
        <w:t xml:space="preserve"> </w:t>
      </w:r>
      <w:r>
        <w:t>Gcn2</w:t>
      </w:r>
      <w:r>
        <w:t xml:space="preserve"> </w:t>
      </w:r>
      <w:r>
        <w:t>deficiency–associated and mitomycin C–triggered pulmonary vascular disease in mice and highlight IL-6-dependent pathways as potential therapeutic targets.</w:t>
      </w:r>
    </w:p>
    <w:p>
      <w:pPr>
        <w:spacing w:before="120" w:after="120"/>
      </w:pPr>
      <w:r>
        <w:rPr>
          <w:sz w:val="18"/>
        </w:rPr>
        <w:t>——————————————————————————————————————————————————————————————————————</w:t>
      </w:r>
    </w:p>
    <w:p>
      <w:pPr>
        <w:spacing w:before="160" w:after="40" w:line="240" w:lineRule="auto"/>
      </w:pPr>
      <w:r>
        <w:rPr>
          <w:b/>
        </w:rPr>
        <w:t xml:space="preserve">[131] </w:t>
      </w:r>
      <w:hyperlink r:id="rId491">
        <w:r>
          <w:rPr>
            <w:color w:val="1155CC"/>
            <w:u w:val="single"/>
          </w:rPr>
          <w:t>波形蛋白通过稳定倒刺末端的 ATP-肌动蛋白亚基来促进肌动蛋白组装</w:t>
        </w:r>
      </w:hyperlink>
    </w:p>
    <w:p>
      <w:pPr>
        <w:spacing w:before="0" w:after="80"/>
      </w:pPr>
      <w:r>
        <w:rPr>
          <w:i/>
          <w:sz w:val="20"/>
        </w:rPr>
        <w:t>EN: Vimentin promotes actin assembly by stabilizing ATP-actin subunits at the barbed end</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492">
        <w:r>
          <w:rPr>
            <w:color w:val="1155CC"/>
            <w:u w:val="single"/>
          </w:rPr>
          <w:t>10.1073/pnas.2531232123</w:t>
        </w:r>
      </w:hyperlink>
    </w:p>
    <w:p>
      <w:pPr>
        <w:spacing w:before="0" w:after="120"/>
      </w:pPr>
      <w:r>
        <w:rPr>
          <w:b/>
        </w:rPr>
        <w:t xml:space="preserve">Notes: </w:t>
      </w:r>
      <w:r>
        <w:t>abstract_source=crossref</w:t>
      </w:r>
    </w:p>
    <w:p>
      <w:pPr>
        <w:spacing w:before="0" w:after="80" w:lineRule="auto" w:line="276"/>
      </w:pPr>
      <w:r>
        <w:rPr>
          <w:b/>
        </w:rPr>
        <w:t xml:space="preserve">摘要（ZH）: </w:t>
      </w:r>
      <w:r>
        <w:t>波形蛋白中间丝在维持细胞完整性和调节多种细胞功能方面发挥着重要作用。特别是，波形蛋白在依赖肌动蛋白动力学的关键细胞过程中与肌动蛋白细胞骨架合作，例如迁移、分裂和机械传感。虽然有证据表明这两种细胞骨架成分在细胞中相互作用，但其潜在的分子机制仅被部分了解。肌动蛋白和波形蛋白可以通过生化信号通路或交联剂相互作用，但它们是否参与直接的蛋白质-蛋白质相互作用仍然存在争议，部分原因是这种相互作用难以在细胞中分离和表征。利用体外重建与理论模型相结合，以及全内反射荧光显微镜来监测单肌动蛋白丝的伸长，我们发现波形蛋白通过以剂量依赖的方式稳定带刺末端的肌动蛋白亚基来促进肌动蛋白伸长。引人注目的是，这种效应取决于肌动蛋白的核苷酸状态，因为仅观察到三磷酸腺苷（ATP）-肌动蛋白单体的延伸加速，而不是二磷酸腺苷（ADP）-肌动蛋白单体的延伸。我们进一步确定，波形蛋白尾部和头部结构域都不需要这种作用，并且丝状和非丝状波形蛋白都增强肌动蛋白伸长。最后，我们发现波形蛋白促进肌动蛋白丝的成核。一致地，磁性下拉测定证明了波形蛋白和 ATP-肌动蛋白单体之间的直接相互作用。总而言之，</w:t>
      </w:r>
    </w:p>
    <w:p>
      <w:pPr>
        <w:spacing w:before="0" w:after="200" w:lineRule="auto" w:line="276"/>
      </w:pPr>
      <w:r>
        <w:rPr>
          <w:b/>
        </w:rPr>
        <w:t xml:space="preserve">Abstract (EN): </w:t>
      </w:r>
      <w:r>
        <w:t>Vimentin intermediate filaments play essential roles in maintaining cell integrity and regulating numerous cellular functions. In particular, vimentin cooperates with the actin cytoskeleton in key cellular processes that rely on actin dynamics, such as migration, division, and mechanosensing. While there is evidence that these two cytoskeletal components interact in cells, the underlying molecular mechanisms are only partially understood. Actin and vimentin can interact through biochemical signaling pathways or via cross-linkers, but whether they engage in a direct protein–protein interaction has remained controversial, in part because such interactions are difficult to isolate and characterize in cells. Using in vitro reconstitution coupled to theoretical modeling, and total internal reflection fluorescence microscopy to monitor the elongation of single actin filaments, we show that vimentin promotes actin elongation by stabilizing actin subunits at the barbed end in a dose-dependent manner. Strikingly, this effect depends on the nucleotide state of actin, as the acceleration is only observed for the elongation from adenosine triphosphate (ATP)-actin, and not adenosine diphosphate (ADP)-actin monomers. We further establish that neither the vimentin tail nor head domains are required for this effect, and both filamentous and nonfilamentous vimentin enhance actin elongation. Finally, we find that vimentin promotes the nucleation of actin filaments. Consistently, magnetic pull-down assays demonstrate a direct interaction between vimentin and ATP-actin monomers. Altogether, these findings identify vimentin as an unexpected new actor in the regulation of actin dynamics at the barbed end and bring new insights into the functional role of vimentin through cytoskeletal crosstalk.</w:t>
      </w:r>
    </w:p>
    <w:p>
      <w:pPr>
        <w:spacing w:before="120" w:after="120"/>
      </w:pPr>
      <w:r>
        <w:rPr>
          <w:sz w:val="18"/>
        </w:rPr>
        <w:t>——————————————————————————————————————————————————————————————————————</w:t>
      </w:r>
    </w:p>
    <w:p>
      <w:pPr>
        <w:spacing w:before="160" w:after="40" w:line="240" w:lineRule="auto"/>
      </w:pPr>
      <w:r>
        <w:rPr>
          <w:b/>
        </w:rPr>
        <w:t xml:space="preserve">[132] </w:t>
      </w:r>
      <w:hyperlink r:id="rId493">
        <w:r>
          <w:rPr>
            <w:color w:val="1155CC"/>
            <w:u w:val="single"/>
          </w:rPr>
          <w:t>2025年缅甸7.7级地震期间局部断层复杂性介导的不对称间歇性超剪切破裂</w:t>
        </w:r>
      </w:hyperlink>
    </w:p>
    <w:p>
      <w:pPr>
        <w:spacing w:before="0" w:after="80"/>
      </w:pPr>
      <w:r>
        <w:rPr>
          <w:i/>
          <w:sz w:val="20"/>
        </w:rPr>
        <w:t>EN: Asymmetric and Intermittent Supershear Rupture Mediated by Local Fault Complexity during the 2025 MW 7.7 Myanmar Earthquake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494">
        <w:r>
          <w:rPr>
            <w:color w:val="1155CC"/>
            <w:u w:val="single"/>
          </w:rPr>
          <w:t>10.1073/pnas.2602650123</w:t>
        </w:r>
      </w:hyperlink>
    </w:p>
    <w:p>
      <w:pPr>
        <w:spacing w:before="0" w:after="120"/>
      </w:pPr>
      <w:r>
        <w:rPr>
          <w:b/>
        </w:rPr>
        <w:t xml:space="preserve">Notes: </w:t>
      </w:r>
      <w:r>
        <w:t>abstract_source=crossref</w:t>
      </w:r>
    </w:p>
    <w:p>
      <w:pPr>
        <w:spacing w:before="0" w:after="80" w:lineRule="auto" w:line="276"/>
      </w:pPr>
      <w:r>
        <w:rPr>
          <w:b/>
        </w:rPr>
        <w:t xml:space="preserve">摘要（ZH）: </w:t>
      </w:r>
      <w:r>
        <w:t>我们确定了2025年的详细破裂过程</w:t>
      </w:r>
      <w:r>
        <w:t xml:space="preserve"> </w:t>
      </w:r>
      <w:r>
        <w:t>中号</w:t>
      </w:r>
      <w:r>
        <w:t xml:space="preserve"> </w:t>
      </w:r>
      <w:r>
        <w:t>瓦</w:t>
      </w:r>
      <w:r>
        <w:t xml:space="preserve"> </w:t>
      </w:r>
      <w:r>
        <w:t>近断层强震、大地测量和远震数据联合反演的 7.7 缅甸地震。破裂始于震中附近高达约 5 m 的显着滑移。局部断层几何复杂性和应力不均匀性可能导致小规模滑移分段和间歇性超剪切破裂。向北的破裂传播总体上是亚剪切的，并在 2012 年地震的部分应力阴影内延伸约 80 公里后迅速终止。相比之下，向南破裂传播约380公里，完全穿越了自1839年以来一直未破裂的预定地震间隙，并经历了加速和减速循环，其中包括至少两次间歇性超剪切破裂，然后在穿越1930年破裂的区段后逐渐停止。超过3 m的滑移仅限于15 km锁定深度以上的浅断层，平均静态应力降为4.7 MPa。实皆断层中部多个凹凸不平处的长期应力积累促进了离散事件中的局部破裂，但有时会导致具有间歇性超剪切行为的级联破裂，如2025年。局部滑动持续时间也表现出南北不对称性，在震中附近较长，在结束前向南逐渐缩短。这种模式可能与震中附近较低的刚性和破裂动力学的调节有关</w:t>
      </w:r>
    </w:p>
    <w:p>
      <w:pPr>
        <w:spacing w:before="0" w:after="200" w:lineRule="auto" w:line="276"/>
      </w:pPr>
      <w:r>
        <w:rPr>
          <w:b/>
        </w:rPr>
        <w:t xml:space="preserve">Abstract (EN): </w:t>
      </w:r>
      <w:r>
        <w:t>We determine the detailed rupture process of the 2025</w:t>
      </w:r>
      <w:r>
        <w:t xml:space="preserve"> </w:t>
      </w:r>
      <w:r>
        <w:t>M</w:t>
      </w:r>
      <w:r>
        <w:t xml:space="preserve"> </w:t>
      </w:r>
      <w:r>
        <w:t>W</w:t>
      </w:r>
      <w:r>
        <w:t xml:space="preserve"> </w:t>
      </w:r>
      <w:r>
        <w:t>7.7 Myanmar earthquake by joint inversion of near-fault strong-motion, geodetic, and teleseismic data. The rupture initiated with significant slip of up to ~5 m near the epicenter. Localized fault geometric complexity and stress heterogeneity might have led to small-scale slip segmentation and intermittent episodes of supershear rupture. Northward rupture propagation was subshear overall and terminated rapidly after extending ~80 km within the partial stress shadow of a 2012 earthquake. In contrast, southward rupture propagated ~380 km, fully traversing a predefined seismic gap that had been unruptured since 1839, and undergoing cycles of acceleration and deceleration that included at least two episodes of intermittent supershear rupture before gradually stopping after traversing a segment that ruptured in 1930. Slip exceeding 3 m is confined to the shallow fault above a 15 km locking depth and the average static stress drop is 4.7 MPa. The long-term stress accumulation on multiple asperities along the central Sagaing fault promotes localized ruptures in discrete events but sometimes leads to rupture cascades with intermittent supershear behavior as in 2025. Local slip duration also displays a north–south asymmetry, being longer near the epicenter and progressively shorter toward the south before the end. This pattern may be associated with lower rigidity near the epicenter and rupture dynamics being modulated by fault edges for long, narrow strike-slip faults. Our findings highlight the roles of localized fault structure and stress heterogeneity in controlling slip distribution and rupture speed.</w:t>
      </w:r>
    </w:p>
    <w:p>
      <w:pPr>
        <w:spacing w:before="120" w:after="120"/>
      </w:pPr>
      <w:r>
        <w:rPr>
          <w:sz w:val="18"/>
        </w:rPr>
        <w:t>——————————————————————————————————————————————————————————————————————</w:t>
      </w:r>
    </w:p>
    <w:p>
      <w:pPr>
        <w:spacing w:before="160" w:after="40" w:line="240" w:lineRule="auto"/>
      </w:pPr>
      <w:r>
        <w:rPr>
          <w:b/>
        </w:rPr>
        <w:t xml:space="preserve">[133] </w:t>
      </w:r>
      <w:hyperlink r:id="rId495">
        <w:r>
          <w:rPr>
            <w:color w:val="1155CC"/>
            <w:u w:val="single"/>
          </w:rPr>
          <w:t>大黄蜂对味道的口面部反应为情感评估提供了证据</w:t>
        </w:r>
      </w:hyperlink>
    </w:p>
    <w:p>
      <w:pPr>
        <w:spacing w:before="0" w:after="80"/>
      </w:pPr>
      <w:r>
        <w:rPr>
          <w:i/>
          <w:sz w:val="20"/>
        </w:rPr>
        <w:t>EN: Bumblebees’ orofacial reactions to tastes provide evidence for affective evaluation</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496">
        <w:r>
          <w:rPr>
            <w:color w:val="1155CC"/>
            <w:u w:val="single"/>
          </w:rPr>
          <w:t>10.1073/pnas.2529114123</w:t>
        </w:r>
      </w:hyperlink>
    </w:p>
    <w:p>
      <w:pPr>
        <w:spacing w:before="0" w:after="120"/>
      </w:pPr>
      <w:r>
        <w:rPr>
          <w:b/>
        </w:rPr>
        <w:t xml:space="preserve">Notes: </w:t>
      </w:r>
      <w:r>
        <w:t>abstract_source=crossref</w:t>
      </w:r>
    </w:p>
    <w:p>
      <w:pPr>
        <w:spacing w:before="0" w:after="80" w:lineRule="auto" w:line="276"/>
      </w:pPr>
      <w:r>
        <w:rPr>
          <w:b/>
        </w:rPr>
        <w:t xml:space="preserve">摘要（ZH）: </w:t>
      </w:r>
      <w:r>
        <w:t>面部表情提供了了解动物内部状态的关键窗口，可以识别情感过程及其潜在的神经机制。在哺乳动物中，消费后的口面部反应（例如舌头因甜味而伸出）是积极享乐影响（喜欢）的最有力和最广泛接受的行为标志之一，与动机（想要）不同。然而，在昆虫中尚未建立等效的标记，因此它们的情感评估能力尚未得到解决。在这里，我们发现熊蜂表现出离散的口面部反应，其功能类似于哺乳动物中描述的反应。蜜蜂在吃完后会表现出舌突出来奖励解决方案，而摇头和擦嘴则表现出厌恶的味道。这些反应与任何特定的味道特征无关。行为和药理学实验表明，舌突出不会因食用而自动发生，独立于持续的进食机制和多巴胺介导的动机，并且通过内源性大麻素 anandamide 增强。我们的研究结果支持消费后舌突出作为无脊椎动物情感评估的快速、可靠且进化上可比的候选行为标记。通过提供证据表明，追踪喜好的行为可以与大黄蜂的动机（想要）反应性分离，这项工作建立了一个实验框架，用于研究情感处理的神经基础和进化起源。更广泛地说，这些结果打开了大门</w:t>
      </w:r>
    </w:p>
    <w:p>
      <w:pPr>
        <w:spacing w:before="0" w:after="200" w:lineRule="auto" w:line="276"/>
      </w:pPr>
      <w:r>
        <w:rPr>
          <w:b/>
        </w:rPr>
        <w:t xml:space="preserve">Abstract (EN): </w:t>
      </w:r>
      <w:r>
        <w:t>Facial expressions provide a critical window into the internal states of animals, allowing the identification of affective processes and their underlying neural mechanisms. In mammals, postconsumption orofacial reactions—such as tongue protrusions to sweet tastes—are among the most robust and widely accepted behavioral markers of positive hedonic impact (liking), distinct from motivation (wanting). However, no equivalent markers have been established in insects, leaving their capacity for affective evaluation unresolved. Here, we show that bumblebees exhibit discrete orofacial reactions that are functionally analogous to those described in mammals. Bees displayed postconsumption glossa protrusions to rewarding solutions and head-shaking and mouth-wiping to aversive tastes. These reactions were not tied to any specific taste identity. Behavioral and pharmacological experiments demonstrated that glossa protrusions did not automatically occur due to consumption, were independent of ongoing feeding mechanisms and dopamine-mediated motivation, and were enhanced by the endocannabinoid anandamide. Our findings support postconsumption glossa protrusions as a fast, reliable, and evolutionarily comparable candidate behavioral marker of affective evaluation in an invertebrate. By providing evidence that a behavior which tracks liking can be dissociated from motivational (wanting) responsiveness in bumblebees, this work establishes an experimental framework for investigating the neural basis and evolutionary origins of affective processing. More broadly, these results open the door to rigorous cross-phyletic approaches to emotion.</w:t>
      </w:r>
    </w:p>
    <w:p>
      <w:pPr>
        <w:spacing w:before="120" w:after="120"/>
      </w:pPr>
      <w:r>
        <w:rPr>
          <w:sz w:val="18"/>
        </w:rPr>
        <w:t>——————————————————————————————————————————————————————————————————————</w:t>
      </w:r>
    </w:p>
    <w:p>
      <w:pPr>
        <w:spacing w:before="160" w:after="40" w:line="240" w:lineRule="auto"/>
      </w:pPr>
      <w:r>
        <w:rPr>
          <w:b/>
        </w:rPr>
        <w:t xml:space="preserve">[134] </w:t>
      </w:r>
      <w:hyperlink r:id="rId497">
        <w:r>
          <w:rPr>
            <w:color w:val="1155CC"/>
            <w:u w:val="single"/>
          </w:rPr>
          <w:t>科学服务：联邦机构的行为研究应用</w:t>
        </w:r>
      </w:hyperlink>
    </w:p>
    <w:p>
      <w:pPr>
        <w:spacing w:before="0" w:after="80"/>
      </w:pPr>
      <w:r>
        <w:rPr>
          <w:i/>
          <w:sz w:val="20"/>
        </w:rPr>
        <w:t>EN: Science in service: Behavioral research applications across federal agencies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498">
        <w:r>
          <w:rPr>
            <w:color w:val="1155CC"/>
            <w:u w:val="single"/>
          </w:rPr>
          <w:t>10.1073/pnas.2608196123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[135] </w:t>
      </w:r>
      <w:hyperlink r:id="rId499">
        <w:r>
          <w:rPr>
            <w:color w:val="1155CC"/>
            <w:u w:val="single"/>
          </w:rPr>
          <w:t>汉尼拔穿越高山的能源成本</w:t>
        </w:r>
      </w:hyperlink>
    </w:p>
    <w:p>
      <w:pPr>
        <w:spacing w:before="0" w:after="80"/>
      </w:pPr>
      <w:r>
        <w:rPr>
          <w:i/>
          <w:sz w:val="20"/>
        </w:rPr>
        <w:t>EN: Energy costs of Hannibal’s alpine crossing</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00">
        <w:r>
          <w:rPr>
            <w:color w:val="1155CC"/>
            <w:u w:val="single"/>
          </w:rPr>
          <w:t>10.1073/pnas.2612764123</w:t>
        </w:r>
      </w:hyperlink>
    </w:p>
    <w:p>
      <w:pPr>
        <w:spacing w:before="0" w:after="120"/>
      </w:pPr>
      <w:r>
        <w:rPr>
          <w:b/>
        </w:rPr>
        <w:t xml:space="preserve">Notes: </w:t>
      </w:r>
      <w:r>
        <w:t>abstract_source=crossref</w:t>
      </w:r>
    </w:p>
    <w:p>
      <w:pPr>
        <w:spacing w:before="0" w:after="80" w:lineRule="auto" w:line="276"/>
      </w:pPr>
      <w:r>
        <w:rPr>
          <w:b/>
        </w:rPr>
        <w:t xml:space="preserve">摘要（ZH）: </w:t>
      </w:r>
      <w:r>
        <w:t>公元前218年，汉尼拔率领一支由37头战象组成的大军翻越阿尔卑斯山。他的路线细节经常引起学者们根据后勤和地形方面的考虑对历史报道进行争论。在可能的高山山口中，克拉皮尔山口的路线交叉口被认为是最有可能的候选者。最近的语言学和地貌学分析表明，取而代之的是一条经过特拉维塞特山口的路线。在这里，我们研究了这些选项，重点关注过境的能源成本，重点是战象。我们的分析支持特拉弗塞特号的路线，同时也为汉尼拔关于象战后勤和心理的想法提供了可能的见解。</w:t>
      </w:r>
    </w:p>
    <w:p>
      <w:pPr>
        <w:spacing w:before="0" w:after="200" w:lineRule="auto" w:line="276"/>
      </w:pPr>
      <w:r>
        <w:rPr>
          <w:b/>
        </w:rPr>
        <w:t xml:space="preserve">Abstract (EN): </w:t>
      </w:r>
      <w:r>
        <w:t>Hannibal crossed the Alps with a large army containing 37 war elephants in 218 BC. Details of his route have scholars regularly debate historical reports in the light of logistical and topographical considerations. Among the possible alpine passes, the route crossing at the Col du Clapier was considered the most likely candidate. Recent philological and geomorphological analyses suggest instead a route via the Col de la Traversette. Here, we examined these options focusing on the energy costs of the crossing with an emphasis on the war elephants. Our analysis favors the route of the Traversette while also providing possible insights into Hannibal’s thinking concerning both the logistics and psychology of elephant warfare.</w:t>
      </w:r>
    </w:p>
    <w:p>
      <w:pPr>
        <w:spacing w:before="120" w:after="120"/>
      </w:pPr>
      <w:r>
        <w:rPr>
          <w:sz w:val="18"/>
        </w:rPr>
        <w:t>——————————————————————————————————————————————————————————————————————</w:t>
      </w:r>
    </w:p>
    <w:p>
      <w:pPr>
        <w:spacing w:before="160" w:after="40" w:line="240" w:lineRule="auto"/>
      </w:pPr>
      <w:r>
        <w:rPr>
          <w:b/>
        </w:rPr>
        <w:t xml:space="preserve">[136] </w:t>
      </w:r>
      <w:hyperlink r:id="rId501">
        <w:r>
          <w:rPr>
            <w:color w:val="1155CC"/>
            <w:u w:val="single"/>
          </w:rPr>
          <w:t>回复黄和董：澄清社会认可中快速类固醇效应的解释</w:t>
        </w:r>
      </w:hyperlink>
    </w:p>
    <w:p>
      <w:pPr>
        <w:spacing w:before="0" w:after="80"/>
      </w:pPr>
      <w:r>
        <w:rPr>
          <w:i/>
          <w:sz w:val="20"/>
        </w:rPr>
        <w:t>EN: Reply to Huang and Dong: Clarifying the interpretation of rapid steroid effects in social recognition</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02">
        <w:r>
          <w:rPr>
            <w:color w:val="1155CC"/>
            <w:u w:val="single"/>
          </w:rPr>
          <w:t>10.1073/pnas.2618836123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503">
        <w:r>
          <w:rPr>
            <w:color w:val="1155CC"/>
            <w:u w:val="single"/>
          </w:rPr>
          <w:t>功能特征在不同的社区环境中产生有条件的结果</w:t>
        </w:r>
      </w:hyperlink>
    </w:p>
    <w:p>
      <w:pPr>
        <w:spacing w:before="0" w:after="80"/>
      </w:pPr>
      <w:r>
        <w:rPr>
          <w:i/>
          <w:sz w:val="20"/>
        </w:rPr>
        <w:t>EN: Functional traits produce conditional outcomes in different community contexts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04">
        <w:r>
          <w:rPr>
            <w:color w:val="1155CC"/>
            <w:u w:val="single"/>
          </w:rPr>
          <w:t>10.1073/pnas.2616704123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505">
        <w:r>
          <w:rPr>
            <w:color w:val="1155CC"/>
            <w:u w:val="single"/>
          </w:rPr>
          <w:t>海豚用名字来记住要避开的人</w:t>
        </w:r>
      </w:hyperlink>
    </w:p>
    <w:p>
      <w:pPr>
        <w:spacing w:before="0" w:after="80"/>
      </w:pPr>
      <w:r>
        <w:rPr>
          <w:i/>
          <w:sz w:val="20"/>
        </w:rPr>
        <w:t>EN: Dolphins use names to remember whom to avoid</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06">
        <w:r>
          <w:rPr>
            <w:color w:val="1155CC"/>
            <w:u w:val="single"/>
          </w:rPr>
          <w:t>10.1073/pnas.2617174123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507">
        <w:r>
          <w:rPr>
            <w:color w:val="1155CC"/>
            <w:u w:val="single"/>
          </w:rPr>
          <w:t>区分直接雄激素信号与侧隔膜局部芳香化</w:t>
        </w:r>
      </w:hyperlink>
    </w:p>
    <w:p>
      <w:pPr>
        <w:spacing w:before="0" w:after="80"/>
      </w:pPr>
      <w:r>
        <w:rPr>
          <w:i/>
          <w:sz w:val="20"/>
        </w:rPr>
        <w:t>EN: Distinguishing direct androgenic signaling from local aromatization in the lateral septum</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08">
        <w:r>
          <w:rPr>
            <w:color w:val="1155CC"/>
            <w:u w:val="single"/>
          </w:rPr>
          <w:t>10.1073/pnas.2618568123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509">
        <w:r>
          <w:rPr>
            <w:color w:val="1155CC"/>
            <w:u w:val="single"/>
          </w:rPr>
          <w:t>按蚊中基于 Cas9/guide RNA 的基因驱动的长期稳定性和性能</w:t>
        </w:r>
      </w:hyperlink>
    </w:p>
    <w:p>
      <w:pPr>
        <w:spacing w:before="0" w:after="80"/>
      </w:pPr>
      <w:r>
        <w:rPr>
          <w:i/>
          <w:sz w:val="20"/>
        </w:rPr>
        <w:t>EN: Long-term stability and performance of Cas9/guide RNA-based gene drives in anopheline mosquitoes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10">
        <w:r>
          <w:rPr>
            <w:color w:val="1155CC"/>
            <w:u w:val="single"/>
          </w:rPr>
          <w:t>10.1073/pnas.2605739123</w:t>
        </w:r>
      </w:hyperlink>
    </w:p>
    <w:p>
      <w:pPr>
        <w:spacing w:before="0" w:after="120"/>
      </w:pPr>
      <w:r>
        <w:rPr>
          <w:b/>
        </w:rPr>
        <w:t xml:space="preserve">Notes: </w:t>
      </w:r>
      <w:r>
        <w:t>abstract_source=crossref</w:t>
      </w:r>
    </w:p>
    <w:p>
      <w:pPr>
        <w:spacing w:before="0" w:after="80" w:lineRule="auto" w:line="276"/>
      </w:pPr>
      <w:r>
        <w:rPr>
          <w:b/>
        </w:rPr>
        <w:t xml:space="preserve">摘要（ZH）: </w:t>
      </w:r>
      <w:r>
        <w:t>基因驱动种群改造策略正在开发中，以控制按蚊传播引起人类疟疾的寄生虫。这些方法旨在通过在整个媒介群体中传播显性抗寄生虫效应基因来减少疾病的患病率和发病率。这些菌株必须在较长时间内维持驱力和寄生虫抑制特性，才能产生流行病学影响。三种基因驱动菌株，AcTP13 和 AcTP43</w:t>
      </w:r>
      <w:r>
        <w:t xml:space="preserve"> </w:t>
      </w:r>
      <w:r>
        <w:t>库氏按蚊</w:t>
      </w:r>
      <w:r>
        <w:t xml:space="preserve"> </w:t>
      </w:r>
      <w:r>
        <w:t>和 AgTP13 在</w:t>
      </w:r>
      <w:r>
        <w:t xml:space="preserve"> </w:t>
      </w:r>
      <w:r>
        <w:t>冈比亚按蚊</w:t>
      </w:r>
      <w:r>
        <w:t xml:space="preserve"> </w:t>
      </w:r>
      <w:r>
        <w:t>，携带与多个抗寄生虫效应基因相连的基于 Cas9/guide RNA 的自主驱动系统，在所有情况下都非常稳定</w:t>
      </w:r>
      <w:r>
        <w:t xml:space="preserve"> </w:t>
      </w:r>
      <w:r>
        <w:t>科鲁兹阿.</w:t>
      </w:r>
      <w:r>
        <w:t xml:space="preserve"> </w:t>
      </w:r>
      <w:r>
        <w:t>在实验室笼子试验中复制超过 2 年（35 代）。三中之二</w:t>
      </w:r>
      <w:r>
        <w:t xml:space="preserve"> </w:t>
      </w:r>
      <w:r>
        <w:t>冈比亚阿.</w:t>
      </w:r>
      <w:r>
        <w:t xml:space="preserve"> </w:t>
      </w:r>
      <w:r>
        <w:t>复制品表现同样良好。稳定性被评估为群体动态（大小）、基因驱动盒的分子完整性、驱动效率的维持（基因转换）、突变抗驱动目标等位基因的产生和积累、驱动系统产生的脱靶效应和效应基因寄生虫抑制活性的函数。所有品系均满足稳定性要求，但 AgTP13 笼复制品系受驱动抗性靶位点突变影响。值得注意的是，在整个试验期间，所有菌株都保留了寄生虫抑制活性和高驱动效率。这些结果</w:t>
      </w:r>
    </w:p>
    <w:p>
      <w:pPr>
        <w:spacing w:before="0" w:after="200" w:lineRule="auto" w:line="276"/>
      </w:pPr>
      <w:r>
        <w:rPr>
          <w:b/>
        </w:rPr>
        <w:t xml:space="preserve">Abstract (EN): </w:t>
      </w:r>
      <w:r>
        <w:t>Gene-drive population modification strategies are being developed to control the transmission by anopheline mosquitoes of the parasites that cause human malaria. These approaches are designed to reduce disease prevalence and incidence by spreading dominant antiparasite effector genes throughout vector populations. The strains must sustain drive and parasite suppression properties over extended periods of time to have an epidemiological impact. Three gene-drive strains, AcTP13 and AcTP43 in</w:t>
      </w:r>
      <w:r>
        <w:t xml:space="preserve"> </w:t>
      </w:r>
      <w:r>
        <w:t>Anopheles coluzzii</w:t>
      </w:r>
      <w:r>
        <w:t xml:space="preserve"> </w:t>
      </w:r>
      <w:r>
        <w:t>and AgTP13 in</w:t>
      </w:r>
      <w:r>
        <w:t xml:space="preserve"> </w:t>
      </w:r>
      <w:r>
        <w:t>Anopheles gambiae</w:t>
      </w:r>
      <w:r>
        <w:t xml:space="preserve"> </w:t>
      </w:r>
      <w:r>
        <w:t>, carrying autonomous Cas9/guide RNA-based drive systems linked to multiple antiparasite effector genes were remarkably stable in all</w:t>
      </w:r>
      <w:r>
        <w:t xml:space="preserve"> </w:t>
      </w:r>
      <w:r>
        <w:t>A. coluzzii</w:t>
      </w:r>
      <w:r>
        <w:t xml:space="preserve"> </w:t>
      </w:r>
      <w:r>
        <w:t>replicates over a 2-y (35 generation) period in laboratory cage trials. Two of three</w:t>
      </w:r>
      <w:r>
        <w:t xml:space="preserve"> </w:t>
      </w:r>
      <w:r>
        <w:t>A. gambiae</w:t>
      </w:r>
      <w:r>
        <w:t xml:space="preserve"> </w:t>
      </w:r>
      <w:r>
        <w:t>replicates performed equally well. Stability was assessed as a function of population dynamics (size), molecular integrity of the gene-drive cassettes, maintenance of drive efficiency (gene conversion), generation and accumulation of mutant drive-resistant target alleles, drive system-generated off-target effects, and effector gene parasite suppression activity. All lines met stability requirements with the exception of one AgTP13 cage replicate that was affected by drive-resistant target-site mutations. Notably, all strains retained parasite suppression activity and high drive efficiencies throughout the duration of the trials. These results support the further development and deployment of these strains for malaria control.</w:t>
      </w:r>
    </w:p>
    <w:p>
      <w:pPr>
        <w:spacing w:before="120" w:after="120"/>
      </w:pPr>
      <w:r>
        <w:rPr>
          <w:sz w:val="18"/>
        </w:rPr>
        <w:t>——————————————————————————————————————————————————————————————————————</w:t>
      </w:r>
    </w:p>
    <w:p>
      <w:pPr>
        <w:spacing w:before="160" w:after="40" w:line="240" w:lineRule="auto"/>
      </w:pPr>
      <w:r>
        <w:rPr>
          <w:b/>
        </w:rPr>
        <w:t xml:space="preserve">[141] </w:t>
      </w:r>
      <w:hyperlink r:id="rId511">
        <w:r>
          <w:rPr>
            <w:color w:val="1155CC"/>
            <w:u w:val="single"/>
          </w:rPr>
          <w:t>抗 JC 和 BK 多瘤病毒的人中和抗体的结构表征</w:t>
        </w:r>
      </w:hyperlink>
    </w:p>
    <w:p>
      <w:pPr>
        <w:spacing w:before="0" w:after="80"/>
      </w:pPr>
      <w:r>
        <w:rPr>
          <w:i/>
          <w:sz w:val="20"/>
        </w:rPr>
        <w:t>EN: Structural characterization of human neutralizing antibodies against JC and BK polyomaviruses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12">
        <w:r>
          <w:rPr>
            <w:color w:val="1155CC"/>
            <w:u w:val="single"/>
          </w:rPr>
          <w:t>10.1073/pnas.2603048123</w:t>
        </w:r>
      </w:hyperlink>
    </w:p>
    <w:p>
      <w:pPr>
        <w:spacing w:before="0" w:after="120"/>
      </w:pPr>
      <w:r>
        <w:rPr>
          <w:b/>
        </w:rPr>
        <w:t xml:space="preserve">Notes: </w:t>
      </w:r>
      <w:r>
        <w:t>abstract_source=crossref</w:t>
      </w:r>
    </w:p>
    <w:p>
      <w:pPr>
        <w:spacing w:before="0" w:after="80" w:lineRule="auto" w:line="276"/>
      </w:pPr>
      <w:r>
        <w:rPr>
          <w:b/>
        </w:rPr>
        <w:t xml:space="preserve">摘要（ZH）: </w:t>
      </w:r>
      <w:r>
        <w:t>人类 JC 多瘤病毒 (JCPyV) 在免疫功能低下的个体中引起致命的脱髓鞘疾病进行性多灶性白质脑病 (PML)。 JCPyV 在 PML 患者中经常发生突变，这些变异被认为会建立“抗体识别孔”，使病毒能够绕过感染个体的抗体反应。许多与 PML 相关的突变聚集在病毒的聚糖受体结合位点。使用 X 射线晶体学，我们研究了 JCPyV VP1 特异性人单克隆抗体 (mAb) 的结合模式，这些抗体是从健康捐赠者和 PML 康复者中分离出来的，并且可以识别一组与 PML 相关的 JCPyV 变体。我们的结构分析表明，四分之三的单克隆抗体结合的表位与病毒颗粒表面的聚糖受体结合位点重叠。观察到的相互作用解释了 PML 相关突变如何战略性地干扰抗体识别，从而导致免疫逃避。相比之下，mAb 29B1 结合衣壳中远离聚糖位点的区域，并且不具有与 PML 相关的突变。该结合位点在密切相关的 BK 多瘤病毒 (BKPyV) 中是保守的，我们表明 mAb 29B1 以高亲和力结合这两种病毒并阻止感染。我们的研究结果为开发治疗性抗体方法和潜在的疫苗接种策略提供了一个极好的平台，可以保护高危患者免受 JCPyV 和 BKPyV 的感染。此外，针对 mAb 29B1 的小分子</w:t>
      </w:r>
    </w:p>
    <w:p>
      <w:pPr>
        <w:spacing w:before="0" w:after="200" w:lineRule="auto" w:line="276"/>
      </w:pPr>
      <w:r>
        <w:rPr>
          <w:b/>
        </w:rPr>
        <w:t xml:space="preserve">Abstract (EN): </w:t>
      </w:r>
      <w:r>
        <w:t>The human JC polyomavirus (JCPyV) causes the fatal demyelinating disease progressive multifocal leukoencephalopathy (PML) in immunocompromised individuals. JCPyV frequently undergoes mutations in PML patients, and these variants are thought to establish “antibody recognition holes” that enable the virus to circumvent the antibody response of infected individuals. Many of these PML-associated mutations cluster in the glycan receptor-binding site of the virus. Using X-ray crystallography, we investigated the binding modes of JCPyV VP1-specific human monoclonal antibodies (mAbs) that were isolated from healthy donors and individuals who recovered from PML, and that can recognize a panel of PML-associated JCPyV variants. Our structural analyses show that three out of four of these mAbs bind epitopes that overlap with the glycan–receptor binding site at the surface of the virus particle. The observed interactions explain how PML-associated mutations strategically interfere with antibody recognition, resulting in immune evasion. In contrast, mAb 29B1 engages a region of the capsid that is distant from the glycan site and does not feature mutations associated with PML. The binding site is conserved in the closely related BK polyomavirus (BKPyV), and we show that mAb 29B1 binds both viruses with high affinity and blocks infection. Our findings form an excellent platform for the development of therapeutic Ab approaches and potential vaccination strategies that could protect at-risk patients from infections with both JCPyV and BKPyV. Moreover, small molecules that target the mAb 29B1 binding site could be potentially effective against both viruses.</w:t>
      </w:r>
    </w:p>
    <w:p>
      <w:pPr>
        <w:spacing w:before="120" w:after="120"/>
      </w:pPr>
      <w:r>
        <w:rPr>
          <w:sz w:val="18"/>
        </w:rPr>
        <w:t>——————————————————————————————————————————————————————————————————————</w:t>
      </w:r>
    </w:p>
    <w:p>
      <w:pPr>
        <w:spacing w:before="160" w:after="40" w:line="240" w:lineRule="auto"/>
      </w:pPr>
      <w:r>
        <w:rPr>
          <w:b/>
        </w:rPr>
        <w:t xml:space="preserve">[142] </w:t>
      </w:r>
      <w:hyperlink r:id="rId513">
        <w:r>
          <w:rPr>
            <w:color w:val="1155CC"/>
            <w:u w:val="single"/>
          </w:rPr>
          <w:t>对全球变暖的生理耐受性差异导致古生代动物群与现代动物群之间的二叠纪-三叠纪过渡</w:t>
        </w:r>
      </w:hyperlink>
    </w:p>
    <w:p>
      <w:pPr>
        <w:spacing w:before="0" w:after="80"/>
      </w:pPr>
      <w:r>
        <w:rPr>
          <w:i/>
          <w:sz w:val="20"/>
        </w:rPr>
        <w:t>EN: Differences in physiological tolerance to global warming caused the Permian–Triassic transition between the Paleozoic and Modern faunas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14">
        <w:r>
          <w:rPr>
            <w:color w:val="1155CC"/>
            <w:u w:val="single"/>
          </w:rPr>
          <w:t>10.1073/pnas.2533086123</w:t>
        </w:r>
      </w:hyperlink>
    </w:p>
    <w:p>
      <w:pPr>
        <w:spacing w:before="0" w:after="120"/>
      </w:pPr>
      <w:r>
        <w:rPr>
          <w:b/>
        </w:rPr>
        <w:t xml:space="preserve">Notes: </w:t>
      </w:r>
      <w:r>
        <w:t>abstract_source=crossref</w:t>
      </w:r>
    </w:p>
    <w:p>
      <w:pPr>
        <w:spacing w:before="0" w:after="80" w:lineRule="auto" w:line="276"/>
      </w:pPr>
      <w:r>
        <w:rPr>
          <w:b/>
        </w:rPr>
        <w:t xml:space="preserve">摘要（ZH）: </w:t>
      </w:r>
      <w:r>
        <w:t>二叠纪末期（~251.9 Mya）全球气候的快速变化恰逢地球历史上最大的宏观进化动物更替事件。随着海洋变暖、溶解氧流失、酸性增强，古生代动物群中的优势动物群（包括腕足类和海百合）遭受了不同程度的高灭绝率，使得现代动物群（包括双壳类和腹足类）上升到了生态主导地位。二叠纪末期的杀灭机制尚不完全清楚，但林奈类之间灭绝强度的差异表明这是一个重要的生理组成部分。在这里，我们使用基于性状的物种代谢 O 模型</w:t>
      </w:r>
      <w:r>
        <w:rPr>
          <w:vertAlign w:val="subscript"/>
        </w:rPr>
        <w:t>2</w:t>
      </w:r>
      <w:r>
        <w:t>平衡证明温度依赖性缺氧可以解释二叠纪末大规模灭绝的分类学选择性。直接呼吸测量实验和根据生物地​​理数据得出的生理特征估计表明，古生代动物群的物种比现代动物群的物种对缺氧的温度依赖性更高。在气候转变的模拟中，这种性状差异导致古生代动物群有氧栖息地的更大程度丧失，这与观察到的更大的灭绝强度一致。这些结果表明，生物地理学、分类学和功能生态学对环境变化的平均生理耐受性的差异驱动了二叠纪末的灭绝模式，并最终可能成为现代生物多样性危机的特征。温度依赖性缺氧是唯一的</w:t>
      </w:r>
    </w:p>
    <w:p>
      <w:pPr>
        <w:spacing w:before="0" w:after="200" w:lineRule="auto" w:line="276"/>
      </w:pPr>
      <w:r>
        <w:rPr>
          <w:b/>
        </w:rPr>
        <w:t xml:space="preserve">Abstract (EN): </w:t>
      </w:r>
      <w:r>
        <w:t>The rapid global climate change at the end of the Permian Period (~251.9 Mya) coincided with the greatest macroevolutionary faunal turnover event in Earth’s history. As the oceans warmed, lost dissolved oxygen, and became more acidic, the dominant animal groups in the Paleozoic fauna (including brachiopods and crinoids) suffered differentially high rates of extinction, allowing the Modern fauna (including bivalves and gastropods) to rise to ecological dominance. The end-Permian kill mechanism(s) are not fully understood, but differences in extinction intensity among Linnaean classes suggest an important physiological component. Here, we use a trait-based model of species’ metabolic O</w:t>
      </w:r>
      <w:r>
        <w:rPr>
          <w:vertAlign w:val="subscript"/>
        </w:rPr>
        <w:t>2</w:t>
      </w:r>
      <w:r>
        <w:t>balance to demonstrate that temperature-dependent hypoxia can explain the taxonomic selectivity of the end-Permian mass extinction. Direct respirometry experiments and physiological trait estimates derived from biogeographic data reveal that species belonging to the Paleozoic fauna have a higher temperature dependence of hypoxia than those belonging to the Modern fauna. In simulations of the climate transition, this trait difference leads to a greater loss of aerobic habitat for Paleozoic fauna, consistent with their observed greater extinction intensity. These results demonstrate that differences in average physiological tolerances to environmental change across biogeography, taxonomy, and functional ecology drove end-Permian extinction patterns and could eventually characterize the modern biodiversity crisis. Temperature-dependent hypoxia is the only kill mechanism that has been shown to explain the magnitude, biogeography, and now taxonomic selectivity of the end-Permian mass extinction, ultimately underlying the permanent shift in marine ecosystems across this transition.</w:t>
      </w:r>
    </w:p>
    <w:p>
      <w:pPr>
        <w:spacing w:before="120" w:after="120"/>
      </w:pPr>
      <w:r>
        <w:rPr>
          <w:sz w:val="18"/>
        </w:rPr>
        <w:t>——————————————————————————————————————————————————————————————————————</w:t>
      </w:r>
    </w:p>
    <w:p>
      <w:pPr>
        <w:spacing w:before="160" w:after="40" w:line="240" w:lineRule="auto"/>
      </w:pPr>
      <w:r>
        <w:rPr>
          <w:b/>
        </w:rPr>
        <w:t xml:space="preserve">[143] </w:t>
      </w:r>
      <w:hyperlink r:id="rId515">
        <w:r>
          <w:rPr>
            <w:color w:val="1155CC"/>
            <w:u w:val="single"/>
          </w:rPr>
          <w:t>小而强大：小型水体在全球碳循环中的巨大作用</w:t>
        </w:r>
      </w:hyperlink>
    </w:p>
    <w:p>
      <w:pPr>
        <w:spacing w:before="0" w:after="80"/>
      </w:pPr>
      <w:r>
        <w:rPr>
          <w:i/>
          <w:sz w:val="20"/>
        </w:rPr>
        <w:t>EN: Small but mighty: The outsized role of small water bodies in the global carbon cycle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16">
        <w:r>
          <w:rPr>
            <w:color w:val="1155CC"/>
            <w:u w:val="single"/>
          </w:rPr>
          <w:t>10.1073/pnas.2614198123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[144] </w:t>
      </w:r>
      <w:hyperlink r:id="rId517">
        <w:r>
          <w:rPr>
            <w:color w:val="1155CC"/>
            <w:u w:val="single"/>
          </w:rPr>
          <w:t>应激颗粒作为 RNA 分类中枢抑制癌症氧化应激下细胞外囊泡的分泌</w:t>
        </w:r>
      </w:hyperlink>
    </w:p>
    <w:p>
      <w:pPr>
        <w:spacing w:before="0" w:after="80"/>
      </w:pPr>
      <w:r>
        <w:rPr>
          <w:i/>
          <w:sz w:val="20"/>
        </w:rPr>
        <w:t>EN: Stress granules as RNA triage hubs suppress extracellular vesicle secretion under oxidative stress in cancer</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18">
        <w:r>
          <w:rPr>
            <w:color w:val="1155CC"/>
            <w:u w:val="single"/>
          </w:rPr>
          <w:t>10.1073/pnas.2533990123</w:t>
        </w:r>
      </w:hyperlink>
    </w:p>
    <w:p>
      <w:pPr>
        <w:spacing w:before="0" w:after="120"/>
      </w:pPr>
      <w:r>
        <w:rPr>
          <w:b/>
        </w:rPr>
        <w:t xml:space="preserve">Notes: </w:t>
      </w:r>
      <w:r>
        <w:t>abstract_source=crossref</w:t>
      </w:r>
    </w:p>
    <w:p>
      <w:pPr>
        <w:spacing w:before="0" w:after="80" w:lineRule="auto" w:line="276"/>
      </w:pPr>
      <w:r>
        <w:rPr>
          <w:b/>
        </w:rPr>
        <w:t xml:space="preserve">摘要（ZH）: </w:t>
      </w:r>
      <w:r>
        <w:t>面临氧化应激的癌细胞必须协调其细胞外囊泡（EV）分泌，以平衡细胞间信号传导与生存所需的细胞内程序，但如何整合这些决定仍然知之甚少。在这里，我们确定了一种应激适应性机制，其中应激颗粒（SG）选择性抑制 CD63</w:t>
      </w:r>
      <w:r>
        <w:t xml:space="preserve"> </w:t>
      </w:r>
      <w:r>
        <w:t>+</w:t>
      </w:r>
      <w:r>
        <w:t xml:space="preserve"> </w:t>
      </w:r>
      <w:r>
        <w:t>电动汽车发布。使用生物发光 EV 报告屏幕，我们发现临床化合物 YM155 选择性抑制 CD63</w:t>
      </w:r>
      <w:r>
        <w:t xml:space="preserve"> </w:t>
      </w:r>
      <w:r>
        <w:t>+</w:t>
      </w:r>
      <w:r>
        <w:t xml:space="preserve"> </w:t>
      </w:r>
      <w:r>
        <w:t>EV在不同肿瘤细胞中的分泌。从机制上讲，YM155 快速灭活抗氧化转录因子 FOXO3a，减少关键解毒酶的表达，并导致活性氧 (ROS) 延迟但持续的积累。 ROS 升高促进 SG 形成，这些 SG 的功能不是被动存储位点，而是作为 RNA 分类中心，排除和破坏转录子子集的稳定性。其中，Rab27A mRNA（编码多囊泡体与质膜对接所必需的 GTPase）被选择性排除和降解，导致 Rab27A 蛋白丢失并抑制 CD63</w:t>
      </w:r>
      <w:r>
        <w:t xml:space="preserve"> </w:t>
      </w:r>
      <w:r>
        <w:t>+</w:t>
      </w:r>
      <w:r>
        <w:t xml:space="preserve"> </w:t>
      </w:r>
      <w:r>
        <w:t>EV 分泌。强制 Rab27A 表达可恢复 EV 释放，但矛盾的是氧化应激下的增殖减少，表明 EV 抑制有利于存活。相同的 FOXO3a-ROS-SG-Rab27A 轴在生理性葡萄糖剥夺期间起作用，并且在体内很明显，其中 SG 在异种移植肿瘤和循环 CD63 中形成</w:t>
      </w:r>
      <w:r>
        <w:t xml:space="preserve"> </w:t>
      </w:r>
      <w:r>
        <w:t>+</w:t>
      </w:r>
    </w:p>
    <w:p>
      <w:pPr>
        <w:spacing w:before="0" w:after="200" w:lineRule="auto" w:line="276"/>
      </w:pPr>
      <w:r>
        <w:rPr>
          <w:b/>
        </w:rPr>
        <w:t xml:space="preserve">Abstract (EN): </w:t>
      </w:r>
      <w:r>
        <w:t>Cancer cells confronting oxidative stress must coordinate their extracellular vesicle (EV) secretion to balance intercellular signaling with the intracellular programs required for survival, yet how these decisions are integrated remains poorly understood. Here, we identify a stress-adaptive mechanism in which stress granules (SGs) selectively suppress CD63</w:t>
      </w:r>
      <w:r>
        <w:t xml:space="preserve"> </w:t>
      </w:r>
      <w:r>
        <w:t>+</w:t>
      </w:r>
      <w:r>
        <w:t xml:space="preserve"> </w:t>
      </w:r>
      <w:r>
        <w:t>EV release. Using a bioluminescent EV–reporter screen, we found that the clinical compound YM155 selectively inhibits CD63</w:t>
      </w:r>
      <w:r>
        <w:t xml:space="preserve"> </w:t>
      </w:r>
      <w:r>
        <w:t>+</w:t>
      </w:r>
      <w:r>
        <w:t xml:space="preserve"> </w:t>
      </w:r>
      <w:r>
        <w:t>EV secretion across diverse tumor cells. Mechanistically, YM155 rapidly inactivates the antioxidant transcription factor FOXO3a, diminishing expression of key detoxifying enzymes and leading to delayed but sustained accumulation of reactive oxygen species (ROS). Elevated ROS drives SG formation, and these SGs function not as passive storage sites but as RNA triage hubs that exclude and destabilize a subset of transcripts. Among them, Rab27A mRNA—encoding a GTPase essential for multivesicular-body docking to the plasma membrane—is selectively excluded and degraded, resulting in loss of Rab27A protein and suppression of CD63</w:t>
      </w:r>
      <w:r>
        <w:t xml:space="preserve"> </w:t>
      </w:r>
      <w:r>
        <w:t>+</w:t>
      </w:r>
      <w:r>
        <w:t xml:space="preserve"> </w:t>
      </w:r>
      <w:r>
        <w:t>EV secretion. Forced Rab27A expression restores EV release but paradoxically reduces proliferation under oxidative stress, indicating that EV suppression is prosurvival. The same FOXO3a–ROS–SG–Rab27A axis operates during physiological glucose deprivation and is evident in vivo, where SGs form in xenograft tumors and circulating CD63</w:t>
      </w:r>
      <w:r>
        <w:t xml:space="preserve"> </w:t>
      </w:r>
      <w:r>
        <w:t>+</w:t>
      </w:r>
      <w:r>
        <w:t xml:space="preserve"> </w:t>
      </w:r>
      <w:r>
        <w:t>EVs decline. Pancancer transcriptomic analyses further show that Rab27A expression correlates with FOXO3a-dependent antioxidant programs, underscoring clinical relevance. These findings reveal that SGs actively reprogram RNA fate to tune vesicle output, establishing a redox-responsive mechanism by which cancer cells transiently suppress EV secretion to enhance survival.</w:t>
      </w:r>
    </w:p>
    <w:p>
      <w:pPr>
        <w:spacing w:before="120" w:after="120"/>
      </w:pPr>
      <w:r>
        <w:rPr>
          <w:sz w:val="18"/>
        </w:rPr>
        <w:t>——————————————————————————————————————————————————————————————————————</w:t>
      </w:r>
    </w:p>
    <w:p>
      <w:pPr>
        <w:spacing w:before="160" w:after="40" w:line="240" w:lineRule="auto"/>
      </w:pPr>
      <w:r>
        <w:rPr>
          <w:b/>
        </w:rPr>
        <w:t xml:space="preserve">[145] </w:t>
      </w:r>
      <w:hyperlink r:id="rId519">
        <w:r>
          <w:rPr>
            <w:color w:val="1155CC"/>
            <w:u w:val="single"/>
          </w:rPr>
          <w:t>用于生物膜连续处理的磁驱动微型机器人系统</w:t>
        </w:r>
      </w:hyperlink>
    </w:p>
    <w:p>
      <w:pPr>
        <w:spacing w:before="0" w:after="80"/>
      </w:pPr>
      <w:r>
        <w:rPr>
          <w:i/>
          <w:sz w:val="20"/>
        </w:rPr>
        <w:t>EN: Magnetically actuated microrobotic system for sequential treatment of biofilm</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20">
        <w:r>
          <w:rPr>
            <w:color w:val="1155CC"/>
            <w:u w:val="single"/>
          </w:rPr>
          <w:t>10.1073/pnas.2535216123</w:t>
        </w:r>
      </w:hyperlink>
    </w:p>
    <w:p>
      <w:pPr>
        <w:spacing w:before="0" w:after="120"/>
      </w:pPr>
      <w:r>
        <w:rPr>
          <w:b/>
        </w:rPr>
        <w:t xml:space="preserve">Notes: </w:t>
      </w:r>
      <w:r>
        <w:t>abstract_source=crossref</w:t>
      </w:r>
    </w:p>
    <w:p>
      <w:pPr>
        <w:spacing w:before="0" w:after="80" w:lineRule="auto" w:line="276"/>
      </w:pPr>
      <w:r>
        <w:rPr>
          <w:b/>
        </w:rPr>
        <w:t xml:space="preserve">摘要（ZH）: </w:t>
      </w:r>
      <w:r>
        <w:t>由于抗生素耐药性和组织愈合受损，生物膜相关感染提出了严峻的治疗挑战。在这里，我们提出了一种微型机器人系统（MZ-8），它将实时人类操纵导航与自主微环境响应疗​​法相结合，以主动根除生物膜并促进组织再生。该微型机器人系统具有用于机械生物膜破坏的脊柱启发结构、用于免疫调节锌的 pH 响应型 ZIF-8 涂层</w:t>
      </w:r>
      <w:r>
        <w:t xml:space="preserve"> </w:t>
      </w:r>
      <w:r>
        <w:t>2+</w:t>
      </w:r>
      <w:r>
        <w:t xml:space="preserve"> </w:t>
      </w:r>
      <w:r>
        <w:t>在第二近红外荧光引导下释放和闭环驱动。在假体周围关节感染的大鼠模型中，MZ-8 实现了有效的生物膜去除，通过将巨噬细胞极化向 M2 表型来诱导促再生免疫反应，并显着增强组织再生。转录组分析进一步揭示了免疫调节途径的激活和 M2 相关基因的上调，证实了系统从根除到修复的顺序转变。此外，在兔模型和人体膝关节中的验证证实了其在临床影像指导下的操作可行性和良好的生物安全性。这项工作表明，将物理根除、生化免疫调节和交互控制整合在一个系统内对于从感染清除到功能组织恢复至关重要。因此，它为生物膜相关疾病提供了治疗范例，并为未来智能、临床适应性抗感染系统奠定了基础。</w:t>
      </w:r>
    </w:p>
    <w:p>
      <w:pPr>
        <w:spacing w:before="0" w:after="200" w:lineRule="auto" w:line="276"/>
      </w:pPr>
      <w:r>
        <w:rPr>
          <w:b/>
        </w:rPr>
        <w:t xml:space="preserve">Abstract (EN): </w:t>
      </w:r>
      <w:r>
        <w:t>Biofilm-associated infections present a critical therapeutic challenge due to antibiotic resistance and impaired tissue healing. Here, we present a microrobotic system (MZ-8) that integrates real-time human-steered navigation with autonomous, microenvironment-responsive therapy to actively eradicate biofilms and promote tissue regeneration. This microrobotic system features a spine-inspired structure for mechanical biofilm disruption, a pH-responsive ZIF-8 coating for immunomodulatory Zn</w:t>
      </w:r>
      <w:r>
        <w:t xml:space="preserve"> </w:t>
      </w:r>
      <w:r>
        <w:t>2+</w:t>
      </w:r>
      <w:r>
        <w:t xml:space="preserve"> </w:t>
      </w:r>
      <w:r>
        <w:t>release, and closed-loop actuation under second near-infrared fluorescence guidance. In a rat model of periprosthetic joint infection, MZ-8 achieved effective biofilm removal, induced a pro-regenerative immune response by polarizing macrophages toward the M2 phenotype, and significantly enhanced tissue regeneration. Transcriptomic analysis further revealed the activation of immunomodulatory pathways and upregulation of M2-associated genes, confirming the system’s sequential shift from eradication to repair. Moreover, validation in a rabbit model and human knee joint confirmed its operational feasibility under clinical imaging guidance and excellent biosafety. This work establishes that integrating physical eradication, biochemical immunomodulation, and interactive control within a single system is essential for advancing from infection clearance to functional tissue restoration. Thus, it provides a therapeutic paradigm for biofilm-associated diseases and lays a foundation for future intelligent, clinically adaptive anti-infective systems.</w:t>
      </w:r>
    </w:p>
    <w:p>
      <w:pPr>
        <w:spacing w:before="120" w:after="120"/>
      </w:pPr>
      <w:r>
        <w:rPr>
          <w:sz w:val="18"/>
        </w:rPr>
        <w:t>——————————————————————————————————————————————————————————————————————</w:t>
      </w:r>
    </w:p>
    <w:p>
      <w:pPr>
        <w:spacing w:before="160" w:after="40" w:line="240" w:lineRule="auto"/>
      </w:pPr>
      <w:r>
        <w:rPr>
          <w:b/>
        </w:rPr>
        <w:t xml:space="preserve">[146] </w:t>
      </w:r>
      <w:hyperlink r:id="rId521">
        <w:r>
          <w:rPr>
            <w:color w:val="1155CC"/>
            <w:u w:val="single"/>
          </w:rPr>
          <w:t>教育扩张与弗林效应的隐性逆转——社会经济阶层的差异趋势</w:t>
        </w:r>
      </w:hyperlink>
    </w:p>
    <w:p>
      <w:pPr>
        <w:spacing w:before="0" w:after="80"/>
      </w:pPr>
      <w:r>
        <w:rPr>
          <w:i/>
          <w:sz w:val="20"/>
        </w:rPr>
        <w:t>EN: Educational expansion and the hidden reversal of the Flynn effect—Differential trends across socioeconomic strata</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22">
        <w:r>
          <w:rPr>
            <w:color w:val="1155CC"/>
            <w:u w:val="single"/>
          </w:rPr>
          <w:t>10.1073/pnas.2536089123</w:t>
        </w:r>
      </w:hyperlink>
    </w:p>
    <w:p>
      <w:pPr>
        <w:spacing w:before="0" w:after="120"/>
      </w:pPr>
      <w:r>
        <w:rPr>
          <w:b/>
        </w:rPr>
        <w:t xml:space="preserve">Notes: </w:t>
      </w:r>
      <w:r>
        <w:t>abstract_source=crossref</w:t>
      </w:r>
    </w:p>
    <w:p>
      <w:pPr>
        <w:spacing w:before="0" w:after="80" w:lineRule="auto" w:line="276"/>
      </w:pPr>
      <w:r>
        <w:rPr>
          <w:b/>
        </w:rPr>
        <w:t xml:space="preserve">摘要（ZH）: </w:t>
      </w:r>
      <w:r>
        <w:t>近几十年来，美国和几个欧洲国家在 20 世纪积累的认知测试分数的人口水平增长出现了停滞和逆转，这就是弗林效应。我们研究了弗林效应及其逆转（群体平均分数下降）是否因社会经济地位而有所不同，以及教育的变化是否可以解释这一点。我们使用与几乎完全覆盖人口的行政记录相关的强制军事征兵认知测试，研究了来自 25 个出生队列（1967-1991）的 579,379 名挪威男性。趋势逆转首先出现在高收入父亲的儿子中，低收入和中等收入群体随后达到峰值，峰值后下降幅度较小。这些社会经济差异与征兵时受教育程度的趋同一致：在父亲收入排名中，队列测试分数的变化与征兵年龄时队列教育的进步一致，估计的学校教育效应大小与准实验证据一致。结果对父母教育、出生体重和身高作为产前状况和儿童营养的代理进行调整后是稳健的。总之，这些发现表明，人群认知得分的潜在下降开始得比之前假设的要早，但在低收入阶层中通过扩大教育程度而暂时被抵消。在教育扩张趋于稳定后，所有群体的分数均出现下降，其中高收入阶层的得分下降幅度最大。因此，完成高中教育成为一个重要因素</w:t>
      </w:r>
    </w:p>
    <w:p>
      <w:pPr>
        <w:spacing w:before="0" w:after="200" w:lineRule="auto" w:line="276"/>
      </w:pPr>
      <w:r>
        <w:rPr>
          <w:b/>
        </w:rPr>
        <w:t xml:space="preserve">Abstract (EN): </w:t>
      </w:r>
      <w:r>
        <w:t>In recent decades, the United States and several European countries have seen a plateau and reversal of the population-level gains in cognitive test scores that accumulated over the 20th century—the Flynn effect. We examined whether the Flynn effect and its reversal—declining mean scores across cohorts—differ by socioeconomic status, and whether changes in education can account for this. Using compulsory military conscription cognitive tests linked to administrative records with near-complete population coverage, we studied 579,379 Norwegian men from 25 birth cohorts (1967–1991). Trend reversals appeared first among sons of high-income fathers, with low- and middle-income groups peaking later and showing smaller postpeak declines. These socioeconomic differences were consistent with convergence in educational attainment at conscription: across paternal-income ranks, cohort changes in test scores aligned with cohort gains in education at conscription age, with estimated schooling effect sizes in line with quasi-experimental evidence. Results were robust to adjustment for parental education, and birth weight and height at testing as proxies for prenatal conditions and childhood nutrition. Together, the findings suggest an underlying population-level decline in cognitive scores that began earlier than previously assumed but was temporarily offset in lower-income strata by expanding educational attainment. After educational expansion plateaued, scores declined across all groups, most steeply among higher-income strata. Upper-secondary education completion thus emerges as a potential lever for improving cognitive performance and reducing income-related disparities in cognitive ability scores, while highlighting that broader societal pressures on cognitive test performance may have started earlier than recognized.</w:t>
      </w:r>
    </w:p>
    <w:p>
      <w:pPr>
        <w:spacing w:before="120" w:after="120"/>
      </w:pPr>
      <w:r>
        <w:rPr>
          <w:sz w:val="18"/>
        </w:rPr>
        <w:t>——————————————————————————————————————————————————————————————————————</w:t>
      </w:r>
    </w:p>
    <w:p>
      <w:pPr>
        <w:spacing w:before="160" w:after="40" w:line="240" w:lineRule="auto"/>
      </w:pPr>
      <w:r>
        <w:rPr>
          <w:b/>
        </w:rPr>
        <w:t xml:space="preserve">[147] </w:t>
      </w:r>
      <w:hyperlink r:id="rId523">
        <w:r>
          <w:rPr>
            <w:color w:val="1155CC"/>
            <w:u w:val="single"/>
          </w:rPr>
          <w:t>政府项目中的支付诚信：将行为科学纳入美国联邦评估的要点</w:t>
        </w:r>
      </w:hyperlink>
    </w:p>
    <w:p>
      <w:pPr>
        <w:spacing w:before="0" w:after="80"/>
      </w:pPr>
      <w:r>
        <w:rPr>
          <w:i/>
          <w:sz w:val="20"/>
        </w:rPr>
        <w:t>EN: Payment integrity in government programs: Takeaways from incorporating the behavioral sciences in US federal evaluations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24">
        <w:r>
          <w:rPr>
            <w:color w:val="1155CC"/>
            <w:u w:val="single"/>
          </w:rPr>
          <w:t>10.1073/pnas.2525993123</w:t>
        </w:r>
      </w:hyperlink>
    </w:p>
    <w:p>
      <w:pPr>
        <w:spacing w:before="0" w:after="120"/>
      </w:pPr>
      <w:r>
        <w:rPr>
          <w:b/>
        </w:rPr>
        <w:t xml:space="preserve">Notes: </w:t>
      </w:r>
      <w:r>
        <w:t>abstract_source=crossref</w:t>
      </w:r>
    </w:p>
    <w:p>
      <w:pPr>
        <w:spacing w:before="0" w:after="80" w:lineRule="auto" w:line="276"/>
      </w:pPr>
      <w:r>
        <w:rPr>
          <w:b/>
        </w:rPr>
        <w:t xml:space="preserve">摘要（ZH）: </w:t>
      </w:r>
      <w:r>
        <w:t>美国联邦政府提供公共产品和服务的主要方式是通过货币支付。确保这些付款得到准确计算、按时交付并支付给正确的接收者对于政府财政健康非常重要。不准确或延迟付款可能会削弱公众对政府的信任并削弱政府的问责制。在本文中，我们研究了一系列影响评估的结果，评估旨在提高美国联邦计划支付完整性的干预措施。低成本、基于证据的干预措施借鉴了社会和行为科学的见解，包括修改表格、改变机构请求信息的方式和时间，以及改变现有的沟通方式。评估由美国总务管理局评估科学办公室与机构合作伙伴合作进行。我们从四项代表性评估中提取了三个要点。首先，现实世界的评估验证了行为科学文献的一个关键含义：减轻个人负担的干预措施效果很小，但可以大规模地有意义地提高支付完整性。其次，随着时间的推移，干预措施的效果会减弱，这表明需要进行迭代评估。最后，官僚主义障碍和行政复杂性是将学术见解转化为现实世界政府项目的主要障碍。应对这些挑战需要行为科学家和实践者在整个干预设计和评估过程中密切合作</w:t>
      </w:r>
    </w:p>
    <w:p>
      <w:pPr>
        <w:spacing w:before="0" w:after="200" w:lineRule="auto" w:line="276"/>
      </w:pPr>
      <w:r>
        <w:rPr>
          <w:b/>
        </w:rPr>
        <w:t xml:space="preserve">Abstract (EN): </w:t>
      </w:r>
      <w:r>
        <w:t>A primary way the US federal government delivers public goods and services is via monetary payments. Ensuring that these payments are calculated accurately, delivered on time, and made to the correct recipients is important for government fiscal health. Inaccurate or delayed payments can weaken public trust in the government and undermine government accountability. In this article, we examine findings from a set of impact evaluations assessing interventions designed to improve payment integrity in US federal programs. The low-cost, evidence-based interventions draw on insights from the social and behavioral sciences and include modification of forms, changes to how and when agencies request information, and altering existing communications. The evaluations were conducted by the US General Services Administration’s Office of Evaluation Sciences in collaboration with agency partners. We extract three takeaways across four representative evaluations. First, the real-world evaluations validate a key implication of the behavioral science literature: interventions that reduce burdens for individuals have small effects that meaningfully improve payment integrity at scale. Second, effects attenuate across interventions and over time, suggesting a need for iterative evaluation. Finally, bureaucratic hurdles and administrative complexity are the main barriers to translating academic insights into real-world government programs. Addressing these challenges will require close collaboration between behavioral scientists and practitioners throughout the intervention design and evaluation process.</w:t>
      </w:r>
    </w:p>
    <w:p>
      <w:pPr>
        <w:spacing w:before="120" w:after="120"/>
      </w:pPr>
      <w:r>
        <w:rPr>
          <w:sz w:val="18"/>
        </w:rPr>
        <w:t>——————————————————————————————————————————————————————————————————————</w:t>
      </w:r>
    </w:p>
    <w:p>
      <w:pPr>
        <w:spacing w:before="160" w:after="40" w:line="240" w:lineRule="auto"/>
      </w:pPr>
      <w:r>
        <w:rPr>
          <w:b/>
        </w:rPr>
        <w:t xml:space="preserve">[148] </w:t>
      </w:r>
      <w:hyperlink r:id="rId525">
        <w:r>
          <w:rPr>
            <w:color w:val="1155CC"/>
            <w:u w:val="single"/>
          </w:rPr>
          <w:t>应用行为和决策科学支持美国 FDA 的药物监管使命</w:t>
        </w:r>
      </w:hyperlink>
    </w:p>
    <w:p>
      <w:pPr>
        <w:spacing w:before="0" w:after="80"/>
      </w:pPr>
      <w:r>
        <w:rPr>
          <w:i/>
          <w:sz w:val="20"/>
        </w:rPr>
        <w:t>EN: Applied behavioral and decision sciences in support of US FDA’s drug regulatory mission</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26">
        <w:r>
          <w:rPr>
            <w:color w:val="1155CC"/>
            <w:u w:val="single"/>
          </w:rPr>
          <w:t>10.1073/pnas.2525995123</w:t>
        </w:r>
      </w:hyperlink>
    </w:p>
    <w:p>
      <w:pPr>
        <w:spacing w:before="0" w:after="120"/>
      </w:pPr>
      <w:r>
        <w:rPr>
          <w:b/>
        </w:rPr>
        <w:t xml:space="preserve">Notes: </w:t>
      </w:r>
      <w:r>
        <w:t>abstract_source=crossref</w:t>
      </w:r>
    </w:p>
    <w:p>
      <w:pPr>
        <w:spacing w:before="0" w:after="80" w:lineRule="auto" w:line="276"/>
      </w:pPr>
      <w:r>
        <w:rPr>
          <w:b/>
        </w:rPr>
        <w:t xml:space="preserve">摘要（ZH）: </w:t>
      </w:r>
      <w:r>
        <w:t>美国食品和药物管理局 (FDA) 制定并传达直接影响美国公众健康选择和福祉的决定。行为和决策科学家长期以来与临床和制药科学家合作，支持 FDA 的制药（医疗药物）监管和公共卫生使命。本视角描述了四个相互关联的案例来说明这些合作：a) 创建利益-风险框架来指导有关新药审批的监管决策； b) 启动内部决策支持服务以促进具体的监管决策； c) 实施以患者为中心的药物开发计划，以加强利用患者的意见来为监管决策提供信息； d) 开发 FDA SOURCE，这是一个动态系统模拟模型，用于评估解决美国阿片类药物过量危机的潜在策略。这些努力成功的关键是其行为和决策科学基础，并由致力于促进与内部和外部合作伙伴的可信合作的专家团队进行战略实施。这些案例为其他面临具有公共影响的复杂决策的机构提供了范例。</w:t>
      </w:r>
    </w:p>
    <w:p>
      <w:pPr>
        <w:spacing w:before="0" w:after="200" w:lineRule="auto" w:line="276"/>
      </w:pPr>
      <w:r>
        <w:rPr>
          <w:b/>
        </w:rPr>
        <w:t xml:space="preserve">Abstract (EN): </w:t>
      </w:r>
      <w:r>
        <w:t>The US Food and Drug Administration (FDA) makes and communicates decisions that directly affect the health choices and well-being of the US public. Behavioral and decision scientists have long supported FDA’s pharmaceutical (medical drug) regulatory and public health mission, working alongside clinical and pharmaceutical scientists. This Perspective describes four interrelated cases illustrating these collaborations: a) creating the Benefit–Risk Framework to guide regulatory decisions regarding new drug approvals; b) launching an internal decision support service to facilitate specific regulatory decisions; c) implementing the Patient-Focused Drug Development initiative to strengthen the use of patient input to inform regulatory decision making; and d) developing FDA SOURCE, a dynamic systems simulation model to assess potential strategies to address the US opioid overdose crisis. Key to the success of these efforts has been their behavioral and decision science foundations, strategically implemented by an expert team dedicated to fostering trusted collaborations with internal and external partners. These cases offer a model for other agencies facing complex decisions of public impact.</w:t>
      </w:r>
    </w:p>
    <w:p>
      <w:pPr>
        <w:spacing w:before="120" w:after="120"/>
      </w:pPr>
      <w:r>
        <w:rPr>
          <w:sz w:val="18"/>
        </w:rPr>
        <w:t>——————————————————————————————————————————————————————————————————————</w:t>
      </w:r>
    </w:p>
    <w:p>
      <w:pPr>
        <w:spacing w:before="160" w:after="40" w:line="240" w:lineRule="auto"/>
      </w:pPr>
      <w:r>
        <w:rPr>
          <w:b/>
        </w:rPr>
        <w:t xml:space="preserve">[149] </w:t>
      </w:r>
      <w:hyperlink r:id="rId527">
        <w:r>
          <w:rPr>
            <w:color w:val="1155CC"/>
            <w:u w:val="single"/>
          </w:rPr>
          <w:t>将政策影响转化为政策影响：金融市场行为科学的经验教训</w:t>
        </w:r>
      </w:hyperlink>
    </w:p>
    <w:p>
      <w:pPr>
        <w:spacing w:before="0" w:after="80"/>
      </w:pPr>
      <w:r>
        <w:rPr>
          <w:i/>
          <w:sz w:val="20"/>
        </w:rPr>
        <w:t>EN: Turning policy implications into policy impact: Lessons from behavioral science in financial markets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28">
        <w:r>
          <w:rPr>
            <w:color w:val="1155CC"/>
            <w:u w:val="single"/>
          </w:rPr>
          <w:t>10.1073/pnas.2525990123</w:t>
        </w:r>
      </w:hyperlink>
    </w:p>
    <w:p>
      <w:pPr>
        <w:spacing w:before="0" w:after="120"/>
      </w:pPr>
      <w:r>
        <w:rPr>
          <w:b/>
        </w:rPr>
        <w:t xml:space="preserve">Notes: </w:t>
      </w:r>
      <w:r>
        <w:t>abstract_source=crossref</w:t>
      </w:r>
    </w:p>
    <w:p>
      <w:pPr>
        <w:spacing w:before="0" w:after="80" w:lineRule="auto" w:line="276"/>
      </w:pPr>
      <w:r>
        <w:rPr>
          <w:b/>
        </w:rPr>
        <w:t xml:space="preserve">摘要（ZH）: </w:t>
      </w:r>
      <w:r>
        <w:t>我们描述研究如何为政策制定提供信息。我们首先总结政策形成过程，提供一个框架来说明科学家和政策制定者之间的互动如何实现互惠互利。然后，我们将描述美国证券交易委员会投资者研究办公室 (OIR) 的四项研究计划，作为行为科学如何帮助政策制定者提供信息的示例。第一项举措建立了一个基于概率的全国代表性调查小组，重点关注美国投资者的行为。其余三项研究了共同基金基准、新兴年金（称为注册指数挂钩年金）和共同基金费用视觉的投资者沟通。最后，我们综合了我们的工作并描述了可以帮助科学家产生政策影响而不仅仅是政策影响的实践。</w:t>
      </w:r>
    </w:p>
    <w:p>
      <w:pPr>
        <w:spacing w:before="0" w:after="200" w:lineRule="auto" w:line="276"/>
      </w:pPr>
      <w:r>
        <w:rPr>
          <w:b/>
        </w:rPr>
        <w:t xml:space="preserve">Abstract (EN): </w:t>
      </w:r>
      <w:r>
        <w:t>We describe how research can inform policymaking. We begin by summarizing the policy formation process, offering a framework illustrating how interactions between scientists and policymakers can provide mutual benefits. We then describe four research initiatives from the Securities and Exchange Commission’s Office of Investor Research (OIR) as examples of how behavioral sciences can help inform policymakers. The first initiative established a probability-based nationally representative survey panel focused on US investor behavior. The remaining three examined investor communications for mutual fund benchmarks, emerging annuities (known as registered index-linked annuities), and mutual fund fee visuals. We conclude by synthesizing our work and describing practices that can help scientists have policy impact, not just policy implications.</w:t>
      </w:r>
    </w:p>
    <w:p>
      <w:pPr>
        <w:spacing w:before="120" w:after="120"/>
      </w:pPr>
      <w:r>
        <w:rPr>
          <w:sz w:val="18"/>
        </w:rPr>
        <w:t>——————————————————————————————————————————————————————————————————————</w:t>
      </w:r>
    </w:p>
    <w:p>
      <w:pPr>
        <w:spacing w:before="160" w:after="40" w:line="240" w:lineRule="auto"/>
      </w:pPr>
      <w:r>
        <w:rPr>
          <w:b/>
        </w:rPr>
        <w:t xml:space="preserve">[150] </w:t>
      </w:r>
      <w:hyperlink r:id="rId529">
        <w:r>
          <w:rPr>
            <w:color w:val="1155CC"/>
            <w:u w:val="single"/>
          </w:rPr>
          <w:t>Brodeur 等人的修正是，在评估定量社会科学的研究可重复性方面，人工智能辅助团队的表现优于人工智能主导的团队，但优于纯人类团队</w:t>
        </w:r>
      </w:hyperlink>
    </w:p>
    <w:p>
      <w:pPr>
        <w:spacing w:before="0" w:after="80"/>
      </w:pPr>
      <w:r>
        <w:rPr>
          <w:i/>
          <w:sz w:val="20"/>
        </w:rPr>
        <w:t>EN: Correction for Brodeur et al., AI-assisted teams outperform AI-led teams but not human-only teams in assessing research reproducibility in quantitative social science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30">
        <w:r>
          <w:rPr>
            <w:color w:val="1155CC"/>
            <w:u w:val="single"/>
          </w:rPr>
          <w:t>10.1073/pnas.2621051123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531">
        <w:r>
          <w:rPr>
            <w:color w:val="1155CC"/>
            <w:u w:val="single"/>
          </w:rPr>
          <w:t>形式逻辑推理的证据表明，思维语言不是自然语言</w:t>
        </w:r>
      </w:hyperlink>
    </w:p>
    <w:p>
      <w:pPr>
        <w:spacing w:before="0" w:after="80"/>
      </w:pPr>
      <w:r>
        <w:rPr>
          <w:i/>
          <w:sz w:val="20"/>
        </w:rPr>
        <w:t>EN: Evidence from formal logical reasoning reveals that the language of thought is not natural language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32">
        <w:r>
          <w:rPr>
            <w:color w:val="1155CC"/>
            <w:u w:val="single"/>
          </w:rPr>
          <w:t>10.1073/pnas.2520095123</w:t>
        </w:r>
      </w:hyperlink>
    </w:p>
    <w:p>
      <w:pPr>
        <w:spacing w:before="0" w:after="120"/>
      </w:pPr>
      <w:r>
        <w:rPr>
          <w:b/>
        </w:rPr>
        <w:t xml:space="preserve">Notes: </w:t>
      </w:r>
      <w:r>
        <w:t>abstract_source=crossref</w:t>
      </w:r>
    </w:p>
    <w:p>
      <w:pPr>
        <w:spacing w:before="0" w:after="80" w:lineRule="auto" w:line="276"/>
      </w:pPr>
      <w:r>
        <w:rPr>
          <w:b/>
        </w:rPr>
        <w:t xml:space="preserve">摘要（ZH）: </w:t>
      </w:r>
      <w:r>
        <w:t>人类被赋予了强大的归纳和演绎逻辑思维能力：我们很容易根据几个例子进行概括，并从已知的前提中得出结论。人类可以说拥有动物王国中最复杂的交流系统：自然语言使我们能够表达复杂且结构化的含义。因此，一些人主张复杂思想和语言之间存在紧密的关系，并假设推理（包括逻辑推理）依赖于语言表征。我们使用两种互补的方法系统地研究了逻辑推理和语言之间的关系。首先，我们使用无创脑成像（fMRI）来检查健康成年人参与逻辑推理任务时的神经活动。其次，我们对语言脑区域广泛损伤并因此导致严重语言障碍的个体的逻辑能力进行了行为评估。我们的研究结果表明，语言大脑网络在逻辑推理过程中没有参与，而患有严重失语症的患者在逻辑任务中表现出完整的表现。相反，归纳推理招募广泛涉及目标导向行为的领域通用多重需求网络，而演绎推理则利用与语言和多重需求网络不同的大脑区域。总之，这些结果表明归纳或演绎逻辑推理既不利用也不需要语言表示。</w:t>
      </w:r>
    </w:p>
    <w:p>
      <w:pPr>
        <w:spacing w:before="0" w:after="200" w:lineRule="auto" w:line="276"/>
      </w:pPr>
      <w:r>
        <w:rPr>
          <w:b/>
        </w:rPr>
        <w:t xml:space="preserve">Abstract (EN): </w:t>
      </w:r>
      <w:r>
        <w:t>Humans are endowed with a powerful capacity for inductive and deductive logical thought: we easily form generalizations based on a few examples and draw conclusions from known premises. Humans also arguably have the most sophisticated communication system in the animal kingdom: natural language allows us to express complex and structured meanings. Some have therefore argued for a tight relationship between complex thought and language, postulating that reasoning, including logical reasoning, relies on linguistic representations. We systematically investigated the relationship between logical reasoning and language using two complementary approaches. First, we used noninvasive brain imaging (fMRI) to examine neural activity as healthy adults engaged in logical reasoning tasks. And second, we behaviorally evaluated logical abilities in individuals with extensive lesions to the language brain areas and consequent severe linguistic impairment. Our findings reveal that the language brain network is not engaged during logical reasoning, and patients with severe aphasia exhibit intact performance on logic tasks. Instead, inductive reasoning recruits the domain-general multiple demand network implicated broadly in goal-directed behaviors, whereas deductive reasoning draws on brain regions that are distinct from both the language and the multiple demand networks. Together, these results indicate that linguistic representations are neither utilized nor required for inductive or deductive logical reasoning.</w:t>
      </w:r>
    </w:p>
    <w:p>
      <w:pPr>
        <w:spacing w:before="120" w:after="120"/>
      </w:pPr>
      <w:r>
        <w:rPr>
          <w:sz w:val="18"/>
        </w:rPr>
        <w:t>——————————————————————————————————————————————————————————————————————</w:t>
      </w:r>
    </w:p>
    <w:p>
      <w:pPr>
        <w:spacing w:before="160" w:after="40" w:line="240" w:lineRule="auto"/>
      </w:pPr>
      <w:r>
        <w:rPr>
          <w:b/>
        </w:rPr>
        <w:t xml:space="preserve">[152] </w:t>
      </w:r>
      <w:hyperlink r:id="rId533">
        <w:r>
          <w:rPr>
            <w:color w:val="1155CC"/>
            <w:u w:val="single"/>
          </w:rPr>
          <w:t>加拿大东部北方森林大火加强了火灾燃料负反馈</w:t>
        </w:r>
      </w:hyperlink>
    </w:p>
    <w:p>
      <w:pPr>
        <w:spacing w:before="0" w:after="80"/>
      </w:pPr>
      <w:r>
        <w:rPr>
          <w:i/>
          <w:sz w:val="20"/>
        </w:rPr>
        <w:t>EN: Strengthening of negative fire–fuel feedbacks by large fires in eastern Canadian boreal forests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34">
        <w:r>
          <w:rPr>
            <w:color w:val="1155CC"/>
            <w:u w:val="single"/>
          </w:rPr>
          <w:t>10.1073/pnas.2512303123</w:t>
        </w:r>
      </w:hyperlink>
    </w:p>
    <w:p>
      <w:pPr>
        <w:spacing w:before="0" w:after="120"/>
      </w:pPr>
      <w:r>
        <w:rPr>
          <w:b/>
        </w:rPr>
        <w:t xml:space="preserve">Notes: </w:t>
      </w:r>
      <w:r>
        <w:t>abstract_source=crossref</w:t>
      </w:r>
    </w:p>
    <w:p>
      <w:pPr>
        <w:spacing w:before="0" w:after="80" w:lineRule="auto" w:line="276"/>
      </w:pPr>
      <w:r>
        <w:rPr>
          <w:b/>
        </w:rPr>
        <w:t xml:space="preserve">摘要（ZH）: </w:t>
      </w:r>
      <w:r>
        <w:t>火灾引起的生物量减少限制了一些树冠火灾生态系统中早期植被恢复期间再燃烧的可能性；然而，目前尚不清楚这种负火燃料反馈将如何缓冲气候变化带来的火灾活动的增加。尽管反馈随着上次火灾以来时间的增加和火灾天气严重程度的增加而减弱，但燃料的空间配置如何影响火灾返回间隔仍然未知。通过对加拿大东部北方森林 300 公里纵向横断面的 204 年详细火灾历史重建，我们发现大型火灾的内部区域（距离火灾边缘 &gt; 8 公里）比边缘区域（距离火灾边缘 &lt; 2 公里）在短时间间隔内重新燃烧的可能性要小得多，这表明大型火灾内部的反馈加强了。这一过程可以减少未成熟林分中的火灾，这些林分容易受到树木再生不良的影响，从而对成分变化具有显着的抵抗力。然而，短时间火灾的减少也促进了大片成熟森林的发展，这些森林在四到五年后变得极其容易发生火灾，从而使景观容易发生反复发生的大火。这项研究强调了一个被忽视的机制，即气候变化导致的火灾规模增加可能会使加拿大东部的北方森林遭受较长时间间隔的大火，而不是更频繁的短时间间隔火灾，这应该维持其恢复能力。</w:t>
      </w:r>
    </w:p>
    <w:p>
      <w:pPr>
        <w:spacing w:before="0" w:after="200" w:lineRule="auto" w:line="276"/>
      </w:pPr>
      <w:r>
        <w:rPr>
          <w:b/>
        </w:rPr>
        <w:t xml:space="preserve">Abstract (EN): </w:t>
      </w:r>
      <w:r>
        <w:t>Fire-induced reductions in biomass limit the likelihood of reburning during early vegetation recovery in several crown-fire ecosystems; however, it is unclear how this negative fire–fuel feedback will buffer the rising fire activity expected with climate change. Although the feedback weakens with increasing time since the last fire and with increasing fire-weather severity, how the spatial configuration of fuel influences fire-return intervals remains unknown. Using a detailed 204-y fire history reconstruction along a 300-km longitudinal transect in eastern Canadian boreal forests, we show that interior areas of large fires (&amp;gt;8 km from the fire edge) are much less likely to reburn at short intervals than edges (&amp;lt;2 km from the edge), indicating a strengthening of the feedback within large burns. This process results in fewer fires in immature stands that are vulnerable to poor tree regeneration, thus conferring substantial resistance against compositional changes. However, the reduction in short-interval fires also fosters the development of large patches of mature forest that become extremely fire-prone after 4 to 5 decades and thereby predisposes landscapes to recurrent large fires. This study highlights an overlooked mechanism by which increases in fire size due to climate change may expose boreal forests of eastern Canada to large fires burning at longer intervals rather than to more frequent short-interval fires, which should sustain their capacity to recover.</w:t>
      </w:r>
    </w:p>
    <w:p>
      <w:pPr>
        <w:spacing w:before="120" w:after="120"/>
      </w:pPr>
      <w:r>
        <w:rPr>
          <w:sz w:val="18"/>
        </w:rPr>
        <w:t>——————————————————————————————————————————————————————————————————————</w:t>
      </w:r>
    </w:p>
    <w:p>
      <w:pPr>
        <w:spacing w:before="160" w:after="40" w:line="240" w:lineRule="auto"/>
      </w:pPr>
      <w:r>
        <w:rPr>
          <w:b/>
        </w:rPr>
        <w:t xml:space="preserve">[153] </w:t>
      </w:r>
      <w:hyperlink r:id="rId535">
        <w:r>
          <w:rPr>
            <w:color w:val="1155CC"/>
            <w:u w:val="single"/>
          </w:rPr>
          <w:t>雏鸡早期肠神经元亚型出现的时间分辨形态学和转录组学特征</w:t>
        </w:r>
      </w:hyperlink>
    </w:p>
    <w:p>
      <w:pPr>
        <w:spacing w:before="0" w:after="80"/>
      </w:pPr>
      <w:r>
        <w:rPr>
          <w:i/>
          <w:sz w:val="20"/>
        </w:rPr>
        <w:t>EN: Time-resolved morphological and transcriptomic characterization of early enteric neuron subtype emergence in chick</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36">
        <w:r>
          <w:rPr>
            <w:color w:val="1155CC"/>
            <w:u w:val="single"/>
          </w:rPr>
          <w:t>10.1073/pnas.2511442123</w:t>
        </w:r>
      </w:hyperlink>
    </w:p>
    <w:p>
      <w:pPr>
        <w:spacing w:before="0" w:after="120"/>
      </w:pPr>
      <w:r>
        <w:rPr>
          <w:b/>
        </w:rPr>
        <w:t xml:space="preserve">Notes: </w:t>
      </w:r>
      <w:r>
        <w:t>abstract_source=crossref</w:t>
      </w:r>
    </w:p>
    <w:p>
      <w:pPr>
        <w:spacing w:before="0" w:after="80" w:lineRule="auto" w:line="276"/>
      </w:pPr>
      <w:r>
        <w:rPr>
          <w:b/>
        </w:rPr>
        <w:t xml:space="preserve">摘要（ZH）: </w:t>
      </w:r>
      <w:r>
        <w:t>指导新生肠神经回路的遗传程序及其独特的结构仍然知之甚少。为了获得洞察力，我们以非常短的时间间隔结合了鸡胚胎模型、全肠道三维 (3D) 成像和单核转录组学操作，对神经元亚型轨迹进行时间分辨分析。在成像中，我们发现高度动态的轴突网络生长，轴突密度和空间方向多样化迅速增加。在转录组水平上，我们将这些变化与细胞状态转变与特定的轴突引导基因集相关联。与人类和小鼠胚胎 scRNAseq 和表达谱的交叉分析揭示了所有物种中全球保守的肠谱系轨迹和亚型特异性轴突引导程序。最后，在鸡全肠道培养物中操纵 DSCAM 和 ISLR2 进化保守网络改变了肠轴突模式，验证了我们的范式及其对于推进当前人类肠回路布线知识的适用性。</w:t>
      </w:r>
    </w:p>
    <w:p>
      <w:pPr>
        <w:spacing w:before="0" w:after="200" w:lineRule="auto" w:line="276"/>
      </w:pPr>
      <w:r>
        <w:rPr>
          <w:b/>
        </w:rPr>
        <w:t xml:space="preserve">Abstract (EN): </w:t>
      </w:r>
      <w:r>
        <w:t>The genetic programs directing nascent enteric nervous circuits and their unique architecture remain poorly characterized. To gain insight, we combined manipulations in the chick embryo model, whole gut three-dimensional (3D) imaging, and single-nucleus transcriptomics at very short intervals for time-resolved analyses of neuronal subtype trajectories. In imaging, we found highly dynamic axon network growth, with rapid increase in axon density and spatial orientation diversification. At transcriptomic levels, we correlated these changes to cell-state transitions with specific axon guidance gene sets. Cross-analyses with human and mouse embryo scRNAseq and expression profiles revealed globally conserved enteric lineage trajectories and subtypes specific axon guidance programs in all species. Finally, manipulation of DSCAM and ISLR2 evolutionary conserved networks in chick whole gut cultures altered enteric axon patterns, validating our paradigm and its applicability to advance current knowledge on human enteric circuit wiring.</w:t>
      </w:r>
    </w:p>
    <w:p>
      <w:pPr>
        <w:spacing w:before="120" w:after="120"/>
      </w:pPr>
      <w:r>
        <w:rPr>
          <w:sz w:val="18"/>
        </w:rPr>
        <w:t>——————————————————————————————————————————————————————————————————————</w:t>
      </w:r>
    </w:p>
    <w:p>
      <w:pPr>
        <w:spacing w:before="160" w:after="40" w:line="240" w:lineRule="auto"/>
      </w:pPr>
      <w:r>
        <w:rPr>
          <w:b/>
        </w:rPr>
        <w:t xml:space="preserve">[154] </w:t>
      </w:r>
      <w:hyperlink r:id="rId537">
        <w:r>
          <w:rPr>
            <w:color w:val="1155CC"/>
            <w:u w:val="single"/>
          </w:rPr>
          <w:t>热带森林面临着越来越大的暴露于临界温度阈值的风险</w:t>
        </w:r>
      </w:hyperlink>
    </w:p>
    <w:p>
      <w:pPr>
        <w:spacing w:before="0" w:after="80"/>
      </w:pPr>
      <w:r>
        <w:rPr>
          <w:i/>
          <w:sz w:val="20"/>
        </w:rPr>
        <w:t>EN: Tropical forests are facing increasing risks of exposure to critical temperature thresholds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38">
        <w:r>
          <w:rPr>
            <w:color w:val="1155CC"/>
            <w:u w:val="single"/>
          </w:rPr>
          <w:t>10.1073/pnas.2528622123</w:t>
        </w:r>
      </w:hyperlink>
    </w:p>
    <w:p>
      <w:pPr>
        <w:spacing w:before="0" w:after="120"/>
      </w:pPr>
      <w:r>
        <w:rPr>
          <w:b/>
        </w:rPr>
        <w:t xml:space="preserve">Notes: </w:t>
      </w:r>
      <w:r>
        <w:t>abstract_source=crossref</w:t>
      </w:r>
    </w:p>
    <w:p>
      <w:pPr>
        <w:spacing w:before="0" w:after="80" w:lineRule="auto" w:line="276"/>
      </w:pPr>
      <w:r>
        <w:rPr>
          <w:b/>
        </w:rPr>
        <w:t xml:space="preserve">摘要（ZH）: </w:t>
      </w:r>
      <w:r>
        <w:t>在热浪变得更加严重和频繁的世界中，了解热带树种与可能阻碍光合作用的临界温度阈值的接近程度至关重要。利用遥感地表温度和物种分布图，我们研究了热安全裕度（TSM，即</w:t>
      </w:r>
      <w:r>
        <w:t xml:space="preserve"> </w:t>
      </w:r>
      <w:r>
        <w:t>时间</w:t>
      </w:r>
      <w:r>
        <w:t xml:space="preserve"> </w:t>
      </w:r>
      <w:r>
        <w:t>暴击</w:t>
      </w:r>
      <w:r>
        <w:t xml:space="preserve"> </w:t>
      </w:r>
      <w:r>
        <w:t>、临界光合温度和最高冠层温度）</w:t>
      </w:r>
      <w:r>
        <w:t xml:space="preserve"> </w:t>
      </w:r>
      <w:r>
        <w:rPr>
          <w:vertAlign w:val="subscript"/>
        </w:rPr>
        <w:t>208</w:t>
      </w:r>
      <w:r>
        <w:t xml:space="preserve"> </w:t>
      </w:r>
      <w:r>
        <w:t>2001-2020 年期间南美洲、东南亚和中非的热带树种。尽管总体耐高温能力平均</w:t>
      </w:r>
      <w:r>
        <w:t xml:space="preserve"> </w:t>
      </w:r>
      <w:r>
        <w:t>时间</w:t>
      </w:r>
      <w:r>
        <w:t xml:space="preserve"> </w:t>
      </w:r>
      <w:r>
        <w:t>暴击</w:t>
      </w:r>
      <w:r>
        <w:t xml:space="preserve"> </w:t>
      </w:r>
      <w:r>
        <w:t>的</w:t>
      </w:r>
      <w:r>
        <w:t xml:space="preserve"> </w:t>
      </w:r>
      <w:r>
        <w:t>46.1</w:t>
      </w:r>
      <w:r>
        <w:t xml:space="preserve"> </w:t>
      </w:r>
      <w:r>
        <w:t>°</w:t>
      </w:r>
    </w:p>
    <w:p>
      <w:pPr>
        <w:spacing w:before="0" w:after="200" w:lineRule="auto" w:line="276"/>
      </w:pPr>
      <w:r>
        <w:rPr>
          <w:b/>
        </w:rPr>
        <w:t xml:space="preserve">Abstract (EN): </w:t>
      </w:r>
      <w:r>
        <w:t>Understanding how close tropical tree species are to critical temperature thresholds that might impede photosynthetic activity is vital in a world where heat waves have become more severe and frequent. Using remotely sensed surface temperature and species distribution maps, we studied the spatiotemporal variation in the thermal safety margins (TSM, i.e., the difference between</w:t>
      </w:r>
      <w:r>
        <w:t xml:space="preserve"> </w:t>
      </w:r>
      <w:r>
        <w:t>T</w:t>
      </w:r>
      <w:r>
        <w:t xml:space="preserve"> </w:t>
      </w:r>
      <w:r>
        <w:t>crit</w:t>
      </w:r>
      <w:r>
        <w:t xml:space="preserve"> </w:t>
      </w:r>
      <w:r>
        <w:t>, the critical photosynthetic temperature, and the maximum canopy temperature) of</w:t>
      </w:r>
      <w:r>
        <w:t xml:space="preserve"> </w:t>
      </w:r>
      <w:r>
        <w:rPr>
          <w:vertAlign w:val="subscript"/>
        </w:rPr>
        <w:t>208</w:t>
      </w:r>
      <w:r>
        <w:t xml:space="preserve"> </w:t>
      </w:r>
      <w:r>
        <w:t>tropical tree species in South America, Southeast Asia, and Central Africa during the period 2001–2020. Despite overall high-temperature tolerance with an average</w:t>
      </w:r>
      <w:r>
        <w:t xml:space="preserve"> </w:t>
      </w:r>
      <w:r>
        <w:t>T</w:t>
      </w:r>
      <w:r>
        <w:t xml:space="preserve"> </w:t>
      </w:r>
      <w:r>
        <w:t>crit</w:t>
      </w:r>
      <w:r>
        <w:t xml:space="preserve"> </w:t>
      </w:r>
      <w:r>
        <w:t>of</w:t>
      </w:r>
      <w:r>
        <w:t xml:space="preserve"> </w:t>
      </w:r>
      <w:r>
        <w:t>46.1</w:t>
      </w:r>
      <w:r>
        <w:t xml:space="preserve"> </w:t>
      </w:r>
      <w:r>
        <w:t>°</w:t>
      </w:r>
      <w:r>
        <w:t xml:space="preserve"> </w:t>
      </w:r>
      <w:r>
        <w:t>C, we observed a consistent decline in the TSM of tropical forests across the globe. The average pantropical TSM decline was</w:t>
      </w:r>
      <w:r>
        <w:t xml:space="preserve"> </w:t>
      </w:r>
      <w:r>
        <w:t>0.4</w:t>
      </w:r>
      <w:r>
        <w:t xml:space="preserve"> </w:t>
      </w:r>
      <w:r>
        <w:t>°</w:t>
      </w:r>
      <w:r>
        <w:t xml:space="preserve"> </w:t>
      </w:r>
      <w:r>
        <w:t>C per decade, with the strongest decline in South America (</w:t>
      </w:r>
      <w:r>
        <w:t xml:space="preserve"> </w:t>
      </w:r>
      <w:r>
        <w:t>0.5</w:t>
      </w:r>
      <w:r>
        <w:t xml:space="preserve"> </w:t>
      </w:r>
      <w:r>
        <w:t>°</w:t>
      </w:r>
      <w:r>
        <w:t xml:space="preserve"> </w:t>
      </w:r>
      <w:r>
        <w:t>C per decade). Over the</w:t>
      </w:r>
      <w:r>
        <w:t xml:space="preserve"> </w:t>
      </w:r>
      <w:r>
        <w:rPr>
          <w:vertAlign w:val="subscript"/>
        </w:rPr>
        <w:t>20</w:t>
      </w:r>
      <w:r>
        <w:t xml:space="preserve"> </w:t>
      </w:r>
      <w:r>
        <w:t>-y period, areas that experienced canopy temperatures surpassing the average</w:t>
      </w:r>
      <w:r>
        <w:t xml:space="preserve"> </w:t>
      </w:r>
      <w:r>
        <w:t>T</w:t>
      </w:r>
      <w:r>
        <w:t xml:space="preserve"> </w:t>
      </w:r>
      <w:r>
        <w:t>crit</w:t>
      </w:r>
      <w:r>
        <w:t xml:space="preserve"> </w:t>
      </w:r>
      <w:r>
        <w:t>across reported species increased from</w:t>
      </w:r>
      <w:r>
        <w:t xml:space="preserve"> </w:t>
      </w:r>
      <w:r>
        <w:rPr>
          <w:vertAlign w:val="subscript"/>
        </w:rPr>
        <w:t>43</w:t>
      </w:r>
      <w:r>
        <w:t xml:space="preserve"> </w:t>
      </w:r>
      <w:r>
        <w:t>Mha to</w:t>
      </w:r>
      <w:r>
        <w:t xml:space="preserve"> </w:t>
      </w:r>
      <w:r>
        <w:rPr>
          <w:vertAlign w:val="subscript"/>
        </w:rPr>
        <w:t>57</w:t>
      </w:r>
      <w:r>
        <w:t xml:space="preserve"> </w:t>
      </w:r>
      <w:r>
        <w:t>Mha in the tropics, representing</w:t>
      </w:r>
      <w:r>
        <w:t xml:space="preserve"> </w:t>
      </w:r>
      <w:r>
        <w:rPr>
          <w:vertAlign w:val="subscript"/>
        </w:rPr>
        <w:t>4</w:t>
      </w:r>
      <w:r>
        <w:t>%</w:t>
      </w:r>
      <w:r>
        <w:t xml:space="preserve"> </w:t>
      </w:r>
      <w:r>
        <w:t>of the studied area. This number increases to</w:t>
      </w:r>
      <w:r>
        <w:t xml:space="preserve"> </w:t>
      </w:r>
      <w:r>
        <w:rPr>
          <w:vertAlign w:val="subscript"/>
        </w:rPr>
        <w:t>10</w:t>
      </w:r>
      <w:r>
        <w:t>%</w:t>
      </w:r>
      <w:r>
        <w:t xml:space="preserve"> </w:t>
      </w:r>
      <w:r>
        <w:t>when computing areas where temperatures have surpassed the</w:t>
      </w:r>
      <w:r>
        <w:t xml:space="preserve"> </w:t>
      </w:r>
      <w:r>
        <w:t>T</w:t>
      </w:r>
      <w:r>
        <w:t xml:space="preserve"> </w:t>
      </w:r>
      <w:r>
        <w:t>crit</w:t>
      </w:r>
      <w:r>
        <w:t xml:space="preserve"> </w:t>
      </w:r>
      <w:r>
        <w:t>of the most vulnerable reported species. When considering future trends, as predicted by Earth System Models under medium-to-high emission scenarios, average</w:t>
      </w:r>
      <w:r>
        <w:t xml:space="preserve"> </w:t>
      </w:r>
      <w:r>
        <w:t>T</w:t>
      </w:r>
      <w:r>
        <w:t xml:space="preserve"> </w:t>
      </w:r>
      <w:r>
        <w:t>crit</w:t>
      </w:r>
      <w:r>
        <w:t xml:space="preserve"> </w:t>
      </w:r>
      <w:r>
        <w:t>may be exceeded in an area of</w:t>
      </w:r>
      <w:r>
        <w:t xml:space="preserve"> </w:t>
      </w:r>
      <w:r>
        <w:rPr>
          <w:vertAlign w:val="subscript"/>
        </w:rPr>
        <w:t>83</w:t>
      </w:r>
      <w:r>
        <w:t xml:space="preserve"> </w:t>
      </w:r>
      <w:r>
        <w:t>Mha by</w:t>
      </w:r>
      <w:r>
        <w:t xml:space="preserve"> </w:t>
      </w:r>
      <w:r>
        <w:rPr>
          <w:vertAlign w:val="subscript"/>
        </w:rPr>
        <w:t>2050</w:t>
      </w:r>
      <w:r>
        <w:t xml:space="preserve"> </w:t>
      </w:r>
      <w:r>
        <w:t>and</w:t>
      </w:r>
      <w:r>
        <w:t xml:space="preserve"> </w:t>
      </w:r>
      <w:r>
        <w:rPr>
          <w:vertAlign w:val="subscript"/>
        </w:rPr>
        <w:t>160</w:t>
      </w:r>
      <w:r>
        <w:t xml:space="preserve"> </w:t>
      </w:r>
      <w:r>
        <w:t>Mha by</w:t>
      </w:r>
      <w:r>
        <w:t xml:space="preserve"> </w:t>
      </w:r>
      <w:r>
        <w:rPr>
          <w:vertAlign w:val="subscript"/>
        </w:rPr>
        <w:t>2100</w:t>
      </w:r>
      <w:r>
        <w:t xml:space="preserve"> </w:t>
      </w:r>
      <w:r>
        <w:t>(over</w:t>
      </w:r>
      <w:r>
        <w:t xml:space="preserve"> </w:t>
      </w:r>
      <w:r>
        <w:rPr>
          <w:vertAlign w:val="subscript"/>
        </w:rPr>
        <w:t>10</w:t>
      </w:r>
      <w:r>
        <w:t>%</w:t>
      </w:r>
      <w:r>
        <w:t xml:space="preserve"> </w:t>
      </w:r>
      <w:r>
        <w:t>of the studied area), suggesting major feedback to the global carbon cycle and the world’s biodiversity.</w:t>
      </w:r>
    </w:p>
    <w:p>
      <w:pPr>
        <w:spacing w:before="120" w:after="120"/>
      </w:pPr>
      <w:r>
        <w:rPr>
          <w:sz w:val="18"/>
        </w:rPr>
        <w:t>——————————————————————————————————————————————————————————————————————</w:t>
      </w:r>
    </w:p>
    <w:p>
      <w:pPr>
        <w:spacing w:before="160" w:after="40" w:line="240" w:lineRule="auto"/>
      </w:pPr>
      <w:r>
        <w:rPr>
          <w:b/>
        </w:rPr>
        <w:t xml:space="preserve">[155] </w:t>
      </w:r>
      <w:hyperlink r:id="rId539">
        <w:r>
          <w:rPr>
            <w:color w:val="1155CC"/>
            <w:u w:val="single"/>
          </w:rPr>
          <w:t>用户与数字平台的互动：消费者保护的角度</w:t>
        </w:r>
      </w:hyperlink>
    </w:p>
    <w:p>
      <w:pPr>
        <w:spacing w:before="0" w:after="80"/>
      </w:pPr>
      <w:r>
        <w:rPr>
          <w:i/>
          <w:sz w:val="20"/>
        </w:rPr>
        <w:t>EN: User interaction with digital platforms: A consumer protection perspective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40">
        <w:r>
          <w:rPr>
            <w:color w:val="1155CC"/>
            <w:u w:val="single"/>
          </w:rPr>
          <w:t>10.1073/pnas.2525996123</w:t>
        </w:r>
      </w:hyperlink>
    </w:p>
    <w:p>
      <w:pPr>
        <w:spacing w:before="0" w:after="120"/>
      </w:pPr>
      <w:r>
        <w:rPr>
          <w:b/>
        </w:rPr>
        <w:t xml:space="preserve">Notes: </w:t>
      </w:r>
      <w:r>
        <w:t>abstract_source=crossref</w:t>
      </w:r>
    </w:p>
    <w:p>
      <w:pPr>
        <w:spacing w:before="0" w:after="80" w:lineRule="auto" w:line="276"/>
      </w:pPr>
      <w:r>
        <w:rPr>
          <w:b/>
        </w:rPr>
        <w:t xml:space="preserve">摘要（ZH）: </w:t>
      </w:r>
      <w:r>
        <w:t>数字平台的快速增长改变了消费者与市场互动的方式，并给消费者保护带来了新的挑战。本视角描述了联邦贸易委员会经济局如何利用行为洞察和实证方法来支持防止数字市场中不公平或欺骗性商业行为的努力。我们重点介绍两项研究，这些研究解决了数字消费者保护方面的关键知识差距，包括消费者如何看待和响应广告披露，以及数字设计选择如何影响消费者报告工具的可访问性和有效性。这些研究说明了如何使用行为研究来前瞻性地评估潜在的补救措施，并回顾性地评估联邦贸易委员会 (FTC) 过去行动的影响。第一项研究是一项实验室实验，探讨广告披露的显着性如何影响消费者对广告内容的认知和参与度，其中参与度定义为用户观看广告的时间。第二个是对重新设计的消费者投诉网站的回顾性分析，使用自然实验来评估可用性改进对投诉提交率和信息质量的影响。这些研究共同证明了用户行为的应用研究如何为市场监督和面向消费者的工具的设计提供信息。最后，我们概述了联邦贸易委员会为扩大实证研究的作用而正在进行的努力，以加强基于证据的政策制定的基础。</w:t>
      </w:r>
    </w:p>
    <w:p>
      <w:pPr>
        <w:spacing w:before="0" w:after="200" w:lineRule="auto" w:line="276"/>
      </w:pPr>
      <w:r>
        <w:rPr>
          <w:b/>
        </w:rPr>
        <w:t xml:space="preserve">Abstract (EN): </w:t>
      </w:r>
      <w:r>
        <w:t>The rapid growth of digital platforms has transformed how consumers interact with the marketplace and led to new challenges for consumer protection. This Perspective describes how the Federal Trade Commission’s Bureau of Economics uses behavioral insights and empirical methods to support efforts to prevent unfair or deceptive business practices in digital markets. We highlight two studies that address critical knowledge gaps in digital consumer protection, including how consumers perceive and respond to advertising disclosures and how digital design choices affect the accessibility and effectiveness of consumer reporting tools. The studies illustrate how behavioral research can be used both prospectively, to evaluate potential remedies, and retrospectively, to assess the effects of past Federal Trade Commission (FTC) actions. The first study is a laboratory experiment that examines how the salience of advertising disclosures influences consumer recognition of and engagement with advertising content, where engagement is defined as the time users spend viewing ads. The second is a retrospective analysis of a redesigned consumer complaint website, using a natural experiment to evaluate the effect of usability improvements on complaint submission rates and information quality. Together, these studies demonstrate how applied research on user behavior can inform marketplace oversight and the design of consumer-facing tools. We conclude by outlining ongoing efforts to expand the role of empirical research at the FTC to strengthen the foundation for evidence-based policymaking in an increasingly complex digital environment.</w:t>
      </w:r>
    </w:p>
    <w:p>
      <w:pPr>
        <w:spacing w:before="120" w:after="120"/>
      </w:pPr>
      <w:r>
        <w:rPr>
          <w:sz w:val="18"/>
        </w:rPr>
        <w:t>——————————————————————————————————————————————————————————————————————</w:t>
      </w:r>
    </w:p>
    <w:p>
      <w:pPr>
        <w:spacing w:before="160" w:after="40" w:line="240" w:lineRule="auto"/>
      </w:pPr>
      <w:r>
        <w:rPr>
          <w:b/>
        </w:rPr>
        <w:t xml:space="preserve">[156] </w:t>
      </w:r>
      <w:hyperlink r:id="rId541">
        <w:r>
          <w:rPr>
            <w:color w:val="1155CC"/>
            <w:u w:val="single"/>
          </w:rPr>
          <w:t>Shaked 和 Frenkel 的撤回，越来越好奇：衰老大脑中的脑膜淋巴结构</w:t>
        </w:r>
      </w:hyperlink>
    </w:p>
    <w:p>
      <w:pPr>
        <w:spacing w:before="0" w:after="80"/>
      </w:pPr>
      <w:r>
        <w:rPr>
          <w:i/>
          <w:sz w:val="20"/>
        </w:rPr>
        <w:t>EN: Retraction for Shaked and Frenkel, Curiouser and curiouser: Meningeal lymphoid structures in the aging brain</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42">
        <w:r>
          <w:rPr>
            <w:color w:val="1155CC"/>
            <w:u w:val="single"/>
          </w:rPr>
          <w:t>10.1073/pnas.2621866123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543">
        <w:r>
          <w:rPr>
            <w:color w:val="1155CC"/>
            <w:u w:val="single"/>
          </w:rPr>
          <w:t>4D 力模式可实现血管生成的空间控制</w:t>
        </w:r>
      </w:hyperlink>
    </w:p>
    <w:p>
      <w:pPr>
        <w:spacing w:before="0" w:after="80"/>
      </w:pPr>
      <w:r>
        <w:rPr>
          <w:i/>
          <w:sz w:val="20"/>
        </w:rPr>
        <w:t>EN: 4D force patterning enables spatial control of angiogenesis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44">
        <w:r>
          <w:rPr>
            <w:color w:val="1155CC"/>
            <w:u w:val="single"/>
          </w:rPr>
          <w:t>10.1073/pnas.2532667123</w:t>
        </w:r>
      </w:hyperlink>
    </w:p>
    <w:p>
      <w:pPr>
        <w:spacing w:before="0" w:after="120"/>
      </w:pPr>
      <w:r>
        <w:rPr>
          <w:b/>
        </w:rPr>
        <w:t xml:space="preserve">Notes: </w:t>
      </w:r>
      <w:r>
        <w:t>abstract_source=crossref</w:t>
      </w:r>
    </w:p>
    <w:p>
      <w:pPr>
        <w:spacing w:before="0" w:after="80" w:lineRule="auto" w:line="276"/>
      </w:pPr>
      <w:r>
        <w:rPr>
          <w:b/>
        </w:rPr>
        <w:t xml:space="preserve">摘要（ZH）: </w:t>
      </w:r>
      <w:r>
        <w:t>工程组织的微血管网络仍然是组织工程和再生医学中的一个关键挑战。虽然通过生长因子递送来模式化血管生成的生化方法已显示出希望，但它们无法通过时空控制来模式化持续生长因子，从而限制了有效性。在这里，我们证明动态模式的机械力能够精确地时空控制血管生成萌芽。我们开发了一种磁驱动的人体芯片血管平台，该平台将可灌注的内皮化微通道集成在胶原蛋白基质内，并允许跨三个空间维度和时间（4D）进行无创且可调节的机械刺激。使用自动三轴执行器，我们系统地研究了应变大小、频率和方向如何调节内皮细胞行为和血管形态发生。生理应变大小（5％至15％）的动态机械刺激增强了内皮排列和屏障功能，同时以应变大小依赖性方式促进血管生成：较低的动态应变（5％）最大限度地提高了芽的萌发，而较高的动态应变（15％）则促进了芽的伸长。应变方向的顺序重新定向沿 X、Y 和 Z 方向重新编程发芽轨迹，生成复杂的发芽几何形状，例如 L 形分支。 RNA测序揭示了机械诱导的转录谱与未刺激的对照不同，其特征是与血管生成、机械转导和细胞外相关的基因上调。</w:t>
      </w:r>
    </w:p>
    <w:p>
      <w:pPr>
        <w:spacing w:before="0" w:after="200" w:lineRule="auto" w:line="276"/>
      </w:pPr>
      <w:r>
        <w:rPr>
          <w:b/>
        </w:rPr>
        <w:t xml:space="preserve">Abstract (EN): </w:t>
      </w:r>
      <w:r>
        <w:t>Engineering organized microvascular networks remains a critical challenge in tissue engineering and regenerative medicine. While biochemical approaches for patterning angiogenesis via growth factor delivery have shown promise, their inability to pattern sustained growth factors with spatiotemporal control limits effectiveness. Here, we demonstrate that dynamically patterned mechanical forces enable precise spatiotemporal control over angiogenic sprouting. We developed a magnetically actuated human vessel-on-a-chip platform that integrates a perfusable endothelialized microchannel within a collagen matrix and allows noninvasive and tunable mechanical stimulation across three spatial dimensions and time (4D). Using an automated 3-axis actuator, we systematically investigated how strain magnitude, frequency, and direction modulate endothelial cell behavior and vessel morphogenesis. Dynamic mechanical stimulation at physiological strain magnitudes (5 to 15%) enhanced endothelial alignment and barrier function while promoting angiogenesis in a strain magnitude–dependent manner: lower dynamic strain (5%) maximized sprout initiation, whereas higher dynamic strain (15%) promoted elongation of sprouts. Sequential reorientation of strain direction reprogrammed sprouting trajectories along X, Y, and Z directions, generating complex sprout geometries such as L-shaped branches. RNA sequencing revealed mechanically induced transcriptional profiles distinct from unstimulated controls, characterized by upregulation of genes associated with angiogenesis, mechanotransduction, and extracellular matrix remodeling. Functional perturbation of PIEZO1 reduced strain-induced sprouting without altering barrier function, indicating that dynamic mechanical stimulation engages multiple mechanotransduction pathways to regulate angiogenesis. Collectively, these findings establish a strategy for spatiotemporally controlled angiogenesis through 4D force patterning to program vascular morphogenesis while preserving function. This approach provides a foundation for engineering hierarchically organized vascular networks for tissue regeneration.</w:t>
      </w:r>
    </w:p>
    <w:p>
      <w:pPr>
        <w:spacing w:before="120" w:after="120"/>
      </w:pPr>
      <w:r>
        <w:rPr>
          <w:sz w:val="18"/>
        </w:rPr>
        <w:t>——————————————————————————————————————————————————————————————————————</w:t>
      </w:r>
    </w:p>
    <w:p>
      <w:pPr>
        <w:spacing w:before="160" w:after="40" w:line="240" w:lineRule="auto"/>
      </w:pPr>
      <w:r>
        <w:rPr>
          <w:b/>
        </w:rPr>
        <w:t xml:space="preserve">[158] </w:t>
      </w:r>
      <w:hyperlink r:id="rId545">
        <w:r>
          <w:rPr>
            <w:color w:val="1155CC"/>
            <w:u w:val="single"/>
          </w:rPr>
          <w:t>裂缝驱动的减弱加剧了南极洲西部预计的冰损失</w:t>
        </w:r>
      </w:hyperlink>
    </w:p>
    <w:p>
      <w:pPr>
        <w:spacing w:before="0" w:after="80"/>
      </w:pPr>
      <w:r>
        <w:rPr>
          <w:i/>
          <w:sz w:val="20"/>
        </w:rPr>
        <w:t>EN: Fracture-driven weakening amplifies projected ice loss from West Antarctica</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46">
        <w:r>
          <w:rPr>
            <w:color w:val="1155CC"/>
            <w:u w:val="single"/>
          </w:rPr>
          <w:t>10.1073/pnas.2601529123</w:t>
        </w:r>
      </w:hyperlink>
    </w:p>
    <w:p>
      <w:pPr>
        <w:spacing w:before="0" w:after="120"/>
      </w:pPr>
      <w:r>
        <w:rPr>
          <w:b/>
        </w:rPr>
        <w:t xml:space="preserve">Notes: </w:t>
      </w:r>
      <w:r>
        <w:t>abstract_source=crossref</w:t>
      </w:r>
    </w:p>
    <w:p>
      <w:pPr>
        <w:spacing w:before="0" w:after="80" w:lineRule="auto" w:line="276"/>
      </w:pPr>
      <w:r>
        <w:rPr>
          <w:b/>
        </w:rPr>
        <w:t xml:space="preserve">摘要（ZH）: </w:t>
      </w:r>
      <w:r>
        <w:t>冰架支撑着南极冰盖的流动，但这种稳定作用会随着裂缝的形成而减弱，从而降低冰的粘度并加速冰向海洋的排放。在这里，我们将物理上一致的损伤力学纳入冰盖模型中，并将其应用于阿蒙森海海湾，这是目前南极质量损失的最大贡献者。模拟再现了当今条件下由卫星产生的关键损伤模式。到 2300 年的预测表明，允许损害不断发展会极大地加剧未来的冰损失，使海平面的贡献增加高达 1 倍</w:t>
      </w:r>
      <w:r>
        <w:t xml:space="preserve"> </w:t>
      </w:r>
      <w:r>
        <w:t>～</w:t>
      </w:r>
      <w:r>
        <w:t xml:space="preserve"> </w:t>
      </w:r>
      <w:r>
        <w:t>4.5.即使损害维持在目前的程度，预计贡献也会增加 50 至 130</w:t>
      </w:r>
      <w:r>
        <w:t xml:space="preserve"> </w:t>
      </w:r>
      <w:r>
        <w:t>%</w:t>
      </w:r>
      <w:r>
        <w:t xml:space="preserve"> </w:t>
      </w:r>
      <w:r>
        <w:t>，表明现有裂缝已经导致系统冰损失加剧。基底裂缝主导了这种反应，解释了</w:t>
      </w:r>
      <w:r>
        <w:t xml:space="preserve"> </w:t>
      </w:r>
      <w:r>
        <w:t>～</w:t>
      </w:r>
      <w:r>
        <w:t xml:space="preserve"> </w:t>
      </w:r>
      <w:r>
        <w:t>90% 的伤害引起放大。愈合机制大大减轻了损害，因为忽略重力裂缝闭合和压缩愈合会高估冰损失近 50%。总之，这些结果表明，裂缝驱动的减弱极大地改变了南极冰盖的动态，应该在项目中体现出来。</w:t>
      </w:r>
    </w:p>
    <w:p>
      <w:pPr>
        <w:spacing w:before="0" w:after="200" w:lineRule="auto" w:line="276"/>
      </w:pPr>
      <w:r>
        <w:rPr>
          <w:b/>
        </w:rPr>
        <w:t xml:space="preserve">Abstract (EN): </w:t>
      </w:r>
      <w:r>
        <w:t>Ice shelves buttress the flow of the Antarctic ice sheet, but this stabilizing effect weakens as fractures form, reducing ice viscosity and accelerating ice discharge toward the ocean. Here, we incorporate physically consistent damage mechanics into an ice-sheet model and apply it across the Amundsen Sea Embayment, the largest current contributor to Antarctic mass loss. Simulations reproduce key satellite-derived damage patterns under present-day conditions. Projections to 2300 show that allowing damage to evolve strongly amplifies future ice loss, increasing sea-level contributions by up to a factor of</w:t>
      </w:r>
      <w:r>
        <w:t xml:space="preserve"> </w:t>
      </w:r>
      <w:r>
        <w:t>∼</w:t>
      </w:r>
      <w:r>
        <w:t xml:space="preserve"> </w:t>
      </w:r>
      <w:r>
        <w:t>4.5. Even when damage is held fixed at its present-day extent, projected contributions increase by 50 to 130</w:t>
      </w:r>
      <w:r>
        <w:t xml:space="preserve"> </w:t>
      </w:r>
      <w:r>
        <w:t>%</w:t>
      </w:r>
      <w:r>
        <w:t xml:space="preserve"> </w:t>
      </w:r>
      <w:r>
        <w:t>, indicating that existing fractures already commit the system to enhanced ice loss. Basal crevasses dominate this response, accounting for</w:t>
      </w:r>
      <w:r>
        <w:t xml:space="preserve"> </w:t>
      </w:r>
      <w:r>
        <w:t>∼</w:t>
      </w:r>
      <w:r>
        <w:t xml:space="preserve"> </w:t>
      </w:r>
      <w:r>
        <w:t>90% of damage-induced amplification. Healing mechanisms substantially moderate damage, as neglecting gravitational crevasse closure and compressive healing overestimates ice loss by almost 50%. Together, these results suggest that fracture-driven weakening substantially alters Antarctic ice-sheet dynamics and should be represented in projections of future sea-level rise.</w:t>
      </w:r>
    </w:p>
    <w:p>
      <w:pPr>
        <w:spacing w:before="120" w:after="120"/>
      </w:pPr>
      <w:r>
        <w:rPr>
          <w:sz w:val="18"/>
        </w:rPr>
        <w:t>——————————————————————————————————————————————————————————————————————</w:t>
      </w:r>
    </w:p>
    <w:p>
      <w:pPr>
        <w:spacing w:before="160" w:after="40" w:line="240" w:lineRule="auto"/>
      </w:pPr>
      <w:r>
        <w:rPr>
          <w:b/>
        </w:rPr>
        <w:t xml:space="preserve">[159] </w:t>
      </w:r>
      <w:hyperlink r:id="rId547">
        <w:r>
          <w:rPr>
            <w:color w:val="1155CC"/>
            <w:u w:val="single"/>
          </w:rPr>
          <w:t>小鼠出生后子宫发育的空间转录组图谱</w:t>
        </w:r>
      </w:hyperlink>
    </w:p>
    <w:p>
      <w:pPr>
        <w:spacing w:before="0" w:after="80"/>
      </w:pPr>
      <w:r>
        <w:rPr>
          <w:i/>
          <w:sz w:val="20"/>
        </w:rPr>
        <w:t>EN: Spatial transcriptomic mapping of postnatal mouse uterine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48">
        <w:r>
          <w:rPr>
            <w:color w:val="1155CC"/>
            <w:u w:val="single"/>
          </w:rPr>
          <w:t>10.1073/pnas.2600524123</w:t>
        </w:r>
      </w:hyperlink>
    </w:p>
    <w:p>
      <w:pPr>
        <w:spacing w:before="0" w:after="120"/>
      </w:pPr>
      <w:r>
        <w:rPr>
          <w:b/>
        </w:rPr>
        <w:t xml:space="preserve">Notes: </w:t>
      </w:r>
      <w:r>
        <w:t>abstract_source=crossref</w:t>
      </w:r>
    </w:p>
    <w:p>
      <w:pPr>
        <w:spacing w:before="0" w:after="80" w:lineRule="auto" w:line="276"/>
      </w:pPr>
      <w:r>
        <w:rPr>
          <w:b/>
        </w:rPr>
        <w:t xml:space="preserve">摘要（ZH）: </w:t>
      </w:r>
      <w:r>
        <w:t>出生后子宫发育需要上皮分化、腺体形成和基质组织的精确协调，但在此过程中转录程序如何在空间上整合仍知之甚少。在这里，我们通过将高分辨率原位转录组学与组织学、蛋白质组学、遗传模型和功能测定相结合，生成了从出生后第 3 天到第 21 天的小鼠子宫的空间分辨转录组图。这种方法定义了所有主要子宫细胞类型的时间出现和空间排列，并证明子宫内膜腺体是通过渐进转录重编程从管腔上皮产生的，而不是从预先指定的祖细胞群产生的。空间分析揭示了腺发生过程中信号通路的明显区隔。管腔上皮富含 Wnt 配体和激素受体，而腺上皮参与抑制和负反馈程序，限制 Wnt 活性，同时支持增殖和分化。功能遗传学研究表明，上皮经典 Wnt 信号传导对于青春期前腺体的建立和长期上皮维持至关重要，但对于产后腺体再生来说是可有可无的。视黄酸合成越来越集中在腺体内，而刺猬信号在腺体形态发生过程中极化为上皮至基质轴。其他通路包括 RTK、Notch、TGFβ、BMP、缺氧、Hippo 和 PI3K-mTOR 表现出明显的空间偏差，</w:t>
      </w:r>
    </w:p>
    <w:p>
      <w:pPr>
        <w:spacing w:before="0" w:after="200" w:lineRule="auto" w:line="276"/>
      </w:pPr>
      <w:r>
        <w:rPr>
          <w:b/>
        </w:rPr>
        <w:t xml:space="preserve">Abstract (EN): </w:t>
      </w:r>
      <w:r>
        <w:t>Postnatal uterine development requires precise coordination of epithelial differentiation, gland formation, and stromal organization, yet how transcriptional programs are spatially integrated during this process remains poorly understood. Here, we generated a spatially resolved transcriptomic map of the mouse uterus across key postnatal stages from day 3 to day 21 by combining high resolution in situ transcriptomics with histology, proteomics, genetic models, and functional assays. This approach defines the temporal emergence and spatial arrangement of all major uterine cell types and demonstrates that endometrial glands arise from luminal epithelium through progressive transcriptional reprogramming rather than from a prespecified progenitor population. Spatial analysis reveals marked compartmentalization of signaling pathways during adenogenesis. Luminal epithelium is enriched for Wnt ligands and hormone receptors, whereas glandular epithelium engages inhibitory and negative feedback programs that constrain Wnt activity while supporting proliferation and differentiation. Functional genetic studies establish that epithelial canonical Wnt signaling is essential for prepubertal gland establishment and long-term epithelial maintenance but is dispensable for postpartum gland regeneration. Retinoic acid synthesis becomes increasingly concentrated within glands, while hedgehog signaling polarizes into an epithelial to stromal axis during gland morphogenesis. Additional pathways including RTK, Notch, TGFβ, BMP, hypoxia, Hippo, and PI3K-mTOR exhibit distinct spatial biases that collectively shape epithelial identity and tissue maturation. Together, these findings provide a comprehensive spatial framework for uterine gland development and reveal how compartment specific signaling networks coordinate postnatal uterine morphogenesis.</w:t>
      </w:r>
    </w:p>
    <w:p>
      <w:pPr>
        <w:spacing w:before="120" w:after="120"/>
      </w:pPr>
      <w:r>
        <w:rPr>
          <w:sz w:val="18"/>
        </w:rPr>
        <w:t>——————————————————————————————————————————————————————————————————————</w:t>
      </w:r>
    </w:p>
    <w:p>
      <w:pPr>
        <w:spacing w:before="160" w:after="40" w:line="240" w:lineRule="auto"/>
      </w:pPr>
      <w:r>
        <w:rPr>
          <w:b/>
        </w:rPr>
        <w:t xml:space="preserve">[160] </w:t>
      </w:r>
      <w:hyperlink r:id="rId549">
        <w:r>
          <w:rPr>
            <w:color w:val="1155CC"/>
            <w:u w:val="single"/>
          </w:rPr>
          <w:t>链霉菌中下调信号烷基恶唑的鉴定和分布</w:t>
        </w:r>
      </w:hyperlink>
    </w:p>
    <w:p>
      <w:pPr>
        <w:spacing w:before="0" w:after="80"/>
      </w:pPr>
      <w:r>
        <w:rPr>
          <w:i/>
          <w:sz w:val="20"/>
        </w:rPr>
        <w:t>EN: Identification and distribution of a downregulatory signaling alkyloxazole in Streptomyces</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50">
        <w:r>
          <w:rPr>
            <w:color w:val="1155CC"/>
            <w:u w:val="single"/>
          </w:rPr>
          <w:t>10.1073/pnas.2600233123</w:t>
        </w:r>
      </w:hyperlink>
    </w:p>
    <w:p>
      <w:pPr>
        <w:spacing w:before="0" w:after="120"/>
      </w:pPr>
      <w:r>
        <w:rPr>
          <w:b/>
        </w:rPr>
        <w:t xml:space="preserve">Notes: </w:t>
      </w:r>
      <w:r>
        <w:t>abstract_source=crossref</w:t>
      </w:r>
    </w:p>
    <w:p>
      <w:pPr>
        <w:spacing w:before="0" w:after="80" w:lineRule="auto" w:line="276"/>
      </w:pPr>
      <w:r>
        <w:rPr>
          <w:b/>
        </w:rPr>
        <w:t xml:space="preserve">摘要（ZH）: </w:t>
      </w:r>
      <w:r>
        <w:t>链霉菌属</w:t>
      </w:r>
      <w:r>
        <w:t xml:space="preserve"> </w:t>
      </w:r>
      <w:r>
        <w:t>使用小分子来决定形态发育和次级代谢。大多数这些信号化合物是源自 γ-丁内酯 (GBL) 合成酶的诱导剂。因此，生物合成上不同的下调信号分子仍然没有得到充分研究。</w:t>
      </w:r>
      <w:r>
        <w:t xml:space="preserve"> </w:t>
      </w:r>
      <w:r>
        <w:t>链霉菌属</w:t>
      </w:r>
      <w:r>
        <w:t xml:space="preserve"> </w:t>
      </w:r>
      <w:r>
        <w:t>。在这里，我们报告了烷基恶唑（AOX，</w:t>
      </w:r>
      <w:r>
        <w:rPr>
          <w:vertAlign w:val="subscript"/>
        </w:rPr>
        <w:t>1</w:t>
      </w:r>
      <w:r>
        <w:t>），孢子形成和抗生素产生的下调剂</w:t>
      </w:r>
      <w:r>
        <w:t xml:space="preserve"> </w:t>
      </w:r>
      <w:r>
        <w:t>链霉菌属</w:t>
      </w:r>
      <w:r>
        <w:t xml:space="preserve"> </w:t>
      </w:r>
      <w:r>
        <w:t>。</w:t>
      </w:r>
      <w:r>
        <w:rPr>
          <w:vertAlign w:val="subscript"/>
        </w:rPr>
        <w:t>1</w:t>
      </w:r>
      <w:r>
        <w:t>其结构特点是恶唑头侧翼是由非核糖体肽合成酶（NRPS）合成的烷基尾，该酶尚未在文献中报道过。</w:t>
      </w:r>
      <w:r>
        <w:t xml:space="preserve"> </w:t>
      </w:r>
      <w:r>
        <w:t>链霉菌属</w:t>
      </w:r>
      <w:r>
        <w:t xml:space="preserve"> </w:t>
      </w:r>
      <w:r>
        <w:t>信号分子。功能研究发现</w:t>
      </w:r>
      <w:r>
        <w:rPr>
          <w:vertAlign w:val="subscript"/>
        </w:rPr>
        <w:t>1</w:t>
      </w:r>
      <w:r>
        <w:t>下调孢子和次生代谢</w:t>
      </w:r>
      <w:r>
        <w:t xml:space="preserve"> </w:t>
      </w:r>
      <w:r>
        <w:t>链霉菌属</w:t>
      </w:r>
      <w:r>
        <w:t xml:space="preserve"> </w:t>
      </w:r>
      <w:r>
        <w:t>菌株。基因组挖掘鉴定出 45 个同源生物合成基因簇 (BGC) 仅分布在</w:t>
      </w:r>
      <w:r>
        <w:t xml:space="preserve"> </w:t>
      </w:r>
      <w:r>
        <w:t>链霉菌属</w:t>
      </w:r>
      <w:r>
        <w:t xml:space="preserve"> </w:t>
      </w:r>
      <w:r>
        <w:t>，强调了 AOX 对这一高产属的重要性。总而言之，该报告提出了一类信号分子的下调，广泛影响</w:t>
      </w:r>
    </w:p>
    <w:p>
      <w:pPr>
        <w:spacing w:before="0" w:after="200" w:lineRule="auto" w:line="276"/>
      </w:pPr>
      <w:r>
        <w:rPr>
          <w:b/>
        </w:rPr>
        <w:t xml:space="preserve">Abstract (EN): </w:t>
      </w:r>
      <w:r>
        <w:t>Streptomyces</w:t>
      </w:r>
      <w:r>
        <w:t xml:space="preserve"> </w:t>
      </w:r>
      <w:r>
        <w:t>use small molecules to dictate morphological development and secondary metabolism. Most of these signaling compounds are inducers derived from γ-butyrolactone (GBL)-synthesizing enzymes. As such, biosynthetically distinct and downregulatory signaling molecules remain understudied in</w:t>
      </w:r>
      <w:r>
        <w:t xml:space="preserve"> </w:t>
      </w:r>
      <w:r>
        <w:t>Streptomyces</w:t>
      </w:r>
      <w:r>
        <w:t xml:space="preserve"> </w:t>
      </w:r>
      <w:r>
        <w:t>. Here, we report the identification of alkyloxaozle (AOX,</w:t>
      </w:r>
      <w:r>
        <w:rPr>
          <w:vertAlign w:val="subscript"/>
        </w:rPr>
        <w:t>1</w:t>
      </w:r>
      <w:r>
        <w:t>), a downregulator of sporulation and antibiotic production in</w:t>
      </w:r>
      <w:r>
        <w:t xml:space="preserve"> </w:t>
      </w:r>
      <w:r>
        <w:t>Streptomyces</w:t>
      </w:r>
      <w:r>
        <w:t xml:space="preserve"> </w:t>
      </w:r>
      <w:r>
        <w:t>.</w:t>
      </w:r>
      <w:r>
        <w:rPr>
          <w:vertAlign w:val="subscript"/>
        </w:rPr>
        <w:t>1</w:t>
      </w:r>
      <w:r>
        <w:t>’s structure features an oxazole head flanked by an alkyl tail synthesized by a nonribosomal peptide synthetase (NRPS) that has not been reported in</w:t>
      </w:r>
      <w:r>
        <w:t xml:space="preserve"> </w:t>
      </w:r>
      <w:r>
        <w:t>Streptomyces</w:t>
      </w:r>
      <w:r>
        <w:t xml:space="preserve"> </w:t>
      </w:r>
      <w:r>
        <w:t>signaling molecules. Functional studies found that</w:t>
      </w:r>
      <w:r>
        <w:rPr>
          <w:vertAlign w:val="subscript"/>
        </w:rPr>
        <w:t>1</w:t>
      </w:r>
      <w:r>
        <w:t>downregulated sporulation and secondary metabolism in several</w:t>
      </w:r>
      <w:r>
        <w:t xml:space="preserve"> </w:t>
      </w:r>
      <w:r>
        <w:t>Streptomyces</w:t>
      </w:r>
      <w:r>
        <w:t xml:space="preserve"> </w:t>
      </w:r>
      <w:r>
        <w:t>strains. Genome mining identified 45 homologous biosynthetic gene clusters (BGCs) only distributed in</w:t>
      </w:r>
      <w:r>
        <w:t xml:space="preserve"> </w:t>
      </w:r>
      <w:r>
        <w:t>Streptomyces</w:t>
      </w:r>
      <w:r>
        <w:t xml:space="preserve"> </w:t>
      </w:r>
      <w:r>
        <w:t>, underscoring the importance of AOXs to this productive genus. Altogether, this report presents a downregulatory class of signaling molecules that broadly affect</w:t>
      </w:r>
      <w:r>
        <w:t xml:space="preserve"> </w:t>
      </w:r>
      <w:r>
        <w:t>Streptomyces</w:t>
      </w:r>
      <w:r>
        <w:t xml:space="preserve"> </w:t>
      </w:r>
      <w:r>
        <w:t>and highlights their importance to the genus.</w:t>
      </w:r>
    </w:p>
    <w:p>
      <w:pPr>
        <w:spacing w:before="120" w:after="120"/>
      </w:pPr>
      <w:r>
        <w:rPr>
          <w:sz w:val="18"/>
        </w:rPr>
        <w:t>——————————————————————————————————————————————————————————————————————</w:t>
      </w:r>
    </w:p>
    <w:p>
      <w:pPr>
        <w:spacing w:before="160" w:after="40" w:line="240" w:lineRule="auto"/>
      </w:pPr>
      <w:r>
        <w:rPr>
          <w:b/>
        </w:rPr>
        <w:t xml:space="preserve">[161] </w:t>
      </w:r>
      <w:hyperlink r:id="rId551">
        <w:r>
          <w:rPr>
            <w:color w:val="1155CC"/>
            <w:u w:val="single"/>
          </w:rPr>
          <w:t>中国通过基于平台的食品配送加剧健康不平等</w:t>
        </w:r>
      </w:hyperlink>
    </w:p>
    <w:p>
      <w:pPr>
        <w:spacing w:before="0" w:after="80"/>
      </w:pPr>
      <w:r>
        <w:rPr>
          <w:i/>
          <w:sz w:val="20"/>
        </w:rPr>
        <w:t>EN: Feeding health inequality through platform-based food delivery in China</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52">
        <w:r>
          <w:rPr>
            <w:color w:val="1155CC"/>
            <w:u w:val="single"/>
          </w:rPr>
          <w:t>10.1073/pnas.2538093123</w:t>
        </w:r>
      </w:hyperlink>
    </w:p>
    <w:p>
      <w:pPr>
        <w:spacing w:before="0" w:after="120"/>
      </w:pPr>
      <w:r>
        <w:rPr>
          <w:b/>
        </w:rPr>
        <w:t xml:space="preserve">Notes: </w:t>
      </w:r>
      <w:r>
        <w:t>abstract_source=crossref</w:t>
      </w:r>
    </w:p>
    <w:p>
      <w:pPr>
        <w:spacing w:before="0" w:after="80" w:lineRule="auto" w:line="276"/>
      </w:pPr>
      <w:r>
        <w:rPr>
          <w:b/>
        </w:rPr>
        <w:t xml:space="preserve">摘要（ZH）: </w:t>
      </w:r>
      <w:r>
        <w:t>本研究探讨了在线食品配送平台的扩张如何影响中国的健康不平等。利用跨县平台的交错推出和 2010 年至 2022 年具有全国代表性的面板数据，我们发现低收入个人的超重增加了平台进入，而高收入个人的超重减少了。这种差异通过两个渠道发挥作用：低收入用户增加油炸食品的消费，并将时间从烹饪重新分配到久坐休闲，而高收入用户则减少高热量食物的摄入并增加体力活动。这些行为变化累积成下游健康后果，影响与体重相关的慢性疾病和低收入家庭儿童超重。因此，平等获得数字便利并不能转化为平等的健康福利，这表明技术传播可能会扩大健康差距。</w:t>
      </w:r>
    </w:p>
    <w:p>
      <w:pPr>
        <w:spacing w:before="0" w:after="200" w:lineRule="auto" w:line="276"/>
      </w:pPr>
      <w:r>
        <w:rPr>
          <w:b/>
        </w:rPr>
        <w:t xml:space="preserve">Abstract (EN): </w:t>
      </w:r>
      <w:r>
        <w:t>This study examines how the expansion of online food delivery platforms affects health inequality in China. Exploiting the staggered rollout of platforms across counties and nationally representative panel data from 2010 to 2022, we find that platform entry increases overweight among low-income individuals while reducing it among high-income individuals. This divergence operates through two channels: low-income users increase consumption of fried foods and reallocate time from cooking to sedentary leisure, whereas high-income users reduce intake of calorie-dense foods and increase physical activity. These behavioral changes accumulate into downstream health consequences affecting weight-related chronic diseases and children's overweight in low-income households. Equal access to digital convenience thus does not translate into equal health benefits, suggesting that technological diffusion may amplify health disparities.</w:t>
      </w:r>
    </w:p>
    <w:p>
      <w:pPr>
        <w:spacing w:before="120" w:after="120"/>
      </w:pPr>
      <w:r>
        <w:rPr>
          <w:sz w:val="18"/>
        </w:rPr>
        <w:t>——————————————————————————————————————————————————————————————————————</w:t>
      </w:r>
    </w:p>
    <w:p>
      <w:pPr>
        <w:spacing w:before="160" w:after="40" w:line="240" w:lineRule="auto"/>
      </w:pPr>
      <w:r>
        <w:rPr>
          <w:b/>
        </w:rPr>
        <w:t xml:space="preserve">[162] </w:t>
      </w:r>
      <w:hyperlink r:id="rId553">
        <w:r>
          <w:rPr>
            <w:color w:val="1155CC"/>
            <w:u w:val="single"/>
          </w:rPr>
          <w:t>组蛋白伴侣 HIRA 通过促进 Pol II 暂停释放来调节脂联素表达和肥胖相关的脂肪扩张</w:t>
        </w:r>
      </w:hyperlink>
    </w:p>
    <w:p>
      <w:pPr>
        <w:spacing w:before="0" w:after="80"/>
      </w:pPr>
      <w:r>
        <w:rPr>
          <w:i/>
          <w:sz w:val="20"/>
        </w:rPr>
        <w:t>EN: Histone chaperone HIRA regulates adiponectin expression and obesity-associated adipose expansion by facilitating Pol II pause release</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54">
        <w:r>
          <w:rPr>
            <w:color w:val="1155CC"/>
            <w:u w:val="single"/>
          </w:rPr>
          <w:t>10.1073/pnas.2603875123</w:t>
        </w:r>
      </w:hyperlink>
    </w:p>
    <w:p>
      <w:pPr>
        <w:spacing w:before="0" w:after="120"/>
      </w:pPr>
      <w:r>
        <w:rPr>
          <w:b/>
        </w:rPr>
        <w:t xml:space="preserve">Notes: </w:t>
      </w:r>
      <w:r>
        <w:t>abstract_source=crossref</w:t>
      </w:r>
    </w:p>
    <w:p>
      <w:pPr>
        <w:spacing w:before="0" w:after="80" w:lineRule="auto" w:line="276"/>
      </w:pPr>
      <w:r>
        <w:rPr>
          <w:b/>
        </w:rPr>
        <w:t xml:space="preserve">摘要（ZH）: </w:t>
      </w:r>
      <w:r>
        <w:t>脂肪组织对于维持哺乳动物的葡萄糖和脂质稳态至关重要。然而，脂肪组织功能背后的表观基因组机制仍不清楚。在这里，我们将组蛋白伴侣 HIRA 确定为脂肪组织功能的表观基因组调节剂。脂肪组织特异性敲除</w:t>
      </w:r>
      <w:r>
        <w:t xml:space="preserve"> </w:t>
      </w:r>
      <w:r>
        <w:t>希拉</w:t>
      </w:r>
      <w:r>
        <w:t xml:space="preserve"> </w:t>
      </w:r>
      <w:r>
        <w:t>在小鼠中，在高脂肪饮食引起的肥胖期间，它会损害胰岛素敏感性并抑制脂肪组织的扩张。从机制上讲，HIRA 是表达</w:t>
      </w:r>
      <w:r>
        <w:t xml:space="preserve"> </w:t>
      </w:r>
      <w:r>
        <w:t>脂肪酶</w:t>
      </w:r>
      <w:r>
        <w:t xml:space="preserve"> </w:t>
      </w:r>
      <w:r>
        <w:t>，编码脂肪因子脂联素和脂肪组织中的脂质代谢基因。基因组作图表明 HIRA 与以下基因的启动子和增强子结合：</w:t>
      </w:r>
      <w:r>
        <w:t xml:space="preserve"> </w:t>
      </w:r>
      <w:r>
        <w:t>脂肪酶</w:t>
      </w:r>
      <w:r>
        <w:t xml:space="preserve"> </w:t>
      </w:r>
      <w:r>
        <w:t>和脂肪细胞中的脂质代谢基因。使用 dTAG 系统急性 HIRA 耗竭，然后进行新生的 RNA-Seq 和 ChIP-Seq，表明虽然 HIRA 对于增强子激活和共激活子结合来说在很大程度上是可有可无的，但它通过促进 RNA 聚合酶 II 暂停释放和随后的延伸（可能与 H3.3 沉积无关）来促进靶基因的转录。我们的研究结果揭示了 HIRA 调节转录的机制，并确立了 HIRA 在胰岛素敏感性和脂质代谢中的关键作用，为肥胖和胰岛素抵抗提供了潜在的治疗靶点。</w:t>
      </w:r>
    </w:p>
    <w:p>
      <w:pPr>
        <w:spacing w:before="0" w:after="200" w:lineRule="auto" w:line="276"/>
      </w:pPr>
      <w:r>
        <w:rPr>
          <w:b/>
        </w:rPr>
        <w:t xml:space="preserve">Abstract (EN): </w:t>
      </w:r>
      <w:r>
        <w:t>Adipose tissue is essential for maintaining glucose and lipid homeostasis in mammals. However, epigenomic mechanisms underlying adipose tissue function remain largely unclear. Here, we identify the histone chaperone HIRA as an epigenomic regulator of adipose tissue function. Adipose tissue-specific knockout of</w:t>
      </w:r>
      <w:r>
        <w:t xml:space="preserve"> </w:t>
      </w:r>
      <w:r>
        <w:t>Hira</w:t>
      </w:r>
      <w:r>
        <w:t xml:space="preserve"> </w:t>
      </w:r>
      <w:r>
        <w:t>in mice impairs insulin sensitivity and restrains adipose tissue expansion during high-fat diet-induced obesity. Mechanistically, HIRA is required for the expression of</w:t>
      </w:r>
      <w:r>
        <w:t xml:space="preserve"> </w:t>
      </w:r>
      <w:r>
        <w:t>Adipoq</w:t>
      </w:r>
      <w:r>
        <w:t xml:space="preserve"> </w:t>
      </w:r>
      <w:r>
        <w:t>, encoding the adipokine adiponectin, and lipid metabolism genes in adipose tissue. Genomic mapping reveals that HIRA binds to promoters and enhancers of</w:t>
      </w:r>
      <w:r>
        <w:t xml:space="preserve"> </w:t>
      </w:r>
      <w:r>
        <w:t>Adipoq</w:t>
      </w:r>
      <w:r>
        <w:t xml:space="preserve"> </w:t>
      </w:r>
      <w:r>
        <w:t>and lipid metabolism genes in adipocytes. Acute HIRA depletion using the dTAG system, followed by nascent RNA-Seq and ChIP-Seq, demonstrates that while HIRA is largely dispensable for enhancer activation and coactivator binding, it promotes transcription of target genes by facilitating RNA polymerase II pause release and subsequent elongation likely independently of H3.3 deposition. Our findings uncover a mechanism by which HIRA regulates transcription and establish HIRA’s critical role in insulin sensitivity and lipid metabolism, providing a potential therapeutic target for obesity and insulin resistance.</w:t>
      </w:r>
    </w:p>
    <w:p>
      <w:pPr>
        <w:spacing w:before="120" w:after="120"/>
      </w:pPr>
      <w:r>
        <w:rPr>
          <w:sz w:val="18"/>
        </w:rPr>
        <w:t>——————————————————————————————————————————————————————————————————————</w:t>
      </w:r>
    </w:p>
    <w:p>
      <w:pPr>
        <w:spacing w:before="160" w:after="40" w:line="240" w:lineRule="auto"/>
      </w:pPr>
      <w:r>
        <w:rPr>
          <w:b/>
        </w:rPr>
        <w:t xml:space="preserve">[163] </w:t>
      </w:r>
      <w:hyperlink r:id="rId555">
        <w:r>
          <w:rPr>
            <w:color w:val="1155CC"/>
            <w:u w:val="single"/>
          </w:rPr>
          <w:t>基因调控中的不变非平衡动力学优化信息流</w:t>
        </w:r>
      </w:hyperlink>
    </w:p>
    <w:p>
      <w:pPr>
        <w:spacing w:before="0" w:after="80"/>
      </w:pPr>
      <w:r>
        <w:rPr>
          <w:i/>
          <w:sz w:val="20"/>
        </w:rPr>
        <w:t>EN: Invariant nonequilibrium dynamics in gene regulation optimize information flow</w:t>
      </w:r>
    </w:p>
    <w:p>
      <w:pPr>
        <w:spacing w:before="0" w:after="120"/>
      </w:pPr>
      <w:r>
        <w:rPr>
          <w:b/>
        </w:rPr>
        <w:t xml:space="preserve">Source: </w:t>
      </w:r>
      <w:r>
        <w:t>Proceedings of the National Academy of Sciences: Keyword search for query</w:t>
      </w:r>
      <w:r>
        <w:t xml:space="preserve">    </w:t>
      </w:r>
      <w:r>
        <w:rPr>
          <w:b/>
        </w:rPr>
        <w:t xml:space="preserve">Pub date: </w:t>
      </w:r>
      <w:r>
        <w:t>2026-07-06 07:00:00+00:00</w:t>
      </w:r>
      <w:r>
        <w:t xml:space="preserve">    </w:t>
      </w:r>
      <w:r>
        <w:rPr>
          <w:b/>
        </w:rPr>
        <w:t xml:space="preserve">DOI: </w:t>
      </w:r>
      <w:hyperlink r:id="rId556">
        <w:r>
          <w:rPr>
            <w:color w:val="1155CC"/>
            <w:u w:val="single"/>
          </w:rPr>
          <w:t>10.1073/pnas.2524855123</w:t>
        </w:r>
      </w:hyperlink>
    </w:p>
    <w:p>
      <w:pPr>
        <w:spacing w:before="0" w:after="120"/>
      </w:pPr>
      <w:r>
        <w:rPr>
          <w:b/>
        </w:rPr>
        <w:t xml:space="preserve">Notes: </w:t>
      </w:r>
      <w:r>
        <w:t>abstract_source=crossref</w:t>
      </w:r>
    </w:p>
    <w:p>
      <w:pPr>
        <w:spacing w:before="0" w:after="80" w:lineRule="auto" w:line="276"/>
      </w:pPr>
      <w:r>
        <w:rPr>
          <w:b/>
        </w:rPr>
        <w:t xml:space="preserve">摘要（ZH）: </w:t>
      </w:r>
      <w:r>
        <w:t>真核基因调控依赖于随机但受控的启动子转换，其中基因在转录活性和非活性状态之间转换。尽管这个过程的分子复杂性，但最近的研究揭示了“切换相关时间”的令人惊讶的不变性（</w:t>
      </w:r>
      <w:r>
        <w:t xml:space="preserve"> </w:t>
      </w:r>
      <w:r>
        <w:t>时间</w:t>
      </w:r>
      <w:r>
        <w:t xml:space="preserve"> </w:t>
      </w:r>
      <w:r>
        <w:t>C</w:t>
      </w:r>
      <w:r>
        <w:t xml:space="preserve"> </w:t>
      </w:r>
      <w:r>
        <w:t>)——启动子活性波动的自相关函数的特征衰减时间——跨多个基因和生物体的基因表达水平。迄今为止，还缺乏对这种不变性的生物物理学上合理的解释。在这里，我们表明这种经验约束对最小但现实的转录调控模型提出了严格的要求。具体来说，再现</w:t>
      </w:r>
      <w:r>
        <w:t xml:space="preserve"> </w:t>
      </w:r>
      <w:r>
        <w:t>时间</w:t>
      </w:r>
      <w:r>
        <w:t xml:space="preserve"> </w:t>
      </w:r>
      <w:r>
        <w:t>C</w:t>
      </w:r>
      <w:r>
        <w:t xml:space="preserve"> </w:t>
      </w:r>
      <w:r>
        <w:t>– 不变性需要具有至少四种内部状态和打破细节平衡的非平衡动态的监管架构。使用贝叶斯推理</w:t>
      </w:r>
      <w:r>
        <w:t xml:space="preserve"> </w:t>
      </w:r>
      <w:r>
        <w:t>果蝇</w:t>
      </w:r>
      <w:r>
        <w:t xml:space="preserve"> </w:t>
      </w:r>
      <w:r>
        <w:t>缺口基因表达数据，我们证明这样的模型 i) 定量地再现了观察到的</w:t>
      </w:r>
      <w:r>
        <w:t xml:space="preserve"> </w:t>
      </w:r>
      <w:r>
        <w:t>时间</w:t>
      </w:r>
      <w:r>
        <w:t xml:space="preserve"> </w:t>
      </w:r>
      <w:r>
        <w:t>C</w:t>
      </w:r>
      <w:r>
        <w:t xml:space="preserve"> </w:t>
      </w:r>
      <w:r>
        <w:t>– 不变性，ii) 对参数扰动保持鲁棒性，以及 iii) 最大化从转录因子浓度到基因表达的信息传递。值得注意的是，</w:t>
      </w:r>
      <w:r>
        <w:t xml:space="preserve"> </w:t>
      </w:r>
      <w:r>
        <w:t>时间</w:t>
      </w:r>
      <w:r>
        <w:t xml:space="preserve"> </w:t>
      </w:r>
      <w:r>
        <w:t>C</w:t>
      </w:r>
      <w:r>
        <w:t xml:space="preserve"> </w:t>
      </w:r>
      <w:r>
        <w:t>-我们认为最佳的不变调制策略与当代随机调制的控制理论结果非常相似</w:t>
      </w:r>
    </w:p>
    <w:p>
      <w:pPr>
        <w:spacing w:before="0" w:after="200" w:lineRule="auto" w:line="276"/>
      </w:pPr>
      <w:r>
        <w:rPr>
          <w:b/>
        </w:rPr>
        <w:t xml:space="preserve">Abstract (EN): </w:t>
      </w:r>
      <w:r>
        <w:t>Eukaryotic gene regulation relies on stochastic yet controlled promoter switching, in which genes transition between transcriptionally active and inactive states. Despite the molecular complexity of this process, recent studies have revealed a surprising invariance of the “switching correlation time” (</w:t>
      </w:r>
      <w:r>
        <w:t xml:space="preserve"> </w:t>
      </w:r>
      <w:r>
        <w:t>T</w:t>
      </w:r>
      <w:r>
        <w:t xml:space="preserve"> </w:t>
      </w:r>
      <w:r>
        <w:t>C</w:t>
      </w:r>
      <w:r>
        <w:t xml:space="preserve"> </w:t>
      </w:r>
      <w:r>
        <w:t>)—the characteristic decay time of the autocorrelation function of promoter activity fluctuations—across gene expression levels in multiple genes and organisms. A biophysically plausible explanation for this invariance has so far been lacking. Here, we show that this empirical constraint imposes stringent requirements on minimal yet realistic models of transcriptional regulation. Specifically, reproducing</w:t>
      </w:r>
      <w:r>
        <w:t xml:space="preserve"> </w:t>
      </w:r>
      <w:r>
        <w:t>T</w:t>
      </w:r>
      <w:r>
        <w:t xml:space="preserve"> </w:t>
      </w:r>
      <w:r>
        <w:t>C</w:t>
      </w:r>
      <w:r>
        <w:t xml:space="preserve"> </w:t>
      </w:r>
      <w:r>
        <w:t>–invariance requires regulatory architectures with at least four internal states and nonequilibrium dynamics that break detailed balance. Using Bayesian inference on</w:t>
      </w:r>
      <w:r>
        <w:t xml:space="preserve"> </w:t>
      </w:r>
      <w:r>
        <w:t>Drosophila</w:t>
      </w:r>
      <w:r>
        <w:t xml:space="preserve"> </w:t>
      </w:r>
      <w:r>
        <w:t>gap gene expression data, we demonstrate that such models i) quantitatively reproduce the observed</w:t>
      </w:r>
      <w:r>
        <w:t xml:space="preserve"> </w:t>
      </w:r>
      <w:r>
        <w:t>T</w:t>
      </w:r>
      <w:r>
        <w:t xml:space="preserve"> </w:t>
      </w:r>
      <w:r>
        <w:t>C</w:t>
      </w:r>
      <w:r>
        <w:t xml:space="preserve"> </w:t>
      </w:r>
      <w:r>
        <w:t>–invariance, ii) remain robust to parameter perturbations, and iii) maximize information transmission from transcription factor concentration to gene expression. Remarkably, the</w:t>
      </w:r>
      <w:r>
        <w:t xml:space="preserve"> </w:t>
      </w:r>
      <w:r>
        <w:t>T</w:t>
      </w:r>
      <w:r>
        <w:t xml:space="preserve"> </w:t>
      </w:r>
      <w:r>
        <w:t>C</w:t>
      </w:r>
      <w:r>
        <w:t xml:space="preserve"> </w:t>
      </w:r>
      <w:r>
        <w:t>-invariant modulation strategy we identify as optimal closely parallels contemporary control-theoretic results on the modulation of stochastic switching systems. Taken together, our results suggest that eukaryotic transcriptional regulation operates in a nonequilibrium regime to balance precision, reaction-rate limitations, and energy dissipation, thereby achieving near-optimal information transmission under fundamental physical constraints.</w:t>
      </w:r>
    </w:p>
    <w:p>
      <w:pPr>
        <w:spacing w:before="120" w:after="120"/>
      </w:pPr>
      <w:r>
        <w:rPr>
          <w:sz w:val="18"/>
        </w:rPr>
        <w:t>——————————————————————————————————————————————————————————————————————</w:t>
      </w:r>
    </w:p>
    <w:p>
      <w:pPr>
        <w:spacing w:before="160" w:after="40" w:line="240" w:lineRule="auto"/>
      </w:pPr>
      <w:r>
        <w:rPr>
          <w:b/>
        </w:rPr>
        <w:t xml:space="preserve">[164] </w:t>
      </w:r>
      <w:hyperlink r:id="rId557">
        <w:r>
          <w:rPr>
            <w:color w:val="1155CC"/>
            <w:u w:val="single"/>
          </w:rPr>
          <w:t>重离子碰撞中核子-核子截面的介质效应</w:t>
        </w:r>
      </w:hyperlink>
    </w:p>
    <w:p>
      <w:pPr>
        <w:spacing w:before="0" w:after="80"/>
      </w:pPr>
      <w:r>
        <w:rPr>
          <w:i/>
          <w:sz w:val="20"/>
        </w:rPr>
        <w:t>EN: In-medium effects of nucleon-nucleon cross sections in heavy-ion collisions</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58">
        <w:r>
          <w:rPr>
            <w:color w:val="1155CC"/>
            <w:u w:val="single"/>
          </w:rPr>
          <w:t>10.1103/cnhq-bt6c</w:t>
        </w:r>
      </w:hyperlink>
    </w:p>
    <w:p>
      <w:pPr>
        <w:spacing w:before="0" w:after="120"/>
      </w:pPr>
      <w:r>
        <w:rPr>
          <w:b/>
        </w:rPr>
        <w:t xml:space="preserve">Notes: </w:t>
      </w:r>
      <w:r>
        <w:t>abstract_source=rss_description</w:t>
      </w:r>
    </w:p>
    <w:p>
      <w:pPr>
        <w:spacing w:before="0" w:after="80" w:lineRule="auto" w:line="276"/>
      </w:pPr>
      <w:r>
        <w:rPr>
          <w:b/>
        </w:rPr>
        <w:t xml:space="preserve">摘要（ZH）: </w:t>
      </w:r>
      <w:r>
        <w:t>作者：Shuochong Han、Xinle Shang、Wei Zuo、Gaochan Yong 和 Ang Li 基于同位旋依赖的 Boltzmann-Uehling-Uhlenbeck 输运模型，我们采用源自 Brueckner-Hartre 的微观截面，系统地研究了核子-核子 ($NN$) 截面对重离子碰撞中核子和介子可观测量的中度影响。 Rev. C 114, 014607] 2026 年 7 月 6 日星期一发布</w:t>
      </w:r>
    </w:p>
    <w:p>
      <w:pPr>
        <w:spacing w:before="0" w:after="200" w:lineRule="auto" w:line="276"/>
      </w:pPr>
      <w:r>
        <w:rPr>
          <w:b/>
        </w:rPr>
        <w:t xml:space="preserve">Abstract (EN): </w:t>
      </w:r>
      <w:r>
        <w:t>Author(s): Shuochong Han, Xinle Shang, Wei Zuo, Gaochan Yong, and Ang LiBased on the isospin-dependent Boltzmann-Uehling-Uhlenbeck transport model, we systematically investigate the in-medium effects of nucleon-nucleon ($NN$) cross sections on nucleonic and pionic observables in heavy-ion collisions, employing microscopic cross sections derived from the Brueckner-Hartre…[Phys. Rev. C 114, 014607] Published Mon Jul 06, 2026</w:t>
      </w:r>
    </w:p>
    <w:p>
      <w:pPr>
        <w:spacing w:before="120" w:after="120"/>
      </w:pPr>
      <w:r>
        <w:rPr>
          <w:sz w:val="18"/>
        </w:rPr>
        <w:t>——————————————————————————————————————————————————————————————————————</w:t>
      </w:r>
    </w:p>
    <w:p>
      <w:pPr>
        <w:spacing w:before="160" w:after="40" w:line="240" w:lineRule="auto"/>
      </w:pPr>
      <w:r>
        <w:rPr>
          <w:b/>
        </w:rPr>
        <w:t xml:space="preserve">[165] </w:t>
      </w:r>
      <w:hyperlink r:id="rId559">
        <w:r>
          <w:rPr>
            <w:color w:val="1155CC"/>
            <w:u w:val="single"/>
          </w:rPr>
          <w:t>不稳定 $^{59}\mathrm{Cu}$ 上的单核子转移探测天体物理 X 射线爆发中的 NiCu 循环</w:t>
        </w:r>
      </w:hyperlink>
    </w:p>
    <w:p>
      <w:pPr>
        <w:spacing w:before="0" w:after="80"/>
      </w:pPr>
      <w:r>
        <w:rPr>
          <w:i/>
          <w:sz w:val="20"/>
        </w:rPr>
        <w:t>EN: Single-Nucleon Transfer on Unstable $^{59}\mathrm{Cu}$ Probes the NiCu Cycle in Astrophysical X-Ray Bursts</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60">
        <w:r>
          <w:rPr>
            <w:color w:val="1155CC"/>
            <w:u w:val="single"/>
          </w:rPr>
          <w:t>10.1103/gbbj-hpqk</w:t>
        </w:r>
      </w:hyperlink>
    </w:p>
    <w:p>
      <w:pPr>
        <w:spacing w:before="0" w:after="120"/>
      </w:pPr>
      <w:r>
        <w:rPr>
          <w:b/>
        </w:rPr>
        <w:t xml:space="preserve">Notes: </w:t>
      </w:r>
      <w:r>
        <w:t>abstract_source=rss_description</w:t>
      </w:r>
    </w:p>
    <w:p>
      <w:pPr>
        <w:spacing w:before="0" w:after="80" w:lineRule="auto" w:line="276"/>
      </w:pPr>
      <w:r>
        <w:rPr>
          <w:b/>
        </w:rPr>
        <w:t xml:space="preserve">摘要（ZH）: </w:t>
      </w:r>
      <w:r>
        <w:t>作者：C. O’Shea et al. 快速质子 ($rp$) 捕获过程的最新模型表明，$^{59}\mathrm{Cu}(p,γ)^{60}\mathrm{Zn}$ 和 $^{59}\mathrm{Cu}(p,α)^{56}\mathrm{Ni}$ 反应之间的竞争可能导致镍铜 (NiCu) 循环的形成将材料通量限制在 $^{56}\ma…[Phys.莱特牧师。 137, 022701] 2026 年 7 月 6 日星期一发布</w:t>
      </w:r>
    </w:p>
    <w:p>
      <w:pPr>
        <w:spacing w:before="0" w:after="200" w:lineRule="auto" w:line="276"/>
      </w:pPr>
      <w:r>
        <w:rPr>
          <w:b/>
        </w:rPr>
        <w:t xml:space="preserve">Abstract (EN): </w:t>
      </w:r>
      <w:r>
        <w:t>Author(s): C. O’Shea et al.Recent models of the rapid proton ($rp$) capture process indicate that a competition between the $^{59}\mathrm{Cu}(p,γ)^{60}\mathrm{Zn}$ and $^{59}\mathrm{Cu}(p,α)^{56}\mathrm{Ni}$ reactions may result in the formation of a nickel-copper (NiCu) cycle that traps the flux of material between $^{56}\ma…[Phys. Rev. Lett. 137, 022701] Published Mon Jul 06, 2026</w:t>
      </w:r>
    </w:p>
    <w:p>
      <w:pPr>
        <w:spacing w:before="120" w:after="120"/>
      </w:pPr>
      <w:r>
        <w:rPr>
          <w:sz w:val="18"/>
        </w:rPr>
        <w:t>——————————————————————————————————————————————————————————————————————</w:t>
      </w:r>
    </w:p>
    <w:p>
      <w:pPr>
        <w:spacing w:before="160" w:after="40" w:line="240" w:lineRule="auto"/>
      </w:pPr>
      <w:r>
        <w:rPr>
          <w:b/>
        </w:rPr>
        <w:t xml:space="preserve">[166] </w:t>
      </w:r>
      <w:hyperlink r:id="rId561">
        <w:r>
          <w:rPr>
            <w:color w:val="1155CC"/>
            <w:u w:val="single"/>
          </w:rPr>
          <w:t>与喷射相关的顶夸克对产生的高阶 QCD 校正</w:t>
        </w:r>
      </w:hyperlink>
    </w:p>
    <w:p>
      <w:pPr>
        <w:spacing w:before="0" w:after="80"/>
      </w:pPr>
      <w:r>
        <w:rPr>
          <w:i/>
          <w:sz w:val="20"/>
        </w:rPr>
        <w:t>EN: Higher-Order QCD Corrections to Top-Quark Pair Production in Association with a Jet</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62">
        <w:r>
          <w:rPr>
            <w:color w:val="1155CC"/>
            <w:u w:val="single"/>
          </w:rPr>
          <w:t>10.1103/tv26-7r8g</w:t>
        </w:r>
      </w:hyperlink>
    </w:p>
    <w:p>
      <w:pPr>
        <w:spacing w:before="0" w:after="120"/>
      </w:pPr>
      <w:r>
        <w:rPr>
          <w:b/>
        </w:rPr>
        <w:t xml:space="preserve">Notes: </w:t>
      </w:r>
      <w:r>
        <w:t>abstract_source=rss_description</w:t>
      </w:r>
    </w:p>
    <w:p>
      <w:pPr>
        <w:spacing w:before="0" w:after="80" w:lineRule="auto" w:line="276"/>
      </w:pPr>
      <w:r>
        <w:rPr>
          <w:b/>
        </w:rPr>
        <w:t xml:space="preserve">摘要（ZH）: </w:t>
      </w:r>
      <w:r>
        <w:t>作者：Simon Badger、Colomba Brancaccio、Matteo Becchetti、Michal Czakon、Heribertus Bayu Hartanto、Rene Poncelet 和 Simone Zoia 与光射流相关的顶夸克对（已知最重的基本粒子）的产生是研究粒子物理标准模型特性的关键过程。由于它作为一个信号过程的重要性，对顶夸克质量具有相当大的敏感性，并且作为......[物理。莱特牧师。 137, 021901] 2026 年 7 月 6 日星期一发布</w:t>
      </w:r>
    </w:p>
    <w:p>
      <w:pPr>
        <w:spacing w:before="0" w:after="200" w:lineRule="auto" w:line="276"/>
      </w:pPr>
      <w:r>
        <w:rPr>
          <w:b/>
        </w:rPr>
        <w:t xml:space="preserve">Abstract (EN): </w:t>
      </w:r>
      <w:r>
        <w:t>Author(s): Simon Badger, Colomba Brancaccio, Matteo Becchetti, Michal Czakon, Heribertus Bayu Hartanto, Rene Poncelet, and Simone ZoiaThe production of a top-quark pair, the heaviest known elementary particle, in association with a light jet is a key process for studying the properties of the standard model of particle physics. Due to its significance as a signal process with considerable sensitivity to the top-quark mass and as a…[Phys. Rev. Lett. 137, 021901] Published Mon Jul 06, 2026</w:t>
      </w:r>
    </w:p>
    <w:p>
      <w:pPr>
        <w:spacing w:before="120" w:after="120"/>
      </w:pPr>
      <w:r>
        <w:rPr>
          <w:sz w:val="18"/>
        </w:rPr>
        <w:t>——————————————————————————————————————————————————————————————————————</w:t>
      </w:r>
    </w:p>
    <w:p>
      <w:pPr>
        <w:spacing w:before="160" w:after="40" w:line="240" w:lineRule="auto"/>
      </w:pPr>
      <w:r>
        <w:rPr>
          <w:b/>
        </w:rPr>
        <w:t xml:space="preserve">[167] </w:t>
      </w:r>
      <w:hyperlink r:id="rId563">
        <w:r>
          <w:rPr>
            <w:color w:val="1155CC"/>
            <w:u w:val="single"/>
          </w:rPr>
          <w:t>没有自力截断的 $\mathcal{O}({G}^{5})$ 处的散射幅度和保守二元动力学</w:t>
        </w:r>
      </w:hyperlink>
    </w:p>
    <w:p>
      <w:pPr>
        <w:spacing w:before="0" w:after="80"/>
      </w:pPr>
      <w:r>
        <w:rPr>
          <w:i/>
          <w:sz w:val="20"/>
        </w:rPr>
        <w:t>EN: Scattering Amplitudes and Conservative Binary Dynamics at $\mathcal{O}({G}^{5})$ without Self-Force Truncation</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64">
        <w:r>
          <w:rPr>
            <w:color w:val="1155CC"/>
            <w:u w:val="single"/>
          </w:rPr>
          <w:t>10.1103/zjcp-ssrw</w:t>
        </w:r>
      </w:hyperlink>
    </w:p>
    <w:p>
      <w:pPr>
        <w:spacing w:before="0" w:after="120"/>
      </w:pPr>
      <w:r>
        <w:rPr>
          <w:b/>
        </w:rPr>
        <w:t xml:space="preserve">Notes: </w:t>
      </w:r>
      <w:r>
        <w:t>abstract_source=rss_description</w:t>
      </w:r>
    </w:p>
    <w:p>
      <w:pPr>
        <w:spacing w:before="0" w:after="80" w:lineRule="auto" w:line="276"/>
      </w:pPr>
      <w:r>
        <w:rPr>
          <w:b/>
        </w:rPr>
        <w:t xml:space="preserve">摘要（ZH）: </w:t>
      </w:r>
      <w:r>
        <w:t>作者：Zvi Bern、Enrico Herrmann、Radu Roiban、Michael S. Ruf、Alexander V. Smirnov、Sid Smith 和 Mao Zeng 我们计算了广义相对论中两个非自旋物体的保守径向作用和散射角的完整势引力子贡献，精确到牛顿常数的五阶，包括二阶自力效应。计算是在 sca 中进行的……[Phys。莱特牧师。 137, 021402] 2026 年 7 月 6 日星期一发布</w:t>
      </w:r>
    </w:p>
    <w:p>
      <w:pPr>
        <w:spacing w:before="0" w:after="200" w:lineRule="auto" w:line="276"/>
      </w:pPr>
      <w:r>
        <w:rPr>
          <w:b/>
        </w:rPr>
        <w:t xml:space="preserve">Abstract (EN): </w:t>
      </w:r>
      <w:r>
        <w:t>Author(s): Zvi Bern, Enrico Herrmann, Radu Roiban, Michael S. Ruf, Alexander V. Smirnov, Sid Smith, and Mao ZengWe compute the complete potential-graviton contributions to the conservative radial action and scattering angle for two nonspinning bodies in general relativity, accurate through fifth order in Newton’s constant and including second-order self-force effects. The calculation is carried out in the sca…[Phys. Rev. Lett. 137, 021402] Published Mon Jul 06, 2026</w:t>
      </w:r>
    </w:p>
    <w:p>
      <w:pPr>
        <w:spacing w:before="120" w:after="120"/>
      </w:pPr>
      <w:r>
        <w:rPr>
          <w:sz w:val="18"/>
        </w:rPr>
        <w:t>——————————————————————————————————————————————————————————————————————</w:t>
      </w:r>
    </w:p>
    <w:p>
      <w:pPr>
        <w:spacing w:before="160" w:after="40" w:line="240" w:lineRule="auto"/>
      </w:pPr>
      <w:r>
        <w:rPr>
          <w:b/>
        </w:rPr>
        <w:t xml:space="preserve">[168] </w:t>
      </w:r>
      <w:hyperlink r:id="rId565">
        <w:r>
          <w:rPr>
            <w:color w:val="1155CC"/>
            <w:u w:val="single"/>
          </w:rPr>
          <w:t>连续介质中变形相对论 Hartree-Bogoliubov 理论中钬同位素的形状演化</w:t>
        </w:r>
      </w:hyperlink>
    </w:p>
    <w:p>
      <w:pPr>
        <w:spacing w:before="0" w:after="80"/>
      </w:pPr>
      <w:r>
        <w:rPr>
          <w:i/>
          <w:sz w:val="20"/>
        </w:rPr>
        <w:t>EN: Shape evolution of holmium isotopes within the deformed relativistic Hartree-Bogoliubov theory in continuum</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66">
        <w:r>
          <w:rPr>
            <w:color w:val="1155CC"/>
            <w:u w:val="single"/>
          </w:rPr>
          <w:t>10.1103/npcv-sl9y</w:t>
        </w:r>
      </w:hyperlink>
    </w:p>
    <w:p>
      <w:pPr>
        <w:spacing w:before="0" w:after="120"/>
      </w:pPr>
      <w:r>
        <w:rPr>
          <w:b/>
        </w:rPr>
        <w:t xml:space="preserve">Notes: </w:t>
      </w:r>
      <w:r>
        <w:t>abstract_source=rss_description</w:t>
      </w:r>
    </w:p>
    <w:p>
      <w:pPr>
        <w:spacing w:before="0" w:after="80" w:lineRule="auto" w:line="276"/>
      </w:pPr>
      <w:r>
        <w:rPr>
          <w:b/>
        </w:rPr>
        <w:t xml:space="preserve">摘要（ZH）: </w:t>
      </w:r>
      <w:r>
        <w:t>作者：张金哲、张开元、胡金牛和张英使用变形连续介质中的变形相对论 Hartree-Bogoliubov 理论 (DRHBc) 系统地研究了钬同位素 ($N=74–186$) 的基态性质。在同位素链上发现了显着的变形。与球面相对论连续介质 Hartree-Bogoliubov 相比 (RCH…[Phys. Rev. C 114, 014303] 于 2026 年 7 月 6 日星期一发布</w:t>
      </w:r>
    </w:p>
    <w:p>
      <w:pPr>
        <w:spacing w:before="0" w:after="200" w:lineRule="auto" w:line="276"/>
      </w:pPr>
      <w:r>
        <w:rPr>
          <w:b/>
        </w:rPr>
        <w:t xml:space="preserve">Abstract (EN): </w:t>
      </w:r>
      <w:r>
        <w:t>Author(s): Jinzhe Zhang, Kaiyuan Zhang, Jinniu Hu, and Ying ZhangThe ground-state properties of holmium isotopes ($N=74–186$) are systematically studied using the deformed relativistic Hartree-Bogoliubov theory in continuum (DRHBc). Significant deformation is found across the isotopic chain. Compared to the spherical relativistic continuum Hartree-Bogoliubov (RCH…[Phys. Rev. C 114, 014303] Published Mon Jul 06, 2026</w:t>
      </w:r>
    </w:p>
    <w:p>
      <w:pPr>
        <w:spacing w:before="120" w:after="120"/>
      </w:pPr>
      <w:r>
        <w:rPr>
          <w:sz w:val="18"/>
        </w:rPr>
        <w:t>——————————————————————————————————————————————————————————————————————</w:t>
      </w:r>
    </w:p>
    <w:p>
      <w:pPr>
        <w:spacing w:before="160" w:after="40" w:line="240" w:lineRule="auto"/>
      </w:pPr>
      <w:r>
        <w:rPr>
          <w:b/>
        </w:rPr>
        <w:t xml:space="preserve">[169] </w:t>
      </w:r>
      <w:hyperlink r:id="rId567">
        <w:r>
          <w:rPr>
            <w:color w:val="1155CC"/>
            <w:u w:val="single"/>
          </w:rPr>
          <w:t>孤子玻色子星的引力散射：分析与数值</w:t>
        </w:r>
      </w:hyperlink>
    </w:p>
    <w:p>
      <w:pPr>
        <w:spacing w:before="0" w:after="80"/>
      </w:pPr>
      <w:r>
        <w:rPr>
          <w:i/>
          <w:sz w:val="20"/>
        </w:rPr>
        <w:t>EN: Gravitational Scattering of Solitonic Boson Stars: Analytics vs Numerics</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68">
        <w:r>
          <w:rPr>
            <w:color w:val="1155CC"/>
            <w:u w:val="single"/>
          </w:rPr>
          <w:t>10.1103/24g1-k5p2</w:t>
        </w:r>
      </w:hyperlink>
    </w:p>
    <w:p>
      <w:pPr>
        <w:spacing w:before="0" w:after="120"/>
      </w:pPr>
      <w:r>
        <w:rPr>
          <w:b/>
        </w:rPr>
        <w:t xml:space="preserve">Notes: </w:t>
      </w:r>
      <w:r>
        <w:t>abstract_source=rss_description</w:t>
      </w:r>
    </w:p>
    <w:p>
      <w:pPr>
        <w:spacing w:before="0" w:after="80" w:lineRule="auto" w:line="276"/>
      </w:pPr>
      <w:r>
        <w:rPr>
          <w:b/>
        </w:rPr>
        <w:t xml:space="preserve">摘要（ZH）: </w:t>
      </w:r>
      <w:r>
        <w:t>作者：Thibault Damour、Tamanna Jain 和 Ulrich Sperhake 我们通过将数值相对论模拟的四个序列（固定能量和不同的撞击参数）与有效的单体分析描述进行比较，研究了两颗玻色子星的散射，同时考虑了引力效应（点质量和潮汐）和短程标量场……[Phys.莱特牧师。 137, 021401] 2026 年 7 月 6 日星期一发布</w:t>
      </w:r>
    </w:p>
    <w:p>
      <w:pPr>
        <w:spacing w:before="0" w:after="200" w:lineRule="auto" w:line="276"/>
      </w:pPr>
      <w:r>
        <w:rPr>
          <w:b/>
        </w:rPr>
        <w:t xml:space="preserve">Abstract (EN): </w:t>
      </w:r>
      <w:r>
        <w:t>Author(s): Thibault Damour, Tamanna Jain, and Ulrich SperhakeWe study the scattering of two boson stars by comparing four sequences (at fixed energy and varying impact parameter) of numerical relativity simulations to an effective-one-body analytic description, taking into account both gravitational effects (point-mass and tidal) and short-range scalar-field …[Phys. Rev. Lett. 137, 021401] Published Mon Jul 06, 2026</w:t>
      </w:r>
    </w:p>
    <w:p>
      <w:pPr>
        <w:spacing w:before="120" w:after="120"/>
      </w:pPr>
      <w:r>
        <w:rPr>
          <w:sz w:val="18"/>
        </w:rPr>
        <w:t>——————————————————————————————————————————————————————————————————————</w:t>
      </w:r>
    </w:p>
    <w:p>
      <w:pPr>
        <w:spacing w:before="160" w:after="40" w:line="240" w:lineRule="auto"/>
      </w:pPr>
      <w:r>
        <w:rPr>
          <w:b/>
        </w:rPr>
        <w:t xml:space="preserve">[170] </w:t>
      </w:r>
      <w:hyperlink r:id="rId569">
        <w:r>
          <w:rPr>
            <w:color w:val="1155CC"/>
            <w:u w:val="single"/>
          </w:rPr>
          <w:t>由单个量子位控制的自由度</w:t>
        </w:r>
      </w:hyperlink>
    </w:p>
    <w:p>
      <w:pPr>
        <w:spacing w:before="0" w:after="80"/>
      </w:pPr>
      <w:r>
        <w:rPr>
          <w:i/>
          <w:sz w:val="20"/>
        </w:rPr>
        <w:t>EN: Freeness Reined in by a Single Qubit</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70">
        <w:r>
          <w:rPr>
            <w:color w:val="1155CC"/>
            <w:u w:val="single"/>
          </w:rPr>
          <w:t>10.1103/m7ds-n1cf</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作者：Alexander Altland、Francisco Divi、Tobias Micklitz 和 Maedeh Rezaei 自由概率提供了一个框架，用于描述希尔伯特空间状态遵循最大熵分布的复杂量子系统中非对易可观测量之间的相关性。我们在与自由度的最小偏差下检查该框架的稳健性：单个……[Phys。莱特牧师。 137, 020401] 2026 年 7 月 6 日星期一发布</w:t>
      </w:r>
    </w:p>
    <w:p>
      <w:pPr>
        <w:spacing w:before="0" w:after="200" w:lineRule="auto" w:line="276"/>
      </w:pPr>
      <w:r>
        <w:rPr>
          <w:b/>
        </w:rPr>
        <w:t xml:space="preserve">Abstract (EN): </w:t>
      </w:r>
      <w:r>
        <w:t>Author(s): Alexander Altland, Francisco Divi, Tobias Micklitz, and Maedeh RezaeiFree probability provides a framework for describing correlations between noncommuting observables in complex quantum systems whose Hilbert-space states follow maximum-entropy distributions. We examine the robustness of this framework under a minimal deviation from freeness: the coupling of a single…[Phys. Rev. Lett. 137, 020401] Published Mon Jul 06, 2026</w:t>
      </w:r>
    </w:p>
    <w:p>
      <w:pPr>
        <w:spacing w:before="120" w:after="120"/>
      </w:pPr>
      <w:r>
        <w:rPr>
          <w:sz w:val="18"/>
        </w:rPr>
        <w:t>——————————————————————————————————————————————————————————————————————</w:t>
      </w:r>
    </w:p>
    <w:p>
      <w:pPr>
        <w:spacing w:before="160" w:after="40" w:line="240" w:lineRule="auto"/>
      </w:pPr>
      <w:r>
        <w:rPr>
          <w:b/>
        </w:rPr>
        <w:t xml:space="preserve">[171] </w:t>
      </w:r>
      <w:hyperlink r:id="rId571">
        <w:r>
          <w:rPr>
            <w:color w:val="1155CC"/>
            <w:u w:val="single"/>
          </w:rPr>
          <w:t>使用 ATLAS 探测器在 $\sqrt{s}=13\text{ }\text{ }\mathrm{TeV}$ 处使用质子-质子碰撞测量希格斯玻色子与矢量玻色子相互作用的 $CP$ 性质</w:t>
        </w:r>
      </w:hyperlink>
    </w:p>
    <w:p>
      <w:pPr>
        <w:spacing w:before="0" w:after="80"/>
      </w:pPr>
      <w:r>
        <w:rPr>
          <w:i/>
          <w:sz w:val="20"/>
        </w:rPr>
        <w:t>EN: Combination of Measurements of $CP$ Properties of Higgs Boson Interactions with Vector Bosons Using Proton-Proton Collisions at $\sqrt{s}=13\text{ }\text{ }\mathrm{TeV}$ with the ATLAS Detector</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72">
        <w:r>
          <w:rPr>
            <w:color w:val="1155CC"/>
            <w:u w:val="single"/>
          </w:rPr>
          <w:t>10.1103/54vv-lgc7</w:t>
        </w:r>
      </w:hyperlink>
    </w:p>
    <w:p>
      <w:pPr>
        <w:spacing w:before="0" w:after="120"/>
      </w:pPr>
      <w:r>
        <w:rPr>
          <w:b/>
        </w:rPr>
        <w:t xml:space="preserve">Notes: </w:t>
      </w:r>
      <w:r>
        <w:t>abstract_source=rss_description</w:t>
      </w:r>
    </w:p>
    <w:p>
      <w:pPr>
        <w:spacing w:before="0" w:after="80" w:lineRule="auto" w:line="276"/>
      </w:pPr>
      <w:r>
        <w:rPr>
          <w:b/>
        </w:rPr>
        <w:t xml:space="preserve">摘要（ZH）: </w:t>
      </w:r>
      <w:r>
        <w:t>作者：G. Aad 等人。 （ATLAS 合作）提出了希格斯玻色子与电弱规范玻色子相互作用的 $CP$ 属性的测量组合，使用 ATLAS 探测器记录的 $\sqrt{s}=13\text{ }\text{ }\mathrm{TeV}$ 处的质子-质子碰撞 $140\text{ }\text{ }{\mathrm{fb}}^{−1}$ 进行测量。来自向量 boso 的结果...[物理。莱特牧师。 137, 021801] 2026 年 7 月 6 日星期一发布</w:t>
      </w:r>
    </w:p>
    <w:p>
      <w:pPr>
        <w:spacing w:before="0" w:after="200" w:lineRule="auto" w:line="276"/>
      </w:pPr>
      <w:r>
        <w:rPr>
          <w:b/>
        </w:rPr>
        <w:t xml:space="preserve">Abstract (EN): </w:t>
      </w:r>
      <w:r>
        <w:t>Author(s): G. Aad et al. (ATLAS Collaboration)A combination of measurements of the $CP$ properties of Higgs boson interactions with electroweak gauge bosons is presented, using $140\text{ }\text{ }{\mathrm{fb}}^{−1}$ of proton-proton collisions at $\sqrt{s}=13\text{ }\text{ }\mathrm{TeV}$ recorded by the ATLAS detector. Results from vector boso…[Phys. Rev. Lett. 137, 021801] Published Mon Jul 06, 2026</w:t>
      </w:r>
    </w:p>
    <w:p>
      <w:pPr>
        <w:spacing w:before="120" w:after="120"/>
      </w:pPr>
      <w:r>
        <w:rPr>
          <w:sz w:val="18"/>
        </w:rPr>
        <w:t>——————————————————————————————————————————————————————————————————————</w:t>
      </w:r>
    </w:p>
    <w:p>
      <w:pPr>
        <w:spacing w:before="160" w:after="40" w:line="240" w:lineRule="auto"/>
      </w:pPr>
      <w:r>
        <w:rPr>
          <w:b/>
        </w:rPr>
        <w:t xml:space="preserve">[172] </w:t>
      </w:r>
      <w:hyperlink r:id="rId573">
        <w:r>
          <w:rPr>
            <w:color w:val="1155CC"/>
            <w:u w:val="single"/>
          </w:rPr>
          <w:t>什么时候可以在现场实现更高形式的对称</w:t>
        </w:r>
      </w:hyperlink>
    </w:p>
    <w:p>
      <w:pPr>
        <w:spacing w:before="0" w:after="80"/>
      </w:pPr>
      <w:r>
        <w:rPr>
          <w:i/>
          <w:sz w:val="20"/>
        </w:rPr>
        <w:t>EN: When Can Higher-Form Symmetries Be Made On Site</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74">
        <w:r>
          <w:rPr>
            <w:color w:val="1155CC"/>
            <w:u w:val="single"/>
          </w:rPr>
          <w:t>10.1103/59dq-sl3m</w:t>
        </w:r>
      </w:hyperlink>
    </w:p>
    <w:p>
      <w:pPr>
        <w:spacing w:before="0" w:after="120"/>
      </w:pPr>
      <w:r>
        <w:rPr>
          <w:b/>
        </w:rPr>
        <w:t xml:space="preserve">Notes: </w:t>
      </w:r>
      <w:r>
        <w:t>abstract_source=rss_description</w:t>
      </w:r>
    </w:p>
    <w:p>
      <w:pPr>
        <w:spacing w:before="0" w:after="80" w:lineRule="auto" w:line="276"/>
      </w:pPr>
      <w:r>
        <w:rPr>
          <w:b/>
        </w:rPr>
        <w:t xml:space="preserve">摘要（ZH）: </w:t>
      </w:r>
      <w:r>
        <w:t>作者：Yitao Feng、Yu-An Chen、Po-Shen Hsin 和 Ryohei Kobayashi 如果格子模型中的内部对称性可以通过引入辅助并与有限深度电路共轭来分解为现场动作，则称其为现场可对称性。标准知识认为，现场性等同于无异常，这对于有限 0 形式确实有效……[Phys.莱特牧师。 137, 026501] 于 2026 年 7 月 6 日星期一发布</w:t>
      </w:r>
    </w:p>
    <w:p>
      <w:pPr>
        <w:spacing w:before="0" w:after="200" w:lineRule="auto" w:line="276"/>
      </w:pPr>
      <w:r>
        <w:rPr>
          <w:b/>
        </w:rPr>
        <w:t xml:space="preserve">Abstract (EN): </w:t>
      </w:r>
      <w:r>
        <w:t>Author(s): Yitao Feng, Yu-An Chen, Po-Shen Hsin, and Ryohei KobayashiAn internal symmetry in a lattice model is said to be onsiteable if it can be disentangled into an on-site action by introducing ancillas and conjugating with a finite-depth circuit. A standard lore holds that onsiteability is equivalent to being anomaly-free, which is indeed valid for finite 0-form…[Phys. Rev. Lett. 137, 026501] Published Mon Jul 06, 2026</w:t>
      </w:r>
    </w:p>
    <w:p>
      <w:pPr>
        <w:spacing w:before="120" w:after="120"/>
      </w:pPr>
      <w:r>
        <w:rPr>
          <w:sz w:val="18"/>
        </w:rPr>
        <w:t>——————————————————————————————————————————————————————————————————————</w:t>
      </w:r>
    </w:p>
    <w:p>
      <w:pPr>
        <w:spacing w:before="160" w:after="40" w:line="240" w:lineRule="auto"/>
      </w:pPr>
      <w:r>
        <w:rPr>
          <w:b/>
        </w:rPr>
        <w:t xml:space="preserve">[173] </w:t>
      </w:r>
      <w:hyperlink r:id="rId575">
        <w:r>
          <w:rPr>
            <w:color w:val="1155CC"/>
            <w:u w:val="single"/>
          </w:rPr>
          <w:t>GWTC-4 引力波数据集中分层合并子群的特征</w:t>
        </w:r>
      </w:hyperlink>
    </w:p>
    <w:p>
      <w:pPr>
        <w:spacing w:before="0" w:after="80"/>
      </w:pPr>
      <w:r>
        <w:rPr>
          <w:i/>
          <w:sz w:val="20"/>
        </w:rPr>
        <w:t>EN: Signatures of a Subpopulation of Hierarchical Mergers in the GWTC-4 Gravitational-Wave Dataset</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76">
        <w:r>
          <w:rPr>
            <w:color w:val="1155CC"/>
            <w:u w:val="single"/>
          </w:rPr>
          <w:t>10.1103/n6p4-ftgq</w:t>
        </w:r>
      </w:hyperlink>
    </w:p>
    <w:p>
      <w:pPr>
        <w:spacing w:before="0" w:after="120"/>
      </w:pPr>
      <w:r>
        <w:rPr>
          <w:b/>
        </w:rPr>
        <w:t xml:space="preserve">Notes: </w:t>
      </w:r>
      <w:r>
        <w:t>abstract_source=rss_description</w:t>
      </w:r>
    </w:p>
    <w:p>
      <w:pPr>
        <w:spacing w:before="0" w:after="80" w:lineRule="auto" w:line="276"/>
      </w:pPr>
      <w:r>
        <w:rPr>
          <w:b/>
        </w:rPr>
        <w:t xml:space="preserve">摘要（ZH）: </w:t>
      </w:r>
      <w:r>
        <w:t>作者：Cailin Plunkett、Salvatore Vitale、Thomas Callister 和 Michael Zevin（对非对齐自旋感兴趣的物理学家协会 (SPINS)）对引力波观测的不同分析正在汇聚证据，证明通过重复合并产生了一组独特的大质量黑洞双星。莱特牧师。 137, 021404] 2026 年 7 月 6 日星期一发布</w:t>
      </w:r>
    </w:p>
    <w:p>
      <w:pPr>
        <w:spacing w:before="0" w:after="200" w:lineRule="auto" w:line="276"/>
      </w:pPr>
      <w:r>
        <w:rPr>
          <w:b/>
        </w:rPr>
        <w:t xml:space="preserve">Abstract (EN): </w:t>
      </w:r>
      <w:r>
        <w:t>Author(s): Cailin Plunkett, Salvatore Vitale, Thomas Callister, and Michael Zevin (Society of Physicists Interested in Non-Aligned Spins (SPINS))Different analyses of gravitational-wave observations are converging on evidence for a distinct population of massive black hole binaries produced through repeated mergers.[Phys. Rev. Lett. 137, 021404] Published Mon Jul 06, 2026</w:t>
      </w:r>
    </w:p>
    <w:p>
      <w:pPr>
        <w:spacing w:before="120" w:after="120"/>
      </w:pPr>
      <w:r>
        <w:rPr>
          <w:sz w:val="18"/>
        </w:rPr>
        <w:t>——————————————————————————————————————————————————————————————————————</w:t>
      </w:r>
    </w:p>
    <w:p>
      <w:pPr>
        <w:spacing w:before="160" w:after="40" w:line="240" w:lineRule="auto"/>
      </w:pPr>
      <w:r>
        <w:rPr>
          <w:b/>
        </w:rPr>
        <w:t xml:space="preserve">[174] </w:t>
      </w:r>
      <w:hyperlink r:id="rId577">
        <w:r>
          <w:rPr>
            <w:color w:val="1155CC"/>
            <w:u w:val="single"/>
          </w:rPr>
          <w:t>通过共振吸收法重新测定$^{14}\mathrm{N}$中的9.17 MeV能级宽度</w:t>
        </w:r>
      </w:hyperlink>
    </w:p>
    <w:p>
      <w:pPr>
        <w:spacing w:before="0" w:after="80"/>
      </w:pPr>
      <w:r>
        <w:rPr>
          <w:i/>
          <w:sz w:val="20"/>
        </w:rPr>
        <w:t>EN: Redetermination of the 9.17 MeV level width in $^{14}\mathrm{N}$ by the resonance absorption method</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78">
        <w:r>
          <w:rPr>
            <w:color w:val="1155CC"/>
            <w:u w:val="single"/>
          </w:rPr>
          <w:t>10.1103/zh7y-81zc</w:t>
        </w:r>
      </w:hyperlink>
    </w:p>
    <w:p>
      <w:pPr>
        <w:spacing w:before="0" w:after="120"/>
      </w:pPr>
      <w:r>
        <w:rPr>
          <w:b/>
        </w:rPr>
        <w:t xml:space="preserve">Notes: </w:t>
      </w:r>
      <w:r>
        <w:t>abstract_source=rss_description</w:t>
      </w:r>
    </w:p>
    <w:p>
      <w:pPr>
        <w:spacing w:before="0" w:after="80" w:lineRule="auto" w:line="276"/>
      </w:pPr>
      <w:r>
        <w:rPr>
          <w:b/>
        </w:rPr>
        <w:t xml:space="preserve">摘要（ZH）: </w:t>
      </w:r>
      <w:r>
        <w:t>作者：李宏伟、刘福龙、何红宇、程浩、奚晓峰、叶山、孟子彦、高早春、徐福荣、何创业和郭兵光崩解反应在基础物理学和应用物理学中都起着至关重要的作用。 $^{13}\mathrm{C}(p,γ)^{14}\mathrm{N}$ 反应提供了能量为 9.17 MeV 的潜在准单能 $γ$ 射线源，为研究 ph 值的数据差异提供了一条有希望的途径......[Phys.修订版 C 114, 014603] 于 2026 年 7 月 6 日星期一发布</w:t>
      </w:r>
    </w:p>
    <w:p>
      <w:pPr>
        <w:spacing w:before="0" w:after="200" w:lineRule="auto" w:line="276"/>
      </w:pPr>
      <w:r>
        <w:rPr>
          <w:b/>
        </w:rPr>
        <w:t xml:space="preserve">Abstract (EN): </w:t>
      </w:r>
      <w:r>
        <w:t>Author(s): Hong-Wei Li, Fu-Long Liu, Hong-yu He, Hao Cheng, Xiao-Feng Xi, Shan Ye, Zi-Yan Meng, Zao-Chun Gao, Fu-Rong Xu, Chuang-Ye He, and Bing GuoPhotodisintegration reactions play a crucial role in both fundamental physics and applied physics. The $^{13}\mathrm{C}(p,γ)^{14}\mathrm{N}$ reaction provides a potential quasimonoenergetic $γ$-ray source with an energy of 9.17 MeV, offering a promising avenue for studying the data discrepancy in ph…[Phys. Rev. C 114, 014603] Published Mon Jul 06, 2026</w:t>
      </w:r>
    </w:p>
    <w:p>
      <w:pPr>
        <w:spacing w:before="120" w:after="120"/>
      </w:pPr>
      <w:r>
        <w:rPr>
          <w:sz w:val="18"/>
        </w:rPr>
        <w:t>——————————————————————————————————————————————————————————————————————</w:t>
      </w:r>
    </w:p>
    <w:p>
      <w:pPr>
        <w:spacing w:before="160" w:after="40" w:line="240" w:lineRule="auto"/>
      </w:pPr>
      <w:r>
        <w:rPr>
          <w:b/>
        </w:rPr>
        <w:t xml:space="preserve">[175] </w:t>
      </w:r>
      <w:hyperlink r:id="rId579">
        <w:r>
          <w:rPr>
            <w:color w:val="1155CC"/>
            <w:u w:val="single"/>
          </w:rPr>
          <w:t>不同原始质量的双黑洞合并的三个亚群的证据</w:t>
        </w:r>
      </w:hyperlink>
    </w:p>
    <w:p>
      <w:pPr>
        <w:spacing w:before="0" w:after="80"/>
      </w:pPr>
      <w:r>
        <w:rPr>
          <w:i/>
          <w:sz w:val="20"/>
        </w:rPr>
        <w:t>EN: Evidence for Three Subpopulations of Merging Binary Black Holes at Different Primary Masses</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80">
        <w:r>
          <w:rPr>
            <w:color w:val="1155CC"/>
            <w:u w:val="single"/>
          </w:rPr>
          <w:t>10.1103/blyb-lqv6</w:t>
        </w:r>
      </w:hyperlink>
    </w:p>
    <w:p>
      <w:pPr>
        <w:spacing w:before="0" w:after="120"/>
      </w:pPr>
      <w:r>
        <w:rPr>
          <w:b/>
        </w:rPr>
        <w:t xml:space="preserve">Notes: </w:t>
      </w:r>
      <w:r>
        <w:t>abstract_source=rss_description</w:t>
      </w:r>
    </w:p>
    <w:p>
      <w:pPr>
        <w:spacing w:before="0" w:after="80" w:lineRule="auto" w:line="276"/>
      </w:pPr>
      <w:r>
        <w:rPr>
          <w:b/>
        </w:rPr>
        <w:t xml:space="preserve">摘要（ZH）: </w:t>
      </w:r>
      <w:r>
        <w:t>作者：Sharan Banagiri、Eric Thrane 和 Paul D. Lasky 对引力波观测的不同分析正在汇聚证据，证明通过重复合并产生了一组独特的大质量黑洞双星。莱特牧师。 137, 021403] 2026 年 7 月 6 日星期一发布</w:t>
      </w:r>
    </w:p>
    <w:p>
      <w:pPr>
        <w:spacing w:before="0" w:after="200" w:lineRule="auto" w:line="276"/>
      </w:pPr>
      <w:r>
        <w:rPr>
          <w:b/>
        </w:rPr>
        <w:t xml:space="preserve">Abstract (EN): </w:t>
      </w:r>
      <w:r>
        <w:t>Author(s): Sharan Banagiri, Eric Thrane, and Paul D. LaskyDifferent analyses of gravitational-wave observations are converging on evidence for a distinct population of massive black hole binaries produced through repeated mergers.[Phys. Rev. Lett. 137, 021403] Published Mon Jul 06, 2026</w:t>
      </w:r>
    </w:p>
    <w:p>
      <w:pPr>
        <w:spacing w:before="120" w:after="120"/>
      </w:pPr>
      <w:r>
        <w:rPr>
          <w:sz w:val="18"/>
        </w:rPr>
        <w:t>——————————————————————————————————————————————————————————————————————</w:t>
      </w:r>
    </w:p>
    <w:p>
      <w:pPr>
        <w:spacing w:before="160" w:after="40" w:line="240" w:lineRule="auto"/>
      </w:pPr>
      <w:r>
        <w:rPr>
          <w:b/>
        </w:rPr>
        <w:t xml:space="preserve">[176] </w:t>
      </w:r>
      <w:hyperlink r:id="rId581">
        <w:r>
          <w:rPr>
            <w:color w:val="1155CC"/>
            <w:u w:val="single"/>
          </w:rPr>
          <w:t>$\mathcal{P}\mathcal{T}$-对称磁振子激光和反激光</w:t>
        </w:r>
      </w:hyperlink>
    </w:p>
    <w:p>
      <w:pPr>
        <w:spacing w:before="0" w:after="80"/>
      </w:pPr>
      <w:r>
        <w:rPr>
          <w:i/>
          <w:sz w:val="20"/>
        </w:rPr>
        <w:t>EN: $\mathcal{P}\mathcal{T}$-Symmetric Magnon Lasing and Antilasing</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82">
        <w:r>
          <w:rPr>
            <w:color w:val="1155CC"/>
            <w:u w:val="single"/>
          </w:rPr>
          <w:t>10.1103/21ts-5d39</w:t>
        </w:r>
      </w:hyperlink>
    </w:p>
    <w:p>
      <w:pPr>
        <w:spacing w:before="0" w:after="120"/>
      </w:pPr>
      <w:r>
        <w:rPr>
          <w:b/>
        </w:rPr>
        <w:t xml:space="preserve">Notes: </w:t>
      </w:r>
      <w:r>
        <w:t>abstract_source=rss_description</w:t>
      </w:r>
    </w:p>
    <w:p>
      <w:pPr>
        <w:spacing w:before="0" w:after="80" w:lineRule="auto" w:line="276"/>
      </w:pPr>
      <w:r>
        <w:rPr>
          <w:b/>
        </w:rPr>
        <w:t xml:space="preserve">摘要（ZH）: </w:t>
      </w:r>
      <w:r>
        <w:t>作者：王熙光、陆天祥、郭光华、Jamal Berakdar 和 Hui Jing 提出了一种电可调 $\mathcal{P}\mathcal{T}$ 对称磁振激光和反激光的机制以及由磁有序平面波导中的电流偏置区域组成的器件。在偏置区域内，有几根承载直流充电电流的重金属线……[物理。莱特牧师。 137, 026701] 2026 年 7 月 6 日星期一发布</w:t>
      </w:r>
    </w:p>
    <w:p>
      <w:pPr>
        <w:spacing w:before="0" w:after="200" w:lineRule="auto" w:line="276"/>
      </w:pPr>
      <w:r>
        <w:rPr>
          <w:b/>
        </w:rPr>
        <w:t xml:space="preserve">Abstract (EN): </w:t>
      </w:r>
      <w:r>
        <w:t>Author(s): Xi-guang Wang, Tian-xiang Lu, Guang-hua Guo, Jamal Berakdar, and Hui JingA mechanism for electrically tunable $\mathcal{P}\mathcal{T}$-symmetric magnonic lasing and antilasing is proposed along with a device consisting of a current-biased region in a magnetically ordered planar waveguide. Within the bias area, several heavy-metal wires carrying dc charge currents are per…[Phys. Rev. Lett. 137, 026701] Published Mon Jul 06, 2026</w:t>
      </w:r>
    </w:p>
    <w:p>
      <w:pPr>
        <w:spacing w:before="120" w:after="120"/>
      </w:pPr>
      <w:r>
        <w:rPr>
          <w:sz w:val="18"/>
        </w:rPr>
        <w:t>——————————————————————————————————————————————————————————————————————</w:t>
      </w:r>
    </w:p>
    <w:p>
      <w:pPr>
        <w:spacing w:before="160" w:after="40" w:line="240" w:lineRule="auto"/>
      </w:pPr>
      <w:r>
        <w:rPr>
          <w:b/>
        </w:rPr>
        <w:t xml:space="preserve">[177] </w:t>
      </w:r>
      <w:hyperlink r:id="rId583">
        <w:r>
          <w:rPr>
            <w:color w:val="1155CC"/>
            <w:u w:val="single"/>
          </w:rPr>
          <w:t>磁化星际等离子体中相对论对光束的自约束：脉冲星 X 射线细丝的情况</w:t>
        </w:r>
      </w:hyperlink>
    </w:p>
    <w:p>
      <w:pPr>
        <w:spacing w:before="0" w:after="80"/>
      </w:pPr>
      <w:r>
        <w:rPr>
          <w:i/>
          <w:sz w:val="20"/>
        </w:rPr>
        <w:t>EN: Self-Confinement of Relativistic Pair Beams in Magnetized Interstellar Plasmas: The Case of Pulsar X-Ray Filaments</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84">
        <w:r>
          <w:rPr>
            <w:color w:val="1155CC"/>
            <w:u w:val="single"/>
          </w:rPr>
          <w:t>10.1103/2hrd-vv2q</w:t>
        </w:r>
      </w:hyperlink>
    </w:p>
    <w:p>
      <w:pPr>
        <w:spacing w:before="0" w:after="120"/>
      </w:pPr>
      <w:r>
        <w:rPr>
          <w:b/>
        </w:rPr>
        <w:t xml:space="preserve">Notes: </w:t>
      </w:r>
      <w:r>
        <w:t>abstract_source=rss_description</w:t>
      </w:r>
    </w:p>
    <w:p>
      <w:pPr>
        <w:spacing w:before="0" w:after="80" w:lineRule="auto" w:line="276"/>
      </w:pPr>
      <w:r>
        <w:rPr>
          <w:b/>
        </w:rPr>
        <w:t xml:space="preserve">摘要（ZH）: </w:t>
      </w:r>
      <w:r>
        <w:t>作者：Luca Orusa 和 Lorenzo Sironi观察弓激波脉冲星风星云 (PWNe) 附近的丝状 X 射线结构，例如吉他星云、灯塔星云和 PSR $\mathrm{J}2030+4415$ 星云，以及脉冲星周围慢扩散区域（例如 Geminga、Monogem 和 PSR） $\mathrm{J}0622+3749$，挑战宇宙的标准图景……[物理。莱特牧师。 137, 025201] 2026 年 7 月 6 日星期一发布</w:t>
      </w:r>
    </w:p>
    <w:p>
      <w:pPr>
        <w:spacing w:before="0" w:after="200" w:lineRule="auto" w:line="276"/>
      </w:pPr>
      <w:r>
        <w:rPr>
          <w:b/>
        </w:rPr>
        <w:t xml:space="preserve">Abstract (EN): </w:t>
      </w:r>
      <w:r>
        <w:t>Author(s): Luca Orusa and Lorenzo SironiThe observation of filamentary x-ray structures near bow-shock pulsar wind nebulae (PWNe)—such as the Guitar, Lighthouse, and PSR $\mathrm{J}2030+4415$ nebulae—and of slow-diffusion regions around pulsars like Geminga, Monogem, and PSR $\mathrm{J}0622+3749$, challenges the standard picture of cosmic…[Phys. Rev. Lett. 137, 025201] Published Mon Jul 06, 2026</w:t>
      </w:r>
    </w:p>
    <w:p>
      <w:pPr>
        <w:spacing w:before="120" w:after="120"/>
      </w:pPr>
      <w:r>
        <w:rPr>
          <w:sz w:val="18"/>
        </w:rPr>
        <w:t>——————————————————————————————————————————————————————————————————————</w:t>
      </w:r>
    </w:p>
    <w:p>
      <w:pPr>
        <w:spacing w:before="160" w:after="40" w:line="240" w:lineRule="auto"/>
      </w:pPr>
      <w:r>
        <w:rPr>
          <w:b/>
        </w:rPr>
        <w:t xml:space="preserve">[178] </w:t>
      </w:r>
      <w:hyperlink r:id="rId585">
        <w:r>
          <w:rPr>
            <w:color w:val="1155CC"/>
            <w:u w:val="single"/>
          </w:rPr>
          <w:t>$N=Z$ 核中 $β$ 衰变和配对的从头算研究</w:t>
        </w:r>
      </w:hyperlink>
    </w:p>
    <w:p>
      <w:pPr>
        <w:spacing w:before="0" w:after="80"/>
      </w:pPr>
      <w:r>
        <w:rPr>
          <w:i/>
          <w:sz w:val="20"/>
        </w:rPr>
        <w:t>EN: Ab initio study of $β$-decay and pairing in $N=Z$ nuclei</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86">
        <w:r>
          <w:rPr>
            <w:color w:val="1155CC"/>
            <w:u w:val="single"/>
          </w:rPr>
          <w:t>10.1103/5ykl-ddjx</w:t>
        </w:r>
      </w:hyperlink>
    </w:p>
    <w:p>
      <w:pPr>
        <w:spacing w:before="0" w:after="120"/>
      </w:pPr>
      <w:r>
        <w:rPr>
          <w:b/>
        </w:rPr>
        <w:t xml:space="preserve">Notes: </w:t>
      </w:r>
      <w:r>
        <w:t>abstract_source=rss_description</w:t>
      </w:r>
    </w:p>
    <w:p>
      <w:pPr>
        <w:spacing w:before="0" w:after="80" w:lineRule="auto" w:line="276"/>
      </w:pPr>
      <w:r>
        <w:rPr>
          <w:b/>
        </w:rPr>
        <w:t xml:space="preserve">摘要（ZH）: </w:t>
      </w:r>
      <w:r>
        <w:t>作者：Subhrajit Sahoo 和 Praveen C. Srivastava 我们基于手性有效场理论，研究了来自现实核力的 $rp$ 过程等待点核 $^{72}\mathrm{Kr}、^{68}\mathrm{Se}$ 和 $^{64}\mathrm{Ge}$ 的 $β$ 衰变特性。从头算价空间介质内相似性重正化群方法用于…[Phys。修订版 C 114, 014304] 于 2026 年 7 月 6 日星期一发布</w:t>
      </w:r>
    </w:p>
    <w:p>
      <w:pPr>
        <w:spacing w:before="0" w:after="200" w:lineRule="auto" w:line="276"/>
      </w:pPr>
      <w:r>
        <w:rPr>
          <w:b/>
        </w:rPr>
        <w:t xml:space="preserve">Abstract (EN): </w:t>
      </w:r>
      <w:r>
        <w:t>Author(s): Subhrajit Sahoo and Praveen C. SrivastavaWe investigate the $β$-decay properties of $rp$-process waiting-point nuclei $^{72}\mathrm{Kr}, ^{68}\mathrm{Se}$, and $^{64}\mathrm{Ge}$ from realistic nuclear forces based on chiral effective field theory. The ab initio valence-space in-medium similarity renormalization group method is employed fo…[Phys. Rev. C 114, 014304] Published Mon Jul 06, 2026</w:t>
      </w:r>
    </w:p>
    <w:p>
      <w:pPr>
        <w:spacing w:before="120" w:after="120"/>
      </w:pPr>
      <w:r>
        <w:rPr>
          <w:sz w:val="18"/>
        </w:rPr>
        <w:t>——————————————————————————————————————————————————————————————————————</w:t>
      </w:r>
    </w:p>
    <w:p>
      <w:pPr>
        <w:spacing w:before="160" w:after="40" w:line="240" w:lineRule="auto"/>
      </w:pPr>
      <w:r>
        <w:rPr>
          <w:b/>
        </w:rPr>
        <w:t xml:space="preserve">[179] </w:t>
      </w:r>
      <w:hyperlink r:id="rId587">
        <w:r>
          <w:rPr>
            <w:color w:val="1155CC"/>
            <w:u w:val="single"/>
          </w:rPr>
          <w:t>非对称系统中稠密物质状态方程对核物质不可压缩性的敏感性</w:t>
        </w:r>
      </w:hyperlink>
    </w:p>
    <w:p>
      <w:pPr>
        <w:spacing w:before="0" w:after="80"/>
      </w:pPr>
      <w:r>
        <w:rPr>
          <w:i/>
          <w:sz w:val="20"/>
        </w:rPr>
        <w:t>EN: Sensitivity of the dense matter equation of state to nuclear matter incompressibility in asymmetric systems</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88">
        <w:r>
          <w:rPr>
            <w:color w:val="1155CC"/>
            <w:u w:val="single"/>
          </w:rPr>
          <w:t>10.1103/4yg6-fy4m</w:t>
        </w:r>
      </w:hyperlink>
    </w:p>
    <w:p>
      <w:pPr>
        <w:spacing w:before="0" w:after="120"/>
      </w:pPr>
      <w:r>
        <w:rPr>
          <w:b/>
        </w:rPr>
        <w:t xml:space="preserve">Notes: </w:t>
      </w:r>
      <w:r>
        <w:t>abstract_source=rss_description</w:t>
      </w:r>
    </w:p>
    <w:p>
      <w:pPr>
        <w:spacing w:before="0" w:after="80" w:lineRule="auto" w:line="276"/>
      </w:pPr>
      <w:r>
        <w:rPr>
          <w:b/>
        </w:rPr>
        <w:t xml:space="preserve">摘要（ZH）: </w:t>
      </w:r>
      <w:r>
        <w:t>作者：Raj K. Jagota、Sunil Kumar、Mukul Kumar、Virender Thakur 和 Shashi K. Dhiman 这项研究探讨了致密不对称核物质的状态方程 (EoS) 对核物质不可压缩性 $K$ 的敏感性，并评估了对中子星结构特性的相应影响。为了隔离 $K$ 的影响，我们采用了六个相对论平均场……[Phys. Rev. C 114, 015803] 于 2026 年 7 月 6 日星期一发布</w:t>
      </w:r>
    </w:p>
    <w:p>
      <w:pPr>
        <w:spacing w:before="0" w:after="200" w:lineRule="auto" w:line="276"/>
      </w:pPr>
      <w:r>
        <w:rPr>
          <w:b/>
        </w:rPr>
        <w:t xml:space="preserve">Abstract (EN): </w:t>
      </w:r>
      <w:r>
        <w:t>Author(s): Raj K. Jagota, Sunil Kumar, Mukul Kumar, Virender Thakur, and Shashi K. DhimanThis study explores the sensitivity of the equation of state (EoS) of dense asymmetric nuclear matter on the nuclear matter incompressibility $K$ and assesses the corresponding effects on the structural properties of neutron stars. To isolate the effect of $K$, we employ six relativistic mean-field …[Phys. Rev. C 114, 015803] Published Mon Jul 06, 2026</w:t>
      </w:r>
    </w:p>
    <w:p>
      <w:pPr>
        <w:spacing w:before="120" w:after="120"/>
      </w:pPr>
      <w:r>
        <w:rPr>
          <w:sz w:val="18"/>
        </w:rPr>
        <w:t>——————————————————————————————————————————————————————————————————————</w:t>
      </w:r>
    </w:p>
    <w:p>
      <w:pPr>
        <w:spacing w:before="160" w:after="40" w:line="240" w:lineRule="auto"/>
      </w:pPr>
      <w:r>
        <w:rPr>
          <w:b/>
        </w:rPr>
        <w:t xml:space="preserve">[180] </w:t>
      </w:r>
      <w:hyperlink r:id="rId589">
        <w:r>
          <w:rPr>
            <w:color w:val="1155CC"/>
            <w:u w:val="single"/>
          </w:rPr>
          <w:t>中子星内壳晶相中的超流体部分</w:t>
        </w:r>
      </w:hyperlink>
    </w:p>
    <w:p>
      <w:pPr>
        <w:spacing w:before="0" w:after="80"/>
      </w:pPr>
      <w:r>
        <w:rPr>
          <w:i/>
          <w:sz w:val="20"/>
        </w:rPr>
        <w:t>EN: Superfluid fraction in the crystal phase of the inner crust of neutron stars</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90">
        <w:r>
          <w:rPr>
            <w:color w:val="1155CC"/>
            <w:u w:val="single"/>
          </w:rPr>
          <w:t>10.1103/v5mk-9pb4</w:t>
        </w:r>
      </w:hyperlink>
    </w:p>
    <w:p>
      <w:pPr>
        <w:spacing w:before="0" w:after="120"/>
      </w:pPr>
      <w:r>
        <w:rPr>
          <w:b/>
        </w:rPr>
        <w:t xml:space="preserve">Notes: </w:t>
      </w:r>
      <w:r>
        <w:t>abstract_source=rss_description</w:t>
      </w:r>
    </w:p>
    <w:p>
      <w:pPr>
        <w:spacing w:before="0" w:after="80" w:lineRule="auto" w:line="276"/>
      </w:pPr>
      <w:r>
        <w:rPr>
          <w:b/>
        </w:rPr>
        <w:t xml:space="preserve">摘要（ZH）: </w:t>
      </w:r>
      <w:r>
        <w:t>作者：Giorgio Almirante、Theodora Kaskitsi 和 Michael Urban 这项工作解决了确定中子星内壳中超流体中子分数的重要问题。了解这个分数对于了解内地壳是否能够提供足够的角动量来驱动观测到的脉冲星故障非常重要。该论文首次提出了超流体中子流过核团簇周期晶格的完全自洽Hartree-Fock-Bogoliubov计算，结果表明超流体比例可以达到90%，并支持足够的超流体角动量库来驱动脉冲星毛刺。 Rev. C 114, 015802] 于 2026 年 7 月 6 日星期一发布</w:t>
      </w:r>
    </w:p>
    <w:p>
      <w:pPr>
        <w:spacing w:before="0" w:after="200" w:lineRule="auto" w:line="276"/>
      </w:pPr>
      <w:r>
        <w:rPr>
          <w:b/>
        </w:rPr>
        <w:t xml:space="preserve">Abstract (EN): </w:t>
      </w:r>
      <w:r>
        <w:t>Author(s): Giorgio Almirante, Theodora Kaskitsi, and Michael UrbanThis work addresses the important issue of the determination of the superfluid neutron fraction in the inner crust of neutrons stars. Knowing this fraction is important to understand if the inner crust can provide enough angular momentum to drive observed pulsar glitches. The paper presents, for the first time, fully self-consistent Hartree-Fock-Bogoliubov calculations of the flow of superfluid neutrons through the periodic lattice of nuclear clusters, which show that the superfluid fraction can reach 90% and support a sufficient superfluid angular momentum reservoir to drive pulsar glitches.[Phys. Rev. C 114, 015802] Published Mon Jul 06, 2026</w:t>
      </w:r>
    </w:p>
    <w:p>
      <w:pPr>
        <w:spacing w:before="120" w:after="120"/>
      </w:pPr>
      <w:r>
        <w:rPr>
          <w:sz w:val="18"/>
        </w:rPr>
        <w:t>——————————————————————————————————————————————————————————————————————</w:t>
      </w:r>
    </w:p>
    <w:p>
      <w:pPr>
        <w:spacing w:before="160" w:after="40" w:line="240" w:lineRule="auto"/>
      </w:pPr>
      <w:r>
        <w:rPr>
          <w:b/>
        </w:rPr>
        <w:t xml:space="preserve">[181] </w:t>
      </w:r>
      <w:hyperlink r:id="rId591">
        <w:r>
          <w:rPr>
            <w:color w:val="1155CC"/>
            <w:u w:val="single"/>
          </w:rPr>
          <w:t>使用 JLab 的螺线管大强度设备从 $^{3}\mathrm{He}$ 目标获得 SIDIS 非极化横截面</w:t>
        </w:r>
      </w:hyperlink>
    </w:p>
    <w:p>
      <w:pPr>
        <w:spacing w:before="0" w:after="80"/>
      </w:pPr>
      <w:r>
        <w:rPr>
          <w:i/>
          <w:sz w:val="20"/>
        </w:rPr>
        <w:t>EN: SIDIS unpolarized cross sections from a $^{3}\mathrm{He}$ target with the Solenoidal Large Intensity Device at JLab</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92">
        <w:r>
          <w:rPr>
            <w:color w:val="1155CC"/>
            <w:u w:val="single"/>
          </w:rPr>
          <w:t>10.1103/d46g-bhkd</w:t>
        </w:r>
      </w:hyperlink>
    </w:p>
    <w:p>
      <w:pPr>
        <w:spacing w:before="0" w:after="120"/>
      </w:pPr>
      <w:r>
        <w:rPr>
          <w:b/>
        </w:rPr>
        <w:t xml:space="preserve">Notes: </w:t>
      </w:r>
      <w:r>
        <w:t>abstract_source=rss_description</w:t>
      </w:r>
    </w:p>
    <w:p>
      <w:pPr>
        <w:spacing w:before="0" w:after="80" w:lineRule="auto" w:line="276"/>
      </w:pPr>
      <w:r>
        <w:rPr>
          <w:b/>
        </w:rPr>
        <w:t xml:space="preserve">摘要（ZH）: </w:t>
      </w:r>
      <w:r>
        <w:t>作者：Matteo Cerutti、Jian-Ping Chen、Umberto D'Alesio、Haiyan Gau、Shuo Jia、Vladimir Khachatryan、Alexei Prokudin、Lorenzo Rossi、Ye Tian 和zhiwen zhao 在本文中，我们使用杰斐逊实验室提出的 SoLID 设备对半包含深度非弹性散射非偏振截面测量进行了详细的影响研究。此类数据收集于大 Bjorken ${x}_{bj}$、中等值 ${Q}^{2}$ 和小值 tra…[Phys. Rev. C 114, 015202] 于 2026 年 7 月 6 日星期一发布</w:t>
      </w:r>
    </w:p>
    <w:p>
      <w:pPr>
        <w:spacing w:before="0" w:after="200" w:lineRule="auto" w:line="276"/>
      </w:pPr>
      <w:r>
        <w:rPr>
          <w:b/>
        </w:rPr>
        <w:t xml:space="preserve">Abstract (EN): </w:t>
      </w:r>
      <w:r>
        <w:t>Author(s): Matteo Cerutti, Jian-Ping Chen, Umberto D'Alesio, Haiyan Gao, Shuo Jia, Vladimir Khachatryan, Alexei Prokudin, Lorenzo Rossi, Ye Tian, and Zhiwen ZhaoIn this paper we present a detailed impact study of semi-inclusive deep inelastic scattering unpolarized cross section measurements using the proposed SoLID apparatus at Jefferson Lab. This type of data, collected at large Bjorken ${x}_{bj}$, moderate values of ${Q}^{2}$, and small values of the tra…[Phys. Rev. C 114, 015202] Published Mon Jul 06, 2026</w:t>
      </w:r>
    </w:p>
    <w:p>
      <w:pPr>
        <w:spacing w:before="120" w:after="120"/>
      </w:pPr>
      <w:r>
        <w:rPr>
          <w:sz w:val="18"/>
        </w:rPr>
        <w:t>——————————————————————————————————————————————————————————————————————</w:t>
      </w:r>
    </w:p>
    <w:p>
      <w:pPr>
        <w:spacing w:before="160" w:after="40" w:line="240" w:lineRule="auto"/>
      </w:pPr>
      <w:r>
        <w:rPr>
          <w:b/>
        </w:rPr>
        <w:t xml:space="preserve">[182] </w:t>
      </w:r>
      <w:hyperlink r:id="rId593">
        <w:r>
          <w:rPr>
            <w:color w:val="1155CC"/>
            <w:u w:val="single"/>
          </w:rPr>
          <w:t>Muonic 原子中兰姆位移的过渡元素的参考四极矩</w:t>
        </w:r>
      </w:hyperlink>
    </w:p>
    <w:p>
      <w:pPr>
        <w:spacing w:before="0" w:after="80"/>
      </w:pPr>
      <w:r>
        <w:rPr>
          <w:i/>
          <w:sz w:val="20"/>
        </w:rPr>
        <w:t>EN: Reference Quadrupole Moments of Transition Elements from Lamb Shifts in Muonic Atoms</w:t>
      </w:r>
    </w:p>
    <w:p>
      <w:pPr>
        <w:spacing w:before="0" w:after="120"/>
      </w:pPr>
      <w:r>
        <w:rPr>
          <w:b/>
        </w:rPr>
        <w:t xml:space="preserve">Source: </w:t>
      </w:r>
      <w:r>
        <w:t>Recent Articles in Phys. Rev. Lett.</w:t>
      </w:r>
      <w:r>
        <w:t xml:space="preserve">    </w:t>
      </w:r>
      <w:r>
        <w:rPr>
          <w:b/>
        </w:rPr>
        <w:t xml:space="preserve">Pub date: </w:t>
      </w:r>
      <w:r>
        <w:t>2026-07-06 10:00:00+00:00</w:t>
      </w:r>
      <w:r>
        <w:t xml:space="preserve">    </w:t>
      </w:r>
      <w:r>
        <w:rPr>
          <w:b/>
        </w:rPr>
        <w:t xml:space="preserve">DOI: </w:t>
      </w:r>
      <w:hyperlink r:id="rId594">
        <w:r>
          <w:rPr>
            <w:color w:val="1155CC"/>
            <w:u w:val="single"/>
          </w:rPr>
          <w:t>10.1103/lss3-jym7</w:t>
        </w:r>
      </w:hyperlink>
    </w:p>
    <w:p>
      <w:pPr>
        <w:spacing w:before="0" w:after="120"/>
      </w:pPr>
      <w:r>
        <w:rPr>
          <w:b/>
        </w:rPr>
        <w:t xml:space="preserve">Notes: </w:t>
      </w:r>
      <w:r>
        <w:t>abstract_source=rss_description</w:t>
      </w:r>
    </w:p>
    <w:p>
      <w:pPr>
        <w:spacing w:before="0" w:after="80" w:lineRule="auto" w:line="276"/>
      </w:pPr>
      <w:r>
        <w:rPr>
          <w:b/>
        </w:rPr>
        <w:t xml:space="preserve">摘要（ZH）: </w:t>
      </w:r>
      <w:r>
        <w:t>作者：S. Rathi、K. von Schoeler、P. Indelicato 和 B. Ohayon 我们提出了一种精确测量轻过渡元素 $(23≤Z≤30)$ 绝对电四极矩的新方法。我们的方法基于对 $2s−2p$ 流形执行精密 μ 子 X 射线光谱，也称为兰姆位移。这些转变是为了……[物理。莱特牧师。 137, 023001] 2026 年 7 月 6 日星期一发布</w:t>
      </w:r>
    </w:p>
    <w:p>
      <w:pPr>
        <w:spacing w:before="0" w:after="200" w:lineRule="auto" w:line="276"/>
      </w:pPr>
      <w:r>
        <w:rPr>
          <w:b/>
        </w:rPr>
        <w:t xml:space="preserve">Abstract (EN): </w:t>
      </w:r>
      <w:r>
        <w:t>Author(s): S. Rathi, K. von Schoeler, P. Indelicato, and B. OhayonWe present a novel method for accurately measuring the absolute electric quadrupole moments of light transition elements $(23≤Z≤30)$. Our approach is based on performing precision muonic x-ray spectroscopy of the $2s−2p$ manifold, which is also referred to as the Lamb shift. These transitions are to…[Phys. Rev. Lett. 137, 023001] Published Mon Jul 06, 2026</w:t>
      </w:r>
    </w:p>
    <w:p>
      <w:pPr>
        <w:spacing w:before="120" w:after="120"/>
      </w:pPr>
      <w:r>
        <w:rPr>
          <w:sz w:val="18"/>
        </w:rPr>
        <w:t>——————————————————————————————————————————————————————————————————————</w:t>
      </w:r>
    </w:p>
    <w:p>
      <w:pPr>
        <w:spacing w:before="160" w:after="40" w:line="240" w:lineRule="auto"/>
      </w:pPr>
      <w:r>
        <w:rPr>
          <w:b/>
        </w:rPr>
        <w:t xml:space="preserve">[183] </w:t>
      </w:r>
      <w:hyperlink r:id="rId595">
        <w:r>
          <w:rPr>
            <w:color w:val="1155CC"/>
            <w:u w:val="single"/>
          </w:rPr>
          <w:t>一维、二维和三维光子飞秒检查</w:t>
        </w:r>
      </w:hyperlink>
    </w:p>
    <w:p>
      <w:pPr>
        <w:spacing w:before="0" w:after="80"/>
      </w:pPr>
      <w:r>
        <w:rPr>
          <w:i/>
          <w:sz w:val="20"/>
        </w:rPr>
        <w:t>EN: One-, two-, and three-dimensional photon femtoscopy</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96">
        <w:r>
          <w:rPr>
            <w:color w:val="1155CC"/>
            <w:u w:val="single"/>
          </w:rPr>
          <w:t>10.1103/c479-5cxt</w:t>
        </w:r>
      </w:hyperlink>
    </w:p>
    <w:p>
      <w:pPr>
        <w:spacing w:before="0" w:after="120"/>
      </w:pPr>
      <w:r>
        <w:rPr>
          <w:b/>
        </w:rPr>
        <w:t xml:space="preserve">Notes: </w:t>
      </w:r>
      <w:r>
        <w:t>abstract_source=rss_description</w:t>
      </w:r>
    </w:p>
    <w:p>
      <w:pPr>
        <w:spacing w:before="0" w:after="80" w:lineRule="auto" w:line="276"/>
      </w:pPr>
      <w:r>
        <w:rPr>
          <w:b/>
        </w:rPr>
        <w:t xml:space="preserve">摘要（ZH）: </w:t>
      </w:r>
      <w:r>
        <w:t>作者：D. Miśkowiec 和 K. Reygers 光子对飞秒检查是研究高能核碰撞的一种特别有吸引力的工具。它在几篇有影响力的理论文章中被提出并进行了广泛讨论，但由于统计的限制，它在实验中只看到了很少的应用。随着探测器的进步......[物理。 Rev. C 114, 014902] 于 2026 年 7 月 6 日星期一发布</w:t>
      </w:r>
    </w:p>
    <w:p>
      <w:pPr>
        <w:spacing w:before="0" w:after="200" w:lineRule="auto" w:line="276"/>
      </w:pPr>
      <w:r>
        <w:rPr>
          <w:b/>
        </w:rPr>
        <w:t xml:space="preserve">Abstract (EN): </w:t>
      </w:r>
      <w:r>
        <w:t>Author(s): D. Miśkowiec and K. ReygersFemtoscopy with photon pairs is a particularly attractive tool for studying high-energy nuclear collisions. Proposed and extensively discussed in several influential theory articles, it has seen only a few applications in experiment because of statistics limitations. With the progress of detectors a…[Phys. Rev. C 114, 014902] Published Mon Jul 06, 2026</w:t>
      </w:r>
    </w:p>
    <w:p>
      <w:pPr>
        <w:spacing w:before="120" w:after="120"/>
      </w:pPr>
      <w:r>
        <w:rPr>
          <w:sz w:val="18"/>
        </w:rPr>
        <w:t>——————————————————————————————————————————————————————————————————————</w:t>
      </w:r>
    </w:p>
    <w:p>
      <w:pPr>
        <w:spacing w:before="160" w:after="40" w:line="240" w:lineRule="auto"/>
      </w:pPr>
      <w:r>
        <w:rPr>
          <w:b/>
        </w:rPr>
        <w:t xml:space="preserve">[184] </w:t>
      </w:r>
      <w:hyperlink r:id="rId597">
        <w:r>
          <w:rPr>
            <w:color w:val="1155CC"/>
            <w:u w:val="single"/>
          </w:rPr>
          <w:t>研究 $^{19}\mathrm{F}$ 与 $^{100}\mathrm{Mo}$ 相互作用中的质子剥离传输通道</w:t>
        </w:r>
      </w:hyperlink>
    </w:p>
    <w:p>
      <w:pPr>
        <w:spacing w:before="0" w:after="80"/>
      </w:pPr>
      <w:r>
        <w:rPr>
          <w:i/>
          <w:sz w:val="20"/>
        </w:rPr>
        <w:t>EN: Investigating the proton stripping transfer channels in interactions of $^{19}\mathrm{F}$ with $^{100}\mathrm{Mo}$</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598">
        <w:r>
          <w:rPr>
            <w:color w:val="1155CC"/>
            <w:u w:val="single"/>
          </w:rPr>
          <w:t>10.1103/dtht-11lp</w:t>
        </w:r>
      </w:hyperlink>
    </w:p>
    <w:p>
      <w:pPr>
        <w:spacing w:before="0" w:after="120"/>
      </w:pPr>
      <w:r>
        <w:rPr>
          <w:b/>
        </w:rPr>
        <w:t xml:space="preserve">Notes: </w:t>
      </w:r>
      <w:r>
        <w:t>abstract_source=rss_description</w:t>
      </w:r>
    </w:p>
    <w:p>
      <w:pPr>
        <w:spacing w:before="0" w:after="80" w:lineRule="auto" w:line="276"/>
      </w:pPr>
      <w:r>
        <w:rPr>
          <w:b/>
        </w:rPr>
        <w:t xml:space="preserve">摘要（ZH）: </w:t>
      </w:r>
      <w:r>
        <w:t>作者：Rayees Ahmad Yatoo、Sunil Kalkal、Beant Kaur Guron、Akhil Jhingan、Golda K. S.、P. Sugathan、Mohit Kumar、N. Saneesh、Gobind Ram、E. Prasad、B. Ashna、Anjali Merin、Abhishek Yadav 和 A. Parihari 背景：重离子碰撞中的核子转移反应为核结构和反应提供了宝贵的见解动态。这些反应对壳层结构、配对相关性和集体激发敏感。转移反应的理论解释需要考虑……[物理。 Rev. C 114, 014608] 于 2026 年 7 月 6 日星期一发布</w:t>
      </w:r>
    </w:p>
    <w:p>
      <w:pPr>
        <w:spacing w:before="0" w:after="200" w:lineRule="auto" w:line="276"/>
      </w:pPr>
      <w:r>
        <w:rPr>
          <w:b/>
        </w:rPr>
        <w:t xml:space="preserve">Abstract (EN): </w:t>
      </w:r>
      <w:r>
        <w:t>Author(s): Rayees Ahmad Yatoo, Sunil Kalkal, Beant Kaur Guron, Akhil Jhingan, Golda K. S., P. Sugathan, Mohit Kumar, N. Saneesh, Gobind Ram, E. Prasad, B. Ashna, Anjali Merin, Abhishek Yadav, and A. ParihariBackground: Nucleon transfer reactions in heavy-ion collisions offer valuable insights into nuclear structure and reaction dynamics. These reactions are sensitive to shell structure, pairing correlations, and collective excitations. Theoretical interpretation of transfer reactions requires taking in…[Phys. Rev. C 114, 014608] Published Mon Jul 06, 2026</w:t>
      </w:r>
    </w:p>
    <w:p>
      <w:pPr>
        <w:spacing w:before="120" w:after="120"/>
      </w:pPr>
      <w:r>
        <w:rPr>
          <w:sz w:val="18"/>
        </w:rPr>
        <w:t>——————————————————————————————————————————————————————————————————————</w:t>
      </w:r>
    </w:p>
    <w:p>
      <w:pPr>
        <w:spacing w:before="160" w:after="40" w:line="240" w:lineRule="auto"/>
      </w:pPr>
      <w:r>
        <w:rPr>
          <w:b/>
        </w:rPr>
        <w:t xml:space="preserve">[185] </w:t>
      </w:r>
      <w:hyperlink r:id="rId599">
        <w:r>
          <w:rPr>
            <w:color w:val="1155CC"/>
            <w:u w:val="single"/>
          </w:rPr>
          <w:t>激发 ${0}^{+}$ 态的八极相关性和锕系元素核中的两个中子转移</w:t>
        </w:r>
      </w:hyperlink>
    </w:p>
    <w:p>
      <w:pPr>
        <w:spacing w:before="0" w:after="80"/>
      </w:pPr>
      <w:r>
        <w:rPr>
          <w:i/>
          <w:sz w:val="20"/>
        </w:rPr>
        <w:t>EN: Octupole correlations in the excited ${0}^{+}$ states and two-neutron transfers in actinide nuclei</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600">
        <w:r>
          <w:rPr>
            <w:color w:val="1155CC"/>
            <w:u w:val="single"/>
          </w:rPr>
          <w:t>10.1103/8ff2-58j6</w:t>
        </w:r>
      </w:hyperlink>
    </w:p>
    <w:p>
      <w:pPr>
        <w:spacing w:before="0" w:after="120"/>
      </w:pPr>
      <w:r>
        <w:rPr>
          <w:b/>
        </w:rPr>
        <w:t xml:space="preserve">Notes: </w:t>
      </w:r>
      <w:r>
        <w:t>abstract_source=rss_description</w:t>
      </w:r>
    </w:p>
    <w:p>
      <w:pPr>
        <w:spacing w:before="0" w:after="80" w:lineRule="auto" w:line="276"/>
      </w:pPr>
      <w:r>
        <w:rPr>
          <w:b/>
        </w:rPr>
        <w:t xml:space="preserve">摘要（ZH）: </w:t>
      </w:r>
      <w:r>
        <w:t>作者：Kosuke Nomura 使用从微观核密度泛函理论计算中获得的哈密顿参数，在相互作用玻色子模型中分析了八极相关性对低能激发 ${0}^{+}$ 态以及 Ra 和 Th 同位素中的两个中子转移强度的影响。因科……[物理。修订版 C 114, 014302] 于 2026 年 7 月 6 日星期一发布</w:t>
      </w:r>
    </w:p>
    <w:p>
      <w:pPr>
        <w:spacing w:before="0" w:after="200" w:lineRule="auto" w:line="276"/>
      </w:pPr>
      <w:r>
        <w:rPr>
          <w:b/>
        </w:rPr>
        <w:t xml:space="preserve">Abstract (EN): </w:t>
      </w:r>
      <w:r>
        <w:t>Author(s): Kosuke NomuraImpacts of octupole correlations on low-energy excited ${0}^{+}$ states and two-neutron transfer intensities in Ra and Th isotopes are analyzed within the interacting boson model, using the Hamiltonian parameters that are obtained from microscopic nuclear density functional theory calculations. Inco…[Phys. Rev. C 114, 014302] Published Mon Jul 06, 2026</w:t>
      </w:r>
    </w:p>
    <w:p>
      <w:pPr>
        <w:spacing w:before="120" w:after="120"/>
      </w:pPr>
      <w:r>
        <w:rPr>
          <w:sz w:val="18"/>
        </w:rPr>
        <w:t>——————————————————————————————————————————————————————————————————————</w:t>
      </w:r>
    </w:p>
    <w:p>
      <w:pPr>
        <w:spacing w:before="160" w:after="40" w:line="240" w:lineRule="auto"/>
      </w:pPr>
      <w:r>
        <w:rPr>
          <w:b/>
        </w:rPr>
        <w:t xml:space="preserve">[186] </w:t>
      </w:r>
      <w:hyperlink r:id="rId601">
        <w:r>
          <w:rPr>
            <w:color w:val="1155CC"/>
            <w:u w:val="single"/>
          </w:rPr>
          <w:t>有限温度对相对论性重离子碰撞散射 $ππ$ 和 $D{\overline{D}}^{*}$ 阈值尖点的影响</w:t>
        </w:r>
      </w:hyperlink>
    </w:p>
    <w:p>
      <w:pPr>
        <w:spacing w:before="0" w:after="80"/>
      </w:pPr>
      <w:r>
        <w:rPr>
          <w:i/>
          <w:sz w:val="20"/>
        </w:rPr>
        <w:t>EN: Finite-temperature effects on the threshold cusps in $ππ$ and $D{\overline{D}}^{*}$ scatterings from relativistic heavy-ion collisions</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602">
        <w:r>
          <w:rPr>
            <w:color w:val="1155CC"/>
            <w:u w:val="single"/>
          </w:rPr>
          <w:t>10.1103/qxzl-rzz1</w:t>
        </w:r>
      </w:hyperlink>
    </w:p>
    <w:p>
      <w:pPr>
        <w:spacing w:before="0" w:after="120"/>
      </w:pPr>
      <w:r>
        <w:rPr>
          <w:b/>
        </w:rPr>
        <w:t xml:space="preserve">Notes: </w:t>
      </w:r>
      <w:r>
        <w:t>abstract_source=rss_description</w:t>
      </w:r>
    </w:p>
    <w:p>
      <w:pPr>
        <w:spacing w:before="0" w:after="80" w:lineRule="auto" w:line="276"/>
      </w:pPr>
      <w:r>
        <w:rPr>
          <w:b/>
        </w:rPr>
        <w:t xml:space="preserve">摘要（ZH）: </w:t>
      </w:r>
      <w:r>
        <w:t>作者：Ying Zhang、Atsushi Hosaka、Qian Wang 和 Shigehiro Yasui 我们使用有限温度下获得的生产率和传播器，研究温度如何影响介子-介子散射中的阈值尖点，即 $ππ$ 和 $D{\overline{D}}^{*}$ （或 ${D}^{*}\overline{D}$）散射。不同条件下 $ππ$ 生产率的线形...[物理。 Rev. C 114, 015201] 2026 年 7 月 6 日星期一发布</w:t>
      </w:r>
    </w:p>
    <w:p>
      <w:pPr>
        <w:spacing w:before="0" w:after="200" w:lineRule="auto" w:line="276"/>
      </w:pPr>
      <w:r>
        <w:rPr>
          <w:b/>
        </w:rPr>
        <w:t xml:space="preserve">Abstract (EN): </w:t>
      </w:r>
      <w:r>
        <w:t>Author(s): Ying Zhang, Atsushi Hosaka, Qian Wang, and Shigehiro YasuiWe investigate how the temperature influences the threshold cusps in meson-meson scatterings, i.e., $ππ$ and $D{\overline{D}}^{*}$ (or ${D}^{*}\overline{D}$) scatterings, using the production rates and propagators obtained at finite temperature. The line shape of production rate of $ππ$ at different…[Phys. Rev. C 114, 015201] Published Mon Jul 06, 2026</w:t>
      </w:r>
    </w:p>
    <w:p>
      <w:pPr>
        <w:spacing w:before="120" w:after="120"/>
      </w:pPr>
      <w:r>
        <w:rPr>
          <w:sz w:val="18"/>
        </w:rPr>
        <w:t>——————————————————————————————————————————————————————————————————————</w:t>
      </w:r>
    </w:p>
    <w:p>
      <w:pPr>
        <w:spacing w:before="160" w:after="40" w:line="240" w:lineRule="auto"/>
      </w:pPr>
      <w:r>
        <w:rPr>
          <w:b/>
        </w:rPr>
        <w:t xml:space="preserve">[187] </w:t>
      </w:r>
      <w:hyperlink r:id="rId603">
        <w:r>
          <w:rPr>
            <w:color w:val="1155CC"/>
            <w:u w:val="single"/>
          </w:rPr>
          <w:t>布鲁克纳-哈特里-福克理论的微观光学势</w:t>
        </w:r>
      </w:hyperlink>
    </w:p>
    <w:p>
      <w:pPr>
        <w:spacing w:before="0" w:after="80"/>
      </w:pPr>
      <w:r>
        <w:rPr>
          <w:i/>
          <w:sz w:val="20"/>
        </w:rPr>
        <w:t>EN: Microscopic optical potential from Brueckner-Hartree-Fock theory</w:t>
      </w:r>
    </w:p>
    <w:p>
      <w:pPr>
        <w:spacing w:before="0" w:after="120"/>
      </w:pPr>
      <w:r>
        <w:rPr>
          <w:b/>
        </w:rPr>
        <w:t xml:space="preserve">Source: </w:t>
      </w:r>
      <w:r>
        <w:t>Recent Articles in Phys. Rev. C</w:t>
      </w:r>
      <w:r>
        <w:t xml:space="preserve">    </w:t>
      </w:r>
      <w:r>
        <w:rPr>
          <w:b/>
        </w:rPr>
        <w:t xml:space="preserve">Pub date: </w:t>
      </w:r>
      <w:r>
        <w:t>2026-07-06 10:00:00+00:00</w:t>
      </w:r>
      <w:r>
        <w:t xml:space="preserve">    </w:t>
      </w:r>
      <w:r>
        <w:rPr>
          <w:b/>
        </w:rPr>
        <w:t xml:space="preserve">DOI: </w:t>
      </w:r>
      <w:hyperlink r:id="rId604">
        <w:r>
          <w:rPr>
            <w:color w:val="1155CC"/>
            <w:u w:val="single"/>
          </w:rPr>
          <w:t>10.1103/8tmd-pskb</w:t>
        </w:r>
      </w:hyperlink>
    </w:p>
    <w:p>
      <w:pPr>
        <w:spacing w:before="0" w:after="120"/>
      </w:pPr>
      <w:r>
        <w:rPr>
          <w:b/>
        </w:rPr>
        <w:t xml:space="preserve">Notes: </w:t>
      </w:r>
      <w:r>
        <w:t>abstract_source=rss_description</w:t>
      </w:r>
    </w:p>
    <w:p>
      <w:pPr>
        <w:spacing w:before="0" w:after="80" w:lineRule="auto" w:line="276"/>
      </w:pPr>
      <w:r>
        <w:rPr>
          <w:b/>
        </w:rPr>
        <w:t xml:space="preserve">摘要（ZH）: </w:t>
      </w:r>
      <w:r>
        <w:t>作者：Miao Qi、Li-Li Chen、Li-Gang Cao、Feng-Shou Zhang、Xin-Le Shang、Wei Zuo 和 U. Lombardo 现代 Brueckner-Hartree-Fock (BHF) 计算在描述对称和不对称核物质的各种性质方面非常成功。在 BHF 理论中，开发了用于核子-核散射的微观光势 (MOP)。首先，我们参数化取决于能量和密度的......[物理。 Rev. C 114, 014606] 2026 年 7 月 6 日星期一发布</w:t>
      </w:r>
    </w:p>
    <w:p>
      <w:pPr>
        <w:spacing w:before="0" w:after="200" w:lineRule="auto" w:line="276"/>
      </w:pPr>
      <w:r>
        <w:rPr>
          <w:b/>
        </w:rPr>
        <w:t xml:space="preserve">Abstract (EN): </w:t>
      </w:r>
      <w:r>
        <w:t>Author(s): Miao Qi, Li-Li Chen, Li-Gang Cao, Feng-Shou Zhang, Xin-Le Shang, Wei Zuo, and U. LombardoModern Brueckner-Hartree-Fock (BHF) calculations are very successful in describing various properties of symmetric and asymmetric nuclear matter. Within BHF theory, a microscopic optical potential (MOP) for nucleon-nucleus scattering is developed. First, we parametrize the energy and density depende…[Phys. Rev. C 114, 014606] Published Mon Jul 06, 2026</w:t>
      </w:r>
    </w:p>
    <w:p>
      <w:pPr>
        <w:spacing w:before="120" w:after="120"/>
      </w:pPr>
      <w:r>
        <w:rPr>
          <w:sz w:val="18"/>
        </w:rPr>
        <w:t>——————————————————————————————————————————————————————————————————————</w:t>
      </w:r>
    </w:p>
    <w:p>
      <w:pPr>
        <w:spacing w:before="160" w:after="40" w:line="240" w:lineRule="auto"/>
      </w:pPr>
      <w:r>
        <w:rPr>
          <w:b/>
        </w:rPr>
        <w:t xml:space="preserve">[188] </w:t>
      </w:r>
      <w:hyperlink r:id="rId605">
        <w:r>
          <w:rPr>
            <w:color w:val="1155CC"/>
            <w:u w:val="single"/>
          </w:rPr>
          <w:t>模拟转运蛋白 MXene 用于生物流体中的尿酸捕获和传感</w:t>
        </w:r>
      </w:hyperlink>
    </w:p>
    <w:p>
      <w:pPr>
        <w:spacing w:before="0" w:after="80"/>
      </w:pPr>
      <w:r>
        <w:rPr>
          <w:i/>
          <w:sz w:val="20"/>
        </w:rPr>
        <w:t>EN: Transporter-Mimicking MXene for Uric Acid Capture and Sensing in Biofluids</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06">
        <w:r>
          <w:rPr>
            <w:color w:val="1155CC"/>
            <w:u w:val="single"/>
          </w:rPr>
          <w:t>10.1021/jacs.6c11269</w:t>
        </w:r>
      </w:hyperlink>
    </w:p>
    <w:p>
      <w:pPr>
        <w:spacing w:before="0" w:after="120"/>
      </w:pPr>
      <w:r>
        <w:rPr>
          <w:b/>
        </w:rPr>
        <w:t xml:space="preserve">Notes: </w:t>
      </w:r>
      <w:r>
        <w:t>abstract_source=pubmed</w:t>
      </w:r>
    </w:p>
    <w:p>
      <w:pPr>
        <w:spacing w:before="0" w:after="80" w:lineRule="auto" w:line="276"/>
      </w:pPr>
      <w:r>
        <w:rPr>
          <w:b/>
        </w:rPr>
        <w:t xml:space="preserve">摘要（ZH）: </w:t>
      </w:r>
      <w:r>
        <w:t>尿酸（UA）与多种代谢性疾病和神经退行性疾病密切相关，因此其检测对于疾病诊断、分期和治疗评估至关重要。然而，由于其广泛的生理浓度范围、共存物种的强烈干扰以及分散即时检测的需求不断增加，生物体液中UA的检测仍然具有挑战性。在此，我们报告了一种基于 MXene 的仿生策略，通过模仿人尿酸转运蛋白 1 (URAT1) 的结构来实现 UA 的高选择性、大范围和即时检测。 MXene是通过共价层间重构方法合成的，其中通过与季铵的亲核取代反应在纳米片之间引入共价键以精确控制层间距，从而模仿URAT1的结合口袋。该表面经过定制，可重现负责 UA 捕获的 URAT1 中的 π-π 堆积、氢键和静电相互作用。这种 MXene 不仅可以捕获和富集 UA，还可以调节其氧化还原行为，从而加速反应动力学并放大电化学响应。因此，电化学检测具有高灵敏度、宽线性范围、低检测限、优异的选择性和抗基质干扰能力。然后将仿生传感器与便携式设备集成，用于快速即时检测 UA，实现家庭指尖血液检测，用于代谢性疾病管理、围手术期监测</w:t>
      </w:r>
    </w:p>
    <w:p>
      <w:pPr>
        <w:spacing w:before="0" w:after="200" w:lineRule="auto" w:line="276"/>
      </w:pPr>
      <w:r>
        <w:rPr>
          <w:b/>
        </w:rPr>
        <w:t xml:space="preserve">Abstract (EN): </w:t>
      </w:r>
      <w:r>
        <w:t>Uric acid (UA) is closely associated with a broad spectrum of metabolic diseases and neurodegenerative disorders, so its detection is crucial for disease diagnosis, staging, and therapeutic evaluation. However, the detection of UA in biofluids remains challenging because of its broad physiological concentration range, strong interference from coexisting species, and increasing requirement of decentralized point-of-care testing. Herein, we report an MXene-based biomimetic strategy by imitating the structure of human urate transporter 1 (URAT1) to realize highly selective, wide-range, and point-of-care detection of UA. The MXene was synthesized by a covalent interlayer reconstruction method, in which covalent bonds were introduced between nanosheets through nucleophilic substitution reaction with quaternary ammonium to precisely control the interlayer spacing, thus mimicking the binding pocket of URAT1. The surface was tailored to reproduce π-π stacking, hydrogen-bonding, and electrostatic interactions in URAT1 responsible for UA capture. This MXene can not only capture and enrich UA but also modulate its redox behavior, leading to accelerated reaction kinetics and amplified electrochemical response. As a result, the electrochemical detection yielded a high sensitivity, a wide linear range, a low detection limit, outstanding selectivity, and antimatrix interference ability. The biomimetic sensor was then integrated with a portable device for rapid and point-of-care detection of UA, realizing fingertip-blood testing at home for management of metabolic diseases, perioperative measurement in cerebrospinal fluid, blood and urine for disease diagnosis, and postoperative outcomes. We believe this biomimetic strategy can translate the concept of transporter-mediated molecular capture into high-performance molecular sensing.</w:t>
      </w:r>
    </w:p>
    <w:p>
      <w:pPr>
        <w:spacing w:before="120" w:after="120"/>
      </w:pPr>
      <w:r>
        <w:rPr>
          <w:sz w:val="18"/>
        </w:rPr>
        <w:t>——————————————————————————————————————————————————————————————————————</w:t>
      </w:r>
    </w:p>
    <w:p>
      <w:pPr>
        <w:spacing w:before="160" w:after="40" w:line="240" w:lineRule="auto"/>
      </w:pPr>
      <w:r>
        <w:rPr>
          <w:b/>
        </w:rPr>
        <w:t xml:space="preserve">[189] </w:t>
      </w:r>
      <w:hyperlink r:id="rId607">
        <w:r>
          <w:rPr>
            <w:color w:val="1155CC"/>
            <w:u w:val="single"/>
          </w:rPr>
          <w:t>使用连续体机器人创建可持续基础设施</w:t>
        </w:r>
      </w:hyperlink>
    </w:p>
    <w:p>
      <w:pPr>
        <w:spacing w:before="0" w:after="80"/>
      </w:pPr>
      <w:r>
        <w:rPr>
          <w:i/>
          <w:sz w:val="20"/>
        </w:rPr>
        <w:t>EN: Creating sustainable infrastructure with continuum robots</w:t>
      </w:r>
    </w:p>
    <w:p>
      <w:pPr>
        <w:spacing w:before="0" w:after="120"/>
      </w:pPr>
      <w:r>
        <w:rPr>
          <w:b/>
        </w:rPr>
        <w:t xml:space="preserve">Source: </w:t>
      </w:r>
      <w:r>
        <w:t>Nature Electronics</w:t>
      </w:r>
      <w:r>
        <w:t xml:space="preserve">    </w:t>
      </w:r>
      <w:r>
        <w:rPr>
          <w:b/>
        </w:rPr>
        <w:t xml:space="preserve">Pub date: </w:t>
      </w:r>
      <w:r>
        <w:t>2026-07-07 00:00:00+00:00</w:t>
      </w:r>
      <w:r>
        <w:t xml:space="preserve">    </w:t>
      </w:r>
      <w:r>
        <w:rPr>
          <w:b/>
        </w:rPr>
        <w:t xml:space="preserve">DOI: </w:t>
      </w:r>
      <w:hyperlink r:id="rId608">
        <w:r>
          <w:rPr>
            <w:color w:val="1155CC"/>
            <w:u w:val="single"/>
          </w:rPr>
          <w:t>10.1038/s41928-026-01663-8</w:t>
        </w:r>
      </w:hyperlink>
    </w:p>
    <w:p>
      <w:pPr>
        <w:spacing w:before="0" w:after="120"/>
      </w:pPr>
      <w:r>
        <w:rPr>
          <w:b/>
        </w:rPr>
        <w:t xml:space="preserve">Notes: </w:t>
      </w:r>
      <w:r>
        <w:t>abstract_source=nature_html</w:t>
      </w:r>
    </w:p>
    <w:p>
      <w:pPr>
        <w:spacing w:before="0" w:after="80" w:lineRule="auto" w:line="276"/>
      </w:pPr>
      <w:r>
        <w:rPr>
          <w:b/>
        </w:rPr>
        <w:t xml:space="preserve">摘要（ZH）: </w:t>
      </w:r>
      <w:r>
        <w:t>通过连续变形进行弯曲、扭曲和适应的机器人可用于检查和维护现代社会的基础设施。但在产生实际影响之前，需要解决与力施加、形状估计、鲁棒性和接触感知控制相关的挑战。</w:t>
      </w:r>
    </w:p>
    <w:p>
      <w:pPr>
        <w:spacing w:before="0" w:after="200" w:lineRule="auto" w:line="276"/>
      </w:pPr>
      <w:r>
        <w:rPr>
          <w:b/>
        </w:rPr>
        <w:t xml:space="preserve">Abstract (EN): </w:t>
      </w:r>
      <w:r>
        <w:t>Robots that bend, twist and adapt through continuous deformation could be used to inspect and maintain the infrastructure of modern society. But challenges related to force application, shape estimation, robustness and contact-aware control will need to be addressed before they can have a practical impact.</w:t>
      </w:r>
    </w:p>
    <w:p>
      <w:pPr>
        <w:spacing w:before="120" w:after="120"/>
      </w:pPr>
      <w:r>
        <w:rPr>
          <w:sz w:val="18"/>
        </w:rPr>
        <w:t>——————————————————————————————————————————————————————————————————————</w:t>
      </w:r>
    </w:p>
    <w:p>
      <w:pPr>
        <w:spacing w:before="160" w:after="40" w:line="240" w:lineRule="auto"/>
      </w:pPr>
      <w:r>
        <w:rPr>
          <w:b/>
        </w:rPr>
        <w:t xml:space="preserve">[190] </w:t>
      </w:r>
      <w:hyperlink r:id="rId609">
        <w:r>
          <w:rPr>
            <w:color w:val="1155CC"/>
            <w:u w:val="single"/>
          </w:rPr>
          <w:t>烷氧基胺水合中的位点选择性转换：从孤对方向到溶剂网络优势</w:t>
        </w:r>
      </w:hyperlink>
    </w:p>
    <w:p>
      <w:pPr>
        <w:spacing w:before="0" w:after="80"/>
      </w:pPr>
      <w:r>
        <w:rPr>
          <w:i/>
          <w:sz w:val="20"/>
        </w:rPr>
        <w:t>EN: Switching Site Selectivity in Alkoxyamine Hydration: From Lone-Pair Direction to Solvent Network Dominance</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10">
        <w:r>
          <w:rPr>
            <w:color w:val="1155CC"/>
            <w:u w:val="single"/>
          </w:rPr>
          <w:t>10.1021/jacs.6c08250</w:t>
        </w:r>
      </w:hyperlink>
    </w:p>
    <w:p>
      <w:pPr>
        <w:spacing w:before="0" w:after="120"/>
      </w:pPr>
      <w:r>
        <w:rPr>
          <w:b/>
        </w:rPr>
        <w:t xml:space="preserve">Notes: </w:t>
      </w:r>
      <w:r>
        <w:t>abstract_source=pubmed</w:t>
      </w:r>
    </w:p>
    <w:p>
      <w:pPr>
        <w:spacing w:before="0" w:after="80" w:lineRule="auto" w:line="276"/>
      </w:pPr>
      <w:r>
        <w:rPr>
          <w:b/>
        </w:rPr>
        <w:t xml:space="preserve">摘要（ZH）: </w:t>
      </w:r>
      <w:r>
        <w:t>预测多功能有机分子溶剂化最早阶段的位点选择性仍然是化学物理学中的一个复杂挑战。在这项工作中，我们使用高分辨率旋转光谱和量子化学计算来解码 N,N-二乙基乙酰氧基胺 (DEAcA) 的水合景观，DEAcA 是一种具有竞争性 sp3 氮和羰基氧受体的分子。虽然孤立的单体优先采用由电偶极矩最小化和氧-氧静电排斥的协同减轻驱动的顺式构型，但微溶剂化（(H2O)n，n = 1-3）显示出对高碱性氮位点的排他性偏好。我们证明 14N 核四极耦合 (NQC) 常数提供了加强新生水链的协同极化的直接实验证据。至关重要的是，在四水水平（n = 4），我们发现溶剂化状态发生急剧转变：全局最小值转变为锚定在羰基氧上的循环水四聚体。这种结构支点标志着局部立体电子控制屈服于溶剂网络集体稳定的边界。这些发现为模拟复杂有机系统中从分子识别到类块状溶剂化的转变提供了严格的基准。</w:t>
      </w:r>
    </w:p>
    <w:p>
      <w:pPr>
        <w:spacing w:before="0" w:after="200" w:lineRule="auto" w:line="276"/>
      </w:pPr>
      <w:r>
        <w:rPr>
          <w:b/>
        </w:rPr>
        <w:t xml:space="preserve">Abstract (EN): </w:t>
      </w:r>
      <w:r>
        <w:t>Predicting site selectivity during the earliest stages of solvation in multifunctional organic molecules remains a complex challenge in chemical physics. In this work, we use high-resolution rotational spectroscopy and quantum-chemical calculations to decode the hydration landscape of N,N-diethylacetyloxyamine (DEAcA), a molecule featuring competing sp3 nitrogen and carbonyl oxygen acceptors. While the isolated monomer preferentially adopts a syn configuration driven by the electric dipole moment minimization and the synergistic alleviation of oxygen-oxygen electrostatic repulsion, microsolvation ((H2O)n, n = 1-3) reveals an exclusive preference for the highly basic nitrogen site. We demonstrate that the 14N nuclear quadrupole coupling (NQC) constants provide direct experimental evidence of the cooperative polarization that strengthens the nascent water chain. Crucially, at the tetrahydrated level (n = 4), we identify a sharp transition in the solvation regime: the global minimum shifts to a cyclic water tetramer anchored at the carbonyl oxygen. This structural pivot marks the boundary where localized stereoelectronic control yields to the collective stabilization of the solvent network. These findings provide a rigorous benchmark for modeling the transition from molecular recognition to bulk-like solvation in complex organic systems.</w:t>
      </w:r>
    </w:p>
    <w:p>
      <w:pPr>
        <w:spacing w:before="120" w:after="120"/>
      </w:pPr>
      <w:r>
        <w:rPr>
          <w:sz w:val="18"/>
        </w:rPr>
        <w:t>——————————————————————————————————————————————————————————————————————</w:t>
      </w:r>
    </w:p>
    <w:p>
      <w:pPr>
        <w:spacing w:before="160" w:after="40" w:line="240" w:lineRule="auto"/>
      </w:pPr>
      <w:r>
        <w:rPr>
          <w:b/>
        </w:rPr>
        <w:t xml:space="preserve">[191] </w:t>
      </w:r>
      <w:hyperlink r:id="rId611">
        <w:r>
          <w:rPr>
            <w:color w:val="1155CC"/>
            <w:u w:val="single"/>
          </w:rPr>
          <w:t>基于同步加速器的原位 GIWAXS 和分子模拟揭示了控制多晶型选择的界面成核路径</w:t>
        </w:r>
      </w:hyperlink>
    </w:p>
    <w:p>
      <w:pPr>
        <w:spacing w:before="0" w:after="80"/>
      </w:pPr>
      <w:r>
        <w:rPr>
          <w:i/>
          <w:sz w:val="20"/>
        </w:rPr>
        <w:t>EN: Interfacial Nucleation Pathways Governing Polymorph Selection Revealed by Synchrotron-Based In Situ GIWAXS and Molecular Simulations</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12">
        <w:r>
          <w:rPr>
            <w:color w:val="1155CC"/>
            <w:u w:val="single"/>
          </w:rPr>
          <w:t>10.1021/jacs.6c06437</w:t>
        </w:r>
      </w:hyperlink>
    </w:p>
    <w:p>
      <w:pPr>
        <w:spacing w:before="0" w:after="120"/>
      </w:pPr>
      <w:r>
        <w:rPr>
          <w:b/>
        </w:rPr>
        <w:t xml:space="preserve">Notes: </w:t>
      </w:r>
      <w:r>
        <w:t>abstract_source=pubmed</w:t>
      </w:r>
    </w:p>
    <w:p>
      <w:pPr>
        <w:spacing w:before="0" w:after="80" w:lineRule="auto" w:line="276"/>
      </w:pPr>
      <w:r>
        <w:rPr>
          <w:b/>
        </w:rPr>
        <w:t xml:space="preserve">摘要（ZH）: </w:t>
      </w:r>
      <w:r>
        <w:t>气液界面成核可以影响有机结晶，但其在多晶型选择中的机制作用仍知之甚少。在这里，我们证明氟芬那酸溶液气液界面的成核作用控制着多晶型的选择，并产生明显的浓度依赖性多晶型现象，其中低初始浓度有利于晶型I的成核，较高的浓度产生晶型III，中间浓度选择性地产生亚稳态晶型IV。基于原位同步加速器的掠入射广角X射线散射（GIWAXS）直接解析了界面处成核前组装体的形成和演化，揭示了与特定多晶型物的出现相关的三种不同的界面分子演化途径。分子动力学（MD）模拟与混合量子力学/分子力学（QM/MM）嵌入团簇框架内的能量计算相结合，进一步揭示了界面富集、取向偏差和堆叠图案的构象异构体依赖性稳定性，为实验观察到的选择性提供了微观解释。总之，这些结果将气液界面确立为一种主动结构选择器，可在成核之前重塑分子组织，为理解和控制蒸发驱动结晶中的多晶型现象提供机械框架。</w:t>
      </w:r>
    </w:p>
    <w:p>
      <w:pPr>
        <w:spacing w:before="0" w:after="200" w:lineRule="auto" w:line="276"/>
      </w:pPr>
      <w:r>
        <w:rPr>
          <w:b/>
        </w:rPr>
        <w:t xml:space="preserve">Abstract (EN): </w:t>
      </w:r>
      <w:r>
        <w:t>Gas-liquid interfacial nucleation can influence organic crystallization, yet its mechanistic role in polymorph selection remains poorly understood. Here, we demonstrate that nucleation at the gas-liquid interface of flufenamic acid solutions governs polymorph selection and gives rise to a pronounced concentration-dependent polymorphism, wherein low initial concentrations favor the nucleation of form I, higher concentrations yield form III, and intermediate concentrations selectively produce the metastable form IV. In situ synchrotron-based grazing-incidence wide-angle X-ray scattering (GIWAXS) directly resolves the formation and evolution of prenucleation assemblies at the interface, revealing three distinct interfacial molecular evolution pathways correlated with the emergence of specific polymorphs. Molecular dynamics (MD) simulations combined with energy calculations within the hybrid quantum mechanics/molecular mechanics (QM/MM) embedded-cluster framework further reveal interfacial enrichment, orientational bias, and conformer-dependent stabilization of stacking motifs, providing a microscopic interpretation of the experimentally observed selectivity. Together, these results establish the gas-liquid interface as an active structural selector that reshapes molecular organization prior to nucleation, offering a mechanistic framework for understanding and controlling polymorphism in evaporation-driven crystallization.</w:t>
      </w:r>
    </w:p>
    <w:p>
      <w:pPr>
        <w:spacing w:before="120" w:after="120"/>
      </w:pPr>
      <w:r>
        <w:rPr>
          <w:sz w:val="18"/>
        </w:rPr>
        <w:t>——————————————————————————————————————————————————————————————————————</w:t>
      </w:r>
    </w:p>
    <w:p>
      <w:pPr>
        <w:spacing w:before="160" w:after="40" w:line="240" w:lineRule="auto"/>
      </w:pPr>
      <w:r>
        <w:rPr>
          <w:b/>
        </w:rPr>
        <w:t xml:space="preserve">[192] </w:t>
      </w:r>
      <w:hyperlink r:id="rId613">
        <w:r>
          <w:rPr>
            <w:color w:val="1155CC"/>
            <w:u w:val="single"/>
          </w:rPr>
          <w:t>通过合并卤素原子转移和镍介导的氮烯基转移直接α-三氟甲基酰胺化和三组分烯烃三氟烷基酰胺化</w:t>
        </w:r>
      </w:hyperlink>
    </w:p>
    <w:p>
      <w:pPr>
        <w:spacing w:before="0" w:after="80"/>
      </w:pPr>
      <w:r>
        <w:rPr>
          <w:i/>
          <w:sz w:val="20"/>
        </w:rPr>
        <w:t>EN: Direct α-Trifluoromethyl Amidation and Three-Component Alkene Trifluoroalkylamidation via Merging Halogen-Atom Transfer and Nickel-Mediated Nitrenoid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14">
        <w:r>
          <w:rPr>
            <w:color w:val="1155CC"/>
            <w:u w:val="single"/>
          </w:rPr>
          <w:t>10.1021/jacs.6c07942</w:t>
        </w:r>
      </w:hyperlink>
    </w:p>
    <w:p>
      <w:pPr>
        <w:spacing w:before="0" w:after="120"/>
      </w:pPr>
      <w:r>
        <w:rPr>
          <w:b/>
        </w:rPr>
        <w:t xml:space="preserve">Notes: </w:t>
      </w:r>
      <w:r>
        <w:t>abstract_source=pubmed</w:t>
      </w:r>
    </w:p>
    <w:p>
      <w:pPr>
        <w:spacing w:before="0" w:after="80" w:lineRule="auto" w:line="276"/>
      </w:pPr>
      <w:r>
        <w:rPr>
          <w:b/>
        </w:rPr>
        <w:t xml:space="preserve">摘要（ZH）: </w:t>
      </w:r>
      <w:r>
        <w:t>尽管该主题具有医学相关性，但从简单的氟化原料中直接催化获得 α-三氟甲基酰胺仍然难以捉摸。在这里，我们报告了第一个通过光化学卤素原子转移（XAT）和镍介导的氮烯基转移相结合的直接α-三氟甲基酰胺化的催化平台。在温和条件下，容易获得的 α-溴三氟甲基烷烃与二恶唑酮偶联，在 α-CF3 中心形成具有挑战性的 C(sp3)-N 键，具有广泛的官能团耐受性。相同的催化歧管进一步实现了三组分烯烃三氟烷基酰胺化，提供了对密集官能化的γ-三氟甲基烷基酰胺的模块化访问。机理研究支持涉及光化学产生的 α-CF3 烷基自由基和镍氮烯中间体的途径。克级合成、天然产物和药物衍生底物的后期功能化以及向药物相关类似物的简洁转化强调了该平台的合成效用。</w:t>
      </w:r>
    </w:p>
    <w:p>
      <w:pPr>
        <w:spacing w:before="0" w:after="200" w:lineRule="auto" w:line="276"/>
      </w:pPr>
      <w:r>
        <w:rPr>
          <w:b/>
        </w:rPr>
        <w:t xml:space="preserve">Abstract (EN): </w:t>
      </w:r>
      <w:r>
        <w:t>Direct catalytic access to α-trifluoromethyl amides from simple fluorinated feedstocks has remained elusive despite the medicinal relevance of this motif. Here, we report the first catalytic platform for direct α-trifluoromethyl amidation through the merger of photochemical halogen-atom transfer (XAT) and nickel-mediated nitrenoid transfer. Under mild conditions, readily available α-bromo-trifluoromethyl alkanes couple with dioxazolones to forge challenging C(sp3)-N bonds at α-CF3 centers with broad functional-group tolerance. The same catalytic manifold further enables a three-component alkene trifluoroalkylamidation, providing modular access to densely functionalized γ-trifluoromethyl alkylamides. Mechanistic studies support a pathway involving photochemically generated α-CF3 alkyl radicals and nickel-nitrenoid intermediates. Gram-scale synthesis, late-stage functionalization of natural product- and drug-derived substrates, and concise conversion to pharmaceutically relevant analogues underscore the synthetic utility of the platform.</w:t>
      </w:r>
    </w:p>
    <w:p>
      <w:pPr>
        <w:spacing w:before="120" w:after="120"/>
      </w:pPr>
      <w:r>
        <w:rPr>
          <w:sz w:val="18"/>
        </w:rPr>
        <w:t>——————————————————————————————————————————————————————————————————————</w:t>
      </w:r>
    </w:p>
    <w:p>
      <w:pPr>
        <w:spacing w:before="160" w:after="40" w:line="240" w:lineRule="auto"/>
      </w:pPr>
      <w:r>
        <w:rPr>
          <w:b/>
        </w:rPr>
        <w:t xml:space="preserve">[193] </w:t>
      </w:r>
      <w:hyperlink r:id="rId615">
        <w:r>
          <w:rPr>
            <w:color w:val="1155CC"/>
            <w:u w:val="single"/>
          </w:rPr>
          <w:t>为光裂解、光聚合和光驱动增材制造中的 I 型光引发剂建立可比的反应性框架</w:t>
        </w:r>
      </w:hyperlink>
    </w:p>
    <w:p>
      <w:pPr>
        <w:spacing w:before="0" w:after="80"/>
      </w:pPr>
      <w:r>
        <w:rPr>
          <w:i/>
          <w:sz w:val="20"/>
        </w:rPr>
        <w:t>EN: Toward a Comparable Reactivity Framework for Type I Photoinitiators in Photocleavage, Photopolymerization and Light-Driven Additive Manufacturing</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16">
        <w:r>
          <w:rPr>
            <w:color w:val="1155CC"/>
            <w:u w:val="single"/>
          </w:rPr>
          <w:t>10.1021/jacs.6c08726</w:t>
        </w:r>
      </w:hyperlink>
    </w:p>
    <w:p>
      <w:pPr>
        <w:spacing w:before="0" w:after="120"/>
      </w:pPr>
      <w:r>
        <w:rPr>
          <w:b/>
        </w:rPr>
        <w:t xml:space="preserve">Notes: </w:t>
      </w:r>
      <w:r>
        <w:t>abstract_source=pubmed</w:t>
      </w:r>
    </w:p>
    <w:p>
      <w:pPr>
        <w:spacing w:before="0" w:after="80" w:lineRule="auto" w:line="276"/>
      </w:pPr>
      <w:r>
        <w:rPr>
          <w:b/>
        </w:rPr>
        <w:t xml:space="preserve">摘要（ZH）: </w:t>
      </w:r>
      <w:r>
        <w:t>I 型光引发剂在光照下会发生裂解，产生能够将单体快速转化为聚合物的活性物质，支撑着从涂料到微电子图案化以及日益受到关注的增材制造（即光驱动 3D 打印）等应用。然而，光裂解、光聚合和 3D 打印的进展因多样化和动态的环境以及其他变量而变得复杂，这些变量影响产品产量和反应性，对各个研究的可重复性提出了挑战。目前缺乏标准化协议严重限制了 I 型光引发剂在光聚合和 3D 打印系统中的直接比较。在此，我们讨论了光引发剂性能评估的最新技术，并提出了一个统一的实验框架，目的是在三个层次上获得可比较的产品产量和反应性数据：光解裂解、光聚合动力学和光驱动的 3D 打印性能。我们的框架以精确的、与波长相关的绝对产率为中心，通过光化学作用图和一套统一的实验条件来评估引发剂光解、光聚合效率和增材制造性能。可比较的数据集可能会揭示结构-反应性关系，并提供定量指标，以实现数据驱动的分析，范围从基于回归的模型到更先进的机器学习方法，以加速下一代 I 型光引发剂的发现。</w:t>
      </w:r>
    </w:p>
    <w:p>
      <w:pPr>
        <w:spacing w:before="0" w:after="200" w:lineRule="auto" w:line="276"/>
      </w:pPr>
      <w:r>
        <w:rPr>
          <w:b/>
        </w:rPr>
        <w:t xml:space="preserve">Abstract (EN): </w:t>
      </w:r>
      <w:r>
        <w:t>Type I photoinitiators undergo cleavage upon exposure to light, generating reactive species capable of rapidly converting monomer to polymer, underpinning applications from coatings to patterning microelectronics and─with growing interest─additive manufacturing (i.e., light-driven 3D printing). However, progress in photocleavage, photopolymerization and 3D printing is complicated by diverse and dynamic environments, among other variables, that influence product yields and reactivity, challenging reproducibility across individual studies. The current lack of standardized protocols critically limits the direct comparison of Type I photoinitiators across photopolymerization and 3D printing systems. Herein, we discuss the state-of-the-art in photoinitiator performance assessment and propose a unified experimental framework with the aim of obtaining comparable product yields and reactivity data across three hierarchical levels: photolytic cleavage, photopolymerization kinetics and light-driven 3D-printing performance. Our framework is centered on precise, wavelength-dependent absolute yields via photochemical action plots with a unified set of experimental conditions to assess initiator photolysis, photopolymerization efficiency, and additive manufacturing performance. Comparable data sets will likely reveal structure-reactivity relationships and provide quantitative metrics that enable data-driven analysis, ranging from regression-based models to more advanced machine learning approaches to accelerate the discovery of next-generation Type I photoinitiators.</w:t>
      </w:r>
    </w:p>
    <w:p>
      <w:pPr>
        <w:spacing w:before="120" w:after="120"/>
      </w:pPr>
      <w:r>
        <w:rPr>
          <w:sz w:val="18"/>
        </w:rPr>
        <w:t>——————————————————————————————————————————————————————————————————————</w:t>
      </w:r>
    </w:p>
    <w:p>
      <w:pPr>
        <w:spacing w:before="160" w:after="40" w:line="240" w:lineRule="auto"/>
      </w:pPr>
      <w:r>
        <w:rPr>
          <w:b/>
        </w:rPr>
        <w:t xml:space="preserve">[194] </w:t>
      </w:r>
      <w:hyperlink r:id="rId617">
        <w:r>
          <w:rPr>
            <w:color w:val="1155CC"/>
            <w:u w:val="single"/>
          </w:rPr>
          <w:t>二维光子晶体微型激光器的全发射控制</w:t>
        </w:r>
      </w:hyperlink>
    </w:p>
    <w:p>
      <w:pPr>
        <w:spacing w:before="0" w:after="80"/>
      </w:pPr>
      <w:r>
        <w:rPr>
          <w:i/>
          <w:sz w:val="20"/>
        </w:rPr>
        <w:t>EN: All-emission control in 2D-photonic crystal microlasers</w:t>
      </w:r>
    </w:p>
    <w:p>
      <w:pPr>
        <w:spacing w:before="0" w:after="120"/>
      </w:pPr>
      <w:r>
        <w:rPr>
          <w:b/>
        </w:rPr>
        <w:t xml:space="preserve">Source: </w:t>
      </w:r>
      <w:r>
        <w:t>Matter</w:t>
      </w:r>
      <w:r>
        <w:t xml:space="preserve">    </w:t>
      </w:r>
      <w:r>
        <w:rPr>
          <w:b/>
        </w:rPr>
        <w:t xml:space="preserve">Pub date: </w:t>
      </w:r>
      <w:r>
        <w:t>2026-07-07 00:00:00+00:00</w:t>
      </w:r>
      <w:r>
        <w:t xml:space="preserve">    </w:t>
      </w:r>
      <w:r>
        <w:rPr>
          <w:b/>
        </w:rPr>
        <w:t xml:space="preserve">DOI: </w:t>
      </w:r>
      <w:hyperlink r:id="rId618">
        <w:r>
          <w:rPr>
            <w:color w:val="1155CC"/>
            <w:u w:val="single"/>
          </w:rPr>
          <w:t>10.1016/j.matt.2026.102919</w:t>
        </w:r>
      </w:hyperlink>
    </w:p>
    <w:p>
      <w:pPr>
        <w:spacing w:before="0" w:after="120"/>
      </w:pPr>
      <w:r>
        <w:rPr>
          <w:b/>
        </w:rPr>
        <w:t xml:space="preserve">Notes: </w:t>
      </w:r>
      <w:r>
        <w:t>abstract_source=rss_cell</w:t>
      </w:r>
    </w:p>
    <w:p>
      <w:pPr>
        <w:spacing w:before="0" w:after="80" w:lineRule="auto" w:line="276"/>
      </w:pPr>
      <w:r>
        <w:rPr>
          <w:b/>
        </w:rPr>
        <w:t xml:space="preserve">摘要（ZH）: </w:t>
      </w:r>
      <w:r>
        <w:t>（第9号102713；2026年5月6日）</w:t>
      </w:r>
    </w:p>
    <w:p>
      <w:pPr>
        <w:spacing w:before="0" w:after="200" w:lineRule="auto" w:line="276"/>
      </w:pPr>
      <w:r>
        <w:rPr>
          <w:b/>
        </w:rPr>
        <w:t xml:space="preserve">Abstract (EN): </w:t>
      </w:r>
      <w:r>
        <w:t>(Matter 9, 102713; May 6, 2026)</w:t>
      </w:r>
    </w:p>
    <w:p>
      <w:pPr>
        <w:spacing w:before="120" w:after="120"/>
      </w:pPr>
      <w:r>
        <w:rPr>
          <w:sz w:val="18"/>
        </w:rPr>
        <w:t>——————————————————————————————————————————————————————————————————————</w:t>
      </w:r>
    </w:p>
    <w:p>
      <w:pPr>
        <w:spacing w:before="160" w:after="40" w:line="240" w:lineRule="auto"/>
      </w:pPr>
      <w:r>
        <w:rPr>
          <w:b/>
        </w:rPr>
        <w:t xml:space="preserve">[195] </w:t>
      </w:r>
      <w:hyperlink r:id="rId619">
        <w:r>
          <w:rPr>
            <w:color w:val="1155CC"/>
            <w:u w:val="single"/>
          </w:rPr>
          <w:t>多金属增材制造：界面和微观结构</w:t>
        </w:r>
      </w:hyperlink>
    </w:p>
    <w:p>
      <w:pPr>
        <w:spacing w:before="0" w:after="80"/>
      </w:pPr>
      <w:r>
        <w:rPr>
          <w:i/>
          <w:sz w:val="20"/>
        </w:rPr>
        <w:t>EN: Multi-metallic additive manufacturing: Interfaces and microstructures</w:t>
      </w:r>
    </w:p>
    <w:p>
      <w:pPr>
        <w:spacing w:before="0" w:after="120"/>
      </w:pPr>
      <w:r>
        <w:rPr>
          <w:b/>
        </w:rPr>
        <w:t xml:space="preserve">Source: </w:t>
      </w:r>
      <w:r>
        <w:t>Matter</w:t>
      </w:r>
      <w:r>
        <w:t xml:space="preserve">    </w:t>
      </w:r>
      <w:r>
        <w:rPr>
          <w:b/>
        </w:rPr>
        <w:t xml:space="preserve">Pub date: </w:t>
      </w:r>
      <w:r>
        <w:t>2026-07-07 00:00:00+00:00</w:t>
      </w:r>
      <w:r>
        <w:t xml:space="preserve">    </w:t>
      </w:r>
      <w:r>
        <w:rPr>
          <w:b/>
        </w:rPr>
        <w:t xml:space="preserve">DOI: </w:t>
      </w:r>
      <w:hyperlink r:id="rId620">
        <w:r>
          <w:rPr>
            <w:color w:val="1155CC"/>
            <w:u w:val="single"/>
          </w:rPr>
          <w:t>10.1016/j.matt.2026.102903</w:t>
        </w:r>
      </w:hyperlink>
    </w:p>
    <w:p>
      <w:pPr>
        <w:spacing w:before="0" w:after="120"/>
      </w:pPr>
      <w:r>
        <w:rPr>
          <w:b/>
        </w:rPr>
        <w:t xml:space="preserve">Notes: </w:t>
      </w:r>
      <w:r>
        <w:t>abstract_source=rss_cell</w:t>
      </w:r>
    </w:p>
    <w:p>
      <w:pPr>
        <w:spacing w:before="0" w:after="80" w:lineRule="auto" w:line="276"/>
      </w:pPr>
      <w:r>
        <w:rPr>
          <w:b/>
        </w:rPr>
        <w:t xml:space="preserve">摘要（ZH）: </w:t>
      </w:r>
      <w:r>
        <w:t>多金属增材制造将不同金属集成到具有特定位置特性的整体部件中，但原子级界面粘附力不足和微观结构转变不均匀仍然是关键挑战。这篇综述阐明了控制异质界面形成的热力学混溶性规则，阐明了缺陷起源，包括金属间化合物、孔隙和元素偏析，并揭示了界面-微观结构-性能之间的相关性。建立了涵盖兼容性评估、工艺决策和缺陷控制的系统框架，为多金属印刷结构工业化奠定了材料科学基础。</w:t>
      </w:r>
    </w:p>
    <w:p>
      <w:pPr>
        <w:spacing w:before="0" w:after="200" w:lineRule="auto" w:line="276"/>
      </w:pPr>
      <w:r>
        <w:rPr>
          <w:b/>
        </w:rPr>
        <w:t xml:space="preserve">Abstract (EN): </w:t>
      </w:r>
      <w:r>
        <w:t>Multi-metallic additive manufacturing integrates dissimilar metals into monolithic components with site-specific properties, yet inadequate atomic-level interfacial adhesion and inhomogeneous microstructural transitions remain critical challenges. This review elucidates the thermodynamic miscibility rules governing heterointerface formation, clarifies defect origins including intermetallic compounds, pores, and elemental segregation, and reveals the interface-microstructure-property correlations. A systematic framework encompassing compatibility evaluation, process decision-making, and defect control is established, advancing the materials science foundation for industrializing multi-metallic printed structures.</w:t>
      </w:r>
    </w:p>
    <w:p>
      <w:pPr>
        <w:spacing w:before="120" w:after="120"/>
      </w:pPr>
      <w:r>
        <w:rPr>
          <w:sz w:val="18"/>
        </w:rPr>
        <w:t>——————————————————————————————————————————————————————————————————————</w:t>
      </w:r>
    </w:p>
    <w:p>
      <w:pPr>
        <w:spacing w:before="160" w:after="40" w:line="240" w:lineRule="auto"/>
      </w:pPr>
      <w:r>
        <w:rPr>
          <w:b/>
        </w:rPr>
        <w:t xml:space="preserve">[196] </w:t>
      </w:r>
      <w:hyperlink r:id="rId621">
        <w:r>
          <w:rPr>
            <w:color w:val="1155CC"/>
            <w:u w:val="single"/>
          </w:rPr>
          <w:t>从热力学亚稳态到稳定：用于实际光动力治疗的独立于刺激的可转化纳米光敏剂</w:t>
        </w:r>
      </w:hyperlink>
    </w:p>
    <w:p>
      <w:pPr>
        <w:spacing w:before="0" w:after="80"/>
      </w:pPr>
      <w:r>
        <w:rPr>
          <w:i/>
          <w:sz w:val="20"/>
        </w:rPr>
        <w:t>EN: From thermodynamically metastable to stable: Stimuli-independent transformable nanophotosensitizers for practical photodynamic therapy</w:t>
      </w:r>
    </w:p>
    <w:p>
      <w:pPr>
        <w:spacing w:before="0" w:after="120"/>
      </w:pPr>
      <w:r>
        <w:rPr>
          <w:b/>
        </w:rPr>
        <w:t xml:space="preserve">Source: </w:t>
      </w:r>
      <w:r>
        <w:t>Matter</w:t>
      </w:r>
      <w:r>
        <w:t xml:space="preserve">    </w:t>
      </w:r>
      <w:r>
        <w:rPr>
          <w:b/>
        </w:rPr>
        <w:t xml:space="preserve">Pub date: </w:t>
      </w:r>
      <w:r>
        <w:t>2026-07-07 00:00:00+00:00</w:t>
      </w:r>
      <w:r>
        <w:t xml:space="preserve">    </w:t>
      </w:r>
      <w:r>
        <w:rPr>
          <w:b/>
        </w:rPr>
        <w:t xml:space="preserve">DOI: </w:t>
      </w:r>
      <w:hyperlink r:id="rId622">
        <w:r>
          <w:rPr>
            <w:color w:val="1155CC"/>
            <w:u w:val="single"/>
          </w:rPr>
          <w:t>10.1016/j.matt.2026.102913</w:t>
        </w:r>
      </w:hyperlink>
    </w:p>
    <w:p>
      <w:pPr>
        <w:spacing w:before="0" w:after="120"/>
      </w:pPr>
      <w:r>
        <w:rPr>
          <w:b/>
        </w:rPr>
        <w:t xml:space="preserve">Notes: </w:t>
      </w:r>
      <w:r>
        <w:t>abstract_source=rss_cell</w:t>
      </w:r>
    </w:p>
    <w:p>
      <w:pPr>
        <w:spacing w:before="0" w:after="80" w:lineRule="auto" w:line="276"/>
      </w:pPr>
      <w:r>
        <w:rPr>
          <w:b/>
        </w:rPr>
        <w:t xml:space="preserve">摘要（ZH）: </w:t>
      </w:r>
      <w:r>
        <w:t>癌症纳米医学进一步转化的一个关键技术瓶颈是平衡深层组织渗透与长期保留。这项研究报告了一种不依赖刺激的可转化纳米光敏剂（SITNPS），它以纳米球的形式穿透肿瘤，并逐渐转化为纳米棒，从而延长肿瘤的停留时间。 SITNPS 可以通过双光子激光或智能手机火炬激发来激活，并有助于在单次给药后重复进行光治疗，为更实用的癌症光疗铺平了一条可行的途径。</w:t>
      </w:r>
    </w:p>
    <w:p>
      <w:pPr>
        <w:spacing w:before="0" w:after="200" w:lineRule="auto" w:line="276"/>
      </w:pPr>
      <w:r>
        <w:rPr>
          <w:b/>
        </w:rPr>
        <w:t xml:space="preserve">Abstract (EN): </w:t>
      </w:r>
      <w:r>
        <w:t>A key technical bottleneck in further translation of cancer nanomedicine is balancing deep tissue penetration with long-term retention. This study reports a stimuli-independent transformable nanophotosensitizer (SITNPS) that penetrates tumors as nanospheres and gradually converts into nanorods, prolonging tumor residence. SITNPS can be activated by either two-photon laser or smartphone torch excitation and facilitates repeated light treatments after a single administration, paving an accessible route toward more practical cancer phototherapy.</w:t>
      </w:r>
    </w:p>
    <w:p>
      <w:pPr>
        <w:spacing w:before="120" w:after="120"/>
      </w:pPr>
      <w:r>
        <w:rPr>
          <w:sz w:val="18"/>
        </w:rPr>
        <w:t>——————————————————————————————————————————————————————————————————————</w:t>
      </w:r>
    </w:p>
    <w:p>
      <w:pPr>
        <w:spacing w:before="160" w:after="40" w:line="240" w:lineRule="auto"/>
      </w:pPr>
      <w:r>
        <w:rPr>
          <w:b/>
        </w:rPr>
        <w:t xml:space="preserve">[197] </w:t>
      </w:r>
      <w:hyperlink r:id="rId623">
        <w:r>
          <w:rPr>
            <w:color w:val="1155CC"/>
            <w:u w:val="single"/>
          </w:rPr>
          <w:t>用于选择性溶瘤治疗的肿瘤酸度激活可电离脂质纳米颗粒</w:t>
        </w:r>
      </w:hyperlink>
    </w:p>
    <w:p>
      <w:pPr>
        <w:spacing w:before="0" w:after="80"/>
      </w:pPr>
      <w:r>
        <w:rPr>
          <w:i/>
          <w:sz w:val="20"/>
        </w:rPr>
        <w:t>EN: Tumor Acidity-Activatable Ionizable Lipid Nanoparticles for Selective Oncolytic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24">
        <w:r>
          <w:rPr>
            <w:color w:val="1155CC"/>
            <w:u w:val="single"/>
          </w:rPr>
          <w:t>10.1021/jacs.6c07591</w:t>
        </w:r>
      </w:hyperlink>
    </w:p>
    <w:p>
      <w:pPr>
        <w:spacing w:before="0" w:after="120"/>
      </w:pPr>
      <w:r>
        <w:rPr>
          <w:b/>
        </w:rPr>
        <w:t xml:space="preserve">Notes: </w:t>
      </w:r>
      <w:r>
        <w:t>abstract_source=pubmed</w:t>
      </w:r>
    </w:p>
    <w:p>
      <w:pPr>
        <w:spacing w:before="0" w:after="80" w:lineRule="auto" w:line="276"/>
      </w:pPr>
      <w:r>
        <w:rPr>
          <w:b/>
        </w:rPr>
        <w:t xml:space="preserve">摘要（ZH）: </w:t>
      </w:r>
      <w:r>
        <w:t>可电离脂质广泛用作基因传递的药物赋形剂，表现出酸度响应性膜不稳定活性。这一特性促使我们假设这种膜不稳定活性可以被利用并选择性地限制在酸性肿瘤微环境（aTME）中，以实现肿瘤选择性溶瘤。在此，我们报告了通过可电离脂质的程序结构调节合理设计的肿瘤酸度激活溶瘤脂质纳米颗粒（aoLNP）。通过设计和筛选具有系统变化的烷基尾长度和数量的可电离脂质库，我们发现总尾碳数与相应脂质纳米颗粒的pH依赖性细胞毒性之间存在明显的相关性。随后的文库扩展导致 aoLNPE14A6-2 被鉴定为最佳候选者，它在 pH 6.8 下对癌细胞表现出选择性细胞毒性，并在体内表现出有效的抗肿瘤功效。机制研究表明，aoLNPE14A6-2在肿瘤酸性条件下选择性诱导溶酶体空泡形成和内质网应激，最终导致质膜破裂。值得注意的是，aoLNPE14A6-2静脉注射后并未对正常组织造成明显的慢性毒性或结构损伤。这项研究扩大了可电离脂质在选择性溶瘤治疗中的应用。</w:t>
      </w:r>
    </w:p>
    <w:p>
      <w:pPr>
        <w:spacing w:before="0" w:after="200" w:lineRule="auto" w:line="276"/>
      </w:pPr>
      <w:r>
        <w:rPr>
          <w:b/>
        </w:rPr>
        <w:t xml:space="preserve">Abstract (EN): </w:t>
      </w:r>
      <w:r>
        <w:t>Ionizable lipids, widely employed as pharmaceutical excipients for gene delivery, exhibit acidity-responsive membrane-destabilizing activity. This property prompted us to hypothesize that such membrane-destabilizing activity could be harnessed and selectively confined to the acidic tumor microenvironment (aTME) to achieve tumor-selective oncolysis. Herein, we report the rational design of tumor acidity-activatable oncolytic lipid nanoparticles (aoLNPs) through programmed structural modulation of ionizable lipids. By designing and screening an ionizable lipid library with systematic variations in alkyl tail length and number, we found a clear correlation between the total tail carbon number and the pH-dependent cytotoxicity of the corresponding lipid nanoparticles. Subsequent library expansion led to the identification of aoLNPE14A6-2 as the optimal candidate, which exhibited selective cytotoxicity toward cancer cells at pH 6.8 and demonstrated potent antitumor efficacy in vivo. Mechanistic investigations revealed that aoLNPE14A6-2 selectively induces lysosomal vacuolation and endoplasmic reticulum stress under tumor acidic conditions, ultimately leading to plasma membrane rupture. Notably, aoLNPE14A6-2 did not cause obvious chronic toxicity or structural damage to normal tissues after intravenous injection. This study expands the application of ionizable lipids for selective oncolytic therapy.</w:t>
      </w:r>
    </w:p>
    <w:p>
      <w:pPr>
        <w:spacing w:before="120" w:after="120"/>
      </w:pPr>
      <w:r>
        <w:rPr>
          <w:sz w:val="18"/>
        </w:rPr>
        <w:t>——————————————————————————————————————————————————————————————————————</w:t>
      </w:r>
    </w:p>
    <w:p>
      <w:pPr>
        <w:spacing w:before="160" w:after="40" w:line="240" w:lineRule="auto"/>
      </w:pPr>
      <w:r>
        <w:rPr>
          <w:b/>
        </w:rPr>
        <w:t xml:space="preserve">[198] </w:t>
      </w:r>
      <w:hyperlink r:id="rId625">
        <w:r>
          <w:rPr>
            <w:color w:val="1155CC"/>
            <w:u w:val="single"/>
          </w:rPr>
          <w:t>利用高熵陶瓷中的局部化学顺序实现宽带电磁吸收</w:t>
        </w:r>
      </w:hyperlink>
    </w:p>
    <w:p>
      <w:pPr>
        <w:spacing w:before="0" w:after="80"/>
      </w:pPr>
      <w:r>
        <w:rPr>
          <w:i/>
          <w:sz w:val="20"/>
        </w:rPr>
        <w:t>EN: Harnessing local chemical order in high-entropy ceramics for broadband electromagnetic absorption</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无线和电子系统快速扩张带来的电磁污染需要先进的吸收材料。高熵陶瓷为宽带电磁波衰减提供了一个有前景的平台，但其合理设计仍然不发达。在这里，我们引入了一种机制驱动的策略，通过简单的热处理定制局部化学顺序来增强吸收。这种局部化学顺序工程方法应用于高熵碳化物，可提供创纪录的 11.2 GHz 有效吸收带宽。原子分辨率化学测绘与理论模拟相结合表明，局部化学顺序（而不是原子空位）控制着主要的电磁波吸收机制。我们进一步证明了这一原理在不同高熵陶瓷家族（硼化物、氧化物、硫化物、硅化物和硒化物）中的普遍性，每种陶瓷都表现出显着的性能提升。这项工作为设计高性能单相吸收器建立了一个清晰的、以结构为导向的框架，并提供了一种通过有针对性地控制原子级化学顺序来减轻电磁污染的通用途径。</w:t>
      </w:r>
    </w:p>
    <w:p>
      <w:pPr>
        <w:spacing w:before="0" w:after="200" w:lineRule="auto" w:line="276"/>
      </w:pPr>
      <w:r>
        <w:rPr>
          <w:b/>
        </w:rPr>
        <w:t xml:space="preserve">Abstract (EN): </w:t>
      </w:r>
      <w:r>
        <w:t>Electromagnetic pollution from the rapid expansion of wireless and electronic systems demands advanced absorber materials. High-entropy ceramics offer a promising platform for broadband electromagnetic wave attenuation, yet their rational design remains underdeveloped. Here, we introduce a mechanism-driven strategy to enhance absorption by tailoring local chemical order via simple thermal processing. Applied to high-entropy carbides, this local chemical order-engineering approach delivers a record effective absorption bandwidth of 11.2 GHz. Atomic-resolution chemical mapping paired with theoretical simulations reveals that local chemical order, rather than atomic vacancies, governs the dominant electromagnetic wave absorption mechanisms. We further demonstrate the universality of this principle across diverse high-entropy ceramic families (borides, oxides, sulfides, silicides, and selenides), each exhibiting substantial performance gains. This work establishes a clear, structure-guided framework for designing high-performance single-phase absorbers and offers a versatile route to mitigate electromagnetic pollution through targeted control of atomic-scale chemical order.</w:t>
      </w:r>
    </w:p>
    <w:p>
      <w:pPr>
        <w:spacing w:before="120" w:after="120"/>
      </w:pPr>
      <w:r>
        <w:rPr>
          <w:sz w:val="18"/>
        </w:rPr>
        <w:t>——————————————————————————————————————————————————————————————————————</w:t>
      </w:r>
    </w:p>
    <w:p>
      <w:pPr>
        <w:spacing w:before="160" w:after="40" w:line="240" w:lineRule="auto"/>
      </w:pPr>
      <w:r>
        <w:rPr>
          <w:b/>
        </w:rPr>
        <w:t xml:space="preserve">[199] </w:t>
      </w:r>
      <w:hyperlink r:id="rId626">
        <w:r>
          <w:rPr>
            <w:color w:val="1155CC"/>
            <w:u w:val="single"/>
          </w:rPr>
          <w:t>基于尖峰的对齐学习解决了重量传输问题</w:t>
        </w:r>
      </w:hyperlink>
    </w:p>
    <w:p>
      <w:pPr>
        <w:spacing w:before="0" w:after="80"/>
      </w:pPr>
      <w:r>
        <w:rPr>
          <w:i/>
          <w:sz w:val="20"/>
        </w:rPr>
        <w:t>EN: Spike-based alignment learning solves the weight transport problem</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学习算法通常受到对称约束，这些约束很难与物理神经网络中的局部计算相协调。例如，对比赫布学习通常假设对称连接，而误差反向传播需要了解后向传递中的前向权重。为了解决这个权重传输问题，我们引入了基于尖峰的对齐学习（SAL），这是一种利用噪声进行权重对齐的突触局部学习规则。该规则可以与其他函数学习规则同时运行，以在整个学习过程中保持必要的对称性，从而确保梯度的正确局部表示。 SAL 隐含地减轻了由神经元和突触变异性引起的任何差异，这种差异在模拟基质（无论是生物的还是人工的）中普遍存在。我们使用不同的网络模型来证明我们的机制的有效性，以进行尖峰贝叶斯推理和生物合理误差反向传播，并在深度学习计算机视觉任务中对其进行基准测试。</w:t>
      </w:r>
    </w:p>
    <w:p>
      <w:pPr>
        <w:spacing w:before="0" w:after="200" w:lineRule="auto" w:line="276"/>
      </w:pPr>
      <w:r>
        <w:rPr>
          <w:b/>
        </w:rPr>
        <w:t xml:space="preserve">Abstract (EN): </w:t>
      </w:r>
      <w:r>
        <w:t>Learning algorithms are often subject to symmetry constraints that are difficult to reconcile with local computation in physical neuronal networks. For example, contrastive Hebbian learning typically assumes symmetric connectivity, while error backpropagation requires knowledge of the forward weights in the backward pass. To solve this weight transport problem, we introduce spike-based alignment learning (SAL), a synapse-local learning rule that harnesses noise for weight alignment. This rule can operate simultaneously with other functional learning rules to maintain the necessary symmetry throughout learning and thereby ensure the correct local representation of gradients. SAL implicitly alleviates any discrepancy arising from the neuron and synapse variability that is ubiquitous in analog substrates, whether biological or artificial. We demonstrate the efficacy of our mechanism using different network models for spiking Bayesian inference and bio-plausible error backpropagation, and benchmark it in a deep learning computer vision task.</w:t>
      </w:r>
    </w:p>
    <w:p>
      <w:pPr>
        <w:spacing w:before="120" w:after="120"/>
      </w:pPr>
      <w:r>
        <w:rPr>
          <w:sz w:val="18"/>
        </w:rPr>
        <w:t>——————————————————————————————————————————————————————————————————————</w:t>
      </w:r>
    </w:p>
    <w:p>
      <w:pPr>
        <w:spacing w:before="160" w:after="40" w:line="240" w:lineRule="auto"/>
      </w:pPr>
      <w:r>
        <w:rPr>
          <w:b/>
        </w:rPr>
        <w:t xml:space="preserve">[200] </w:t>
      </w:r>
      <w:hyperlink r:id="rId627">
        <w:r>
          <w:rPr>
            <w:color w:val="1155CC"/>
            <w:u w:val="single"/>
          </w:rPr>
          <w:t>无需快速淬火的大块铁磁二十面体准晶</w:t>
        </w:r>
      </w:hyperlink>
    </w:p>
    <w:p>
      <w:pPr>
        <w:spacing w:before="0" w:after="80"/>
      </w:pPr>
      <w:r>
        <w:rPr>
          <w:i/>
          <w:sz w:val="20"/>
        </w:rPr>
        <w:t>EN: Bulk Ferromagnetic Icosahedral Quasicrystals without Rapid Quenching</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28">
        <w:r>
          <w:rPr>
            <w:color w:val="1155CC"/>
            <w:u w:val="single"/>
          </w:rPr>
          <w:t>10.1021/jacs.6c03748</w:t>
        </w:r>
      </w:hyperlink>
    </w:p>
    <w:p>
      <w:pPr>
        <w:spacing w:before="0" w:after="120"/>
      </w:pPr>
      <w:r>
        <w:rPr>
          <w:b/>
        </w:rPr>
        <w:t xml:space="preserve">Notes: </w:t>
      </w:r>
      <w:r>
        <w:t>abstract_source=pubmed</w:t>
      </w:r>
    </w:p>
    <w:p>
      <w:pPr>
        <w:spacing w:before="0" w:after="80" w:lineRule="auto" w:line="276"/>
      </w:pPr>
      <w:r>
        <w:rPr>
          <w:b/>
        </w:rPr>
        <w:t xml:space="preserve">摘要（ZH）: </w:t>
      </w:r>
      <w:r>
        <w:t>虽然铁磁性在周期性和非晶态材料中得到了很好的理解，但其在准周期系统中的关键行为仍然难以捉摸。尽管最近发现了铁磁二十面体准晶体（iQC），但所有已知的例子都仅限于快速淬火、亚稳态，排除了退火、结构细化和磁临界性的定量研究。在这里，我们首次展示了在成分调整的 Au-Cu-Al-In-R（R = Gd、Tb、Dy）合金中实现块状、可退火铁磁 iQC。在多组分合金空间化学设计的指导下，通过传统电弧熔炼和随后的控制退火获得单相 iQC，从而产生尖锐的准周期衍射和卓越的热鲁棒性。引人注目的是，虽然所有化合物都表现出清晰的铁磁有序，但它们的磁性临界行为根据稀土元素的不同而系统地不同。基于 Tb 和 Dy 的 iQC 显示出接近平均场值的临界指数，而基于 Gd 的系统则表现出显着增强的临界指数 δ，偏离平均场行为以及各向异性对应物和先前研究的近似晶体。这种差异归因于各向同性 Gd 系统中更强的自旋波动，这有效地缩短了相互作用范围，而 Tb/Dy 中的各向异性抑制了波动并导致类平均场行为。这些结果表明，准晶体中的磁临界性并非仅由准周期序唯一决定，而是受</w:t>
      </w:r>
    </w:p>
    <w:p>
      <w:pPr>
        <w:spacing w:before="0" w:after="200" w:lineRule="auto" w:line="276"/>
      </w:pPr>
      <w:r>
        <w:rPr>
          <w:b/>
        </w:rPr>
        <w:t xml:space="preserve">Abstract (EN): </w:t>
      </w:r>
      <w:r>
        <w:t>While ferromagnetism is well understood in periodic and amorphous materials, its critical behavior in quasiperiodic systems has remained elusive. Although ferromagnetic icosahedral quasicrystals (iQCs) have recently been discovered, all known examples have been limited to rapidly quenched, metastable states, precluding annealing, structural refinement, and quantitative studies of magnetic criticality. Here we demonstrate, for the first time, the realization of bulk, annealable ferromagnetic iQCs in compositionally tuned Au-Cu-Al-In-R (R = Gd, Tb, Dy) alloys. Guided by chemical design in multicomponent alloy space, single-phase iQCs are obtained by conventional arc melting and subsequent controlled annealing, resulting in sharp quasiperiodic diffraction and exceptional thermal robustness. Strikingly, while all compounds exhibit clear ferromagnetic order, their magnetic critical behavior differs systematically depending on the rare-earth element. Tb- and Dy-based iQCs display critical exponents close to mean-field values, whereas the Gd-based system exhibits a significantly enhanced critical exponent δ, deviating from mean-field behavior and from both anisotropic counterparts and previously studied approximant crystals. This difference is attributed to stronger spin fluctuations in the isotropic Gd system, which effectively shorten the interaction range, while anisotropy in Tb/Dy suppresses fluctuations and leads to mean-field-like behavior. These results establish that magnetic criticality in quasicrystals is not uniquely determined by quasiperiodic order alone but is governed by the interplay between quasiperiodicity and local spin symmetry. More broadly, they demonstrate that quasiperiodic solids provide a tunable materials platform for accessing nonmean-field critical behavior beyond the constraints of periodic systems.</w:t>
      </w:r>
    </w:p>
    <w:p>
      <w:pPr>
        <w:spacing w:before="120" w:after="120"/>
      </w:pPr>
      <w:r>
        <w:rPr>
          <w:sz w:val="18"/>
        </w:rPr>
        <w:t>——————————————————————————————————————————————————————————————————————</w:t>
      </w:r>
    </w:p>
    <w:p>
      <w:pPr>
        <w:spacing w:before="160" w:after="40" w:line="240" w:lineRule="auto"/>
      </w:pPr>
      <w:r>
        <w:rPr>
          <w:b/>
        </w:rPr>
        <w:t xml:space="preserve">[201] </w:t>
      </w:r>
      <w:hyperlink r:id="rId629">
        <w:r>
          <w:rPr>
            <w:color w:val="1155CC"/>
            <w:u w:val="single"/>
          </w:rPr>
          <w:t>蒸发硫酸盐的岩浆同化引发氧化铁-磷灰石矿床的形成</w:t>
        </w:r>
      </w:hyperlink>
    </w:p>
    <w:p>
      <w:pPr>
        <w:spacing w:before="0" w:after="80"/>
      </w:pPr>
      <w:r>
        <w:rPr>
          <w:i/>
          <w:sz w:val="20"/>
        </w:rPr>
        <w:t>EN: Formation of iron oxide-apatite deposits triggered by magmatic assimilation of evaporitic sulfate</w:t>
      </w:r>
    </w:p>
    <w:p>
      <w:pPr>
        <w:spacing w:before="0" w:after="120"/>
      </w:pPr>
      <w:r>
        <w:rPr>
          <w:b/>
        </w:rPr>
        <w:t xml:space="preserve">Source: </w:t>
      </w:r>
      <w:r>
        <w:t>Earth and environmental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氧化铁磷灰石（IOA）岩石是铁和稀土元素的重要资源，其地质起源存在激烈争论。利用三重氧同位素数据，我们发现来自瑞典北部基律纳附近 IOA 矿床的磁铁矿以及相关火成岩含有来自蒸发硫酸盐的高浓度氧。为了解释这些观察结果，我们提出基律纳 IOA 组合是由于硅酸盐岩浆对蒸发岩的大量同化而形成的。来自蒸发岩的硫酸盐会氧化这些岩浆中的亚铁，促进形成不混溶的富含三价铁的熔体和/或磁铁矿，然后从岩浆中分离出来形成矿床。从硅酸盐岩浆或成矿熔体中溶出的具有低 Δ'17O 值的含铁流体会结晶出额外的磁铁矿。一项库存研究表明，元古代和寒武纪 IOA 矿床的 Δ′17O 值低于寒武纪后 IOA 矿床。这表明全球IOA矿床的Δ′17O值反映了蒸发硫酸盐吸收的大气O2同位素组成随时间的变化，并表明蒸发硫酸盐释放的氧是IOA矿床的常见成分。</w:t>
      </w:r>
    </w:p>
    <w:p>
      <w:pPr>
        <w:spacing w:before="0" w:after="200" w:lineRule="auto" w:line="276"/>
      </w:pPr>
      <w:r>
        <w:rPr>
          <w:b/>
        </w:rPr>
        <w:t xml:space="preserve">Abstract (EN): </w:t>
      </w:r>
      <w:r>
        <w:t>The geological origins of iron oxide-apatite (IOA) rocks, important resources for iron and rare-earth elements, are intensely debated. Using triple oxygen isotope data, we here show that magnetite from IOA deposits near Kiruna, northern Sweden, and related igneous rocks contain high concentrations of oxygen derived from evaporitic sulfate. To explain these observations, we propose that the Kiruna IOA assemblage formed in response to massive assimilation of evaporites by silicate magmas. sulfate from the evaporites would have oxidised ferrous iron in these magmas, facilitating the formation of immiscible ferric iron-rich melts and/or magnetite, which then separated from the magmas to form ore deposits. Ferric iron-bearing fluids with low Δ′17O values, exsolved from the silicate magmas or the ore-forming melts, would have crystallised additional magnetite. An inventory study reveals that Proterozoic and Cambrian IOA deposits have lower Δ′17O values than post-Cambrian IOA deposits. This shows that the Δ′17O values of global IOA deposits reflect the changing isotope composition of atmospheric O2 incorporated by evaporitic sulfate over time, and demonstrates that oxygen released from evaporitic sulfate is a common component in IOA deposits.</w:t>
      </w:r>
    </w:p>
    <w:p>
      <w:pPr>
        <w:spacing w:before="120" w:after="120"/>
      </w:pPr>
      <w:r>
        <w:rPr>
          <w:sz w:val="18"/>
        </w:rPr>
        <w:t>——————————————————————————————————————————————————————————————————————</w:t>
      </w:r>
    </w:p>
    <w:p>
      <w:pPr>
        <w:spacing w:before="160" w:after="40" w:line="240" w:lineRule="auto"/>
      </w:pPr>
      <w:r>
        <w:rPr>
          <w:b/>
        </w:rPr>
        <w:t xml:space="preserve">[202] </w:t>
      </w:r>
      <w:hyperlink r:id="rId630">
        <w:r>
          <w:rPr>
            <w:color w:val="1155CC"/>
            <w:u w:val="single"/>
          </w:rPr>
          <w:t>人工智能可能造成伤害：保障措施必须跟上</w:t>
        </w:r>
      </w:hyperlink>
    </w:p>
    <w:p>
      <w:pPr>
        <w:spacing w:before="0" w:after="80"/>
      </w:pPr>
      <w:r>
        <w:rPr>
          <w:i/>
          <w:sz w:val="20"/>
        </w:rPr>
        <w:t>EN: AI can cause harm: safeguards must catch up</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31">
        <w:r>
          <w:rPr>
            <w:color w:val="1155CC"/>
            <w:u w:val="single"/>
          </w:rPr>
          <w:t>10.1038/d41586-026-02109-z</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[203] </w:t>
      </w:r>
      <w:hyperlink r:id="rId632">
        <w:r>
          <w:rPr>
            <w:color w:val="1155CC"/>
            <w:u w:val="single"/>
          </w:rPr>
          <w:t>作者更正：板坯撕裂及其表面信号由被动余量强度控制</w:t>
        </w:r>
      </w:hyperlink>
    </w:p>
    <w:p>
      <w:pPr>
        <w:spacing w:before="0" w:after="80"/>
      </w:pPr>
      <w:r>
        <w:rPr>
          <w:i/>
          <w:sz w:val="20"/>
        </w:rPr>
        <w:t>EN: Author Correction: Slab tearing and its surface signals controlled by passive margin strength</w:t>
      </w:r>
    </w:p>
    <w:p>
      <w:pPr>
        <w:spacing w:before="0" w:after="120"/>
      </w:pPr>
      <w:r>
        <w:rPr>
          <w:b/>
        </w:rPr>
        <w:t xml:space="preserve">Source: </w:t>
      </w:r>
      <w:r>
        <w:t>Earth and environmental sciences : Nature Communications subject feeds</w:t>
      </w:r>
      <w:r>
        <w:t xml:space="preserve">    </w:t>
      </w:r>
      <w:r>
        <w:rPr>
          <w:b/>
        </w:rPr>
        <w:t xml:space="preserve">Pub date: </w:t>
      </w:r>
      <w:r>
        <w:t>2026-07-07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[204] </w:t>
      </w:r>
      <w:hyperlink r:id="rId633">
        <w:r>
          <w:rPr>
            <w:color w:val="1155CC"/>
            <w:u w:val="single"/>
          </w:rPr>
          <w:t>野火 PM2.5 对巴西医院费用和住院时间的因果影响</w:t>
        </w:r>
      </w:hyperlink>
    </w:p>
    <w:p>
      <w:pPr>
        <w:spacing w:before="0" w:after="80"/>
      </w:pPr>
      <w:r>
        <w:rPr>
          <w:i/>
          <w:sz w:val="20"/>
        </w:rPr>
        <w:t>EN: Causal effects of wildfire PM2.5 on hospital costs and length of stay in Brazil</w:t>
      </w:r>
    </w:p>
    <w:p>
      <w:pPr>
        <w:spacing w:before="0" w:after="120"/>
      </w:pPr>
      <w:r>
        <w:rPr>
          <w:b/>
        </w:rPr>
        <w:t xml:space="preserve">Source: </w:t>
      </w:r>
      <w:r>
        <w:t>Earth and environmental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为了量化短期野火特定细颗粒物 (PM2.5) 给医院造成的负担，我们将 2000 年至 2019 年巴西 449 个地区 1.845 亿患者住院治疗与每日野火特定和非野火 PM2.5 估计值（分辨率为 0.25°）联系起来。在时空分层病例交叉框架内，利用风驱动的野火特定 PM2.5 变化，我们估计了暴露对住院费用和住院时间的影响。野火特定 PM2.5 每增加 1 µg/m3，全因疾病、呼吸系统疾病和心血管疾病的住院费用分别增加 0.36%、1.59% 和 0.25%，住院时间延长 0.63%、1.72% 和 0.68%。哮喘和心力衰竭的费用增幅最大，而哮喘和肺炎的住院时间增幅最大。总体而言，野火特有的 PM2.5 造成了 7.556 亿美元的住院费用和 3,080 万住院天数，对 0-19 岁人群的相对影响更大，巴西中西部的负担更高。</w:t>
      </w:r>
    </w:p>
    <w:p>
      <w:pPr>
        <w:spacing w:before="0" w:after="200" w:lineRule="auto" w:line="276"/>
      </w:pPr>
      <w:r>
        <w:rPr>
          <w:b/>
        </w:rPr>
        <w:t xml:space="preserve">Abstract (EN): </w:t>
      </w:r>
      <w:r>
        <w:t>To quantify the hospital burden of short-term wildfire-specific fine particulate matter (PM2.5), we linked 184.5 million patient-level hospitalizations across 449 Brazilian regions from 2000–2019 with daily wildfire-specific and non-wildfire PM2.5 estimates at 0.25° resolution. Using wind-driven variation in wildfire-specific PM2.5 within a space-time-stratified case-crossover framework, we estimated the effects of exposure on hospitalization costs and length of stay. Each 1 µg/m3 increase in wildfire-specific PM2.5 was associated with higher hospitalization costs for all-cause, respiratory, and cardiovascular diseases by 0.36%, 1.59%, and 0.25%, respectively, and longer stays by 0.63%, 1.72%, and 0.68%. Asthma and heart failure showed the largest cost increases, while asthma and pneumonia showed the largest increases in length of stay. Overall, wildfire-specific PM2.5 accounted for US$755.6 million in hospitalization costs and 30.8 million hospital days, with stronger relative effects among individuals aged 0–19 years and higher burdens in central-west Brazil.</w:t>
      </w:r>
    </w:p>
    <w:p>
      <w:pPr>
        <w:spacing w:before="120" w:after="120"/>
      </w:pPr>
      <w:r>
        <w:rPr>
          <w:sz w:val="18"/>
        </w:rPr>
        <w:t>——————————————————————————————————————————————————————————————————————</w:t>
      </w:r>
    </w:p>
    <w:p>
      <w:pPr>
        <w:spacing w:before="160" w:after="40" w:line="240" w:lineRule="auto"/>
      </w:pPr>
      <w:r>
        <w:rPr>
          <w:b/>
        </w:rPr>
        <w:t xml:space="preserve">[205] </w:t>
      </w:r>
      <w:hyperlink r:id="rId634">
        <w:r>
          <w:rPr>
            <w:color w:val="1155CC"/>
            <w:u w:val="single"/>
          </w:rPr>
          <w:t>NFκB/RELA 电路的精细抑制有助于人类向基态多能性的有效转变</w:t>
        </w:r>
      </w:hyperlink>
    </w:p>
    <w:p>
      <w:pPr>
        <w:spacing w:before="0" w:after="80"/>
      </w:pPr>
      <w:r>
        <w:rPr>
          <w:i/>
          <w:sz w:val="20"/>
        </w:rPr>
        <w:t>EN: Delicate inhibition of NFκB/RELA circuitry facilitates efficient transition towards ground-state pluripotency in human</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从引发的干细胞重建人类幼稚多能性对于产生植入前外胚层样细胞至关重要，这是再生医学的关键来源。在这里，我们提出了一种明确的、无饲养层的方案，可在 12 天内有效地将引发的人类多能干细胞 (hPSC) 转化为幼稚状态。综合 ATAC-seq、RNA-seq 和 miRNA-seq 分析揭示了染色质快速重连，其特征是 OCT/KLF 基序的可及性增加、ZIC/RFX/NFκB 位点闭合、miR-372/373 和 miR-182/183 上调以及 miR-302 和 miR-363/106 簇下调。功能分析表明，炎症转录因子 NFκB/RELA 通过激活植入周围屏障基因（包括 IKBKE 和 VEGFR1）来阻断初始诱导。相反，强制表达 miR-372/373 通过直接靶向 RELA 来加速转化。这些数据描绘了一个 NFκB/RELA 轴，它协调表观遗传向人类原始多能性的转变，为研究人类早期发育和推进基于细胞的疗法提供了一个易于处理的框架。</w:t>
      </w:r>
    </w:p>
    <w:p>
      <w:pPr>
        <w:spacing w:before="0" w:after="200" w:lineRule="auto" w:line="276"/>
      </w:pPr>
      <w:r>
        <w:rPr>
          <w:b/>
        </w:rPr>
        <w:t xml:space="preserve">Abstract (EN): </w:t>
      </w:r>
      <w:r>
        <w:t>Rebuilding human naïve pluripotency from primed stem cells is essential for generating pre-implantation epiblast-like cells, a key source for regenerative medicine. Here we present a defined, feeder-free protocol that efficiently converts primed human pluripotent stem cells (hPSCs) to a naïve-like state within 12 days. Integrated ATAC-seq, RNA-seq and miRNA-seq analyses reveal a rapid chromatin rewiring marked by increased accessibility at OCT/KLF motifs, closure at ZIC/RFX/NFκB sites, upregulation of miR-372/373 and miR-182/183, and downregulation of miR-302 and miR-363/106 clusters. Functional assays demonstrate that the inflammatory transcription factor NFκB/RELA blocks naïve induction by activating peri-implantation barrier genes, including IKBKE and VEGFR1. Conversely, enforced miR-372/373 expression accelerates conversion by directly targeting RELA. These data delineate an NFκB/RELA axis that orchestrates the epigenetic switch to human naïve pluripotency, offering a tractable framework for studying early human development and advancing cell-based therapies.</w:t>
      </w:r>
    </w:p>
    <w:p>
      <w:pPr>
        <w:spacing w:before="120" w:after="120"/>
      </w:pPr>
      <w:r>
        <w:rPr>
          <w:sz w:val="18"/>
        </w:rPr>
        <w:t>——————————————————————————————————————————————————————————————————————</w:t>
      </w:r>
    </w:p>
    <w:p>
      <w:pPr>
        <w:spacing w:before="160" w:after="40" w:line="240" w:lineRule="auto"/>
      </w:pPr>
      <w:r>
        <w:rPr>
          <w:b/>
        </w:rPr>
        <w:t xml:space="preserve">[206] </w:t>
      </w:r>
      <w:hyperlink r:id="rId635">
        <w:r>
          <w:rPr>
            <w:color w:val="1155CC"/>
            <w:u w:val="single"/>
          </w:rPr>
          <w:t>31亿年前火山岩源头的现代弧状含水量</w:t>
        </w:r>
      </w:hyperlink>
    </w:p>
    <w:p>
      <w:pPr>
        <w:spacing w:before="0" w:after="80"/>
      </w:pPr>
      <w:r>
        <w:rPr>
          <w:i/>
          <w:sz w:val="20"/>
        </w:rPr>
        <w:t>EN: Modern arc-like water content in the source of 3.1-billion-year-old volcanic rocks</w:t>
      </w:r>
    </w:p>
    <w:p>
      <w:pPr>
        <w:spacing w:before="0" w:after="120"/>
      </w:pPr>
      <w:r>
        <w:rPr>
          <w:b/>
        </w:rPr>
        <w:t xml:space="preserve">Source: </w:t>
      </w:r>
      <w:r>
        <w:t>Earth and environmental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太古代弧状火山活动是否反映了俯冲作用仍有争议。我们提供了澳大利亚皮尔巴拉克拉通保存完好的 3.13-3.10 Ga 弧状火山序列的高分辨率地球化学数据，这是现代弧火山活动的罕见太古代类似物，保留了与原生岩浆值一致的流体流动元素浓度。该序列记录了现代弧线典型的三个原始熔岩系列：拉斑岩、钙碱性熔岩和最古老的地层广泛的真正的博宁岩。地球化学模型表明，这种熔体多样性需要至少两个具有不同消耗历史的地幔源。流体辅助熔化产生这些熔岩所需的地幔 H2O 大大超过了原始地幔，接近现代地幔楔的 H2O 饱和固相线。我们推断含水熔融是由滴落引发的，滴落是在高原外环境中没有横向连续板块边界的水合岩石圈的短暂倾斜沉没。滴水作用局部循环地表水并产生弧状岩浆，但没有自我维持的板块构造，可能促进了太古宙期间地幔-海洋-大气的挥发性交换。</w:t>
      </w:r>
    </w:p>
    <w:p>
      <w:pPr>
        <w:spacing w:before="0" w:after="200" w:lineRule="auto" w:line="276"/>
      </w:pPr>
      <w:r>
        <w:rPr>
          <w:b/>
        </w:rPr>
        <w:t xml:space="preserve">Abstract (EN): </w:t>
      </w:r>
      <w:r>
        <w:t>Whether Archean arc-like volcanism reflects subduction remains debated. We present high-resolution geochemical data from a well-preserved 3.13-3.10 Ga arc-like volcanic succession in Australia’s Pilbara Craton, a rare Archean analog of modern arc volcanism retaining fluid-mobile element concentrations consistent with primary magmatic values. The sequence records three primitive lava series typical of modern arcs: tholeiitic, calc-alkaline, and the oldest stratigraphically extensive genuine boninites. Geochemical modelling shows this melt diversity requires at least two mantle sources with distinct depletion histories. The mantle H2O required for fluid-assisted melting to produce these lavas substantially exceeds primitive mantle, approaching the H2O-saturated solidus of modern mantle wedges. We infer hydrous melting was triggered by dripduction, the short-lived inclined foundering of hydrated lithosphere without laterally continuous plate boundaries, in an off-plateau setting. Dripduction locally recycled surface water and generated arc-like magmas without self-sustained plate tectonics, possibly promoting mantle-ocean-atmosphere volatile exchange during the Archean.</w:t>
      </w:r>
    </w:p>
    <w:p>
      <w:pPr>
        <w:spacing w:before="120" w:after="120"/>
      </w:pPr>
      <w:r>
        <w:rPr>
          <w:sz w:val="18"/>
        </w:rPr>
        <w:t>——————————————————————————————————————————————————————————————————————</w:t>
      </w:r>
    </w:p>
    <w:p>
      <w:pPr>
        <w:spacing w:before="160" w:after="40" w:line="240" w:lineRule="auto"/>
      </w:pPr>
      <w:r>
        <w:rPr>
          <w:b/>
        </w:rPr>
        <w:t xml:space="preserve">[207] </w:t>
      </w:r>
      <w:hyperlink r:id="rId636">
        <w:r>
          <w:rPr>
            <w:color w:val="1155CC"/>
            <w:u w:val="single"/>
          </w:rPr>
          <w:t>一种用于蛋白质化学交联的两栖双功能探针</w:t>
        </w:r>
      </w:hyperlink>
    </w:p>
    <w:p>
      <w:pPr>
        <w:spacing w:before="0" w:after="80"/>
      </w:pPr>
      <w:r>
        <w:rPr>
          <w:i/>
          <w:sz w:val="20"/>
        </w:rPr>
        <w:t>EN: An Amphibious Bifunctional Probe for Protein Chemical Cross-Linking</w:t>
      </w:r>
    </w:p>
    <w:p>
      <w:pPr>
        <w:spacing w:before="0" w:after="120"/>
      </w:pPr>
      <w:r>
        <w:rPr>
          <w:b/>
        </w:rPr>
        <w:t xml:space="preserve">Source: </w:t>
      </w:r>
      <w:r>
        <w:t>Journal of the American Chemical Society: Latest Articles (ACS Publications)</w:t>
      </w:r>
      <w:r>
        <w:t xml:space="preserve">    </w:t>
      </w:r>
      <w:r>
        <w:rPr>
          <w:b/>
        </w:rPr>
        <w:t xml:space="preserve">Pub date: </w:t>
      </w:r>
      <w:r>
        <w:t>2026-07-07 00:00:00+00:00</w:t>
      </w:r>
      <w:r>
        <w:t xml:space="preserve">    </w:t>
      </w:r>
      <w:r>
        <w:rPr>
          <w:b/>
        </w:rPr>
        <w:t xml:space="preserve">DOI: </w:t>
      </w:r>
      <w:hyperlink r:id="rId637">
        <w:r>
          <w:rPr>
            <w:color w:val="1155CC"/>
            <w:u w:val="single"/>
          </w:rPr>
          <w:t>10.1021/jacs.6c04886</w:t>
        </w:r>
      </w:hyperlink>
    </w:p>
    <w:p>
      <w:pPr>
        <w:spacing w:before="0" w:after="120"/>
      </w:pPr>
      <w:r>
        <w:rPr>
          <w:b/>
        </w:rPr>
        <w:t xml:space="preserve">Notes: </w:t>
      </w:r>
      <w:r>
        <w:t>abstract_source=pubmed</w:t>
      </w:r>
    </w:p>
    <w:p>
      <w:pPr>
        <w:spacing w:before="0" w:after="80" w:lineRule="auto" w:line="276"/>
      </w:pPr>
      <w:r>
        <w:rPr>
          <w:b/>
        </w:rPr>
        <w:t xml:space="preserve">摘要（ZH）: </w:t>
      </w:r>
      <w:r>
        <w:t>化学交联质谱 (CXMS) 已成为一种强大且行之有效的方法，用于探测蛋白质结构、构象动力学和蛋白质-蛋白质相互作用，特别是在经典高分辨率技术面临内在局限性的情况下。开发具有明确反应性、活化性以及与天然条件相容性的新型交联试剂对于扩大 CXMS 分析的范围和可靠性仍然至关重要。在这里，我们报告了两种新型双高价碘试剂的设计和合成，称为Togni交联试剂TR1和TR2，它们作为有效的共价蛋白质交联剂。这些试剂的两个末端均具有超价碘-氟烷基基序，可形成分子内和分子间交联。它们选择性地靶向芳香氨基酸和半胱氨酸残基，并且可以通过抗坏血酸或通过半胱氨酸硫醇基团的氧化还原激活来激活。此外，这些双功能探针可以转化形成酰氟，充当亲核氨基酸残基（特别是赖氨酸）的反应性酰化剂。试剂和激活模式的性能在一组结构和功能多样的蛋白质上得到了证明，包括脱辅基肌红蛋白/全肌红蛋白和小 GTP 酶 RHOA。总之，这些结果确立了 Togni 交联剂作为 CXMS 工具箱的多功能补充，并突出了两栖双高价碘-氟烷基化学在军用条件下研究蛋白质结构和动力学的潜力。</w:t>
      </w:r>
    </w:p>
    <w:p>
      <w:pPr>
        <w:spacing w:before="0" w:after="200" w:lineRule="auto" w:line="276"/>
      </w:pPr>
      <w:r>
        <w:rPr>
          <w:b/>
        </w:rPr>
        <w:t xml:space="preserve">Abstract (EN): </w:t>
      </w:r>
      <w:r>
        <w:t>Chemical cross-linking mass spectrometry (CXMS) has emerged as a powerful and well-established method for probing protein structure, conformational dynamics, and protein-protein interactions, particularly in cases where classical high-resolution techniques face intrinsic limitations. The development of new cross-linking reagents with defined reactivity, activation, and compatibility with native conditions remains essential for expanding the scope and reliability of CXMS analyses. Here, we report the design and synthesis of two novel bis-hypervalent iodine reagents, called Togni cross-linking reagents TR1 and TR2, which function as efficient covalent protein cross-linkers. These reagents feature hypervalent iodine-fluoroalkyl motifs on both termini, enabling intra- and intermolecular cross-link formation. They selectively target aromatic amino acids and cysteine residues and can be activated either by ascorbate or through redox activation by thiol groups of cysteines. Moreover, these bifunctional probes can undergo transformation to form acyl fluoride, acting as a reactive acylator toward nucleophilic amino acid residues, in particular lysines. The performance of both reagents and activation modes is demonstrated on a set of structurally and functionally diverse proteins, including apomyoglobin/holomyoglobin and the small GTPase RHOA. Together, these results establish Togni cross-linking agents as versatile additions to the CXMS toolbox and highlight the potential of amphibious bis-hypervalent iodine-fluoroalkyl chemistry for studying protein structure and dynamics under mild aqueous conditions. Data is accessible via the ProteomeXchange server with the data set identifier PXD074784.</w:t>
      </w:r>
    </w:p>
    <w:p>
      <w:pPr>
        <w:spacing w:before="120" w:after="120"/>
      </w:pPr>
      <w:r>
        <w:rPr>
          <w:sz w:val="18"/>
        </w:rPr>
        <w:t>——————————————————————————————————————————————————————————————————————</w:t>
      </w:r>
    </w:p>
    <w:p>
      <w:pPr>
        <w:spacing w:before="160" w:after="40" w:line="240" w:lineRule="auto"/>
      </w:pPr>
      <w:r>
        <w:rPr>
          <w:b/>
        </w:rPr>
        <w:t xml:space="preserve">[208] </w:t>
      </w:r>
      <w:hyperlink r:id="rId638">
        <w:r>
          <w:rPr>
            <w:color w:val="1155CC"/>
            <w:u w:val="single"/>
          </w:rPr>
          <w:t>每日简报：多莉的三十年</w:t>
        </w:r>
      </w:hyperlink>
    </w:p>
    <w:p>
      <w:pPr>
        <w:spacing w:before="0" w:after="80"/>
      </w:pPr>
      <w:r>
        <w:rPr>
          <w:i/>
          <w:sz w:val="20"/>
        </w:rPr>
        <w:t>EN: Daily briefing: Three decades of Dolly</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39">
        <w:r>
          <w:rPr>
            <w:color w:val="1155CC"/>
            <w:u w:val="single"/>
          </w:rPr>
          <w:t>10.1038/d41586-026-02136-w</w:t>
        </w:r>
      </w:hyperlink>
    </w:p>
    <w:p>
      <w:pPr>
        <w:spacing w:before="0" w:after="120"/>
      </w:pPr>
      <w:r>
        <w:rPr>
          <w:b/>
        </w:rPr>
        <w:t xml:space="preserve">Notes: </w:t>
      </w:r>
      <w:r>
        <w:t>abstract_source=nature_html</w:t>
      </w:r>
    </w:p>
    <w:p>
      <w:pPr>
        <w:spacing w:before="0" w:after="80" w:lineRule="auto" w:line="276"/>
      </w:pPr>
      <w:r>
        <w:rPr>
          <w:b/>
        </w:rPr>
        <w:t xml:space="preserve">摘要（ZH）: </w:t>
      </w:r>
      <w:r>
        <w:t>回顾一下自小羊多莉诞生以来三十年来的进步。另外，科学界对预防痴呆症的看法以及保护哈勃太空望远镜的呼吁。回顾一下自小羊多莉诞生以来三十年来的进步。另外，科学界对预防痴呆症的看法以及保护哈勃太空望远镜的呼吁。</w:t>
      </w:r>
    </w:p>
    <w:p>
      <w:pPr>
        <w:spacing w:before="0" w:after="200" w:lineRule="auto" w:line="276"/>
      </w:pPr>
      <w:r>
        <w:rPr>
          <w:b/>
        </w:rPr>
        <w:t xml:space="preserve">Abstract (EN): </w:t>
      </w:r>
      <w:r>
        <w:t>Look back at the thirty years of advances since the birth of Dolly the sheep. Plus, what the science says about staving off dementia and a call to preserve the Hubble space telescope. Look back at the thirty years of advances since the birth of Dolly the sheep. Plus, what the science says about staving off dementia and a call to preserve the Hubble space telescope.</w:t>
      </w:r>
    </w:p>
    <w:p>
      <w:pPr>
        <w:spacing w:before="120" w:after="120"/>
      </w:pPr>
      <w:r>
        <w:rPr>
          <w:sz w:val="18"/>
        </w:rPr>
        <w:t>——————————————————————————————————————————————————————————————————————</w:t>
      </w:r>
    </w:p>
    <w:p>
      <w:pPr>
        <w:spacing w:before="160" w:after="40" w:line="240" w:lineRule="auto"/>
      </w:pPr>
      <w:r>
        <w:rPr>
          <w:b/>
        </w:rPr>
        <w:t xml:space="preserve">[209] </w:t>
      </w:r>
      <w:hyperlink r:id="rId640">
        <w:r>
          <w:rPr>
            <w:color w:val="1155CC"/>
            <w:u w:val="single"/>
          </w:rPr>
          <w:t>向硬氦问好</w:t>
        </w:r>
      </w:hyperlink>
    </w:p>
    <w:p>
      <w:pPr>
        <w:spacing w:before="0" w:after="80"/>
      </w:pPr>
      <w:r>
        <w:rPr>
          <w:i/>
          <w:sz w:val="20"/>
        </w:rPr>
        <w:t>EN: Say hello to hard helium</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41">
        <w:r>
          <w:rPr>
            <w:color w:val="1155CC"/>
            <w:u w:val="single"/>
          </w:rPr>
          <w:t>10.1038/d41586-026-02101-7</w:t>
        </w:r>
      </w:hyperlink>
    </w:p>
    <w:p>
      <w:pPr>
        <w:spacing w:before="0" w:after="120"/>
      </w:pPr>
      <w:r>
        <w:rPr>
          <w:b/>
        </w:rPr>
        <w:t xml:space="preserve">Notes: </w:t>
      </w:r>
      <w:r>
        <w:t>abstract_source=nature_html</w:t>
      </w:r>
    </w:p>
    <w:p>
      <w:pPr>
        <w:spacing w:before="0" w:after="80" w:lineRule="auto" w:line="276"/>
      </w:pPr>
      <w:r>
        <w:rPr>
          <w:b/>
        </w:rPr>
        <w:t xml:space="preserve">摘要（ZH）: </w:t>
      </w:r>
      <w:r>
        <w:t>本周从《自然》档案中挑选的第二轻元素的首次凝固，以及秘鲁古代咸水湖的证据。大自然过去的片段。</w:t>
      </w:r>
    </w:p>
    <w:p>
      <w:pPr>
        <w:spacing w:before="0" w:after="200" w:lineRule="auto" w:line="276"/>
      </w:pPr>
      <w:r>
        <w:rPr>
          <w:b/>
        </w:rPr>
        <w:t xml:space="preserve">Abstract (EN): </w:t>
      </w:r>
      <w:r>
        <w:t>The first solidification of the second-lightest element, and evidence of an ancient salt-water lake in Peru, in this week’s pick from the Nature archive. Snippets from Nature’s past.</w:t>
      </w:r>
    </w:p>
    <w:p>
      <w:pPr>
        <w:spacing w:before="120" w:after="120"/>
      </w:pPr>
      <w:r>
        <w:rPr>
          <w:sz w:val="18"/>
        </w:rPr>
        <w:t>——————————————————————————————————————————————————————————————————————</w:t>
      </w:r>
    </w:p>
    <w:p>
      <w:pPr>
        <w:spacing w:before="160" w:after="40" w:line="240" w:lineRule="auto"/>
      </w:pPr>
      <w:r>
        <w:rPr>
          <w:b/>
        </w:rPr>
        <w:t xml:space="preserve">[210] </w:t>
      </w:r>
      <w:hyperlink r:id="rId642">
        <w:r>
          <w:rPr>
            <w:color w:val="1155CC"/>
            <w:u w:val="single"/>
          </w:rPr>
          <w:t>聆听 Z 世代谈论教育领域的人工智能</w:t>
        </w:r>
      </w:hyperlink>
    </w:p>
    <w:p>
      <w:pPr>
        <w:spacing w:before="0" w:after="80"/>
      </w:pPr>
      <w:r>
        <w:rPr>
          <w:i/>
          <w:sz w:val="20"/>
        </w:rPr>
        <w:t>EN: Listen to Gen Z when it comes to AI in education</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43">
        <w:r>
          <w:rPr>
            <w:color w:val="1155CC"/>
            <w:u w:val="single"/>
          </w:rPr>
          <w:t>10.1038/d41586-026-02110-6</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[211] </w:t>
      </w:r>
      <w:hyperlink r:id="rId644">
        <w:r>
          <w:rPr>
            <w:color w:val="1155CC"/>
            <w:u w:val="single"/>
          </w:rPr>
          <w:t>如何避免痴呆症——科学的真实说法</w:t>
        </w:r>
      </w:hyperlink>
    </w:p>
    <w:p>
      <w:pPr>
        <w:spacing w:before="0" w:after="80"/>
      </w:pPr>
      <w:r>
        <w:rPr>
          <w:i/>
          <w:sz w:val="20"/>
        </w:rPr>
        <w:t>EN: How to avoid dementia — what the science really says</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45">
        <w:r>
          <w:rPr>
            <w:color w:val="1155CC"/>
            <w:u w:val="single"/>
          </w:rPr>
          <w:t>10.1038/d41586-026-02098-z</w:t>
        </w:r>
      </w:hyperlink>
    </w:p>
    <w:p>
      <w:pPr>
        <w:spacing w:before="0" w:after="120"/>
      </w:pPr>
      <w:r>
        <w:rPr>
          <w:b/>
        </w:rPr>
        <w:t xml:space="preserve">Notes: </w:t>
      </w:r>
      <w:r>
        <w:t>abstract_source=nature_html</w:t>
      </w:r>
    </w:p>
    <w:p>
      <w:pPr>
        <w:spacing w:before="0" w:after="80" w:lineRule="auto" w:line="276"/>
      </w:pPr>
      <w:r>
        <w:rPr>
          <w:b/>
        </w:rPr>
        <w:t xml:space="preserve">摘要（ZH）: </w:t>
      </w:r>
      <w:r>
        <w:t>雄心勃勃的研究一直在检验饮食、锻炼和社交的保护作用，结果令人惊讶。雄心勃勃的研究一直在检验饮食、锻炼和社交的保护作用，结果令人惊讶。</w:t>
      </w:r>
    </w:p>
    <w:p>
      <w:pPr>
        <w:spacing w:before="0" w:after="200" w:lineRule="auto" w:line="276"/>
      </w:pPr>
      <w:r>
        <w:rPr>
          <w:b/>
        </w:rPr>
        <w:t xml:space="preserve">Abstract (EN): </w:t>
      </w:r>
      <w:r>
        <w:t>Ambitious studies have been examining the protective effects of diet, exercise and socializing — with surprising results. Ambitious studies have been examining the protective effects of diet, exercise and socializing — with surprising results.</w:t>
      </w:r>
    </w:p>
    <w:p>
      <w:pPr>
        <w:spacing w:before="120" w:after="120"/>
      </w:pPr>
      <w:r>
        <w:rPr>
          <w:sz w:val="18"/>
        </w:rPr>
        <w:t>——————————————————————————————————————————————————————————————————————</w:t>
      </w:r>
    </w:p>
    <w:p>
      <w:pPr>
        <w:spacing w:before="160" w:after="40" w:line="240" w:lineRule="auto"/>
      </w:pPr>
      <w:r>
        <w:rPr>
          <w:b/>
        </w:rPr>
        <w:t xml:space="preserve">[212] </w:t>
      </w:r>
      <w:hyperlink r:id="rId646">
        <w:r>
          <w:rPr>
            <w:color w:val="1155CC"/>
            <w:u w:val="single"/>
          </w:rPr>
          <w:t>让哈勃和詹姆斯·韦伯太空望远镜保持活力——科学价值不菲</w:t>
        </w:r>
      </w:hyperlink>
    </w:p>
    <w:p>
      <w:pPr>
        <w:spacing w:before="0" w:after="80"/>
      </w:pPr>
      <w:r>
        <w:rPr>
          <w:i/>
          <w:sz w:val="20"/>
        </w:rPr>
        <w:t>EN: Keep the Hubble and James Webb Space Telescopes alive — the science is worth the price tag</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47">
        <w:r>
          <w:rPr>
            <w:color w:val="1155CC"/>
            <w:u w:val="single"/>
          </w:rPr>
          <w:t>10.1038/d41586-026-02095-2</w:t>
        </w:r>
      </w:hyperlink>
    </w:p>
    <w:p>
      <w:pPr>
        <w:spacing w:before="0" w:after="120"/>
      </w:pPr>
      <w:r>
        <w:rPr>
          <w:b/>
        </w:rPr>
        <w:t xml:space="preserve">Notes: </w:t>
      </w:r>
      <w:r>
        <w:t>abstract_source=nature_html</w:t>
      </w:r>
    </w:p>
    <w:p>
      <w:pPr>
        <w:spacing w:before="0" w:after="80" w:lineRule="auto" w:line="276"/>
      </w:pPr>
      <w:r>
        <w:rPr>
          <w:b/>
        </w:rPr>
        <w:t xml:space="preserve">摘要（ZH）: </w:t>
      </w:r>
      <w:r>
        <w:t>这些合作正在带来超出大多数天文学家梦想的科学发现。这些合作正在带来超出大多数天文学家梦想的科学发现。</w:t>
      </w:r>
    </w:p>
    <w:p>
      <w:pPr>
        <w:spacing w:before="0" w:after="200" w:lineRule="auto" w:line="276"/>
      </w:pPr>
      <w:r>
        <w:rPr>
          <w:b/>
        </w:rPr>
        <w:t xml:space="preserve">Abstract (EN): </w:t>
      </w:r>
      <w:r>
        <w:t>These collaborations are delivering scientific discoveries beyond most astronomers’ dreams. These collaborations are delivering scientific discoveries beyond most astronomers’ dreams.</w:t>
      </w:r>
    </w:p>
    <w:p>
      <w:pPr>
        <w:spacing w:before="120" w:after="120"/>
      </w:pPr>
      <w:r>
        <w:rPr>
          <w:sz w:val="18"/>
        </w:rPr>
        <w:t>——————————————————————————————————————————————————————————————————————</w:t>
      </w:r>
    </w:p>
    <w:p>
      <w:pPr>
        <w:spacing w:before="160" w:after="40" w:line="240" w:lineRule="auto"/>
      </w:pPr>
      <w:r>
        <w:rPr>
          <w:b/>
        </w:rPr>
        <w:t xml:space="preserve">[213] </w:t>
      </w:r>
      <w:hyperlink r:id="rId648">
        <w:r>
          <w:rPr>
            <w:color w:val="1155CC"/>
            <w:u w:val="single"/>
          </w:rPr>
          <w:t>拯救哈勃：保护太空望远镜的竞赛拉开帷幕</w:t>
        </w:r>
      </w:hyperlink>
    </w:p>
    <w:p>
      <w:pPr>
        <w:spacing w:before="0" w:after="80"/>
      </w:pPr>
      <w:r>
        <w:rPr>
          <w:i/>
          <w:sz w:val="20"/>
        </w:rPr>
        <w:t>EN: Save Hubble: the race to preserve the space telescope kicks off</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49">
        <w:r>
          <w:rPr>
            <w:color w:val="1155CC"/>
            <w:u w:val="single"/>
          </w:rPr>
          <w:t>10.1038/d41586-026-02000-x</w:t>
        </w:r>
      </w:hyperlink>
    </w:p>
    <w:p>
      <w:pPr>
        <w:spacing w:before="0" w:after="120"/>
      </w:pPr>
      <w:r>
        <w:rPr>
          <w:b/>
        </w:rPr>
        <w:t xml:space="preserve">Notes: </w:t>
      </w:r>
      <w:r>
        <w:t>abstract_source=nature_html</w:t>
      </w:r>
    </w:p>
    <w:p>
      <w:pPr>
        <w:spacing w:before="0" w:after="80" w:lineRule="auto" w:line="276"/>
      </w:pPr>
      <w:r>
        <w:rPr>
          <w:b/>
        </w:rPr>
        <w:t xml:space="preserve">摘要（ZH）: </w:t>
      </w:r>
      <w:r>
        <w:t>轨道天文台的独特愿景和公众支持对于理解宇宙仍然至关重要。轨道天文台的独特愿景和公众支持对于理解宇宙仍然至关重要。</w:t>
      </w:r>
    </w:p>
    <w:p>
      <w:pPr>
        <w:spacing w:before="0" w:after="200" w:lineRule="auto" w:line="276"/>
      </w:pPr>
      <w:r>
        <w:rPr>
          <w:b/>
        </w:rPr>
        <w:t xml:space="preserve">Abstract (EN): </w:t>
      </w:r>
      <w:r>
        <w:t>The orbiting observatory’s unique vision and public support continue to be crucial for understanding the Universe. The orbiting observatory’s unique vision and public support continue to be crucial for understanding the Universe.</w:t>
      </w:r>
    </w:p>
    <w:p>
      <w:pPr>
        <w:spacing w:before="120" w:after="120"/>
      </w:pPr>
      <w:r>
        <w:rPr>
          <w:sz w:val="18"/>
        </w:rPr>
        <w:t>——————————————————————————————————————————————————————————————————————</w:t>
      </w:r>
    </w:p>
    <w:p>
      <w:pPr>
        <w:spacing w:before="160" w:after="40" w:line="240" w:lineRule="auto"/>
      </w:pPr>
      <w:r>
        <w:rPr>
          <w:b/>
        </w:rPr>
        <w:t xml:space="preserve">[214] </w:t>
      </w:r>
      <w:hyperlink r:id="rId650">
        <w:r>
          <w:rPr>
            <w:color w:val="1155CC"/>
            <w:u w:val="single"/>
          </w:rPr>
          <w:t>栉水母的身体规划组织者暗示动物血统</w:t>
        </w:r>
      </w:hyperlink>
    </w:p>
    <w:p>
      <w:pPr>
        <w:spacing w:before="0" w:after="80"/>
      </w:pPr>
      <w:r>
        <w:rPr>
          <w:i/>
          <w:sz w:val="20"/>
        </w:rPr>
        <w:t>EN: Body-plan organizer in comb jellies hints at animal ancestry</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51">
        <w:r>
          <w:rPr>
            <w:color w:val="1155CC"/>
            <w:u w:val="single"/>
          </w:rPr>
          <w:t>10.1038/d41586-026-02040-3</w:t>
        </w:r>
      </w:hyperlink>
    </w:p>
    <w:p>
      <w:pPr>
        <w:spacing w:before="0" w:after="120"/>
      </w:pPr>
      <w:r>
        <w:rPr>
          <w:b/>
        </w:rPr>
        <w:t xml:space="preserve">Notes: </w:t>
      </w:r>
      <w:r>
        <w:t>abstract_source=nature_html</w:t>
      </w:r>
    </w:p>
    <w:p>
      <w:pPr>
        <w:spacing w:before="0" w:after="80" w:lineRule="auto" w:line="276"/>
      </w:pPr>
      <w:r>
        <w:rPr>
          <w:b/>
        </w:rPr>
        <w:t xml:space="preserve">摘要（ZH）: </w:t>
      </w:r>
      <w:r>
        <w:t>在进化上不同的动物群体中进行的移植实验揭示了发育过程中组织组织的保守机制。在进化上不同的动物群体中进行的移植实验揭示了发育过程中组织组织的保守机制。</w:t>
      </w:r>
    </w:p>
    <w:p>
      <w:pPr>
        <w:spacing w:before="0" w:after="200" w:lineRule="auto" w:line="276"/>
      </w:pPr>
      <w:r>
        <w:rPr>
          <w:b/>
        </w:rPr>
        <w:t xml:space="preserve">Abstract (EN): </w:t>
      </w:r>
      <w:r>
        <w:t>Transplantation experiments in evolutionarily distinct animal groups reveal conserved mechanisms underlying tissue organization during development. Transplantation experiments in evolutionarily distinct animal groups reveal conserved mechanisms underlying tissue organization during development.</w:t>
      </w:r>
    </w:p>
    <w:p>
      <w:pPr>
        <w:spacing w:before="120" w:after="120"/>
      </w:pPr>
      <w:r>
        <w:rPr>
          <w:sz w:val="18"/>
        </w:rPr>
        <w:t>——————————————————————————————————————————————————————————————————————</w:t>
      </w:r>
    </w:p>
    <w:p>
      <w:pPr>
        <w:spacing w:before="160" w:after="40" w:line="240" w:lineRule="auto"/>
      </w:pPr>
      <w:r>
        <w:rPr>
          <w:b/>
        </w:rPr>
        <w:t xml:space="preserve">[215] </w:t>
      </w:r>
      <w:hyperlink r:id="rId652">
        <w:r>
          <w:rPr>
            <w:color w:val="1155CC"/>
            <w:u w:val="single"/>
          </w:rPr>
          <w:t>“Humanizer”工具可以消除人工智能书写文本的迹象——令科学家们震惊</w:t>
        </w:r>
      </w:hyperlink>
    </w:p>
    <w:p>
      <w:pPr>
        <w:spacing w:before="0" w:after="80"/>
      </w:pPr>
      <w:r>
        <w:rPr>
          <w:i/>
          <w:sz w:val="20"/>
        </w:rPr>
        <w:t>EN: ‘Humanizer’ tool can erase signs of AI-written text — alarming scientists</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53">
        <w:r>
          <w:rPr>
            <w:color w:val="1155CC"/>
            <w:u w:val="single"/>
          </w:rPr>
          <w:t>10.1038/d41586-026-02105-3</w:t>
        </w:r>
      </w:hyperlink>
    </w:p>
    <w:p>
      <w:pPr>
        <w:spacing w:before="0" w:after="120"/>
      </w:pPr>
      <w:r>
        <w:rPr>
          <w:b/>
        </w:rPr>
        <w:t xml:space="preserve">Notes: </w:t>
      </w:r>
      <w:r>
        <w:t>abstract_source=nature_html</w:t>
      </w:r>
    </w:p>
    <w:p>
      <w:pPr>
        <w:spacing w:before="0" w:after="80" w:lineRule="auto" w:line="276"/>
      </w:pPr>
      <w:r>
        <w:rPr>
          <w:b/>
        </w:rPr>
        <w:t xml:space="preserve">摘要（ZH）: </w:t>
      </w:r>
      <w:r>
        <w:t>该工具指导文本生成系统删除研究论文和资助提案中与人工智能相关的结构。该工具指导文本生成系统删除研究论文和资助提案中与人工智能相关的结构。</w:t>
      </w:r>
    </w:p>
    <w:p>
      <w:pPr>
        <w:spacing w:before="0" w:after="200" w:lineRule="auto" w:line="276"/>
      </w:pPr>
      <w:r>
        <w:rPr>
          <w:b/>
        </w:rPr>
        <w:t xml:space="preserve">Abstract (EN): </w:t>
      </w:r>
      <w:r>
        <w:t>Tool directs text-generation systems to remove constructions associated with artificial intelligence in research papers and grant proposals. Tool directs text-generation systems to remove constructions associated with artificial intelligence in research papers and grant proposals.</w:t>
      </w:r>
    </w:p>
    <w:p>
      <w:pPr>
        <w:spacing w:before="120" w:after="120"/>
      </w:pPr>
      <w:r>
        <w:rPr>
          <w:sz w:val="18"/>
        </w:rPr>
        <w:t>——————————————————————————————————————————————————————————————————————</w:t>
      </w:r>
    </w:p>
    <w:p>
      <w:pPr>
        <w:spacing w:before="160" w:after="40" w:line="240" w:lineRule="auto"/>
      </w:pPr>
      <w:r>
        <w:rPr>
          <w:b/>
        </w:rPr>
        <w:t xml:space="preserve">[216] </w:t>
      </w:r>
      <w:hyperlink r:id="rId654">
        <w:r>
          <w:rPr>
            <w:color w:val="1155CC"/>
            <w:u w:val="single"/>
          </w:rPr>
          <w:t>出版商更正：具有全方位连接的 98 量子位俘获离子量子计算机</w:t>
        </w:r>
      </w:hyperlink>
    </w:p>
    <w:p>
      <w:pPr>
        <w:spacing w:before="0" w:after="80"/>
      </w:pPr>
      <w:r>
        <w:rPr>
          <w:i/>
          <w:sz w:val="20"/>
        </w:rPr>
        <w:t>EN: Publisher Correction: A 98-qubit trapped-ion quantum computer with all-to-all connectivity</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55">
        <w:r>
          <w:rPr>
            <w:color w:val="1155CC"/>
            <w:u w:val="single"/>
          </w:rPr>
          <w:t>10.1038/s41586-026-10882-0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656">
        <w:r>
          <w:rPr>
            <w:color w:val="1155CC"/>
            <w:u w:val="single"/>
          </w:rPr>
          <w:t>人类能活多久？所有证据均表明最长可达 125 年</w:t>
        </w:r>
      </w:hyperlink>
    </w:p>
    <w:p>
      <w:pPr>
        <w:spacing w:before="0" w:after="80"/>
      </w:pPr>
      <w:r>
        <w:rPr>
          <w:i/>
          <w:sz w:val="20"/>
        </w:rPr>
        <w:t>EN: How long can humans live? All evidence points to a maximum of 125 years</w:t>
      </w:r>
    </w:p>
    <w:p>
      <w:pPr>
        <w:spacing w:before="0" w:after="120"/>
      </w:pPr>
      <w:r>
        <w:rPr>
          <w:b/>
        </w:rPr>
        <w:t xml:space="preserve">Source: </w:t>
      </w:r>
      <w:r>
        <w:t>Nature</w:t>
      </w:r>
      <w:r>
        <w:t xml:space="preserve">    </w:t>
      </w:r>
      <w:r>
        <w:rPr>
          <w:b/>
        </w:rPr>
        <w:t xml:space="preserve">Pub date: </w:t>
      </w:r>
      <w:r>
        <w:t>2026-07-07 00:00:00+00:00</w:t>
      </w:r>
      <w:r>
        <w:t xml:space="preserve">    </w:t>
      </w:r>
      <w:r>
        <w:rPr>
          <w:b/>
        </w:rPr>
        <w:t xml:space="preserve">DOI: </w:t>
      </w:r>
      <w:hyperlink r:id="rId657">
        <w:r>
          <w:rPr>
            <w:color w:val="1155CC"/>
            <w:u w:val="single"/>
          </w:rPr>
          <w:t>10.1038/d41586-026-02111-5</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[218] </w:t>
      </w:r>
      <w:hyperlink r:id="rId658">
        <w:r>
          <w:rPr>
            <w:color w:val="1155CC"/>
            <w:u w:val="single"/>
          </w:rPr>
          <w:t>将生物多样性与稳定性关系从种群扩展到跨营养级别的元群落</w:t>
        </w:r>
      </w:hyperlink>
    </w:p>
    <w:p>
      <w:pPr>
        <w:spacing w:before="0" w:after="80"/>
      </w:pPr>
      <w:r>
        <w:rPr>
          <w:i/>
          <w:sz w:val="20"/>
        </w:rPr>
        <w:t>EN: Scaling biodiversity-stability relationships from populations to meta-communities across trophic levels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生态稳定性对于维持生态系统功能至关重要，但可能因生物多样性丧失而受到威胁。尽管已经在单一营养级内研究了从种群到群落和元群落的多样性-稳定性关系的尺度，但在考虑营养级之间的相互作用时，人们仍然知之甚少。在这里，我们利用从大规模森林生物多样性实验中收集的数据来研究植物-草食动物系统中从种群到群落和元群落的时间稳定性的尺度，使我们能够理清自上而下和自下而上监管的相对作用。我们观察到，生物多样性在营养级内部和营养级之间通常具有稳定作用。具体而言，食草动物的物种多样性通过增强物种稳定性和级联到更高级别组织的植物的异步性，表现出强大的自上而下的稳定效应。相比之下，自下而上的效应发挥的作用要小得多。因此，我们的研究强调了自上而下的流程在跨组织层面维护植物稳定性方面的重要性，同时提供了一个框架，允许调查稳定机制的多层性质，需要考虑成功和可持续的生态系统管理。</w:t>
      </w:r>
    </w:p>
    <w:p>
      <w:pPr>
        <w:spacing w:before="0" w:after="200" w:lineRule="auto" w:line="276"/>
      </w:pPr>
      <w:r>
        <w:rPr>
          <w:b/>
        </w:rPr>
        <w:t xml:space="preserve">Abstract (EN): </w:t>
      </w:r>
      <w:r>
        <w:t>Ecological stability is essential for maintaining ecosystem functioning, but may be imperiled by biodiversity loss. Although the scaling of diversity-stability relationships from populations to communities and metacommunities has been studied within single trophic levels, it remains poorly understood when considering interactions between trophic levels. Here, we utilize data collected from a large-scale forest biodiversity experiment to investigate the scaling of temporal stability from populations, to communities, and meta-communities in a plant-herbivore system, allowing us to disentangle the relative role of top-down and bottom-up regulation. We observe that biodiversity has generally stabilizing effects within and between trophic levels. Specifically, species diversity of herbivores shows strong stabilizing top-down effects by enhancing species stability and asynchrony of plants that cascade to higher levels of organization. In contrast, bottom-up effects play a much smaller role. Our study therefore highlights the importance of top-down processes in safeguarding plant stability across levels of organization, while simultaneously providing a framework that allows the investigation of the multi-layered nature of stability mechanisms that needs to be considered for a successful and sustainable ecosystem management.</w:t>
      </w:r>
    </w:p>
    <w:p>
      <w:pPr>
        <w:spacing w:before="120" w:after="120"/>
      </w:pPr>
      <w:r>
        <w:rPr>
          <w:sz w:val="18"/>
        </w:rPr>
        <w:t>——————————————————————————————————————————————————————————————————————</w:t>
      </w:r>
    </w:p>
    <w:p>
      <w:pPr>
        <w:spacing w:before="160" w:after="40" w:line="240" w:lineRule="auto"/>
      </w:pPr>
      <w:r>
        <w:rPr>
          <w:b/>
        </w:rPr>
        <w:t xml:space="preserve">[219] </w:t>
      </w:r>
      <w:hyperlink r:id="rId659">
        <w:r>
          <w:rPr>
            <w:color w:val="1155CC"/>
            <w:u w:val="single"/>
          </w:rPr>
          <w:t>仅 LRR 蛋白的等位基因变异赋予拟南芥双重病原体抗性</w:t>
        </w:r>
      </w:hyperlink>
    </w:p>
    <w:p>
      <w:pPr>
        <w:spacing w:before="0" w:after="80"/>
      </w:pPr>
      <w:r>
        <w:rPr>
          <w:i/>
          <w:sz w:val="20"/>
        </w:rPr>
        <w:t>EN: Allelic variation of an LRR only protein confers dual pathogen resistance in Arabidopsis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植物利用多功能的富含亮氨酸重复序列（LRR）蛋白来感知多种病原体来源的信号，从而激活或抑制防御反应。然而，LRR-only 蛋白在病原体特异性抗性中的具体作用仍不清楚。在这里，我们发现拟南芥 LRR 基因富含亮氨酸重复免疫蛋白 1 (LRIP1) 的等位基因变异是对抗不同病原体的双重功能的基础。干旱地区常见的等位基因赋予对丁香假单胞菌 pv. 的抗性。番茄（Pst）细菌通过水杨酸（SA）信号通路发挥作用，而富含在高降水区域的等位基因则通过camalexin生物合成防止灰葡萄孢真菌。两个等位基因之间启动子和编码序列的差异可调节基因表达和激发子相关的免疫反应，从而促进与油菜素类固醇不敏感 1 (BRI1) 相关受体激酶 1 (BAK1) 形成病原体特异性复合物。全球分布的拟南芥种质携带两个与当地降水条件相关的不同 LRIP1 等位基因组。这些发现表明，单个仅含有 LRR 的基因可以进化出适应环境的等位基因，从而优化不同栖息地中针对不同病原体的免疫力。</w:t>
      </w:r>
    </w:p>
    <w:p>
      <w:pPr>
        <w:spacing w:before="0" w:after="200" w:lineRule="auto" w:line="276"/>
      </w:pPr>
      <w:r>
        <w:rPr>
          <w:b/>
        </w:rPr>
        <w:t xml:space="preserve">Abstract (EN): </w:t>
      </w:r>
      <w:r>
        <w:t>Plants utilize versatile leucine-rich repeat (LRR) proteins to perceive diverse pathogen-derived signals, thereby activating or suppressing defense responses. However, the specific roles of LRR-only proteins in pathogen-specific resistance remain largely unclear. Here, we show that allelic variations in an Arabidopsis thaliana LRR-only gene, LEUCINE-RICH REPEAT IMMUNE PROTEIN 1 (LRIP1), underlies dual functions in combating distinct pathogens. An allele common in arid regions confers resistance to Pseudomonas syringae pv. tomato (Pst) bacteria via salicylic acid (SA) signaling pathway, whereas an allele enriched in high-precipitation regions protects against Botrytis cinerea fungus via camalexin biosynthesis. Divergence in promoter and coding sequences between the two alleles modulates gene expression and elicitor-associated immune responses, thereby promoting pathogen-specific complex formation with BRASSINOSTEROID INSENSITIVE 1 (BRI1)-ASSOCIATED RECEPTOR KINASE 1 (BAK1). Globally distributed A. thaliana accessions carry two distinct LRIP1 allele groups that correlate with local precipitation conditions. These findings demonstrate that a single LRR-only gene can evolve environmentally adapted alleles that optimize immunity against different pathogens in contrasting habitats.</w:t>
      </w:r>
    </w:p>
    <w:p>
      <w:pPr>
        <w:spacing w:before="120" w:after="120"/>
      </w:pPr>
      <w:r>
        <w:rPr>
          <w:sz w:val="18"/>
        </w:rPr>
        <w:t>——————————————————————————————————————————————————————————————————————</w:t>
      </w:r>
    </w:p>
    <w:p>
      <w:pPr>
        <w:spacing w:before="160" w:after="40" w:line="240" w:lineRule="auto"/>
      </w:pPr>
      <w:r>
        <w:rPr>
          <w:b/>
        </w:rPr>
        <w:t xml:space="preserve">[220] </w:t>
      </w:r>
      <w:hyperlink r:id="rId660">
        <w:r>
          <w:rPr>
            <w:color w:val="1155CC"/>
            <w:u w:val="single"/>
          </w:rPr>
          <w:t>IL-6诱导的C/EBPα驱动滤泡调节性T细胞分化以调节小鼠的体液免疫</w:t>
        </w:r>
      </w:hyperlink>
    </w:p>
    <w:p>
      <w:pPr>
        <w:spacing w:before="0" w:after="80"/>
      </w:pPr>
      <w:r>
        <w:rPr>
          <w:i/>
          <w:sz w:val="20"/>
        </w:rPr>
        <w:t>EN: IL-6-induced C/EBPα drives follicular regulatory T cell differentiation to regulate humoral immunity in mice</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滤泡调节性 T (Tfr) 细胞通过抑制过度的生发中心 (GC) 反应来维持免疫稳态。然而，控制 Tfr 分化的分子机制仍不完全清楚。在这里，我们确定白细胞介素 6 (IL-6) 是 Tfr 生成的关键调节因子。 IL-6/IL-6Rα 信号传导通过诱导 CCAAT/增强子结合蛋白 α (C/EBPα) 促进调节性 T 细胞 (Treg) 分化为 Tfr 细胞，CCAAT/增强子结合蛋白 α (C/EBPα) 与 Tfr 细胞中的 Bcl6 和 Cxcr5 启动子结合。小鼠中 Treg 特异性删除 C/EBPα 会损害 Tfr 分化，导致系统性红斑狼疮 (SLE) 和 HDM 诱导过敏的小鼠模型中 GC 反应过度活跃并加剧病理学。在人类中，Treg 中 CEBPA 的计算机扰动会扰乱 Tfr 分化轨迹。此外，SLE 患者的 Tregs（而非总 CD4+ T 细胞）中的 CEBPA 表达与疾病活动性 (SLEDAI) 呈负相关。因此，这些发现确立了 IL-6-C/EBPα 轴作为驱动 Tfr 分化以抑制致病性体液免疫的关键机制。</w:t>
      </w:r>
    </w:p>
    <w:p>
      <w:pPr>
        <w:spacing w:before="0" w:after="200" w:lineRule="auto" w:line="276"/>
      </w:pPr>
      <w:r>
        <w:rPr>
          <w:b/>
        </w:rPr>
        <w:t xml:space="preserve">Abstract (EN): </w:t>
      </w:r>
      <w:r>
        <w:t>Follicular regulatory T (Tfr) cells maintain immune homeostasis by suppressing excessive germinal center (GC) responses. However, the molecular mechanisms governing Tfr differentiation remain incompletely understood. Here, we identify interleukin-6 (IL-6) as a key regulator of Tfr generation. IL-6/IL-6Rα signaling promotes the differentiation of regulatory T cells (Treg) into Tfr cells by inducing CCAAT/enhancer binding protein α (C/EBPα), which binds the Bcl6 and Cxcr5 promoters in Tfr cells. Treg-specific deletion of C/EBPα in mice impairs Tfr differentiation, resulting in hyperactive GC responses and exacerbated pathology in mouse models of systemic lupus erythematosus (SLE) and HDM-induced allergy. In humans, in silico perturbation of CEBPA in Tregs disrupts the Tfr differentiation trajectory. Furthermore, CEBPA expression in Tregs, but not total CD4+ T cells, from patients with SLE negatively correlates with disease activity (SLEDAI). Thus, these findings establish the IL-6–C/EBPα axis as a critical mechanism driving Tfr differentiation to restrain pathogenic humoral immunity.</w:t>
      </w:r>
    </w:p>
    <w:p>
      <w:pPr>
        <w:spacing w:before="120" w:after="120"/>
      </w:pPr>
      <w:r>
        <w:rPr>
          <w:sz w:val="18"/>
        </w:rPr>
        <w:t>——————————————————————————————————————————————————————————————————————</w:t>
      </w:r>
    </w:p>
    <w:p>
      <w:pPr>
        <w:spacing w:before="160" w:after="40" w:line="240" w:lineRule="auto"/>
      </w:pPr>
      <w:r>
        <w:rPr>
          <w:b/>
        </w:rPr>
        <w:t xml:space="preserve">[221] </w:t>
      </w:r>
      <w:hyperlink r:id="rId661">
        <w:r>
          <w:rPr>
            <w:color w:val="1155CC"/>
            <w:u w:val="single"/>
          </w:rPr>
          <w:t>星形胶质细胞ankyrin-2使小鼠海马体能够保持记忆</w:t>
        </w:r>
      </w:hyperlink>
    </w:p>
    <w:p>
      <w:pPr>
        <w:spacing w:before="0" w:after="80"/>
      </w:pPr>
      <w:r>
        <w:rPr>
          <w:i/>
          <w:sz w:val="20"/>
        </w:rPr>
        <w:t>EN: Astrocytic ankyrin-2 enables memory persistence in the mouse hippocampus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记忆持久性，即随着时间的推移保留信息的能力，是长期记忆的基本特征。尽管星形胶质细胞有助于突触可塑性，但它们支持记忆持久的分子机制仍不清楚。在这里，我们证明星形胶质细胞锚蛋白-2 (Ank2) 对于成年小鼠的记忆持久性是必需的。星形胶质细胞特异性删除 Ank2 会损害远期记忆，但不会影响近期记忆，并破坏了长期增强的维持。 Ank2 的缺失减少了星形胶质细胞与印迹神经元的接触，并损害了星形胶质细胞的形态发生，而星形胶质细胞的形态发生是由脑源性神经营养因子 (BDNF) 通过截短的原肌球蛋白受体激酶 B 受体 (TrkB.T1) 和肌醇 1,4,5-三磷酸受体 2 型受体 (IP3R2) 信号传导驱动的。与这一机制一致，星形胶质细胞 Ank2 是海马 BDNF 输注增强记忆持久性所必需的。此外，星形胶质细胞 TrkB.T1 信号传导的选择性光遗传学激活增强了远程记忆，表明星形胶质细胞 BDNF 信号传导足以促进记忆持久性。这些发现表明星形胶质细胞 Ank2 是长期记忆持久性的关键调节因子。</w:t>
      </w:r>
    </w:p>
    <w:p>
      <w:pPr>
        <w:spacing w:before="0" w:after="200" w:lineRule="auto" w:line="276"/>
      </w:pPr>
      <w:r>
        <w:rPr>
          <w:b/>
        </w:rPr>
        <w:t xml:space="preserve">Abstract (EN): </w:t>
      </w:r>
      <w:r>
        <w:t>Memory persistence, the ability to retain information over time, is a fundamental feature of long-term memory. Although astrocytes contribute to synaptic plasticity, the molecular mechanisms by which they support memory persistence remain unclear. Here we show that astrocytic ankyrin-2 (Ank2) is required for memory persistence in adult mice. Astrocyte-specific deletion of Ank2 impaired remote memory without affecting recent memory and disrupted the maintenance of long-term potentiation. Loss of Ank2 reduced astrocyte contacts with engram neurons and impaired astrocyte morphogenesis driven by brain-derived neurotrophic factor (BDNF) signaling through the truncated tropomyosin receptor kinase B receptor (TrkB.T1) and inositol 1,4,5-trisphosphate receptor type 2 (IP3R2). Consistent with this mechanism, astrocytic Ank2 was required for the enhancement of memory persistence by hippocampal BDNF infusion. Furthermore, selective optogenetic activation of astrocytic TrkB.T1 signaling enhanced remote memory, demonstrating that astrocytic BDNF signaling is sufficient to promote memory persistence. These findings identify astrocytic Ank2 as a key regulator of long-term memory persistence.</w:t>
      </w:r>
    </w:p>
    <w:p>
      <w:pPr>
        <w:spacing w:before="120" w:after="120"/>
      </w:pPr>
      <w:r>
        <w:rPr>
          <w:sz w:val="18"/>
        </w:rPr>
        <w:t>——————————————————————————————————————————————————————————————————————</w:t>
      </w:r>
    </w:p>
    <w:p>
      <w:pPr>
        <w:spacing w:before="160" w:after="40" w:line="240" w:lineRule="auto"/>
      </w:pPr>
      <w:r>
        <w:rPr>
          <w:b/>
        </w:rPr>
        <w:t xml:space="preserve">[222] </w:t>
      </w:r>
      <w:hyperlink r:id="rId662">
        <w:r>
          <w:rPr>
            <w:color w:val="1155CC"/>
            <w:u w:val="single"/>
          </w:rPr>
          <w:t>TNF-α 诱导 I 型 IFN 信号传导抑制神经发生并招募 T 细胞</w:t>
        </w:r>
      </w:hyperlink>
    </w:p>
    <w:p>
      <w:pPr>
        <w:spacing w:before="0" w:after="80"/>
      </w:pPr>
      <w:r>
        <w:rPr>
          <w:i/>
          <w:sz w:val="20"/>
        </w:rPr>
        <w:t>EN: TNF-α induces type I IFN signalling to suppress neurogenesis and recruit T cells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成人海马神经发生对于学习、记忆和情绪调节至关重要，其破坏与衰老、神经退行性和情绪障碍有关。然而，炎症与成人海马神经发生损伤之间的联系机制仍不清楚。在这里，我们通过人类海马祖细胞中先前未被识别的 I 型干扰素自分泌/旁分泌环，确定慢性肿瘤坏死因子-α 信号传导是神经源性失调的关键驱动因素。使用女性体外神经发生模型、单细胞 RNA 测序和功能性 T 细胞迁移测定，我们发现肿瘤坏死因子-α 在海马祖细胞中诱导强烈的 I 型干扰素反应，促进趋化因子介导和 CXC 基序趋化因子受体 3 依赖性 T 细胞募集并抑制神经发生。这种炎症信号级联驱动海马祖细胞的命运从神经源性轨迹转变为免疫防御表型，对传染病和炎症性疾病的发病机制具有重要意义。这些发现揭示了调节成人海马神经发生的关键炎症检查点，并强调了在慢性炎症状态下恢复神经发生的潜在治疗靶点。</w:t>
      </w:r>
    </w:p>
    <w:p>
      <w:pPr>
        <w:spacing w:before="0" w:after="200" w:lineRule="auto" w:line="276"/>
      </w:pPr>
      <w:r>
        <w:rPr>
          <w:b/>
        </w:rPr>
        <w:t xml:space="preserve">Abstract (EN): </w:t>
      </w:r>
      <w:r>
        <w:t>Adult hippocampal neurogenesis is essential for learning, memory, and mood regulation, and its disruption is implicated in ageing, neurodegeneration, and mood disorders. However, the mechanisms linking inflammation to adult hippocampal neurogenesis impairment remain unclear. Here, we identify chronic tumour necrosis factor-alpha signalling as a key driver of neurogenic dysregulation via a previously unrecognised type I interferon autocrine/paracrine loop in human hippocampal progenitor cells. Using a female-derived human in vitro neurogenesis model, single-cell RNA sequencing, and functional T cell migration assays, we show that tumour necrosis factor-alpha induces a robust type I interferon response in hippocampal progenitor cells, promoting chemokine-mediated and CXC motif chemokine receptor 3-dependent T cell recruitment and suppressing neurogenesis. This inflammatory signalling cascade drives a fate switch in hippocampal progenitor cells from a neurogenic trajectory towards an immune-defensive phenotype, with critical implications for infectious and inflammatory disease pathogenesis. These findings uncover a key inflammatory checkpoint regulating human adult hippocampal neurogenesis and highlight potential therapeutic targets to restore neurogenesis in chronic inflammatory states.</w:t>
      </w:r>
    </w:p>
    <w:p>
      <w:pPr>
        <w:spacing w:before="120" w:after="120"/>
      </w:pPr>
      <w:r>
        <w:rPr>
          <w:sz w:val="18"/>
        </w:rPr>
        <w:t>——————————————————————————————————————————————————————————————————————</w:t>
      </w:r>
    </w:p>
    <w:p>
      <w:pPr>
        <w:spacing w:before="160" w:after="40" w:line="240" w:lineRule="auto"/>
      </w:pPr>
      <w:r>
        <w:rPr>
          <w:b/>
        </w:rPr>
        <w:t xml:space="preserve">[223] </w:t>
      </w:r>
      <w:hyperlink r:id="rId663">
        <w:r>
          <w:rPr>
            <w:color w:val="1155CC"/>
            <w:u w:val="single"/>
          </w:rPr>
          <w:t>量化生物多样性对生态稳定性的净影响</w:t>
        </w:r>
      </w:hyperlink>
    </w:p>
    <w:p>
      <w:pPr>
        <w:spacing w:before="0" w:after="80"/>
      </w:pPr>
      <w:r>
        <w:rPr>
          <w:i/>
          <w:sz w:val="20"/>
        </w:rPr>
        <w:t>EN: Quantifying the net effect of biodiversity on ecological stability</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几十年来，了解生物多样性与生态系统的功能和稳定性之间的关系一直是生态学家关注的焦点。通过比较多物种群落的预期产量和观察到的产量，明确测量生物多样性提供的额外功能，从而使我们对生物多样性与生态系统功能关系的理解发生了重大变化。然而，我们缺乏同等的稳定性措施。在这里，我们使用模型模拟和微观实验来量化生物多样性对稳定性的净影响，该微观实验将不同的浮游植物物种及其组合暴露在温度升高和波动的环境中。作为群落的新兴财产，稳定性常常超过组合组成物种的预期稳定性，导致生物多样性对稳定性的净影响，类似于对功能的影响。在我们的模拟中，这些效应取决于竞争相互作用的强度以及物种组成及其热最佳值。然而，在实验上，生物多样性的稳定作用是非线性的，对于两个物种的组合来说是最大的，并且随着群落组成和干扰方式的不同而变化。量化生物多样性对生态稳定性的净影响可以增进我们对生物多样性与稳定性关系的机械理解，并为支持生态系统管理和保护提供重要信息。</w:t>
      </w:r>
    </w:p>
    <w:p>
      <w:pPr>
        <w:spacing w:before="0" w:after="200" w:lineRule="auto" w:line="276"/>
      </w:pPr>
      <w:r>
        <w:rPr>
          <w:b/>
        </w:rPr>
        <w:t xml:space="preserve">Abstract (EN): </w:t>
      </w:r>
      <w:r>
        <w:t>Understanding the relationship between biodiversity and both the functioning and stability of ecosystems has been a central focus of ecologists for decades. A step-change in our understanding of the biodiversity–ecosystem functioning relationship was enabled by explicit measurement of the additional functioning provided by biodiversity through comparing expected and observed yields in multi-species communities. However, we lack an equivalent measure for stability. Here, we quantify the net biodiversity effect on stability using model simulations and a microcosm experiment that exposes different phytoplankton species and their combinations to temperature increases and fluctuations. As an emergent property of communities, stability frequently exceeds the expected stability of the combined component species, leading to a net biodiversity effect on stability analogous to the effect on functioning. In our simulations, these effects depend on the strength of competitive interactions as well as species composition and their thermal optima. Experimentally, the stabilising effect of biodiversity is, however, non-linear, greatest for two-species combinations, and varies with both community composition and disturbance regime. Quantifying the net biodiversity effect on ecological stability advances our mechanistic understanding of the biodiversity–stability relationship, and provides crucial information to support ecosystem management and conservation.</w:t>
      </w:r>
    </w:p>
    <w:p>
      <w:pPr>
        <w:spacing w:before="120" w:after="120"/>
      </w:pPr>
      <w:r>
        <w:rPr>
          <w:sz w:val="18"/>
        </w:rPr>
        <w:t>——————————————————————————————————————————————————————————————————————</w:t>
      </w:r>
    </w:p>
    <w:p>
      <w:pPr>
        <w:spacing w:before="160" w:after="40" w:line="240" w:lineRule="auto"/>
      </w:pPr>
      <w:r>
        <w:rPr>
          <w:b/>
        </w:rPr>
        <w:t xml:space="preserve">[224] </w:t>
      </w:r>
      <w:hyperlink r:id="rId664">
        <w:r>
          <w:rPr>
            <w:color w:val="1155CC"/>
            <w:u w:val="single"/>
          </w:rPr>
          <w:t>抗 PD-1 联合抗 CTLA-4 阻断通过增强 CD8+ T 细胞反应和促进三级淋巴结构形成来克服 NSCLC 脑转移瘤中的免疫排斥</w:t>
        </w:r>
      </w:hyperlink>
    </w:p>
    <w:p>
      <w:pPr>
        <w:spacing w:before="0" w:after="80"/>
      </w:pPr>
      <w:r>
        <w:rPr>
          <w:i/>
          <w:sz w:val="20"/>
        </w:rPr>
        <w:t>EN: Anti-PD-1 plus anti-CTLA-4 blockade overcomes immune exclusion in NSCLC brain metastases by enhancing CD8+ T cell responses and promoting tertiary lymphoid structure formation</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非小细胞肺癌 (NSCLC) 的脑转移 (BrM) 对抗 PD-1 单一疗法反应不佳，但潜在的免疫抵抗仍不完全确定。在这里，我们整合临床结果分析、配对人体组织分析和同基因小鼠模型来表征 BrM 免疫微环境。临床分析表明，与单用纳武单抗相比，纳武单抗联合伊匹单抗可改善颅内疾病控制。配对的人类标本显示，与原发性肿瘤相比，BrM 含有更少的细胞毒性 T 淋巴细胞 (CTL) 和三级淋巴结构 (TLS)，从而定义了免疫排斥表型。同基因 BrM 模型重现了这种表型并抵抗抗 PD-1 单一疗法，而抗 PD-1 和抗 CTLA-4 联合阻断可抑制肿瘤生长并延长生存期。单细胞 RNA 测序、流式细胞术和免疫荧光显示联合治疗后 CTL 浸润和效应功能增加。 CD8+ T 细胞耗竭会消除治疗效果，而联合疗法会扩大滤泡辅助性 T 细胞并诱导 TLS 样结构。这些发现表明 NSCLC BrM 中双检查点阻断的适应性免疫反应增强。</w:t>
      </w:r>
    </w:p>
    <w:p>
      <w:pPr>
        <w:spacing w:before="0" w:after="200" w:lineRule="auto" w:line="276"/>
      </w:pPr>
      <w:r>
        <w:rPr>
          <w:b/>
        </w:rPr>
        <w:t xml:space="preserve">Abstract (EN): </w:t>
      </w:r>
      <w:r>
        <w:t>Brain metastases (BrMs) in non-small cell lung cancer (NSCLC) respond poorly to anti-PD-1 monotherapy, but the underlying immune resistance remains incompletely defined. Here we integrate clinical outcome analyses, paired human tissue profiling and syngeneic mouse models to characterize the BrM immune microenvironment. Clinical analyses suggest improved intracranial disease control with nivolumab plus ipilimumab compared with nivolumab alone. Paired human specimens show that BrMs contain fewer cytotoxic T lymphocytes (CTLs) and tertiary lymphoid structures (TLSs) than primary tumors, defining an immune-excluded phenotype. A syngeneic BrM model recapitulates this phenotype and resists anti-PD-1 monotherapy, whereas combined anti-PD-1 and anti-CTLA-4 blockade suppresses tumor growth and prolongs survival. Single-cell RNA sequencing, flow cytometry and immunofluorescence show increased CTL infiltration and effector function after combination therapy. CD8+ T cell depletion abrogates therapeutic benefit, and combination therapy expands T follicular helper-like cells and induces TLS-like structures. These findings manifest increased adaptive immune response of dual checkpoint blockade in NSCLC BrMs.</w:t>
      </w:r>
    </w:p>
    <w:p>
      <w:pPr>
        <w:spacing w:before="120" w:after="120"/>
      </w:pPr>
      <w:r>
        <w:rPr>
          <w:sz w:val="18"/>
        </w:rPr>
        <w:t>——————————————————————————————————————————————————————————————————————</w:t>
      </w:r>
    </w:p>
    <w:p>
      <w:pPr>
        <w:spacing w:before="160" w:after="40" w:line="240" w:lineRule="auto"/>
      </w:pPr>
      <w:r>
        <w:rPr>
          <w:b/>
        </w:rPr>
        <w:t xml:space="preserve">[225] </w:t>
      </w:r>
      <w:hyperlink r:id="rId665">
        <w:r>
          <w:rPr>
            <w:color w:val="1155CC"/>
            <w:u w:val="single"/>
          </w:rPr>
          <w:t>环境几何改变了顺序路线学习及其与认知地图的整合</w:t>
        </w:r>
      </w:hyperlink>
    </w:p>
    <w:p>
      <w:pPr>
        <w:spacing w:before="0" w:after="80"/>
      </w:pPr>
      <w:r>
        <w:rPr>
          <w:i/>
          <w:sz w:val="20"/>
        </w:rPr>
        <w:t>EN: Environment geometry alters sequential route learning and its integration into cognitive maps</w:t>
      </w:r>
    </w:p>
    <w:p>
      <w:pPr>
        <w:spacing w:before="0" w:after="120"/>
      </w:pPr>
      <w:r>
        <w:rPr>
          <w:b/>
        </w:rPr>
        <w:t xml:space="preserve">Source: </w:t>
      </w:r>
      <w:r>
        <w:t>Scientific community and society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研究人员推测，几何不规则性会扭曲内嗅网格细胞提供的空间神经度量，从而阻碍空间记忆。然而，不规则形状的几何形状也可以提供有利于空间记忆的方向信息。此外，序列顺序效应可以抵消或放大路线导航期间的几何效应。我们的研究直接测试环境几何形状（梯形和正方形）和路线导航中的系列的影响如何相互作用以影响虚拟导航任务中的空间记忆。我们揭示了网格单元模型预测的环境几何效应和路径集成模型预测的串行顺序效应。重要的是，我们的结果表明，这些效应以累加的方式结合在一起，使得在具有最大几何不规则性（梯形）的区域中接近路线末端的位置记忆产生最差的空间记忆。此外，导航能力的自我报告测量与对几何不规则性的敏感性增加相关，强调了个体差异在导航中的重要作用。</w:t>
      </w:r>
    </w:p>
    <w:p>
      <w:pPr>
        <w:spacing w:before="0" w:after="200" w:lineRule="auto" w:line="276"/>
      </w:pPr>
      <w:r>
        <w:rPr>
          <w:b/>
        </w:rPr>
        <w:t xml:space="preserve">Abstract (EN): </w:t>
      </w:r>
      <w:r>
        <w:t>Researchers hypothesize that geometric irregularities can impede spatial memory by distorting neural metrics of space provided by entorhinal grid cells. However, irregularly-shaped geometries could also contribute orientation information that benefits spatial memory. Moreover, serial order effects could counteract or amplify geometry effects during route navigation. Our study directly tests how effects of environment geometry (trapezoid and square) and series in route navigation interact to influence spatial memory in a virtual navigation task. We uncover effects of environment geometry predicted by grid cell models and serial order effects predicted by path integration models. Critically, our results demonstrate that these effects combine in an additive manner, such that location memory toward the end of a route in regions with the largest geometric irregularities (trapezoid) yield the worst spatial memory. Additionally, self-report measures of navigational ability are associated with increased sensitivity to geometric irregularities, emphasizing the essential role of individual differences in navigation.</w:t>
      </w:r>
    </w:p>
    <w:p>
      <w:pPr>
        <w:spacing w:before="120" w:after="120"/>
      </w:pPr>
      <w:r>
        <w:rPr>
          <w:sz w:val="18"/>
        </w:rPr>
        <w:t>——————————————————————————————————————————————————————————————————————</w:t>
      </w:r>
    </w:p>
    <w:p>
      <w:pPr>
        <w:spacing w:before="160" w:after="40" w:line="240" w:lineRule="auto"/>
      </w:pPr>
      <w:r>
        <w:rPr>
          <w:b/>
        </w:rPr>
        <w:t xml:space="preserve">[226] </w:t>
      </w:r>
      <w:hyperlink r:id="rId666">
        <w:r>
          <w:rPr>
            <w:color w:val="1155CC"/>
            <w:u w:val="single"/>
          </w:rPr>
          <w:t>随着土壤碳的增加，有机质持久性下降</w:t>
        </w:r>
      </w:hyperlink>
    </w:p>
    <w:p>
      <w:pPr>
        <w:spacing w:before="0" w:after="80"/>
      </w:pPr>
      <w:r>
        <w:rPr>
          <w:i/>
          <w:sz w:val="20"/>
        </w:rPr>
        <w:t>EN: Declines in organic matter persistence with increased soil carbon</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土壤有机质 (SOM) 的持久性对于预测碳-气候反馈至关重要，但土壤有机碳 (SOC) 的增加与跨环境梯度的长期 SOM 持久性有何关系仍不清楚。土壤放射性碳、SOM 物理化学成分和微生物碳利用效率 (CUE) 沿着降水驱动梯度与全球数据集集成进行分析。在这里，我们表明，随着 SOC 含量的增加，放射性碳特征所反映的其持久性在横断面和全球尺度上都会下降。这种模式表明，较高 SOC 的土壤越来越多地由较年轻、循环较快的碳而不是较老、稳定的碳库所主导。植物碳输入强烈预测 SOM 持久性，并与较年轻、持久性较低的 SOC 相关。虽然微生物 CUE 随 SOC 的增加而增加，但较高的 CUE 并不一定能增强长期稳定性。我们的研究结果表明，仅 SOC 含量对长期土壤碳持久性的了解有限，并强调了在地球系统模型中明确表示植物碳输入和微生物介导的持久性的重要性。</w:t>
      </w:r>
    </w:p>
    <w:p>
      <w:pPr>
        <w:spacing w:before="0" w:after="200" w:lineRule="auto" w:line="276"/>
      </w:pPr>
      <w:r>
        <w:rPr>
          <w:b/>
        </w:rPr>
        <w:t xml:space="preserve">Abstract (EN): </w:t>
      </w:r>
      <w:r>
        <w:t>The persistence of soil organic matter (SOM) is critical for predicting carbon-climate feedbacks, yet how increasing soil organic carbon (SOC) relates to long-term SOM persistence across environmental gradients remains unclear. Soil radiocarbon, SOM physicochemical composition, and microbial carbon use efficiency (CUE) are analyzed along a precipitation-driven gradient integrated with global datasets. Here we show, as SOC content increases, its persistence as reflected by radiocarbon signatures declines at both the transect and global scales. This pattern indicates that higher SOC soils are increasingly dominated by younger, faster-cycling carbon rather than older, stabilized pools. Plant carbon inputs strongly predict SOM persistence and are associated with younger, less persistent SOC. While microbial CUE increases with SOC, higher CUE does not necessarily enhance long-term stabilization. Our findings suggest that SOC content alone provides limited insight into long-term soil carbon persistence and highlight the importance of explicitly representing plant carbon inputs and microbially mediated persistence in Earth system models.</w:t>
      </w:r>
    </w:p>
    <w:p>
      <w:pPr>
        <w:spacing w:before="120" w:after="120"/>
      </w:pPr>
      <w:r>
        <w:rPr>
          <w:sz w:val="18"/>
        </w:rPr>
        <w:t>——————————————————————————————————————————————————————————————————————</w:t>
      </w:r>
    </w:p>
    <w:p>
      <w:pPr>
        <w:spacing w:before="160" w:after="40" w:line="240" w:lineRule="auto"/>
      </w:pPr>
      <w:r>
        <w:rPr>
          <w:b/>
        </w:rPr>
        <w:t xml:space="preserve">[227] </w:t>
      </w:r>
      <w:hyperlink r:id="rId667">
        <w:r>
          <w:rPr>
            <w:color w:val="1155CC"/>
            <w:u w:val="single"/>
          </w:rPr>
          <w:t>噪声中的学习规律涉及神经预测活动和表征变化</w:t>
        </w:r>
      </w:hyperlink>
    </w:p>
    <w:p>
      <w:pPr>
        <w:spacing w:before="0" w:after="80"/>
      </w:pPr>
      <w:r>
        <w:rPr>
          <w:i/>
          <w:sz w:val="20"/>
        </w:rPr>
        <w:t>EN: Learning regularities in noise engages both neural predictive activity and representational changes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从嘈杂的环境中提取结构化感觉模式的能力是认知的基础，但大脑如何学习复杂的规律仍不清楚。在视觉运动任务中使用脑磁图，我们跟踪了人类学习嵌入在噪声中的非相邻时间依赖性时的神经动力学。我们揭示了学习是由两种暂时分离的机制支持的。神经预测活动迅速出现，刺激特异性模式出现在刺激开始之前和可测量的行为改善之前。接下来是表征变化的缓慢积累，其特征是统计相关的非相邻元素之间的神经模式相似性增加。这两个过程都由分布式网络联盟支持，其中感觉运动网络和背侧注意网络发挥着核心作用。这些发现表明，神经预测活动和表征变化都有助于学习规律，揭示了一个时间层次结构，其中神经预测活动先于行为改善，随后是神经表征变化，可能有助于将知识逐渐巩固为稳定的神经表征。</w:t>
      </w:r>
    </w:p>
    <w:p>
      <w:pPr>
        <w:spacing w:before="0" w:after="200" w:lineRule="auto" w:line="276"/>
      </w:pPr>
      <w:r>
        <w:rPr>
          <w:b/>
        </w:rPr>
        <w:t xml:space="preserve">Abstract (EN): </w:t>
      </w:r>
      <w:r>
        <w:t>The ability to extract structured sensory patterns from a noisy environment is fundamental to cognition, yet how the brain learns complex regularities remains unclear. Using magnetoencephalography during a visuomotor task, we tracked the neural dynamics as humans learned non-adjacent temporal dependencies embedded in noise. We reveal that learning is supported by two temporally dissociable mechanisms. Neural predictive activity emerged rapidly, with stimulus-specific patterns appearing before stimulus onset and preceding measurable behavioral improvements. This is followed by a slower build-up of representational change, characterized by an increased neural pattern similarity between statistically dependent, non-adjacent elements. Both processes are supported by a distributed consortium of networks, with the sensorimotor and dorsal attentional networks playing a central role. These findings suggest that both neural predictive activity and representational changes contribute to learning regularities, revealing a temporal hierarchy in which neural predictive activity precedes behavioral improvement and is followed by neural representational changes, possibly facilitating the gradual consolidation of knowledge into stable neural representations.</w:t>
      </w:r>
    </w:p>
    <w:p>
      <w:pPr>
        <w:spacing w:before="120" w:after="120"/>
      </w:pPr>
      <w:r>
        <w:rPr>
          <w:sz w:val="18"/>
        </w:rPr>
        <w:t>——————————————————————————————————————————————————————————————————————</w:t>
      </w:r>
    </w:p>
    <w:p>
      <w:pPr>
        <w:spacing w:before="160" w:after="40" w:line="240" w:lineRule="auto"/>
      </w:pPr>
      <w:r>
        <w:rPr>
          <w:b/>
        </w:rPr>
        <w:t xml:space="preserve">[228] </w:t>
      </w:r>
      <w:hyperlink r:id="rId668">
        <w:r>
          <w:rPr>
            <w:color w:val="1155CC"/>
            <w:u w:val="single"/>
          </w:rPr>
          <w:t>一种集止血、抗氧化和抗菌特性于一身的多功能水凝胶，用于感染和糖尿病伤口的再生</w:t>
        </w:r>
      </w:hyperlink>
    </w:p>
    <w:p>
      <w:pPr>
        <w:spacing w:before="0" w:after="80"/>
      </w:pPr>
      <w:r>
        <w:rPr>
          <w:i/>
          <w:sz w:val="20"/>
        </w:rPr>
        <w:t>EN: A Multifunctional Hydrogel Integrating Hemostatic, Antioxidant, and Antibacterial Properties for Infected and Diabetic Wound Regeneration</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69">
        <w:r>
          <w:rPr>
            <w:color w:val="1155CC"/>
            <w:u w:val="single"/>
          </w:rPr>
          <w:t>10.1021/acsami.6c07168</w:t>
        </w:r>
      </w:hyperlink>
    </w:p>
    <w:p>
      <w:pPr>
        <w:spacing w:before="0" w:after="120"/>
      </w:pPr>
      <w:r>
        <w:rPr>
          <w:b/>
        </w:rPr>
        <w:t xml:space="preserve">Notes: </w:t>
      </w:r>
      <w:r>
        <w:t>abstract_source=pubmed</w:t>
      </w:r>
    </w:p>
    <w:p>
      <w:pPr>
        <w:spacing w:before="0" w:after="80" w:lineRule="auto" w:line="276"/>
      </w:pPr>
      <w:r>
        <w:rPr>
          <w:b/>
        </w:rPr>
        <w:t xml:space="preserve">摘要（ZH）: </w:t>
      </w:r>
      <w:r>
        <w:t>伤口处理，特别是感染性溃疡和糖尿病性溃疡，带来了持续的临床挑战，很大程度上归因于持续的炎症、细菌定植和组织再生受损。在此，通过甜菜碱改性壳聚糖（CSBT）和氧化海藻酸钠（OSA）之间的席夫碱反应开发了一种具有综合治疗特性的多功能水凝胶（CBOS），并掺入聚乙烯醇和硼酸钠以增强网络稳定性。所得的 CBOS 水凝胶表现出均匀的多孔微观结构、强大的粘弹性、高溶胀能力和适当的水蒸气透过率。全面的生物相容性评估证实其可忽略不计的细胞毒性和适用的血液相容性。该水凝胶在小鼠尾部切口和肝脏出血模型中表现出广谱组织粘附和有效的止血功效。此外，CBOS 通过清除多种自由基并减少 H2O2 应激的成纤维细胞中的细胞内活性氧而表现出抗氧化活性。抗菌评估揭示了对金黄色葡萄球菌的有效活性，分子对接研究表明与关键细菌蛋白（包括 AgrA、ClpP 和 FtsZ）具有多靶点相互作用。在体外，CBOS 显着增强成纤维细胞迁移。在体内，水凝胶加速了金黄色葡萄球菌感染的全层伤口和糖尿病慢性伤口的愈合，这通过减少细菌负荷、减弱炎症反应、增强胶原蛋白沉积和促进新血管形成来证明。和</w:t>
      </w:r>
    </w:p>
    <w:p>
      <w:pPr>
        <w:spacing w:before="0" w:after="200" w:lineRule="auto" w:line="276"/>
      </w:pPr>
      <w:r>
        <w:rPr>
          <w:b/>
        </w:rPr>
        <w:t xml:space="preserve">Abstract (EN): </w:t>
      </w:r>
      <w:r>
        <w:t>Wound management, especially for infected and diabetic ulcers, poses a persistent clinical challenge, largely attributed to sustained inflammation, bacterial colonization, and compromised tissue regeneration. Herein, a multifunctional hydrogel (CBOS) with integrated therapeutic properties was developed through Schiff base reaction between betaine-modified chitosan (CSBT) and oxidized sodium alginate (OSA), with poly(vinyl alcohol) and sodium borate incorporated to enhance network stability. The resulting CBOS hydrogel exhibited a uniform porous microstructure, robust viscoelasticity, high swelling capacity, and appropriate water vapor transmission. Comprehensive biocompatibility assessments confirmed its negligible cytotoxicity and applicable hemocompatibility. The hydrogel demonstrated broad-spectrum tissue adhesion and potent hemostatic efficacy in murine tail incision and liver hemorrhage models. Moreover, CBOS displayed antioxidant activity by scavenging multiple free radicals and reducing intracellular reactive oxygen species in H2O2-stressed fibroblasts. Antibacterial evaluations revealed potent activity against S. aureus, with molecular docking studies suggesting multitarget interactions with key bacterial proteins, including AgrA, ClpP, and FtsZ. In vitro, CBOS significantly enhances fibroblast migration. In vivo, the hydrogel accelerated healing in both S. aureus-infected full-thickness wounds and diabetic chronic wounds, as evidenced by reduced bacterial burden, attenuated inflammatory responses, enhanced collagen deposition, and promoted neovascularization. With its integrated hemostatic, antioxidant, antibacterial, and pro-regenerative properties, the CBOS hydrogel offers a viable and attractive therapeutic approach for complex wound tissue repair.</w:t>
      </w:r>
    </w:p>
    <w:p>
      <w:pPr>
        <w:spacing w:before="120" w:after="120"/>
      </w:pPr>
      <w:r>
        <w:rPr>
          <w:sz w:val="18"/>
        </w:rPr>
        <w:t>——————————————————————————————————————————————————————————————————————</w:t>
      </w:r>
    </w:p>
    <w:p>
      <w:pPr>
        <w:spacing w:before="160" w:after="40" w:line="240" w:lineRule="auto"/>
      </w:pPr>
      <w:r>
        <w:rPr>
          <w:b/>
        </w:rPr>
        <w:t xml:space="preserve">[229] </w:t>
      </w:r>
      <w:hyperlink r:id="rId670">
        <w:r>
          <w:rPr>
            <w:color w:val="1155CC"/>
            <w:u w:val="single"/>
          </w:rPr>
          <w:t>TiO 2 改性碳纳米颗粒（CNPs@TiO 2 ）实现界面电荷调节</w:t>
        </w:r>
      </w:hyperlink>
    </w:p>
    <w:p>
      <w:pPr>
        <w:spacing w:before="0" w:after="80"/>
      </w:pPr>
      <w:r>
        <w:rPr>
          <w:i/>
          <w:sz w:val="20"/>
        </w:rPr>
        <w:t>EN: TiO 2 -modified Carbon Nanoparticles (CNPs@TiO 2 ) Enabled Interfacial Charge Regulation</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71">
        <w:r>
          <w:rPr>
            <w:color w:val="1155CC"/>
            <w:u w:val="single"/>
          </w:rPr>
          <w:t>10.1021/acsami.6c10772</w:t>
        </w:r>
      </w:hyperlink>
    </w:p>
    <w:p>
      <w:pPr>
        <w:spacing w:before="0" w:after="120"/>
      </w:pPr>
      <w:r>
        <w:rPr>
          <w:b/>
        </w:rPr>
        <w:t xml:space="preserve">Notes: </w:t>
      </w:r>
      <w:r>
        <w:t>abstract_source=pubmed</w:t>
      </w:r>
    </w:p>
    <w:p>
      <w:pPr>
        <w:spacing w:before="0" w:after="80" w:lineRule="auto" w:line="276"/>
      </w:pPr>
      <w:r>
        <w:rPr>
          <w:b/>
        </w:rPr>
        <w:t xml:space="preserve">摘要（ZH）: </w:t>
      </w:r>
      <w:r>
        <w:t>平衡极化强度和电稳定性仍然是碳基电流变 (ER) 流体的基本挑战，其中增强的电子迁移率通常会导致高电场下的漏电流和电压崩溃。在这里，我们设计了 TiO2 表面改性碳纳米颗粒 (CNPs@TiO2)，以将极化效率与导电渗流解耦。类石墨烯富含sp2的碳纳米粒子提供了很强的固有极化性，而无定形TiO2界面限制了长程电荷传输并促进了界面极化。结构和化学分析表明，CNP 表面形成了无定形 TiO2，并形成了 Ti-O-C 界面键合。 EIS 和泄漏电流测量进一步支持了这一解释，显示出高阻抗、低频电荷弛豫行为以及高达 3000 V 的微安级泄漏电流。该系统以 1-3 wt%（≈0.6-1.9 vol%）的超低负载分散在低粘度 (100 cSt) 硅油中，在高达 3000 V 的电压下表现出稳定运行，而没有电压崩溃。浓度为 3 wt% 时，粘度提高约 1870%，场致屈服应力达到 25.5 Pa，在多个电压周期内具有亚秒级动态切换和最小滞后现象。通过相同途径制备的仅 TiO2 对照显示出约 298% 的较低粘度增强，证实了 CNP-TiO2 异质界面相对于单独 TiO2 的优势。屈服应力与电场的幂律缩放表明极化主导机制，而密度泛函理论计算揭示了重要的</w:t>
      </w:r>
    </w:p>
    <w:p>
      <w:pPr>
        <w:spacing w:before="0" w:after="200" w:lineRule="auto" w:line="276"/>
      </w:pPr>
      <w:r>
        <w:rPr>
          <w:b/>
        </w:rPr>
        <w:t xml:space="preserve">Abstract (EN): </w:t>
      </w:r>
      <w:r>
        <w:t>Balancing polarization strength and electrical stability remains a fundamental challenge in carbon-based electrorheological (ER) fluids, where enhanced electronic mobility often leads to leakage current and voltage collapse at high electric fields. Here, we design TiO2-surface-modified carbon nanoparticles (CNPs@TiO2) to decouple polarization efficiency from conductive percolation. The graphene-like sp2-rich carbon nanoparticles provide strong intrinsic polarizability, while an amorphous TiO2 interface limits long-range charge transport and promotes interfacial polarization. Structural and chemical analyses suggest the formation of amorphous TiO2 on the surface of CNPs and Ti-O-C interfacial bonding. EIS and leakage-current measurements further support this interpretation, showing high impedance, low-frequency charge-relaxation behavior, and microampere-level leakage current up to 3000 V. Dispersed in low-viscosity (100 cSt) silicone oil at ultralow loadings of 1-3 wt % (≈0.6-1.9 vol %), the system exhibits stable operation up to 3000 V without voltage collapse. At 3 wt %, a viscosity enhancement of ∼1870% and a field-induced yield stress of 25.5 Pa are achieved, with subsecond dynamic switching and minimal hysteresis over multiple voltage cycles. A TiO2-only control prepared by the same route shows a lower viscosity enhancement of ≈298%, confirming the advantage of the CNP-TiO2 heterointerface over TiO2 alone. Power-law scaling of yield stress with electric field suggests a polarization-dominated mechanism, while density functional theory calculations reveal significant interfacial charge redistribution at the CNPs@TiO2 interface. These results support interfacial charge regulation as an effective strategy for achieving electrically stable, low-loading ER fluids with low baseline viscosity, providing a scalable pathway toward energy-efficient adaptive fluid systems.</w:t>
      </w:r>
    </w:p>
    <w:p>
      <w:pPr>
        <w:spacing w:before="120" w:after="120"/>
      </w:pPr>
      <w:r>
        <w:rPr>
          <w:sz w:val="18"/>
        </w:rPr>
        <w:t>——————————————————————————————————————————————————————————————————————</w:t>
      </w:r>
    </w:p>
    <w:p>
      <w:pPr>
        <w:spacing w:before="160" w:after="40" w:line="240" w:lineRule="auto"/>
      </w:pPr>
      <w:r>
        <w:rPr>
          <w:b/>
        </w:rPr>
        <w:t xml:space="preserve">[230] </w:t>
      </w:r>
      <w:hyperlink r:id="rId672">
        <w:r>
          <w:rPr>
            <w:color w:val="1155CC"/>
            <w:u w:val="single"/>
          </w:rPr>
          <w:t>用于宽范围离子电子压力传感的微结构 PVDF-HFP/TPU 离子凝胶</w:t>
        </w:r>
      </w:hyperlink>
    </w:p>
    <w:p>
      <w:pPr>
        <w:spacing w:before="0" w:after="80"/>
      </w:pPr>
      <w:r>
        <w:rPr>
          <w:i/>
          <w:sz w:val="20"/>
        </w:rPr>
        <w:t>EN: Microstructured PVDF-HFP/TPU Ionogels for Wide-Range Iontronic Pressure Sensing</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73">
        <w:r>
          <w:rPr>
            <w:color w:val="1155CC"/>
            <w:u w:val="single"/>
          </w:rPr>
          <w:t>10.1021/acsami.6c10117</w:t>
        </w:r>
      </w:hyperlink>
    </w:p>
    <w:p>
      <w:pPr>
        <w:spacing w:before="0" w:after="120"/>
      </w:pPr>
      <w:r>
        <w:rPr>
          <w:b/>
        </w:rPr>
        <w:t xml:space="preserve">Notes: </w:t>
      </w:r>
      <w:r>
        <w:t>abstract_source=pubmed</w:t>
      </w:r>
    </w:p>
    <w:p>
      <w:pPr>
        <w:spacing w:before="0" w:after="80" w:lineRule="auto" w:line="276"/>
      </w:pPr>
      <w:r>
        <w:rPr>
          <w:b/>
        </w:rPr>
        <w:t xml:space="preserve">摘要（ZH）: </w:t>
      </w:r>
      <w:r>
        <w:t>离子电子压力传感器（IPS）对于柔性接口很有吸引力，因为双电层（EDL）电容可以通过界面变形实现高信号输出，但同时实现高灵敏度、宽压力范围和温度变化下的稳定运行仍然具有挑战性。在这里，我们报告了一种微结构 PVDF-HFP/TPU/[EMIM][TFSI] 离子凝胶电介质，用于稳定的离子电子压力传感。该离子凝胶是通过可扩展的溶液浇铸工艺制造的，其中溶剂蒸发诱导的相分离产生互连的多孔微结构，无需模板化。这种微观结构提高了介电压缩性，并促进电极/离子凝胶界面处的压力依赖性离子重新分布，从而在低于 40 kPa 时实现 13.9 nF kPa-1 的灵敏度，并可测量高达 5 MPa 的响应。为了提高信号可靠性，引入了预校准热系数补偿方法来抑制 30-70 °C 范围内的电容漂移。该设备集成到多通道传感器阵列中，结合机器学习分析，进一步实现了在受控实验室条件下对代表性坐姿和模拟机舱交互模式进行概念验证分类。这项工作展示了一种可扩展的离子凝胶介电平台，可实现强大的压力传感，并强调其在基于接触的舱室状态监测方面的潜力。</w:t>
      </w:r>
    </w:p>
    <w:p>
      <w:pPr>
        <w:spacing w:before="0" w:after="200" w:lineRule="auto" w:line="276"/>
      </w:pPr>
      <w:r>
        <w:rPr>
          <w:b/>
        </w:rPr>
        <w:t xml:space="preserve">Abstract (EN): </w:t>
      </w:r>
      <w:r>
        <w:t>Iontronic pressure sensors (IPSs) are attractive for flexible interfaces because electric-double-layer (EDL) capacitance enables high signal output from interfacial deformation, yet it remains challenging to simultaneously achieve high sensitivity, a wide pressure range, and stable operation under temperature variation. Here, we report a microstructured PVDF-HFP/TPU/[EMIM][TFSI] ionogel dielectric for robust iontronic pressure sensing. The ionogel is fabricated by a scalable solution-casting process, in which solvent-evaporation-induced phase separation generates an interconnected porous microstructure without templating. This microstructure increases dielectric compressibility and promotes pressure-dependent ion redistribution at the electrode/ionogel interface, leading to a sensitivity of 13.9 nF kPa-1 below 40 kPa and a measurable response up to 5 MPa. To improve signal reliability, a precalibrated thermal-coefficient compensation method is introduced to suppress capacitance drift over 30-70 °C. Integrated into multichannel sensor arrays, the device further enables proof-of-concept classification of representative seated postures and simulated cabin interaction patterns under controlled laboratory conditions, combined with machine-learning analysis. This work demonstrates a scalable ionogel dielectric platform for robust pressure sensing and highlights its potential for contact-based cabin-state monitoring.</w:t>
      </w:r>
    </w:p>
    <w:p>
      <w:pPr>
        <w:spacing w:before="120" w:after="120"/>
      </w:pPr>
      <w:r>
        <w:rPr>
          <w:sz w:val="18"/>
        </w:rPr>
        <w:t>——————————————————————————————————————————————————————————————————————</w:t>
      </w:r>
    </w:p>
    <w:p>
      <w:pPr>
        <w:spacing w:before="160" w:after="40" w:line="240" w:lineRule="auto"/>
      </w:pPr>
      <w:r>
        <w:rPr>
          <w:b/>
        </w:rPr>
        <w:t xml:space="preserve">[231] </w:t>
      </w:r>
      <w:hyperlink r:id="rId674">
        <w:r>
          <w:rPr>
            <w:color w:val="1155CC"/>
            <w:u w:val="single"/>
          </w:rPr>
          <w:t>用于宽范围压力传感的柔性压电复合薄膜中的分层设计接口</w:t>
        </w:r>
      </w:hyperlink>
    </w:p>
    <w:p>
      <w:pPr>
        <w:spacing w:before="0" w:after="80"/>
      </w:pPr>
      <w:r>
        <w:rPr>
          <w:i/>
          <w:sz w:val="20"/>
        </w:rPr>
        <w:t>EN: Hierarchically Engineered Interfaces in Flexible Piezoelectric Composite Films for Broad-Range Pressure Sensing</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75">
        <w:r>
          <w:rPr>
            <w:color w:val="1155CC"/>
            <w:u w:val="single"/>
          </w:rPr>
          <w:t>10.1021/acsami.6c08698</w:t>
        </w:r>
      </w:hyperlink>
    </w:p>
    <w:p>
      <w:pPr>
        <w:spacing w:before="0" w:after="120"/>
      </w:pPr>
      <w:r>
        <w:rPr>
          <w:b/>
        </w:rPr>
        <w:t xml:space="preserve">Notes: </w:t>
      </w:r>
      <w:r>
        <w:t>abstract_source=pubmed</w:t>
      </w:r>
    </w:p>
    <w:p>
      <w:pPr>
        <w:spacing w:before="0" w:after="80" w:lineRule="auto" w:line="276"/>
      </w:pPr>
      <w:r>
        <w:rPr>
          <w:b/>
        </w:rPr>
        <w:t xml:space="preserve">摘要（ZH）: </w:t>
      </w:r>
      <w:r>
        <w:t>对于柔性压电传感器来说，宽范围压力传感仍然具有挑战性，因为在高压缩负载下变形受到限制，通常会导致过早响应饱和。在这里，通过简单的溶剂交换诱导自组装工艺制造了一种柔性压电复合薄膜，其具有受珍珠母启发的分层工程界面结构。氧化石墨烯片层优先在准互连压电陶瓷框架和热塑性聚氨酯基体之间的界面处排列，形成机械坚固的结构，可以承受高压缩载荷（兆帕状态）并促进有效的应力传递和界面极化。因此，优化后的压电薄膜表现出52.2 pC N-1的准静态压电电荷系数d33和74.8 mV m N-1的电压常数g33，并且该器件在8.95 kPa至3.06 MPa的宽压力范围内表现出稳定的信号输出，以及18.1 ms的快速响应时间和超过10,000次循环的优异耐用性。基于该薄膜的七通道集成传感系统被开发用于分布式下肢生物力学监测，凸显了其在可穿戴健康管理方面的潜力。这项工作为用于大范围压力传感和可穿戴生物力学监测的柔性压电传感器提供了一条实用途径。</w:t>
      </w:r>
    </w:p>
    <w:p>
      <w:pPr>
        <w:spacing w:before="0" w:after="200" w:lineRule="auto" w:line="276"/>
      </w:pPr>
      <w:r>
        <w:rPr>
          <w:b/>
        </w:rPr>
        <w:t xml:space="preserve">Abstract (EN): </w:t>
      </w:r>
      <w:r>
        <w:t>Broad-range pressure sensing remains challenging for flexible piezoelectric sensors since deformation becomes restricted under high compressive loads, often causing premature response saturation. Here, a flexible piezoelectric composite film featuring a nacre-inspired hierarchically engineered interfacial architecture was fabricated by a facile solvent exchange-induced self-assembly process. Graphene oxide lamellae are preferentially aligned at the interfaces between a quasi-interconnected piezoceramic framework and thermoplastic polyurethane matrix, forming a mechanically robust architecture that can withstand high compressive loads (megapascal regime) and facilitate efficient stress transfer and interfacial polarization. Consequently, the optimized piezoelectric film exhibits the quasi-static piezoelectric charge coefficient d33 of 52.2 pC N-1 and the voltage constant g33 of 74.8 mV m N-1, and the device demonstrates stable signal output across a broad pressure range from 8.95 kPa to 3.06 MPa, along with a rapid response time of 18.1 ms and excellent durability over 10,000 cycles. A seven-channel integrated sensing system based on the film is developed for distributed lower-limb biomechanical monitoring, highlighting its potential for wearable health management. This work provides a practical route toward flexible piezoelectric sensors for broad-range pressure sensing and wearable biomechanical monitoring.</w:t>
      </w:r>
    </w:p>
    <w:p>
      <w:pPr>
        <w:spacing w:before="120" w:after="120"/>
      </w:pPr>
      <w:r>
        <w:rPr>
          <w:sz w:val="18"/>
        </w:rPr>
        <w:t>——————————————————————————————————————————————————————————————————————</w:t>
      </w:r>
    </w:p>
    <w:p>
      <w:pPr>
        <w:spacing w:before="160" w:after="40" w:line="240" w:lineRule="auto"/>
      </w:pPr>
      <w:r>
        <w:rPr>
          <w:b/>
        </w:rPr>
        <w:t xml:space="preserve">[232] </w:t>
      </w:r>
      <w:hyperlink r:id="rId676">
        <w:r>
          <w:rPr>
            <w:color w:val="1155CC"/>
            <w:u w:val="single"/>
          </w:rPr>
          <w:t>具有耐高温和优异电磁波吸收性能的前驱体多孔层状 HfC 陶瓷</w:t>
        </w:r>
      </w:hyperlink>
    </w:p>
    <w:p>
      <w:pPr>
        <w:spacing w:before="0" w:after="80"/>
      </w:pPr>
      <w:r>
        <w:rPr>
          <w:i/>
          <w:sz w:val="20"/>
        </w:rPr>
        <w:t>EN: Precursor-Derived Porous Layered HfC Ceramic with High-Temperature Resistance and Excellent Electromagnetic Wave Absorption Performance</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77">
        <w:r>
          <w:rPr>
            <w:color w:val="1155CC"/>
            <w:u w:val="single"/>
          </w:rPr>
          <w:t>10.1021/acsami.6c08073</w:t>
        </w:r>
      </w:hyperlink>
    </w:p>
    <w:p>
      <w:pPr>
        <w:spacing w:before="0" w:after="120"/>
      </w:pPr>
      <w:r>
        <w:rPr>
          <w:b/>
        </w:rPr>
        <w:t xml:space="preserve">Notes: </w:t>
      </w:r>
      <w:r>
        <w:t>abstract_source=pubmed</w:t>
      </w:r>
    </w:p>
    <w:p>
      <w:pPr>
        <w:spacing w:before="0" w:after="80" w:lineRule="auto" w:line="276"/>
      </w:pPr>
      <w:r>
        <w:rPr>
          <w:b/>
        </w:rPr>
        <w:t xml:space="preserve">摘要（ZH）: </w:t>
      </w:r>
      <w:r>
        <w:t>先进飞机的隐形部件在极端环境下的苛刻要求需要集耐高温和高效电磁波吸收于一体的新型材料。其中HfC陶瓷具有近3900℃的高熔点。然而，较差的阻抗匹配严重限制了其在电磁波吸收方面的应用。前体衍生陶瓷 (PDC) 提供了一个通用平台，用于设计具有多孔微结构的耐高温材料，以改善阻抗匹配。受结构工程策略的启发，这项工作提出了一种新颖的 PDC 路线来制造多孔层状 HfC 陶瓷。具体来说，前体是通过粉碎和冷冻干燥凝胶而获得的，该凝胶是通过GO同时自组装及其在溶剂热反应过程中与Hf(acac)2(OH)2的原位反应形成的。利用其高比表面积，层状 GO 提供丰富的 -COOH/-OH，能够与 Hf-OH 反应形成稳定的 Hf-O-C 键。这种稳定的化学键可以形成紧密的界面接触，减少扩散距离并增强碳热还原，从而实现 HfO2 到 HfC 的高效转化。结果，仅在1400℃下热解就成功获得了铪含量高达91.01wt％的多孔HfC陶瓷。由此产生的多孔层状 HfC 陶瓷在高达 1800 °C 的温度下仍保持其结构完整性。孔隙结构主要是通过溶剂热反应过程中GO的自组装、冷冻干燥过程中的冰晶升华来构建的</w:t>
      </w:r>
    </w:p>
    <w:p>
      <w:pPr>
        <w:spacing w:before="0" w:after="200" w:lineRule="auto" w:line="276"/>
      </w:pPr>
      <w:r>
        <w:rPr>
          <w:b/>
        </w:rPr>
        <w:t xml:space="preserve">Abstract (EN): </w:t>
      </w:r>
      <w:r>
        <w:t>The demanding requirements of stealth components in advanced aircraft for extreme environments necessitate novel materials that integrate high-temperature resistance and efficient electromagnetic wave absorption. Among them, HfC ceramic possesses a high melting point of nearly 3900 °C. However, the poor impedance matching severely restricts its application in electromagnetic wave absorption. Precursor-derived ceramics (PDCs) offer a versatile platform for designing high-temperature-resistant materials with porous microstructures for improving impedance matching. Inspired by structural engineering strategies, this work presents a novel PDC route to fabricate a porous layered HfC ceramic. Specifically, the precursor was obtained by crushing and freeze-drying a gel that formed via the simultaneous self-assembly of GO and its in situ reaction with Hf(acac)2(OH)2 during the solvothermal reaction. Leveraging its high specific surface area, layered GO offers abundant -COOH/-OH that enables reactions with Hf-OH to form a stable Hf-O-C bond. This stable chemical bonding could create an intimate interfacial contact, reducing diffusion distances and enhancing carbothermal reduction for efficient HfO2-to-HfC conversion. As a result, the porous HfC ceramic with a high hafnium content of 91.01 wt % was successfully obtained after pyrolysis at only 1400 °C. The resulting porous layered HfC ceramic retained its structural integrity up to 1800 °C. The pore structure was mainly constructed through the self-assembly of GO during the solvothermal reaction, ice crystal sublimation via freeze-drying, as well as subsequent high-temperature pyrolysis. Moreover, the porous layered HfC ceramic delivers outstanding electromagnetic wave absorption performance, attributed to the synergy effect between optimized impedance matching, conductive loss, and multiple polarization losses. Notably, it achieves a remarkable minimum reflection loss (RLmin) to a matching thickness ratio of -37.02 dB/mm, along with a radar cross section (RCS) attenuation value of 40.188 dB m2 in simulation, demonstrating both strong intrinsic absorption and practical stealth capability. This work paves the way for the development of high-performance, integrated structural-functional materials for extreme applications.</w:t>
      </w:r>
    </w:p>
    <w:p>
      <w:pPr>
        <w:spacing w:before="120" w:after="120"/>
      </w:pPr>
      <w:r>
        <w:rPr>
          <w:sz w:val="18"/>
        </w:rPr>
        <w:t>——————————————————————————————————————————————————————————————————————</w:t>
      </w:r>
    </w:p>
    <w:p>
      <w:pPr>
        <w:spacing w:before="160" w:after="40" w:line="240" w:lineRule="auto"/>
      </w:pPr>
      <w:r>
        <w:rPr>
          <w:b/>
        </w:rPr>
        <w:t xml:space="preserve">[233] </w:t>
      </w:r>
      <w:hyperlink r:id="rId678">
        <w:r>
          <w:rPr>
            <w:color w:val="1155CC"/>
            <w:u w:val="single"/>
          </w:rPr>
          <w:t>原发性硬化性胆管炎表现出独特的结肠粘膜形态，但与溃疡性结肠炎具有共同的肥大细胞状态</w:t>
        </w:r>
      </w:hyperlink>
    </w:p>
    <w:p>
      <w:pPr>
        <w:spacing w:before="0" w:after="80"/>
      </w:pPr>
      <w:r>
        <w:rPr>
          <w:i/>
          <w:sz w:val="20"/>
        </w:rPr>
        <w:t>EN: Primary sclerosing cholangitis displays distinct colonic mucosa topography yet a shared mast cell state with ulcerative colitis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原发性硬化性胆管炎（PSC）是一种慢性进行性胆汁淤积性疾病，通常与炎症性肠病（PSC-IBD）同时发生。影响结肠的 PSC-IBD（PSC-溃疡性结肠炎或 PSC-UC）与临床 UC 类似，但其特点是疾病发作不太严重、右半结肠占主导地位，并且与单独的 UC 相比，终生结直肠癌风险更高。为了阐明 PSC-UC 和 UC 之间潜在生物学的差异，在这里，我们结合了单细胞 mRNA 和抗原受体测序、16S 核糖体 RNA 基因分析和空间转录组学，对内镜缓解或复发时 PSC-UC 和 UC 患者四个结肠区域的活检进行了活检。我们发现，与健康对照 (HC) 或 UC 结肠相比，PSC-UC 结肠即使在没有组织学炎症的情况下，也具有独特的区域特异性粘膜粘附微生物群落，并且在右侧结肠处富集活化的 CD8 T 和 γδ T 细胞。相比之下，在 PSC-UC 和 UC 结肠疾病复发期间，可能具有促肿瘤发生作用的 TMEM176B+ 肥大细胞群在结肠中富集。这些结果强调，PSC-UC 和 UC 结肠粘膜有本质上的不同，但在活动性疾病期间具有相似的细胞程序。因此，我们的数据提供了指导定制临床管理和精准治疗的见解。</w:t>
      </w:r>
    </w:p>
    <w:p>
      <w:pPr>
        <w:spacing w:before="0" w:after="200" w:lineRule="auto" w:line="276"/>
      </w:pPr>
      <w:r>
        <w:rPr>
          <w:b/>
        </w:rPr>
        <w:t xml:space="preserve">Abstract (EN): </w:t>
      </w:r>
      <w:r>
        <w:t>Primary sclerosing cholangitis (PSC) is a chronic, progressing cholestatic disease that often co-occurs with inflammatory bowel disease (PSC-IBD). PSC-IBD affecting the colon (PSC-ulcerative colitis or PSC-UC) resembles clinical UC, but is characterised by less severe disease flares, right-colon predominance, and a greater lifetime risk of colorectal cancer than UC alone. To elucidate differences in the underlying biology between PSC-UC and UC, here we combine single-cell mRNA and antigen receptor sequencing, 16S ribosomal RNA gene analysis and spatial transcriptomics on biopsies from four colon regions of patients with PSC-UC and UC during endoscopic remission or at the time of relapse. We show that the PSC-UC colon, compared to healthy control (HC) or UC colon, harbours distinct and region-specific mucosal-adherent microbial communities and an enrichment of activated CD8 T and γδ T cells at the right colon, even in the absence of histological inflammation. By contrast, a TMEM176B+ mast cell population that may be pro-tumourigenic is enriched in the colon during disease relapse in both PSC-UC and UC colon. These results highlight that the PSC-UC and UC colonic mucosa are fundamentally different while sharing similar cell programmes during active disease. Our data thus provide insights to guide tailored clinical management and precision therapies.</w:t>
      </w:r>
    </w:p>
    <w:p>
      <w:pPr>
        <w:spacing w:before="120" w:after="120"/>
      </w:pPr>
      <w:r>
        <w:rPr>
          <w:sz w:val="18"/>
        </w:rPr>
        <w:t>——————————————————————————————————————————————————————————————————————</w:t>
      </w:r>
    </w:p>
    <w:p>
      <w:pPr>
        <w:spacing w:before="160" w:after="40" w:line="240" w:lineRule="auto"/>
      </w:pPr>
      <w:r>
        <w:rPr>
          <w:b/>
        </w:rPr>
        <w:t xml:space="preserve">[234] </w:t>
      </w:r>
      <w:hyperlink r:id="rId679">
        <w:r>
          <w:rPr>
            <w:color w:val="1155CC"/>
            <w:u w:val="single"/>
          </w:rPr>
          <w:t>添加过量 Cu 的室温生长非晶 YBa 2 Cu 3 O x 中的可调谐界面至丝状电阻切换机制</w:t>
        </w:r>
      </w:hyperlink>
    </w:p>
    <w:p>
      <w:pPr>
        <w:spacing w:before="0" w:after="80"/>
      </w:pPr>
      <w:r>
        <w:rPr>
          <w:i/>
          <w:sz w:val="20"/>
        </w:rPr>
        <w:t>EN: Tunable Interfacial to Filamentary Resistive Switching Mechanism in Room-Temperature-Grown Amorphous YBa 2 Cu 3 O x with Excess Cu Addition</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80">
        <w:r>
          <w:rPr>
            <w:color w:val="1155CC"/>
            <w:u w:val="single"/>
          </w:rPr>
          <w:t>10.1021/acsami.5c23772</w:t>
        </w:r>
      </w:hyperlink>
    </w:p>
    <w:p>
      <w:pPr>
        <w:spacing w:before="0" w:after="120"/>
      </w:pPr>
      <w:r>
        <w:rPr>
          <w:b/>
        </w:rPr>
        <w:t xml:space="preserve">Notes: </w:t>
      </w:r>
      <w:r>
        <w:t>abstract_source=pubmed</w:t>
      </w:r>
    </w:p>
    <w:p>
      <w:pPr>
        <w:spacing w:before="0" w:after="80" w:lineRule="auto" w:line="276"/>
      </w:pPr>
      <w:r>
        <w:rPr>
          <w:b/>
        </w:rPr>
        <w:t xml:space="preserve">摘要（ZH）: </w:t>
      </w:r>
      <w:r>
        <w:t>电阻开关技术不仅有可能大幅提高计算机内存的效率，而且有可能彻底改变神经形态计算等新兴领域。在本文中，我们报告了由室温生长的富铜非晶 YBa2Cu3Ox (YBCO) 薄膜制成的器件中的新型电阻开关行为，这种材料通常被称为高温超导体。在 Nb:STO 衬底/非晶 YBCO 薄膜（约 200 nm）/金属 Cu（15 nm）/金属 Pt（15 nm）器件中，我们证明，只需改变沉积靶材以及薄膜中的 Cu 含量，即可在涉及 YBCO/电极界面扩展区域的机制和单点丝状机制之间调整电阻切换。改变铜含量也可用于进一步优化器件的性能，在 YBCO 中添加 15 mol% 铜的器件最初可提供 &gt;100 的开/关比、&gt;6500 次循环的开关耐久性潜力以及 &gt;2 × 104 s 的状态保持能力，所有这些都在 0.3 MV/cm 的低开关场下进行。具有前景的电阻开关特性、室温下的快速生长（150 nm/min）以及开关机制的可调谐性的结合表明了这种概念验证非晶系统在未来存储器应用中的巨大潜力。</w:t>
      </w:r>
    </w:p>
    <w:p>
      <w:pPr>
        <w:spacing w:before="0" w:after="200" w:lineRule="auto" w:line="276"/>
      </w:pPr>
      <w:r>
        <w:rPr>
          <w:b/>
        </w:rPr>
        <w:t xml:space="preserve">Abstract (EN): </w:t>
      </w:r>
      <w:r>
        <w:t>Resistive switching technologies have the potential not only to create large efficiency gains in computer memory but also to revolutionize emerging fields such as neuromorphic computing. In this paper, we report on novel resistive switching behavior in devices made from room-temperature-grown Cu-rich amorphous YBa2Cu3Ox (YBCO) films, a material otherwise well-known as a high-temperature superconductor. In Nb:STO substrate/amorphous YBCO film (≈200 nm)/metallic Cu (15 nm)/metallic Pt (15 nm) devices, we demonstrate that the resistive switching can be tuned between mechanisms involving extended areas of the YBCO/electrode interface and a single-point filamentary mechanism simply by changing the Cu content of the deposition target and hence in the films. Changing the Cu content can also be used to optimize the properties of the devices further, with devices with an added 15 mol % of Cu in YBCO initially providing an on/off ratio &gt;100, switching endurance potential &gt;6500 cycles, and state retention &gt;2 × 104 s, all at low switching fields of 0.3 MV/cm. The amalgam of promising resistive switching properties, fast growth (150 nm/min) at room temperature, and tuneability of the switching mechanism indicates the strong potential of this proof-of-concept amorphous system for future memory applications.</w:t>
      </w:r>
    </w:p>
    <w:p>
      <w:pPr>
        <w:spacing w:before="120" w:after="120"/>
      </w:pPr>
      <w:r>
        <w:rPr>
          <w:sz w:val="18"/>
        </w:rPr>
        <w:t>——————————————————————————————————————————————————————————————————————</w:t>
      </w:r>
    </w:p>
    <w:p>
      <w:pPr>
        <w:spacing w:before="160" w:after="40" w:line="240" w:lineRule="auto"/>
      </w:pPr>
      <w:r>
        <w:rPr>
          <w:b/>
        </w:rPr>
        <w:t xml:space="preserve">[235] </w:t>
      </w:r>
      <w:hyperlink r:id="rId681">
        <w:r>
          <w:rPr>
            <w:color w:val="1155CC"/>
            <w:u w:val="single"/>
          </w:rPr>
          <w:t>交联二硒化物纳米囊泡通过 ROS 消除和源抑制的无缝整合来对抗急性肝损伤</w:t>
        </w:r>
      </w:hyperlink>
    </w:p>
    <w:p>
      <w:pPr>
        <w:spacing w:before="0" w:after="80"/>
      </w:pPr>
      <w:r>
        <w:rPr>
          <w:i/>
          <w:sz w:val="20"/>
        </w:rPr>
        <w:t>EN: Cross-Linked Diselenide Nanovesicles against Acute Liver Injury by Seamless Integration of ROS Elimination and Source Inhibition</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82">
        <w:r>
          <w:rPr>
            <w:color w:val="1155CC"/>
            <w:u w:val="single"/>
          </w:rPr>
          <w:t>10.1021/acsami.6c06235</w:t>
        </w:r>
      </w:hyperlink>
    </w:p>
    <w:p>
      <w:pPr>
        <w:spacing w:before="0" w:after="120"/>
      </w:pPr>
      <w:r>
        <w:rPr>
          <w:b/>
        </w:rPr>
        <w:t xml:space="preserve">Notes: </w:t>
      </w:r>
      <w:r>
        <w:t>abstract_source=pubmed</w:t>
      </w:r>
    </w:p>
    <w:p>
      <w:pPr>
        <w:spacing w:before="0" w:after="80" w:lineRule="auto" w:line="276"/>
      </w:pPr>
      <w:r>
        <w:rPr>
          <w:b/>
        </w:rPr>
        <w:t xml:space="preserve">摘要（ZH）: </w:t>
      </w:r>
      <w:r>
        <w:t>病例发生率的持续上升和有效治疗方法的严重缺乏，加剧了对强有力的策略来对抗急性肝损伤（ALI）的迫切需要。以活性氧（ROS）清除为目标仍然是主要的治疗方法。然而，目前的临床干预和新兴疗法主要强调症状水平的ROS消除，而忽视了内源性ROS产生抑制，这严重限制了它们的治疗效率。在此，我们介绍了一种表面叶酸修饰的交联二硒化物纳米囊泡（FA@cSeLAV），它有效地靶向肝巨噬细胞（ALI中ROS驱动损伤的关键介质），并将症状水平的ROS消除与内源性ROS产生的抑制无缝结合起来。简而言之，富含二硒化物的 FA@cSeLAV 有效清除过量的 ROS，并进行解聚，主要形成氧化单体硒硫辛酸 (DSeO2LA)。 DSeO2LA 通过抑制关键线粒体代谢酶的酰基转移活性来损害线粒体三羧酸 (TCA) 循环，从而干扰线粒体能量代谢并抑制异常的 ROS 产生。令人印象深刻的是，这种内外协同策略使肝脏环境内的ROS调节维持在正常水平，显着超过已批准药物N-乙酰半胱氨酸（NAC）的抗炎效率，为炎症相关疾病的临床治疗提供了见解。</w:t>
      </w:r>
    </w:p>
    <w:p>
      <w:pPr>
        <w:spacing w:before="0" w:after="200" w:lineRule="auto" w:line="276"/>
      </w:pPr>
      <w:r>
        <w:rPr>
          <w:b/>
        </w:rPr>
        <w:t xml:space="preserve">Abstract (EN): </w:t>
      </w:r>
      <w:r>
        <w:t>The persistent rise in case incidence and the acute shortage of effective treatments have heightened the urgent need for robust strategies to combat acute liver injury (ALI). Targeting reactive oxygen species (ROS) scavenging remains the predominant therapeutic approach. However, current clinical interventions and emerging therapies primarily emphasize symptomatic-level ROS elimination while neglecting endogenous ROS production inhibition, which severely limits their therapeutic efficiency. Herein, we introduce a cross-linked diselenide nanovesicles with surface folic acid modification (FA@cSeLAV), which effectively targets hepatic macrophages, key mediators of ROS-driven damage in ALI, and seamlessly integrates symptomatic-level ROS elimination with the inhibition of endogenous ROS production. Briefly, diselenide-enriched FA@cSeLAV efficiently scavenges excessive ROS and undergoes depolymerization to predominantly form the oxidized monomer selenolipoic acid (DSeO2LA). Seamlessly, DSeO2LA impairs the mitochondrial tricarboxylic acid (TCA) cycle by inhibiting the acyl group transfer activity of key mitochondrial metabolic enzymes, thus interfering with mitochondrial energy metabolism and suppressing aberrant ROS production. Impressively, this internal-external synergistic strategy maintains sustained and robust ROS regulation at normal levels within the hepatic environment, significantly surpassing the anti-inflammatory efficiency of approved drug N-acetylcysteine (NAC), offering insights for the clinical treatment of inflammation-associated diseases.</w:t>
      </w:r>
    </w:p>
    <w:p>
      <w:pPr>
        <w:spacing w:before="120" w:after="120"/>
      </w:pPr>
      <w:r>
        <w:rPr>
          <w:sz w:val="18"/>
        </w:rPr>
        <w:t>——————————————————————————————————————————————————————————————————————</w:t>
      </w:r>
    </w:p>
    <w:p>
      <w:pPr>
        <w:spacing w:before="160" w:after="40" w:line="240" w:lineRule="auto"/>
      </w:pPr>
      <w:r>
        <w:rPr>
          <w:b/>
        </w:rPr>
        <w:t xml:space="preserve">[236] </w:t>
      </w:r>
      <w:hyperlink r:id="rId683">
        <w:r>
          <w:rPr>
            <w:color w:val="1155CC"/>
            <w:u w:val="single"/>
          </w:rPr>
          <w:t>DNA纳米桥在晶体管上具有级联操作逻辑，用于呼吸道感染的综合评估</w:t>
        </w:r>
      </w:hyperlink>
    </w:p>
    <w:p>
      <w:pPr>
        <w:spacing w:before="0" w:after="80"/>
      </w:pPr>
      <w:r>
        <w:rPr>
          <w:i/>
          <w:sz w:val="20"/>
        </w:rPr>
        <w:t>EN: DNA Nanobridge with Cascade Operation Logic on a Transistor for Comprehensive Evaluation of Respiratory Infection</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84">
        <w:r>
          <w:rPr>
            <w:color w:val="1155CC"/>
            <w:u w:val="single"/>
          </w:rPr>
          <w:t>10.1021/acsami.6c05125</w:t>
        </w:r>
      </w:hyperlink>
    </w:p>
    <w:p>
      <w:pPr>
        <w:spacing w:before="0" w:after="120"/>
      </w:pPr>
      <w:r>
        <w:rPr>
          <w:b/>
        </w:rPr>
        <w:t xml:space="preserve">Notes: </w:t>
      </w:r>
      <w:r>
        <w:t>abstract_source=pubmed</w:t>
      </w:r>
    </w:p>
    <w:p>
      <w:pPr>
        <w:spacing w:before="0" w:after="80" w:lineRule="auto" w:line="276"/>
      </w:pPr>
      <w:r>
        <w:rPr>
          <w:b/>
        </w:rPr>
        <w:t xml:space="preserve">摘要（ZH）: </w:t>
      </w:r>
      <w:r>
        <w:t>急性呼吸道感染可能引发细胞因子风暴，对生命造成极大威胁。因此，非常需要现场病原体筛查和感染严重程度评估，以便立即进行医疗干预。在这里，我们报告了用 DNA 纳米桥修饰的石墨烯场效应晶体管（g-FET）对呼吸道感染的全面监测，该纳米桥由两个通过桥链连接的 DNA 四面体组成。目标病毒核酸的识别触发桥解离，释放探针以检测炎症细胞因子 IL-6。这种级联逻辑操作能够同时检测呼吸道病原体并评估相关的炎症反应。该装置可检测低至 3.9 × 10-16 M 的病毒核酸，而临床相关水平 2.4 × 10-12 M 的 IL-6 的存在可将反应增强 3.7 倍。因此，临床 COVID-19 口咽拭子检测与 PCR 结果的总体一致性约为 97.2%，显示出在实际应用中的巨大潜力。</w:t>
      </w:r>
    </w:p>
    <w:p>
      <w:pPr>
        <w:spacing w:before="0" w:after="200" w:lineRule="auto" w:line="276"/>
      </w:pPr>
      <w:r>
        <w:rPr>
          <w:b/>
        </w:rPr>
        <w:t xml:space="preserve">Abstract (EN): </w:t>
      </w:r>
      <w:r>
        <w:t>Acute respiratory infections may cause a cytokine storm that poses a great threat to life. Thus, on-site pathogen screening and infection severity assessment are highly desired for immediate medical intervention. Here, we report the comprehensive monitoring of respiratory infection by a graphene field-effect transistor (g-FET) modified with a DNA nanobridge that consists of two DNA tetrahedrons linked by a bridge strand. The recognition of target viral nucleic acid triggers bridge dissociation, releasing the probe to detect the inflammatory cytokine IL-6. Such a cascade logical operation enables simultaneous detection of respiratory pathogens and evaluation of the associated inflammatory response. The device detects viral nucleic acid as low as 3.9 × 10-16 M, while the presence of IL-6 at a clinically relevant level of 2.4 × 10-12 M enhances the response by 3.7-fold. Thus, testing of clinical COVID-19 oropharyngeal swabs achieves ∼97.2% overall agreement with PCR results, demonstrating immense potential in practical applications.</w:t>
      </w:r>
    </w:p>
    <w:p>
      <w:pPr>
        <w:spacing w:before="120" w:after="120"/>
      </w:pPr>
      <w:r>
        <w:rPr>
          <w:sz w:val="18"/>
        </w:rPr>
        <w:t>——————————————————————————————————————————————————————————————————————</w:t>
      </w:r>
    </w:p>
    <w:p>
      <w:pPr>
        <w:spacing w:before="160" w:after="40" w:line="240" w:lineRule="auto"/>
      </w:pPr>
      <w:r>
        <w:rPr>
          <w:b/>
        </w:rPr>
        <w:t xml:space="preserve">[237] </w:t>
      </w:r>
      <w:hyperlink r:id="rId685">
        <w:r>
          <w:rPr>
            <w:color w:val="1155CC"/>
            <w:u w:val="single"/>
          </w:rPr>
          <w:t>仿真引导原子层沉积为预测纳米压印光刻提供确定性界面力学</w:t>
        </w:r>
      </w:hyperlink>
    </w:p>
    <w:p>
      <w:pPr>
        <w:spacing w:before="0" w:after="80"/>
      </w:pPr>
      <w:r>
        <w:rPr>
          <w:i/>
          <w:sz w:val="20"/>
        </w:rPr>
        <w:t>EN: Simulation-Guided Atomic Layer Deposition Enables Deterministic Interfacial Mechanics for Predictive Nanoimprint Lithography</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86">
        <w:r>
          <w:rPr>
            <w:color w:val="1155CC"/>
            <w:u w:val="single"/>
          </w:rPr>
          <w:t>10.1021/acsami.6c10450</w:t>
        </w:r>
      </w:hyperlink>
    </w:p>
    <w:p>
      <w:pPr>
        <w:spacing w:before="0" w:after="120"/>
      </w:pPr>
      <w:r>
        <w:rPr>
          <w:b/>
        </w:rPr>
        <w:t xml:space="preserve">Notes: </w:t>
      </w:r>
      <w:r>
        <w:t>abstract_source=pubmed</w:t>
      </w:r>
    </w:p>
    <w:p>
      <w:pPr>
        <w:spacing w:before="0" w:after="80" w:lineRule="auto" w:line="276"/>
      </w:pPr>
      <w:r>
        <w:rPr>
          <w:b/>
        </w:rPr>
        <w:t xml:space="preserve">摘要（ZH）: </w:t>
      </w:r>
      <w:r>
        <w:t>纳米压印光刻 (NIL) 是下一代纳米制造的关键推动者，但其工业可扩展性仍然受到模塑抗蚀剂界面持续挑战的限制，包括模具断裂、结构变形和低效脱模。这些限制源于压印过程中缺乏对粘附、摩擦和应力演变的协调控制。基于模拟的见解将可调界面层确定为关键杠杆，我们采用共形分子/原子层沉积（MLD/ALD）作为主动调节这些耦合相互作用的合理策略。在这里，我们系统地研究了 MLD/ALD 生长的石墨烯、Al2O3 和聚脲作为 NIL 模具的模型界面层。通过集成分子动力学模拟、有限元建模、原子力显微镜 (AFM) 和实验印记，我们在涂层化学、界面能量学、应力演化和图案保真度之间建立了定量联系。在所研究的材料中，石墨烯表现出最有利的性能平衡，将压印引起的峰值机械应力降低至裸硅的约20%，同时保持超低表面能（≤0.13 J m-2）和摩擦系数（≤0.1），从而最大限度地减少压印过程中的结构变形。我们进一步确定了粘附力、摩擦力和弹性模量方面与涂层相关的阈值，这些阈值定义了高性能 NIL 模具的实用设计窗口。这项工作引入了一个统一的预测框架，用于通过 NIL 中的 ALD 涂层进行主动界面控制，pr</w:t>
      </w:r>
    </w:p>
    <w:p>
      <w:pPr>
        <w:spacing w:before="0" w:after="200" w:lineRule="auto" w:line="276"/>
      </w:pPr>
      <w:r>
        <w:rPr>
          <w:b/>
        </w:rPr>
        <w:t xml:space="preserve">Abstract (EN): </w:t>
      </w:r>
      <w:r>
        <w:t>Nanoimprint lithography (NIL) is a key enabler for next-generation nanomanufacturing, yet its industrial scalability remains constrained by persistent challenges at the mold-resist interface, including mold fracture, structural deformation, and inefficient demolding. These limitations arise from the lack of coordinated control over adhesion, friction, and stress evolution during imprinting. Guided by simulation-based insights that identify tunable interfacial layers as a critical lever, we employ conformal molecular/atomic layer deposition (MLD/ALD) as a rational strategy to actively regulate these coupled interactions. Here we systematically investigate MLD/ALD-grown graphene, Al2O3, and polyurea as model interfacial layers for NIL molds. By integrating molecular dynamics simulations, finite element modeling, atomic force microscopy (AFM), and experimental imprinting, we establish quantitative links between coating chemistry, interfacial energetics, stress evolution, and pattern fidelity. Among the materials studied, graphene exhibits the most favorable balance of properties, reducing peak imprint-induced mechanical stress to ∼20% of that of bare silicon while maintaining ultralow surface energy (≤0.13 J m-2) and friction coefficient (≤0.1), thereby minimizing structural deformation during imprinting. We further identify coating-dependent thresholds in adhesion, friction, and elastic modulus that define a practical design window for high-performance NIL molds. This work introduces a unified and predictive framework for active interfacial control via ALD coatings in NIL, providing actionable guidelines for coating selection and establishing a pathway toward durable molds, efficient demolding, and reproducible, high-precision nanoscale pattern transfer.</w:t>
      </w:r>
    </w:p>
    <w:p>
      <w:pPr>
        <w:spacing w:before="120" w:after="120"/>
      </w:pPr>
      <w:r>
        <w:rPr>
          <w:sz w:val="18"/>
        </w:rPr>
        <w:t>——————————————————————————————————————————————————————————————————————</w:t>
      </w:r>
    </w:p>
    <w:p>
      <w:pPr>
        <w:spacing w:before="160" w:after="40" w:line="240" w:lineRule="auto"/>
      </w:pPr>
      <w:r>
        <w:rPr>
          <w:b/>
        </w:rPr>
        <w:t xml:space="preserve">[238] </w:t>
      </w:r>
      <w:hyperlink r:id="rId687">
        <w:r>
          <w:rPr>
            <w:color w:val="1155CC"/>
            <w:u w:val="single"/>
          </w:rPr>
          <w:t>无铅BiFeO 3 /BaTiO 3 超晶格中巨界面应变梯度驱动的自极化和零偏置压电</w:t>
        </w:r>
      </w:hyperlink>
    </w:p>
    <w:p>
      <w:pPr>
        <w:spacing w:before="0" w:after="80"/>
      </w:pPr>
      <w:r>
        <w:rPr>
          <w:i/>
          <w:sz w:val="20"/>
        </w:rPr>
        <w:t>EN: Self-Polarization and Zero-Bias Piezoelectricity Driven by Giant Interfacial Strain Gradient in Lead-Free BiFeO 3 /BaTiO 3 Superlattices</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88">
        <w:r>
          <w:rPr>
            <w:color w:val="1155CC"/>
            <w:u w:val="single"/>
          </w:rPr>
          <w:t>10.1021/acsami.6c03656</w:t>
        </w:r>
      </w:hyperlink>
    </w:p>
    <w:p>
      <w:pPr>
        <w:spacing w:before="0" w:after="120"/>
      </w:pPr>
      <w:r>
        <w:rPr>
          <w:b/>
        </w:rPr>
        <w:t xml:space="preserve">Notes: </w:t>
      </w:r>
      <w:r>
        <w:t>abstract_source=pubmed</w:t>
      </w:r>
    </w:p>
    <w:p>
      <w:pPr>
        <w:spacing w:before="0" w:after="80" w:lineRule="auto" w:line="276"/>
      </w:pPr>
      <w:r>
        <w:rPr>
          <w:b/>
        </w:rPr>
        <w:t xml:space="preserve">摘要（ZH）: </w:t>
      </w:r>
      <w:r>
        <w:t>人工设计的氧化物超晶格为操纵应变、界面耦合和铁电/压电特性提供了强大的平台，从而实现了单相材料无法实现的功能。在这项工作中，我们研究了 250 nm 厚的 (BiFeO3)0.65Λ/(BaTiO3)0.35Λ (BFO0.65Λ/BTO0.35Λ) 超晶格的结构和功能特性，调制周期 Λ 范围为 24 至 195 Å，通过脉冲激光沉积在用导电 SrRuO3 缓冲的 (001) SrTiO3 基底上生长。电极。结合高分辨率 X 射线衍射、原子力显微镜和扫描透射电子显微镜 (STEM) 的综合结构分析揭示了具有良好外延质量和明确的纳米级化学调制的纯相薄膜。平均晶格参数的分析表明，BTO 层受到压缩应变，导致四方性增强，而 BFO 层受到拉伸应变，同时四方性相对于体积略有降低。然而，STEM-GPA 映射显示，当 Λ ≥ 95 Å 时，SRO 界面附近的前 30 nm 内存在约 105 m-1 的大界面应变梯度，这与 BTO 层中强烈的四方畸变和 BFO 层中大于 1 的 c/a 比以及类菱面体和类四方 BFO 域的共存有关。铁电和介电测量显示短周期超晶格的极化和介电常数增强，而较大周期的结构</w:t>
      </w:r>
    </w:p>
    <w:p>
      <w:pPr>
        <w:spacing w:before="0" w:after="200" w:lineRule="auto" w:line="276"/>
      </w:pPr>
      <w:r>
        <w:rPr>
          <w:b/>
        </w:rPr>
        <w:t xml:space="preserve">Abstract (EN): </w:t>
      </w:r>
      <w:r>
        <w:t>Artificially engineered oxide superlattices offer a powerful platform for manipulating strain, interfacial coupling, and ferroelectric/piezoelectric properties, thereby enabling functionalities that cannot be achieved in single-phase materials. In this work, we investigate the structural and functional properties of 250-nm-thick (BiFeO3)0.65Λ/(BaTiO3)0.35Λ (BFO0.65Λ/BTO0.35Λ) superlattices with a modulation period Λ ranging from 24 to 195 Å, grown by pulsed laser deposition on (001) SrTiO3 substrates buffered with a conductive SrRuO3 electrode. Comprehensive structural analyses combining high-resolution X-ray diffraction, atomic force microscopy, and scanning transmission electron microscopy (STEM) reveal phase-pure films with good epitaxial quality and a defined nanoscale chemical modulation of the layers. The analysis of the average lattice parameters shows that the BTO layers are subjected to compressive strain, resulting in an enhanced tetragonality, whereas the BFO layers experience tensile strain accompanied by a slight reduction in tetragonality relative to the bulk. However, STEM-GPA mapping reveals large interfacial strain gradients of about 105 m-1 within the first ∼30 nm near the SRO interface for Λ ≥ 95 Å, which are associated with a strong tetragonal distortion in the BTO layers and a c/a ratio greater than unity in the BFO layers, together with the coexistence of rhombohedral-like and tetragonal-like BFO domains. Ferroelectric and dielectric measurements show enhanced polarization and permittivity for short-period superlattices, while larger-period structures (Λ ≥ 95 Å) exhibit a giant internal bias field (Es ≈ -200 kV/cm) that stabilizes a robust self-polarized state. PFM measurements confirm the ferroelectric nature of the films and reveal nonvolatile piezoelectric shape memory, as well as self-piezoelectric responses driven by the strong built-in field induced by the interfacial strain gradient. The stabilization of the self-piezoelectric state, combined with the low dielectric permittivity at zero field, provides a promising route to maximizing the figure of merit of lead-free nanostructures for next-generation piezoelectric devices.</w:t>
      </w:r>
    </w:p>
    <w:p>
      <w:pPr>
        <w:spacing w:before="120" w:after="120"/>
      </w:pPr>
      <w:r>
        <w:rPr>
          <w:sz w:val="18"/>
        </w:rPr>
        <w:t>——————————————————————————————————————————————————————————————————————</w:t>
      </w:r>
    </w:p>
    <w:p>
      <w:pPr>
        <w:spacing w:before="160" w:after="40" w:line="240" w:lineRule="auto"/>
      </w:pPr>
      <w:r>
        <w:rPr>
          <w:b/>
        </w:rPr>
        <w:t xml:space="preserve">[239] </w:t>
      </w:r>
      <w:hyperlink r:id="rId689">
        <w:r>
          <w:rPr>
            <w:color w:val="1155CC"/>
            <w:u w:val="single"/>
          </w:rPr>
          <w:t>通过角度分辨 SERS 探测胶体超表面中鲁棒的混合等离子体激元-光子模式</w:t>
        </w:r>
      </w:hyperlink>
    </w:p>
    <w:p>
      <w:pPr>
        <w:spacing w:before="0" w:after="80"/>
      </w:pPr>
      <w:r>
        <w:rPr>
          <w:i/>
          <w:sz w:val="20"/>
        </w:rPr>
        <w:t>EN: Robust Hybrid Plasmon–Photon Modes in Colloidal Metasurfaces Probed by Angle-Resolved SERS</w:t>
      </w:r>
    </w:p>
    <w:p>
      <w:pPr>
        <w:spacing w:before="0" w:after="120"/>
      </w:pPr>
      <w:r>
        <w:rPr>
          <w:b/>
        </w:rPr>
        <w:t xml:space="preserve">Source: </w:t>
      </w:r>
      <w:r>
        <w:t>ACS Applied Materials &amp; Interfaces: Latest Articles (ACS Publications)</w:t>
      </w:r>
      <w:r>
        <w:t xml:space="preserve">    </w:t>
      </w:r>
      <w:r>
        <w:rPr>
          <w:b/>
        </w:rPr>
        <w:t xml:space="preserve">Pub date: </w:t>
      </w:r>
      <w:r>
        <w:t>2026-07-07 00:00:00+00:00</w:t>
      </w:r>
      <w:r>
        <w:t xml:space="preserve">    </w:t>
      </w:r>
      <w:r>
        <w:rPr>
          <w:b/>
        </w:rPr>
        <w:t xml:space="preserve">DOI: </w:t>
      </w:r>
      <w:hyperlink r:id="rId690">
        <w:r>
          <w:rPr>
            <w:color w:val="1155CC"/>
            <w:u w:val="single"/>
          </w:rPr>
          <w:t>10.1021/acsami.6c06251</w:t>
        </w:r>
      </w:hyperlink>
    </w:p>
    <w:p>
      <w:pPr>
        <w:spacing w:before="0" w:after="120"/>
      </w:pPr>
      <w:r>
        <w:rPr>
          <w:b/>
        </w:rPr>
        <w:t xml:space="preserve">Notes: </w:t>
      </w:r>
      <w:r>
        <w:t>abstract_source=pubmed</w:t>
      </w:r>
    </w:p>
    <w:p>
      <w:pPr>
        <w:spacing w:before="0" w:after="80" w:lineRule="auto" w:line="276"/>
      </w:pPr>
      <w:r>
        <w:rPr>
          <w:b/>
        </w:rPr>
        <w:t xml:space="preserve">摘要（ZH）: </w:t>
      </w:r>
      <w:r>
        <w:t>等离激元光子超表面能够实现大面积、光谱选择性场增强，以实现表面增强拉曼散射（SERS）。然而，在共焦、近正常激发下识别低损耗混合等离子体光子模式仍然难以实现。角度分辨 SERS 通过独立扫描极向和方位角入射角，可以直接了解静态超高数值孔径激发（空气中 NA ≈ 1.0）下的色散和简并性。 SERS 还需要能够容忍缺陷和周期性波动的模式。因此，我们制造了跨越粒子浓度和晶格周期的胶体超表面，以量化鲁棒性。使用模板辅助自组装，我们揭示了纳米颗粒浓度、结构顺序和混合模式的出现之间的直接相关性。在优化的周期下，SERS 最大化（SERS 强度高达 2.32 倍），我们可以通过共振失谐进行调节。当混合导模共振调谐到激光线时，斜入射下 633 和 785 nm 的角度分辨 SERS 显示出最大的增强，对于同一样品，产生的强度比非共振条件高出 36 倍。分析模型将这些模式归因于相位耦合波导耦合和集体等离子体链共振。因此，我们通过混合模式色散工程产生了稳健、可调谐胶体等离子体光子 SERS 超表面的实用设计规则。</w:t>
      </w:r>
    </w:p>
    <w:p>
      <w:pPr>
        <w:spacing w:before="0" w:after="200" w:lineRule="auto" w:line="276"/>
      </w:pPr>
      <w:r>
        <w:rPr>
          <w:b/>
        </w:rPr>
        <w:t xml:space="preserve">Abstract (EN): </w:t>
      </w:r>
      <w:r>
        <w:t>Plasmonic-photonic metasurfaces enable large-area, spectrally selective field enhancement for surface-enhanced Raman scattering (SERS). However, identifying low-loss hybrid plasmon-photon modes under confocal, near-normal excitation remains elusive. Angle-resolved SERS provides direct access to their dispersion and degeneracies under stationary, ultrahigh numerical aperture excitation (NA ≈ 1.0 in air) by independently scanning polar and azimuthal incidence angles. SERS additionally demands modes that tolerate defects and periodicity fluctuations. We therefore fabricate colloidal metasurfaces across particle concentrations and lattice periods to quantify robustness. Using template-assisted self-assembly, we reveal a direct correlation between nanoparticle concentration, structural order, and the emergence of hybrid modes. At the optimized periodicity, SERS is maximized (up to 2.32× higher SERS intensity), which we can modulate through resonance detuning. Angle-resolved SERS at 633 and 785 nm under oblique incidence shows maximal enhancement when the hybrid guided-mode resonance is tuned to the laser line, yielding up to 36× higher intensity than off-resonant conditions for the same sample. An analytical model attributes these modes to phase-coupled waveguide coupling and collective plasmonic chain resonances. Thus, we yield practical design rules for robust, tunable colloidal plasmonic-photonic SERS metasurfaces via hybrid-mode dispersion engineering.</w:t>
      </w:r>
    </w:p>
    <w:p>
      <w:pPr>
        <w:spacing w:before="120" w:after="120"/>
      </w:pPr>
      <w:r>
        <w:rPr>
          <w:sz w:val="18"/>
        </w:rPr>
        <w:t>——————————————————————————————————————————————————————————————————————</w:t>
      </w:r>
    </w:p>
    <w:p>
      <w:pPr>
        <w:spacing w:before="160" w:after="40" w:line="240" w:lineRule="auto"/>
      </w:pPr>
      <w:r>
        <w:rPr>
          <w:b/>
        </w:rPr>
        <w:t xml:space="preserve">[240] </w:t>
      </w:r>
      <w:hyperlink r:id="rId691">
        <w:r>
          <w:rPr>
            <w:color w:val="1155CC"/>
            <w:u w:val="single"/>
          </w:rPr>
          <w:t>利用代理智能和真实数据增强临床试验设计</w:t>
        </w:r>
      </w:hyperlink>
    </w:p>
    <w:p>
      <w:pPr>
        <w:spacing w:before="0" w:after="80"/>
      </w:pPr>
      <w:r>
        <w:rPr>
          <w:i/>
          <w:sz w:val="20"/>
        </w:rPr>
        <w:t>EN: Empowering clinical trial design with agentic intelligence and real-world data</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临床试验设计 (CTD) 是一个耗时的过程，需要大量的领域专业知识。电子健康记录 (EHR) 等大规模现实世界数据 (RWD) 编码对 CTD 具有巨大价值的基于实践的证据。近年来，已经开发了许多机器学习方法来从RWD中提取此类真实世界证据（RWE）以告知CTD，但它们仍然需要与领域专家以迭代的方式进行广泛沟通，以进一步完善并最终有用。在本文中，我们介绍了 EmulatRx，这是一个派生 RWE 的代理框架，用于帮助 CTD。通过不同角色的代理之间的迭代对话和分析，EmulatRx 可以自主完善试验方案，并最终生成包含见解的可靠报告，为更好的 CTD 提供信息。我们使用 MIMIC-IV 数据将 EmulatRx 应用于急性疾病（例如败血性休克、急性心力衰竭、急性肺水肿和急性肾损伤）的 CTD 流程，并使用跨纽约市五个卫生系统的 INSIGHT Network 将 EmulatRx 应用于慢性疾病（例如阿尔茨海默病和帕金森病）的 CTD 流程。结果证明了 EmulatRx 促进和加速 CTD 流程的能力。</w:t>
      </w:r>
    </w:p>
    <w:p>
      <w:pPr>
        <w:spacing w:before="0" w:after="200" w:lineRule="auto" w:line="276"/>
      </w:pPr>
      <w:r>
        <w:rPr>
          <w:b/>
        </w:rPr>
        <w:t xml:space="preserve">Abstract (EN): </w:t>
      </w:r>
      <w:r>
        <w:t>Clinical trial design (CTD) is a time-consuming process that requires substantial domain expertise. Large-scale real-world data (RWD), such as electronic health records (EHR), encodes practice-based evidence that is of tremendous value to CTD. In recent years, many machine learning methods have been developed to extract such real-world evidence (RWE) from the RWD to inform CTD, but they still need to be communicated with the domain experts extensively in an iterative manner to be further refined and ultimately useful. In this paper, we introduce EmulatRx, an agentic framework that derives RWE for helping with CTD. Through the iterative conversation and analysis across agents with different roles, EmulatRx can autonomously refine trial protocols and finally generate a robust report containing insights that inform better CTD. We applied EmulatRx on the CTD process for both acute diseases (e.g., septic shock, acute heart failure, acute pulmonary edema, and acute kidney injury) using the MIMIC-IV data and chronic diseases (e.g., Alzheimer’s disease and Parkinson’s disease) using the INSIGHT Network across five New York City health systems. The results demonstrate EmulatRx’s capabilities in facilitating and accelerating the CTD process.</w:t>
      </w:r>
    </w:p>
    <w:p>
      <w:pPr>
        <w:spacing w:before="120" w:after="120"/>
      </w:pPr>
      <w:r>
        <w:rPr>
          <w:sz w:val="18"/>
        </w:rPr>
        <w:t>——————————————————————————————————————————————————————————————————————</w:t>
      </w:r>
    </w:p>
    <w:p>
      <w:pPr>
        <w:spacing w:before="160" w:after="40" w:line="240" w:lineRule="auto"/>
      </w:pPr>
      <w:r>
        <w:rPr>
          <w:b/>
        </w:rPr>
        <w:t xml:space="preserve">[241] </w:t>
      </w:r>
      <w:hyperlink r:id="rId692">
        <w:r>
          <w:rPr>
            <w:color w:val="1155CC"/>
            <w:u w:val="single"/>
          </w:rPr>
          <w:t>生物多样性变化的稳健估计需要高分辨率时间序列</w:t>
        </w:r>
      </w:hyperlink>
    </w:p>
    <w:p>
      <w:pPr>
        <w:spacing w:before="0" w:after="80"/>
      </w:pPr>
      <w:r>
        <w:rPr>
          <w:i/>
          <w:sz w:val="20"/>
        </w:rPr>
        <w:t>EN: Robust estimates of biodiversity change require high-resolution time series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对生物多样性变化的稳健估计对于为管理和保护提供信息以及解决全球生物多样性丧失问题至关重要。然而，常见的时态数据限制可能会损害趋势准确性。在这里，我们使用 18 个欧洲国家每年 ≥ 10 年收集的 1,353 个河流无脊椎动物时间序列来测试时间分辨率如何影响生物多样性趋势。我们模拟降低的采样频率和持续时间，并将这些趋势与完整的时间序列进行比较。将频率从每年一次减少到每 2-6 年一次，导致 87-73% 的站点在趋势方向上匹配，但只有 78-39% 在幅度上匹配。将持续时间从 10 年缩短至 9-2 年，结果方向匹配率为 88-52%，震级匹配率为 86-8%。较长时间序列（≥ 20 年）观察到类似的结果。此外，对两个具有不同时间分辨率的现实世界监测数据集的比较表明，53% 的站点在方向上匹配，但只有 12% 在大小上匹配。我们的研究结果表明，生物多样性变化的幅度对时间分辨率比方向更敏感。因此，方向和幅度的准确估计需要高分辨率时间序列，而较低分辨率的数据可能只能可靠地捕获方向。这些结果凸显了生物多样性时间数据的价值和局限性，并有助于规划未来的监测。</w:t>
      </w:r>
    </w:p>
    <w:p>
      <w:pPr>
        <w:spacing w:before="0" w:after="200" w:lineRule="auto" w:line="276"/>
      </w:pPr>
      <w:r>
        <w:rPr>
          <w:b/>
        </w:rPr>
        <w:t xml:space="preserve">Abstract (EN): </w:t>
      </w:r>
      <w:r>
        <w:t>Robust estimates of biodiversity change are essential to inform management and conservation, and to address global biodiversity loss. However, common temporal data limitations may compromise trend accuracy. Here, we test how temporal resolution influences biodiversity trends using 1,353 river invertebrate time series collected annually for ≥ 10 years across 18 European countries. We simulate reduced sampling frequencies and durations and compare these trends to the complete time series. Reducing frequency from annual to every 2–6 years resulted in 87–73% of sites matching in trend directions, but only 78–39% matching in magnitude. Reducing duration from 10 to 9–2 years resulted in 88–52% direction matches and 86–8% magnitude matches. Similar results were observed for longer time series ( ≥ 20 years). Additionally, a comparison of two real-world monitoring datasets with different temporal resolutions shows that 53% of sites matched in direction, but only 12% in magnitude. Our findings indicate that biodiversity change magnitude is more sensitive to temporal resolution than direction. Consequently, accurate estimates of both direction and magnitude require high-resolution time series, whereas lower-resolution data may only reliably capture direction. These results highlight the value and limitations of temporal biodiversity data, and help plan future monitoring.</w:t>
      </w:r>
    </w:p>
    <w:p>
      <w:pPr>
        <w:spacing w:before="120" w:after="120"/>
      </w:pPr>
      <w:r>
        <w:rPr>
          <w:sz w:val="18"/>
        </w:rPr>
        <w:t>——————————————————————————————————————————————————————————————————————</w:t>
      </w:r>
    </w:p>
    <w:p>
      <w:pPr>
        <w:spacing w:before="160" w:after="40" w:line="240" w:lineRule="auto"/>
      </w:pPr>
      <w:r>
        <w:rPr>
          <w:b/>
        </w:rPr>
        <w:t xml:space="preserve">[242] </w:t>
      </w:r>
      <w:hyperlink r:id="rId693">
        <w:r>
          <w:rPr>
            <w:color w:val="1155CC"/>
            <w:u w:val="single"/>
          </w:rPr>
          <w:t>具有变构适体臂的膜锚定 DNA 纳米装置可实现并行探测和现场药物输送</w:t>
        </w:r>
      </w:hyperlink>
    </w:p>
    <w:p>
      <w:pPr>
        <w:spacing w:before="0" w:after="80"/>
      </w:pPr>
      <w:r>
        <w:rPr>
          <w:i/>
          <w:sz w:val="20"/>
        </w:rPr>
        <w:t>EN: Membrane-anchored DNA nanodevice with allosteric aptamer arms enables parallel probing and on-site drug delivery</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基于 DNA 的分子计算能够通过多个表面受体靶向细胞。然而，现有平台通常仅限于每次操作的单个受体检测，或者依赖于自由扩散的成分，这是脱靶干扰的常见来源。在这里，我们展示了一种智能 DNA 纳米器件 (DND)，它将多价识别、逻辑门控计算和空间精确药物输送集成在单个纳米结构中。 DND 包含负载阿霉素的四面体 DNA 框架 (tFNA@Dox)，通过三个变构适体臂连接到胆固醇修饰的膜锚。所有三个适体的同时结合会触发 AND 逻辑门，从而在靶细胞膜上特异性释放 tFNA@Dox。这种局部的感知和行动机制最大限度地提高了治疗特异性并最大限度地减少了全身暴露。在荷瘤小鼠中，DND@Dox在肿瘤中有效积累，在局部和全身给药下显着抑制肿瘤生长，并降低全身毒性。这项工作为逻辑控制、多标志物引导的癌症治疗诊断建立了一个多功能平台。</w:t>
      </w:r>
    </w:p>
    <w:p>
      <w:pPr>
        <w:spacing w:before="0" w:after="200" w:lineRule="auto" w:line="276"/>
      </w:pPr>
      <w:r>
        <w:rPr>
          <w:b/>
        </w:rPr>
        <w:t xml:space="preserve">Abstract (EN): </w:t>
      </w:r>
      <w:r>
        <w:t>DNA-based molecular computation enables targeting of cells via multiple surface receptors. However, existing platforms are often limited to single-receptor detection per operation or rely on freely diffusing components, a common source of off-target interference. Here we show an intelligent DNA nanodevice (DND) that integrates multivalent recognition, logic‑gated computation, and spatially precise drug delivery in a single nanostructure. The DND comprises a doxorubicin-loaded tetrahedral DNA framework (tFNA@Dox) connected via three allosteric aptamer arms to a cholesterol-modified membrane anchor. Simultaneous binding of all three aptamers triggers an AND‑logic gate, releasing tFNA@Dox specifically at the target cell membrane. This localized sense‑and‑act mechanism maximizes therapeutic specificity and minimizes systemic exposure. In tumor-bearing mice, DND@Dox effectively accumulated in tumors, significantly inhibited tumor growth under local and systemic administration, and reduced systemic toxicity. This work establishes a versatile platform for logic‑controlled, multimarker‑guided cancer theranostics.</w:t>
      </w:r>
    </w:p>
    <w:p>
      <w:pPr>
        <w:spacing w:before="120" w:after="120"/>
      </w:pPr>
      <w:r>
        <w:rPr>
          <w:sz w:val="18"/>
        </w:rPr>
        <w:t>——————————————————————————————————————————————————————————————————————</w:t>
      </w:r>
    </w:p>
    <w:p>
      <w:pPr>
        <w:spacing w:before="160" w:after="40" w:line="240" w:lineRule="auto"/>
      </w:pPr>
      <w:r>
        <w:rPr>
          <w:b/>
        </w:rPr>
        <w:t xml:space="preserve">[243] </w:t>
      </w:r>
      <w:hyperlink r:id="rId694">
        <w:r>
          <w:rPr>
            <w:color w:val="1155CC"/>
            <w:u w:val="single"/>
          </w:rPr>
          <w:t>揭示液晶乳液拉锯战中细菌的适应性</w:t>
        </w:r>
      </w:hyperlink>
    </w:p>
    <w:p>
      <w:pPr>
        <w:spacing w:before="0" w:after="80"/>
      </w:pPr>
      <w:r>
        <w:rPr>
          <w:i/>
          <w:sz w:val="20"/>
        </w:rPr>
        <w:t>EN: Shedding light on bacterial fitness in a tug-of-war with liquid crystal emulsions</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在细胞水平上快速、可靠地定量细菌动态对于病原体传感、活死细菌测定以及细菌适应性和活力监测至关重要。在这里，我们通过捕获微米级液晶乳液液滴的拓扑缺陷上的单个细胞来演示细菌适应性定量。乳液液滴由相分离的向列液晶和碳氟化合物成分组成，并表现出不对称的质量分布。液晶相导向场中的拓扑奇点定位了定制的表面活性剂，每个液滴束缚单个细菌。细菌的主动运动引起液滴捕集器的倾斜和方位角旋转，这被作用在液滴质心上的重力所抵消。通过将观察到的系留细菌随机运动的动力学与基于经典 Ornstein-Uhlenbeck 过程的球面上细菌运动的计算模型进行比较，我们量化了几天内遭受饥饿的细菌的适应性。这种病原体适应性传感概念依赖于单细菌细胞陷阱的可扩展化学设计、强大的光学读数以及对球形表面细菌动力学的理论理解，为快速病原体活性评估、微生物传感和生物动力微执行器系统提供了机会。</w:t>
      </w:r>
    </w:p>
    <w:p>
      <w:pPr>
        <w:spacing w:before="0" w:after="200" w:lineRule="auto" w:line="276"/>
      </w:pPr>
      <w:r>
        <w:rPr>
          <w:b/>
        </w:rPr>
        <w:t xml:space="preserve">Abstract (EN): </w:t>
      </w:r>
      <w:r>
        <w:t>Rapid and reliable quantification of bacterial dynamics at the cellular level is critical for pathogen sensing, live-dead bacterial assays, and monitoring of bacteria fitness and viability. Here, we demonstrate bacterial fitness quantification by capturing individual cells on topological defects of micro-scale liquid crystal emulsion droplets. The emulsion droplets are composed of phase-separated nematic liquid crystal and fluorocarbon components and exhibit an asymmetric mass distribution. A topological singularity in the director field of the liquid crystal phase localizes tailormade surfactants that tether a single bacterium per droplet. Active motion of the bacterium induces a tilt and azimuthal rotation of the droplet trap, which is counteracted by gravity acting on the droplet center of mass. By comparing the observed dynamics of a tethered bacterium’s stochastic movement to a computational model of bacterial motion on spherical surfaces that is based on the classical Ornstein-Uhlenbeck process, we quantify the fitness of bacteria subjected to starvation over several days. This pathogen fitness sensing concept, which relies on the scalable chemical design of single bacterial cell traps, a robust optical readout, and a theoretical understanding of bacterial dynamics on spherical surfaces, offers opportunities for rapid pathogen activity assessment, micro-biological sensing, and biologically powered micro-actuator systems.</w:t>
      </w:r>
    </w:p>
    <w:p>
      <w:pPr>
        <w:spacing w:before="120" w:after="120"/>
      </w:pPr>
      <w:r>
        <w:rPr>
          <w:sz w:val="18"/>
        </w:rPr>
        <w:t>——————————————————————————————————————————————————————————————————————</w:t>
      </w:r>
    </w:p>
    <w:p>
      <w:pPr>
        <w:spacing w:before="160" w:after="40" w:line="240" w:lineRule="auto"/>
      </w:pPr>
      <w:r>
        <w:rPr>
          <w:b/>
        </w:rPr>
        <w:t xml:space="preserve">[244] </w:t>
      </w:r>
      <w:hyperlink r:id="rId695">
        <w:r>
          <w:rPr>
            <w:color w:val="1155CC"/>
            <w:u w:val="single"/>
          </w:rPr>
          <w:t>人质子偶联氨基酸转运蛋白1（SLC36A1）的底物识别和转运机制</w:t>
        </w:r>
      </w:hyperlink>
    </w:p>
    <w:p>
      <w:pPr>
        <w:spacing w:before="0" w:after="80"/>
      </w:pPr>
      <w:r>
        <w:rPr>
          <w:i/>
          <w:sz w:val="20"/>
        </w:rPr>
        <w:t>EN: Substrate recognition and transport mechanism of the human proton-coupled amino-acid transporter 1 (SLC36A1)</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质子耦合氨基酸转运蛋白 SLC36A1 (hPAT1) 是一种非典型 H⁺ 驱动的载体，介导多种两性离子氨基酸类似物的肠道吸收，包括许多具有中枢神经系统 (CNS) 活性的化合物，以及 mTORC1 途径的激活和溶酶体中氨基酸的输出，从而维持细胞氨基酸稳态。在这里，我们展示了 SLC36 家族成员 hPAT1 的冷冻电镜结构，其处于 apo 状态，并与三种化学上不同的底物形成复合物，包括 α-氨基酸 D-丝氨酸、β-氨基酸尼哌酸和杂环药物 D-环丝氨酸，分辨率为 3.4-3.5 Å。尽管化学多样性不同，但所有配体均采用空间汇聚的结合模式，阐明了 PAT1 广泛底物混杂性的结构基础。此外，我们将 E270 确定为潜在的质子结合位点。总之，这些发现为质子耦合氨基酸运输的分子机制提供了结构见解。值得注意的是，PAT1 与 D-环丝氨酸结合的冷冻电镜结构说明了一种可行的口服 CNS 药物递送策略：利用极性支架实现转运蛋白介导的肠道吸收和血脑屏障渗透，而不依赖于高亲脂性。</w:t>
      </w:r>
    </w:p>
    <w:p>
      <w:pPr>
        <w:spacing w:before="0" w:after="200" w:lineRule="auto" w:line="276"/>
      </w:pPr>
      <w:r>
        <w:rPr>
          <w:b/>
        </w:rPr>
        <w:t xml:space="preserve">Abstract (EN): </w:t>
      </w:r>
      <w:r>
        <w:t>The proton-coupled amino-acid transporter SLC36A1 (hPAT1) is an atypical H⁺-driven carrier and mediates the intestinal absorption of a wide array of zwitterionic amino-acid analogs, including many compounds with central nervous-system (CNS) activity, as well as the activation of the mTORC1 pathway and the export of amino acids from lysosomes, thereby maintaining cellular amino-acid homeostasis. Here, we present the cryo-EM structures of a member of the SLC36 family, hPAT1, in its apo state and in complex with three chemically distinct substrates, including the α-amino acid D-serine, the β-amino acid nipecotic acid, and the heterocyclic drug D-cycloserine, at resolutions of 3.4–3.5 Å. Despite their chemical diversity, all ligands adopt a spatially convergent binding mode, elucidating the structural basis for PAT1’s broad substrate promiscuity. In addition, we identify E270 as a potential proton-binding site. Together, these findings provide structural insights into the molecular mechanism of proton-coupled amino acid transport. Notably, the cryo-EM structure of PAT1 bound to D-cycloserine illustrates a viable oral CNS drug delivery strategy: exploiting polar scaffolds to achieve transporter-mediated intestinal absorption and blood–brain barrier penetration without relying on high lipophilicity.</w:t>
      </w:r>
    </w:p>
    <w:p>
      <w:pPr>
        <w:spacing w:before="120" w:after="120"/>
      </w:pPr>
      <w:r>
        <w:rPr>
          <w:sz w:val="18"/>
        </w:rPr>
        <w:t>——————————————————————————————————————————————————————————————————————</w:t>
      </w:r>
    </w:p>
    <w:p>
      <w:pPr>
        <w:spacing w:before="160" w:after="40" w:line="240" w:lineRule="auto"/>
      </w:pPr>
      <w:r>
        <w:rPr>
          <w:b/>
        </w:rPr>
        <w:t xml:space="preserve">[245] </w:t>
      </w:r>
      <w:hyperlink r:id="rId696">
        <w:r>
          <w:rPr>
            <w:color w:val="1155CC"/>
            <w:u w:val="single"/>
          </w:rPr>
          <w:t>OsMYB4转录因子可协调提高水稻产量和品质</w:t>
        </w:r>
      </w:hyperlink>
    </w:p>
    <w:p>
      <w:pPr>
        <w:spacing w:before="0" w:after="80"/>
      </w:pPr>
      <w:r>
        <w:rPr>
          <w:i/>
          <w:sz w:val="20"/>
        </w:rPr>
        <w:t>EN: The OsMYB4 transcription factor enables coordinated improvement of grain yield and quality in rice</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胚乳是谷物中淀粉和蛋白质的主要储存器官，也决定谷物的产量和品质。尽管淀粉和储存蛋白生物合成中涉及的关键酶已被确定，但潜在的调节机制仍然很大程度上不清楚。在这项研究中，我们鉴定了 OsMYB4，一种 MYB 转录因子，在水稻 (Oryza sativa L.) 胚乳中特异性表达。 OsMYB4 功能丧失导致谷物垩白度增加，同时直链淀粉和蛋白质含量减少以及谷物产量下降。 OsMYB4 直接与参与淀粉和储存蛋白合成的多个基因的启动子结合以激活它们的转录。它还与多种转录因子形成蛋白质复合物，协同调节谷物产量和质量。此外，OsMYB4 直接被 RISBZ1 激活，RISBZ1 是存储储备积累的关键调节因子。此外，OsMYB4 的过度表达导致籽粒变大并提高产量。值得注意的是，自然变异分析表明，有益的单倍型 OsMYB4-Hap1 与增加粒重和优良品质呈正相关。总之，我们的结果证明了OsMYB4对谷物发育的调节作用，为同时提高水稻产量和品质提供了宝贵的遗传资源。</w:t>
      </w:r>
    </w:p>
    <w:p>
      <w:pPr>
        <w:spacing w:before="0" w:after="200" w:lineRule="auto" w:line="276"/>
      </w:pPr>
      <w:r>
        <w:rPr>
          <w:b/>
        </w:rPr>
        <w:t xml:space="preserve">Abstract (EN): </w:t>
      </w:r>
      <w:r>
        <w:t>The endosperm is the predominant storage organ for starch and storage proteins in cereal grains, which also determines both grain yield and quality. Although key enzymes involved in the biosynthesis of starch and storage proteins have been identified, the underlying regulatory mechanisms remain largely obscure. In this study, we identified OsMYB4, a MYB transcription factor, specifically expressed in rice (Oryza sativa L.) endosperm. Loss-of-function of OsMYB4 led to increased grain chalkiness, accompanied by reduced amylose and protein contents as well as decreased grain yield. OsMYB4 directly binds to the promoters of multiple genes involved in starch and storage protein synthesis to activate their transcription. It also forms protein complexes with multiple transcription factors to synergistically regulate grain yield and quality. In addition, OsMYB4 was directly activated by RISBZ1, a key regulator of storage reserve accumulation. Moreover, overexpression of OsMYB4 resulted in larger grains and enhanced yield. Notably, natural variation analysis revealed that the beneficial haplotype OsMYB4-Hap1 is positively associated with increased grain weight and superior quality. In conclusion, our results demonstrate the regulatory role of OsMYB4 for grain development, which provides valuable genetic resources for simultaneously improving grain yield and quality in rice.</w:t>
      </w:r>
    </w:p>
    <w:p>
      <w:pPr>
        <w:spacing w:before="120" w:after="120"/>
      </w:pPr>
      <w:r>
        <w:rPr>
          <w:sz w:val="18"/>
        </w:rPr>
        <w:t>——————————————————————————————————————————————————————————————————————</w:t>
      </w:r>
    </w:p>
    <w:p>
      <w:pPr>
        <w:spacing w:before="160" w:after="40" w:line="240" w:lineRule="auto"/>
      </w:pPr>
      <w:r>
        <w:rPr>
          <w:b/>
        </w:rPr>
        <w:t xml:space="preserve">[246] </w:t>
      </w:r>
      <w:hyperlink r:id="rId697">
        <w:r>
          <w:rPr>
            <w:color w:val="1155CC"/>
            <w:u w:val="single"/>
          </w:rPr>
          <w:t>通过偏向 GC 的基因转换和翻译效率选择，水稻中 GC 含量快速进化</w:t>
        </w:r>
      </w:hyperlink>
    </w:p>
    <w:p>
      <w:pPr>
        <w:spacing w:before="0" w:after="80"/>
      </w:pPr>
      <w:r>
        <w:rPr>
          <w:i/>
          <w:sz w:val="20"/>
        </w:rPr>
        <w:t>EN: Rapid GC content evolution in rice through GC-biased gene conversion and selection for translation efficiency</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GC偏向基因转换（gBGC）在重组过程中偏向GC而不是AT等位基因，它是酵母和动物中GC含量升高的原因，并且在异交物种中更有效，但其在植物中的作用尚不清楚。在此，我们报告了水稻 (Oryza sativa) 中存在 gBGC 的经验证据。虽然非编码序列的 GC 含量与重组频率密切相关，但编码区的 GC 含量是由重组和富含 GC 密码子的选择决定的，这与高翻译效率有关。令人惊讶的是，水稻及其部分异交野生祖先的 GC 含量均有所下降，并且没有证据表明完全异交会导致 GC 含量净增加。这表明突变在改变GC含量方面比gBGC更强大，这意味着水稻及其近亲中的GC含量将继续下降。</w:t>
      </w:r>
    </w:p>
    <w:p>
      <w:pPr>
        <w:spacing w:before="0" w:after="200" w:lineRule="auto" w:line="276"/>
      </w:pPr>
      <w:r>
        <w:rPr>
          <w:b/>
        </w:rPr>
        <w:t xml:space="preserve">Abstract (EN): </w:t>
      </w:r>
      <w:r>
        <w:t>GC-biased gene conversion (gBGC), which favors GC over AT alleles during recombination, is responsible for the elevation of GC content in yeast and animals and is more effective in outcrossing species, yet its role in plants is less well understood. Here, we report empirical evidence for the presence of gBGC in rice (Oryza sativa). While the GC content of noncoding sequences is well correlated with the recombination frequency, the GC content of coding regions is shaped by both recombination and selection for GC-rich codons, which is linked to high translation efficiency. Surprisingly, GC content has declined in both rice and its partially outcrossing wild progenitor, and there is no evidence that full outcrossing results in a net increase of GC content. This suggests that the mutations are more robust than gBGC in altering GC content, implying that GC content will continue to decline in rice and its close relatives.</w:t>
      </w:r>
    </w:p>
    <w:p>
      <w:pPr>
        <w:spacing w:before="120" w:after="120"/>
      </w:pPr>
      <w:r>
        <w:rPr>
          <w:sz w:val="18"/>
        </w:rPr>
        <w:t>——————————————————————————————————————————————————————————————————————</w:t>
      </w:r>
    </w:p>
    <w:p>
      <w:pPr>
        <w:spacing w:before="160" w:after="40" w:line="240" w:lineRule="auto"/>
      </w:pPr>
      <w:r>
        <w:rPr>
          <w:b/>
        </w:rPr>
        <w:t xml:space="preserve">[247] </w:t>
      </w:r>
      <w:hyperlink r:id="rId698">
        <w:r>
          <w:rPr>
            <w:color w:val="1155CC"/>
            <w:u w:val="single"/>
          </w:rPr>
          <w:t>用于同时进行机械、结构和化学分析的全振动光谱</w:t>
        </w:r>
      </w:hyperlink>
    </w:p>
    <w:p>
      <w:pPr>
        <w:spacing w:before="0" w:after="80"/>
      </w:pPr>
      <w:r>
        <w:rPr>
          <w:i/>
          <w:sz w:val="20"/>
        </w:rPr>
        <w:t>EN: Full vibrational spectroscopy for simultaneous mechanical, structural and chemical analysis</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在不同时间和空间尺度上发生的分子振动非弹性散射的光携带有关被照明样品的内在物理信息。通过分析不同频率范围内的完整振动谱，可以同时检索机械、结构和化学特性，但激光频率附近的强弹性散射通常会压倒低频区域。在这里，我们提出了一种使用双折射诱导相位延迟滤波器测量从 0.1 到 &gt; 3,500 cm−1 的完整振动光谱的方法，该滤波器具有高消光比和超窄带宽，可实现有效的弹性抑制。我们的多模态、无标记方法能够从同一照明体素同时采集布里渊、超低频拉曼 (ULFR) 和拉曼光谱。我们演示了从活性药物成分中获取布里渊、ULFR 和拉曼光谱的方法，揭示了无定形吲哚美辛及其与聚乙烯吡咯烷酮赋形剂的混合物中以前难以获得的区别。我们通过获取布洛芬片剂的图谱进一步扩展了我们的全振动成像方法。我们的研究结果证明了多模式平台在研究机械和结构异质性的同时分析化学含量的高灵敏度和特异性。结果为生物医学研究和材料科学开辟了有希望的途径，可以在衍射极限的空间分辨率下同时光学检索关键物理特性。</w:t>
      </w:r>
    </w:p>
    <w:p>
      <w:pPr>
        <w:spacing w:before="0" w:after="200" w:lineRule="auto" w:line="276"/>
      </w:pPr>
      <w:r>
        <w:rPr>
          <w:b/>
        </w:rPr>
        <w:t xml:space="preserve">Abstract (EN): </w:t>
      </w:r>
      <w:r>
        <w:t>The light scattered inelastically from molecular vibrations occurring at different temporal and spatial scales carries intrinsic physical information about the illuminated sample. Mechanical, structural and chemical properties can be simultaneously retrieved by analyzing the full vibrational spectrum in different frequency ranges, yet strong elastic scattering near the laser frequency typically overwhelms the low-frequency region. Here, we present a method for measuring the full vibrational spectrum from 0.1 to &gt; 3,500 cm−1 using a Birefringence-Induced Phase Delay filter with high extinction ratio and ultranarrow bandwidth for efficient elastic suppression. Our multimodal, label-free approach enables the simultaneous acquisition of Brillouin, ultra-low-frequency Raman (ULFR), and Raman spectra from the same illumination voxel. We demonstrate the method acquiring Brillouin, ULFR, and Raman spectra from active pharmaceutical ingredients, revealing previously inaccessible distinctions in the amorphous forms of indomethacin and its mixtures with polyvinylpyrrolidone excipients. We further extended our approach to full vibrational imaging by acquiring maps of an ibuprofen tablet. Our findings demonstrate the high sensitivity and specificity of the multimodal platform to analyze chemical content while investigating mechanical and structural heterogeneities. Results open promising avenues in biomedical research and material science where key physical properties can be optically retrieved simultaneously at diffraction-limited spatial resolution.</w:t>
      </w:r>
    </w:p>
    <w:p>
      <w:pPr>
        <w:spacing w:before="120" w:after="120"/>
      </w:pPr>
      <w:r>
        <w:rPr>
          <w:sz w:val="18"/>
        </w:rPr>
        <w:t>——————————————————————————————————————————————————————————————————————</w:t>
      </w:r>
    </w:p>
    <w:p>
      <w:pPr>
        <w:spacing w:before="160" w:after="40" w:line="240" w:lineRule="auto"/>
      </w:pPr>
      <w:r>
        <w:rPr>
          <w:b/>
        </w:rPr>
        <w:t xml:space="preserve">[248] </w:t>
      </w:r>
      <w:hyperlink r:id="rId699">
        <w:r>
          <w:rPr>
            <w:color w:val="1155CC"/>
            <w:u w:val="single"/>
          </w:rPr>
          <w:t>参量泵浦引起的磁自发振荡</w:t>
        </w:r>
      </w:hyperlink>
    </w:p>
    <w:p>
      <w:pPr>
        <w:spacing w:before="0" w:after="80"/>
      </w:pPr>
      <w:r>
        <w:rPr>
          <w:i/>
          <w:sz w:val="20"/>
        </w:rPr>
        <w:t>EN: Magnonic spontaneous oscillation induced by parametric pumping</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自发动力系统因其丰富的基础物理（例如锁相和同步）而引起了极大的关注。在这项工作中，我们报告了一种通过参数泵浦产生磁自发振荡的新机制。通过应用泵浦音来激发钇铁石榴石延迟线中传播的自旋波，四波混频将泵浦模式转换为两相自主传播磁振子模式，即波数接近泵浦模式两倍的自发模式和波数接近零的惰轮模式。这使我们能够通过泵和磁场可靠地生成具有宽频率可调性的超锐自旋波动力学。我们证明自发模式可以锁相到探测音，类似于自动振荡器。此外，自发动态可用于实现增益高达 40 dB 的高增益波角参量放大器。我们的研究结果为研究传播磁振子几何中的非线性磁振子学和同步物理以及开发新的磁振子器件开辟了一条新途径。</w:t>
      </w:r>
    </w:p>
    <w:p>
      <w:pPr>
        <w:spacing w:before="0" w:after="200" w:lineRule="auto" w:line="276"/>
      </w:pPr>
      <w:r>
        <w:rPr>
          <w:b/>
        </w:rPr>
        <w:t xml:space="preserve">Abstract (EN): </w:t>
      </w:r>
      <w:r>
        <w:t>Spontaneous dynamic systems have attracted significant attention for their rich underlying physics such as phase-locking and synchronization. In this work, we report a new mechanism of generating magnetic spontaneous oscillation via parametric pumping. By applying a pump tone to excite propagating spin waves in a yttrium iron garnet delay line, four-wave mixing converts the pump mode into two phase-autonomous propagating magnon modes, i.e. a spontaneous mode with nearly twice the wavenumber of the pump mode and an idler mode with nearly zero wavenumber. This allows us to reliably generate ultrasharp spin wave dynamics with broad frequency tunability from the pump and magnetic field. We show that the spontaneous mode can be phase-locked to a probe tone, similar to an auto-oscillator. Furthermore, the spontaneous dynamics can be used to implement a high-gain magnonic parametric amplifier with a gain up to 40 dB. Our results open a new avenue for studying nonlinear magnonics and synchronization physics in propagating magnon geometry and for developing new magnonic devices.</w:t>
      </w:r>
    </w:p>
    <w:p>
      <w:pPr>
        <w:spacing w:before="120" w:after="120"/>
      </w:pPr>
      <w:r>
        <w:rPr>
          <w:sz w:val="18"/>
        </w:rPr>
        <w:t>——————————————————————————————————————————————————————————————————————</w:t>
      </w:r>
    </w:p>
    <w:p>
      <w:pPr>
        <w:spacing w:before="160" w:after="40" w:line="240" w:lineRule="auto"/>
      </w:pPr>
      <w:r>
        <w:rPr>
          <w:b/>
        </w:rPr>
        <w:t xml:space="preserve">[249] </w:t>
      </w:r>
      <w:hyperlink r:id="rId700">
        <w:r>
          <w:rPr>
            <w:color w:val="1155CC"/>
            <w:u w:val="single"/>
          </w:rPr>
          <w:t>用于即时 SNP 基因分型的热力学编程一锅 CRISPR 平台</w:t>
        </w:r>
      </w:hyperlink>
    </w:p>
    <w:p>
      <w:pPr>
        <w:spacing w:before="0" w:after="80"/>
      </w:pPr>
      <w:r>
        <w:rPr>
          <w:i/>
          <w:sz w:val="20"/>
        </w:rPr>
        <w:t>EN: Thermodynamically programmed one-pot CRISPR platform for point-of-care SNP genotyping</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一锅 CRISPR 诊断面临着根本性的不兼容性：等温核酸扩增能够实现靶点的快速积累，而 CRISPR 激活会不可逆地消耗这些底物，从而破坏反应动力学的稳定性。在这里，我们展示了可以通过热力学设计将反应顺序编程到 DNA 引物中。引物结合强度的差异产生了两个连续的扩增阶段，延迟了 CRISPR 激活，直到在没有物理分离或外部控制的情况下积累了足够的扩增子。该设计还通过引物引入了原型间隔子相邻基序 (PAM)，这是 CRISPR 识别所需的短序列，而不是依赖其在天然靶标中的存在，从而扩大了靶标可及性，同时保留了单核苷酸区分度。常微分方程模型捕获阈值行为并建立引物设计的可预测框架。基于这一原理，我们开发了用于一锅诊断的热力学编码分子编程 (TEMPO)，可在 30 分钟内实现阿托摩尔级灵敏度，并以单步微流体格式实现测序一致的 SNP 基因分型和病原体检测。</w:t>
      </w:r>
    </w:p>
    <w:p>
      <w:pPr>
        <w:spacing w:before="0" w:after="200" w:lineRule="auto" w:line="276"/>
      </w:pPr>
      <w:r>
        <w:rPr>
          <w:b/>
        </w:rPr>
        <w:t xml:space="preserve">Abstract (EN): </w:t>
      </w:r>
      <w:r>
        <w:t>One-pot CRISPR diagnostics face a fundamental incompatibility: isothermal nucleic acid amplification enables rapid target accumulation, whereas CRISPR activation irreversibly consumes those substrates, destabilizing reaction kinetics. Here we show that reaction order can be programmed into DNA primers through thermodynamic design. Differences in primer-binding strength create two sequential amplification stages, delaying CRISPR activation until enough amplicons have accumulated without physical separation or external control. The design also introduces the protospacer adjacent motif (PAM), a short sequence required for CRISPR recognition, through the primer rather than relying on its presence in the native target, expanding target accessibility while retaining single-nucleotide discrimination. An ordinary differential equation model captures the threshold behavior and establishes a predictable framework for primer design. Building on this principle, we develop Thermodynamically Encoded Molecular Programming for One-pot diagnostics (TEMPO), which achieves attomolar sensitivity within 30 min and enables sequencing-concordant SNP genotyping and pathogen detection in a single-step microfluidic format.</w:t>
      </w:r>
    </w:p>
    <w:p>
      <w:pPr>
        <w:spacing w:before="120" w:after="120"/>
      </w:pPr>
      <w:r>
        <w:rPr>
          <w:sz w:val="18"/>
        </w:rPr>
        <w:t>——————————————————————————————————————————————————————————————————————</w:t>
      </w:r>
    </w:p>
    <w:p>
      <w:pPr>
        <w:spacing w:before="160" w:after="40" w:line="240" w:lineRule="auto"/>
      </w:pPr>
      <w:r>
        <w:rPr>
          <w:b/>
        </w:rPr>
        <w:t xml:space="preserve">[250] </w:t>
      </w:r>
      <w:hyperlink r:id="rId701">
        <w:r>
          <w:rPr>
            <w:color w:val="1155CC"/>
            <w:u w:val="single"/>
          </w:rPr>
          <w:t>从盐水中产生氯消毒剂的摩擦电自由基生成途径</w:t>
        </w:r>
      </w:hyperlink>
    </w:p>
    <w:p>
      <w:pPr>
        <w:spacing w:before="0" w:after="80"/>
      </w:pPr>
      <w:r>
        <w:rPr>
          <w:i/>
          <w:sz w:val="20"/>
        </w:rPr>
        <w:t>EN: A triboelectric radical generation route to chlorine disinfectants from brine</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接触起电 (CE) 是最早有记载的物理现象之一，传统上与​​摩擦起电有关，但很少被认为是化学转变的驱动因素。在这里，我们展示了 CE 在固液界面产生自由基，建立了接触电化学（CE-化学）作为一种使用环境机械能的无金属催化剂途径。超声波驱动接触分离盐水中的氟化乙烯丙烯 (FEP) 颗粒会产生羟基自由基 (·OH) 和氯自由基 (·Cl)，形成活性氯 [次氯酸 (HOCl) 和次氯酸根离子 (ClO−)]，且不会产生可检测到的氯气 (Cl2)。使用天然海水，该策略实现了 208.8 μmol g−1 h−1 的活性氯产量，并且运行超过 700 小时，没有检测到 FEP 溶解或有毒中间体。阳离子水合工程可调节界面双电层，增强摩擦电场并调节反应动力学。这项工作能够在没有外部偏压或照明的情况下从盐水中生产无 Cl2 消毒剂，为多相催化和 CE 驱动的反应设计开辟了途径。</w:t>
      </w:r>
    </w:p>
    <w:p>
      <w:pPr>
        <w:spacing w:before="0" w:after="200" w:lineRule="auto" w:line="276"/>
      </w:pPr>
      <w:r>
        <w:rPr>
          <w:b/>
        </w:rPr>
        <w:t xml:space="preserve">Abstract (EN): </w:t>
      </w:r>
      <w:r>
        <w:t>Contact electrification (CE), one of the earliest documented physical phenomena, has traditionally been associated with triboelectric charging but rarely considered as a driver of chemical transformations. Here we show that CE generates radicals at solid-liquid interfaces, establishing contact-electro-chemistry (CE-Chemistry) as a metal-catalyst-free route that uses ambient mechanical energy. Ultrasonically driven contact-separation of fluorinated ethylene propylene (FEP) particulates in brine generates hydroxyl radicals (•OH) and chlorine radicals (•Cl), forming active chlorine [hypochlorous acid (HOCl) and hypochlorite ions (ClO−)], without detectable chlorine gas (Cl2) production. Using natural seawater, this strategy achieves active chlorine production of 208.8 μmol g−1 h−1 and operates for over 700 h without detectable FEP dissolution or toxic intermediates. Cation hydration engineering modulates interfacial electrical double layers, strengthening triboelectric fields and tuning reaction kinetics. This work enables Cl2-free disinfectant production from brine without external bias or illumination, opening avenues for heterogeneous catalysis and CE-driven reaction design.</w:t>
      </w:r>
    </w:p>
    <w:p>
      <w:pPr>
        <w:spacing w:before="120" w:after="120"/>
      </w:pPr>
      <w:r>
        <w:rPr>
          <w:sz w:val="18"/>
        </w:rPr>
        <w:t>——————————————————————————————————————————————————————————————————————</w:t>
      </w:r>
    </w:p>
    <w:p>
      <w:pPr>
        <w:spacing w:before="160" w:after="40" w:line="240" w:lineRule="auto"/>
      </w:pPr>
      <w:r>
        <w:rPr>
          <w:b/>
        </w:rPr>
        <w:t xml:space="preserve">[251] </w:t>
      </w:r>
      <w:hyperlink r:id="rId702">
        <w:r>
          <w:rPr>
            <w:color w:val="1155CC"/>
            <w:u w:val="single"/>
          </w:rPr>
          <w:t>二维像素级可寻址中红外超表面空间光调制器</w:t>
        </w:r>
      </w:hyperlink>
    </w:p>
    <w:p>
      <w:pPr>
        <w:spacing w:before="0" w:after="80"/>
      </w:pPr>
      <w:r>
        <w:rPr>
          <w:i/>
          <w:sz w:val="20"/>
        </w:rPr>
        <w:t>EN: Two-dimensional pixel-level addressable mid-infrared metasurface spatial light modulator</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有源超表面能够对光束控制、像素化全息术和自适应光学等应用中的光进行动态控制，但二维电可寻址阵列的演示迄今为止还很有限。在这里，我们介绍了一种基于相变材料集成超表面的可扩展二维架构，并将其应用于实现第一个透射式中红外纯振幅空间光调制器。该器件通过标准硅光子代工工艺与后端生产线集成相结合来制造，并采用多层后端金属互连来实现交叉寻址方案。每个像素都与硅二极管选择器集成，以抑制潜行电流，这是扩展到大型阵列的重要功能。结果建立了一条与铸造厂兼容的路线，以实现具有独立可调像素的高密度、大面积有源超表面。</w:t>
      </w:r>
    </w:p>
    <w:p>
      <w:pPr>
        <w:spacing w:before="0" w:after="200" w:lineRule="auto" w:line="276"/>
      </w:pPr>
      <w:r>
        <w:rPr>
          <w:b/>
        </w:rPr>
        <w:t xml:space="preserve">Abstract (EN): </w:t>
      </w:r>
      <w:r>
        <w:t>Active metasurfaces enable dynamic control of light for applications in beam steering, pixelated holography, and adaptive optics, but demonstrations of two-dimensional electrically addressable arrays have so far been limited. Here we introduce a scalable two-dimensional architecture based on phase-change materials integrated metasurfaces and apply it to realize the first transmissive mid-infrared amplitude-only spatial light modulator. The device is fabricated through standard silicon photonic foundry processing combined with backend-of-line integration and employs multilayer backend metal interconnects to implement a crossbar addressing scheme. Each pixel is integrated with a silicon diode selector to suppress sneak-path currents, a feature essential for scaling to large arrays. The result establishes a foundry-compatible route to high-density, large-area active metasurfaces with independently tunable pixels.</w:t>
      </w:r>
    </w:p>
    <w:p>
      <w:pPr>
        <w:spacing w:before="120" w:after="120"/>
      </w:pPr>
      <w:r>
        <w:rPr>
          <w:sz w:val="18"/>
        </w:rPr>
        <w:t>——————————————————————————————————————————————————————————————————————</w:t>
      </w:r>
    </w:p>
    <w:p>
      <w:pPr>
        <w:spacing w:before="160" w:after="40" w:line="240" w:lineRule="auto"/>
      </w:pPr>
      <w:r>
        <w:rPr>
          <w:b/>
        </w:rPr>
        <w:t xml:space="preserve">[252] </w:t>
      </w:r>
      <w:hyperlink r:id="rId703">
        <w:r>
          <w:rPr>
            <w:color w:val="1155CC"/>
            <w:u w:val="single"/>
          </w:rPr>
          <w:t>介观吸电子五次甲基花青实现大反斯托克斯蓝光发射三重态-三重态湮灭上转换</w:t>
        </w:r>
      </w:hyperlink>
    </w:p>
    <w:p>
      <w:pPr>
        <w:spacing w:before="0" w:after="80"/>
      </w:pPr>
      <w:r>
        <w:rPr>
          <w:i/>
          <w:sz w:val="20"/>
        </w:rPr>
        <w:t>EN: Meso-electron-withdrawing pentamethine cyanines achieve large anti-Stokes blue-emitting triplet-triplet annihilation upconversion</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由于大反斯托克斯位移和高上转换量子产率之间固有的权衡，开发在远红激发下运行并产生高效蓝色发射的无金属三重态-三重态湮没上转换系统具有挑战性。在这里，我们表明，在五次甲基花青支架的中间位置引入吸电子基团可以缩小单重态-三重态能隙，抑制光异构化并促进系间窜越。这些内消旋吸电子五次甲基花青比其未取代的内消旋对应物具有更高的三线态能级。特别地，内消旋半花青衍生的敏化剂表现出特征性的低温磷光。当与苝配合使用时，它将激发波长延伸至 721 nm，并在 470 nm 处产生蓝色发射，产生 9.6% 的上转换量子产率（上限 50%）。这项研究表明，通过中位吸电子取代对五次甲基花青进行分子工程，可以有效减小单重态-三重态能隙，从而能够设计有机三重态-三重态湮没上转换材料，并提高其在光子学和生物光子学中的应用。</w:t>
      </w:r>
    </w:p>
    <w:p>
      <w:pPr>
        <w:spacing w:before="0" w:after="200" w:lineRule="auto" w:line="276"/>
      </w:pPr>
      <w:r>
        <w:rPr>
          <w:b/>
        </w:rPr>
        <w:t xml:space="preserve">Abstract (EN): </w:t>
      </w:r>
      <w:r>
        <w:t>Developing metal-free triplet-triplet annihilation upconversion systems that operate under far-red excitation and produce efficient blue emission is challenging due to an inherent trade-off between a large anti-Stokes shift and a high upconversion quantum yield. Here we show that introducing electron-withdrawing groups at the meso-position of a pentamethine cyanine scaffold narrows the singlet-triplet energy gap, suppresses photoisomerization, and promotes the intersystem crossing. These meso-electron-withdrawing pentamethine cyanines possess higher triplet state energy levels than their meso-unsubstituted counterparts. In particular, the meso-hemicyanine-derived sensitizer exhibits characteristic low-temperature phosphorescence. When paired with perylene, it extends the excitation wavelength to 721 nm and yields blue emission at 470 nm, yielding an upconversion quantum yield of 9.6% (upper limit 50%). This study demonstrates that molecular engineering of pentamethine cyanines via meso-position electron-withdrawing substitution effectively reduces the singlet-triplet energy gap, enabling the design of organic triplet-triplet annihilation upconversion materials and advancing their utility in photonics and biophotonics.</w:t>
      </w:r>
    </w:p>
    <w:p>
      <w:pPr>
        <w:spacing w:before="120" w:after="120"/>
      </w:pPr>
      <w:r>
        <w:rPr>
          <w:sz w:val="18"/>
        </w:rPr>
        <w:t>——————————————————————————————————————————————————————————————————————</w:t>
      </w:r>
    </w:p>
    <w:p>
      <w:pPr>
        <w:spacing w:before="160" w:after="40" w:line="240" w:lineRule="auto"/>
      </w:pPr>
      <w:r>
        <w:rPr>
          <w:b/>
        </w:rPr>
        <w:t xml:space="preserve">[253] </w:t>
      </w:r>
      <w:hyperlink r:id="rId704">
        <w:r>
          <w:rPr>
            <w:color w:val="1155CC"/>
            <w:u w:val="single"/>
          </w:rPr>
          <w:t>散射异常点的时空动力学</w:t>
        </w:r>
      </w:hyperlink>
    </w:p>
    <w:p>
      <w:pPr>
        <w:spacing w:before="0" w:after="80"/>
      </w:pPr>
      <w:r>
        <w:rPr>
          <w:i/>
          <w:sz w:val="20"/>
        </w:rPr>
        <w:t>EN: Spatiotemporal dynamics of scattering exceptional points</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特异点（EP）提供了控制非厄米系统中波与物质相互作用的新途径。传统的 EP 出现在哈密顿量中并标记本征态合并，而散射 EP 在自由空间波控制的输入输出响应中重新塑造它们。然而，EP 丰富的拓扑结构很大程度上隐藏在稳态可观测值中，表现出由相同乔丹块形式控制的类似不对称模式。在这里，我们利用散射作为空间和时间的演化过程来解决时空动力学问题。我们建立了从动量频率到时空的跨域映射，将静态 EP 与动态散射奇点连接起来。通过将酉散射矩阵投影到低维子空间上，EP 拓扑被作为时空涡旋 (STV) 印记到波包中，其相位奇点被锚定到 EP 并携带其量化的拓扑电荷。在液体表面波平台中，我们观察到由单个设备中不同的 EP 生成的电荷 1 STV 和分解的电荷 2 STV。我们的工作将固定的特殊拓扑与动态波拓扑联系起来，建立了时空波控制的框架。</w:t>
      </w:r>
    </w:p>
    <w:p>
      <w:pPr>
        <w:spacing w:before="0" w:after="200" w:lineRule="auto" w:line="276"/>
      </w:pPr>
      <w:r>
        <w:rPr>
          <w:b/>
        </w:rPr>
        <w:t xml:space="preserve">Abstract (EN): </w:t>
      </w:r>
      <w:r>
        <w:t>Exceptional points (EPs) offer new routes to control wave-matter interactions in non-Hermitian systems. Whereas conventional EPs arise in Hamiltonians and mark eigenstate coalescence, scattering EPs recast them in input-output responses for free-space wave control. Yet the rich topology of EPs is largely concealed in steady-state observables, exhibiting similar asymmetric patterns governed by identical Jordan-block forms. Here we exploit scattering as an evolving process in space and time to resolve spatiotemporal dynamics. We establish a cross-domain mapping from momentum-frequency to space-time, connecting static EPs to dynamic scattering singularities. By projecting a unitary scattering matrix onto lower-dimensional subspaces, EP topology is imprinted into a wave packet as a spatiotemporal vortex (STV), whose phase singularity is anchored to the EP and carries its quantized topological charge. In a liquid-surface-wave platform, we observe a charge-1 STV and a disintegrated charge-2 STV, generated by distinct EPs in a single device. Our work links fixed exceptional topology to dynamic wave topology, establishing a framework for spatiotemporal wave control.</w:t>
      </w:r>
    </w:p>
    <w:p>
      <w:pPr>
        <w:spacing w:before="120" w:after="120"/>
      </w:pPr>
      <w:r>
        <w:rPr>
          <w:sz w:val="18"/>
        </w:rPr>
        <w:t>——————————————————————————————————————————————————————————————————————</w:t>
      </w:r>
    </w:p>
    <w:p>
      <w:pPr>
        <w:spacing w:before="160" w:after="40" w:line="240" w:lineRule="auto"/>
      </w:pPr>
      <w:r>
        <w:rPr>
          <w:b/>
        </w:rPr>
        <w:t xml:space="preserve">[254] </w:t>
      </w:r>
      <w:hyperlink r:id="rId705">
        <w:r>
          <w:rPr>
            <w:color w:val="1155CC"/>
            <w:u w:val="single"/>
          </w:rPr>
          <w:t>非线性拓扑输运中的边界体相互作用</w:t>
        </w:r>
      </w:hyperlink>
    </w:p>
    <w:p>
      <w:pPr>
        <w:spacing w:before="0" w:after="80"/>
      </w:pPr>
      <w:r>
        <w:rPr>
          <w:i/>
          <w:sz w:val="20"/>
        </w:rPr>
        <w:t>EN: Boundary-Bulk Interplay in Nonlinear Topological Transport</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非线性输运为拓扑材料中电子波函数的量子几何提供了有力的探索。虽然体量子几何和能带拓扑的非线性响应已被很好地理解，但边界模式的作用仍然很大程度上未被探索。在这项工作中，我们展示了分子束外延生长的磁性拓扑绝缘体异质结构中非线性输运中的边界体相互作用，包括二次谐波霍尔和不可逆纵向响应。我们发现，当样本稍微远离量子化的量子反常霍尔和轴子绝缘体态时，非线性输运会最大化。非线性响应的符号和幅度取决于电极配置、磁序和载流子类型。在对称分析和非线性 Landauer-Büttiker 形式主义的支持下，我们的研究结果表明非线性输运受边界态和体态之间的相互作用控制。我们的工作强调了电极在非线性传输中的关键作用，并将边界模式确立为近体绝缘拓扑材料中巨大非线性响应的关键起源。</w:t>
      </w:r>
    </w:p>
    <w:p>
      <w:pPr>
        <w:spacing w:before="0" w:after="200" w:lineRule="auto" w:line="276"/>
      </w:pPr>
      <w:r>
        <w:rPr>
          <w:b/>
        </w:rPr>
        <w:t xml:space="preserve">Abstract (EN): </w:t>
      </w:r>
      <w:r>
        <w:t>Nonlinear transport provides a powerful probe of the quantum geometry of electronic wavefunctions in topological materials. While nonlinear responses from bulk quantum geometry and band topology are well understood, the role of boundary modes remains largely unexplored. In this work, we demonstrate boundary-bulk interplay in nonlinear transport, including second-harmonic Hall and nonreciprocal longitudinal responses, in molecular beam epitaxy-grown magnetic topological insulator heterostructures. We find that the nonlinear transport is maximized when the sample is tuned slightly away from well-quantized quantum anomalous Hall and axion insulator states. The sign and amplitude of the nonlinear responses depend on electrode configuration, magnetic order, and carrier type. Supported by symmetry analysis and nonlinear Landauer-Büttiker formalism, our findings demonstrate that nonlinear transport is governed by the interplay between boundary and bulk states. Our work highlights the critical role of electrodes in nonlinear transport and establishes boundary modes as a key origin of the giant nonlinear response in nearly bulk-insulating topological materials.</w:t>
      </w:r>
    </w:p>
    <w:p>
      <w:pPr>
        <w:spacing w:before="120" w:after="120"/>
      </w:pPr>
      <w:r>
        <w:rPr>
          <w:sz w:val="18"/>
        </w:rPr>
        <w:t>——————————————————————————————————————————————————————————————————————</w:t>
      </w:r>
    </w:p>
    <w:p>
      <w:pPr>
        <w:spacing w:before="160" w:after="40" w:line="240" w:lineRule="auto"/>
      </w:pPr>
      <w:r>
        <w:rPr>
          <w:b/>
        </w:rPr>
        <w:t xml:space="preserve">[255] </w:t>
      </w:r>
      <w:hyperlink r:id="rId706">
        <w:r>
          <w:rPr>
            <w:color w:val="1155CC"/>
            <w:u w:val="single"/>
          </w:rPr>
          <w:t>通过光响应纳米手将酶机械锁定在共价有机框架中，以实现稳定的生物催化</w:t>
        </w:r>
      </w:hyperlink>
    </w:p>
    <w:p>
      <w:pPr>
        <w:spacing w:before="0" w:after="80"/>
      </w:pPr>
      <w:r>
        <w:rPr>
          <w:i/>
          <w:sz w:val="20"/>
        </w:rPr>
        <w:t>EN: Mechanically locking enzymes in covalent organic frameworks via light-responsive nanohands for stable biocatalysis</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酶固定化对于可持续生物催化至关重要，但静态多孔载体上最广泛的物理吸附方案存在酶泄漏和催化寿命短的问题。我们引入了一种采用四氟偶氮苯工程共价有机框架（COF）的动态孔机械锁定策略，其中可见光介导的异构化能够实现精确且可逆的孔径变化，从而实现自适应酶限制。这种方法显着增强了多种酶的固定稳定性，将辣根过氧化物酶、细胞色素 c 和漆酶的保留分别提高了 6.7、9.7 和 1.8 倍。机械锁定的甲酸脱氢酶在五个循环后保留了 99.2% 的活性，超过了大多数现有系统。在连续流微反应器中，生产率持续超过 22000 分钟，半衰期比静态孔反应器延长了 47 倍。实验和计算分析表明，光响应锁定过程中协同孔压缩和纳米手嵌入会诱导酶构象重组并限制残基迁移率。该平台通过协调适应性孔工程与机械强化的生物相容性相互作用，实现超稳定的酶固定化，释放绿色生物制造的广泛潜力。</w:t>
      </w:r>
    </w:p>
    <w:p>
      <w:pPr>
        <w:spacing w:before="0" w:after="200" w:lineRule="auto" w:line="276"/>
      </w:pPr>
      <w:r>
        <w:rPr>
          <w:b/>
        </w:rPr>
        <w:t xml:space="preserve">Abstract (EN): </w:t>
      </w:r>
      <w:r>
        <w:t>Enzyme immobilization is pivotal to sustainable biocatalysis, yet the most widespread protocol of physical adsorption on static porous supports suffers from enzyme leakage and short catalytic lifespan. We introduce a dynamic-pore mechano-locking strategy employing tetrafluoroazobenzene-engineered covalent organic frameworks (COFs), where visible-light-mediated isomerization enables precise and reversible pore-size variation for adaptive enzyme confinement. This approach significantly enhances immobilization stability across diverse enzymes, improving the retention of horseradish peroxidase, cytochrome c, and laccase by 6.7-, 9.7-, and 1.8-fold, respectively. Mechanically locked formate dehydrogenase retained 99.2% activity after five cycles, surpassing most prior systems. In continuous-flow microreactors, productivity sustained over 22000 min, extending half-life 47-fold versus static-pore counterparts. Experimental and computational analyses reveal that synergistic pore compression and nanohands embedding during photoresponsive locking induce enzyme conformational restructuring and restricted residue mobility. This platform enables ultra-stable enzyme immobilization by orchestrating adaptive pore engineering with mechanically reinforced biocompatible interactions, unlocking broad potential for green biomanufacturing.</w:t>
      </w:r>
    </w:p>
    <w:p>
      <w:pPr>
        <w:spacing w:before="120" w:after="120"/>
      </w:pPr>
      <w:r>
        <w:rPr>
          <w:sz w:val="18"/>
        </w:rPr>
        <w:t>——————————————————————————————————————————————————————————————————————</w:t>
      </w:r>
    </w:p>
    <w:p>
      <w:pPr>
        <w:spacing w:before="160" w:after="40" w:line="240" w:lineRule="auto"/>
      </w:pPr>
      <w:r>
        <w:rPr>
          <w:b/>
        </w:rPr>
        <w:t xml:space="preserve">[256] </w:t>
      </w:r>
      <w:hyperlink r:id="rId707">
        <w:r>
          <w:rPr>
            <w:color w:val="1155CC"/>
            <w:u w:val="single"/>
          </w:rPr>
          <w:t>作者更正：通过无铅压电消除雾化治疗中的铅暴露</w:t>
        </w:r>
      </w:hyperlink>
    </w:p>
    <w:p>
      <w:pPr>
        <w:spacing w:before="0" w:after="80"/>
      </w:pPr>
      <w:r>
        <w:rPr>
          <w:i/>
          <w:sz w:val="20"/>
        </w:rPr>
        <w:t>EN: Author Correction: Eliminating lead-exposure in nebulization therapy by lead-free piezoelectric</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[257] </w:t>
      </w:r>
      <w:hyperlink r:id="rId708">
        <w:r>
          <w:rPr>
            <w:color w:val="1155CC"/>
            <w:u w:val="single"/>
          </w:rPr>
          <w:t>红色电致发光 Cu4I4 双锥体，外量子效率超过 40%</w:t>
        </w:r>
      </w:hyperlink>
    </w:p>
    <w:p>
      <w:pPr>
        <w:spacing w:before="0" w:after="80"/>
      </w:pPr>
      <w:r>
        <w:rPr>
          <w:i/>
          <w:sz w:val="20"/>
        </w:rPr>
        <w:t>EN: Red electroluminescent Cu4I4 bipyramids with external quantum efficiency beyond 40%</w:t>
      </w:r>
    </w:p>
    <w:p>
      <w:pPr>
        <w:spacing w:before="0" w:after="120"/>
      </w:pPr>
      <w:r>
        <w:rPr>
          <w:b/>
        </w:rPr>
        <w:t xml:space="preserve">Source: </w:t>
      </w:r>
      <w:r>
        <w:t>Physical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红色簇发光器件（CLED）的发展在效率方面远远落后于蓝色和绿色同系物，因为红色簇分子的多个激发态参与电致发光过程中的非辐射。在这里，我们准确地优化了红色双锥体[PXZDPPQ]2Cu4I4的激发态，其配体集成了共轭延伸的2-二苯基膦基喹啉（DPPQ）和强给电子吩恶嗪（PXZ），产生了外部配体内电荷转移（nLCT）特征的第一单线态（S1）和三线态（T1）激发态和内部的所需激发态位置。高位金属配体电荷转移（nMLCT）态。其外部和高辐射nLCT态在载流子捕获和激子限制方面在空间和能量上具有优势；同时，其内部和高位nMLCT态免受碰撞猝灭，并支持nLCT态之间的交叉跃迁，以实现比例为51/49的精确平衡的双发射。 [PXZDPPQ]2Cu4I4的光致发光量子产率提高了8倍，达到93.6%，外量子效率提高了10倍，达到43.7%，创下了各类平面红光发光器件的新纪录，激子利用效率比反向激发态位置的同类产品提高了20%。这些结果证明了团簇材料在激子工程中的独特优点及其在下一代全彩显示器中的潜力。</w:t>
      </w:r>
    </w:p>
    <w:p>
      <w:pPr>
        <w:spacing w:before="0" w:after="200" w:lineRule="auto" w:line="276"/>
      </w:pPr>
      <w:r>
        <w:rPr>
          <w:b/>
        </w:rPr>
        <w:t xml:space="preserve">Abstract (EN): </w:t>
      </w:r>
      <w:r>
        <w:t>The development of red cluster light-emitting devices (CLED) lags far behind blue and green congeners with respect to efficiencies, since multiple excited states of red cluster molecules are involved in non-radiation during electroluminescence. Herein, we accurately optimize excited states of a red bipyramidal [PXZDPPQ]2Cu4I4, whose ligand integrates conjugation-extended 2-diphenylphosphineylquinoline (DPPQ) and strong electron-donating phenoxazine (PXZ), giving rise to desired excited state locations of the outer intraligand charge transfer (nLCT)-featured first singlet (S1) and triplet (T1) excited states and the inner high-lying metal-ligand charge transfer (nMLCT) states. Its outer and highly radiative nLCT states are spatially and energetically advantageous in carrier capture and exciton confinement; meanwhile, its inner and high-lying nMLCT states are protected from collisional quenching, and support cross transitions between nLCT states to realize exactly balanced dual emissions with a ratio of 51/49. [PXZDPPQ]2Cu4I4 achieves eightfold increased photoluminescence quantum yield of 93.6%, tenfold increased external quantum efficiency reaching 43.7% as a new record for all kinds of planar red light-emitting devices, and 20% improved exciton utilization efficiency in comparison to the congener with the reverse excited state location. These results demonstrate the unique merit of cluster materials in exciton engineering and their potential for next-generation full-color displays.</w:t>
      </w:r>
    </w:p>
    <w:p>
      <w:pPr>
        <w:spacing w:before="120" w:after="120"/>
      </w:pPr>
      <w:r>
        <w:rPr>
          <w:sz w:val="18"/>
        </w:rPr>
        <w:t>——————————————————————————————————————————————————————————————————————</w:t>
      </w:r>
    </w:p>
    <w:p>
      <w:pPr>
        <w:spacing w:before="160" w:after="40" w:line="240" w:lineRule="auto"/>
      </w:pPr>
      <w:r>
        <w:rPr>
          <w:b/>
        </w:rPr>
        <w:t xml:space="preserve">[258] </w:t>
      </w:r>
      <w:hyperlink r:id="rId709">
        <w:r>
          <w:rPr>
            <w:color w:val="1155CC"/>
            <w:u w:val="single"/>
          </w:rPr>
          <w:t>通过组织病理学基础模型的扩展预训练识别乳腺癌的预后 RNA 剪接原型</w:t>
        </w:r>
      </w:hyperlink>
    </w:p>
    <w:p>
      <w:pPr>
        <w:spacing w:before="0" w:after="80"/>
      </w:pPr>
      <w:r>
        <w:rPr>
          <w:i/>
          <w:sz w:val="20"/>
        </w:rPr>
        <w:t>EN: Prognostic RNA-splicing archetypes in breast cancer identified by extended pre-training of histopathology foundation models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最近，组织病理学基础模型（hFM）在规模和复杂性方面迅速发展，在癌症诊断和生物标志物发现方面取得了优异的性能。在这里，我们专门针对侵袭性肿瘤组织进行预训练 hFM，并提出了三个关键贡献。首先，我们系统地评估跨多个生物尺度的 hFM 表示中编码的生物概念。其次，我们证明，知情的扩展预训练将通才模型转变为编码更丰富语义信息的肿瘤专用模型，从而能够发现患者之间具有一致形态和分子身份的复发肿瘤原型。第三，我们确定了在肿瘤内共存并在异质上皮癌（包括 HER2 阳性和三阴性乳腺癌）中反复出现的异常基因表达程序的显性肿瘤原型。至关重要的是，这些原型表现出预后价值，与 RNA 剪接相关的原型始终预测较差的结果。我们的工作表明，肿瘤专用 hFM 可从常规 H&amp;E 切片中解锁丰富的分子和形态学信息，为生物发现和患者分层提供计算高效且生物学信息丰富的解决方案。</w:t>
      </w:r>
    </w:p>
    <w:p>
      <w:pPr>
        <w:spacing w:before="0" w:after="200" w:lineRule="auto" w:line="276"/>
      </w:pPr>
      <w:r>
        <w:rPr>
          <w:b/>
        </w:rPr>
        <w:t xml:space="preserve">Abstract (EN): </w:t>
      </w:r>
      <w:r>
        <w:t>Recently, histopathology foundation models (hFM) have rapidly advanced in size and complexity, achieving excellent performance in cancer diagnosis and biomarker discovery. Here, we specialise pre-trained hFMs to invasive tumour tissue and present three key contributions. First, we systematically evaluate the biological concepts encoded in hFM representations across multiple biological scales. Second, we demonstrate that informed extended pre-training transforms generalist models into tumour-specialised ones encoding richer semantic information, enabling discovery of recurrent tumour archetypes with consistent morphological and molecular identities across patients. Third, we identify dominant tumour archetypes with aberrant gene-expression programs coexisting within tumours and recurring across heterogeneous epithelial cancers, including HER2-positive and triple-negative breast cancer. Crucially, these archetypes exhibit prognostic value, with RNA splicing-associated archetypes consistently predicting poorer outcomes. Our work shows that tumour-specialised hFMs unlock rich molecular and morphological information from routine H&amp;E slides, providing computationally efficient and biologically informed solutions for biological discovery and patient stratification.</w:t>
      </w:r>
    </w:p>
    <w:p>
      <w:pPr>
        <w:spacing w:before="120" w:after="120"/>
      </w:pPr>
      <w:r>
        <w:rPr>
          <w:sz w:val="18"/>
        </w:rPr>
        <w:t>——————————————————————————————————————————————————————————————————————</w:t>
      </w:r>
    </w:p>
    <w:p>
      <w:pPr>
        <w:spacing w:before="160" w:after="40" w:line="240" w:lineRule="auto"/>
      </w:pPr>
      <w:r>
        <w:rPr>
          <w:b/>
        </w:rPr>
        <w:t xml:space="preserve">[259] </w:t>
      </w:r>
      <w:hyperlink r:id="rId710">
        <w:r>
          <w:rPr>
            <w:color w:val="1155CC"/>
            <w:u w:val="single"/>
          </w:rPr>
          <w:t>用低强度超声破坏微管可挽救小鼠模型中紫杉醇造成的毛囊损伤</w:t>
        </w:r>
      </w:hyperlink>
    </w:p>
    <w:p>
      <w:pPr>
        <w:spacing w:before="0" w:after="80"/>
      </w:pPr>
      <w:r>
        <w:rPr>
          <w:i/>
          <w:sz w:val="20"/>
        </w:rPr>
        <w:t>EN: Disruption of microtubules with low intensity ultrasound rescues hair follicle damage by paclitaxel in mouse models</w:t>
      </w:r>
    </w:p>
    <w:p>
      <w:pPr>
        <w:spacing w:before="0" w:after="120"/>
      </w:pPr>
      <w:r>
        <w:rPr>
          <w:b/>
        </w:rPr>
        <w:t xml:space="preserve">Source: </w:t>
      </w:r>
      <w:r>
        <w:t>Biological sciences : Nature Communications subject feeds</w:t>
      </w:r>
      <w:r>
        <w:t xml:space="preserve">    </w:t>
      </w:r>
      <w:r>
        <w:rPr>
          <w:b/>
        </w:rPr>
        <w:t xml:space="preserve">Pub date: </w:t>
      </w:r>
      <w:r>
        <w:t>2026-07-07 00:00:00+00:00</w:t>
      </w:r>
    </w:p>
    <w:p>
      <w:pPr>
        <w:spacing w:before="0" w:after="120"/>
      </w:pPr>
      <w:r>
        <w:rPr>
          <w:b/>
        </w:rPr>
        <w:t xml:space="preserve">Notes: </w:t>
      </w:r>
      <w:r>
        <w:t>abstract_source=nature_html</w:t>
      </w:r>
    </w:p>
    <w:p>
      <w:pPr>
        <w:spacing w:before="0" w:after="80" w:lineRule="auto" w:line="276"/>
      </w:pPr>
      <w:r>
        <w:rPr>
          <w:b/>
        </w:rPr>
        <w:t xml:space="preserve">摘要（ZH）: </w:t>
      </w:r>
      <w:r>
        <w:t>紫杉醇是关键紫杉烷类药物之一，是一组通用且有效的药物，常用于几种主要癌症类型的化疗。这些药物通过稳定细胞微管发挥作用，这是一种独特的机制，可以解释它们在肿瘤学方面取得的令人印象深刻的成功。脱发（脱发）是一种众所周知的不良副作用，给许多患者带来了严重的生活质量问题。我们发现，在规定的时间短暂暴露于低强度和低频超声波能够暂时破坏细胞微管和有丝分裂纺锤体，从而消除紫杉醇给药后随之而来的毛囊损伤和毛发生长抑制。这些实验结果预示着一种实用的方法可以在使用紫杉烷类药物的癌症化疗中预防脱发。</w:t>
      </w:r>
    </w:p>
    <w:p>
      <w:pPr>
        <w:spacing w:before="0" w:after="200" w:lineRule="auto" w:line="276"/>
      </w:pPr>
      <w:r>
        <w:rPr>
          <w:b/>
        </w:rPr>
        <w:t xml:space="preserve">Abstract (EN): </w:t>
      </w:r>
      <w:r>
        <w:t>Paclitaxel exemplifies one of the key taxanes, a group of versatile and effective drugs commonly used in chemotherapy for several major cancer types. These drugs work by stabilizing cellular microtubules, a unique mechanism to account for their impressive success in oncology. Hair loss (alopecia) is a well-known adverse side effect and poses a significant quality of life issue for many patients. We discovered that a brief exposure to low intensity and low frequency ultrasound at a defined timing was able to break cellular microtubules and mitotic spindles transiently, and thus annulled the consequent hair follicle damage and suppression of hair growth following paclitaxel administrations. These experimental findings herald a practical method that is within reach to prevent hair loss in cancer chemotherapy using taxanes.</w:t>
      </w:r>
    </w:p>
    <w:p>
      <w:pPr>
        <w:spacing w:before="120" w:after="120"/>
      </w:pPr>
      <w:r>
        <w:rPr>
          <w:sz w:val="18"/>
        </w:rPr>
        <w:t>——————————————————————————————————————————————————————————————————————</w:t>
      </w:r>
    </w:p>
    <w:p>
      <w:pPr>
        <w:spacing w:before="160" w:after="40" w:line="240" w:lineRule="auto"/>
      </w:pPr>
      <w:r>
        <w:rPr>
          <w:b/>
        </w:rPr>
        <w:t xml:space="preserve">[260] </w:t>
      </w:r>
      <w:hyperlink r:id="rId711">
        <w:r>
          <w:rPr>
            <w:color w:val="1155CC"/>
            <w:u w:val="single"/>
          </w:rPr>
          <w:t>HIV-1衣壳与核孔复合体成分的相互作用支持通过亲和力梯度进入核</w:t>
        </w:r>
      </w:hyperlink>
    </w:p>
    <w:p>
      <w:pPr>
        <w:spacing w:before="0" w:after="80"/>
      </w:pPr>
      <w:r>
        <w:rPr>
          <w:i/>
          <w:sz w:val="20"/>
        </w:rPr>
        <w:t>EN: HIV-1 capsid interactions with Nuclear Pore Complex components support nuclear entry via affinity gradient</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12">
        <w:r>
          <w:rPr>
            <w:color w:val="1155CC"/>
            <w:u w:val="single"/>
          </w:rPr>
          <w:t>10.1073/pnas.2534919123</w:t>
        </w:r>
      </w:hyperlink>
    </w:p>
    <w:p>
      <w:pPr>
        <w:spacing w:before="0" w:after="120"/>
      </w:pPr>
      <w:r>
        <w:rPr>
          <w:b/>
        </w:rPr>
        <w:t xml:space="preserve">Notes: </w:t>
      </w:r>
      <w:r>
        <w:t>abstract_source=crossref</w:t>
      </w:r>
    </w:p>
    <w:p>
      <w:pPr>
        <w:spacing w:before="0" w:after="80" w:lineRule="auto" w:line="276"/>
      </w:pPr>
      <w:r>
        <w:rPr>
          <w:b/>
        </w:rPr>
        <w:t xml:space="preserve">摘要（ZH）: </w:t>
      </w:r>
      <w:r>
        <w:t>在进入细胞核之前，HIV 衣壳核心 [由衣壳 (CA) 蛋白组成] 必须通过核孔复合体 (NPC) 易位。该过程依赖于 NPC 内核孔蛋白 (NUP) 中 CA 和苯丙氨酸-甘氨酸 (FG) 重复序列之间的直接相互作用。 FG重复序列通常分为三种典型基序：FG、GLFG和FxFG，它们沿NPC轴有差异分布：FG和FxFG基序主要位于细胞质外周和核篮中，而GLFG基序主要位于NPC的中央通道中。我们证明衣壳以明显不同的亲和力结合不同的 FG 重复序列。值得注意的是，位于中央通道的 NUP98 的 GLFG 与传统的 FG/FxFG 相比，对 CA 的亲和力显着增加。 NUP153 位于核篮，包含与 PSGV 序列相邻的非典型 FxFG，从而形成额外的有利相互作用。我们将这种非传统的 FxFG 图案指定为“FG 超级图案”。此外，NUP153 的 C 末端还包含一组碱性残基，可作为 NUP153 FG 超基序的增强子，将 CA 亲和力显着提高约 1,000 倍。 FG 基序的其他结合增强子也在 NUP58 和 POM121 中被发现，它们分别位于中央通道及其核边界。 NUP58、POM121 和 NUP153 增强子对 CA 的亲和力随着靠近核篮而增加。因此，我们建议不同的 FG 重复序列及其结合增强子创建亲和力梯度，从而增强 HI</w:t>
      </w:r>
    </w:p>
    <w:p>
      <w:pPr>
        <w:spacing w:before="0" w:after="200" w:lineRule="auto" w:line="276"/>
      </w:pPr>
      <w:r>
        <w:rPr>
          <w:b/>
        </w:rPr>
        <w:t xml:space="preserve">Abstract (EN): </w:t>
      </w:r>
      <w:r>
        <w:t>Before entering the nucleus, the HIV capsid core [composed of capsid (CA) proteins] must translocate through the Nuclear Pore Complex (NPC). This process relies on direct interactions between CA and the phenylalanine-glycine (FG) repeats in nucleoporins (NUPs) within the NPC. FG repeats are generally classified into three canonical motifs: FG, GLFG, and FxFG, which are differentially distributed along the NPC axis: FG and FxFG motifs are predominantly at the cytoplasmic periphery and in the nuclear basket, whereas GLFG motifs are primarily in the central channel of the NPC. We demonstrate that the capsid engages the diverse FG repeats with markedly different affinities. Notably, GLFGs of NUP98 located in the central channel display significantly increased affinity to CA than conventional FGs/FxFGs. NUP153, which is located at the nuclear basket, contains an atypical FxFG that is adjacent to a PSGV sequence, thus forming additional favorable interactions. We designate this nonconventional FxFG motif as an “FG super-motif.” In addition, the C-terminus of NUP153 also contains a cluster of basic residues that serve as an enhancer of the NUP153 FG super-motif, dramatically increasing CA affinity by ~1,000-fold. Other binding enhancers for FG motifs were also identified in NUP58 and POM121 that are in the central channel and its nuclear boundary, respectively. Affinities of NUP58, POM121, and NUP153 enhancers to CA increase with proximity to the nuclear basket. Thus, we propose that the diverse FG repeats and their binding enhancers create an affinity gradient that potentiates HIV capsid translocation through the NPC.</w:t>
      </w:r>
    </w:p>
    <w:p>
      <w:pPr>
        <w:spacing w:before="120" w:after="120"/>
      </w:pPr>
      <w:r>
        <w:rPr>
          <w:sz w:val="18"/>
        </w:rPr>
        <w:t>——————————————————————————————————————————————————————————————————————</w:t>
      </w:r>
    </w:p>
    <w:p>
      <w:pPr>
        <w:spacing w:before="160" w:after="40" w:line="240" w:lineRule="auto"/>
      </w:pPr>
      <w:r>
        <w:rPr>
          <w:b/>
        </w:rPr>
        <w:t xml:space="preserve">[261] </w:t>
      </w:r>
      <w:hyperlink r:id="rId713">
        <w:r>
          <w:rPr>
            <w:color w:val="1155CC"/>
            <w:u w:val="single"/>
          </w:rPr>
          <w:t>内罗病毒核蛋白核酸内切酶活性的结构见解</w:t>
        </w:r>
      </w:hyperlink>
    </w:p>
    <w:p>
      <w:pPr>
        <w:spacing w:before="0" w:after="80"/>
      </w:pPr>
      <w:r>
        <w:rPr>
          <w:i/>
          <w:sz w:val="20"/>
        </w:rPr>
        <w:t>EN: Structural insights into the nairovirus nucleoprotein endonuclease activity</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14">
        <w:r>
          <w:rPr>
            <w:color w:val="1155CC"/>
            <w:u w:val="single"/>
          </w:rPr>
          <w:t>10.1073/pnas.2602311123</w:t>
        </w:r>
      </w:hyperlink>
    </w:p>
    <w:p>
      <w:pPr>
        <w:spacing w:before="0" w:after="120"/>
      </w:pPr>
      <w:r>
        <w:rPr>
          <w:b/>
        </w:rPr>
        <w:t xml:space="preserve">Notes: </w:t>
      </w:r>
      <w:r>
        <w:t>abstract_source=crossref</w:t>
      </w:r>
    </w:p>
    <w:p>
      <w:pPr>
        <w:spacing w:before="0" w:after="80" w:lineRule="auto" w:line="276"/>
      </w:pPr>
      <w:r>
        <w:rPr>
          <w:b/>
        </w:rPr>
        <w:t xml:space="preserve">摘要（ZH）: </w:t>
      </w:r>
      <w:r>
        <w:t>内罗病毒是新出现的蜱传病原体，目前尚无有效的抗病毒疗法。尽管核蛋白（NP）对于病毒基因组封装至关重要，并且在结构水平上已被广泛表征，但它们在病毒复制过程中是否发挥额外功能仍不清楚。在这里，我们研究了代表性的内罗病毒塔城蜱病毒1（TcTV1）的NP。我们发现 TcTV1 NP 以序列无关的方式与核酸结合，并在核酸结合后组装成基于四聚体的核糖核蛋白复合物。该组装过程伴随着明显的构象重排，促进纳米粒子聚合。除了在 RNA 封装中的作用外，TcTV1 NP 还表现出不需要金属离子的内在核酸内切酶活性，并优先切割非结构化单链 RNA，而结构化 RNA 底物在很大程度上抵抗切割。功能分析表明，NP 的茎结构域在协调 RNA 结合、寡聚化和进入核酸酶活性位点方面发挥着核心作用，从而影响 RNA 分子是否受到保护或降解。最后，我们鉴定了一种小分子化合物，它通过靶向内罗病毒 NP 的保守功能区域来干扰 RNA 结合和核酸酶活性。总之，这些结果揭示了内罗病毒 NP 的扩展功能库，并表明 NP 介导的 RNA 区分可能有助于病毒复制。我们的研究结果也支持目标的可行性</w:t>
      </w:r>
    </w:p>
    <w:p>
      <w:pPr>
        <w:spacing w:before="0" w:after="200" w:lineRule="auto" w:line="276"/>
      </w:pPr>
      <w:r>
        <w:rPr>
          <w:b/>
        </w:rPr>
        <w:t xml:space="preserve">Abstract (EN): </w:t>
      </w:r>
      <w:r>
        <w:t>Nairoviruses are emerging tick-borne pathogens for which effective antiviral therapies are currently unavailable. Although nucleoproteins (NPs) are essential for viral genome encapsulation and have been extensively characterized at the structural level, whether they perform additional functions during viral replication remains unclear. Here, we investigated the NP of the representative nairovirus Tacheng tick virus 1 (TcTV1). We found that the TcTV1 NP binds to nucleic acids in a sequence-independent manner and assembles into tetramer-based ribonucleoprotein complexes upon nucleic acid binding. This assembly process is accompanied by a pronounced conformational rearrangement that facilitates NP polymerization. In addition to its role in RNA encapsulation, TcTV1 NP exhibits intrinsic endonuclease activity that does not require metal ions and preferentially cleaves unstructured single-stranded RNA, while structured RNA substrates are largely resistant to cleavage. Functional analysis indicates that the stalk domain of NP plays a central role in coordinating RNA binding, oligomerization, and access to the nuclease-active site, thereby influencing whether an RNA molecule is protected or degraded. Finally, we identified a small-molecule compound that interferes with both RNA binding and nuclease activity by targeting a conserved functional region of nairovirus NP. Together, these results reveal an expanded functional repertoire of nairovirus NPs and suggest that NP-mediated RNA discrimination may contribute to viral replication. Our findings also support the feasibility of targeting NP for the development of antiviral drugs against emerging nairoviruses.</w:t>
      </w:r>
    </w:p>
    <w:p>
      <w:pPr>
        <w:spacing w:before="120" w:after="120"/>
      </w:pPr>
      <w:r>
        <w:rPr>
          <w:sz w:val="18"/>
        </w:rPr>
        <w:t>——————————————————————————————————————————————————————————————————————</w:t>
      </w:r>
    </w:p>
    <w:p>
      <w:pPr>
        <w:spacing w:before="160" w:after="40" w:line="240" w:lineRule="auto"/>
      </w:pPr>
      <w:r>
        <w:rPr>
          <w:b/>
        </w:rPr>
        <w:t xml:space="preserve">[262] </w:t>
      </w:r>
      <w:hyperlink r:id="rId715">
        <w:r>
          <w:rPr>
            <w:color w:val="1155CC"/>
            <w:u w:val="single"/>
          </w:rPr>
          <w:t>驱动原子约瑟夫森结中 3D 涡流的受控生成</w:t>
        </w:r>
      </w:hyperlink>
    </w:p>
    <w:p>
      <w:pPr>
        <w:spacing w:before="0" w:after="80"/>
      </w:pPr>
      <w:r>
        <w:rPr>
          <w:i/>
          <w:sz w:val="20"/>
        </w:rPr>
        <w:t>EN: Controlled generation of 3D vortices in driven atomic Josephson junctions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16">
        <w:r>
          <w:rPr>
            <w:color w:val="1155CC"/>
            <w:u w:val="single"/>
          </w:rPr>
          <w:t>10.1073/pnas.2535111123</w:t>
        </w:r>
      </w:hyperlink>
    </w:p>
    <w:p>
      <w:pPr>
        <w:spacing w:before="0" w:after="120"/>
      </w:pPr>
      <w:r>
        <w:rPr>
          <w:b/>
        </w:rPr>
        <w:t xml:space="preserve">Notes: </w:t>
      </w:r>
      <w:r>
        <w:t>abstract_source=crossref</w:t>
      </w:r>
    </w:p>
    <w:p>
      <w:pPr>
        <w:spacing w:before="0" w:after="80" w:lineRule="auto" w:line="276"/>
      </w:pPr>
      <w:r>
        <w:rPr>
          <w:b/>
        </w:rPr>
        <w:t xml:space="preserve">摘要（ZH）: </w:t>
      </w:r>
      <w:r>
        <w:t>我们提出一种交流驱动的原子约瑟夫森结作为量子流体中三维（3D）孤立波的清洁且可调谐的源。根据结势垒的高度，发射的激发表现为低速涡环或接近声速的无涡度稀疏脉冲，从而跨越完整的琼斯-罗伯茨孤子族。夏皮罗阶现象使发射具有确定性：在第一、第二、第三夏皮罗阶上，结在每个驱动周期喷射一个、两个和三个孤立激发。这使得能够控制生成单激发和多激发配置，从而可以详细研究涡环和稀疏脉冲之间的完全交叉及其相互作用动力学。通过夏皮罗锁相，多重激励连续发射并相互作用，揭示了两个和三个同轴环的跳跃运动及其通过边界辅助、声音介导的过程的衰减。这种交流驱动协议建立了一个紧凑且可重复的平台，用于生成、分类和控制 3D 孤子激发，为捕获超流体中的非线性涡动力学、耗散和量子湍流的精确研究铺平了道路。</w:t>
      </w:r>
    </w:p>
    <w:p>
      <w:pPr>
        <w:spacing w:before="0" w:after="200" w:lineRule="auto" w:line="276"/>
      </w:pPr>
      <w:r>
        <w:rPr>
          <w:b/>
        </w:rPr>
        <w:t xml:space="preserve">Abstract (EN): </w:t>
      </w:r>
      <w:r>
        <w:t>We propose an ac-driven atomic Josephson junction as a clean and tunable source of three-dimensional (3D) solitary waves in quantum fluids. Depending on the height of the junction barrier, the emitted excitations appear as vortex rings at low velocity or vorticity-free rarefaction pulses near the sound velocity, thus spanning the complete Jones-Roberts family of solitons. The Shapiro-step phenomenon renders the emission deterministic: on the first, second, third Shapiro steps, the junction ejects one, two, and three solitary excitations per drive cycle. This enables controlled generation of single- and multiexcitation configurations, allowing detailed studies of the full crossover between vortex rings and rarefaction pulses and their interaction dynamics. By Shapiro phase locking, multiexcitations are emitted in succession and interact, revealing leapfrogging motion of two and three coaxial rings and their decay via boundary-assisted, sound-mediated processes. This ac-driven protocol establishes a compact and reproducible platform for generating, classifying, and controlling 3D solitonic excitations, paving the way for precision studies of nonlinear vortex dynamics, dissipation, and quantum turbulence in trapped superfluids.</w:t>
      </w:r>
    </w:p>
    <w:p>
      <w:pPr>
        <w:spacing w:before="120" w:after="120"/>
      </w:pPr>
      <w:r>
        <w:rPr>
          <w:sz w:val="18"/>
        </w:rPr>
        <w:t>——————————————————————————————————————————————————————————————————————</w:t>
      </w:r>
    </w:p>
    <w:p>
      <w:pPr>
        <w:spacing w:before="160" w:after="40" w:line="240" w:lineRule="auto"/>
      </w:pPr>
      <w:r>
        <w:rPr>
          <w:b/>
        </w:rPr>
        <w:t xml:space="preserve">[263] </w:t>
      </w:r>
      <w:hyperlink r:id="rId717">
        <w:r>
          <w:rPr>
            <w:color w:val="1155CC"/>
            <w:u w:val="single"/>
          </w:rPr>
          <w:t>Costunolide 通过靶向 USP15 抑制 TNF-α 诱导的视网膜内皮炎症来改善自身免疫性葡萄膜炎</w:t>
        </w:r>
      </w:hyperlink>
    </w:p>
    <w:p>
      <w:pPr>
        <w:spacing w:before="0" w:after="80"/>
      </w:pPr>
      <w:r>
        <w:rPr>
          <w:i/>
          <w:sz w:val="20"/>
        </w:rPr>
        <w:t>EN: Costunolide ameliorates autoimmune uveitis by targeting USP15 to suppress TNF-α-induced retinal endothelial inflammation</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18">
        <w:r>
          <w:rPr>
            <w:color w:val="1155CC"/>
            <w:u w:val="single"/>
          </w:rPr>
          <w:t>10.1073/pnas.2533845123</w:t>
        </w:r>
      </w:hyperlink>
    </w:p>
    <w:p>
      <w:pPr>
        <w:spacing w:before="0" w:after="120"/>
      </w:pPr>
      <w:r>
        <w:rPr>
          <w:b/>
        </w:rPr>
        <w:t xml:space="preserve">Notes: </w:t>
      </w:r>
      <w:r>
        <w:t>abstract_source=crossref</w:t>
      </w:r>
    </w:p>
    <w:p>
      <w:pPr>
        <w:spacing w:before="0" w:after="80" w:lineRule="auto" w:line="276"/>
      </w:pPr>
      <w:r>
        <w:rPr>
          <w:b/>
        </w:rPr>
        <w:t xml:space="preserve">摘要（ZH）: </w:t>
      </w:r>
      <w:r>
        <w:t>自身免疫性葡萄膜炎是一种威胁视力的炎症性疾病，大多数实体是由白细胞浸润到视网膜驱动的。该过程中关键的早期步骤是视网膜血管内皮细胞 (EC) 的激活，其上调介导 T 细胞粘附和随后外渗的粘附分子。在这里，我们确定小萜化合物木香烯内酯（COS）是实验性自身免疫性葡萄膜炎（EAU）中视网膜内皮炎症和疾病进展的有效抑制剂。用 TNF-α 刺激的原代人视网膜内皮细胞的定量蛋白质组学定义了促炎内皮特征，并揭示了粘附分子的诱导。对 337 种萜类化合物的重点库的筛选发现 COS 是显着减弱 TNF-α 诱导的内皮激活的热门药物。在体内，COS治疗显着降低了临床和组织病理学EAU评分，同时减少了内皮粘附分子表达和减少了T细胞浸润。从机制上讲，COS 直接靶向去泛素酶 USP15，抑制视网膜 EC 中 TRAF1 和 TNF 信号转导的 USP15 依赖性去泛素化。这些发现确立了 COS 作为自身免疫性葡萄膜炎的候选治疗剂，并揭示了视网膜内皮细胞中的 TNF-α-USP15-TRAF1 轴，可在药理学上利用该轴来限制致病性白细胞运输。</w:t>
      </w:r>
    </w:p>
    <w:p>
      <w:pPr>
        <w:spacing w:before="0" w:after="200" w:lineRule="auto" w:line="276"/>
      </w:pPr>
      <w:r>
        <w:rPr>
          <w:b/>
        </w:rPr>
        <w:t xml:space="preserve">Abstract (EN): </w:t>
      </w:r>
      <w:r>
        <w:t>Autoimmune uveitis is a sight-threatening inflammatory disease, with the majority of entities driven by leukocyte infiltration into the retina. A critical early step in this process is the activation of retinal vascular endothelial cells (ECs), which up-regulate adhesion molecules that mediate T cell adhesion and subsequent extravasation. Here, we identify the small terpenoid compound costunolide (COS) as a potent suppressor of retinal endothelial inflammation and disease progression in experimental autoimmune uveitis (EAU). Quantitative proteomics of primary human retinal endothelial cells stimulated with TNF-α defined a proinflammatory endothelial signature and revealed induction of adhesion molecules. Screening of a focused library of 337 terpenoids uncovered COS as a top hit that markedly attenuated TNF-α-induced endothelial activation. In vivo, COS treatment significantly reduced clinical and histopathologic EAU scores, accompanied with reduced endothelial adhesion molecule expression and decreased T cell infiltration. Mechanistically, COS directly targeted deubiquitinase USP15, inhibiting USP15-dependent deubiquitination of TRAF1 and TNF signaling in retinal ECs. These findings establish COS as a candidate therapeutic agent for autoimmune uveitis and reveal a TNF-α–USP15–TRAF1 axis in retinal endothelium that can be pharmacologically exploited to limit pathogenic leukocyte trafficking.</w:t>
      </w:r>
    </w:p>
    <w:p>
      <w:pPr>
        <w:spacing w:before="120" w:after="120"/>
      </w:pPr>
      <w:r>
        <w:rPr>
          <w:sz w:val="18"/>
        </w:rPr>
        <w:t>——————————————————————————————————————————————————————————————————————</w:t>
      </w:r>
    </w:p>
    <w:p>
      <w:pPr>
        <w:spacing w:before="160" w:after="40" w:line="240" w:lineRule="auto"/>
      </w:pPr>
      <w:r>
        <w:rPr>
          <w:b/>
        </w:rPr>
        <w:t xml:space="preserve">[264] </w:t>
      </w:r>
      <w:hyperlink r:id="rId719">
        <w:r>
          <w:rPr>
            <w:color w:val="1155CC"/>
            <w:u w:val="single"/>
          </w:rPr>
          <w:t>可配位的 PNT 结构域将 ERG 确立为前列腺癌的直接靶向致癌驱动因素</w:t>
        </w:r>
      </w:hyperlink>
    </w:p>
    <w:p>
      <w:pPr>
        <w:spacing w:before="0" w:after="80"/>
      </w:pPr>
      <w:r>
        <w:rPr>
          <w:i/>
          <w:sz w:val="20"/>
        </w:rPr>
        <w:t>EN: A ligandable PNT domain establishes ERG as a directly targetable oncogenic driver in prostate cancer</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20">
        <w:r>
          <w:rPr>
            <w:color w:val="1155CC"/>
            <w:u w:val="single"/>
          </w:rPr>
          <w:t>10.1073/pnas.2537437123</w:t>
        </w:r>
      </w:hyperlink>
    </w:p>
    <w:p>
      <w:pPr>
        <w:spacing w:before="0" w:after="120"/>
      </w:pPr>
      <w:r>
        <w:rPr>
          <w:b/>
        </w:rPr>
        <w:t xml:space="preserve">Notes: </w:t>
      </w:r>
      <w:r>
        <w:t>abstract_source=crossref</w:t>
      </w:r>
    </w:p>
    <w:p>
      <w:pPr>
        <w:spacing w:before="0" w:after="80" w:lineRule="auto" w:line="276"/>
      </w:pPr>
      <w:r>
        <w:rPr>
          <w:b/>
        </w:rPr>
        <w:t xml:space="preserve">摘要（ZH）: </w:t>
      </w:r>
      <w:r>
        <w:t>的</w:t>
      </w:r>
      <w:r>
        <w:t xml:space="preserve"> </w:t>
      </w:r>
      <w:r>
        <w:t>TMPRSS2：ERG</w:t>
      </w:r>
      <w:r>
        <w:t xml:space="preserve"> </w:t>
      </w:r>
      <w:r>
        <w:t>基因融合存在于大约 50% 的欧洲血统前列腺癌患者中，通过 ERG 转录因子的异常过度表达驱动肿瘤发生。尽管 ERG 具有躯干致癌驱动因素的作用，但由于缺乏酶活性和明显缺乏可配体口袋，ERG 被认为是不可成药的。在这里，我们证明了转移性前列腺癌对 ERG 的持续依赖性，并在其 N 末端指向 (PNT) 结构域内识别出一个可药物口袋。使用诱导型 shRNA 系统</w:t>
      </w:r>
      <w:r>
        <w:t xml:space="preserve"> </w:t>
      </w:r>
      <w:r>
        <w:t>TMPRSS2：ERG</w:t>
      </w:r>
      <w:r>
        <w:t xml:space="preserve"> </w:t>
      </w:r>
      <w:r>
        <w:t>-阳性 VCaP 细胞，我们发现 ERG 耗竭会导致严重的生长抑制。为了治疗性地利用这一漏洞，我们针对 ERG PNT 结构域进行了以结构域为中心的差示扫描荧光筛选，然后进行结构-活性关系优化。这种方法产生了 PBITE-1（转录因子 ERG 的 PNT 结合抑制剂），这是一种选择性结合 ERG PNT 结构域的小分子。 NMR 化学位移微扰图谱和分子对接表明，PBITE-1 接合了一个离散的、暴露于溶剂的表面，该表面包含两个 α 螺旋和一个相邻的柔性环，在 PNT 结构域内定义了一个配体结合口袋。在细胞模型中，PBITE-1 直接参与 ERG，选择性抑制增殖和侵袭，并诱导 ERG 驱动的前列腺和血液恶性肿瘤细胞凋亡。 PBITE-1 有效抑制 ERG 阳性小鼠和人源性前列腺癌类器官的生长。福</w:t>
      </w:r>
    </w:p>
    <w:p>
      <w:pPr>
        <w:spacing w:before="0" w:after="200" w:lineRule="auto" w:line="276"/>
      </w:pPr>
      <w:r>
        <w:rPr>
          <w:b/>
        </w:rPr>
        <w:t xml:space="preserve">Abstract (EN): </w:t>
      </w:r>
      <w:r>
        <w:t>The</w:t>
      </w:r>
      <w:r>
        <w:t xml:space="preserve"> </w:t>
      </w:r>
      <w:r>
        <w:t>TMPRSS2:ERG</w:t>
      </w:r>
      <w:r>
        <w:t xml:space="preserve"> </w:t>
      </w:r>
      <w:r>
        <w:t>gene fusion, present in approximately 50% of prostate cancers in patients of European ancestry, drives oncogenesis through aberrant overexpression of the ERG transcription factor. Despite its role as a truncal oncogenic driver, ERG has been considered undruggable due to the absence of enzymatic activity and apparent lack of ligandable pockets. Here, we demonstrate continued dependency on ERG in metastatic prostate cancer and identify a druggable pocket within its N-terminal Pointed (PNT) domain. Using an inducible shRNA system in</w:t>
      </w:r>
      <w:r>
        <w:t xml:space="preserve"> </w:t>
      </w:r>
      <w:r>
        <w:t>TMPRSS2:ERG</w:t>
      </w:r>
      <w:r>
        <w:t xml:space="preserve"> </w:t>
      </w:r>
      <w:r>
        <w:t>-positive VCaP cells, we show that ERG depletion causes profound growth inhibition. To therapeutically exploit this vulnerability, we conducted a domain-focused differential scanning fluorimetry screen targeting the ERG PNT domain, followed by structure–activity relationship optimization. This approach yielded PBITE-1 (PNT-Binding Inhibitor of the Transcription factor ERG), a small molecule that selectively binds the ERG PNT domain. NMR chemical-shift perturbation mapping and molecular docking revealed that PBITE-1 engages a discrete, solvent-exposed surface comprising two α-helices and an adjacent flexible loop, defining a ligand-binding pocket within the PNT domain. In cellular models, PBITE-1 directly engaged ERG, selectively inhibited proliferation and invasion, and induced apoptosis in ERG-driven prostate and hematologic malignancies. PBITE-1 potently suppressed growth of ERG-positive mouse and human-derived prostate cancer organoids. Furthermore, PBITE-1 treatment significantly induced tumor cell apoptosis in VCaP xenograft models. These findings establish the ERG PNT domain as ligandable and provide preclinical evidence that ERG is directly targetable by small molecules, enabling future development of ERG-directed inhibitors and targeted protein degraders.</w:t>
      </w:r>
    </w:p>
    <w:p>
      <w:pPr>
        <w:spacing w:before="120" w:after="120"/>
      </w:pPr>
      <w:r>
        <w:rPr>
          <w:sz w:val="18"/>
        </w:rPr>
        <w:t>——————————————————————————————————————————————————————————————————————</w:t>
      </w:r>
    </w:p>
    <w:p>
      <w:pPr>
        <w:spacing w:before="160" w:after="40" w:line="240" w:lineRule="auto"/>
      </w:pPr>
      <w:r>
        <w:rPr>
          <w:b/>
        </w:rPr>
        <w:t xml:space="preserve">[265] </w:t>
      </w:r>
      <w:hyperlink r:id="rId721">
        <w:r>
          <w:rPr>
            <w:color w:val="1155CC"/>
            <w:u w:val="single"/>
          </w:rPr>
          <w:t>突触蛋白周转的性别和经验依赖性调节</w:t>
        </w:r>
      </w:hyperlink>
    </w:p>
    <w:p>
      <w:pPr>
        <w:spacing w:before="0" w:after="80"/>
      </w:pPr>
      <w:r>
        <w:rPr>
          <w:i/>
          <w:sz w:val="20"/>
        </w:rPr>
        <w:t>EN: Sex- and experience-dependent regulation of synaptic protein turnover</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22">
        <w:r>
          <w:rPr>
            <w:color w:val="1155CC"/>
            <w:u w:val="single"/>
          </w:rPr>
          <w:t>10.1073/pnas.2602111123</w:t>
        </w:r>
      </w:hyperlink>
    </w:p>
    <w:p>
      <w:pPr>
        <w:spacing w:before="0" w:after="120"/>
      </w:pPr>
      <w:r>
        <w:rPr>
          <w:b/>
        </w:rPr>
        <w:t xml:space="preserve">Notes: </w:t>
      </w:r>
      <w:r>
        <w:t>abstract_source=crossref</w:t>
      </w:r>
    </w:p>
    <w:p>
      <w:pPr>
        <w:spacing w:before="0" w:after="80" w:lineRule="auto" w:line="276"/>
      </w:pPr>
      <w:r>
        <w:rPr>
          <w:b/>
        </w:rPr>
        <w:t xml:space="preserve">摘要（ZH）: </w:t>
      </w:r>
      <w:r>
        <w:t>突触传递可以通过调节突触强度、结构和数量的可塑性机制来调节。体内测量显示出显着的脊柱动力学，突触子集持续数月。这与某些记忆的寿命有关，这些记忆可以在生物体的一生中持续存在。支持特定突触长期稳定性和记忆长期持久性的分子基础仍然未知。在蛋白质水平上，大多数蛋白质在被降解并被新分子取代之前会持续相对较短的时间。然而，最近的工作已经确定了一组蛋白质，包括存在于突触中的蛋白质，它们的寿命非常长。据推测，长寿蛋白（LLP）可能有助于突触的长期稳定性、功能和记忆。在这里，我们在哺乳动物中使用稳定同位素标记，首先识别海马突触后密度（PSD）中的 LLP，然后确定蛋白质周转率是否因性别或学习后的变化而变化。我们鉴定了突触 LLP，并发现性别和经验都可以调节突触蛋白周转率。我们发现了自闭症谱系障碍风险基因中蛋白质周转率的性别依赖性变化，包括雄性小鼠中 Gabrg2（一种 GABA-A 受体亚基）稳定性的增加。此外，我们观察到 PSD 蛋白子集（例如 Shank3）在情境恐惧条件反射后保持稳定。我们提出，蛋白质周转率的性别和经验依赖性变化可能有助于解释</w:t>
      </w:r>
    </w:p>
    <w:p>
      <w:pPr>
        <w:spacing w:before="0" w:after="200" w:lineRule="auto" w:line="276"/>
      </w:pPr>
      <w:r>
        <w:rPr>
          <w:b/>
        </w:rPr>
        <w:t xml:space="preserve">Abstract (EN): </w:t>
      </w:r>
      <w:r>
        <w:t>Synaptic transmission can be tuned through plasticity mechanisms that regulate synaptic strength, structure, and number. In vivo measurements demonstrate remarkable spine dynamics, with subsets of synapses persisting for months. This correlates with the longevity of certain memories, which can persist for an organism’s lifetime. The molecular basis supporting the long-term stability of specific synapses and the long-term durability of memories remains unknown. At the protein level, most proteins persist for a relatively short amount of time before they are degraded and replaced with new molecules. However, recent work has identified a population of proteins, including those present at the synapse, that are exceptionally long-lived. It has been speculated that long-lived proteins (LLPs) could contribute to long-term synapse stability, function, and memory. Here, we used stable isotope labeling in mammals to first identify LLPs in the post synaptic density (PSD) of the hippocampus and subsequently determine if protein turnover rates varied by sex or following learning. We identified synaptic LLPs and found that both sex and experience can regulate synaptic protein turnover rates. We identified sex-dependent changes in protein turnover rates in autism spectrum disorder risk genes, including increased stability of Gabrg2, a GABA-A receptor subunit, in male mice. Furthermore, we observed stabilization of a subset of PSD proteins, such as Shank3, following contextual fear conditioning. We propose that sex- and experience-dependent changes in protein turnover rates could help explain sex-differences in psychiatric risk and aid our understanding of the molecular mechanisms that support learning and memory.</w:t>
      </w:r>
    </w:p>
    <w:p>
      <w:pPr>
        <w:spacing w:before="120" w:after="120"/>
      </w:pPr>
      <w:r>
        <w:rPr>
          <w:sz w:val="18"/>
        </w:rPr>
        <w:t>——————————————————————————————————————————————————————————————————————</w:t>
      </w:r>
    </w:p>
    <w:p>
      <w:pPr>
        <w:spacing w:before="160" w:after="40" w:line="240" w:lineRule="auto"/>
      </w:pPr>
      <w:r>
        <w:rPr>
          <w:b/>
        </w:rPr>
        <w:t xml:space="preserve">[266] </w:t>
      </w:r>
      <w:hyperlink r:id="rId723">
        <w:r>
          <w:rPr>
            <w:color w:val="1155CC"/>
            <w:u w:val="single"/>
          </w:rPr>
          <w:t>哺乳动物细胞中 NOD2 信号传导之前天然肽聚糖片段的细胞内结构修饰</w:t>
        </w:r>
      </w:hyperlink>
    </w:p>
    <w:p>
      <w:pPr>
        <w:spacing w:before="0" w:after="80"/>
      </w:pPr>
      <w:r>
        <w:rPr>
          <w:i/>
          <w:sz w:val="20"/>
        </w:rPr>
        <w:t>EN: Intracellular structural modifications of natural peptidoglycan fragments preceding NOD2 signaling in mammalian cells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24">
        <w:r>
          <w:rPr>
            <w:color w:val="1155CC"/>
            <w:u w:val="single"/>
          </w:rPr>
          <w:t>10.1073/pnas.2535544123</w:t>
        </w:r>
      </w:hyperlink>
    </w:p>
    <w:p>
      <w:pPr>
        <w:spacing w:before="0" w:after="120"/>
      </w:pPr>
      <w:r>
        <w:rPr>
          <w:b/>
        </w:rPr>
        <w:t xml:space="preserve">Notes: </w:t>
      </w:r>
      <w:r>
        <w:t>abstract_source=crossref</w:t>
      </w:r>
    </w:p>
    <w:p>
      <w:pPr>
        <w:spacing w:before="0" w:after="80" w:lineRule="auto" w:line="276"/>
      </w:pPr>
      <w:r>
        <w:rPr>
          <w:b/>
        </w:rPr>
        <w:t xml:space="preserve">摘要（ZH）: </w:t>
      </w:r>
      <w:r>
        <w:t>细菌肽聚糖片段 (PGN) 是病原体相关的分子模式，可激活哺乳动物先天免疫系统，特别是通过 NOD2 信号通路。由于 NOD2 是哺乳动物细胞中的胞质传感器，因此细胞检测通常用于识别引发 NOD2 反应的生物活性 PGN，而胞壁酰二肽 (MDP) 长期以来被认为是最小的 NOD2 激动剂。然而，最近的研究强调了哺乳动物细胞内 MDP 的磷酸化。</w:t>
      </w:r>
      <w:r>
        <w:t xml:space="preserve"> </w:t>
      </w:r>
      <w:r>
        <w:t>氮</w:t>
      </w:r>
      <w:r>
        <w:t xml:space="preserve"> </w:t>
      </w:r>
      <w:r>
        <w:t>-乙酰氨基葡萄糖激酶 (NAGK) 作为 NOD2 激活的关键先决条件，强调需要进一步研究其他宿主介导的 PGN 加工。在这项研究中，我们研究了糖和茎肽长度不同的各种细菌 PGN 如何在哺乳动物细胞内进行细胞内结构修饰。我们的研究结果表明，二糖 PGN 通过细胞内糖苷裂解加工，在细胞内生成含有 MurNAc 的单糖 PGN，然后进行 NAGK 依赖性磷酸化，揭示了 NOD2 激活之前的另一个重要步骤。为了确定负责二糖 PGN 裂解的糖苷酶，我们提供了人类</w:t>
      </w:r>
      <w:r>
        <w:t xml:space="preserve"> </w:t>
      </w:r>
      <w:r>
        <w:t>氧</w:t>
      </w:r>
      <w:r>
        <w:t xml:space="preserve"> </w:t>
      </w:r>
      <w:r>
        <w:t>-GlcNAcase 作为一种混杂糖苷酶，能够处理某些二糖 PGN 并可能调节其 NOD2 激活。此外，我们证明具有赖氨酸型三肽茎的 PGN 可以特异性地切割成二肽，并且</w:t>
      </w:r>
    </w:p>
    <w:p>
      <w:pPr>
        <w:spacing w:before="0" w:after="200" w:lineRule="auto" w:line="276"/>
      </w:pPr>
      <w:r>
        <w:rPr>
          <w:b/>
        </w:rPr>
        <w:t xml:space="preserve">Abstract (EN): </w:t>
      </w:r>
      <w:r>
        <w:t>Bacterial peptidoglycan fragments (PGNs) are pathogen-associated molecular patterns that activate the mammalian innate immune system, particularly through NOD2 signaling pathways. Since NOD2 is a cytosolic sensor in mammalian cells, cellular assays are commonly used to identify bioactive PGNs that elicit NOD2 response, with muramyl dipeptide (MDP) long recognized as the minimal NOD2 agonist. However, recent studies have highlighted the intracellular phosphorylation of MDP by mammalian</w:t>
      </w:r>
      <w:r>
        <w:t xml:space="preserve"> </w:t>
      </w:r>
      <w:r>
        <w:t>N</w:t>
      </w:r>
      <w:r>
        <w:t xml:space="preserve"> </w:t>
      </w:r>
      <w:r>
        <w:t>-acetylglucosamine kinase (NAGK) as a critical prerequisite for NOD2 activation, emphasizing the need for further investigation into other host-mediated processing of PGNs. In this study, we examined how various bacterial PGNs, differing in saccharide and stem peptide length, undergo intracellular structural modifications within mammalian cells. Our findings show that disaccharide PGNs are processed through intracellular glycosidic cleavage to generate monosaccharide MurNAc-containing PGNs intracellularly, followed by NAGK-dependent phosphorylation, uncovering an additional essential step that precedes NOD2 activation. To identify the glycosidase responsible for disaccharide PGN cleavage, we provide biochemical and cellular observations that human</w:t>
      </w:r>
      <w:r>
        <w:t xml:space="preserve"> </w:t>
      </w:r>
      <w:r>
        <w:t>O</w:t>
      </w:r>
      <w:r>
        <w:t xml:space="preserve"> </w:t>
      </w:r>
      <w:r>
        <w:t>-GlcNAcase functions as a promiscuous glycosidase capable of processing certain disaccharide PGNs and potentially modulate their NOD2 activation. Furthermore, we demonstrate that PGNs with a lysine-type tripeptide stem are specifically cleaved into dipeptides and that phosphorylated PGNs are subjected to dephosphorylation in mammalian cells. Together, these findings offer insights into the metabolism and intracellular processing of PGNs in mammalian cells, which are crucial in shaping the host innate immune responses.</w:t>
      </w:r>
    </w:p>
    <w:p>
      <w:pPr>
        <w:spacing w:before="120" w:after="120"/>
      </w:pPr>
      <w:r>
        <w:rPr>
          <w:sz w:val="18"/>
        </w:rPr>
        <w:t>——————————————————————————————————————————————————————————————————————</w:t>
      </w:r>
    </w:p>
    <w:p>
      <w:pPr>
        <w:spacing w:before="160" w:after="40" w:line="240" w:lineRule="auto"/>
      </w:pPr>
      <w:r>
        <w:rPr>
          <w:b/>
        </w:rPr>
        <w:t xml:space="preserve">[267] </w:t>
      </w:r>
      <w:hyperlink r:id="rId725">
        <w:r>
          <w:rPr>
            <w:color w:val="1155CC"/>
            <w:u w:val="single"/>
          </w:rPr>
          <w:t>树突形态和突触非线性增强了人类皮质神经元的功能复杂性</w:t>
        </w:r>
      </w:hyperlink>
    </w:p>
    <w:p>
      <w:pPr>
        <w:spacing w:before="0" w:after="80"/>
      </w:pPr>
      <w:r>
        <w:rPr>
          <w:i/>
          <w:sz w:val="20"/>
        </w:rPr>
        <w:t>EN: Dendritic morphology and synaptic nonlinearities enhance functional complexity in human cortical neurons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26">
        <w:r>
          <w:rPr>
            <w:color w:val="1155CC"/>
            <w:u w:val="single"/>
          </w:rPr>
          <w:t>10.1073/pnas.2533168123</w:t>
        </w:r>
      </w:hyperlink>
    </w:p>
    <w:p>
      <w:pPr>
        <w:spacing w:before="0" w:after="120"/>
      </w:pPr>
      <w:r>
        <w:rPr>
          <w:b/>
        </w:rPr>
        <w:t xml:space="preserve">Notes: </w:t>
      </w:r>
      <w:r>
        <w:t>abstract_source=crossref</w:t>
      </w:r>
    </w:p>
    <w:p>
      <w:pPr>
        <w:spacing w:before="0" w:after="80" w:lineRule="auto" w:line="276"/>
      </w:pPr>
      <w:r>
        <w:rPr>
          <w:b/>
        </w:rPr>
        <w:t xml:space="preserve">摘要（ZH）: </w:t>
      </w:r>
      <w:r>
        <w:t>人类在动物界中表现出独特的认知能力，但驱动这些高级能力的神经机制仍然知之甚少。人类皮质神经元在形态和生理特征上都不同于其他物种（例如啮齿动物）。人类皮质神经元的独特特性能否帮助解释人类卓越的认知能力？理解这种关系需要一种措施来量化神经元特性如何影响单个神经元的功能复杂性；然而，目前缺乏这样的标准化措施。在这里，我们提出了功能复杂性指数（FCI），这是一种基于深度学习的通用框架，用于评估神经元的输入输出复杂性。通过比较大鼠和人类皮层锥体神经元各层的 FCI，我们确定了神经元功能复杂性背后的关键形态电因素。人类皮质锥体神经元的功能明显比大鼠皮质锥体神经元复杂得多，这主要是由于树突膜面积和分支模式以及 NMDA 介导的突触受体的密度和非线性方面的差异。这些发现揭示了人类皮质神经元功能增强的结构和生物物理基础，为理解我们增强的认知能力的基础迈出了关键一步。</w:t>
      </w:r>
    </w:p>
    <w:p>
      <w:pPr>
        <w:spacing w:before="0" w:after="200" w:lineRule="auto" w:line="276"/>
      </w:pPr>
      <w:r>
        <w:rPr>
          <w:b/>
        </w:rPr>
        <w:t xml:space="preserve">Abstract (EN): </w:t>
      </w:r>
      <w:r>
        <w:t>Humans exhibit unique cognitive abilities within the animal kingdom, but the neural mechanisms driving these advanced capabilities remain poorly understood. Human cortical neurons differ from those of other species, such as rodents, in both their morphological and physiological characteristics. Could the distinct properties of human cortical neurons help explain the superior cognitive capabilities of humans? Understanding this relationship requires a measure to quantify how neuronal properties contribute to the functional complexity of single neurons; yet, such a standardized measure is currently missing. Here, we propose the Functional Complexity Index (FCI), a general, deep-learning-based framework for assessing the input–output complexity of neurons. By comparing the FCI of cortical pyramidal neurons across layers in rats and humans, we identified key morpho-electrical factors that underlie neuronal functional complexity. Human cortical pyramidal neurons are significantly more functionally complex than their rat counterparts, primarily due to differences in dendritic membrane area and branching patterns, as well as in the density and nonlinearity of NMDA-mediated synaptic receptors. These findings reveal the structural and biophysical basis for the enhanced functional properties of human cortical neurons, providing a key step toward understanding the underpinnings of our enhanced cognitive capabilities.</w:t>
      </w:r>
    </w:p>
    <w:p>
      <w:pPr>
        <w:spacing w:before="120" w:after="120"/>
      </w:pPr>
      <w:r>
        <w:rPr>
          <w:sz w:val="18"/>
        </w:rPr>
        <w:t>——————————————————————————————————————————————————————————————————————</w:t>
      </w:r>
    </w:p>
    <w:p>
      <w:pPr>
        <w:spacing w:before="160" w:after="40" w:line="240" w:lineRule="auto"/>
      </w:pPr>
      <w:r>
        <w:rPr>
          <w:b/>
        </w:rPr>
        <w:t xml:space="preserve">[268] </w:t>
      </w:r>
      <w:hyperlink r:id="rId727">
        <w:r>
          <w:rPr>
            <w:color w:val="1155CC"/>
            <w:u w:val="single"/>
          </w:rPr>
          <w:t>内皮 Arf6 通过 PIP2 依赖性激活 Kir2.1 通道维持小鼠的电信号传导和脑血流</w:t>
        </w:r>
      </w:hyperlink>
    </w:p>
    <w:p>
      <w:pPr>
        <w:spacing w:before="0" w:after="80"/>
      </w:pPr>
      <w:r>
        <w:rPr>
          <w:i/>
          <w:sz w:val="20"/>
        </w:rPr>
        <w:t>EN: Endothelial Arf6 sustains electrical signaling and cerebral blood flow in mice through PIP2-dependent activation of Kir2.1 channels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28">
        <w:r>
          <w:rPr>
            <w:color w:val="1155CC"/>
            <w:u w:val="single"/>
          </w:rPr>
          <w:t>10.1073/pnas.2615120123</w:t>
        </w:r>
      </w:hyperlink>
    </w:p>
    <w:p>
      <w:pPr>
        <w:spacing w:before="0" w:after="120"/>
      </w:pPr>
      <w:r>
        <w:rPr>
          <w:b/>
        </w:rPr>
        <w:t xml:space="preserve">Notes: </w:t>
      </w:r>
      <w:r>
        <w:t>abstract_source=crossref</w:t>
      </w:r>
    </w:p>
    <w:p>
      <w:pPr>
        <w:spacing w:before="0" w:after="80" w:lineRule="auto" w:line="276"/>
      </w:pPr>
      <w:r>
        <w:rPr>
          <w:b/>
        </w:rPr>
        <w:t xml:space="preserve">摘要（ZH）: </w:t>
      </w:r>
      <w:r>
        <w:t>脑毛细血管感知神经活动并将血流引导至活跃区域——这一过程称为神经血管耦合，是局部灌注活动依赖性增加（功能性充血）的基础。功能性充血反应的一个关键因素是毛细血管内皮细胞 (cEC) 内向整流器 K</w:t>
      </w:r>
      <w:r>
        <w:t xml:space="preserve"> </w:t>
      </w:r>
      <w:r>
        <w:t>+</w:t>
      </w:r>
      <w:r>
        <w:t xml:space="preserve"> </w:t>
      </w:r>
      <w:r>
        <w:t>(Kir2.1) 通道，当被神经元活动衍生的细胞外 K 激活时</w:t>
      </w:r>
      <w:r>
        <w:t xml:space="preserve"> </w:t>
      </w:r>
      <w:r>
        <w:t>+</w:t>
      </w:r>
      <w:r>
        <w:t xml:space="preserve"> </w:t>
      </w:r>
      <w:r>
        <w:t>，启动通过血管网络传播的血管舒张电信号。 Kir2.1 通道功能需要持续产生其脂质辅助因子、磷脂酰肌醇-4,5-二磷酸 (PIP</w:t>
      </w:r>
      <w:r>
        <w:rPr>
          <w:vertAlign w:val="subscript"/>
        </w:rPr>
        <w:t>2</w:t>
      </w:r>
      <w:r>
        <w:t>），并且在小鼠脑小血管（cSVD）模型中受到损害。虽然 PIP 下降</w:t>
      </w:r>
      <w:r>
        <w:rPr>
          <w:vertAlign w:val="subscript"/>
        </w:rPr>
        <w:t>2</w:t>
      </w:r>
      <w:r>
        <w:t>可用性是 CSVD 的一个共同特征，是 PIP 的基础机制</w:t>
      </w:r>
      <w:r>
        <w:rPr>
          <w:vertAlign w:val="subscript"/>
        </w:rPr>
        <w:t>2</w:t>
      </w:r>
      <w:r>
        <w:t>合成仍然知之甚少。我们假设 Arf6，一种在 cEC 中表达的小 GTP 酶，可刺激 PIP</w:t>
      </w:r>
      <w:r>
        <w:rPr>
          <w:vertAlign w:val="subscript"/>
        </w:rPr>
        <w:t>2</w:t>
      </w:r>
      <w:r>
        <w:t>生产，对于这个过程至关重要。使用膜片钳电生理学，我们证明抑制 Arf6 活性会逐渐降低 cEC Kir2.1 通道活性。这种缺陷表现为孤立血管中毛细血管到小动脉电信号的丧失以及体内功能性充血的减弱。外源提供的PIP</w:t>
      </w:r>
      <w:r>
        <w:rPr>
          <w:vertAlign w:val="subscript"/>
        </w:rPr>
        <w:t>2</w:t>
      </w:r>
      <w:r>
        <w:t>Arf6 抑制后恢复 Kir2.1 电流和功能性充血</w:t>
      </w:r>
    </w:p>
    <w:p>
      <w:pPr>
        <w:spacing w:before="0" w:after="200" w:lineRule="auto" w:line="276"/>
      </w:pPr>
      <w:r>
        <w:rPr>
          <w:b/>
        </w:rPr>
        <w:t xml:space="preserve">Abstract (EN): </w:t>
      </w:r>
      <w:r>
        <w:t>Brain capillaries sense neural activity and direct blood flow to active regions—a process termed neurovascular coupling that underlies activity-dependent increases in local perfusion (functional hyperemia). A key contributor to functional hyperemic responses is the capillary endothelial cell (cEC) inward rectifier K</w:t>
      </w:r>
      <w:r>
        <w:t xml:space="preserve"> </w:t>
      </w:r>
      <w:r>
        <w:t>+</w:t>
      </w:r>
      <w:r>
        <w:t xml:space="preserve"> </w:t>
      </w:r>
      <w:r>
        <w:t>(Kir2.1) channel, which, when activated by neuronal activity–derived extracellular K</w:t>
      </w:r>
      <w:r>
        <w:t xml:space="preserve"> </w:t>
      </w:r>
      <w:r>
        <w:t>+</w:t>
      </w:r>
      <w:r>
        <w:t xml:space="preserve"> </w:t>
      </w:r>
      <w:r>
        <w:t>, initiates vasodilatory electrical signals that propagate through the vascular network. Kir2.1 channel function requires continual production of its lipid cofactor, phosphatidylinositol-4,5-bisphosphate (PIP</w:t>
      </w:r>
      <w:r>
        <w:rPr>
          <w:vertAlign w:val="subscript"/>
        </w:rPr>
        <w:t>2</w:t>
      </w:r>
      <w:r>
        <w:t>), and is compromised in mouse models of cerebral small vessel (cSVD). Although decreased PIP</w:t>
      </w:r>
      <w:r>
        <w:rPr>
          <w:vertAlign w:val="subscript"/>
        </w:rPr>
        <w:t>2</w:t>
      </w:r>
      <w:r>
        <w:t>availability is a common feature of cSVDs, mechanisms underlying PIP</w:t>
      </w:r>
      <w:r>
        <w:rPr>
          <w:vertAlign w:val="subscript"/>
        </w:rPr>
        <w:t>2</w:t>
      </w:r>
      <w:r>
        <w:t>synthesis remain poorly understood. We hypothesized that Arf6, a small GTPase expressed in cECs that stimulates PIP</w:t>
      </w:r>
      <w:r>
        <w:rPr>
          <w:vertAlign w:val="subscript"/>
        </w:rPr>
        <w:t>2</w:t>
      </w:r>
      <w:r>
        <w:t>production, is critical for this process. Using patch-clamp electrophysiology, we demonstrate that inhibiting Arf6 activity progressively decreased cEC Kir2.1 channel activity. This deficit manifested as loss of capillary-to-arteriole electrical signaling in isolated vessels and diminished functional hyperemia in vivo. Exogenously provided PIP</w:t>
      </w:r>
      <w:r>
        <w:rPr>
          <w:vertAlign w:val="subscript"/>
        </w:rPr>
        <w:t>2</w:t>
      </w:r>
      <w:r>
        <w:t>restored Kir2.1 currents and functional hyperemia after Arf6 inhibition or genetic knockdown. Collectively, our data suggest that cEC Arf6 sustains Kir2.1 activity by maintaining PIP</w:t>
      </w:r>
      <w:r>
        <w:rPr>
          <w:vertAlign w:val="subscript"/>
        </w:rPr>
        <w:t>2</w:t>
      </w:r>
      <w:r>
        <w:t>levels and demonstrate that diminished PIP</w:t>
      </w:r>
      <w:r>
        <w:rPr>
          <w:vertAlign w:val="subscript"/>
        </w:rPr>
        <w:t>2</w:t>
      </w:r>
      <w:r>
        <w:t>synthesis is sufficient to impair functional hyperemia. Furthermore, we identify Arf6 as a mechanistic link between PIP</w:t>
      </w:r>
      <w:r>
        <w:rPr>
          <w:vertAlign w:val="subscript"/>
        </w:rPr>
        <w:t>2</w:t>
      </w:r>
      <w:r>
        <w:t>production and endothelial electrical signaling, highlighting Arf6 as a potential therapeutic target for restoring functional hyperemia.</w:t>
      </w:r>
    </w:p>
    <w:p>
      <w:pPr>
        <w:spacing w:before="120" w:after="120"/>
      </w:pPr>
      <w:r>
        <w:rPr>
          <w:sz w:val="18"/>
        </w:rPr>
        <w:t>——————————————————————————————————————————————————————————————————————</w:t>
      </w:r>
    </w:p>
    <w:p>
      <w:pPr>
        <w:spacing w:before="160" w:after="40" w:line="240" w:lineRule="auto"/>
      </w:pPr>
      <w:r>
        <w:rPr>
          <w:b/>
        </w:rPr>
        <w:t xml:space="preserve">[269] </w:t>
      </w:r>
      <w:hyperlink r:id="rId729">
        <w:r>
          <w:rPr>
            <w:color w:val="1155CC"/>
            <w:u w:val="single"/>
          </w:rPr>
          <w:t>拟南芥 BSL 磷酸酶通过 MAP 激酶信号传导中独立于油菜素类固醇的基本功能调节合子极性</w:t>
        </w:r>
      </w:hyperlink>
    </w:p>
    <w:p>
      <w:pPr>
        <w:spacing w:before="0" w:after="80"/>
      </w:pPr>
      <w:r>
        <w:rPr>
          <w:i/>
          <w:sz w:val="20"/>
        </w:rPr>
        <w:t>EN: Arabidopsis BSL phosphatases regulate zygote polarity through a brassinosteroid-independent essential function in MAP kinase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30">
        <w:r>
          <w:rPr>
            <w:color w:val="1155CC"/>
            <w:u w:val="single"/>
          </w:rPr>
          <w:t>10.1073/pnas.2532666123</w:t>
        </w:r>
      </w:hyperlink>
    </w:p>
    <w:p>
      <w:pPr>
        <w:spacing w:before="0" w:after="120"/>
      </w:pPr>
      <w:r>
        <w:rPr>
          <w:b/>
        </w:rPr>
        <w:t xml:space="preserve">Notes: </w:t>
      </w:r>
      <w:r>
        <w:t>abstract_source=crossref</w:t>
      </w:r>
    </w:p>
    <w:p>
      <w:pPr>
        <w:spacing w:before="0" w:after="80" w:lineRule="auto" w:line="276"/>
      </w:pPr>
      <w:r>
        <w:rPr>
          <w:b/>
        </w:rPr>
        <w:t xml:space="preserve">摘要（ZH）: </w:t>
      </w:r>
      <w:r>
        <w:t>植物体的主轴在胚胎发生早期就已建立。极地生长和不对称分裂</w:t>
      </w:r>
      <w:r>
        <w:t xml:space="preserve"> </w:t>
      </w:r>
      <w:r>
        <w:t>拟南芥</w:t>
      </w:r>
      <w:r>
        <w:t xml:space="preserve"> </w:t>
      </w:r>
      <w:r>
        <w:t>受精卵需要丝裂原激活蛋白 (MAP) 激酶激酶 YODA 和 MAP 激酶 MPK3/MPK6，但这种信号级联的调节尚不清楚。在这里，我们证明三种 BSU1-LIKE 磷酸酶 (BSL1-3) 是重要的正调节因子：组合缺失会导致与缺失</w:t>
      </w:r>
      <w:r>
        <w:t xml:space="preserve"> </w:t>
      </w:r>
      <w:r>
        <w:t>尤达</w:t>
      </w:r>
      <w:r>
        <w:t xml:space="preserve"> </w:t>
      </w:r>
      <w:r>
        <w:t>MAP 激酶级联反应，产生非极性胚胎；转录谱和细胞命运标记证实 BSL 磷酸酶和 MAP 激酶级联调节相同的过程。没想到，这个家族的创始成员BSU1却显得可有可无。这些结果对 BSU1 家族磷酸酶作为油菜素类固醇激素信号传导核心成分的观点产生了怀疑。 MPK3 活性显示出惊人的敏感性</w:t>
      </w:r>
      <w:r>
        <w:t xml:space="preserve"> </w:t>
      </w:r>
      <w:r>
        <w:t>生物安全实验室</w:t>
      </w:r>
      <w:r>
        <w:t xml:space="preserve"> </w:t>
      </w:r>
      <w:r>
        <w:t>剂量以及与激活的 MPK3 的遗传相互作用表明，BSL 磷酸酶在 YODA 下游发挥作用，并且与 MPK3/MPK6 结合或在下游发挥作用，这意味着 MPK 调节的新机制。</w:t>
      </w:r>
    </w:p>
    <w:p>
      <w:pPr>
        <w:spacing w:before="0" w:after="200" w:lineRule="auto" w:line="276"/>
      </w:pPr>
      <w:r>
        <w:rPr>
          <w:b/>
        </w:rPr>
        <w:t xml:space="preserve">Abstract (EN): </w:t>
      </w:r>
      <w:r>
        <w:t>The main axis of the plant body is established in early embryogenesis. Polar growth and asymmetric division of the</w:t>
      </w:r>
      <w:r>
        <w:t xml:space="preserve"> </w:t>
      </w:r>
      <w:r>
        <w:t>Arabidopsis</w:t>
      </w:r>
      <w:r>
        <w:t xml:space="preserve"> </w:t>
      </w:r>
      <w:r>
        <w:t>zygote require the Mitogen-Activated Protein (MAP) kinase kinase kinase YODA and the MAP kinases MPK3/MPK6, but regulation of this signaling cascade is not well understood. Here, we show that three BSU1-LIKE phosphatases (BSL1-3) are essential positive regulators: A combined loss causes closely similar defects to loss of the</w:t>
      </w:r>
      <w:r>
        <w:t xml:space="preserve"> </w:t>
      </w:r>
      <w:r>
        <w:t>YODA</w:t>
      </w:r>
      <w:r>
        <w:t xml:space="preserve"> </w:t>
      </w:r>
      <w:r>
        <w:t>MAP kinase cascade, resulting in nonpolar embryos; transcriptional profiling and cell-fate markers confirm that BSL phosphatases and the MAP kinase cascade regulate the same process. Unexpectedly, the founding member of the family, BSU1, appears dispensable. These results cast doubt on the view of BSU1-family phosphatases as core components of brassinosteroid hormone signaling. MPK3 activity shows striking sensitivity to</w:t>
      </w:r>
      <w:r>
        <w:t xml:space="preserve"> </w:t>
      </w:r>
      <w:r>
        <w:t>BSL</w:t>
      </w:r>
      <w:r>
        <w:t xml:space="preserve"> </w:t>
      </w:r>
      <w:r>
        <w:t>dosage, and genetic interactions with activated MPK3 suggest that BSL phosphatases function downstream of YODA and either in conjunction with or downstream of MPK3/MPK6, implying a novel mechanism of MPK regulation.</w:t>
      </w:r>
    </w:p>
    <w:p>
      <w:pPr>
        <w:spacing w:before="120" w:after="120"/>
      </w:pPr>
      <w:r>
        <w:rPr>
          <w:sz w:val="18"/>
        </w:rPr>
        <w:t>——————————————————————————————————————————————————————————————————————</w:t>
      </w:r>
    </w:p>
    <w:p>
      <w:pPr>
        <w:spacing w:before="160" w:after="40" w:line="240" w:lineRule="auto"/>
      </w:pPr>
      <w:r>
        <w:rPr>
          <w:b/>
        </w:rPr>
        <w:t xml:space="preserve">[270] </w:t>
      </w:r>
      <w:hyperlink r:id="rId731">
        <w:r>
          <w:rPr>
            <w:color w:val="1155CC"/>
            <w:u w:val="single"/>
          </w:rPr>
          <w:t>非计划性冲动和拖延的共同神经发生底物</w:t>
        </w:r>
      </w:hyperlink>
    </w:p>
    <w:p>
      <w:pPr>
        <w:spacing w:before="0" w:after="80"/>
      </w:pPr>
      <w:r>
        <w:rPr>
          <w:i/>
          <w:sz w:val="20"/>
        </w:rPr>
        <w:t>EN: Shared neurogenetic substrates of nonplanning impulsivity and procrastination</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32">
        <w:r>
          <w:rPr>
            <w:color w:val="1155CC"/>
            <w:u w:val="single"/>
          </w:rPr>
          <w:t>10.1073/pnas.2605127123</w:t>
        </w:r>
      </w:hyperlink>
    </w:p>
    <w:p>
      <w:pPr>
        <w:spacing w:before="0" w:after="120"/>
      </w:pPr>
      <w:r>
        <w:rPr>
          <w:b/>
        </w:rPr>
        <w:t xml:space="preserve">Notes: </w:t>
      </w:r>
      <w:r>
        <w:t>abstract_source=crossref</w:t>
      </w:r>
    </w:p>
    <w:p>
      <w:pPr>
        <w:spacing w:before="0" w:after="80" w:lineRule="auto" w:line="276"/>
      </w:pPr>
      <w:r>
        <w:rPr>
          <w:b/>
        </w:rPr>
        <w:t xml:space="preserve">摘要（ZH）: </w:t>
      </w:r>
      <w:r>
        <w:t>拖延症会对健康和生存产生适应不良的影响，但它仍然具有一定的遗传性，呈现出生物学悖论。拖延被认为是冲动的副产品，这解释了尽管没有明显的适应性益处，但拖延却普遍存在。然而，它们共同的神经生物学底物尚未阐明。使用纵向双胞胎队列（</w:t>
      </w:r>
      <w:r>
        <w:t xml:space="preserve"> </w:t>
      </w:r>
      <w:r>
        <w:t>氮</w:t>
      </w:r>
      <w:r>
        <w:t xml:space="preserve"> </w:t>
      </w:r>
      <w:r>
        <w:t>= 154），我们发现青春期末期和成年早期的非计划冲动（NPI）与晚年的拖延症有前瞻性相关。这种效应在两个横截面队列中独立复制（</w:t>
      </w:r>
      <w:r>
        <w:t xml:space="preserve"> </w:t>
      </w:r>
      <w:r>
        <w:t>氮</w:t>
      </w:r>
      <w:r>
        <w:t xml:space="preserve"> </w:t>
      </w:r>
      <w:r>
        <w:t>= 327；</w:t>
      </w:r>
      <w:r>
        <w:t xml:space="preserve"> </w:t>
      </w:r>
      <w:r>
        <w:t>氮</w:t>
      </w:r>
      <w:r>
        <w:t xml:space="preserve"> </w:t>
      </w:r>
      <w:r>
        <w:t>= 1,543）。使用加性遗传和非共享环境（AE）框架进行双胞胎建模，并结合双胞胎研究的荟萃分析（</w:t>
      </w:r>
      <w:r>
        <w:t xml:space="preserve"> </w:t>
      </w:r>
      <w:r>
        <w:t>氮</w:t>
      </w:r>
      <w:r>
        <w:t xml:space="preserve"> </w:t>
      </w:r>
      <w:r>
        <w:t>= 3,656 对双胞胎），揭示了显着的共同遗传贡献（</w:t>
      </w:r>
      <w:r>
        <w:t xml:space="preserve"> </w:t>
      </w:r>
      <w:r>
        <w:t>r</w:t>
      </w:r>
      <w:r>
        <w:t xml:space="preserve"> </w:t>
      </w:r>
      <w:r>
        <w:t>克</w:t>
      </w:r>
      <w:r>
        <w:t xml:space="preserve"> </w:t>
      </w:r>
      <w:r>
        <w:t>= 0.51）。除了遗传重叠之外，神经影像荟萃分析（</w:t>
      </w:r>
      <w:r>
        <w:t xml:space="preserve"> </w:t>
      </w:r>
      <w:r>
        <w:t>神经合成器</w:t>
      </w:r>
      <w:r>
        <w:t xml:space="preserve"> </w:t>
      </w:r>
      <w:r>
        <w:t>冲动的荟萃分析：</w:t>
      </w:r>
      <w:r>
        <w:t xml:space="preserve"> </w:t>
      </w:r>
      <w:r>
        <w:t>k</w:t>
      </w:r>
      <w:r>
        <w:t xml:space="preserve"> </w:t>
      </w:r>
      <w:r>
        <w:t>= 198 项研究，5855 个基因座；拖延症的迷你荟萃分析：</w:t>
      </w:r>
      <w:r>
        <w:t xml:space="preserve"> </w:t>
      </w:r>
      <w:r>
        <w:t>k</w:t>
      </w:r>
      <w:r>
        <w:t xml:space="preserve"> </w:t>
      </w:r>
      <w:r>
        <w:t>= 5 项研究，7 个独立样本，</w:t>
      </w:r>
      <w:r>
        <w:t xml:space="preserve"> </w:t>
      </w:r>
      <w:r>
        <w:t>氮</w:t>
      </w:r>
      <w:r>
        <w:t xml:space="preserve"> </w:t>
      </w:r>
      <w:r>
        <w:t>累计</w:t>
      </w:r>
      <w:r>
        <w:t xml:space="preserve"> </w:t>
      </w:r>
      <w:r>
        <w:t>= 893 名参与者），规范模式</w:t>
      </w:r>
    </w:p>
    <w:p>
      <w:pPr>
        <w:spacing w:before="0" w:after="200" w:lineRule="auto" w:line="276"/>
      </w:pPr>
      <w:r>
        <w:rPr>
          <w:b/>
        </w:rPr>
        <w:t xml:space="preserve">Abstract (EN): </w:t>
      </w:r>
      <w:r>
        <w:t>Procrastination has a maladaptive impact on health and survival, yet it remains moderately heritable, presenting a biological paradox. Procrastination has been conceptualized as a byproduct of impulsivity, explaining its prevalence despite no discernible adaptive benefit. However, their shared neurobiological substrates have yet to be elucidated. Using a longitudinal twin cohort (</w:t>
      </w:r>
      <w:r>
        <w:t xml:space="preserve"> </w:t>
      </w:r>
      <w:r>
        <w:t>N</w:t>
      </w:r>
      <w:r>
        <w:t xml:space="preserve"> </w:t>
      </w:r>
      <w:r>
        <w:t>= 154), we show that nonplanning impulsivity (NPI) during late adolescence and early adulthood is prospectively associated with procrastination in later life. This effect was independently replicated in two cross-sectional cohorts (</w:t>
      </w:r>
      <w:r>
        <w:t xml:space="preserve"> </w:t>
      </w:r>
      <w:r>
        <w:t>N</w:t>
      </w:r>
      <w:r>
        <w:t xml:space="preserve"> </w:t>
      </w:r>
      <w:r>
        <w:t>= 327;</w:t>
      </w:r>
      <w:r>
        <w:t xml:space="preserve"> </w:t>
      </w:r>
      <w:r>
        <w:t>N</w:t>
      </w:r>
      <w:r>
        <w:t xml:space="preserve"> </w:t>
      </w:r>
      <w:r>
        <w:t>= 1,543). Twin modeling using an additive genetic and nonshared environmental (AE) framework, together with a meta-analysis of twin studies (</w:t>
      </w:r>
      <w:r>
        <w:t xml:space="preserve"> </w:t>
      </w:r>
      <w:r>
        <w:t>N</w:t>
      </w:r>
      <w:r>
        <w:t xml:space="preserve"> </w:t>
      </w:r>
      <w:r>
        <w:t>= 3,656 twin pairs), revealed significant shared genetic contributions (</w:t>
      </w:r>
      <w:r>
        <w:t xml:space="preserve"> </w:t>
      </w:r>
      <w:r>
        <w:t>r</w:t>
      </w:r>
      <w:r>
        <w:t xml:space="preserve"> </w:t>
      </w:r>
      <w:r>
        <w:t>g</w:t>
      </w:r>
      <w:r>
        <w:t xml:space="preserve"> </w:t>
      </w:r>
      <w:r>
        <w:t>= 0.51). Beyond genetic overlap, neuroimaging meta-analysis (</w:t>
      </w:r>
      <w:r>
        <w:t xml:space="preserve"> </w:t>
      </w:r>
      <w:r>
        <w:t>NeuroSynth</w:t>
      </w:r>
      <w:r>
        <w:t xml:space="preserve"> </w:t>
      </w:r>
      <w:r>
        <w:t>meta-analysis for impulsivity:</w:t>
      </w:r>
      <w:r>
        <w:t xml:space="preserve"> </w:t>
      </w:r>
      <w:r>
        <w:t>k</w:t>
      </w:r>
      <w:r>
        <w:t xml:space="preserve"> </w:t>
      </w:r>
      <w:r>
        <w:t>= 198 studies, 5855 loci; mini meta-analysis for procrastination:</w:t>
      </w:r>
      <w:r>
        <w:t xml:space="preserve"> </w:t>
      </w:r>
      <w:r>
        <w:t>k</w:t>
      </w:r>
      <w:r>
        <w:t xml:space="preserve"> </w:t>
      </w:r>
      <w:r>
        <w:t>= 5 studies, 7 independent samples,</w:t>
      </w:r>
      <w:r>
        <w:t xml:space="preserve"> </w:t>
      </w:r>
      <w:r>
        <w:t>N</w:t>
      </w:r>
      <w:r>
        <w:t xml:space="preserve"> </w:t>
      </w:r>
      <w:r>
        <w:t>cumulative</w:t>
      </w:r>
      <w:r>
        <w:t xml:space="preserve"> </w:t>
      </w:r>
      <w:r>
        <w:t>= 893 participants), normative modeling (</w:t>
      </w:r>
      <w:r>
        <w:t xml:space="preserve"> </w:t>
      </w:r>
      <w:r>
        <w:t>N</w:t>
      </w:r>
      <w:r>
        <w:t xml:space="preserve"> </w:t>
      </w:r>
      <w:r>
        <w:t>= 37,407), and seed-based</w:t>
      </w:r>
      <w:r>
        <w:t xml:space="preserve"> </w:t>
      </w:r>
      <w:r>
        <w:t>d</w:t>
      </w:r>
      <w:r>
        <w:t xml:space="preserve"> </w:t>
      </w:r>
      <w:r>
        <w:t>mapping (SDM) converged on the left dorsolateral prefrontal cortex (DLPFC) as the region of maximal overlap between NPI and procrastination. The transcriptional profiles of the left DLPFC and impulsivity-associated genes exhibited functional convergence on regulation of biological and cellular processes. These genes showed brain-specific expression and associations with cortical metabolism, neurodegenerative disease, and developmental expression peaks, indicating a shared molecular basis for the neurogenetic architecture of procrastination. Together, our findings delineate a cross-scale characterization of the shared neurogenetic substrates linking NPI and procrastination, offering empirical evidence that elucidates the biological origins of procrastination.</w:t>
      </w:r>
    </w:p>
    <w:p>
      <w:pPr>
        <w:spacing w:before="120" w:after="120"/>
      </w:pPr>
      <w:r>
        <w:rPr>
          <w:sz w:val="18"/>
        </w:rPr>
        <w:t>——————————————————————————————————————————————————————————————————————</w:t>
      </w:r>
    </w:p>
    <w:p>
      <w:pPr>
        <w:spacing w:before="160" w:after="40" w:line="240" w:lineRule="auto"/>
      </w:pPr>
      <w:r>
        <w:rPr>
          <w:b/>
        </w:rPr>
        <w:t xml:space="preserve">[271] </w:t>
      </w:r>
      <w:hyperlink r:id="rId733">
        <w:r>
          <w:rPr>
            <w:color w:val="1155CC"/>
            <w:u w:val="single"/>
          </w:rPr>
          <w:t>对可溶性糖和淀粉的不同性状控制是树木碳水化合物储存全球策略的基础</w:t>
        </w:r>
      </w:hyperlink>
    </w:p>
    <w:p>
      <w:pPr>
        <w:spacing w:before="0" w:after="80"/>
      </w:pPr>
      <w:r>
        <w:rPr>
          <w:i/>
          <w:sz w:val="20"/>
        </w:rPr>
        <w:t>EN: Divergent trait controls on soluble sugars and starch underlie global strategies of tree carbohydrate storage</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34">
        <w:r>
          <w:rPr>
            <w:color w:val="1155CC"/>
            <w:u w:val="single"/>
          </w:rPr>
          <w:t>10.1073/pnas.2605066123</w:t>
        </w:r>
      </w:hyperlink>
    </w:p>
    <w:p>
      <w:pPr>
        <w:spacing w:before="0" w:after="120"/>
      </w:pPr>
      <w:r>
        <w:rPr>
          <w:b/>
        </w:rPr>
        <w:t xml:space="preserve">Notes: </w:t>
      </w:r>
      <w:r>
        <w:t>abstract_source=crossref</w:t>
      </w:r>
    </w:p>
    <w:p>
      <w:pPr>
        <w:spacing w:before="0" w:after="80" w:lineRule="auto" w:line="276"/>
      </w:pPr>
      <w:r>
        <w:rPr>
          <w:b/>
        </w:rPr>
        <w:t xml:space="preserve">摘要（ZH）: </w:t>
      </w:r>
      <w:r>
        <w:t>非结构碳水化合物（NSC）储存缓冲树的代谢、渗透调节和防御，从而调节极端气候下的耐受性和生存。然而，NSC种间变异的功能和进化决定因素仍然难以捉摸，限制了对全球变化下森林碳分配和死亡率的理解和预测。在这里，我们对来自全球 102 个混合森林群落的 281 种木本物种的多个器官的 NSC 浓度进行了跨物种综合，其中我们量化了物种特异性与群落平均值的偏差，以理清环境和方法变异对内在性状的影响。我们发现 NSC 偏差中存在系统发育信号，针叶树裸子植物和常绿植物始终分别比同时存在的被子植物和落叶植物保持较低的茎可溶性糖和淀粉浓度。出现了一种全球模式，其中气孔对叶水势的敏感性增加与糖和淀粉相对浓度的下降有关。相反，木质部水力安全性状与 NSC 浓度的关系较弱且依赖于器官。糖随着光合作用能力的增加而增加，随着木材密度的增加而减少，而淀粉则表现出相反的模式，这与糖和淀粉的独特功能代谢作用相一致。通过将基于性状的生态学与以群落为中心的框架相结合，我们的研究提供了气孔调节、光合能力、比叶面积和木材密度的全球证据</w:t>
      </w:r>
    </w:p>
    <w:p>
      <w:pPr>
        <w:spacing w:before="0" w:after="200" w:lineRule="auto" w:line="276"/>
      </w:pPr>
      <w:r>
        <w:rPr>
          <w:b/>
        </w:rPr>
        <w:t xml:space="preserve">Abstract (EN): </w:t>
      </w:r>
      <w:r>
        <w:t>Nonstructural carbohydrate (NSC) stores buffer tree metabolism, osmotic regulation, and defense, thereby mediating tolerance and survival under climate extremes. Yet, the functional and evolutionary determinants of interspecific variation in NSC remain elusive, limiting understanding and prediction of forest carbon allocation and mortality under global change. Here, we present a cross-species synthesis of NSC concentrations across multiple organs for 281 woody species from 102 mixed forest communities worldwide, where we quantified species-specific deviations from community means to disentangle intrinsic trait effects from environmental and methodological variation. We found phylogenetic signals in NSC deviations, with coniferous gymnosperms and evergreen species consistently maintaining lower stem soluble sugars and starch concentrations than co-occurring angiosperms and deciduous species, respectively. A global pattern emerged where greater stomatal sensitivity to leaf water potential was associated with declines in the relative concentrations of both sugars and starch. In contrast, xylem hydraulic safety traits showed weak and organ-dependent relationships with NSC concentrations. Sugars increased with photosynthetic capacity and declined with wood density, whereas starch showed the reverse pattern, which aligned with the distinct functional-metabolic roles of sugars and starch. By integrating trait-based ecology with a community-centered framework, our study provides global evidence that stomatal regulation, photosynthetic capacity, specific leaf area, and wood density jointly govern interspecific NSC variation, through contrasting effects on sugars and starch. These are among the most broadly measured traits globally, thus the emergent carbohydrate–trait relationships can have broad applications toward understanding and predicting forest growth and survival under climate change.</w:t>
      </w:r>
    </w:p>
    <w:p>
      <w:pPr>
        <w:spacing w:before="120" w:after="120"/>
      </w:pPr>
      <w:r>
        <w:rPr>
          <w:sz w:val="18"/>
        </w:rPr>
        <w:t>——————————————————————————————————————————————————————————————————————</w:t>
      </w:r>
    </w:p>
    <w:p>
      <w:pPr>
        <w:spacing w:before="160" w:after="40" w:line="240" w:lineRule="auto"/>
      </w:pPr>
      <w:r>
        <w:rPr>
          <w:b/>
        </w:rPr>
        <w:t xml:space="preserve">[272] </w:t>
      </w:r>
      <w:hyperlink r:id="rId735">
        <w:r>
          <w:rPr>
            <w:color w:val="1155CC"/>
            <w:u w:val="single"/>
          </w:rPr>
          <w:t>细胞中间体的鉴定揭示了艰难梭菌鞭毛聚糖生物合成的独特酶</w:t>
        </w:r>
      </w:hyperlink>
    </w:p>
    <w:p>
      <w:pPr>
        <w:spacing w:before="0" w:after="80"/>
      </w:pPr>
      <w:r>
        <w:rPr>
          <w:i/>
          <w:sz w:val="20"/>
        </w:rPr>
        <w:t>EN: Identification of cellular intermediates unveils unique enzymes for flagellar glycan biosynthesis in Clostridioides difficile</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36">
        <w:r>
          <w:rPr>
            <w:color w:val="1155CC"/>
            <w:u w:val="single"/>
          </w:rPr>
          <w:t>10.1073/pnas.2604811123</w:t>
        </w:r>
      </w:hyperlink>
    </w:p>
    <w:p>
      <w:pPr>
        <w:spacing w:before="0" w:after="120"/>
      </w:pPr>
      <w:r>
        <w:rPr>
          <w:b/>
        </w:rPr>
        <w:t xml:space="preserve">Notes: </w:t>
      </w:r>
      <w:r>
        <w:t>abstract_source=crossref</w:t>
      </w:r>
    </w:p>
    <w:p>
      <w:pPr>
        <w:spacing w:before="0" w:after="80" w:lineRule="auto" w:line="276"/>
      </w:pPr>
      <w:r>
        <w:rPr>
          <w:b/>
        </w:rPr>
        <w:t xml:space="preserve">摘要（ZH）: </w:t>
      </w:r>
      <w:r>
        <w:t>细菌表面蛋白（例如鞭毛蛋白 (FliC)）的糖基化对其功能很重要，并且通常与病原体的毒力有关。聚糖可以通过所谓的糖基化后修饰 (PGM) 进行进一步修饰，通常会产生独特的分子结构。在</w:t>
      </w:r>
      <w:r>
        <w:t xml:space="preserve"> </w:t>
      </w:r>
      <w:r>
        <w:t>艰难梭菌，</w:t>
      </w:r>
      <w:r>
        <w:t xml:space="preserve"> </w:t>
      </w:r>
      <w:r>
        <w:t>独特的聚糖结构（A 型）装饰 FliC（形成鞭毛丝），该结构由</w:t>
      </w:r>
      <w:r>
        <w:t xml:space="preserve"> </w:t>
      </w:r>
      <w:r>
        <w:t>氧</w:t>
      </w:r>
      <w:r>
        <w:t xml:space="preserve"> </w:t>
      </w:r>
      <w:r>
        <w:t>-链接的</w:t>
      </w:r>
      <w:r>
        <w:t xml:space="preserve"> </w:t>
      </w:r>
      <w:r>
        <w:t>氮</w:t>
      </w:r>
      <w:r>
        <w:t xml:space="preserve"> </w:t>
      </w:r>
      <w:r>
        <w:t>-乙酰基-β-</w:t>
      </w:r>
      <w:r>
        <w:t>d</w:t>
      </w:r>
      <w:r>
        <w:t xml:space="preserve"> </w:t>
      </w:r>
      <w:r>
        <w:t>-用葡萄糖胺（GlcNAc）修饰</w:t>
      </w:r>
      <w:r>
        <w:t xml:space="preserve"> </w:t>
      </w:r>
      <w:r>
        <w:t>氮</w:t>
      </w:r>
      <w:r>
        <w:t xml:space="preserve"> </w:t>
      </w:r>
      <w:r>
        <w:t>-甲基-L-苏氨酸通过磷酸二酯键。该 PGM 由一个操纵子编码的一组四种酶合成（</w:t>
      </w:r>
      <w:r>
        <w:t xml:space="preserve"> </w:t>
      </w:r>
      <w:r>
        <w:t>ftaABCD</w:t>
      </w:r>
      <w:r>
        <w:t xml:space="preserve"> </w:t>
      </w:r>
      <w:r>
        <w:t>），但确切的生物合成途径和生物合成中间体仍然未知。在这项研究中，我们化学合成了两种迄今为止未描述的生物合成中间体，我们根据生物信息学分析预测了它们，CDP-苏氨酸和CDP-</w:t>
      </w:r>
      <w:r>
        <w:t>氮</w:t>
      </w:r>
      <w:r>
        <w:t xml:space="preserve"> </w:t>
      </w:r>
      <w:r>
        <w:t>-甲基苏氨酸。我们证明它们参与 A 型 PGM 生物合成，对一组提取物的质谱分析证明了这一点。</w:t>
      </w:r>
      <w:r>
        <w:t xml:space="preserve"> </w:t>
      </w:r>
      <w:r>
        <w:t>艰难梭菌</w:t>
      </w:r>
      <w:r>
        <w:t xml:space="preserve"> </w:t>
      </w:r>
      <w:r>
        <w:t>突变株。此外，我们将 FtaC 描述为 SAM 依赖性 CDP-苏氨酸</w:t>
      </w:r>
      <w:r>
        <w:t xml:space="preserve"> </w:t>
      </w:r>
      <w:r>
        <w:t>氮</w:t>
      </w:r>
      <w:r>
        <w:t xml:space="preserve"> </w:t>
      </w:r>
      <w:r>
        <w:t>-甲基转移酶，在将PGM转移至GlcNAc-FliC之前将甲基安装在CDP-苏氨酸上，</w:t>
      </w:r>
    </w:p>
    <w:p>
      <w:pPr>
        <w:spacing w:before="0" w:after="200" w:lineRule="auto" w:line="276"/>
      </w:pPr>
      <w:r>
        <w:rPr>
          <w:b/>
        </w:rPr>
        <w:t xml:space="preserve">Abstract (EN): </w:t>
      </w:r>
      <w:r>
        <w:t>Glycosylation of bacterial surface proteins, such as flagellin (FliC), is important for their function and is often involved in virulence of pathogens. Glycans can be further modified by so-called postglycosylation modifications (PGMs), often resulting in exclusive molecular structures. In</w:t>
      </w:r>
      <w:r>
        <w:t xml:space="preserve"> </w:t>
      </w:r>
      <w:r>
        <w:t>Clostridioides difficile,</w:t>
      </w:r>
      <w:r>
        <w:t xml:space="preserve"> </w:t>
      </w:r>
      <w:r>
        <w:t>a unique glycan structure (Type A) decorates FliC (which forms the flagellar filament) that consists of an</w:t>
      </w:r>
      <w:r>
        <w:t xml:space="preserve"> </w:t>
      </w:r>
      <w:r>
        <w:t>O</w:t>
      </w:r>
      <w:r>
        <w:t xml:space="preserve"> </w:t>
      </w:r>
      <w:r>
        <w:t>-linked</w:t>
      </w:r>
      <w:r>
        <w:t xml:space="preserve"> </w:t>
      </w:r>
      <w:r>
        <w:t>N</w:t>
      </w:r>
      <w:r>
        <w:t xml:space="preserve"> </w:t>
      </w:r>
      <w:r>
        <w:t>-acetyl-β-</w:t>
      </w:r>
      <w:r>
        <w:t>d</w:t>
      </w:r>
      <w:r>
        <w:t xml:space="preserve"> </w:t>
      </w:r>
      <w:r>
        <w:t>-glucosamine (GlcNAc) modified with an</w:t>
      </w:r>
      <w:r>
        <w:t xml:space="preserve"> </w:t>
      </w:r>
      <w:r>
        <w:t>N</w:t>
      </w:r>
      <w:r>
        <w:t xml:space="preserve"> </w:t>
      </w:r>
      <w:r>
        <w:t>-methyl-L-threonine via a phosphodiester linkage. This PGM is synthesized by a set of four enzymes encoded in one operon (</w:t>
      </w:r>
      <w:r>
        <w:t xml:space="preserve"> </w:t>
      </w:r>
      <w:r>
        <w:t>ftaABCD</w:t>
      </w:r>
      <w:r>
        <w:t xml:space="preserve"> </w:t>
      </w:r>
      <w:r>
        <w:t>), but the exact biosynthesis pathway and biosynthetic intermediates remain unknown. In this study, we chemically synthesized two hitherto undescribed biosynthetic intermediates that we predicted based on bioinformatic analyses, CDP-threonine and CDP-</w:t>
      </w:r>
      <w:r>
        <w:t>N</w:t>
      </w:r>
      <w:r>
        <w:t xml:space="preserve"> </w:t>
      </w:r>
      <w:r>
        <w:t>-methylthreonine. We showed that they are involved in the Type A PGM biosynthesis, as evidenced by mass spectrometric analyses of extracts of a set of</w:t>
      </w:r>
      <w:r>
        <w:t xml:space="preserve"> </w:t>
      </w:r>
      <w:r>
        <w:t>C. difficile</w:t>
      </w:r>
      <w:r>
        <w:t xml:space="preserve"> </w:t>
      </w:r>
      <w:r>
        <w:t>mutant strains. Furthermore, we characterized FtaC to be a SAM-dependent CDP-threonine</w:t>
      </w:r>
      <w:r>
        <w:t xml:space="preserve"> </w:t>
      </w:r>
      <w:r>
        <w:t>N</w:t>
      </w:r>
      <w:r>
        <w:t xml:space="preserve"> </w:t>
      </w:r>
      <w:r>
        <w:t>-methyltransferase that installs the methyl group on CDP-threonine prior to transfer of the PGM to GlcNAc-FliC, and we revealed FtaD as the CDP-</w:t>
      </w:r>
      <w:r>
        <w:t>N</w:t>
      </w:r>
      <w:r>
        <w:t xml:space="preserve"> </w:t>
      </w:r>
      <w:r>
        <w:t>-methylthreonine:GlcNAc</w:t>
      </w:r>
      <w:r>
        <w:t xml:space="preserve"> </w:t>
      </w:r>
      <w:r>
        <w:t>N</w:t>
      </w:r>
      <w:r>
        <w:t xml:space="preserve"> </w:t>
      </w:r>
      <w:r>
        <w:t>-methylthreoninephosphotransferase. Finally, using recombinantly expressed FtaC and FtaD in combination with synthetic CDP-threonine, we reconstituted the biosynthesis pathway of the Type A PGM in vitro. Overall, our results open avenues to explore these unique biosynthesis enzymes in molecular detail to provide new points of entry for the development of biosynthesis inhibitors and tools to study the role of this PGM in virulence and flagellar function.</w:t>
      </w:r>
    </w:p>
    <w:p>
      <w:pPr>
        <w:spacing w:before="120" w:after="120"/>
      </w:pPr>
      <w:r>
        <w:rPr>
          <w:sz w:val="18"/>
        </w:rPr>
        <w:t>——————————————————————————————————————————————————————————————————————</w:t>
      </w:r>
    </w:p>
    <w:p>
      <w:pPr>
        <w:spacing w:before="160" w:after="40" w:line="240" w:lineRule="auto"/>
      </w:pPr>
      <w:r>
        <w:rPr>
          <w:b/>
        </w:rPr>
        <w:t xml:space="preserve">[273] </w:t>
      </w:r>
      <w:hyperlink r:id="rId737">
        <w:r>
          <w:rPr>
            <w:color w:val="1155CC"/>
            <w:u w:val="single"/>
          </w:rPr>
          <w:t>GUN4 的共价植物胆素加合物暗示叶绿素生物合成中的光保护机制</w:t>
        </w:r>
      </w:hyperlink>
    </w:p>
    <w:p>
      <w:pPr>
        <w:spacing w:before="0" w:after="80"/>
      </w:pPr>
      <w:r>
        <w:rPr>
          <w:i/>
          <w:sz w:val="20"/>
        </w:rPr>
        <w:t>EN: Covalent phytobilin adducts of GUN4 implicate a photoprotective mechanism in chlorophyll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38">
        <w:r>
          <w:rPr>
            <w:color w:val="1155CC"/>
            <w:u w:val="single"/>
          </w:rPr>
          <w:t>10.1073/pnas.2533100123</w:t>
        </w:r>
      </w:hyperlink>
    </w:p>
    <w:p>
      <w:pPr>
        <w:spacing w:before="0" w:after="120"/>
      </w:pPr>
      <w:r>
        <w:rPr>
          <w:b/>
        </w:rPr>
        <w:t xml:space="preserve">Notes: </w:t>
      </w:r>
      <w:r>
        <w:t>abstract_source=crossref</w:t>
      </w:r>
    </w:p>
    <w:p>
      <w:pPr>
        <w:spacing w:before="0" w:after="80" w:lineRule="auto" w:line="276"/>
      </w:pPr>
      <w:r>
        <w:rPr>
          <w:b/>
        </w:rPr>
        <w:t xml:space="preserve">摘要（ZH）: </w:t>
      </w:r>
      <w:r>
        <w:t>在绿藻中</w:t>
      </w:r>
      <w:r>
        <w:t xml:space="preserve"> </w:t>
      </w:r>
      <w:r>
        <w:t>莱茵衣藻，</w:t>
      </w:r>
      <w:r>
        <w:t xml:space="preserve"> </w:t>
      </w:r>
      <w:r>
        <w:t>光胁迫下叶绿素合成的损失与镁螯合酶 (MgCh) 的卟啉结合 H 亚基 (CHLH1) 的降解有关。由于缺少 GENOMES UNCOUPLED 4 蛋白 (GUN4) 或其藻蓝蛋白 (PCB) 配体，这种降解会加剧。 PCB 是由血红素通过血红素加氧酶 HMOX1 和铁氧还蛋白依赖性胆碱还原酶 (FDBR) 的作用合成的，FDBR 是产氧光养生物中普遍存在的酶家族。我们表明</w:t>
      </w:r>
      <w:r>
        <w:t xml:space="preserve"> </w:t>
      </w:r>
      <w:r>
        <w:t>莱茵衣藻</w:t>
      </w:r>
      <w:r>
        <w:t xml:space="preserve"> </w:t>
      </w:r>
      <w:r>
        <w:t>缺乏 GUN4 和/或 HMOX1 的细胞会积累 MgCh 底物原卟啉 IX (PPIX)，这是一种有效的单线态氧发生器。</w:t>
      </w:r>
      <w:r>
        <w:rPr>
          <w:vertAlign w:val="subscript"/>
        </w:rPr>
        <w:t>1</w:t>
      </w:r>
      <w:r>
        <w:t>氧</w:t>
      </w:r>
      <w:r>
        <w:t xml:space="preserve"> </w:t>
      </w:r>
      <w:r>
        <w:rPr>
          <w:vertAlign w:val="subscript"/>
        </w:rPr>
        <w:t>2</w:t>
      </w:r>
      <w:r>
        <w:t xml:space="preserve"> </w:t>
      </w:r>
      <w:r>
        <w:t>）。 CHLH1 不稳定</w:t>
      </w:r>
      <w:r>
        <w:t xml:space="preserve"> </w:t>
      </w:r>
      <w:r>
        <w:t>枪4</w:t>
      </w:r>
      <w:r>
        <w:t xml:space="preserve"> </w:t>
      </w:r>
      <w:r>
        <w:t>或</w:t>
      </w:r>
      <w:r>
        <w:t xml:space="preserve"> </w:t>
      </w:r>
      <w:r>
        <w:t>氧化氢酶1</w:t>
      </w:r>
      <w:r>
        <w:t xml:space="preserve"> </w:t>
      </w:r>
      <w:r>
        <w:t>突变体，可以通过删除已知的胞质来挽救的表型</w:t>
      </w:r>
      <w:r>
        <w:rPr>
          <w:vertAlign w:val="subscript"/>
        </w:rPr>
        <w:t>1</w:t>
      </w:r>
      <w:r>
        <w:t>氧</w:t>
      </w:r>
      <w:r>
        <w:rPr>
          <w:vertAlign w:val="subscript"/>
        </w:rPr>
        <w:t>2</w:t>
      </w:r>
      <w:r>
        <w:t>反应蛋白 SAK1 或 SOR1。 GUN4 色氨酸残基在 PPIX 和近紫外光 (nUV) 存在下被氧化，并且在 PCB 存在下看到的 GUN4 的光谱变化被 PPIX 和 nUV 消除。 PPIX、PCB 和 nUV 的结合导致形成共价 GUN4-bilin 加合物。此类加合物在体内和体外均形成，并且也在蓝藻和植物的 GUN4 蛋白中形成。在 GUN4 变体中，加合物形成的丧失导致</w:t>
      </w:r>
    </w:p>
    <w:p>
      <w:pPr>
        <w:spacing w:before="0" w:after="200" w:lineRule="auto" w:line="276"/>
      </w:pPr>
      <w:r>
        <w:rPr>
          <w:b/>
        </w:rPr>
        <w:t xml:space="preserve">Abstract (EN): </w:t>
      </w:r>
      <w:r>
        <w:t>In the green alga</w:t>
      </w:r>
      <w:r>
        <w:t xml:space="preserve"> </w:t>
      </w:r>
      <w:r>
        <w:t>Chlamydomonas reinhardtii,</w:t>
      </w:r>
      <w:r>
        <w:t xml:space="preserve"> </w:t>
      </w:r>
      <w:r>
        <w:t>loss of chlorophyll synthesis under light stress is associated with degradation of the porphyrin-binding H-subunit (CHLH1) of magnesium chelatase (MgCh). This degradation is exacerbated by the absence of GENOMES UNCOUPLED 4 protein (GUN4) or its phycocyanobilin (PCB) ligand. PCB is synthesized from heme via the action of heme oxygenase HMOX1 followed by a ferredoxin-dependent bilin reductase (FDBR), a ubiquitous enzyme family in oxyphototrophs. We show that</w:t>
      </w:r>
      <w:r>
        <w:t xml:space="preserve"> </w:t>
      </w:r>
      <w:r>
        <w:t>C. reinhardtii</w:t>
      </w:r>
      <w:r>
        <w:t xml:space="preserve"> </w:t>
      </w:r>
      <w:r>
        <w:t>cells lacking GUN4 and/or HMOX1 accumulate the MgCh substrate protoporphyrin IX (PPIX), a potent generator of singlet oxygen (</w:t>
      </w:r>
      <w:r>
        <w:rPr>
          <w:vertAlign w:val="subscript"/>
        </w:rPr>
        <w:t>1</w:t>
      </w:r>
      <w:r>
        <w:t>O</w:t>
      </w:r>
      <w:r>
        <w:t xml:space="preserve"> </w:t>
      </w:r>
      <w:r>
        <w:rPr>
          <w:vertAlign w:val="subscript"/>
        </w:rPr>
        <w:t>2</w:t>
      </w:r>
      <w:r>
        <w:t xml:space="preserve"> </w:t>
      </w:r>
      <w:r>
        <w:t>). CHLH1 is unstable in</w:t>
      </w:r>
      <w:r>
        <w:t xml:space="preserve"> </w:t>
      </w:r>
      <w:r>
        <w:t>gun4</w:t>
      </w:r>
      <w:r>
        <w:t xml:space="preserve"> </w:t>
      </w:r>
      <w:r>
        <w:t>or</w:t>
      </w:r>
      <w:r>
        <w:t xml:space="preserve"> </w:t>
      </w:r>
      <w:r>
        <w:t>hmox1</w:t>
      </w:r>
      <w:r>
        <w:t xml:space="preserve"> </w:t>
      </w:r>
      <w:r>
        <w:t>mutants, phenotypes that can be rescued by deletion of known cytosolic</w:t>
      </w:r>
      <w:r>
        <w:rPr>
          <w:vertAlign w:val="subscript"/>
        </w:rPr>
        <w:t>1</w:t>
      </w:r>
      <w:r>
        <w:t>O</w:t>
      </w:r>
      <w:r>
        <w:rPr>
          <w:vertAlign w:val="subscript"/>
        </w:rPr>
        <w:t>2</w:t>
      </w:r>
      <w:r>
        <w:t>response proteins SAK1 or SOR1. GUN4 Trp residues are oxidized in the presence of PPIX and near-ultraviolet light (nUV), and spectroscopic changes in GUN4 seen in the presence of PCB are ablated by PPIX and nUV. The combination of PPIX, PCB, and nUV result in formation of covalent GUN4–bilin adducts. Such adducts are formed both in vivo and in vitro and are also formed in GUN4 proteins from cyanobacteria and plants. In GUN4 variants, loss of adduct formation correlates with Chlamydomonas growth defects under light stress. We propose that phytobilin adduct formation provides a mechanism for detoxifying</w:t>
      </w:r>
      <w:r>
        <w:rPr>
          <w:vertAlign w:val="subscript"/>
        </w:rPr>
        <w:t>1</w:t>
      </w:r>
      <w:r>
        <w:t>O</w:t>
      </w:r>
      <w:r>
        <w:rPr>
          <w:vertAlign w:val="subscript"/>
        </w:rPr>
        <w:t>2</w:t>
      </w:r>
      <w:r>
        <w:t>and sustaining chlorophyll synthesis in the presence of light and oxygen, thereby explaining the ubiquity of FDBRs in eukaryotic algae.</w:t>
      </w:r>
    </w:p>
    <w:p>
      <w:pPr>
        <w:spacing w:before="120" w:after="120"/>
      </w:pPr>
      <w:r>
        <w:rPr>
          <w:sz w:val="18"/>
        </w:rPr>
        <w:t>——————————————————————————————————————————————————————————————————————</w:t>
      </w:r>
    </w:p>
    <w:p>
      <w:pPr>
        <w:spacing w:before="160" w:after="40" w:line="240" w:lineRule="auto"/>
      </w:pPr>
      <w:r>
        <w:rPr>
          <w:b/>
        </w:rPr>
        <w:t xml:space="preserve">[274] </w:t>
      </w:r>
      <w:hyperlink r:id="rId739">
        <w:r>
          <w:rPr>
            <w:color w:val="1155CC"/>
            <w:u w:val="single"/>
          </w:rPr>
          <w:t>海马跨区域星形胶质细胞依赖性化生</w:t>
        </w:r>
      </w:hyperlink>
    </w:p>
    <w:p>
      <w:pPr>
        <w:spacing w:before="0" w:after="80"/>
      </w:pPr>
      <w:r>
        <w:rPr>
          <w:i/>
          <w:sz w:val="20"/>
        </w:rPr>
        <w:t>EN: Transregional astrocyte-dependent metaplasticity in the hippocampus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40">
        <w:r>
          <w:rPr>
            <w:color w:val="1155CC"/>
            <w:u w:val="single"/>
          </w:rPr>
          <w:t>10.1073/pnas.2536065123</w:t>
        </w:r>
      </w:hyperlink>
    </w:p>
    <w:p>
      <w:pPr>
        <w:spacing w:before="0" w:after="120"/>
      </w:pPr>
      <w:r>
        <w:rPr>
          <w:b/>
        </w:rPr>
        <w:t xml:space="preserve">Notes: </w:t>
      </w:r>
      <w:r>
        <w:t>abstract_source=crossref</w:t>
      </w:r>
    </w:p>
    <w:p>
      <w:pPr>
        <w:spacing w:before="0" w:after="80" w:lineRule="auto" w:line="276"/>
      </w:pPr>
      <w:r>
        <w:rPr>
          <w:b/>
        </w:rPr>
        <w:t xml:space="preserve">摘要（ZH）: </w:t>
      </w:r>
      <w:r>
        <w:t>与学习相关的突触可塑性受到化塑性的调节，化塑性以活动依赖的方式调整可塑性阈值。我们之前描述了一种异树突形式的化塑性，其中定向层（SO）的启动刺激抑制海马 CA1 区邻近辐射层随后的长时程增强（LTP）。在这里，我们报告这种化塑性是跨区域的，因为 SO 启动刺激还抑制了齿状回 (DG) 中分子层 (MML) 突触的后期 LTP 诱导，无论是体外还是体内。这种效应跨海马裂起作用，并且在 CA3 缺失的情况下发生，突出了以前未被认识到的反向和长距离海马串扰。我们的研究结果表明，星形胶质细胞在 SO 启动引起钙离子频率增加（Ca</w:t>
      </w:r>
      <w:r>
        <w:t xml:space="preserve"> </w:t>
      </w:r>
      <w:r>
        <w:t>2+</w:t>
      </w:r>
      <w:r>
        <w:t xml:space="preserve"> </w:t>
      </w:r>
      <w:r>
        <w:t>) 事件发生在 DG MML 中的星形胶质细胞中，而化塑性效应则被 MML 星形胶质细胞中的钙缓冲所阻断。它可以通过 M1 毒蕈碱乙酰胆碱受体或 II 类代谢型谷氨酸受体的激活来触发，并且严重依赖于肌醇 1,4,5-三磷酸受体 2 型信号传导。 LTP 的跨区域抑制是由星形胶质细胞释放肿瘤坏死因子 (TNF) 介导的，肿瘤坏死因子 (TNF) 可能以自分泌方式作用于星形胶质细胞 TNF 1 型受体 (TNFR1)。在 TNF-TNFR1 信号下游，MML LTP 的抑制是通过激活含有 GluN2B 的 N-甲基-D-asp 介导的</w:t>
      </w:r>
    </w:p>
    <w:p>
      <w:pPr>
        <w:spacing w:before="0" w:after="200" w:lineRule="auto" w:line="276"/>
      </w:pPr>
      <w:r>
        <w:rPr>
          <w:b/>
        </w:rPr>
        <w:t xml:space="preserve">Abstract (EN): </w:t>
      </w:r>
      <w:r>
        <w:t>Learning-related synaptic plasticity is regulated by metaplasticity, which adjusts plasticity thresholds in an activity-dependent manner. We have previously described a heterodendritic form of metaplasticity whereby priming stimulation in stratum oriens (SO) inhibits subsequent long-term potentiation (LTP) in the neighboring stratum radiatum of the hippocampal CA1 region. Here, we report that this metaplasticity is transregional, in that the SO priming stimulation also inhibits later LTP induction at dentate gyrus (DG) middle molecular layer (MML) synapses, both in vitro and in vivo. This effect operates across the hippocampal fissure and occurs in the absence of CA3, highlighting a previously unappreciated reverse-direction and long-distance hippocampal crosstalk. Our findings demonstrate an essential role of astrocytes as SO priming elicited an increase in the frequency of calcium (Ca</w:t>
      </w:r>
      <w:r>
        <w:t xml:space="preserve"> </w:t>
      </w:r>
      <w:r>
        <w:t>2+</w:t>
      </w:r>
      <w:r>
        <w:t xml:space="preserve"> </w:t>
      </w:r>
      <w:r>
        <w:t>) events in astrocytes in the DG MML, while the metaplasticity effect was blocked by calcium-buffering in MML astrocytes. It could be triggered by either activation of M1 muscarinic acetylcholine receptors or group II metabotropic glutamate receptors, and was critically dependent on inositol 1,4,5-trisphosphate receptor type 2 signaling. The transregional inhibition of LTP was mediated by astrocytic release of tumor necrosis factor (TNF), which likely acts in an autocrine fashion on astrocytic TNF type 1 receptors (TNFR1s). Downstream of TNF-TNFR1 signaling, the inhibition of MML LTP was mediated by the activation of GluN2B-containing N-methyl-D-aspartate receptors. Thus, a complex, bidirectional neuron–glia signaling cascade orchestrates long-distance metaplasticity across hippocampal subregions, providing a framework for understanding how hippocampal neuronal networks dynamically regulate plasticity thresholds across space and time.</w:t>
      </w:r>
    </w:p>
    <w:p>
      <w:pPr>
        <w:spacing w:before="120" w:after="120"/>
      </w:pPr>
      <w:r>
        <w:rPr>
          <w:sz w:val="18"/>
        </w:rPr>
        <w:t>——————————————————————————————————————————————————————————————————————</w:t>
      </w:r>
    </w:p>
    <w:p>
      <w:pPr>
        <w:spacing w:before="160" w:after="40" w:line="240" w:lineRule="auto"/>
      </w:pPr>
      <w:r>
        <w:rPr>
          <w:b/>
        </w:rPr>
        <w:t xml:space="preserve">[275] </w:t>
      </w:r>
      <w:hyperlink r:id="rId741">
        <w:r>
          <w:rPr>
            <w:color w:val="1155CC"/>
            <w:u w:val="single"/>
          </w:rPr>
          <w:t>引起慢性神经系统感染的人类和动物麻疹病毒株具有共同的关键基因型和表型特征</w:t>
        </w:r>
      </w:hyperlink>
    </w:p>
    <w:p>
      <w:pPr>
        <w:spacing w:before="0" w:after="80"/>
      </w:pPr>
      <w:r>
        <w:rPr>
          <w:i/>
          <w:sz w:val="20"/>
        </w:rPr>
        <w:t>EN: Human and animal morbillivirus strains causing chronic neurological infections share key genotypic and phenotypic traits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42">
        <w:r>
          <w:rPr>
            <w:color w:val="1155CC"/>
            <w:u w:val="single"/>
          </w:rPr>
          <w:t>10.1073/pnas.2604205123</w:t>
        </w:r>
      </w:hyperlink>
    </w:p>
    <w:p>
      <w:pPr>
        <w:spacing w:before="0" w:after="120"/>
      </w:pPr>
      <w:r>
        <w:rPr>
          <w:b/>
        </w:rPr>
        <w:t xml:space="preserve">Notes: </w:t>
      </w:r>
      <w:r>
        <w:t>abstract_source=crossref</w:t>
      </w:r>
    </w:p>
    <w:p>
      <w:pPr>
        <w:spacing w:before="0" w:after="80" w:lineRule="auto" w:line="276"/>
      </w:pPr>
      <w:r>
        <w:rPr>
          <w:b/>
        </w:rPr>
        <w:t xml:space="preserve">摘要（ZH）: </w:t>
      </w:r>
      <w:r>
        <w:t>中枢神经系统（CNS）的长期持续麻疹病毒（MeV）感染可导致亚急性硬化性全脑炎（SSPE），这是麻疹的一种致命的晚期神经系统并发症。类似的 SSPE 样慢性疾病也已在成年犬、鲸目动物和最近的斑海豹中报道，分别感染犬瘟热病毒 (CDV)、海豚麻疹病毒 (DMV) 和海麻犬瘟热病毒 (PDV)。在这里，我们描述了不同动物麻疹病毒（CDV</w:t>
      </w:r>
      <w:r>
        <w:t xml:space="preserve"> </w:t>
      </w:r>
      <w:r>
        <w:t>山猫</w:t>
      </w:r>
      <w:r>
        <w:t xml:space="preserve"> </w:t>
      </w:r>
      <w:r>
        <w:t>,PDV</w:t>
      </w:r>
      <w:r>
        <w:t xml:space="preserve"> </w:t>
      </w:r>
      <w:r>
        <w:t>2001年</w:t>
      </w:r>
      <w:r>
        <w:t xml:space="preserve"> </w:t>
      </w:r>
      <w:r>
        <w:t>,PDV</w:t>
      </w:r>
      <w:r>
        <w:t xml:space="preserve"> </w:t>
      </w:r>
      <w:r>
        <w:t>2014年</w:t>
      </w:r>
      <w:r>
        <w:t xml:space="preserve"> </w:t>
      </w:r>
      <w:r>
        <w:t>和DMV</w:t>
      </w:r>
      <w:r>
        <w:t xml:space="preserve"> </w:t>
      </w:r>
      <w:r>
        <w:t>232-18</w:t>
      </w:r>
      <w:r>
        <w:t xml:space="preserve"> </w:t>
      </w:r>
      <w:r>
        <w:t>）在初次感染后，它们在各自宿主物种的中枢神经系统中持续存在数年。新奥德</w:t>
      </w:r>
      <w:r>
        <w:t xml:space="preserve"> </w:t>
      </w:r>
      <w:r>
        <w:t>山猫</w:t>
      </w:r>
      <w:r>
        <w:t xml:space="preserve"> </w:t>
      </w:r>
      <w:r>
        <w:t>和机动车辆管理局</w:t>
      </w:r>
      <w:r>
        <w:t xml:space="preserve"> </w:t>
      </w:r>
      <w:r>
        <w:t>232-18</w:t>
      </w:r>
      <w:r>
        <w:t xml:space="preserve"> </w:t>
      </w:r>
      <w:r>
        <w:t>菌株编码非功能性基质蛋白和超融合融合蛋白，这是 SSPE MeV 菌株的标志性特征。 PDV 中明显的复杂突变谱</w:t>
      </w:r>
      <w:r>
        <w:t xml:space="preserve"> </w:t>
      </w:r>
      <w:r>
        <w:t>2001年</w:t>
      </w:r>
      <w:r>
        <w:t xml:space="preserve"> </w:t>
      </w:r>
      <w:r>
        <w:t>该菌株也与 SSPE 病例中的 MeV 菌株有相似之处。相比之下，PDV</w:t>
      </w:r>
      <w:r>
        <w:t xml:space="preserve"> </w:t>
      </w:r>
      <w:r>
        <w:t>2014年</w:t>
      </w:r>
      <w:r>
        <w:t xml:space="preserve"> </w:t>
      </w:r>
      <w:r>
        <w:t>该菌株编码非功能性基质蛋白，但编码未修饰的 F 蛋白，支持 M 蛋白变化在促进中枢神经系统长期麻疹病毒感染方面的进化优先性。因此，我们的研究结果表明，不同动物物种之间相似的进化途径驱动了疾病</w:t>
      </w:r>
    </w:p>
    <w:p>
      <w:pPr>
        <w:spacing w:before="0" w:after="200" w:lineRule="auto" w:line="276"/>
      </w:pPr>
      <w:r>
        <w:rPr>
          <w:b/>
        </w:rPr>
        <w:t xml:space="preserve">Abstract (EN): </w:t>
      </w:r>
      <w:r>
        <w:t>Long-term persistent measles virus (MeV) infection of the central nervous system (CNS) can result in subacute sclerosing panencephalitis (SSPE), an invariably fatal late neurological complication of measles. Analogous SSPE-like chronic diseases have also been reported in adult dogs, cetaceans, and more recently harbor seals following infection by canine distemper virus (CDV), dolphin morbillivirus (DMV), and phocine distemper virus (PDV), respectively. Here, we characterize different animal morbilliviruses (CDV</w:t>
      </w:r>
      <w:r>
        <w:t xml:space="preserve"> </w:t>
      </w:r>
      <w:r>
        <w:t>lynx</w:t>
      </w:r>
      <w:r>
        <w:t xml:space="preserve"> </w:t>
      </w:r>
      <w:r>
        <w:t>, PDV</w:t>
      </w:r>
      <w:r>
        <w:rPr>
          <w:vertAlign w:val="subscript"/>
        </w:rPr>
        <w:t>2001</w:t>
      </w:r>
      <w:r>
        <w:t>, PDV</w:t>
      </w:r>
      <w:r>
        <w:rPr>
          <w:vertAlign w:val="subscript"/>
        </w:rPr>
        <w:t>2014</w:t>
      </w:r>
      <w:r>
        <w:t>, and DMV</w:t>
      </w:r>
      <w:r>
        <w:t xml:space="preserve"> </w:t>
      </w:r>
      <w:r>
        <w:t>232-18</w:t>
      </w:r>
      <w:r>
        <w:t xml:space="preserve"> </w:t>
      </w:r>
      <w:r>
        <w:t>) that persisted in the CNS of their respective host species for several years after the initial infections. The CDV</w:t>
      </w:r>
      <w:r>
        <w:t xml:space="preserve"> </w:t>
      </w:r>
      <w:r>
        <w:t>lynx</w:t>
      </w:r>
      <w:r>
        <w:t xml:space="preserve"> </w:t>
      </w:r>
      <w:r>
        <w:t>and DMV</w:t>
      </w:r>
      <w:r>
        <w:t xml:space="preserve"> </w:t>
      </w:r>
      <w:r>
        <w:t>232-18</w:t>
      </w:r>
      <w:r>
        <w:t xml:space="preserve"> </w:t>
      </w:r>
      <w:r>
        <w:t>strains encode nonfunctional matrix proteins and hyperfusogenic fusion proteins which are hallmark features of SSPE MeV strains. The complex mutational profile apparent in the PDV</w:t>
      </w:r>
      <w:r>
        <w:rPr>
          <w:vertAlign w:val="subscript"/>
        </w:rPr>
        <w:t>2001</w:t>
      </w:r>
      <w:r>
        <w:t>strain also has parallels with MeV strains from SSPE cases. In contrast, the PDV</w:t>
      </w:r>
      <w:r>
        <w:rPr>
          <w:vertAlign w:val="subscript"/>
        </w:rPr>
        <w:t>2014</w:t>
      </w:r>
      <w:r>
        <w:t>strain encodes for a nonfunctional matrix protein but an unmodified F protein supporting the evolutionary precedence of M protein changes in facilitating long-term morbillivirus infections of the CNS. Consequently, our findings show that similar evolutionary pathways across different animal species drive morbilliviruses to evolve analogous mechanisms favoring virus persistence in the CNS and the development of chronic neurological disease. Such naturally occurring chronic animal morbillivirus infections of the CNS provide natural analogues for studying the evolutionary trajectory and molecular basis of the pathogenesis of SSPE in humans. This may pave the way for developing early diagnostics and intervention strategies.</w:t>
      </w:r>
    </w:p>
    <w:p>
      <w:pPr>
        <w:spacing w:before="120" w:after="120"/>
      </w:pPr>
      <w:r>
        <w:rPr>
          <w:sz w:val="18"/>
        </w:rPr>
        <w:t>——————————————————————————————————————————————————————————————————————</w:t>
      </w:r>
    </w:p>
    <w:p>
      <w:pPr>
        <w:spacing w:before="160" w:after="40" w:line="240" w:lineRule="auto"/>
      </w:pPr>
      <w:r>
        <w:rPr>
          <w:b/>
        </w:rPr>
        <w:t xml:space="preserve">[276] </w:t>
      </w:r>
      <w:hyperlink r:id="rId743">
        <w:r>
          <w:rPr>
            <w:color w:val="1155CC"/>
            <w:u w:val="single"/>
          </w:rPr>
          <w:t>空间分辨前庭神经节神经元细胞类型的形态和功能多样性</w:t>
        </w:r>
      </w:hyperlink>
    </w:p>
    <w:p>
      <w:pPr>
        <w:spacing w:before="0" w:after="80"/>
      </w:pPr>
      <w:r>
        <w:rPr>
          <w:i/>
          <w:sz w:val="20"/>
        </w:rPr>
        <w:t>EN: Morphological and functional diversity of spatially resolved vestibular ganglion neuron cell types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44">
        <w:r>
          <w:rPr>
            <w:color w:val="1155CC"/>
            <w:u w:val="single"/>
          </w:rPr>
          <w:t>10.1073/pnas.2530677123</w:t>
        </w:r>
      </w:hyperlink>
    </w:p>
    <w:p>
      <w:pPr>
        <w:spacing w:before="0" w:after="120"/>
      </w:pPr>
      <w:r>
        <w:rPr>
          <w:b/>
        </w:rPr>
        <w:t xml:space="preserve">Notes: </w:t>
      </w:r>
      <w:r>
        <w:t>abstract_source=crossref</w:t>
      </w:r>
    </w:p>
    <w:p>
      <w:pPr>
        <w:spacing w:before="0" w:after="80" w:lineRule="auto" w:line="276"/>
      </w:pPr>
      <w:r>
        <w:rPr>
          <w:b/>
        </w:rPr>
        <w:t xml:space="preserve">摘要（ZH）: </w:t>
      </w:r>
      <w:r>
        <w:t>前庭神经节神经元 (VGN) 是前庭系统的主要感觉神经元，这是一种相对未被充分研究的感觉模式，对于维持视觉稳定性和姿势平衡至关重要。与其他感觉系统相比，我们对 VGN 的分子异质性及其对前庭系统多种功能的贡献的理解仍然有限。利用单细胞和空间转录组学，我们定义了五种转录上不同的 VGN 细胞类型，它们在神经节中具有离散的空间分布。这些 VGN 细胞类型表现出器官特异性神经支配模式、每个器官内的目标定义区域，并形成特征性突触末端。为了探究它们的功能作用，我们生成了选择性标记每种 VGN 细胞类型的遗传工具。利用这些工具，我们确定了一种有助于重力感应和耳石依赖性前庭眼反射的细胞类型，揭示了模态选择性前庭计算的细胞类型特异性基础。</w:t>
      </w:r>
    </w:p>
    <w:p>
      <w:pPr>
        <w:spacing w:before="0" w:after="200" w:lineRule="auto" w:line="276"/>
      </w:pPr>
      <w:r>
        <w:rPr>
          <w:b/>
        </w:rPr>
        <w:t xml:space="preserve">Abstract (EN): </w:t>
      </w:r>
      <w:r>
        <w:t>Vestibular ganglion neurons (VGNs) are the primary sensory neurons of the vestibular system, a relatively understudied sensory modality that is essential for maintaining visual stability and postural balance. Compared with other sensory systems, our understanding of the molecular heterogeneity of VGNs and its contribution to the diverse functions of the vestibular system remains limited. Using single-cell and spatial transcriptomics, we defined five transcriptionally distinct VGN cell types with discrete spatial distributions across the ganglion. These VGN cell types demonstrate organ-specific innervation patterns, target defined zones within each organ, and form characteristic synaptic endings. To probe their functional roles, we generated genetic tools that selectively label each VGN cell type. Leveraging these tools, we identified a cell type contributing to gravity sensing and otolith-dependent vestibulo-ocular reflexes, revealing a cell type–specific basis for modality-selective vestibular computations.</w:t>
      </w:r>
    </w:p>
    <w:p>
      <w:pPr>
        <w:spacing w:before="120" w:after="120"/>
      </w:pPr>
      <w:r>
        <w:rPr>
          <w:sz w:val="18"/>
        </w:rPr>
        <w:t>——————————————————————————————————————————————————————————————————————</w:t>
      </w:r>
    </w:p>
    <w:p>
      <w:pPr>
        <w:spacing w:before="160" w:after="40" w:line="240" w:lineRule="auto"/>
      </w:pPr>
      <w:r>
        <w:rPr>
          <w:b/>
        </w:rPr>
        <w:t xml:space="preserve">[277] </w:t>
      </w:r>
      <w:hyperlink r:id="rId745">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46">
        <w:r>
          <w:rPr>
            <w:color w:val="1155CC"/>
            <w:u w:val="single"/>
          </w:rPr>
          <w:t>10.1073/iti2726123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747">
        <w:r>
          <w:rPr>
            <w:color w:val="1155CC"/>
            <w:u w:val="single"/>
          </w:rPr>
          <w:t>物理接触对海洋环境中细菌群的形成施加了一致性-数量权衡</w:t>
        </w:r>
      </w:hyperlink>
    </w:p>
    <w:p>
      <w:pPr>
        <w:spacing w:before="0" w:after="80"/>
      </w:pPr>
      <w:r>
        <w:rPr>
          <w:i/>
          <w:sz w:val="20"/>
        </w:rPr>
        <w:t>EN: Physical encounters impose a consistency–amount trade-off on bacterial group formation in marine environments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48">
        <w:r>
          <w:rPr>
            <w:color w:val="1155CC"/>
            <w:u w:val="single"/>
          </w:rPr>
          <w:t>10.1073/pnas.2521542123</w:t>
        </w:r>
      </w:hyperlink>
    </w:p>
    <w:p>
      <w:pPr>
        <w:spacing w:before="0" w:after="120"/>
      </w:pPr>
      <w:r>
        <w:rPr>
          <w:b/>
        </w:rPr>
        <w:t xml:space="preserve">Notes: </w:t>
      </w:r>
      <w:r>
        <w:t>abstract_source=crossref</w:t>
      </w:r>
    </w:p>
    <w:p>
      <w:pPr>
        <w:spacing w:before="0" w:after="80" w:lineRule="auto" w:line="276"/>
      </w:pPr>
      <w:r>
        <w:rPr>
          <w:b/>
        </w:rPr>
        <w:t xml:space="preserve">摘要（ZH）: </w:t>
      </w:r>
      <w:r>
        <w:t>物理上相关的细菌群可以通过突现性状来增强恢复力，包括获得难以接近的基质、增加应激耐受性和减少捕食。这些特征源自细胞之间的物理和化学相互作用，并构成多细胞行为，但我们缺乏预测这种形式的多细胞生物何时提供生态优势的一般原则。在这里，我们研究细菌群的大小如何影响与两种颗粒类型的相遇：资源和裂解噬菌体。使用与规模相关的遭遇理论，我们确定了遭遇率取决于群体规模的情况。海洋成群细菌实验</w:t>
      </w:r>
      <w:r>
        <w:t xml:space="preserve"> </w:t>
      </w:r>
      <w:r>
        <w:t>灿烂弧菌</w:t>
      </w:r>
      <w:r>
        <w:t xml:space="preserve"> </w:t>
      </w:r>
      <w:r>
        <w:t>12B01 证实较大的群体更频繁地遇到颗粒。然而，增加组大小会降低每个细胞遇到的粒子的平均值和方差，揭示了一致性和遇到的资源量之间的权衡。随机模拟支持这种权衡并预测条件，在这种条件下，与资源粒子的一致相遇比单细胞更有利于群体，而多细胞行为可以减轻群体内的资源限制。对与噬菌体样颗粒相遇的模拟预测，一致的相遇可以通过破坏病毒复制和爆发反馈来稳定单个细胞的平均感染时间（即生存时间尺度）。总的来说，我们的结果表明，尽管有捕食，细菌群的形成仍可以支持资源获取。我们预测</w:t>
      </w:r>
    </w:p>
    <w:p>
      <w:pPr>
        <w:spacing w:before="0" w:after="200" w:lineRule="auto" w:line="276"/>
      </w:pPr>
      <w:r>
        <w:rPr>
          <w:b/>
        </w:rPr>
        <w:t xml:space="preserve">Abstract (EN): </w:t>
      </w:r>
      <w:r>
        <w:t>Physically associated bacterial groups can enhance resilience through emergent traits, including access to inaccessible substrates, increased stress tolerance, and reduced predation. These traits arise from physical and chemical interactions between cells and constitute multicellular behavior, yet we lack general principles predicting when this form of multicellularity provides ecological advantages. Here, we examine how the size of bacterial groups influence encounters with two particle types: resources and lytic bacteriophage. Using a size-dependent encounter theory, we identify regimes where encounter rates depend on group size. Experiments with the group-forming marine bacterium</w:t>
      </w:r>
      <w:r>
        <w:t xml:space="preserve"> </w:t>
      </w:r>
      <w:r>
        <w:t>Vibrio splendidus</w:t>
      </w:r>
      <w:r>
        <w:t xml:space="preserve"> </w:t>
      </w:r>
      <w:r>
        <w:t>12B01 confirm that larger groups encounter particles more frequently. However, increasing group size reduces both the mean and variance of particle encounters per cell, revealing a trade-off between the consistency and amount of resource encountered. Stochastic simulations support this trade-off and predict conditions under which consistent encounters with resource particles benefit groups more than single cells, and where multicellular behaviors can alleviate resource limitation within groups. Simulations of encounters with phage-like particles predict that consistent encounters can stabilize the average time to infection for individual cells—the livable timescale—by disrupting viral replication and burst feedback. Overall, our results suggest that bacterial group formation can support resource acquisition despite predation. We predict that this advantage emerges in fluctuating fluid environments and is constrained by size- and concentration-dependent encounter physics. More broadly, these findings identify a simple physical mechanism through which multicellular groups may provide ecological advantages across diverse microbial systems.</w:t>
      </w:r>
    </w:p>
    <w:p>
      <w:pPr>
        <w:spacing w:before="120" w:after="120"/>
      </w:pPr>
      <w:r>
        <w:rPr>
          <w:sz w:val="18"/>
        </w:rPr>
        <w:t>——————————————————————————————————————————————————————————————————————</w:t>
      </w:r>
    </w:p>
    <w:p>
      <w:pPr>
        <w:spacing w:before="160" w:after="40" w:line="240" w:lineRule="auto"/>
      </w:pPr>
      <w:r>
        <w:rPr>
          <w:b/>
        </w:rPr>
        <w:t xml:space="preserve">[279] </w:t>
      </w:r>
      <w:hyperlink r:id="rId749">
        <w:r>
          <w:rPr>
            <w:color w:val="1155CC"/>
            <w:u w:val="single"/>
          </w:rPr>
          <w:t>相关变异性的结构反映了感觉神经元中与任务相关的信息</w:t>
        </w:r>
      </w:hyperlink>
    </w:p>
    <w:p>
      <w:pPr>
        <w:spacing w:before="0" w:after="80"/>
      </w:pPr>
      <w:r>
        <w:rPr>
          <w:i/>
          <w:sz w:val="20"/>
        </w:rPr>
        <w:t>EN: The structure of correlated variability reflects task-relevant information in sensory neurons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50">
        <w:r>
          <w:rPr>
            <w:color w:val="1155CC"/>
            <w:u w:val="single"/>
          </w:rPr>
          <w:t>10.1073/pnas.2523217123</w:t>
        </w:r>
      </w:hyperlink>
    </w:p>
    <w:p>
      <w:pPr>
        <w:spacing w:before="0" w:after="120"/>
      </w:pPr>
      <w:r>
        <w:rPr>
          <w:b/>
        </w:rPr>
        <w:t xml:space="preserve">Notes: </w:t>
      </w:r>
      <w:r>
        <w:t>abstract_source=crossref</w:t>
      </w:r>
    </w:p>
    <w:p>
      <w:pPr>
        <w:spacing w:before="0" w:after="80" w:lineRule="auto" w:line="276"/>
      </w:pPr>
      <w:r>
        <w:rPr>
          <w:b/>
        </w:rPr>
        <w:t xml:space="preserve">摘要（ZH）: </w:t>
      </w:r>
      <w:r>
        <w:t>当感知性能提高时，感觉神经元之间共享的试验间变异性会可靠地减少，但这种变异性是低维的，因此它可以被最佳读出机制忽略。那么为什么它与行为如此一致呢？我们提出，共享的可变性既反映了电路结构，又揭示了传递给下游区域的信息。在此框架中，塑造信号传播的相同连接性也塑造了共享的可变性。使用电路模型，我们表明，当感觉信号与共享变异性一致时，行为相关信息会被放大，而不会影响编码保真度。对多个大脑区域和任务的神经群体记录的分析表明，共享变异性的主导轴始终与任务相关的刺激特征和行动计划一致。最后，微刺激的行为影响可以通过它改变对共享变异性轴的预测的程度来解释。这些发现表明，共同的变异性可能会阐明而不是掩盖指导行为的神经维度。</w:t>
      </w:r>
    </w:p>
    <w:p>
      <w:pPr>
        <w:spacing w:before="0" w:after="200" w:lineRule="auto" w:line="276"/>
      </w:pPr>
      <w:r>
        <w:rPr>
          <w:b/>
        </w:rPr>
        <w:t xml:space="preserve">Abstract (EN): </w:t>
      </w:r>
      <w:r>
        <w:t>Shared trial-to-trial variability across sensory neurons is reliably reduced when perceptual performance improves, yet this variability is low dimensional, so it could be ignored by an optimal readout mechanism. Why then is it so consistently related to behavior? We propose that shared variability both reflects circuit structure and reveals the information communicated to downstream areas. In this framework, the same connectivity that shapes signal propagation also shapes shared variability. Using a circuit model, we show that when sensory signals align with shared variability, behaviorally relevant information is amplified without compromising coding fidelity. Analyses of neural population recordings from multiple brain areas and tasks reveal that the dominant axis of shared variability consistently aligns with task-relevant stimulus features and action plans. Finally, the behavioral impact of microstimulation can be explained by the extent to which it changes projections onto the shared variability axis. These findings suggest that shared variability may illuminate, rather than obscure, the neural dimensions that guide behavior.</w:t>
      </w:r>
    </w:p>
    <w:p>
      <w:pPr>
        <w:spacing w:before="120" w:after="120"/>
      </w:pPr>
      <w:r>
        <w:rPr>
          <w:sz w:val="18"/>
        </w:rPr>
        <w:t>——————————————————————————————————————————————————————————————————————</w:t>
      </w:r>
    </w:p>
    <w:p>
      <w:pPr>
        <w:spacing w:before="160" w:after="40" w:line="240" w:lineRule="auto"/>
      </w:pPr>
      <w:r>
        <w:rPr>
          <w:b/>
        </w:rPr>
        <w:t xml:space="preserve">[280] </w:t>
      </w:r>
      <w:hyperlink r:id="rId751">
        <w:r>
          <w:rPr>
            <w:color w:val="1155CC"/>
            <w:u w:val="single"/>
          </w:rPr>
          <w:t>细胞竞争克服宿主组织抵抗力，在果蝇脑癌模型中释放肿瘤生长</w:t>
        </w:r>
      </w:hyperlink>
    </w:p>
    <w:p>
      <w:pPr>
        <w:spacing w:before="0" w:after="80"/>
      </w:pPr>
      <w:r>
        <w:rPr>
          <w:i/>
          <w:sz w:val="20"/>
        </w:rPr>
        <w:t>EN: Cell competition overcomes host tissue resistance to unleash tumor growth in a Drosophila brain cancer model</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52">
        <w:r>
          <w:rPr>
            <w:color w:val="1155CC"/>
            <w:u w:val="single"/>
          </w:rPr>
          <w:t>10.1073/pnas.2523832123</w:t>
        </w:r>
      </w:hyperlink>
    </w:p>
    <w:p>
      <w:pPr>
        <w:spacing w:before="0" w:after="120"/>
      </w:pPr>
      <w:r>
        <w:rPr>
          <w:b/>
        </w:rPr>
        <w:t xml:space="preserve">Notes: </w:t>
      </w:r>
      <w:r>
        <w:t>abstract_source=crossref</w:t>
      </w:r>
    </w:p>
    <w:p>
      <w:pPr>
        <w:spacing w:before="0" w:after="80" w:lineRule="auto" w:line="276"/>
      </w:pPr>
      <w:r>
        <w:rPr>
          <w:b/>
        </w:rPr>
        <w:t xml:space="preserve">摘要（ZH）: </w:t>
      </w:r>
      <w:r>
        <w:t>中枢神经系统的原发性肿瘤极具侵袭性并且通常无法治愈。虽然已知肿瘤细胞与其微环境相互作用，但这种相互作用的复杂性和时间动态及其对肿瘤进展的影响仍有待充分了解。我们在一个问题中回答了这个问题</w:t>
      </w:r>
      <w:r>
        <w:t xml:space="preserve"> </w:t>
      </w:r>
      <w:r>
        <w:t>果蝇</w:t>
      </w:r>
      <w:r>
        <w:t xml:space="preserve"> </w:t>
      </w:r>
      <w:r>
        <w:t>癌症干细胞驱动的肿瘤模型，该肿瘤起源于发育过程，并在成年期的皮质神经胶质细胞网络中广泛生长。我们揭示了肿瘤和皮质神经胶质细胞之间的双相相互作用，其特征是形态、分子和功能的变化。在早期阶段，神经胶质细胞浸润肿瘤，表现出独特的转录特征，并在 c-Jun N 末端激酶 (JNK) 信号通路的内在神经保护活性的支持下抵抗其生长。然而，癌症干细胞驱动的竞争发生，通过细胞凋亡消除皮质神经胶质细胞，最终释放肿瘤生长。在第二阶段，神经胶质网络和神经元粘附的破坏，以及 JNK 通路的下调和基本细胞功能的下降。最终，宿主组织崩溃，进而抑制肿瘤生长。这项研究揭示了宿主组织抵抗力与肿瘤驱动的竞争之间动态而复杂的相互作用，这种相互作用决定了肿瘤的进展。</w:t>
      </w:r>
    </w:p>
    <w:p>
      <w:pPr>
        <w:spacing w:before="0" w:after="200" w:lineRule="auto" w:line="276"/>
      </w:pPr>
      <w:r>
        <w:rPr>
          <w:b/>
        </w:rPr>
        <w:t xml:space="preserve">Abstract (EN): </w:t>
      </w:r>
      <w:r>
        <w:t>Primary tumors of the central nervous system are extremely aggressive and often incurable. While tumor cells are known to interact with their microenvironment, the complexity and temporal dynamics of this interplay and its impacts on tumor progression remains to be fully understood. We addressed this question in a</w:t>
      </w:r>
      <w:r>
        <w:t xml:space="preserve"> </w:t>
      </w:r>
      <w:r>
        <w:t>Drosophila</w:t>
      </w:r>
      <w:r>
        <w:t xml:space="preserve"> </w:t>
      </w:r>
      <w:r>
        <w:t>model of cancer stem cell–driven tumor which originates during development and grows extensively within a network of cortex glia cells through adulthood. We revealed a biphasic interplay between tumor and cortex glia cells, characterized by morphological, molecular, and functional changes. In early stages, glial cells infiltrate the tumor, display a distinct transcriptional signature, and resist its growth, supported by the intrinsic neuroprotective activity of the c-Jun N-terminal kinase (JNK) signaling pathway. However, cancer stem cell–driven competition takes place, eliminating cortex glia by apoptosis and ultimately unleashing tumor growth. This second phase sees the breakdown of the glial meshwork and adhesions to neurons, along with the downregulation of the JNK pathway and a decline in essential cellular functions. Ultimately, the host tissue collapses, in turn curbing tumor growth. This study uncovers a dynamic and complex interplay between host tissue resistance and tumor-driven competition, which shapes tumor progression.</w:t>
      </w:r>
    </w:p>
    <w:p>
      <w:pPr>
        <w:spacing w:before="120" w:after="120"/>
      </w:pPr>
      <w:r>
        <w:rPr>
          <w:sz w:val="18"/>
        </w:rPr>
        <w:t>——————————————————————————————————————————————————————————————————————</w:t>
      </w:r>
    </w:p>
    <w:p>
      <w:pPr>
        <w:spacing w:before="160" w:after="40" w:line="240" w:lineRule="auto"/>
      </w:pPr>
      <w:r>
        <w:rPr>
          <w:b/>
        </w:rPr>
        <w:t xml:space="preserve">[281] </w:t>
      </w:r>
      <w:hyperlink r:id="rId753">
        <w:r>
          <w:rPr>
            <w:color w:val="1155CC"/>
            <w:u w:val="single"/>
          </w:rPr>
          <w:t>线粒体核不一致调节自然果蝇群体的线粒体衰老动态</w:t>
        </w:r>
      </w:hyperlink>
    </w:p>
    <w:p>
      <w:pPr>
        <w:spacing w:before="0" w:after="80"/>
      </w:pPr>
      <w:r>
        <w:rPr>
          <w:i/>
          <w:sz w:val="20"/>
        </w:rPr>
        <w:t>EN: Mitonuclear discordance modulates mitochondrial ageing dynamics in natural Drosophila populations</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54">
        <w:r>
          <w:rPr>
            <w:color w:val="1155CC"/>
            <w:u w:val="single"/>
          </w:rPr>
          <w:t>10.1073/pnas.2529208123</w:t>
        </w:r>
      </w:hyperlink>
    </w:p>
    <w:p>
      <w:pPr>
        <w:spacing w:before="0" w:after="120"/>
      </w:pPr>
      <w:r>
        <w:rPr>
          <w:b/>
        </w:rPr>
        <w:t xml:space="preserve">Notes: </w:t>
      </w:r>
      <w:r>
        <w:t>abstract_source=crossref</w:t>
      </w:r>
    </w:p>
    <w:p>
      <w:pPr>
        <w:spacing w:before="0" w:after="80" w:lineRule="auto" w:line="276"/>
      </w:pPr>
      <w:r>
        <w:rPr>
          <w:b/>
        </w:rPr>
        <w:t xml:space="preserve">摘要（ZH）: </w:t>
      </w:r>
      <w:r>
        <w:t>线粒体衰退是衰老的一个标志，但基因组间相容性在塑造衰老轨迹中的作用仍然知之甚少，特别是在生态相关框架中。激素干预已被提议作为调节新陈代谢和寿命的策略，但尚不清楚其在线粒体核不一致的情况下如何发挥作用。在这里，我们证明线粒体核不匹配会加速与年龄相关的线粒体衰退，增加活性氧的产生，并缩短寿命。引人注目的是，饮食调节引起的生命早期线粒体应激抵消了这些影响，促进线粒体稳态和长寿。我们的研究结果揭示了线粒体核相互作用塑造了自然群体的衰老轨迹，并提供了独特的证据，表明有针对性的干预措施可以作为遗传不一致有害影响的缓冲剂。</w:t>
      </w:r>
    </w:p>
    <w:p>
      <w:pPr>
        <w:spacing w:before="0" w:after="200" w:lineRule="auto" w:line="276"/>
      </w:pPr>
      <w:r>
        <w:rPr>
          <w:b/>
        </w:rPr>
        <w:t xml:space="preserve">Abstract (EN): </w:t>
      </w:r>
      <w:r>
        <w:t>Mitochondrial decline is a hallmark of ageing, yet the role of intergenomic compatibility in shaping ageing trajectories remains poorly understood, particularly in an ecologically relevant framework. Hormetic interventions have been proposed as strategies to modulate metabolism and lifespan, but it is unknown how this operates in the context of mitonuclear discordance. Here, we demonstrate that mitonuclear mismatch accelerates age-related mitochondrial decline, elevates reactive oxygen species production, and shortens lifespan. Strikingly, early-life mitochondrial stress induced by dietary modulation counteracts these effects, promoting mitochondrial homeostasis and longevity. Our findings reveal mitonuclear interactions shaping ageing trajectories in natural populations and provide unique evidence that targeted interventions can act as a buffer against the detrimental impact of genetic discordance.</w:t>
      </w:r>
    </w:p>
    <w:p>
      <w:pPr>
        <w:spacing w:before="120" w:after="120"/>
      </w:pPr>
      <w:r>
        <w:rPr>
          <w:sz w:val="18"/>
        </w:rPr>
        <w:t>——————————————————————————————————————————————————————————————————————</w:t>
      </w:r>
    </w:p>
    <w:p>
      <w:pPr>
        <w:spacing w:before="160" w:after="40" w:line="240" w:lineRule="auto"/>
      </w:pPr>
      <w:r>
        <w:rPr>
          <w:b/>
        </w:rPr>
        <w:t xml:space="preserve">[282] </w:t>
      </w:r>
      <w:hyperlink r:id="rId755">
        <w:r>
          <w:rPr>
            <w:color w:val="1155CC"/>
            <w:u w:val="single"/>
          </w:rPr>
          <w:t>尽管广泛分布的空中食虫动物对温度的反应相似，但种群轨迹却不同</w:t>
        </w:r>
      </w:hyperlink>
    </w:p>
    <w:p>
      <w:pPr>
        <w:spacing w:before="0" w:after="80"/>
      </w:pPr>
      <w:r>
        <w:rPr>
          <w:i/>
          <w:sz w:val="20"/>
        </w:rPr>
        <w:t>EN: Divergent population trajectories despite similar response to temperature in a widespread aerial insectivore</w:t>
      </w:r>
    </w:p>
    <w:p>
      <w:pPr>
        <w:spacing w:before="0" w:after="120"/>
      </w:pPr>
      <w:r>
        <w:rPr>
          <w:b/>
        </w:rPr>
        <w:t xml:space="preserve">Source: </w:t>
      </w:r>
      <w:r>
        <w:t>Proceedings of the National Academy of Sciences: Keyword search for query</w:t>
      </w:r>
      <w:r>
        <w:t xml:space="preserve">    </w:t>
      </w:r>
      <w:r>
        <w:rPr>
          <w:b/>
        </w:rPr>
        <w:t xml:space="preserve">Pub date: </w:t>
      </w:r>
      <w:r>
        <w:t>2026-07-07 07:00:00+00:00</w:t>
      </w:r>
      <w:r>
        <w:t xml:space="preserve">    </w:t>
      </w:r>
      <w:r>
        <w:rPr>
          <w:b/>
        </w:rPr>
        <w:t xml:space="preserve">DOI: </w:t>
      </w:r>
      <w:hyperlink r:id="rId756">
        <w:r>
          <w:rPr>
            <w:color w:val="1155CC"/>
            <w:u w:val="single"/>
          </w:rPr>
          <w:t>10.1073/pnas.2601817123</w:t>
        </w:r>
      </w:hyperlink>
    </w:p>
    <w:p>
      <w:pPr>
        <w:spacing w:before="0" w:after="120"/>
      </w:pPr>
      <w:r>
        <w:rPr>
          <w:b/>
        </w:rPr>
        <w:t xml:space="preserve">Notes: </w:t>
      </w:r>
      <w:r>
        <w:t>abstract_source=crossref</w:t>
      </w:r>
    </w:p>
    <w:p>
      <w:pPr>
        <w:spacing w:before="0" w:after="80" w:lineRule="auto" w:line="276"/>
      </w:pPr>
      <w:r>
        <w:rPr>
          <w:b/>
        </w:rPr>
        <w:t xml:space="preserve">摘要（ZH）: </w:t>
      </w:r>
      <w:r>
        <w:t>当动物繁殖时，气候变化正在发生变化[C.帕尔马干酪，G. Yohe，</w:t>
      </w:r>
      <w:r>
        <w:t xml:space="preserve"> </w:t>
      </w:r>
      <w:r>
        <w:t>自然</w:t>
      </w:r>
      <w:r>
        <w:t xml:space="preserve"> </w:t>
      </w:r>
      <w:r>
        <w:t>第421章</w:t>
      </w:r>
      <w:r>
        <w:t xml:space="preserve"> </w:t>
      </w:r>
      <w:r>
        <w:t>，37–42 (2003) 和 S. J. 萨克雷</w:t>
      </w:r>
      <w:r>
        <w:t xml:space="preserve"> </w:t>
      </w:r>
      <w:r>
        <w:t>等人。</w:t>
      </w:r>
      <w:r>
        <w:t xml:space="preserve"> </w:t>
      </w:r>
      <w:r>
        <w:t>,</w:t>
      </w:r>
      <w:r>
        <w:t xml:space="preserve"> </w:t>
      </w:r>
      <w:r>
        <w:t>自然</w:t>
      </w:r>
      <w:r>
        <w:t xml:space="preserve"> </w:t>
      </w:r>
      <w:r>
        <w:t>第535章</w:t>
      </w:r>
      <w:r>
        <w:t xml:space="preserve"> </w:t>
      </w:r>
      <w:r>
        <w:t>，241–245 (2016)]，但尚不清楚为什么有些人口能够跟上变暖的步伐，而另一些人口则落后[L. D·贝利</w:t>
      </w:r>
      <w:r>
        <w:t xml:space="preserve"> </w:t>
      </w:r>
      <w:r>
        <w:t>等人。</w:t>
      </w:r>
      <w:r>
        <w:t xml:space="preserve"> </w:t>
      </w:r>
      <w:r>
        <w:t>,</w:t>
      </w:r>
      <w:r>
        <w:t xml:space="preserve"> </w:t>
      </w:r>
      <w:r>
        <w:t>纳特。交流。</w:t>
      </w:r>
      <w:r>
        <w:rPr>
          <w:vertAlign w:val="subscript"/>
        </w:rPr>
        <w:t>13</w:t>
      </w:r>
      <w:r>
        <w:t>，2112 (2022) 和 J. M.桑普洛尼斯</w:t>
      </w:r>
      <w:r>
        <w:t xml:space="preserve"> </w:t>
      </w:r>
      <w:r>
        <w:t>等人。</w:t>
      </w:r>
      <w:r>
        <w:t xml:space="preserve"> </w:t>
      </w:r>
      <w:r>
        <w:t>,</w:t>
      </w:r>
      <w:r>
        <w:t xml:space="preserve"> </w:t>
      </w:r>
      <w:r>
        <w:t>全球。改变生物。</w:t>
      </w:r>
      <w:r>
        <w:rPr>
          <w:vertAlign w:val="subscript"/>
        </w:rPr>
        <w:t>24</w:t>
      </w:r>
      <w:r>
        <w:t>，3780–3790（2018）]。差异可能源于对温度敏感度的变化[L. D·贝利</w:t>
      </w:r>
      <w:r>
        <w:t xml:space="preserve"> </w:t>
      </w:r>
      <w:r>
        <w:t>等人。</w:t>
      </w:r>
      <w:r>
        <w:t xml:space="preserve"> </w:t>
      </w:r>
      <w:r>
        <w:t>,</w:t>
      </w:r>
      <w:r>
        <w:t xml:space="preserve"> </w:t>
      </w:r>
      <w:r>
        <w:t>纳特。交流。</w:t>
      </w:r>
      <w:r>
        <w:rPr>
          <w:vertAlign w:val="subscript"/>
        </w:rPr>
        <w:t>13</w:t>
      </w:r>
      <w:r>
        <w:t>，2112 (2022)]或对温度响应能力的限制。如果不知道不同人群的敏感性是否不同，或者他们根据这种敏感性采取行动的能力是否不同，我们就无法确定哪些人群面临的风险最大。使用来自 123 个树燕种群的 1,555 个种群年（</w:t>
      </w:r>
      <w:r>
        <w:t xml:space="preserve"> </w:t>
      </w:r>
      <w:r>
        <w:t>二色速足虫</w:t>
      </w:r>
      <w:r>
        <w:t xml:space="preserve"> </w:t>
      </w:r>
      <w:r>
        <w:t>），我们表明种群对当地温度具有相似的敏感性，每变暖一度，繁殖时间就会提前大约一天。然而，北方人口面临着更严格的时间限制，并且更容易受到近期变暖的影响。北方种群的产蛋日期最提前，但仍经历</w:t>
      </w:r>
    </w:p>
    <w:p>
      <w:pPr>
        <w:spacing w:before="0" w:after="200" w:lineRule="auto" w:line="276"/>
      </w:pPr>
      <w:r>
        <w:rPr>
          <w:b/>
        </w:rPr>
        <w:t xml:space="preserve">Abstract (EN): </w:t>
      </w:r>
      <w:r>
        <w:t>Climate change is shifting when animals breed [C. Parmesan, G. Yohe,</w:t>
      </w:r>
      <w:r>
        <w:t xml:space="preserve"> </w:t>
      </w:r>
      <w:r>
        <w:t>Nature</w:t>
      </w:r>
      <w:r>
        <w:rPr>
          <w:vertAlign w:val="subscript"/>
        </w:rPr>
        <w:t>421</w:t>
      </w:r>
      <w:r>
        <w:t>, 37–42 (2003) and S. J. Thackeray</w:t>
      </w:r>
      <w:r>
        <w:t xml:space="preserve"> </w:t>
      </w:r>
      <w:r>
        <w:t>et al.</w:t>
      </w:r>
      <w:r>
        <w:t xml:space="preserve"> </w:t>
      </w:r>
      <w:r>
        <w:t>,</w:t>
      </w:r>
      <w:r>
        <w:t xml:space="preserve"> </w:t>
      </w:r>
      <w:r>
        <w:t>Nature</w:t>
      </w:r>
      <w:r>
        <w:rPr>
          <w:vertAlign w:val="subscript"/>
        </w:rPr>
        <w:t>535</w:t>
      </w:r>
      <w:r>
        <w:t>, 241–245 (2016)], but it is not clear why some populations keep pace with warming while others fall behind [L. D. Bailey</w:t>
      </w:r>
      <w:r>
        <w:t xml:space="preserve"> </w:t>
      </w:r>
      <w:r>
        <w:t>et al.</w:t>
      </w:r>
      <w:r>
        <w:t xml:space="preserve"> </w:t>
      </w:r>
      <w:r>
        <w:t>,</w:t>
      </w:r>
      <w:r>
        <w:t xml:space="preserve"> </w:t>
      </w:r>
      <w:r>
        <w:t>Nat. Commun.</w:t>
      </w:r>
      <w:r>
        <w:rPr>
          <w:vertAlign w:val="subscript"/>
        </w:rPr>
        <w:t>13</w:t>
      </w:r>
      <w:r>
        <w:t>, 2112 (2022) and J. M. Samplonius</w:t>
      </w:r>
      <w:r>
        <w:t xml:space="preserve"> </w:t>
      </w:r>
      <w:r>
        <w:t>et al.</w:t>
      </w:r>
      <w:r>
        <w:t xml:space="preserve"> </w:t>
      </w:r>
      <w:r>
        <w:t>,</w:t>
      </w:r>
      <w:r>
        <w:t xml:space="preserve"> </w:t>
      </w:r>
      <w:r>
        <w:t>Glob. Change Biol.</w:t>
      </w:r>
      <w:r>
        <w:rPr>
          <w:vertAlign w:val="subscript"/>
        </w:rPr>
        <w:t>24</w:t>
      </w:r>
      <w:r>
        <w:t>, 3780–3790 (2018)]. Differences could arise from variation in sensitivity to temperature [L. D. Bailey</w:t>
      </w:r>
      <w:r>
        <w:t xml:space="preserve"> </w:t>
      </w:r>
      <w:r>
        <w:t>et al.</w:t>
      </w:r>
      <w:r>
        <w:t xml:space="preserve"> </w:t>
      </w:r>
      <w:r>
        <w:t>,</w:t>
      </w:r>
      <w:r>
        <w:t xml:space="preserve"> </w:t>
      </w:r>
      <w:r>
        <w:t>Nat. Commun.</w:t>
      </w:r>
      <w:r>
        <w:rPr>
          <w:vertAlign w:val="subscript"/>
        </w:rPr>
        <w:t>13</w:t>
      </w:r>
      <w:r>
        <w:t>, 2112 (2022)] or constraints on the ability to respond to temperature. Without knowing whether populations differ in sensitivity—or in their ability to act on that sensitivity—we cannot identify which are most at risk. Using 1,555 population-years from 123 populations of tree swallows (</w:t>
      </w:r>
      <w:r>
        <w:t xml:space="preserve"> </w:t>
      </w:r>
      <w:r>
        <w:t>Tachycineta bicolor</w:t>
      </w:r>
      <w:r>
        <w:t xml:space="preserve"> </w:t>
      </w:r>
      <w:r>
        <w:t>), we show that populations have similar sensitivity to local temperature, advancing breeding by about one day per degree of warming. However, northern populations face tighter time constraints and greater exposure to recent warming. Northern populations have advanced laying dates the most, but still experience stronger selection for earlier breeding, especially in warm years; they have also declined most in breeding abundance. These findings suggest that vulnerability to climate change can arise not just from different sensitivity to warming, but from when and where populations can respond effectively. By disentangling sensitivity from timing constraints, our results are consistent with a general mechanism by which even uniformly responsive species can show uneven impacts of climate change across their ranges.</w:t>
      </w:r>
    </w:p>
    <w:p>
      <w:pPr>
        <w:spacing w:before="120" w:after="120"/>
      </w:pPr>
      <w:r>
        <w:rPr>
          <w:sz w:val="18"/>
        </w:rPr>
        <w:t>——————————————————————————————————————————————————————————————————————</w:t>
      </w:r>
    </w:p>
    <w:p>
      <w:pPr>
        <w:spacing w:before="160" w:after="40" w:line="240" w:lineRule="auto"/>
      </w:pPr>
      <w:r>
        <w:rPr>
          <w:b/>
        </w:rPr>
        <w:t xml:space="preserve">[283] </w:t>
      </w:r>
      <w:hyperlink r:id="rId757">
        <w:r>
          <w:rPr>
            <w:color w:val="1155CC"/>
            <w:u w:val="single"/>
          </w:rPr>
          <w:t>当真空破裂时：极端质量比螺旋中天体物理环境的自洽测试</w:t>
        </w:r>
      </w:hyperlink>
    </w:p>
    <w:p>
      <w:pPr>
        <w:spacing w:before="0" w:after="80"/>
      </w:pPr>
      <w:r>
        <w:rPr>
          <w:i/>
          <w:sz w:val="20"/>
        </w:rPr>
        <w:t>EN: When Vacuum Breaks: A Self-Consistency Test for Astrophysical Environments in Extreme Mass Ratio Inspirals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58">
        <w:r>
          <w:rPr>
            <w:color w:val="1155CC"/>
            <w:u w:val="single"/>
          </w:rPr>
          <w:t>10.1103/pqcz-cvsv</w:t>
        </w:r>
      </w:hyperlink>
    </w:p>
    <w:p>
      <w:pPr>
        <w:spacing w:before="0" w:after="120"/>
      </w:pPr>
      <w:r>
        <w:rPr>
          <w:b/>
        </w:rPr>
        <w:t xml:space="preserve">Notes: </w:t>
      </w:r>
      <w:r>
        <w:t>abstract_source=rss_description</w:t>
      </w:r>
    </w:p>
    <w:p>
      <w:pPr>
        <w:spacing w:before="0" w:after="80" w:lineRule="auto" w:line="276"/>
      </w:pPr>
      <w:r>
        <w:rPr>
          <w:b/>
        </w:rPr>
        <w:t xml:space="preserve">摘要（ZH）: </w:t>
      </w:r>
      <w:r>
        <w:t>作者：Lorenzo Copparoni、Rohit S. Chandramouli 和 Enrico Barausse 引力波信号通常在真空假说下进行解释，即假设天体物理环境的影响可以忽略不计。对于低频源，例如极端质量比螺旋（EMRI），这种假设预计会被打破，这是……[Phys.莱特牧师。 137, 021405] 2026 年 7 月 7 日星期二发布</w:t>
      </w:r>
    </w:p>
    <w:p>
      <w:pPr>
        <w:spacing w:before="0" w:after="200" w:lineRule="auto" w:line="276"/>
      </w:pPr>
      <w:r>
        <w:rPr>
          <w:b/>
        </w:rPr>
        <w:t xml:space="preserve">Abstract (EN): </w:t>
      </w:r>
      <w:r>
        <w:t>Author(s): Lorenzo Copparoni, Rohit S. Chandramouli, and Enrico BarausseGravitational-wave signals are typically interpreted under the vacuum hypothesis, i.e., assuming negligible influence from the astrophysical environment. This assumption is expected to break down for low-frequency sources such as extreme mass ratio inspirals (EMRIs), which are prime targets for the …[Phys. Rev. Lett. 137, 021405] Published Tue Jul 07, 2026</w:t>
      </w:r>
    </w:p>
    <w:p>
      <w:pPr>
        <w:spacing w:before="120" w:after="120"/>
      </w:pPr>
      <w:r>
        <w:rPr>
          <w:sz w:val="18"/>
        </w:rPr>
        <w:t>——————————————————————————————————————————————————————————————————————</w:t>
      </w:r>
    </w:p>
    <w:p>
      <w:pPr>
        <w:spacing w:before="160" w:after="40" w:line="240" w:lineRule="auto"/>
      </w:pPr>
      <w:r>
        <w:rPr>
          <w:b/>
        </w:rPr>
        <w:t xml:space="preserve">[284] </w:t>
      </w:r>
      <w:hyperlink r:id="rId759">
        <w:r>
          <w:rPr>
            <w:color w:val="1155CC"/>
            <w:u w:val="single"/>
          </w:rPr>
          <w:t>黑洞合并的最大熵猜想</w:t>
        </w:r>
      </w:hyperlink>
    </w:p>
    <w:p>
      <w:pPr>
        <w:spacing w:before="0" w:after="80"/>
      </w:pPr>
      <w:r>
        <w:rPr>
          <w:i/>
          <w:sz w:val="20"/>
        </w:rPr>
        <w:t>EN: Maximum Entropy Conjecture for Black Hole Mergers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60">
        <w:r>
          <w:rPr>
            <w:color w:val="1155CC"/>
            <w:u w:val="single"/>
          </w:rPr>
          <w:t>10.1103/hvp6-ydbq</w:t>
        </w:r>
      </w:hyperlink>
    </w:p>
    <w:p>
      <w:pPr>
        <w:spacing w:before="0" w:after="120"/>
      </w:pPr>
      <w:r>
        <w:rPr>
          <w:b/>
        </w:rPr>
        <w:t xml:space="preserve">Notes: </w:t>
      </w:r>
      <w:r>
        <w:t>abstract_source=rss_description</w:t>
      </w:r>
    </w:p>
    <w:p>
      <w:pPr>
        <w:spacing w:before="0" w:after="80" w:lineRule="auto" w:line="276"/>
      </w:pPr>
      <w:r>
        <w:rPr>
          <w:b/>
        </w:rPr>
        <w:t xml:space="preserve">摘要（ZH）: </w:t>
      </w:r>
      <w:r>
        <w:t>作者：Monica Rincon-Ramirez、Nathan K. Johnson-McDaniel、Eugenio Bianchi、Ish Gupta、Vaishak Prasad 和 B. S. Sathyaprakash 黑洞合并的残余特性可能受到最大熵界的控制，这表明一旦黑洞变得足够接近，两个黑洞周围的喉咙对于远处的观察者来说就类似于单个克尔黑洞的喉咙，因此克尔熵计算变得有效。莱特牧师。 137, 021406] 2026 年 7 月 7 日星期二发布</w:t>
      </w:r>
    </w:p>
    <w:p>
      <w:pPr>
        <w:spacing w:before="0" w:after="200" w:lineRule="auto" w:line="276"/>
      </w:pPr>
      <w:r>
        <w:rPr>
          <w:b/>
        </w:rPr>
        <w:t xml:space="preserve">Abstract (EN): </w:t>
      </w:r>
      <w:r>
        <w:t>Author(s): Monica Rincon-Ramirez, Nathan K. Johnson-McDaniel, Eugenio Bianchi, Ish Gupta, Vaishak Prasad, and B. S. SathyaprakashThe remnant properties of black hole mergers may be governed by a maximum entropy bound suggesting that once the black holes become sufficiently close together, the throat around both black holes resembles that of an individual Kerr black hole to a far-away observer, and thus the Kerr entropy computation becomes valid.[Phys. Rev. Lett. 137, 021406] Published Tue Jul 07, 2026</w:t>
      </w:r>
    </w:p>
    <w:p>
      <w:pPr>
        <w:spacing w:before="120" w:after="120"/>
      </w:pPr>
      <w:r>
        <w:rPr>
          <w:sz w:val="18"/>
        </w:rPr>
        <w:t>——————————————————————————————————————————————————————————————————————</w:t>
      </w:r>
    </w:p>
    <w:p>
      <w:pPr>
        <w:spacing w:before="160" w:after="40" w:line="240" w:lineRule="auto"/>
      </w:pPr>
      <w:r>
        <w:rPr>
          <w:b/>
        </w:rPr>
        <w:t xml:space="preserve">[285] </w:t>
      </w:r>
      <w:hyperlink r:id="rId761">
        <w:r>
          <w:rPr>
            <w:color w:val="1155CC"/>
            <w:u w:val="single"/>
          </w:rPr>
          <w:t>GWTC-4 揭示了活动星系核盘中对齐的分层黑洞合并</w:t>
        </w:r>
      </w:hyperlink>
    </w:p>
    <w:p>
      <w:pPr>
        <w:spacing w:before="0" w:after="80"/>
      </w:pPr>
      <w:r>
        <w:rPr>
          <w:i/>
          <w:sz w:val="20"/>
        </w:rPr>
        <w:t>EN: Aligned Hierarchical Black Hole Mergers in Active-Galactic-Nuclei Disks Revealed by GWTC-4</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62">
        <w:r>
          <w:rPr>
            <w:color w:val="1155CC"/>
            <w:u w:val="single"/>
          </w:rPr>
          <w:t>10.1103/qyfv-wkv1</w:t>
        </w:r>
      </w:hyperlink>
    </w:p>
    <w:p>
      <w:pPr>
        <w:spacing w:before="0" w:after="120"/>
      </w:pPr>
      <w:r>
        <w:rPr>
          <w:b/>
        </w:rPr>
        <w:t xml:space="preserve">Notes: </w:t>
      </w:r>
      <w:r>
        <w:t>abstract_source=rss_description</w:t>
      </w:r>
    </w:p>
    <w:p>
      <w:pPr>
        <w:spacing w:before="0" w:after="80" w:lineRule="auto" w:line="276"/>
      </w:pPr>
      <w:r>
        <w:rPr>
          <w:b/>
        </w:rPr>
        <w:t xml:space="preserve">摘要（ZH）: </w:t>
      </w:r>
      <w:r>
        <w:t>作者：李银杰、王元柱、唐绍鹏和范一中活跃星系核（AGN）吸积盘是分层黑洞（BH）合并的理想场所。为了有力地探讨这种可能性，我们使用灵活的混合群体模型分析了 GWTC-4 中的双黑洞合并，该模型针对成分质量、自旋幅度和自旋倾斜角，a…[Phys.莱特牧师。 137, 021407] 2026 年 7 月 7 日星期二发布</w:t>
      </w:r>
    </w:p>
    <w:p>
      <w:pPr>
        <w:spacing w:before="0" w:after="200" w:lineRule="auto" w:line="276"/>
      </w:pPr>
      <w:r>
        <w:rPr>
          <w:b/>
        </w:rPr>
        <w:t xml:space="preserve">Abstract (EN): </w:t>
      </w:r>
      <w:r>
        <w:t>Author(s): Yin-Jie Li, Yuan-Zhu Wang, Shao-Peng Tang, and Yi-Zhong FanThe active galactic nucleus (AGN) accretion disks are ideal sites for hierarchical black hole (BH) mergers. To robustly probe such a possibility, we analyze binary black hole mergers in the GWTC-4 with a flexible mixture population model for component masses, spin magnitudes, and spin tilt angles, a…[Phys. Rev. Lett. 137, 021407] Published Tue Jul 07, 2026</w:t>
      </w:r>
    </w:p>
    <w:p>
      <w:pPr>
        <w:spacing w:before="120" w:after="120"/>
      </w:pPr>
      <w:r>
        <w:rPr>
          <w:sz w:val="18"/>
        </w:rPr>
        <w:t>——————————————————————————————————————————————————————————————————————</w:t>
      </w:r>
    </w:p>
    <w:p>
      <w:pPr>
        <w:spacing w:before="160" w:after="40" w:line="240" w:lineRule="auto"/>
      </w:pPr>
      <w:r>
        <w:rPr>
          <w:b/>
        </w:rPr>
        <w:t xml:space="preserve">[286] </w:t>
      </w:r>
      <w:hyperlink r:id="rId763">
        <w:r>
          <w:rPr>
            <w:color w:val="1155CC"/>
            <w:u w:val="single"/>
          </w:rPr>
          <w:t>广义 Veneziano 振幅世界表</w:t>
        </w:r>
      </w:hyperlink>
    </w:p>
    <w:p>
      <w:pPr>
        <w:spacing w:before="0" w:after="80"/>
      </w:pPr>
      <w:r>
        <w:rPr>
          <w:i/>
          <w:sz w:val="20"/>
        </w:rPr>
        <w:t>EN: Worldsheet for Generalized Veneziano Amplitudes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64">
        <w:r>
          <w:rPr>
            <w:color w:val="1155CC"/>
            <w:u w:val="single"/>
          </w:rPr>
          <w:t>10.1103/bplf-h1vx</w:t>
        </w:r>
      </w:hyperlink>
    </w:p>
    <w:p>
      <w:pPr>
        <w:spacing w:before="0" w:after="120"/>
      </w:pPr>
      <w:r>
        <w:rPr>
          <w:b/>
        </w:rPr>
        <w:t xml:space="preserve">Notes: </w:t>
      </w:r>
      <w:r>
        <w:t>abstract_source=rss_description</w:t>
      </w:r>
    </w:p>
    <w:p>
      <w:pPr>
        <w:spacing w:before="0" w:after="80" w:lineRule="auto" w:line="276"/>
      </w:pPr>
      <w:r>
        <w:rPr>
          <w:b/>
        </w:rPr>
        <w:t xml:space="preserve">摘要（ZH）: </w:t>
      </w:r>
      <w:r>
        <w:t>作者：Shota Komatsu 和 Pronobesh Maity 我们提出了一个世界表动作，它再现了文献中讨论的一类双共振振幅，它概括了空弦的 Veneziano 振幅。我们的建议建立在最近推出的手性复合线性膨胀函数的基础上。我们进一步计算更高点的扩展和c…[Phys。莱特牧师。 137, 021601] 发布时间 2026 年 7 月 7 日星期二</w:t>
      </w:r>
    </w:p>
    <w:p>
      <w:pPr>
        <w:spacing w:before="0" w:after="200" w:lineRule="auto" w:line="276"/>
      </w:pPr>
      <w:r>
        <w:rPr>
          <w:b/>
        </w:rPr>
        <w:t xml:space="preserve">Abstract (EN): </w:t>
      </w:r>
      <w:r>
        <w:t>Author(s): Shota Komatsu and Pronobesh MaityWe present a worldsheet action that reproduces a class of dual resonance amplitudes discussed in the literature, which generalize the Veneziano amplitude for open strings. Our proposal builds on the chiral composite linear dilaton introduced recently. We further compute higher-point extensions and c…[Phys. Rev. Lett. 137, 021601] Published Tue Jul 07, 2026</w:t>
      </w:r>
    </w:p>
    <w:p>
      <w:pPr>
        <w:spacing w:before="120" w:after="120"/>
      </w:pPr>
      <w:r>
        <w:rPr>
          <w:sz w:val="18"/>
        </w:rPr>
        <w:t>——————————————————————————————————————————————————————————————————————</w:t>
      </w:r>
    </w:p>
    <w:p>
      <w:pPr>
        <w:spacing w:before="160" w:after="40" w:line="240" w:lineRule="auto"/>
      </w:pPr>
      <w:r>
        <w:rPr>
          <w:b/>
        </w:rPr>
        <w:t xml:space="preserve">[287] </w:t>
      </w:r>
      <w:hyperlink r:id="rId765">
        <w:r>
          <w:rPr>
            <w:color w:val="1155CC"/>
            <w:u w:val="single"/>
          </w:rPr>
          <w:t>量子自旋链中的黑洞态</w:t>
        </w:r>
      </w:hyperlink>
    </w:p>
    <w:p>
      <w:pPr>
        <w:spacing w:before="0" w:after="80"/>
      </w:pPr>
      <w:r>
        <w:rPr>
          <w:i/>
          <w:sz w:val="20"/>
        </w:rPr>
        <w:t>EN: Black Hole States in Quantum Spin Chains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66">
        <w:r>
          <w:rPr>
            <w:color w:val="1155CC"/>
            <w:u w:val="single"/>
          </w:rPr>
          <w:t>10.1103/5myp-jksn</w:t>
        </w:r>
      </w:hyperlink>
    </w:p>
    <w:p>
      <w:pPr>
        <w:spacing w:before="0" w:after="120"/>
      </w:pPr>
      <w:r>
        <w:rPr>
          <w:b/>
        </w:rPr>
        <w:t xml:space="preserve">Notes: </w:t>
      </w:r>
      <w:r>
        <w:t>abstract_source=rss_description</w:t>
      </w:r>
    </w:p>
    <w:p>
      <w:pPr>
        <w:spacing w:before="0" w:after="80" w:lineRule="auto" w:line="276"/>
      </w:pPr>
      <w:r>
        <w:rPr>
          <w:b/>
        </w:rPr>
        <w:t xml:space="preserve">摘要（ZH）: </w:t>
      </w:r>
      <w:r>
        <w:t>作者：Charlotte Kristjansen 和 Konstantin Zarembo 我们通过研究全息术中的热相关器来定义自旋链中的黑洞态。围绕海森堡模型，我们通过评估黑洞态的纠缠熵、空洞形成概率和克雷洛夫复杂度来研究黑洞态的热特性和复杂性特性。 Th…[物理。莱特牧师。 137, 021602] 于 2026 年 7 月 7 日星期二发布</w:t>
      </w:r>
    </w:p>
    <w:p>
      <w:pPr>
        <w:spacing w:before="0" w:after="200" w:lineRule="auto" w:line="276"/>
      </w:pPr>
      <w:r>
        <w:rPr>
          <w:b/>
        </w:rPr>
        <w:t xml:space="preserve">Abstract (EN): </w:t>
      </w:r>
      <w:r>
        <w:t>Author(s): Charlotte Kristjansen and Konstantin ZaremboWe define a black hole state in a spin chain by studying thermal correlators in holography. Focusing on the Heisenberg model we investigate the thermal and complexity properties of the black hole state by evaluating its entanglement entropy, emptiness formation probability, and Krylov complexity. Th…[Phys. Rev. Lett. 137, 021602] Published Tue Jul 07, 2026</w:t>
      </w:r>
    </w:p>
    <w:p>
      <w:pPr>
        <w:spacing w:before="120" w:after="120"/>
      </w:pPr>
      <w:r>
        <w:rPr>
          <w:sz w:val="18"/>
        </w:rPr>
        <w:t>——————————————————————————————————————————————————————————————————————</w:t>
      </w:r>
    </w:p>
    <w:p>
      <w:pPr>
        <w:spacing w:before="160" w:after="40" w:line="240" w:lineRule="auto"/>
      </w:pPr>
      <w:r>
        <w:rPr>
          <w:b/>
        </w:rPr>
        <w:t xml:space="preserve">[288] </w:t>
      </w:r>
      <w:hyperlink r:id="rId767">
        <w:r>
          <w:rPr>
            <w:color w:val="1155CC"/>
            <w:u w:val="single"/>
          </w:rPr>
          <w:t>洛伦兹如何增强重塑弛豫谱</w:t>
        </w:r>
      </w:hyperlink>
    </w:p>
    <w:p>
      <w:pPr>
        <w:spacing w:before="0" w:after="80"/>
      </w:pPr>
      <w:r>
        <w:rPr>
          <w:i/>
          <w:sz w:val="20"/>
        </w:rPr>
        <w:t>EN: How Lorentz Boosts Reshape Relaxation Spectra</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68">
        <w:r>
          <w:rPr>
            <w:color w:val="1155CC"/>
            <w:u w:val="single"/>
          </w:rPr>
          <w:t>10.1103/d2xr-rj7g</w:t>
        </w:r>
      </w:hyperlink>
    </w:p>
    <w:p>
      <w:pPr>
        <w:spacing w:before="0" w:after="120"/>
      </w:pPr>
      <w:r>
        <w:rPr>
          <w:b/>
        </w:rPr>
        <w:t xml:space="preserve">Notes: </w:t>
      </w:r>
      <w:r>
        <w:t>abstract_source=rss_description</w:t>
      </w:r>
    </w:p>
    <w:p>
      <w:pPr>
        <w:spacing w:before="0" w:after="80" w:lineRule="auto" w:line="276"/>
      </w:pPr>
      <w:r>
        <w:rPr>
          <w:b/>
        </w:rPr>
        <w:t xml:space="preserve">摘要（ZH）: </w:t>
      </w:r>
      <w:r>
        <w:t>作者：L. Gavassino 在相对论中，弛豫过程通常被认为在洛伦兹增强下经历时间膨胀。我们证明这种直觉通常是失败的。由于同时性的相对性，洛伦兹增强可以将单个弛豫模式分解为连续的激励模式，其宽度由最大值设置……[物理。莱特牧师。 137, 022301] 发布时间 2026 年 7 月 7 日星期二</w:t>
      </w:r>
    </w:p>
    <w:p>
      <w:pPr>
        <w:spacing w:before="0" w:after="200" w:lineRule="auto" w:line="276"/>
      </w:pPr>
      <w:r>
        <w:rPr>
          <w:b/>
        </w:rPr>
        <w:t xml:space="preserve">Abstract (EN): </w:t>
      </w:r>
      <w:r>
        <w:t>Author(s): L. GavassinoIn relativity, relaxation processes are often assumed to undergo time dilation under Lorentz boosts. We show that this intuition fails generically. Because of relativity of simultaneity, Lorentz boosts can split a single relaxation mode into a continuum of excitations, with a width set by the maxima…[Phys. Rev. Lett. 137, 022301] Published Tue Jul 07, 2026</w:t>
      </w:r>
    </w:p>
    <w:p>
      <w:pPr>
        <w:spacing w:before="120" w:after="120"/>
      </w:pPr>
      <w:r>
        <w:rPr>
          <w:sz w:val="18"/>
        </w:rPr>
        <w:t>——————————————————————————————————————————————————————————————————————</w:t>
      </w:r>
    </w:p>
    <w:p>
      <w:pPr>
        <w:spacing w:before="160" w:after="40" w:line="240" w:lineRule="auto"/>
      </w:pPr>
      <w:r>
        <w:rPr>
          <w:b/>
        </w:rPr>
        <w:t xml:space="preserve">[289] </w:t>
      </w:r>
      <w:hyperlink r:id="rId769">
        <w:r>
          <w:rPr>
            <w:color w:val="1155CC"/>
            <w:u w:val="single"/>
          </w:rPr>
          <w:t>金字塔库仑团簇中对称控制的热激活：检验克莱默-兰格理论</w:t>
        </w:r>
      </w:hyperlink>
    </w:p>
    <w:p>
      <w:pPr>
        <w:spacing w:before="0" w:after="80"/>
      </w:pPr>
      <w:r>
        <w:rPr>
          <w:i/>
          <w:sz w:val="20"/>
        </w:rPr>
        <w:t>EN: Symmetry-Controlled Thermal Activation in Pyramidal Coulomb Clusters: Testing Kramers-Langer Theory</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70">
        <w:r>
          <w:rPr>
            <w:color w:val="1155CC"/>
            <w:u w:val="single"/>
          </w:rPr>
          <w:t>10.1103/xsdn-srjd</w:t>
        </w:r>
      </w:hyperlink>
    </w:p>
    <w:p>
      <w:pPr>
        <w:spacing w:before="0" w:after="120"/>
      </w:pPr>
      <w:r>
        <w:rPr>
          <w:b/>
        </w:rPr>
        <w:t xml:space="preserve">Notes: </w:t>
      </w:r>
      <w:r>
        <w:t>abstract_source=rss_description</w:t>
      </w:r>
    </w:p>
    <w:p>
      <w:pPr>
        <w:spacing w:before="0" w:after="80" w:lineRule="auto" w:line="276"/>
      </w:pPr>
      <w:r>
        <w:rPr>
          <w:b/>
        </w:rPr>
        <w:t xml:space="preserve">摘要（ZH）: </w:t>
      </w:r>
      <w:r>
        <w:t>作者：Akhil Ayyadevara、Anand Prakash、Shovan Dutta、Arun Paramekanti 和 S. A. Rangwala 限制在电磁陷阱中的激光冷却离子提供了一个独特的、可调谐的介观系统，其中捕获势、非线性库仑相互作用和激光离子散射的相互作用产生了丰富的集体动力学。在这项工作中，我们设计了……[物理。莱特牧师。 137, 023002] 2026 年 7 月 7 日星期二发布</w:t>
      </w:r>
    </w:p>
    <w:p>
      <w:pPr>
        <w:spacing w:before="0" w:after="200" w:lineRule="auto" w:line="276"/>
      </w:pPr>
      <w:r>
        <w:rPr>
          <w:b/>
        </w:rPr>
        <w:t xml:space="preserve">Abstract (EN): </w:t>
      </w:r>
      <w:r>
        <w:t>Author(s): Akhil Ayyadevara, Anand Prakash, Shovan Dutta, Arun Paramekanti, and S. A. RangwalaLaser-cooled ions confined in electromagnetic traps provide a unique, tunable mesoscopic system where the interplay of the trapping potential, nonlinear Coulomb interactions, and laser-ion scattering generates rich, collective dynamics. In this work, we engineer thermally activated switching between…[Phys. Rev. Lett. 137, 023002] Published Tue Jul 07, 2026</w:t>
      </w:r>
    </w:p>
    <w:p>
      <w:pPr>
        <w:spacing w:before="120" w:after="120"/>
      </w:pPr>
      <w:r>
        <w:rPr>
          <w:sz w:val="18"/>
        </w:rPr>
        <w:t>——————————————————————————————————————————————————————————————————————</w:t>
      </w:r>
    </w:p>
    <w:p>
      <w:pPr>
        <w:spacing w:before="160" w:after="40" w:line="240" w:lineRule="auto"/>
      </w:pPr>
      <w:r>
        <w:rPr>
          <w:b/>
        </w:rPr>
        <w:t xml:space="preserve">[290] </w:t>
      </w:r>
      <w:hyperlink r:id="rId771">
        <w:r>
          <w:rPr>
            <w:color w:val="1155CC"/>
            <w:u w:val="single"/>
          </w:rPr>
          <w:t>天体物理 $p$ 过程的 $^{102}\mathrm{Pd}(γ,p)$ 和 $^{102}\mathrm{Pd}(γ,α)$ 的直接横截面测量</w:t>
        </w:r>
      </w:hyperlink>
    </w:p>
    <w:p>
      <w:pPr>
        <w:spacing w:before="0" w:after="80"/>
      </w:pPr>
      <w:r>
        <w:rPr>
          <w:i/>
          <w:sz w:val="20"/>
        </w:rPr>
        <w:t>EN: Direct cross section measurement of $^{102}\mathrm{Pd}(γ,p)$ and $^{102}\mathrm{Pd}(γ,α)$ for the astrophysical $p$ process</w:t>
      </w:r>
    </w:p>
    <w:p>
      <w:pPr>
        <w:spacing w:before="0" w:after="120"/>
      </w:pPr>
      <w:r>
        <w:rPr>
          <w:b/>
        </w:rPr>
        <w:t xml:space="preserve">Source: </w:t>
      </w:r>
      <w:r>
        <w:t>Recent Articles in Phys. Rev. C</w:t>
      </w:r>
      <w:r>
        <w:t xml:space="preserve">    </w:t>
      </w:r>
      <w:r>
        <w:rPr>
          <w:b/>
        </w:rPr>
        <w:t xml:space="preserve">Pub date: </w:t>
      </w:r>
      <w:r>
        <w:t>2026-07-07 10:00:00+00:00</w:t>
      </w:r>
      <w:r>
        <w:t xml:space="preserve">    </w:t>
      </w:r>
      <w:r>
        <w:rPr>
          <w:b/>
        </w:rPr>
        <w:t xml:space="preserve">DOI: </w:t>
      </w:r>
      <w:hyperlink r:id="rId772">
        <w:r>
          <w:rPr>
            <w:color w:val="1155CC"/>
            <w:u w:val="single"/>
          </w:rPr>
          <w:t>10.1103/mkfh-1yj9</w:t>
        </w:r>
      </w:hyperlink>
    </w:p>
    <w:p>
      <w:pPr>
        <w:spacing w:before="0" w:after="120"/>
      </w:pPr>
      <w:r>
        <w:rPr>
          <w:b/>
        </w:rPr>
        <w:t xml:space="preserve">Notes: </w:t>
      </w:r>
      <w:r>
        <w:t>abstract_source=rss_description</w:t>
      </w:r>
    </w:p>
    <w:p>
      <w:pPr>
        <w:spacing w:before="0" w:after="80" w:lineRule="auto" w:line="276"/>
      </w:pPr>
      <w:r>
        <w:rPr>
          <w:b/>
        </w:rPr>
        <w:t xml:space="preserve">摘要（ZH）: </w:t>
      </w:r>
      <w:r>
        <w:t>作者：K. A. Chipps 等人背景：少数缺乏中子的稳定核，称为“p 核”，无法通过天体物理中子俘获过程产生。相反，其中一些核被认为是通过现有 r 和 s 过程种子上的 $γ$ 诱导反应产生的。具体的天体物理学坐...[物理。 Rev. C 114, 015804] 于 2026 年 7 月 7 日星期二发布</w:t>
      </w:r>
    </w:p>
    <w:p>
      <w:pPr>
        <w:spacing w:before="0" w:after="200" w:lineRule="auto" w:line="276"/>
      </w:pPr>
      <w:r>
        <w:rPr>
          <w:b/>
        </w:rPr>
        <w:t xml:space="preserve">Abstract (EN): </w:t>
      </w:r>
      <w:r>
        <w:t>Author(s): K. A. Chipps et al.Background: A handful of neutron-deficient stable nuclei, known as the “p nuclei,” cannot be produced through astrophysical neutron capture processes. Instead, some of these nuclei are proposed to be produced by $γ$-induced reactions on existing r- and s-process seeds. The specific astrophysical sit…[Phys. Rev. C 114, 015804] Published Tue Jul 07, 2026</w:t>
      </w:r>
    </w:p>
    <w:p>
      <w:pPr>
        <w:spacing w:before="120" w:after="120"/>
      </w:pPr>
      <w:r>
        <w:rPr>
          <w:sz w:val="18"/>
        </w:rPr>
        <w:t>——————————————————————————————————————————————————————————————————————</w:t>
      </w:r>
    </w:p>
    <w:p>
      <w:pPr>
        <w:spacing w:before="160" w:after="40" w:line="240" w:lineRule="auto"/>
      </w:pPr>
      <w:r>
        <w:rPr>
          <w:b/>
        </w:rPr>
        <w:t xml:space="preserve">[291] </w:t>
      </w:r>
      <w:hyperlink r:id="rId773">
        <w:r>
          <w:rPr>
            <w:color w:val="1155CC"/>
            <w:u w:val="single"/>
          </w:rPr>
          <w:t>1.2 公里光纤上的时间多模离子-离子纠缠</w:t>
        </w:r>
      </w:hyperlink>
    </w:p>
    <w:p>
      <w:pPr>
        <w:spacing w:before="0" w:after="80"/>
      </w:pPr>
      <w:r>
        <w:rPr>
          <w:i/>
          <w:sz w:val="20"/>
        </w:rPr>
        <w:t>EN: Temporally Multimode Ion-Ion Entanglement over 1.2 Kilometer Fibers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74">
        <w:r>
          <w:rPr>
            <w:color w:val="1155CC"/>
            <w:u w:val="single"/>
          </w:rPr>
          <w:t>10.1103/9h14-sc8t</w:t>
        </w:r>
      </w:hyperlink>
    </w:p>
    <w:p>
      <w:pPr>
        <w:spacing w:before="0" w:after="120"/>
      </w:pPr>
      <w:r>
        <w:rPr>
          <w:b/>
        </w:rPr>
        <w:t xml:space="preserve">Notes: </w:t>
      </w:r>
      <w:r>
        <w:t>abstract_source=rss_description</w:t>
      </w:r>
    </w:p>
    <w:p>
      <w:pPr>
        <w:spacing w:before="0" w:after="80" w:lineRule="auto" w:line="276"/>
      </w:pPr>
      <w:r>
        <w:rPr>
          <w:b/>
        </w:rPr>
        <w:t xml:space="preserve">摘要（ZH）: </w:t>
      </w:r>
      <w:r>
        <w:t>作者：Z.-B.崔，Z.-Q。王，P.-Y。刘，王，P.-C。赖，J.-X。石，Y.-D。孙，Z.-C。田，H.-S。孙，Y.-B。梁，B.-X。齐，Y.-Y。黄，Z.-C。周，Y.-K。吴，Y.徐，Y.-F。 Pu，和L.-M。段量子网络和量子中继器代表了构建大规模量子信息系统的有前途的途径，可作为分布式量子计算、长距离量子通信和网络量子传感的基础设施。实现 fu 的关键一步......[物理。莱特牧师。 137, 020803] 2026 年 7 月 7 日星期二发布</w:t>
      </w:r>
    </w:p>
    <w:p>
      <w:pPr>
        <w:spacing w:before="0" w:after="200" w:lineRule="auto" w:line="276"/>
      </w:pPr>
      <w:r>
        <w:rPr>
          <w:b/>
        </w:rPr>
        <w:t xml:space="preserve">Abstract (EN): </w:t>
      </w:r>
      <w:r>
        <w:t>Author(s): Z.-B. Cui, Z.-Q. Wang, P.-Y. Liu, Y. Wang, P.-C. Lai, J.-X. Shi, Y.-D. Sun, Z.-C. Tian, H.-S. Sun, Y.-B. Liang, B.-X. Qi, Y.-Y. Huang, Z.-C. Zhou, Y.-K. Wu, Y. Xu, Y.-F. Pu, and L.-M. DuanQuantum networks and quantum repeaters represent the promising avenues for building large-scale quantum information systems, serving as foundational infrastructure for distributed quantum computing, long-distance quantum communication, and networked quantum sensing. A critical step in realizing a fu…[Phys. Rev. Lett. 137, 020803] Published Tue Jul 07, 2026</w:t>
      </w:r>
    </w:p>
    <w:p>
      <w:pPr>
        <w:spacing w:before="120" w:after="120"/>
      </w:pPr>
      <w:r>
        <w:rPr>
          <w:sz w:val="18"/>
        </w:rPr>
        <w:t>——————————————————————————————————————————————————————————————————————</w:t>
      </w:r>
    </w:p>
    <w:p>
      <w:pPr>
        <w:spacing w:before="160" w:after="40" w:line="240" w:lineRule="auto"/>
      </w:pPr>
      <w:r>
        <w:rPr>
          <w:b/>
        </w:rPr>
        <w:t xml:space="preserve">[292] </w:t>
      </w:r>
      <w:hyperlink r:id="rId775">
        <w:r>
          <w:rPr>
            <w:color w:val="1155CC"/>
            <w:u w:val="single"/>
          </w:rPr>
          <w:t>非高斯波包量子态的环境辅助生成</w:t>
        </w:r>
      </w:hyperlink>
    </w:p>
    <w:p>
      <w:pPr>
        <w:spacing w:before="0" w:after="80"/>
      </w:pPr>
      <w:r>
        <w:rPr>
          <w:i/>
          <w:sz w:val="20"/>
        </w:rPr>
        <w:t>EN: Environment-Assisted Generation of Non-Gaussian Wave-Packet Quantum States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76">
        <w:r>
          <w:rPr>
            <w:color w:val="1155CC"/>
            <w:u w:val="single"/>
          </w:rPr>
          <w:t>10.1103/dtd2-4vpn</w:t>
        </w:r>
      </w:hyperlink>
    </w:p>
    <w:p>
      <w:pPr>
        <w:spacing w:before="0" w:after="120"/>
      </w:pPr>
      <w:r>
        <w:rPr>
          <w:b/>
        </w:rPr>
        <w:t xml:space="preserve">Notes: </w:t>
      </w:r>
      <w:r>
        <w:t>abstract_source=rss_description</w:t>
      </w:r>
    </w:p>
    <w:p>
      <w:pPr>
        <w:spacing w:before="0" w:after="80" w:lineRule="auto" w:line="276"/>
      </w:pPr>
      <w:r>
        <w:rPr>
          <w:b/>
        </w:rPr>
        <w:t xml:space="preserve">摘要（ZH）: </w:t>
      </w:r>
      <w:r>
        <w:t>作者：Maryam Khanahmadi 和 Klaus Mølmer 生成非高斯态并将其转换为行波包对于可扩展、容错的量子计算至关重要，但也具有挑战性。我们提出了一种硬件高效的方法，通过将工程非线性耗散与线性TR相结合，同时实现这两项任务……[Phys。莱特牧师。 137, 020802] 2026 年 7 月 7 日星期二发布</w:t>
      </w:r>
    </w:p>
    <w:p>
      <w:pPr>
        <w:spacing w:before="0" w:after="200" w:lineRule="auto" w:line="276"/>
      </w:pPr>
      <w:r>
        <w:rPr>
          <w:b/>
        </w:rPr>
        <w:t xml:space="preserve">Abstract (EN): </w:t>
      </w:r>
      <w:r>
        <w:t>Author(s): Maryam Khanahmadi and Klaus MølmerGenerating non-Gaussian states and converting them into traveling wave packets is crucial yet challenging for scalable, fault-tolerant quantum computing. We present a hardware-efficient approach that simultaneously achieves both tasks by combining an engineered nonlinear dissipation with a linear tr…[Phys. Rev. Lett. 137, 020802] Published Tue Jul 07, 2026</w:t>
      </w:r>
    </w:p>
    <w:p>
      <w:pPr>
        <w:spacing w:before="120" w:after="120"/>
      </w:pPr>
      <w:r>
        <w:rPr>
          <w:sz w:val="18"/>
        </w:rPr>
        <w:t>——————————————————————————————————————————————————————————————————————</w:t>
      </w:r>
    </w:p>
    <w:p>
      <w:pPr>
        <w:spacing w:before="160" w:after="40" w:line="240" w:lineRule="auto"/>
      </w:pPr>
      <w:r>
        <w:rPr>
          <w:b/>
        </w:rPr>
        <w:t xml:space="preserve">[293] </w:t>
      </w:r>
      <w:hyperlink r:id="rId777">
        <w:r>
          <w:rPr>
            <w:color w:val="1155CC"/>
            <w:u w:val="single"/>
          </w:rPr>
          <w:t>$^{67,69,70}\mathrm{Ni}$ 中 $ν{g}_{9/2}$ 异构态的 $g$ 因子测量</w:t>
        </w:r>
      </w:hyperlink>
    </w:p>
    <w:p>
      <w:pPr>
        <w:spacing w:before="0" w:after="80"/>
      </w:pPr>
      <w:r>
        <w:rPr>
          <w:i/>
          <w:sz w:val="20"/>
        </w:rPr>
        <w:t>EN: $g$-factor measurements on $ν{g}_{9/2}$ isomeric states in $^{67,69,70}\mathrm{Ni}$</w:t>
      </w:r>
    </w:p>
    <w:p>
      <w:pPr>
        <w:spacing w:before="0" w:after="120"/>
      </w:pPr>
      <w:r>
        <w:rPr>
          <w:b/>
        </w:rPr>
        <w:t xml:space="preserve">Source: </w:t>
      </w:r>
      <w:r>
        <w:t>Recent Articles in Phys. Rev. C</w:t>
      </w:r>
      <w:r>
        <w:t xml:space="preserve">    </w:t>
      </w:r>
      <w:r>
        <w:rPr>
          <w:b/>
        </w:rPr>
        <w:t xml:space="preserve">Pub date: </w:t>
      </w:r>
      <w:r>
        <w:t>2026-07-07 10:00:00+00:00</w:t>
      </w:r>
      <w:r>
        <w:t xml:space="preserve">    </w:t>
      </w:r>
      <w:r>
        <w:rPr>
          <w:b/>
        </w:rPr>
        <w:t xml:space="preserve">DOI: </w:t>
      </w:r>
      <w:hyperlink r:id="rId778">
        <w:r>
          <w:rPr>
            <w:color w:val="1155CC"/>
            <w:u w:val="single"/>
          </w:rPr>
          <w:t>10.1103/2f9y-d3dy</w:t>
        </w:r>
      </w:hyperlink>
    </w:p>
    <w:p>
      <w:pPr>
        <w:spacing w:before="0" w:after="120"/>
      </w:pPr>
      <w:r>
        <w:rPr>
          <w:b/>
        </w:rPr>
        <w:t xml:space="preserve">Notes: </w:t>
      </w:r>
      <w:r>
        <w:t>abstract_source=rss_description</w:t>
      </w:r>
    </w:p>
    <w:p>
      <w:pPr>
        <w:spacing w:before="0" w:after="80" w:lineRule="auto" w:line="276"/>
      </w:pPr>
      <w:r>
        <w:rPr>
          <w:b/>
        </w:rPr>
        <w:t xml:space="preserve">摘要（ZH）: </w:t>
      </w:r>
      <w:r>
        <w:t>作者：K. Stoychev、G. Georgiev、J. Ljungvall、K. Sieja、A. M. Amthor、D. L. Balabanski、G. Belier、M. Danchev、J. M. Daugas、T. N. Ginter、G. Goldring、M. Hausmann、I. Matea、W. Mueller、B. S. Nara Singh、G. Neyens、O. Perru、O. Roig、A. Saltarelli、A. Stolz、N. Vermeulen 和 D. T. Yordanov 背景：在 $^{68}\mathrm{Ni}$ 被提出作为双重魔核之后，过去几十年来，Ni 同位素中 $N=40$ 周围的区域从实验和理论的角度都引起了相当大的兴趣。然而，实验证据被证明是矛盾的……[物理。 Rev. C 114, 014305] 于 2026 年 7 月 7 日星期二发布</w:t>
      </w:r>
    </w:p>
    <w:p>
      <w:pPr>
        <w:spacing w:before="0" w:after="200" w:lineRule="auto" w:line="276"/>
      </w:pPr>
      <w:r>
        <w:rPr>
          <w:b/>
        </w:rPr>
        <w:t xml:space="preserve">Abstract (EN): </w:t>
      </w:r>
      <w:r>
        <w:t>Author(s): K. Stoychev, G. Georgiev, J. Ljungvall, K. Sieja, A. M. Amthor, D. L. Balabanski, G. Belier, M. Danchev, J. M. Daugas, T. N. Ginter, G. Goldring, M. Hausmann, I. Matea, W. Mueller, B. S. Nara Singh, G. Neyens, O. Perru, O. Roig, A. Saltarelli, A. Stolz, N. Vermeulen, and D. T. YordanovBackground: The region around $N=40$ in the Ni isotopes has attracted considerable interest both from an experimental and theoretical point of view over the last few decades after $^{68}\mathrm{Ni}$ was proposed as a doubly magic nucleus. However, the experimental evidence has proven contradictory a…[Phys. Rev. C 114, 014305] Published Tue Jul 07, 2026</w:t>
      </w:r>
    </w:p>
    <w:p>
      <w:pPr>
        <w:spacing w:before="120" w:after="120"/>
      </w:pPr>
      <w:r>
        <w:rPr>
          <w:sz w:val="18"/>
        </w:rPr>
        <w:t>——————————————————————————————————————————————————————————————————————</w:t>
      </w:r>
    </w:p>
    <w:p>
      <w:pPr>
        <w:spacing w:before="160" w:after="40" w:line="240" w:lineRule="auto"/>
      </w:pPr>
      <w:r>
        <w:rPr>
          <w:b/>
        </w:rPr>
        <w:t xml:space="preserve">[294] </w:t>
      </w:r>
      <w:hyperlink r:id="rId779">
        <w:r>
          <w:rPr>
            <w:color w:val="1155CC"/>
            <w:u w:val="single"/>
          </w:rPr>
          <w:t>首次观察到 $^{162}\mathrm{Er}$ 中的高 $K$ 能带结构以及相同能带现象背景下的含义</w:t>
        </w:r>
      </w:hyperlink>
    </w:p>
    <w:p>
      <w:pPr>
        <w:spacing w:before="0" w:after="80"/>
      </w:pPr>
      <w:r>
        <w:rPr>
          <w:i/>
          <w:sz w:val="20"/>
        </w:rPr>
        <w:t>EN: First observation of a high-$K$ band structure in $^{162}\mathrm{Er}$ and implications in the context of the identical bands phenomenon</w:t>
      </w:r>
    </w:p>
    <w:p>
      <w:pPr>
        <w:spacing w:before="0" w:after="120"/>
      </w:pPr>
      <w:r>
        <w:rPr>
          <w:b/>
        </w:rPr>
        <w:t xml:space="preserve">Source: </w:t>
      </w:r>
      <w:r>
        <w:t>Recent Articles in Phys. Rev. C</w:t>
      </w:r>
      <w:r>
        <w:t xml:space="preserve">    </w:t>
      </w:r>
      <w:r>
        <w:rPr>
          <w:b/>
        </w:rPr>
        <w:t xml:space="preserve">Pub date: </w:t>
      </w:r>
      <w:r>
        <w:t>2026-07-07 10:00:00+00:00</w:t>
      </w:r>
      <w:r>
        <w:t xml:space="preserve">    </w:t>
      </w:r>
      <w:r>
        <w:rPr>
          <w:b/>
        </w:rPr>
        <w:t xml:space="preserve">DOI: </w:t>
      </w:r>
      <w:hyperlink r:id="rId780">
        <w:r>
          <w:rPr>
            <w:color w:val="1155CC"/>
            <w:u w:val="single"/>
          </w:rPr>
          <w:t>10.1103/fznx-bhp9</w:t>
        </w:r>
      </w:hyperlink>
    </w:p>
    <w:p>
      <w:pPr>
        <w:spacing w:before="0" w:after="120"/>
      </w:pPr>
      <w:r>
        <w:rPr>
          <w:b/>
        </w:rPr>
        <w:t xml:space="preserve">Notes: </w:t>
      </w:r>
      <w:r>
        <w:t>abstract_source=rss_description</w:t>
      </w:r>
    </w:p>
    <w:p>
      <w:pPr>
        <w:spacing w:before="0" w:after="80" w:lineRule="auto" w:line="276"/>
      </w:pPr>
      <w:r>
        <w:rPr>
          <w:b/>
        </w:rPr>
        <w:t xml:space="preserve">摘要（ZH）: </w:t>
      </w:r>
      <w:r>
        <w:t>作者：P. K. Nayak 等人首次鉴定出 $^{162}\mathrm{Er}$ 中的高 $K$ 能带结构。基于 ${K}^{π}\phantom{\rule{0.16em}{0ex}}=\phantom{\rule{0.16em}{0ex}}{7}^{(−)}$ 异构体，发现其本质上与相应的 ${K}^{π}\phantom{\rule{0.16em}{0ex}}=\phantom{\rule…[Phys. Rev. C 114, 014306] 2026 年 7 月 7 日星期二发布</w:t>
      </w:r>
    </w:p>
    <w:p>
      <w:pPr>
        <w:spacing w:before="0" w:after="200" w:lineRule="auto" w:line="276"/>
      </w:pPr>
      <w:r>
        <w:rPr>
          <w:b/>
        </w:rPr>
        <w:t xml:space="preserve">Abstract (EN): </w:t>
      </w:r>
      <w:r>
        <w:t>Author(s): P. K. Nayak et al.The first ever identification of a high-$K$ band structure in $^{162}\mathrm{Er}$ is reported. Based on a ${K}^{π}\phantom{\rule{0.16em}{0ex}}=\phantom{\rule{0.16em}{0ex}}{7}^{(−)}$ isomer, it is found to be identical in nature to the corresponding ${K}^{π}\phantom{\rule{0.16em}{0ex}}=\phantom{\rule…[Phys. Rev. C 114, 014306] Published Tue Jul 07, 2026</w:t>
      </w:r>
    </w:p>
    <w:p>
      <w:pPr>
        <w:spacing w:before="120" w:after="120"/>
      </w:pPr>
      <w:r>
        <w:rPr>
          <w:sz w:val="18"/>
        </w:rPr>
        <w:t>——————————————————————————————————————————————————————————————————————</w:t>
      </w:r>
    </w:p>
    <w:p>
      <w:pPr>
        <w:spacing w:before="160" w:after="40" w:line="240" w:lineRule="auto"/>
      </w:pPr>
      <w:r>
        <w:rPr>
          <w:b/>
        </w:rPr>
        <w:t xml:space="preserve">[295] </w:t>
      </w:r>
      <w:hyperlink r:id="rId781">
        <w:r>
          <w:rPr>
            <w:color w:val="1155CC"/>
            <w:u w:val="single"/>
          </w:rPr>
          <w:t>具有中子-质子双壳层和价核子效应的 $α$ 衰变的 Geiger-Nuttall 系统学</w:t>
        </w:r>
      </w:hyperlink>
    </w:p>
    <w:p>
      <w:pPr>
        <w:spacing w:before="0" w:after="80"/>
      </w:pPr>
      <w:r>
        <w:rPr>
          <w:i/>
          <w:sz w:val="20"/>
        </w:rPr>
        <w:t>EN: Geiger-Nuttall systematics for $α$ decay with neutron-proton double-shell and valence-nucleon effects</w:t>
      </w:r>
    </w:p>
    <w:p>
      <w:pPr>
        <w:spacing w:before="0" w:after="120"/>
      </w:pPr>
      <w:r>
        <w:rPr>
          <w:b/>
        </w:rPr>
        <w:t xml:space="preserve">Source: </w:t>
      </w:r>
      <w:r>
        <w:t>Recent Articles in Phys. Rev. C</w:t>
      </w:r>
      <w:r>
        <w:t xml:space="preserve">    </w:t>
      </w:r>
      <w:r>
        <w:rPr>
          <w:b/>
        </w:rPr>
        <w:t xml:space="preserve">Pub date: </w:t>
      </w:r>
      <w:r>
        <w:t>2026-07-07 10:00:00+00:00</w:t>
      </w:r>
      <w:r>
        <w:t xml:space="preserve">    </w:t>
      </w:r>
      <w:r>
        <w:rPr>
          <w:b/>
        </w:rPr>
        <w:t xml:space="preserve">DOI: </w:t>
      </w:r>
      <w:hyperlink r:id="rId782">
        <w:r>
          <w:rPr>
            <w:color w:val="1155CC"/>
            <w:u w:val="single"/>
          </w:rPr>
          <w:t>10.1103/f1ll-d5hh</w:t>
        </w:r>
      </w:hyperlink>
    </w:p>
    <w:p>
      <w:pPr>
        <w:spacing w:before="0" w:after="120"/>
      </w:pPr>
      <w:r>
        <w:rPr>
          <w:b/>
        </w:rPr>
        <w:t xml:space="preserve">Notes: </w:t>
      </w:r>
      <w:r>
        <w:t>abstract_source=rss_description</w:t>
      </w:r>
    </w:p>
    <w:p>
      <w:pPr>
        <w:spacing w:before="0" w:after="80" w:lineRule="auto" w:line="276"/>
      </w:pPr>
      <w:r>
        <w:rPr>
          <w:b/>
        </w:rPr>
        <w:t xml:space="preserve">摘要（ZH）: </w:t>
      </w:r>
      <w:r>
        <w:t>作者：李小龙、韩志鹏、万牛我们通过现象学修正项，将中子-质子双壳层和价态-核子修正作为主要结构效应，改进了 $α$ 衰变的 Geiger-Nuttall 框架。由势垒面扩张衍生的二阶能量相关项的作用……[物理。 Rev. C 114, 014308] 2026 年 7 月 7 日星期二发布</w:t>
      </w:r>
    </w:p>
    <w:p>
      <w:pPr>
        <w:spacing w:before="0" w:after="200" w:lineRule="auto" w:line="276"/>
      </w:pPr>
      <w:r>
        <w:rPr>
          <w:b/>
        </w:rPr>
        <w:t xml:space="preserve">Abstract (EN): </w:t>
      </w:r>
      <w:r>
        <w:t>Author(s): Xiaolong Li, Zhipeng Han, and Niu WanWe improve the Geiger-Nuttall framework for $α$ decay by incorporating neutron-proton double-shell and valence-nucleon corrections as the main structural effects through phenomenological correction terms. The role of a second-order energy-dependent term derived from the expansion of the barrier pene…[Phys. Rev. C 114, 014308] Published Tue Jul 07, 2026</w:t>
      </w:r>
    </w:p>
    <w:p>
      <w:pPr>
        <w:spacing w:before="120" w:after="120"/>
      </w:pPr>
      <w:r>
        <w:rPr>
          <w:sz w:val="18"/>
        </w:rPr>
        <w:t>——————————————————————————————————————————————————————————————————————</w:t>
      </w:r>
    </w:p>
    <w:p>
      <w:pPr>
        <w:spacing w:before="160" w:after="40" w:line="240" w:lineRule="auto"/>
      </w:pPr>
      <w:r>
        <w:rPr>
          <w:b/>
        </w:rPr>
        <w:t xml:space="preserve">[296] </w:t>
      </w:r>
      <w:hyperlink r:id="rId783">
        <w:r>
          <w:rPr>
            <w:color w:val="1155CC"/>
            <w:u w:val="single"/>
          </w:rPr>
          <w:t>通过质子轰击天然锑生产 $^{117m}\mathrm{Sn}$ 和 $^{119m}\mathrm{Te}$ 及其对带电粒子反应建模的影响</w:t>
        </w:r>
      </w:hyperlink>
    </w:p>
    <w:p>
      <w:pPr>
        <w:spacing w:before="0" w:after="80"/>
      </w:pPr>
      <w:r>
        <w:rPr>
          <w:i/>
          <w:sz w:val="20"/>
        </w:rPr>
        <w:t>EN: $^{117m}\mathrm{Sn}$ and $^{119m}\mathrm{Te}$ production via proton bombardment on natural antimony and implications for modeling charged-particle reactions</w:t>
      </w:r>
    </w:p>
    <w:p>
      <w:pPr>
        <w:spacing w:before="0" w:after="120"/>
      </w:pPr>
      <w:r>
        <w:rPr>
          <w:b/>
        </w:rPr>
        <w:t xml:space="preserve">Source: </w:t>
      </w:r>
      <w:r>
        <w:t>Recent Articles in Phys. Rev. C</w:t>
      </w:r>
      <w:r>
        <w:t xml:space="preserve">    </w:t>
      </w:r>
      <w:r>
        <w:rPr>
          <w:b/>
        </w:rPr>
        <w:t xml:space="preserve">Pub date: </w:t>
      </w:r>
      <w:r>
        <w:t>2026-07-07 10:00:00+00:00</w:t>
      </w:r>
      <w:r>
        <w:t xml:space="preserve">    </w:t>
      </w:r>
      <w:r>
        <w:rPr>
          <w:b/>
        </w:rPr>
        <w:t xml:space="preserve">DOI: </w:t>
      </w:r>
      <w:hyperlink r:id="rId784">
        <w:r>
          <w:rPr>
            <w:color w:val="1155CC"/>
            <w:u w:val="single"/>
          </w:rPr>
          <w:t>10.1103/mj27-xrtf</w:t>
        </w:r>
      </w:hyperlink>
    </w:p>
    <w:p>
      <w:pPr>
        <w:spacing w:before="0" w:after="120"/>
      </w:pPr>
      <w:r>
        <w:rPr>
          <w:b/>
        </w:rPr>
        <w:t xml:space="preserve">Notes: </w:t>
      </w:r>
      <w:r>
        <w:t>abstract_source=rss_description</w:t>
      </w:r>
    </w:p>
    <w:p>
      <w:pPr>
        <w:spacing w:before="0" w:after="80" w:lineRule="auto" w:line="276"/>
      </w:pPr>
      <w:r>
        <w:rPr>
          <w:b/>
        </w:rPr>
        <w:t xml:space="preserve">摘要（ZH）: </w:t>
      </w:r>
      <w:r>
        <w:t>作者：Catherine E. Apgar、Andrew S. Voyles、Jon C. Batchelder、Cathy S. Cutler、Morgan B. Fox、Yun-Hsuan Lee、Dmitri G. Medvedev、Jonathan T. Morrell、Ellen M. O'Brien、Michael Skulski、C. Etienne Vermeulen 和 Lee A. Bernstein$^{117m}\mathrm{Sn}$ 和$^{119}\mathrm{Sb}$，后者是通过 $^{119m}\mathrm{Te}$ 发生器产生的，是有前景的放射性核素，可通过俄歇疗法靶向治疗骨关节炎和小肿块肿瘤。实验是在劳伦斯伯克利国家实验室进行的……[物理。 Rev. C 114, 014610] 于 2026 年 7 月 7 日星期二发布</w:t>
      </w:r>
    </w:p>
    <w:p>
      <w:pPr>
        <w:spacing w:before="0" w:after="200" w:lineRule="auto" w:line="276"/>
      </w:pPr>
      <w:r>
        <w:rPr>
          <w:b/>
        </w:rPr>
        <w:t xml:space="preserve">Abstract (EN): </w:t>
      </w:r>
      <w:r>
        <w:t>Author(s): Catherine E. Apgar, Andrew S. Voyles, Jon C. Batchelder, Cathy S. Cutler, Morgan B. Fox, Yun-Hsuan Lee, Dmitri G. Medvedev, Jonathan T. Morrell, Ellen M. O'Brien, Michael Skulski, C. Etienne Vermeulen, and Lee A. Bernstein$^{117m}\mathrm{Sn}$ and $^{119}\mathrm{Sb}$, the latter of which is produced via a $^{119m}\mathrm{Te}$ generator, are promising radionuclides for the targeted treatment of both osteoarthritis and small mass tumors via Auger therapy. Experiments were conducted at Lawrence Berkeley National Laborato…[Phys. Rev. C 114, 014610] Published Tue Jul 07, 2026</w:t>
      </w:r>
    </w:p>
    <w:p>
      <w:pPr>
        <w:spacing w:before="120" w:after="120"/>
      </w:pPr>
      <w:r>
        <w:rPr>
          <w:sz w:val="18"/>
        </w:rPr>
        <w:t>——————————————————————————————————————————————————————————————————————</w:t>
      </w:r>
    </w:p>
    <w:p>
      <w:pPr>
        <w:spacing w:before="160" w:after="40" w:line="240" w:lineRule="auto"/>
      </w:pPr>
      <w:r>
        <w:rPr>
          <w:b/>
        </w:rPr>
        <w:t xml:space="preserve">[297] </w:t>
      </w:r>
      <w:hyperlink r:id="rId785">
        <w:r>
          <w:rPr>
            <w:color w:val="1155CC"/>
            <w:u w:val="single"/>
          </w:rPr>
          <w:t>弹性体老化</w:t>
        </w:r>
      </w:hyperlink>
    </w:p>
    <w:p>
      <w:pPr>
        <w:spacing w:before="0" w:after="80"/>
      </w:pPr>
      <w:r>
        <w:rPr>
          <w:i/>
          <w:sz w:val="20"/>
        </w:rPr>
        <w:t>EN: Aging of Elastic Bodies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86">
        <w:r>
          <w:rPr>
            <w:color w:val="1155CC"/>
            <w:u w:val="single"/>
          </w:rPr>
          <w:t>10.1103/8csp-nw9h</w:t>
        </w:r>
      </w:hyperlink>
    </w:p>
    <w:p>
      <w:pPr>
        <w:spacing w:before="0" w:after="120"/>
      </w:pPr>
      <w:r>
        <w:rPr>
          <w:b/>
        </w:rPr>
        <w:t xml:space="preserve">Notes: </w:t>
      </w:r>
      <w:r>
        <w:t>abstract_source=rss_description</w:t>
      </w:r>
    </w:p>
    <w:p>
      <w:pPr>
        <w:spacing w:before="0" w:after="80" w:lineRule="auto" w:line="276"/>
      </w:pPr>
      <w:r>
        <w:rPr>
          <w:b/>
        </w:rPr>
        <w:t xml:space="preserve">摘要（ZH）: </w:t>
      </w:r>
      <w:r>
        <w:t>作者：Ori Lev、Sagy Lachmann 和 Shmuel M. Rubinstein 弄皱的聚酯薄膜片在力和位移控制的条件下表现出对数松弛。我们进行了循环松弛实验，并揭示了一系列连续的力-位移曲线，这些曲线逐渐趋向平衡，以瞬时和完全松弛的极限为界。按基因...[物理。莱特牧师。 137, 028201] 2026 年 7 月 7 日星期二发布</w:t>
      </w:r>
    </w:p>
    <w:p>
      <w:pPr>
        <w:spacing w:before="0" w:after="200" w:lineRule="auto" w:line="276"/>
      </w:pPr>
      <w:r>
        <w:rPr>
          <w:b/>
        </w:rPr>
        <w:t xml:space="preserve">Abstract (EN): </w:t>
      </w:r>
      <w:r>
        <w:t>Author(s): Ori Lev, Sagy Lachmann, and Shmuel M. RubinsteinCrumpled Mylar sheets exhibit logarithmic relaxation under both force and displacement-controlled conditions. We perform cyclic relaxation experiments and reveal a continuous family of force-displacement curves that evolve toward equilibrium, bounded by instantaneous and fully relaxed limits. By gen…[Phys. Rev. Lett. 137, 028201] Published Tue Jul 07, 2026</w:t>
      </w:r>
    </w:p>
    <w:p>
      <w:pPr>
        <w:spacing w:before="120" w:after="120"/>
      </w:pPr>
      <w:r>
        <w:rPr>
          <w:sz w:val="18"/>
        </w:rPr>
        <w:t>——————————————————————————————————————————————————————————————————————</w:t>
      </w:r>
    </w:p>
    <w:p>
      <w:pPr>
        <w:spacing w:before="160" w:after="40" w:line="240" w:lineRule="auto"/>
      </w:pPr>
      <w:r>
        <w:rPr>
          <w:b/>
        </w:rPr>
        <w:t xml:space="preserve">[298] </w:t>
      </w:r>
      <w:hyperlink r:id="rId787">
        <w:r>
          <w:rPr>
            <w:color w:val="1155CC"/>
            <w:u w:val="single"/>
          </w:rPr>
          <w:t>通过不定因果阶纠错实现抗噪海森堡有限量子传感</w:t>
        </w:r>
      </w:hyperlink>
    </w:p>
    <w:p>
      <w:pPr>
        <w:spacing w:before="0" w:after="80"/>
      </w:pPr>
      <w:r>
        <w:rPr>
          <w:i/>
          <w:sz w:val="20"/>
        </w:rPr>
        <w:t>EN: Noise-Resilient Heisenberg-Limited Quantum Sensing via Indefinite-Causal-Order Error Correction</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88">
        <w:r>
          <w:rPr>
            <w:color w:val="1155CC"/>
            <w:u w:val="single"/>
          </w:rPr>
          <w:t>10.1103/9mjc-nhxx</w:t>
        </w:r>
      </w:hyperlink>
    </w:p>
    <w:p>
      <w:pPr>
        <w:spacing w:before="0" w:after="120"/>
      </w:pPr>
      <w:r>
        <w:rPr>
          <w:b/>
        </w:rPr>
        <w:t xml:space="preserve">Notes: </w:t>
      </w:r>
      <w:r>
        <w:t>abstract_source=rss_description</w:t>
      </w:r>
    </w:p>
    <w:p>
      <w:pPr>
        <w:spacing w:before="0" w:after="80" w:lineRule="auto" w:line="276"/>
      </w:pPr>
      <w:r>
        <w:rPr>
          <w:b/>
        </w:rPr>
        <w:t xml:space="preserve">摘要（ZH）: </w:t>
      </w:r>
      <w:r>
        <w:t>作者：Hang Xu、Xiaoyang Deng、Ze Cheng、Tailong Shaw 和 Guihua Zeng 原则上，量子资源可以实现海森堡极限传感，但 no go 定理意味着海森堡极限缩放在现实的噪声设备中通常是无法实现的。虽然量子纠错 (QEC) 可以抑制噪声，但其在量子传感中的使用受到严格要求的限制……[Phys.莱特牧师。 137, 020801] 2026 年 7 月 7 日星期二发布</w:t>
      </w:r>
    </w:p>
    <w:p>
      <w:pPr>
        <w:spacing w:before="0" w:after="200" w:lineRule="auto" w:line="276"/>
      </w:pPr>
      <w:r>
        <w:rPr>
          <w:b/>
        </w:rPr>
        <w:t xml:space="preserve">Abstract (EN): </w:t>
      </w:r>
      <w:r>
        <w:t>Author(s): Hang Xu, Xiaoyang Deng, Ze Zheng, Tailong Xiao, and Guihua ZengQuantum resources can, in principle, enable Heisenberg-limited sensing, yet no-go theorems imply that Heisenberg-limited scaling is generically unattainable in realistic noisy devices. While quantum error correction (QEC) can suppress noise, its use in quantum sensing is constrained by stringent req…[Phys. Rev. Lett. 137, 020801] Published Tue Jul 07, 2026</w:t>
      </w:r>
    </w:p>
    <w:p>
      <w:pPr>
        <w:spacing w:before="120" w:after="120"/>
      </w:pPr>
      <w:r>
        <w:rPr>
          <w:sz w:val="18"/>
        </w:rPr>
        <w:t>——————————————————————————————————————————————————————————————————————</w:t>
      </w:r>
    </w:p>
    <w:p>
      <w:pPr>
        <w:spacing w:before="160" w:after="40" w:line="240" w:lineRule="auto"/>
      </w:pPr>
      <w:r>
        <w:rPr>
          <w:b/>
        </w:rPr>
        <w:t xml:space="preserve">[299] </w:t>
      </w:r>
      <w:hyperlink r:id="rId789">
        <w:r>
          <w:rPr>
            <w:color w:val="1155CC"/>
            <w:u w:val="single"/>
          </w:rPr>
          <w:t>超空腔量子电动力学</w:t>
        </w:r>
      </w:hyperlink>
    </w:p>
    <w:p>
      <w:pPr>
        <w:spacing w:before="0" w:after="80"/>
      </w:pPr>
      <w:r>
        <w:rPr>
          <w:i/>
          <w:sz w:val="20"/>
        </w:rPr>
        <w:t>EN: Metacavity Quantum Electrodynamics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90">
        <w:r>
          <w:rPr>
            <w:color w:val="1155CC"/>
            <w:u w:val="single"/>
          </w:rPr>
          <w:t>10.1103/j8gx-58hf</w:t>
        </w:r>
      </w:hyperlink>
    </w:p>
    <w:p>
      <w:pPr>
        <w:spacing w:before="0" w:after="120"/>
      </w:pPr>
      <w:r>
        <w:rPr>
          <w:b/>
        </w:rPr>
        <w:t xml:space="preserve">Notes: </w:t>
      </w:r>
      <w:r>
        <w:t>abstract_source=rss_description</w:t>
      </w:r>
    </w:p>
    <w:p>
      <w:pPr>
        <w:spacing w:before="0" w:after="80" w:lineRule="auto" w:line="276"/>
      </w:pPr>
      <w:r>
        <w:rPr>
          <w:b/>
        </w:rPr>
        <w:t xml:space="preserve">摘要（ZH）: </w:t>
      </w:r>
      <w:r>
        <w:t>Author(s): Xueshi Li (李学诗), Ziwei Wang (王子维), Yan Chen (陈岩), Dong Liu ((刘栋), Kaili Xiong (熊凯莉), Guangfeng Wang (王光丰), Jiantao Ma (马剑涛), Ying Yu (喻颖), Jiawei Wang (王嘉威), Zhanling Wang (王占领), Xiao Li (李霄), Xianfeng Chen (陈险峰), Erez Hasman, Bo Wang (王波), Jin Liu (刘进), and Tian Jiang (江天)Cavity quantum electrodynamics (cQED) harnesses light-matter interactions to produce nonclassical light states. However, a fundamental challenge lies in simultaneously achieving Purcell enhancement and tailored wave front control within a single cavity, due to conflicting resonator requirements. Her…[Phys. Rev. Lett. 137, 023601] Published Tue Jul 07, 2026</w:t>
      </w:r>
    </w:p>
    <w:p>
      <w:pPr>
        <w:spacing w:before="0" w:after="200" w:lineRule="auto" w:line="276"/>
      </w:pPr>
      <w:r>
        <w:rPr>
          <w:b/>
        </w:rPr>
        <w:t xml:space="preserve">Abstract (EN): </w:t>
      </w:r>
      <w:r>
        <w:t>Author(s): Xueshi Li (李学诗), Ziwei Wang (王子维), Yan Chen (陈岩), Dong Liu ((刘栋), Kaili Xiong (熊凯莉), Guangfeng Wang (王光丰), Jiantao Ma (马剑涛), Ying Yu (喻颖), Jiawei Wang (王嘉威), Zhanling Wang (王占领), Xiao Li (李霄), Xianfeng Chen (陈险峰), Erez Hasman, Bo Wang (王波), Jin Liu (刘进), and Tian Jiang (江天)Cavity quantum electrodynamics (cQED) harnesses light-matter interactions to produce nonclassical light states. However, a fundamental challenge lies in simultaneously achieving Purcell enhancement and tailored wave front control within a single cavity, due to conflicting resonator requirements. Her…[Phys. Rev. Lett. 137, 023601] Published Tue Jul 07, 2026</w:t>
      </w:r>
    </w:p>
    <w:p>
      <w:pPr>
        <w:spacing w:before="120" w:after="120"/>
      </w:pPr>
      <w:r>
        <w:rPr>
          <w:sz w:val="18"/>
        </w:rPr>
        <w:t>——————————————————————————————————————————————————————————————————————</w:t>
      </w:r>
    </w:p>
    <w:p>
      <w:pPr>
        <w:spacing w:before="160" w:after="40" w:line="240" w:lineRule="auto"/>
      </w:pPr>
      <w:r>
        <w:rPr>
          <w:b/>
        </w:rPr>
        <w:t xml:space="preserve">[300] </w:t>
      </w:r>
      <w:hyperlink r:id="rId791">
        <w:r>
          <w:rPr>
            <w:color w:val="1155CC"/>
            <w:u w:val="single"/>
          </w:rPr>
          <w:t>阿贝尔弦网模型的等距张量网络状态骨架</w:t>
        </w:r>
      </w:hyperlink>
    </w:p>
    <w:p>
      <w:pPr>
        <w:spacing w:before="0" w:after="80"/>
      </w:pPr>
      <w:r>
        <w:rPr>
          <w:i/>
          <w:sz w:val="20"/>
        </w:rPr>
        <w:t>EN: Skeleton of Isometric Tensor Network States for Abelian String-Net Models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92">
        <w:r>
          <w:rPr>
            <w:color w:val="1155CC"/>
            <w:u w:val="single"/>
          </w:rPr>
          <w:t>10.1103/d3fz-5755</w:t>
        </w:r>
      </w:hyperlink>
    </w:p>
    <w:p>
      <w:pPr>
        <w:spacing w:before="0" w:after="120"/>
      </w:pPr>
      <w:r>
        <w:rPr>
          <w:b/>
        </w:rPr>
        <w:t xml:space="preserve">Notes: </w:t>
      </w:r>
      <w:r>
        <w:t>abstract_source=rss_description</w:t>
      </w:r>
    </w:p>
    <w:p>
      <w:pPr>
        <w:spacing w:before="0" w:after="80" w:lineRule="auto" w:line="276"/>
      </w:pPr>
      <w:r>
        <w:rPr>
          <w:b/>
        </w:rPr>
        <w:t xml:space="preserve">摘要（ZH）: </w:t>
      </w:r>
      <w:r>
        <w:t>作者：Julian Boesl、Yu-Jie Liu、Frank Pollmann 和 Michael Knap 我们构造参数化等距张量网络状态（称为“骨架”），使我们能够探索阿贝尔拓扑序的阶段，并且可以在量子处理器上有效实现。我们获得了稳定的弦网不动点的有限相关长度变形，它们是…[Phys。莱特牧师。 137, 020405] 2026 年 7 月 7 日星期二发布</w:t>
      </w:r>
    </w:p>
    <w:p>
      <w:pPr>
        <w:spacing w:before="0" w:after="200" w:lineRule="auto" w:line="276"/>
      </w:pPr>
      <w:r>
        <w:rPr>
          <w:b/>
        </w:rPr>
        <w:t xml:space="preserve">Abstract (EN): </w:t>
      </w:r>
      <w:r>
        <w:t>Author(s): Julian Boesl, Yu-Jie Liu, Frank Pollmann, and Michael KnapWe construct parametrized isometric tensor network states—referred to as “skeletons”—that allow us to explore phases of Abelian topological order and can be efficiently implemented on quantum processors. We obtain stable finite correlation length deformations of string-net fixed points, which are co…[Phys. Rev. Lett. 137, 020405] Published Tue Jul 07, 2026</w:t>
      </w:r>
    </w:p>
    <w:p>
      <w:pPr>
        <w:spacing w:before="120" w:after="120"/>
      </w:pPr>
      <w:r>
        <w:rPr>
          <w:sz w:val="18"/>
        </w:rPr>
        <w:t>——————————————————————————————————————————————————————————————————————</w:t>
      </w:r>
    </w:p>
    <w:p>
      <w:pPr>
        <w:spacing w:before="160" w:after="40" w:line="240" w:lineRule="auto"/>
      </w:pPr>
      <w:r>
        <w:rPr>
          <w:b/>
        </w:rPr>
        <w:t xml:space="preserve">[301] </w:t>
      </w:r>
      <w:hyperlink r:id="rId793">
        <w:r>
          <w:rPr>
            <w:color w:val="1155CC"/>
            <w:u w:val="single"/>
          </w:rPr>
          <w:t>系综瞬态密度泛函理论</w:t>
        </w:r>
      </w:hyperlink>
    </w:p>
    <w:p>
      <w:pPr>
        <w:spacing w:before="0" w:after="80"/>
      </w:pPr>
      <w:r>
        <w:rPr>
          <w:i/>
          <w:sz w:val="20"/>
        </w:rPr>
        <w:t>EN: Ensemble Time-Dependent Density Functional Theory</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94">
        <w:r>
          <w:rPr>
            <w:color w:val="1155CC"/>
            <w:u w:val="single"/>
          </w:rPr>
          <w:t>10.1103/q7dh-ccch</w:t>
        </w:r>
      </w:hyperlink>
    </w:p>
    <w:p>
      <w:pPr>
        <w:spacing w:before="0" w:after="120"/>
      </w:pPr>
      <w:r>
        <w:rPr>
          <w:b/>
        </w:rPr>
        <w:t xml:space="preserve">Notes: </w:t>
      </w:r>
      <w:r>
        <w:t>abstract_source=rss_description</w:t>
      </w:r>
    </w:p>
    <w:p>
      <w:pPr>
        <w:spacing w:before="0" w:after="80" w:lineRule="auto" w:line="276"/>
      </w:pPr>
      <w:r>
        <w:rPr>
          <w:b/>
        </w:rPr>
        <w:t xml:space="preserve">摘要（ZH）: </w:t>
      </w:r>
      <w:r>
        <w:t>作者：Kimberly J. Daas、Steven Crisostomo 和 Kieron Burke 时间相关密度泛函理论 (TDDFT) 是计算分子和固体光学激发的标准方法，而系综 DFT (EDFT) 是正在开发的一种有前途的替代方法。我们引入了集成 TDDFT (ETDDFT)，这是一种将两者结合起来的实用理论，概括了 bo…[Phys.莱特牧师。 137, 028002] 2026 年 7 月 7 日星期二发布</w:t>
      </w:r>
    </w:p>
    <w:p>
      <w:pPr>
        <w:spacing w:before="0" w:after="200" w:lineRule="auto" w:line="276"/>
      </w:pPr>
      <w:r>
        <w:rPr>
          <w:b/>
        </w:rPr>
        <w:t xml:space="preserve">Abstract (EN): </w:t>
      </w:r>
      <w:r>
        <w:t>Author(s): Kimberly J. Daas, Steven Crisostomo, and Kieron BurkeTime-dependent density functional theory (TDDFT) is a standard approach for calculating optical excitations of molecules and solids, while ensemble DFT (EDFT) is a promising alternative under development. We introduce ensemble TDDFT (ETDDFT), a practical theory that combines the two, generalizing bo…[Phys. Rev. Lett. 137, 028002] Published Tue Jul 07, 2026</w:t>
      </w:r>
    </w:p>
    <w:p>
      <w:pPr>
        <w:spacing w:before="120" w:after="120"/>
      </w:pPr>
      <w:r>
        <w:rPr>
          <w:sz w:val="18"/>
        </w:rPr>
        <w:t>——————————————————————————————————————————————————————————————————————</w:t>
      </w:r>
    </w:p>
    <w:p>
      <w:pPr>
        <w:spacing w:before="160" w:after="40" w:line="240" w:lineRule="auto"/>
      </w:pPr>
      <w:r>
        <w:rPr>
          <w:b/>
        </w:rPr>
        <w:t xml:space="preserve">[302] </w:t>
      </w:r>
      <w:hyperlink r:id="rId795">
        <w:r>
          <w:rPr>
            <w:color w:val="1155CC"/>
            <w:u w:val="single"/>
          </w:rPr>
          <w:t>连续变量系统的非参数学习非高斯量子态</w:t>
        </w:r>
      </w:hyperlink>
    </w:p>
    <w:p>
      <w:pPr>
        <w:spacing w:before="0" w:after="80"/>
      </w:pPr>
      <w:r>
        <w:rPr>
          <w:i/>
          <w:sz w:val="20"/>
        </w:rPr>
        <w:t>EN: Nonparametric Learning Non-Gaussian Quantum States of Continuous Variable Systems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96">
        <w:r>
          <w:rPr>
            <w:color w:val="1155CC"/>
            <w:u w:val="single"/>
          </w:rPr>
          <w:t>10.1103/xdcg-6df5</w:t>
        </w:r>
      </w:hyperlink>
    </w:p>
    <w:p>
      <w:pPr>
        <w:spacing w:before="0" w:after="120"/>
      </w:pPr>
      <w:r>
        <w:rPr>
          <w:b/>
        </w:rPr>
        <w:t xml:space="preserve">Notes: </w:t>
      </w:r>
      <w:r>
        <w:t>abstract_source=rss_description</w:t>
      </w:r>
    </w:p>
    <w:p>
      <w:pPr>
        <w:spacing w:before="0" w:after="80" w:lineRule="auto" w:line="276"/>
      </w:pPr>
      <w:r>
        <w:rPr>
          <w:b/>
        </w:rPr>
        <w:t xml:space="preserve">摘要（ZH）: </w:t>
      </w:r>
      <w:r>
        <w:t>作者：Liubov Markovich、Xiaoyu Liu 和 Jordi Tura 连续变量量子系统是量子计算、通信和传感的基础。虽然使用波函数或密度矩阵的传统表示通常是不切实际的，但量子力学的层析图像通过关联量子提供了一种可行的替代方案……[物理学。莱特牧师。 137, 020201] 发布时间 2026 年 7 月 7 日星期二</w:t>
      </w:r>
    </w:p>
    <w:p>
      <w:pPr>
        <w:spacing w:before="0" w:after="200" w:lineRule="auto" w:line="276"/>
      </w:pPr>
      <w:r>
        <w:rPr>
          <w:b/>
        </w:rPr>
        <w:t xml:space="preserve">Abstract (EN): </w:t>
      </w:r>
      <w:r>
        <w:t>Author(s): Liubov Markovich, Xiaoyu Liu, and Jordi TuraContinuous-variable quantum systems are foundational to quantum computation, communication, and sensing. While traditional representations using wave functions or density matrices are often impractical, the tomographic picture of quantum mechanics provides an accessible alternative by associating qu…[Phys. Rev. Lett. 137, 020201] Published Tue Jul 07, 2026</w:t>
      </w:r>
    </w:p>
    <w:p>
      <w:pPr>
        <w:spacing w:before="120" w:after="120"/>
      </w:pPr>
      <w:r>
        <w:rPr>
          <w:sz w:val="18"/>
        </w:rPr>
        <w:t>——————————————————————————————————————————————————————————————————————</w:t>
      </w:r>
    </w:p>
    <w:p>
      <w:pPr>
        <w:spacing w:before="160" w:after="40" w:line="240" w:lineRule="auto"/>
      </w:pPr>
      <w:r>
        <w:rPr>
          <w:b/>
        </w:rPr>
        <w:t xml:space="preserve">[303] </w:t>
      </w:r>
      <w:hyperlink r:id="rId797">
        <w:r>
          <w:rPr>
            <w:color w:val="1155CC"/>
            <w:u w:val="single"/>
          </w:rPr>
          <w:t>空心拉盖尔高斯激光器定向和准直电子加速的实验演示</w:t>
        </w:r>
      </w:hyperlink>
    </w:p>
    <w:p>
      <w:pPr>
        <w:spacing w:before="0" w:after="80"/>
      </w:pPr>
      <w:r>
        <w:rPr>
          <w:i/>
          <w:sz w:val="20"/>
        </w:rPr>
        <w:t>EN: Experimental Demonstration of Directional and Collimated Electron Acceleration with Hollow Laguerre-Gaussian Lasers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798">
        <w:r>
          <w:rPr>
            <w:color w:val="1155CC"/>
            <w:u w:val="single"/>
          </w:rPr>
          <w:t>10.1103/9ymq-y8qc</w:t>
        </w:r>
      </w:hyperlink>
    </w:p>
    <w:p>
      <w:pPr>
        <w:spacing w:before="0" w:after="120"/>
      </w:pPr>
      <w:r>
        <w:rPr>
          <w:b/>
        </w:rPr>
        <w:t xml:space="preserve">Notes: </w:t>
      </w:r>
      <w:r>
        <w:t>abstract_source=rss_description</w:t>
      </w:r>
    </w:p>
    <w:p>
      <w:pPr>
        <w:spacing w:before="0" w:after="80" w:lineRule="auto" w:line="276"/>
      </w:pPr>
      <w:r>
        <w:rPr>
          <w:b/>
        </w:rPr>
        <w:t xml:space="preserve">摘要（ZH）: </w:t>
      </w:r>
      <w:r>
        <w:t>Author(s): Wenpeng Wang, Zhengxing lv, Fengyu Sun, Zhiyong Shi, Xiaoming Lu, Yi Xu, Jinfeng Li, Rongjie Xu, Zongxin Zhang, Jiayi Qian, Jiacheng Zhu, Xiaoyan Liang, Yuxin Leng, Ruxin Li, and Zhizhan XuWe report the first experimental demonstration of directional and collimated electron acceleration in the direct laser acceleration regime using a relativistic hollow Laguerre-Gaussian (LG) laser. Electrons are confined within the hollow field distribution along the reflected laser direction, produc…[Phys. Rev. Lett. 137, 025001] Published Tue Jul 07, 2026</w:t>
      </w:r>
    </w:p>
    <w:p>
      <w:pPr>
        <w:spacing w:before="0" w:after="200" w:lineRule="auto" w:line="276"/>
      </w:pPr>
      <w:r>
        <w:rPr>
          <w:b/>
        </w:rPr>
        <w:t xml:space="preserve">Abstract (EN): </w:t>
      </w:r>
      <w:r>
        <w:t>Author(s): Wenpeng Wang, Zhengxing lv, Fengyu Sun, Zhiyong Shi, Xiaoming Lu, Yi Xu, Jinfeng Li, Rongjie Xu, Zongxin Zhang, Jiayi Qian, Jiacheng Zhu, Xiaoyan Liang, Yuxin Leng, Ruxin Li, and Zhizhan XuWe report the first experimental demonstration of directional and collimated electron acceleration in the direct laser acceleration regime using a relativistic hollow Laguerre-Gaussian (LG) laser. Electrons are confined within the hollow field distribution along the reflected laser direction, produc…[Phys. Rev. Lett. 137, 025001] Published Tue Jul 07, 2026</w:t>
      </w:r>
    </w:p>
    <w:p>
      <w:pPr>
        <w:spacing w:before="120" w:after="120"/>
      </w:pPr>
      <w:r>
        <w:rPr>
          <w:sz w:val="18"/>
        </w:rPr>
        <w:t>——————————————————————————————————————————————————————————————————————</w:t>
      </w:r>
    </w:p>
    <w:p>
      <w:pPr>
        <w:spacing w:before="160" w:after="40" w:line="240" w:lineRule="auto"/>
      </w:pPr>
      <w:r>
        <w:rPr>
          <w:b/>
        </w:rPr>
        <w:t xml:space="preserve">[304] </w:t>
      </w:r>
      <w:hyperlink r:id="rId799">
        <w:r>
          <w:rPr>
            <w:color w:val="1155CC"/>
            <w:u w:val="single"/>
          </w:rPr>
          <w:t>Pb 中弱耦合超导性的压力驱动演化的热力学证据</w:t>
        </w:r>
      </w:hyperlink>
    </w:p>
    <w:p>
      <w:pPr>
        <w:spacing w:before="0" w:after="80"/>
      </w:pPr>
      <w:r>
        <w:rPr>
          <w:i/>
          <w:sz w:val="20"/>
        </w:rPr>
        <w:t>EN: Thermodynamic Evidence for Pressure-Driven Evolution towards Weak-Coupling Superconductivity in Pb</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00">
        <w:r>
          <w:rPr>
            <w:color w:val="1155CC"/>
            <w:u w:val="single"/>
          </w:rPr>
          <w:t>10.1103/xqxt-fmh8</w:t>
        </w:r>
      </w:hyperlink>
    </w:p>
    <w:p>
      <w:pPr>
        <w:spacing w:before="0" w:after="120"/>
      </w:pPr>
      <w:r>
        <w:rPr>
          <w:b/>
        </w:rPr>
        <w:t xml:space="preserve">Notes: </w:t>
      </w:r>
      <w:r>
        <w:t>abstract_source=rss_description</w:t>
      </w:r>
    </w:p>
    <w:p>
      <w:pPr>
        <w:spacing w:before="0" w:after="80" w:lineRule="auto" w:line="276"/>
      </w:pPr>
      <w:r>
        <w:rPr>
          <w:b/>
        </w:rPr>
        <w:t xml:space="preserve">摘要（ZH）: </w:t>
      </w:r>
      <w:r>
        <w:t>作者：Rustem Khasanov热力学临界场 ${B}_{\mathrm{c}}$ 提供了对超导凝聚能的直接访问，但其压力依赖性的研究远不如转变温度的广泛。在这里，热力学临界的μ子自旋旋转弛豫测量......[物理。莱特牧师。 137, 026002] 2026 年 7 月 7 日星期二发布</w:t>
      </w:r>
    </w:p>
    <w:p>
      <w:pPr>
        <w:spacing w:before="0" w:after="200" w:lineRule="auto" w:line="276"/>
      </w:pPr>
      <w:r>
        <w:rPr>
          <w:b/>
        </w:rPr>
        <w:t xml:space="preserve">Abstract (EN): </w:t>
      </w:r>
      <w:r>
        <w:t>Author(s): Rustem KhasanovThe thermodynamic critical field ${B}_{\mathrm{c}}$ provides direct access to the superconducting condensation energy, yet its pressure dependence has been studied much less extensively than that of the transition temperature. Here, muon-spin-rotation relaxation measurements of the thermodynamic cri…[Phys. Rev. Lett. 137, 026002] Published Tue Jul 07, 2026</w:t>
      </w:r>
    </w:p>
    <w:p>
      <w:pPr>
        <w:spacing w:before="120" w:after="120"/>
      </w:pPr>
      <w:r>
        <w:rPr>
          <w:sz w:val="18"/>
        </w:rPr>
        <w:t>——————————————————————————————————————————————————————————————————————</w:t>
      </w:r>
    </w:p>
    <w:p>
      <w:pPr>
        <w:spacing w:before="160" w:after="40" w:line="240" w:lineRule="auto"/>
      </w:pPr>
      <w:r>
        <w:rPr>
          <w:b/>
        </w:rPr>
        <w:t xml:space="preserve">[305] </w:t>
      </w:r>
      <w:hyperlink r:id="rId801">
        <w:r>
          <w:rPr>
            <w:color w:val="1155CC"/>
            <w:u w:val="single"/>
          </w:rPr>
          <w:t>准晶体中量子几何谱的层次结构：重正化群研究</w:t>
        </w:r>
      </w:hyperlink>
    </w:p>
    <w:p>
      <w:pPr>
        <w:spacing w:before="0" w:after="80"/>
      </w:pPr>
      <w:r>
        <w:rPr>
          <w:i/>
          <w:sz w:val="20"/>
        </w:rPr>
        <w:t>EN: Hierarchical Structures of Quantum Geometric Spectrum in Quasicrystals: A Renormalization-Group Study</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02">
        <w:r>
          <w:rPr>
            <w:color w:val="1155CC"/>
            <w:u w:val="single"/>
          </w:rPr>
          <w:t>10.1103/v4ky-6v45</w:t>
        </w:r>
      </w:hyperlink>
    </w:p>
    <w:p>
      <w:pPr>
        <w:spacing w:before="0" w:after="120"/>
      </w:pPr>
      <w:r>
        <w:rPr>
          <w:b/>
        </w:rPr>
        <w:t xml:space="preserve">Notes: </w:t>
      </w:r>
      <w:r>
        <w:t>abstract_source=rss_description</w:t>
      </w:r>
    </w:p>
    <w:p>
      <w:pPr>
        <w:spacing w:before="0" w:after="80" w:lineRule="auto" w:line="276"/>
      </w:pPr>
      <w:r>
        <w:rPr>
          <w:b/>
        </w:rPr>
        <w:t xml:space="preserve">摘要（ZH）: </w:t>
      </w:r>
      <w:r>
        <w:t>作者：王俊迪、陈宇晓和黄华清以量子度量和贝里曲率为特征的量子几何是理解量子材料中各种物理现象的强大框架，但其在非周期系统中的行为在很大程度上仍然未知。在这里，我们揭示了不同增强剂的通用机制……[物理。莱特牧师。 137, 026401] 发布时间 2026 年 7 月 7 日星期二</w:t>
      </w:r>
    </w:p>
    <w:p>
      <w:pPr>
        <w:spacing w:before="0" w:after="200" w:lineRule="auto" w:line="276"/>
      </w:pPr>
      <w:r>
        <w:rPr>
          <w:b/>
        </w:rPr>
        <w:t xml:space="preserve">Abstract (EN): </w:t>
      </w:r>
      <w:r>
        <w:t>Author(s): Jundi Wang, Yuxiao Chen, and Huaqing HuangQuantum geometry, characterized by the quantum metric and Berry curvature, is a powerful framework for understanding diverse physical phenomena in quantum materials, but its behavior in nonperiodic systems remains largely uncharted. Here, we uncover a universal mechanism for the divergent enhancemen…[Phys. Rev. Lett. 137, 026401] Published Tue Jul 07, 2026</w:t>
      </w:r>
    </w:p>
    <w:p>
      <w:pPr>
        <w:spacing w:before="120" w:after="120"/>
      </w:pPr>
      <w:r>
        <w:rPr>
          <w:sz w:val="18"/>
        </w:rPr>
        <w:t>——————————————————————————————————————————————————————————————————————</w:t>
      </w:r>
    </w:p>
    <w:p>
      <w:pPr>
        <w:spacing w:before="160" w:after="40" w:line="240" w:lineRule="auto"/>
      </w:pPr>
      <w:r>
        <w:rPr>
          <w:b/>
        </w:rPr>
        <w:t xml:space="preserve">[306] </w:t>
      </w:r>
      <w:hyperlink r:id="rId803">
        <w:r>
          <w:rPr>
            <w:color w:val="1155CC"/>
            <w:u w:val="single"/>
          </w:rPr>
          <w:t>模糊球上 3D 超共形伊辛临界值的出现</w:t>
        </w:r>
      </w:hyperlink>
    </w:p>
    <w:p>
      <w:pPr>
        <w:spacing w:before="0" w:after="80"/>
      </w:pPr>
      <w:r>
        <w:rPr>
          <w:i/>
          <w:sz w:val="20"/>
        </w:rPr>
        <w:t>EN: Emergence of 3D Superconformal Ising Criticality on the Fuzzy Sphere</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04">
        <w:r>
          <w:rPr>
            <w:color w:val="1155CC"/>
            <w:u w:val="single"/>
          </w:rPr>
          <w:t>10.1103/zxtq-d3mk</w:t>
        </w:r>
      </w:hyperlink>
    </w:p>
    <w:p>
      <w:pPr>
        <w:spacing w:before="0" w:after="120"/>
      </w:pPr>
      <w:r>
        <w:rPr>
          <w:b/>
        </w:rPr>
        <w:t xml:space="preserve">Notes: </w:t>
      </w:r>
      <w:r>
        <w:t>abstract_source=rss_description</w:t>
      </w:r>
    </w:p>
    <w:p>
      <w:pPr>
        <w:spacing w:before="0" w:after="80" w:lineRule="auto" w:line="276"/>
      </w:pPr>
      <w:r>
        <w:rPr>
          <w:b/>
        </w:rPr>
        <w:t xml:space="preserve">摘要（ZH）: </w:t>
      </w:r>
      <w:r>
        <w:t>作者：Yin Tang、Cristian Voinea、Liangdong Hu、Zlatko Papić 和 W. Zhu 超对称共形场论构成了量子场论的一个独特子集，为强耦合临界现象提供了强有力的见解。在这里，我们提出了三维 $\mathcal{N}=1$ 超共形伊辛临界点的微观和非微扰实现......[物理。莱特牧师。 137, 026502] 2026 年 7 月 7 日星期二发布</w:t>
      </w:r>
    </w:p>
    <w:p>
      <w:pPr>
        <w:spacing w:before="0" w:after="200" w:lineRule="auto" w:line="276"/>
      </w:pPr>
      <w:r>
        <w:rPr>
          <w:b/>
        </w:rPr>
        <w:t xml:space="preserve">Abstract (EN): </w:t>
      </w:r>
      <w:r>
        <w:t>Author(s): Yin Tang, Cristian Voinea, Liangdong Hu, Zlatko Papić, and W. ZhuSupersymmetric conformal field theories form a unique subset of quantum field theories that provide powerful insights into strongly coupled critical phenomena. Here, we present a microscopic and nonperturbative realization of the three-dimensional $\mathcal{N}=1$ superconformal Ising critical point …[Phys. Rev. Lett. 137, 026502] Published Tue Jul 07, 2026</w:t>
      </w:r>
    </w:p>
    <w:p>
      <w:pPr>
        <w:spacing w:before="120" w:after="120"/>
      </w:pPr>
      <w:r>
        <w:rPr>
          <w:sz w:val="18"/>
        </w:rPr>
        <w:t>——————————————————————————————————————————————————————————————————————</w:t>
      </w:r>
    </w:p>
    <w:p>
      <w:pPr>
        <w:spacing w:before="160" w:after="40" w:line="240" w:lineRule="auto"/>
      </w:pPr>
      <w:r>
        <w:rPr>
          <w:b/>
        </w:rPr>
        <w:t xml:space="preserve">[307] </w:t>
      </w:r>
      <w:hyperlink r:id="rId805">
        <w:r>
          <w:rPr>
            <w:color w:val="1155CC"/>
            <w:u w:val="single"/>
          </w:rPr>
          <w:t>等价 $p$ 波磁体的量子自旋模型</w:t>
        </w:r>
      </w:hyperlink>
    </w:p>
    <w:p>
      <w:pPr>
        <w:spacing w:before="0" w:after="80"/>
      </w:pPr>
      <w:r>
        <w:rPr>
          <w:i/>
          <w:sz w:val="20"/>
        </w:rPr>
        <w:t>EN: Quantum Spin Models of Commensurate $p$-Wave Magnets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06">
        <w:r>
          <w:rPr>
            <w:color w:val="1155CC"/>
            <w:u w:val="single"/>
          </w:rPr>
          <w:t>10.1103/7cpd-mv33</w:t>
        </w:r>
      </w:hyperlink>
    </w:p>
    <w:p>
      <w:pPr>
        <w:spacing w:before="0" w:after="120"/>
      </w:pPr>
      <w:r>
        <w:rPr>
          <w:b/>
        </w:rPr>
        <w:t xml:space="preserve">Notes: </w:t>
      </w:r>
      <w:r>
        <w:t>abstract_source=rss_description</w:t>
      </w:r>
    </w:p>
    <w:p>
      <w:pPr>
        <w:spacing w:before="0" w:after="80" w:lineRule="auto" w:line="276"/>
      </w:pPr>
      <w:r>
        <w:rPr>
          <w:b/>
        </w:rPr>
        <w:t xml:space="preserve">摘要（ZH）: </w:t>
      </w:r>
      <w:r>
        <w:t>作者：GiBaik Sim 和 Stephan Rachel$p$ 波磁体已成为一种新型磁性，在动量空间中表现出奇宇称、时间反转对称自旋分裂，并且作为自旋电子应用的有前途的平台引起了相当大的兴趣。然而，对基本机制的理论理解……[物理。莱特牧师。 137, 026503] 于 2026 年 7 月 7 日星期二发布</w:t>
      </w:r>
    </w:p>
    <w:p>
      <w:pPr>
        <w:spacing w:before="0" w:after="200" w:lineRule="auto" w:line="276"/>
      </w:pPr>
      <w:r>
        <w:rPr>
          <w:b/>
        </w:rPr>
        <w:t xml:space="preserve">Abstract (EN): </w:t>
      </w:r>
      <w:r>
        <w:t>Author(s): GiBaik Sim and Stephan RachelThe $p$-wave magnet has emerged as a new type of magnetism exhibiting odd-parity, time-reversal-symmetric spin splitting in momentum space, and has attracted considerable interest as a promising platform for spintronic applications. However, the theoretical understanding of the fundamental mechanism…[Phys. Rev. Lett. 137, 026503] Published Tue Jul 07, 2026</w:t>
      </w:r>
    </w:p>
    <w:p>
      <w:pPr>
        <w:spacing w:before="120" w:after="120"/>
      </w:pPr>
      <w:r>
        <w:rPr>
          <w:sz w:val="18"/>
        </w:rPr>
        <w:t>——————————————————————————————————————————————————————————————————————</w:t>
      </w:r>
    </w:p>
    <w:p>
      <w:pPr>
        <w:spacing w:before="160" w:after="40" w:line="240" w:lineRule="auto"/>
      </w:pPr>
      <w:r>
        <w:rPr>
          <w:b/>
        </w:rPr>
        <w:t xml:space="preserve">[308] </w:t>
      </w:r>
      <w:hyperlink r:id="rId807">
        <w:r>
          <w:rPr>
            <w:color w:val="1155CC"/>
            <w:u w:val="single"/>
          </w:rPr>
          <w:t>三维牛顿和聚合湍流中环流面积法则和双分形的实验观察</w:t>
        </w:r>
      </w:hyperlink>
    </w:p>
    <w:p>
      <w:pPr>
        <w:spacing w:before="0" w:after="80"/>
      </w:pPr>
      <w:r>
        <w:rPr>
          <w:i/>
          <w:sz w:val="20"/>
        </w:rPr>
        <w:t>EN: Experimental Observation of the Area Rule and Bifractality of Circulation in Three Dimensional Newtonian and Polymeric Turbulence</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08">
        <w:r>
          <w:rPr>
            <w:color w:val="1155CC"/>
            <w:u w:val="single"/>
          </w:rPr>
          <w:t>10.1103/fj29-8l44</w:t>
        </w:r>
      </w:hyperlink>
    </w:p>
    <w:p>
      <w:pPr>
        <w:spacing w:before="0" w:after="120"/>
      </w:pPr>
      <w:r>
        <w:rPr>
          <w:b/>
        </w:rPr>
        <w:t xml:space="preserve">Notes: </w:t>
      </w:r>
      <w:r>
        <w:t>abstract_source=rss_description</w:t>
      </w:r>
    </w:p>
    <w:p>
      <w:pPr>
        <w:spacing w:before="0" w:after="80" w:lineRule="auto" w:line="276"/>
      </w:pPr>
      <w:r>
        <w:rPr>
          <w:b/>
        </w:rPr>
        <w:t xml:space="preserve">摘要（ZH）: </w:t>
      </w:r>
      <w:r>
        <w:t>作者：刘习然、陈鑫、彭胜宏、张一宝和席恒东 闭环周围的速度循环是湍流能量级联研究中关注的一个基本量。最近的理论和数值研究已将循环确定为一种几何可观察量，它通过面积规则和独特的……[物理。莱特牧师。 137, 024001] 2026 年 7 月 7 日星期二发布</w:t>
      </w:r>
    </w:p>
    <w:p>
      <w:pPr>
        <w:spacing w:before="0" w:after="200" w:lineRule="auto" w:line="276"/>
      </w:pPr>
      <w:r>
        <w:rPr>
          <w:b/>
        </w:rPr>
        <w:t xml:space="preserve">Abstract (EN): </w:t>
      </w:r>
      <w:r>
        <w:t>Author(s): Xi-Ran Liu, Xin Chen, Sheng-Hong Peng, Yi-Bao Zhang, and Heng-Dong XiVelocity circulation around closed loops is a fundamental quantity of central interest in the study of the energy cascade in turbulent flows. Recent theoretical and numerical studies have identified circulation as a geometric observable that captures intermittency through the area rule and a distinc…[Phys. Rev. Lett. 137, 024001] Published Tue Jul 07, 2026</w:t>
      </w:r>
    </w:p>
    <w:p>
      <w:pPr>
        <w:spacing w:before="120" w:after="120"/>
      </w:pPr>
      <w:r>
        <w:rPr>
          <w:sz w:val="18"/>
        </w:rPr>
        <w:t>——————————————————————————————————————————————————————————————————————</w:t>
      </w:r>
    </w:p>
    <w:p>
      <w:pPr>
        <w:spacing w:before="160" w:after="40" w:line="240" w:lineRule="auto"/>
      </w:pPr>
      <w:r>
        <w:rPr>
          <w:b/>
        </w:rPr>
        <w:t xml:space="preserve">[309] </w:t>
      </w:r>
      <w:hyperlink r:id="rId809">
        <w:r>
          <w:rPr>
            <w:color w:val="1155CC"/>
            <w:u w:val="single"/>
          </w:rPr>
          <w:t>化学对称性破缺实现了交变磁态和补偿亚铁磁态之间的相互转换</w:t>
        </w:r>
      </w:hyperlink>
    </w:p>
    <w:p>
      <w:pPr>
        <w:spacing w:before="0" w:after="80"/>
      </w:pPr>
      <w:r>
        <w:rPr>
          <w:i/>
          <w:sz w:val="20"/>
        </w:rPr>
        <w:t>EN: Chemical Symmetry Breaking Enables Interconversion between Altermagnetic and Compensated Ferrimagnetic States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10">
        <w:r>
          <w:rPr>
            <w:color w:val="1155CC"/>
            <w:u w:val="single"/>
          </w:rPr>
          <w:t>10.1103/bd1f-jdvh</w:t>
        </w:r>
      </w:hyperlink>
    </w:p>
    <w:p>
      <w:pPr>
        <w:spacing w:before="0" w:after="120"/>
      </w:pPr>
      <w:r>
        <w:rPr>
          <w:b/>
        </w:rPr>
        <w:t xml:space="preserve">Notes: </w:t>
      </w:r>
      <w:r>
        <w:t>abstract_source=rss_description</w:t>
      </w:r>
    </w:p>
    <w:p>
      <w:pPr>
        <w:spacing w:before="0" w:after="80" w:lineRule="auto" w:line="276"/>
      </w:pPr>
      <w:r>
        <w:rPr>
          <w:b/>
        </w:rPr>
        <w:t xml:space="preserve">摘要（ZH）: </w:t>
      </w:r>
      <w:r>
        <w:t>作者：赵波、刘勤西、杨秋平、邢建培、赵继军、刘峰和蒋雪异磁性和完全补偿亚铁磁性是不同类别的零净磁化序，将反铁磁补偿与类铁磁自旋分裂相结合。在交变磁体中，自旋分裂源于晶体对称性并在动量空间中交替，而在补偿......[物理。莱特牧师。 137, 026702] 发布时间 2026 年 7 月 7 日星期二</w:t>
      </w:r>
    </w:p>
    <w:p>
      <w:pPr>
        <w:spacing w:before="0" w:after="200" w:lineRule="auto" w:line="276"/>
      </w:pPr>
      <w:r>
        <w:rPr>
          <w:b/>
        </w:rPr>
        <w:t xml:space="preserve">Abstract (EN): </w:t>
      </w:r>
      <w:r>
        <w:t>Author(s): Bo Zhao, Qinxi Liu, Qiuping Yang, Jianpei Xing, Jijun Zhao, Feng Liu, and Xue JiangAltermagnetism and fully compensated ferrimagnetism are distinct classes of zero-net-magnetization order that combine antiferromagnetic compensation with ferromagneticlike spin splitting. In altermagnets, spin splitting arises from crystal symmetry and alternates in momentum space, whereas in compen…[Phys. Rev. Lett. 137, 026702] Published Tue Jul 07, 2026</w:t>
      </w:r>
    </w:p>
    <w:p>
      <w:pPr>
        <w:spacing w:before="120" w:after="120"/>
      </w:pPr>
      <w:r>
        <w:rPr>
          <w:sz w:val="18"/>
        </w:rPr>
        <w:t>——————————————————————————————————————————————————————————————————————</w:t>
      </w:r>
    </w:p>
    <w:p>
      <w:pPr>
        <w:spacing w:before="160" w:after="40" w:line="240" w:lineRule="auto"/>
      </w:pPr>
      <w:r>
        <w:rPr>
          <w:b/>
        </w:rPr>
        <w:t xml:space="preserve">[310] </w:t>
      </w:r>
      <w:hyperlink r:id="rId811">
        <w:r>
          <w:rPr>
            <w:color w:val="1155CC"/>
            <w:u w:val="single"/>
          </w:rPr>
          <w:t>三角形反铁磁体中的几何自旋</w:t>
        </w:r>
      </w:hyperlink>
    </w:p>
    <w:p>
      <w:pPr>
        <w:spacing w:before="0" w:after="80"/>
      </w:pPr>
      <w:r>
        <w:rPr>
          <w:i/>
          <w:sz w:val="20"/>
        </w:rPr>
        <w:t>EN: Geometric Spin Rotation in Triangular Antiferromagnets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12">
        <w:r>
          <w:rPr>
            <w:color w:val="1155CC"/>
            <w:u w:val="single"/>
          </w:rPr>
          <w:t>10.1103/5m4c-5cwx</w:t>
        </w:r>
      </w:hyperlink>
    </w:p>
    <w:p>
      <w:pPr>
        <w:spacing w:before="0" w:after="120"/>
      </w:pPr>
      <w:r>
        <w:rPr>
          <w:b/>
        </w:rPr>
        <w:t xml:space="preserve">Notes: </w:t>
      </w:r>
      <w:r>
        <w:t>abstract_source=rss_description</w:t>
      </w:r>
    </w:p>
    <w:p>
      <w:pPr>
        <w:spacing w:before="0" w:after="80" w:lineRule="auto" w:line="276"/>
      </w:pPr>
      <w:r>
        <w:rPr>
          <w:b/>
        </w:rPr>
        <w:t xml:space="preserve">摘要（ZH）: </w:t>
      </w:r>
      <w:r>
        <w:t>作者：格里戈尔·阿达米扬 (Grigor Adamyan)、巴斯蒂安·普拉德纳斯 (Bastián Pradenas)、鲍里斯·伊万诺夫 (Boris Ivanov) 和奥列格·切尔尼什约夫 (Oleg Tchernyshyov) 我们描述了一种几何现象，其中由简并戈德斯通模式组成的行波留下了转变的基态。在三角形海森堡反铁磁体中，圆偏振自旋波脉冲使自旋在其平面内旋转。非线性方程的精确解...[物理。莱特牧师。 137, 026704] 2026 年 7 月 7 日星期二发布</w:t>
      </w:r>
    </w:p>
    <w:p>
      <w:pPr>
        <w:spacing w:before="0" w:after="200" w:lineRule="auto" w:line="276"/>
      </w:pPr>
      <w:r>
        <w:rPr>
          <w:b/>
        </w:rPr>
        <w:t xml:space="preserve">Abstract (EN): </w:t>
      </w:r>
      <w:r>
        <w:t>Author(s): Grigor Adamyan, Bastián Pradenas, Boris Ivanov, and Oleg TchernyshyovWe describe a geometric phenomenon in which a traveling wave made of degenerate Goldstone modes leaves behind a transformed ground state. In a triangular Heisenberg antiferromagnet, a pulse of circularly polarized spin waves rotates the spins within their plane. An exact solution of the nonlinear eq…[Phys. Rev. Lett. 137, 026704] Published Tue Jul 07, 2026</w:t>
      </w:r>
    </w:p>
    <w:p>
      <w:pPr>
        <w:spacing w:before="120" w:after="120"/>
      </w:pPr>
      <w:r>
        <w:rPr>
          <w:sz w:val="18"/>
        </w:rPr>
        <w:t>——————————————————————————————————————————————————————————————————————</w:t>
      </w:r>
    </w:p>
    <w:p>
      <w:pPr>
        <w:spacing w:before="160" w:after="40" w:line="240" w:lineRule="auto"/>
      </w:pPr>
      <w:r>
        <w:rPr>
          <w:b/>
        </w:rPr>
        <w:t xml:space="preserve">[311] </w:t>
      </w:r>
      <w:hyperlink r:id="rId813">
        <w:r>
          <w:rPr>
            <w:color w:val="1155CC"/>
            <w:u w:val="single"/>
          </w:rPr>
          <w:t>六方 ${\mathrm{LuFeO}}_{3}$ 薄膜二维极限的多铁性</w:t>
        </w:r>
      </w:hyperlink>
    </w:p>
    <w:p>
      <w:pPr>
        <w:spacing w:before="0" w:after="80"/>
      </w:pPr>
      <w:r>
        <w:rPr>
          <w:i/>
          <w:sz w:val="20"/>
        </w:rPr>
        <w:t>EN: Multiferroicity in the Two-Dimensional Limit in Hexagonal ${\mathrm{LuFeO}}_{3}$ Films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14">
        <w:r>
          <w:rPr>
            <w:color w:val="1155CC"/>
            <w:u w:val="single"/>
          </w:rPr>
          <w:t>10.1103/zxsb-7cj3</w:t>
        </w:r>
      </w:hyperlink>
    </w:p>
    <w:p>
      <w:pPr>
        <w:spacing w:before="0" w:after="120"/>
      </w:pPr>
      <w:r>
        <w:rPr>
          <w:b/>
        </w:rPr>
        <w:t xml:space="preserve">Notes: </w:t>
      </w:r>
      <w:r>
        <w:t>abstract_source=rss_description</w:t>
      </w:r>
    </w:p>
    <w:p>
      <w:pPr>
        <w:spacing w:before="0" w:after="80" w:lineRule="auto" w:line="276"/>
      </w:pPr>
      <w:r>
        <w:rPr>
          <w:b/>
        </w:rPr>
        <w:t xml:space="preserve">摘要（ZH）: </w:t>
      </w:r>
      <w:r>
        <w:t>作者：Huilin Lai、Junyu Tan、Jinfeng Zhai、Yang Shi、Lili Feng、Huanyu Zhu、Chuanrui Hu、Chuhang Liu、Lijun Wu、Lifeng Yin、Hangwen Mao、Jun Chen、Xiaoshan Xu、Jun Zhu、Yimei Zhu、Shiqing Deng、Wenbin Wang 和 Ken Shen 多铁性氧化物具有共存的铁电序和磁序，对于理解相关量子现象至关重要。然而，当厚度接近二维 (2D) 极限时，铁电性和磁性通常会受到去极化的强烈抑制……[Phys.莱特牧师。 137, 026801] 发布时间 2026 年 7 月 7 日星期二</w:t>
      </w:r>
    </w:p>
    <w:p>
      <w:pPr>
        <w:spacing w:before="0" w:after="200" w:lineRule="auto" w:line="276"/>
      </w:pPr>
      <w:r>
        <w:rPr>
          <w:b/>
        </w:rPr>
        <w:t xml:space="preserve">Abstract (EN): </w:t>
      </w:r>
      <w:r>
        <w:t>Author(s): Huilin Lai, Junyu Tan, Jinfeng Zhai, Yang Shi, Lili Feng, Huanyu Zhang, Chuanrui Huo, Chuhang Liu, Lijun Wu, Lifeng Yin, Hangwen Guo, Jun Chen, Xiaoshan Xu, Jun Zhao, Yimei Zhu, Shiqing Deng, Wenbin Wang, and Jian ShenMultiferroic oxides, which host coexisting ferroelectric and magnetic orders, are central to understanding correlated quantum phenomena. Yet, as thickness approaches the two-dimensional (2D) limit, both ferroelectricity and magnetism are generally expected to be strongly suppressed by depolarization…[Phys. Rev. Lett. 137, 026801] Published Tue Jul 07, 2026</w:t>
      </w:r>
    </w:p>
    <w:p>
      <w:pPr>
        <w:spacing w:before="120" w:after="120"/>
      </w:pPr>
      <w:r>
        <w:rPr>
          <w:sz w:val="18"/>
        </w:rPr>
        <w:t>——————————————————————————————————————————————————————————————————————</w:t>
      </w:r>
    </w:p>
    <w:p>
      <w:pPr>
        <w:spacing w:before="160" w:after="40" w:line="240" w:lineRule="auto"/>
      </w:pPr>
      <w:r>
        <w:rPr>
          <w:b/>
        </w:rPr>
        <w:t xml:space="preserve">[312] </w:t>
      </w:r>
      <w:hyperlink r:id="rId815">
        <w:r>
          <w:rPr>
            <w:color w:val="1155CC"/>
            <w:u w:val="single"/>
          </w:rPr>
          <w:t>单味金属中声子介导的延迟的超导性</w:t>
        </w:r>
      </w:hyperlink>
    </w:p>
    <w:p>
      <w:pPr>
        <w:spacing w:before="0" w:after="80"/>
      </w:pPr>
      <w:r>
        <w:rPr>
          <w:i/>
          <w:sz w:val="20"/>
        </w:rPr>
        <w:t>EN: Superconductivity from Phonon-Mediated Retardation in a Single-Flavor Metal</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16">
        <w:r>
          <w:rPr>
            <w:color w:val="1155CC"/>
            <w:u w:val="single"/>
          </w:rPr>
          <w:t>10.1103/dcn2-lc8k</w:t>
        </w:r>
      </w:hyperlink>
    </w:p>
    <w:p>
      <w:pPr>
        <w:spacing w:before="0" w:after="120"/>
      </w:pPr>
      <w:r>
        <w:rPr>
          <w:b/>
        </w:rPr>
        <w:t xml:space="preserve">Notes: </w:t>
      </w:r>
      <w:r>
        <w:t>abstract_source=rss_description</w:t>
      </w:r>
    </w:p>
    <w:p>
      <w:pPr>
        <w:spacing w:before="0" w:after="80" w:lineRule="auto" w:line="276"/>
      </w:pPr>
      <w:r>
        <w:rPr>
          <w:b/>
        </w:rPr>
        <w:t xml:space="preserve">摘要（ZH）: </w:t>
      </w:r>
      <w:r>
        <w:t>作者：Yang-Zhi Chou、Jihang Zhu、Jay D. Sau 和 Sankar Das Sarma 我们研究了具有可调贝里曲率的单味金属中的声子介导的配对。在没有贝里曲率的情况下，我们发现了一种意想不到的可能性：$p$波超导纯粹是由延迟效应产生的，而静态巴丁-库珀-施里弗（BCS）近似......[物理。莱特牧师。 137, 026001] 发布时间 2026 年 7 月 7 日星期二</w:t>
      </w:r>
    </w:p>
    <w:p>
      <w:pPr>
        <w:spacing w:before="0" w:after="200" w:lineRule="auto" w:line="276"/>
      </w:pPr>
      <w:r>
        <w:rPr>
          <w:b/>
        </w:rPr>
        <w:t xml:space="preserve">Abstract (EN): </w:t>
      </w:r>
      <w:r>
        <w:t>Author(s): Yang-Zhi Chou, Jihang Zhu, Jay D. Sau, and Sankar Das SarmaWe study phonon-mediated pairings in a single-flavor metal with a tunable Berry curvature. In the absence of Berry curvature, we discover an unexpected possibility: $p$-wave superconductivity emerging purely from the retardation effect, while the static Bardeen-Cooper-Schrieffer (BCS) approximation …[Phys. Rev. Lett. 137, 026001] Published Tue Jul 07, 2026</w:t>
      </w:r>
    </w:p>
    <w:p>
      <w:pPr>
        <w:spacing w:before="120" w:after="120"/>
      </w:pPr>
      <w:r>
        <w:rPr>
          <w:sz w:val="18"/>
        </w:rPr>
        <w:t>——————————————————————————————————————————————————————————————————————</w:t>
      </w:r>
    </w:p>
    <w:p>
      <w:pPr>
        <w:spacing w:before="160" w:after="40" w:line="240" w:lineRule="auto"/>
      </w:pPr>
      <w:r>
        <w:rPr>
          <w:b/>
        </w:rPr>
        <w:t xml:space="preserve">[313] </w:t>
      </w:r>
      <w:hyperlink r:id="rId817">
        <w:r>
          <w:rPr>
            <w:color w:val="1155CC"/>
            <w:u w:val="single"/>
          </w:rPr>
          <w:t>反馈 Ising 模型中的混合阶段</w:t>
        </w:r>
      </w:hyperlink>
    </w:p>
    <w:p>
      <w:pPr>
        <w:spacing w:before="0" w:after="80"/>
      </w:pPr>
      <w:r>
        <w:rPr>
          <w:i/>
          <w:sz w:val="20"/>
        </w:rPr>
        <w:t>EN: Mixed Phases in Feedback Ising Models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18">
        <w:r>
          <w:rPr>
            <w:color w:val="1155CC"/>
            <w:u w:val="single"/>
          </w:rPr>
          <w:t>10.1103/3ck1-gzzf</w:t>
        </w:r>
      </w:hyperlink>
    </w:p>
    <w:p>
      <w:pPr>
        <w:spacing w:before="0" w:after="120"/>
      </w:pPr>
      <w:r>
        <w:rPr>
          <w:b/>
        </w:rPr>
        <w:t xml:space="preserve">Notes: </w:t>
      </w:r>
      <w:r>
        <w:t>abstract_source=rss_description</w:t>
      </w:r>
    </w:p>
    <w:p>
      <w:pPr>
        <w:spacing w:before="0" w:after="80" w:lineRule="auto" w:line="276"/>
      </w:pPr>
      <w:r>
        <w:rPr>
          <w:b/>
        </w:rPr>
        <w:t xml:space="preserve">摘要（ZH）: </w:t>
      </w:r>
      <w:r>
        <w:t>作者：Yi-Ping Ma、Ivan Sudakow 和 P. L. Krapivsky 我们研究平均场 Ising 模型，其中耦合通过反馈函数取决于磁化强度。我们确定了混合相 (MP)，并证明它们可以在零温度下保持稳定，以获得足够强的反馈。此外，稳定的 MP 总是超稳定的，这意味着扰动会……[Phys。莱特牧师。 137, 027101] 2026 年 7 月 7 日星期二发布</w:t>
      </w:r>
    </w:p>
    <w:p>
      <w:pPr>
        <w:spacing w:before="0" w:after="200" w:lineRule="auto" w:line="276"/>
      </w:pPr>
      <w:r>
        <w:rPr>
          <w:b/>
        </w:rPr>
        <w:t xml:space="preserve">Abstract (EN): </w:t>
      </w:r>
      <w:r>
        <w:t>Author(s): Yi-Ping Ma, Ivan Sudakow, and P. L. KrapivskyWe study mean-field Ising models in which the coupling depends on the magnetization via a feedback function. We identify mixed phases (MPs) and show that they can be stable at zero temperature for sufficiently strong feedback. Moreover, stable MPs are always superstable, meaning that perturbations d…[Phys. Rev. Lett. 137, 027101] Published Tue Jul 07, 2026</w:t>
      </w:r>
    </w:p>
    <w:p>
      <w:pPr>
        <w:spacing w:before="120" w:after="120"/>
      </w:pPr>
      <w:r>
        <w:rPr>
          <w:sz w:val="18"/>
        </w:rPr>
        <w:t>——————————————————————————————————————————————————————————————————————</w:t>
      </w:r>
    </w:p>
    <w:p>
      <w:pPr>
        <w:spacing w:before="160" w:after="40" w:line="240" w:lineRule="auto"/>
      </w:pPr>
      <w:r>
        <w:rPr>
          <w:b/>
        </w:rPr>
        <w:t xml:space="preserve">[314] </w:t>
      </w:r>
      <w:hyperlink r:id="rId819">
        <w:r>
          <w:rPr>
            <w:color w:val="1155CC"/>
            <w:u w:val="single"/>
          </w:rPr>
          <w:t>三维宽带宽量子能量截断太赫兹相干断层扫描</w:t>
        </w:r>
      </w:hyperlink>
    </w:p>
    <w:p>
      <w:pPr>
        <w:spacing w:before="0" w:after="80"/>
      </w:pPr>
      <w:r>
        <w:rPr>
          <w:i/>
          <w:sz w:val="20"/>
        </w:rPr>
        <w:t>EN: Three-Dimensional Wide-Bandwidth Quantum Energy Truncation Terahertz Coherence Tomography</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20">
        <w:r>
          <w:rPr>
            <w:color w:val="1155CC"/>
            <w:u w:val="single"/>
          </w:rPr>
          <w:t>10.1103/spsr-xr47</w:t>
        </w:r>
      </w:hyperlink>
    </w:p>
    <w:p>
      <w:pPr>
        <w:spacing w:before="0" w:after="120"/>
      </w:pPr>
      <w:r>
        <w:rPr>
          <w:b/>
        </w:rPr>
        <w:t xml:space="preserve">Notes: </w:t>
      </w:r>
      <w:r>
        <w:t>abstract_source=rss_description</w:t>
      </w:r>
    </w:p>
    <w:p>
      <w:pPr>
        <w:spacing w:before="0" w:after="80" w:lineRule="auto" w:line="276"/>
      </w:pPr>
      <w:r>
        <w:rPr>
          <w:b/>
        </w:rPr>
        <w:t xml:space="preserve">摘要（ZH）: </w:t>
      </w:r>
      <w:r>
        <w:t>作者：Pengfei Zhu、Hai Zhang、Stefano Sfarra、Fabrizio Sarasini、Xavier Maldague 和 Andreas Mandelis 我们报告了一种量子能量截断太赫兹相干断层扫描技术，该技术能够高度局部地提取分子物种特异性太赫兹响应。该方法利用发射器太赫兹能量与分子振动量子匹配时的共振光子损失。反射的太赫兹辐射是rec…[物理。莱特牧师。 137, 026901] 2026 年 7 月 7 日星期二发布</w:t>
      </w:r>
    </w:p>
    <w:p>
      <w:pPr>
        <w:spacing w:before="0" w:after="200" w:lineRule="auto" w:line="276"/>
      </w:pPr>
      <w:r>
        <w:rPr>
          <w:b/>
        </w:rPr>
        <w:t xml:space="preserve">Abstract (EN): </w:t>
      </w:r>
      <w:r>
        <w:t>Author(s): Pengfei Zhu, Hai Zhang, Stefano Sfarra, Fabrizio Sarasini, Xavier Maldague, and Andreas MandelisWe report a quantum energy truncation terahertz coherence tomography technique that enables highly localized extraction of molecular-species-specific THz responses. The method exploits resonant photon loss when the emitter THz energy matches molecular vibration quanta. Reflected THz radiation is rec…[Phys. Rev. Lett. 137, 026901] Published Tue Jul 07, 2026</w:t>
      </w:r>
    </w:p>
    <w:p>
      <w:pPr>
        <w:spacing w:before="120" w:after="120"/>
      </w:pPr>
      <w:r>
        <w:rPr>
          <w:sz w:val="18"/>
        </w:rPr>
        <w:t>——————————————————————————————————————————————————————————————————————</w:t>
      </w:r>
    </w:p>
    <w:p>
      <w:pPr>
        <w:spacing w:before="160" w:after="40" w:line="240" w:lineRule="auto"/>
      </w:pPr>
      <w:r>
        <w:rPr>
          <w:b/>
        </w:rPr>
        <w:t xml:space="preserve">[315] </w:t>
      </w:r>
      <w:hyperlink r:id="rId821">
        <w:r>
          <w:rPr>
            <w:color w:val="1155CC"/>
            <w:u w:val="single"/>
          </w:rPr>
          <w:t>纠缠态的纠缠生长：纠缠生成和传输的统一视角</w:t>
        </w:r>
      </w:hyperlink>
    </w:p>
    <w:p>
      <w:pPr>
        <w:spacing w:before="0" w:after="80"/>
      </w:pPr>
      <w:r>
        <w:rPr>
          <w:i/>
          <w:sz w:val="20"/>
        </w:rPr>
        <w:t>EN: Entanglement Growth from Entangled States: A Unified Perspective on Entanglement Generation and Transport</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22">
        <w:r>
          <w:rPr>
            <w:color w:val="1155CC"/>
            <w:u w:val="single"/>
          </w:rPr>
          <w:t>10.1103/xkh7-gdqm</w:t>
        </w:r>
      </w:hyperlink>
    </w:p>
    <w:p>
      <w:pPr>
        <w:spacing w:before="0" w:after="120"/>
      </w:pPr>
      <w:r>
        <w:rPr>
          <w:b/>
        </w:rPr>
        <w:t xml:space="preserve">Notes: </w:t>
      </w:r>
      <w:r>
        <w:t>abstract_source=rss_description</w:t>
      </w:r>
    </w:p>
    <w:p>
      <w:pPr>
        <w:spacing w:before="0" w:after="80" w:lineRule="auto" w:line="276"/>
      </w:pPr>
      <w:r>
        <w:rPr>
          <w:b/>
        </w:rPr>
        <w:t xml:space="preserve">摘要（ZH）: </w:t>
      </w:r>
      <w:r>
        <w:t>作者：张春月、李子翔和张世新量子多体系统中纠缠动力学的研究主要集中在初始积态。在这里，我们研究了来自初始纠缠态的更丰富的动力学，揭示了从多体局域化（MBL）到随机量子c等不同系统的普遍模式……[Phys。莱特牧师。 137, 020404] 2026 年 7 月 7 日星期二发布</w:t>
      </w:r>
    </w:p>
    <w:p>
      <w:pPr>
        <w:spacing w:before="0" w:after="200" w:lineRule="auto" w:line="276"/>
      </w:pPr>
      <w:r>
        <w:rPr>
          <w:b/>
        </w:rPr>
        <w:t xml:space="preserve">Abstract (EN): </w:t>
      </w:r>
      <w:r>
        <w:t>Author(s): Chun-Yue Zhang, Zi-Xiang Li, and Shi-Xin ZhangStudies of entanglement dynamics in quantum many-body systems have focused largely on initial product states. Here, we investigate the far richer dynamics from initial entangled states, uncovering universal patterns across diverse systems ranging from many-body localization (MBL) to random quantum c…[Phys. Rev. Lett. 137, 020404] Published Tue Jul 07, 2026</w:t>
      </w:r>
    </w:p>
    <w:p>
      <w:pPr>
        <w:spacing w:before="120" w:after="120"/>
      </w:pPr>
      <w:r>
        <w:rPr>
          <w:sz w:val="18"/>
        </w:rPr>
        <w:t>——————————————————————————————————————————————————————————————————————</w:t>
      </w:r>
    </w:p>
    <w:p>
      <w:pPr>
        <w:spacing w:before="160" w:after="40" w:line="240" w:lineRule="auto"/>
      </w:pPr>
      <w:r>
        <w:rPr>
          <w:b/>
        </w:rPr>
        <w:t xml:space="preserve">[316] </w:t>
      </w:r>
      <w:hyperlink r:id="rId823">
        <w:r>
          <w:rPr>
            <w:color w:val="1155CC"/>
            <w:u w:val="single"/>
          </w:rPr>
          <w:t>无噪声费米子传输中普遍性的出现</w:t>
        </w:r>
      </w:hyperlink>
    </w:p>
    <w:p>
      <w:pPr>
        <w:spacing w:before="0" w:after="80"/>
      </w:pPr>
      <w:r>
        <w:rPr>
          <w:i/>
          <w:sz w:val="20"/>
        </w:rPr>
        <w:t>EN: Emergence of Universality in Transport of Noisy Free Fermions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24">
        <w:r>
          <w:rPr>
            <w:color w:val="1155CC"/>
            <w:u w:val="single"/>
          </w:rPr>
          <w:t>10.1103/v8x8-ft81</w:t>
        </w:r>
      </w:hyperlink>
    </w:p>
    <w:p>
      <w:pPr>
        <w:spacing w:before="0" w:after="120"/>
      </w:pPr>
      <w:r>
        <w:rPr>
          <w:b/>
        </w:rPr>
        <w:t xml:space="preserve">Notes: </w:t>
      </w:r>
      <w:r>
        <w:t>abstract_source=rss_description</w:t>
      </w:r>
    </w:p>
    <w:p>
      <w:pPr>
        <w:spacing w:before="0" w:after="80" w:lineRule="auto" w:line="276"/>
      </w:pPr>
      <w:r>
        <w:rPr>
          <w:b/>
        </w:rPr>
        <w:t xml:space="preserve">摘要（ZH）: </w:t>
      </w:r>
      <w:r>
        <w:t>作者：João Costa、Pedro Ribeiro 和 Andrea De Luca 我们分析了各种形式的噪声对非相互作用费米子的一维系统的影响。在强噪声极限下，我们证明，在温和的假设下，热力学极限中费米子相关矩阵的统计遵循最近的研究描述的通用形式……[Phys.莱特牧师。 137, 020403] 于 2026 年 7 月 7 日星期二发布</w:t>
      </w:r>
    </w:p>
    <w:p>
      <w:pPr>
        <w:spacing w:before="0" w:after="200" w:lineRule="auto" w:line="276"/>
      </w:pPr>
      <w:r>
        <w:rPr>
          <w:b/>
        </w:rPr>
        <w:t xml:space="preserve">Abstract (EN): </w:t>
      </w:r>
      <w:r>
        <w:t>Author(s): João Costa, Pedro Ribeiro, and Andrea De LucaWe analyze the effects of various forms of noise on one-dimensional systems of noninteracting fermions. In the strong noise limit, we demonstrate, under mild assumptions, that the statistics of the fermionic correlation matrix in the thermodynamic limit follow a universal form described by the recen…[Phys. Rev. Lett. 137, 020403] Published Tue Jul 07, 2026</w:t>
      </w:r>
    </w:p>
    <w:p>
      <w:pPr>
        <w:spacing w:before="120" w:after="120"/>
      </w:pPr>
      <w:r>
        <w:rPr>
          <w:sz w:val="18"/>
        </w:rPr>
        <w:t>——————————————————————————————————————————————————————————————————————</w:t>
      </w:r>
    </w:p>
    <w:p>
      <w:pPr>
        <w:spacing w:before="160" w:after="40" w:line="240" w:lineRule="auto"/>
      </w:pPr>
      <w:r>
        <w:rPr>
          <w:b/>
        </w:rPr>
        <w:t xml:space="preserve">[317] </w:t>
      </w:r>
      <w:hyperlink r:id="rId825">
        <w:r>
          <w:rPr>
            <w:color w:val="1155CC"/>
            <w:u w:val="single"/>
          </w:rPr>
          <w:t>Floquet设计的拓扑复能带辫子在单光子干涉中的实现</w:t>
        </w:r>
      </w:hyperlink>
    </w:p>
    <w:p>
      <w:pPr>
        <w:spacing w:before="0" w:after="80"/>
      </w:pPr>
      <w:r>
        <w:rPr>
          <w:i/>
          <w:sz w:val="20"/>
        </w:rPr>
        <w:t>EN: Realization of Floquet-Engineered Topological Complex-Energy Band Braids in Single-Photon Interferometry</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26">
        <w:r>
          <w:rPr>
            <w:color w:val="1155CC"/>
            <w:u w:val="single"/>
          </w:rPr>
          <w:t>10.1103/7wtv-p9l5</w:t>
        </w:r>
      </w:hyperlink>
    </w:p>
    <w:p>
      <w:pPr>
        <w:spacing w:before="0" w:after="120"/>
      </w:pPr>
      <w:r>
        <w:rPr>
          <w:b/>
        </w:rPr>
        <w:t xml:space="preserve">Notes: </w:t>
      </w:r>
      <w:r>
        <w:t>abstract_source=rss_description</w:t>
      </w:r>
    </w:p>
    <w:p>
      <w:pPr>
        <w:spacing w:before="0" w:after="80" w:lineRule="auto" w:line="276"/>
      </w:pPr>
      <w:r>
        <w:rPr>
          <w:b/>
        </w:rPr>
        <w:t xml:space="preserve">摘要（ZH）: </w:t>
      </w:r>
      <w:r>
        <w:t>作者：Rui Tian、Yuanbang Wei、Yue Zhu、Shi Hongyan Shi、Qihang Ying、Tianhao Wu、Shuai Li、hong Gang、Fuli Li、Maksims Arzamasovs 和 Bo Liu 使用周期驱动定制系统的Floquet 工程提供了一个强大的工具来操作物质的拓扑状态，甚至可以创建超越静态场景的奇异非平衡拓扑现象。在这里，利用 Floquet 工程学的思想，我们从理论上预测并实验了……[Phys.莱特牧师。 137, 023602] 于 2026 年 7 月 7 日星期二发布</w:t>
      </w:r>
    </w:p>
    <w:p>
      <w:pPr>
        <w:spacing w:before="0" w:after="200" w:lineRule="auto" w:line="276"/>
      </w:pPr>
      <w:r>
        <w:rPr>
          <w:b/>
        </w:rPr>
        <w:t xml:space="preserve">Abstract (EN): </w:t>
      </w:r>
      <w:r>
        <w:t>Author(s): Rui Tian, Yuanbang Wei, Yue Zhang, Hongyan Shi, Qihang Ying, Tianhao Wu, Shuai Li, Hong Gao, Fuli Li, Maksims Arzamasovs, and Bo LiuFloquet engineering, customizing a system using periodic driving, offers a powerful tool to operate topological states of matter and even to create exotic nonequilibrium topological phenomena beyond static scenarios. Here, utilizing the idea of Floquet engineering, we theoretically predict and exper…[Phys. Rev. Lett. 137, 023602] Published Tue Jul 07, 2026</w:t>
      </w:r>
    </w:p>
    <w:p>
      <w:pPr>
        <w:spacing w:before="120" w:after="120"/>
      </w:pPr>
      <w:r>
        <w:rPr>
          <w:sz w:val="18"/>
        </w:rPr>
        <w:t>——————————————————————————————————————————————————————————————————————</w:t>
      </w:r>
    </w:p>
    <w:p>
      <w:pPr>
        <w:spacing w:before="160" w:after="40" w:line="240" w:lineRule="auto"/>
      </w:pPr>
      <w:r>
        <w:rPr>
          <w:b/>
        </w:rPr>
        <w:t xml:space="preserve">[318] </w:t>
      </w:r>
      <w:hyperlink r:id="rId827">
        <w:r>
          <w:rPr>
            <w:color w:val="1155CC"/>
            <w:u w:val="single"/>
          </w:rPr>
          <w:t>通过光子时间晶体产生微波涡旋束激光</w:t>
        </w:r>
      </w:hyperlink>
    </w:p>
    <w:p>
      <w:pPr>
        <w:spacing w:before="0" w:after="80"/>
      </w:pPr>
      <w:r>
        <w:rPr>
          <w:i/>
          <w:sz w:val="20"/>
        </w:rPr>
        <w:t>EN: Microwave Vortex Beam Lasing via Photonic Time Crystals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28">
        <w:r>
          <w:rPr>
            <w:color w:val="1155CC"/>
            <w:u w:val="single"/>
          </w:rPr>
          <w:t>10.1103/6gn2-2v9b</w:t>
        </w:r>
      </w:hyperlink>
    </w:p>
    <w:p>
      <w:pPr>
        <w:spacing w:before="0" w:after="120"/>
      </w:pPr>
      <w:r>
        <w:rPr>
          <w:b/>
        </w:rPr>
        <w:t xml:space="preserve">Notes: </w:t>
      </w:r>
      <w:r>
        <w:t>abstract_source=rss_description</w:t>
      </w:r>
    </w:p>
    <w:p>
      <w:pPr>
        <w:spacing w:before="0" w:after="80" w:lineRule="auto" w:line="276"/>
      </w:pPr>
      <w:r>
        <w:rPr>
          <w:b/>
        </w:rPr>
        <w:t xml:space="preserve">摘要（ZH）: </w:t>
      </w:r>
      <w:r>
        <w:t>作者：黄磊、张伟轩、邹德元、包嘉成、迪凤晓、秦浩宇、钱龙、孙厚军和张向东携带轨道角动量（OAM）的微波激光在大容量通信、精密传感和雷达成像等领域的高级应用中具有巨大的潜力。然而，传统的微波激射器方法无法通过嵌入式 OAM 产生发射。最近出现的……[物理。莱特牧师。 137, 023801] 发布时间 2026 年 7 月 7 日星期二</w:t>
      </w:r>
    </w:p>
    <w:p>
      <w:pPr>
        <w:spacing w:before="0" w:after="200" w:lineRule="auto" w:line="276"/>
      </w:pPr>
      <w:r>
        <w:rPr>
          <w:b/>
        </w:rPr>
        <w:t xml:space="preserve">Abstract (EN): </w:t>
      </w:r>
      <w:r>
        <w:t>Author(s): Lei Huang, Weixuan Zhang, Deyuan Zou, Jiacheng Bao, Fengxiao Di, Haoyu Qin, Long Qian, Houjun Sun, and Xiangdong ZhangMicrowave lasing carrying orbital angular momentum (OAM) holds significant potential for advanced applications in fields such as high-capacity communications, precision sensing, and radar imaging. However, conventional approaches to masers fail to produce emission with embedded OAM. The recent emerg…[Phys. Rev. Lett. 137, 023801] Published Tue Jul 07, 2026</w:t>
      </w:r>
    </w:p>
    <w:p>
      <w:pPr>
        <w:spacing w:before="120" w:after="120"/>
      </w:pPr>
      <w:r>
        <w:rPr>
          <w:sz w:val="18"/>
        </w:rPr>
        <w:t>——————————————————————————————————————————————————————————————————————</w:t>
      </w:r>
    </w:p>
    <w:p>
      <w:pPr>
        <w:spacing w:before="160" w:after="40" w:line="240" w:lineRule="auto"/>
      </w:pPr>
      <w:r>
        <w:rPr>
          <w:b/>
        </w:rPr>
        <w:t xml:space="preserve">[319] </w:t>
      </w:r>
      <w:hyperlink r:id="rId829">
        <w:r>
          <w:rPr>
            <w:color w:val="1155CC"/>
            <w:u w:val="single"/>
          </w:rPr>
          <w:t>通过基布尔-祖雷克机制在新生玻色-爱因斯坦凝聚态中产生自发量子湍流</w:t>
        </w:r>
      </w:hyperlink>
    </w:p>
    <w:p>
      <w:pPr>
        <w:spacing w:before="0" w:after="80"/>
      </w:pPr>
      <w:r>
        <w:rPr>
          <w:i/>
          <w:sz w:val="20"/>
        </w:rPr>
        <w:t>EN: Spontaneous Quantum Turbulence in a Newborn Bose-Einstein Condensate via the Kibble-Zurek Mechanism</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30">
        <w:r>
          <w:rPr>
            <w:color w:val="1155CC"/>
            <w:u w:val="single"/>
          </w:rPr>
          <w:t>10.1103/b16v-hwp2</w:t>
        </w:r>
      </w:hyperlink>
    </w:p>
    <w:p>
      <w:pPr>
        <w:spacing w:before="0" w:after="120"/>
      </w:pPr>
      <w:r>
        <w:rPr>
          <w:b/>
        </w:rPr>
        <w:t xml:space="preserve">Notes: </w:t>
      </w:r>
      <w:r>
        <w:t>abstract_source=rss_description</w:t>
      </w:r>
    </w:p>
    <w:p>
      <w:pPr>
        <w:spacing w:before="0" w:after="80" w:lineRule="auto" w:line="276"/>
      </w:pPr>
      <w:r>
        <w:rPr>
          <w:b/>
        </w:rPr>
        <w:t xml:space="preserve">摘要（ZH）: </w:t>
      </w:r>
      <w:r>
        <w:t>作者：Seong-Ho Shinn、Matteo Massaro、Mithun Thudiyangal 和 Adolfo del Campo Kibble-Zurek 机制 (KZM) 预测在有限速率驱动的连续相变中拓扑缺陷的自发形成。我们提出在热猝灭引起的玻色-爱因斯坦凝聚过程中通过 KZM 产生自发量子湍流 (SQT)。使用数字...[物理。莱特牧师。 137, 020402] 2026 年 7 月 7 日星期二发布</w:t>
      </w:r>
    </w:p>
    <w:p>
      <w:pPr>
        <w:spacing w:before="0" w:after="200" w:lineRule="auto" w:line="276"/>
      </w:pPr>
      <w:r>
        <w:rPr>
          <w:b/>
        </w:rPr>
        <w:t xml:space="preserve">Abstract (EN): </w:t>
      </w:r>
      <w:r>
        <w:t>Author(s): Seong-Ho Shinn, Matteo Massaro, Mithun Thudiyangal, and Adolfo del CampoThe Kibble-Zurek mechanism (KZM) predicts the spontaneous formation of topological defects in a continuous phase transition driven at a finite rate. We propose the generation of spontaneous quantum turbulence (SQT) via the KZM during Bose-Einstein condensation induced by a thermal quench. Using nume…[Phys. Rev. Lett. 137, 020402] Published Tue Jul 07, 2026</w:t>
      </w:r>
    </w:p>
    <w:p>
      <w:pPr>
        <w:spacing w:before="120" w:after="120"/>
      </w:pPr>
      <w:r>
        <w:rPr>
          <w:sz w:val="18"/>
        </w:rPr>
        <w:t>——————————————————————————————————————————————————————————————————————</w:t>
      </w:r>
    </w:p>
    <w:p>
      <w:pPr>
        <w:spacing w:before="160" w:after="40" w:line="240" w:lineRule="auto"/>
      </w:pPr>
      <w:r>
        <w:rPr>
          <w:b/>
        </w:rPr>
        <w:t xml:space="preserve">[320] </w:t>
      </w:r>
      <w:hyperlink r:id="rId831">
        <w:r>
          <w:rPr>
            <w:color w:val="1155CC"/>
            <w:u w:val="single"/>
          </w:rPr>
          <w:t>振荡磁场中的动态重入斯格明子相</w:t>
        </w:r>
      </w:hyperlink>
    </w:p>
    <w:p>
      <w:pPr>
        <w:spacing w:before="0" w:after="80"/>
      </w:pPr>
      <w:r>
        <w:rPr>
          <w:i/>
          <w:sz w:val="20"/>
        </w:rPr>
        <w:t>EN: Dynamically Re-entrant Skyrmion Phase in Oscillating Magnetic Fields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32">
        <w:r>
          <w:rPr>
            <w:color w:val="1155CC"/>
            <w:u w:val="single"/>
          </w:rPr>
          <w:t>10.1103/jn9y-yfcw</w:t>
        </w:r>
      </w:hyperlink>
    </w:p>
    <w:p>
      <w:pPr>
        <w:spacing w:before="0" w:after="120"/>
      </w:pPr>
      <w:r>
        <w:rPr>
          <w:b/>
        </w:rPr>
        <w:t xml:space="preserve">Notes: </w:t>
      </w:r>
      <w:r>
        <w:t>abstract_source=rss_description</w:t>
      </w:r>
    </w:p>
    <w:p>
      <w:pPr>
        <w:spacing w:before="0" w:after="80" w:lineRule="auto" w:line="276"/>
      </w:pPr>
      <w:r>
        <w:rPr>
          <w:b/>
        </w:rPr>
        <w:t xml:space="preserve">摘要（ZH）: </w:t>
      </w:r>
      <w:r>
        <w:t>作者：Z. Demir Vatansever、E. Vatansever、A. Vasilopoulos、NG. Fytas 和 A. Berger 我们通过研究具有 Dzyaloshinskii-Moriya 相互作用的二维磁体在周期性振荡磁场下的非平衡响应，解决了驱动拓扑物质中的一个核心开放问题。使用广泛的蒙特卡罗模拟，我们发现了一个动态r…[Phys。莱特牧师。 137, 026703] 于 2026 年 7 月 7 日星期二发布</w:t>
      </w:r>
    </w:p>
    <w:p>
      <w:pPr>
        <w:spacing w:before="0" w:after="200" w:lineRule="auto" w:line="276"/>
      </w:pPr>
      <w:r>
        <w:rPr>
          <w:b/>
        </w:rPr>
        <w:t xml:space="preserve">Abstract (EN): </w:t>
      </w:r>
      <w:r>
        <w:t>Author(s): Z. Demir Vatansever, E. Vatansever, A. Vasilopoulos, N. G. Fytas, and A. BergerWe address a central open question in driven topological matter by investigating the nonequilibrium response of a two-dimensional magnet with Dzyaloshinskii-Moriya interactions subjected to a periodically oscillating magnetic field. Using extensive Monte Carlo simulations, we uncover a dynamically r…[Phys. Rev. Lett. 137, 026703] Published Tue Jul 07, 2026</w:t>
      </w:r>
    </w:p>
    <w:p>
      <w:pPr>
        <w:spacing w:before="120" w:after="120"/>
      </w:pPr>
      <w:r>
        <w:rPr>
          <w:sz w:val="18"/>
        </w:rPr>
        <w:t>——————————————————————————————————————————————————————————————————————</w:t>
      </w:r>
    </w:p>
    <w:p>
      <w:pPr>
        <w:spacing w:before="160" w:after="40" w:line="240" w:lineRule="auto"/>
      </w:pPr>
      <w:r>
        <w:rPr>
          <w:b/>
        </w:rPr>
        <w:t xml:space="preserve">[321] </w:t>
      </w:r>
      <w:hyperlink r:id="rId833">
        <w:r>
          <w:rPr>
            <w:color w:val="1155CC"/>
            <w:u w:val="single"/>
          </w:rPr>
          <w:t>利用电磁真空增强红外激光解离</w:t>
        </w:r>
      </w:hyperlink>
    </w:p>
    <w:p>
      <w:pPr>
        <w:spacing w:before="0" w:after="80"/>
      </w:pPr>
      <w:r>
        <w:rPr>
          <w:i/>
          <w:sz w:val="20"/>
        </w:rPr>
        <w:t>EN: Enhancing Infrared-Laser Dissociation of Molecules with the Electromagnetic Vacuum</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34">
        <w:r>
          <w:rPr>
            <w:color w:val="1155CC"/>
            <w:u w:val="single"/>
          </w:rPr>
          <w:t>10.1103/s2zc-6lxs</w:t>
        </w:r>
      </w:hyperlink>
    </w:p>
    <w:p>
      <w:pPr>
        <w:spacing w:before="0" w:after="120"/>
      </w:pPr>
      <w:r>
        <w:rPr>
          <w:b/>
        </w:rPr>
        <w:t xml:space="preserve">Notes: </w:t>
      </w:r>
      <w:r>
        <w:t>abstract_source=rss_description</w:t>
      </w:r>
    </w:p>
    <w:p>
      <w:pPr>
        <w:spacing w:before="0" w:after="80" w:lineRule="auto" w:line="276"/>
      </w:pPr>
      <w:r>
        <w:rPr>
          <w:b/>
        </w:rPr>
        <w:t xml:space="preserve">摘要（ZH）: </w:t>
      </w:r>
      <w:r>
        <w:t>作者：Johan F. Triana 和 Felipe Herrera 控制键断裂是分子物理学的一个长期目标。目前正在开发红外纳米腔，以达到与一些分子的腔 QED 的奇异耦合机制，但目前尚不清楚化学反应如何在此类系统中进行。我们研究红外光……[物​​理。莱特牧师。 137, 028001] 2026 年 7 月 7 日星期二发布</w:t>
      </w:r>
    </w:p>
    <w:p>
      <w:pPr>
        <w:spacing w:before="0" w:after="200" w:lineRule="auto" w:line="276"/>
      </w:pPr>
      <w:r>
        <w:rPr>
          <w:b/>
        </w:rPr>
        <w:t xml:space="preserve">Abstract (EN): </w:t>
      </w:r>
      <w:r>
        <w:t>Author(s): Johan F. Triana and Felipe HerreraControlling bond breaking is a long-standing goal in molecular physics. Infrared nanocavities are currently being developed for reaching exotic coupling regimes of cavity QED with a few molecules, but it is not well understood how chemical reactions would proceed in such systems. We study infrared l…[Phys. Rev. Lett. 137, 028001] Published Tue Jul 07, 2026</w:t>
      </w:r>
    </w:p>
    <w:p>
      <w:pPr>
        <w:spacing w:before="120" w:after="120"/>
      </w:pPr>
      <w:r>
        <w:rPr>
          <w:sz w:val="18"/>
        </w:rPr>
        <w:t>——————————————————————————————————————————————————————————————————————</w:t>
      </w:r>
    </w:p>
    <w:p>
      <w:pPr>
        <w:spacing w:before="160" w:after="40" w:line="240" w:lineRule="auto"/>
      </w:pPr>
      <w:r>
        <w:rPr>
          <w:b/>
        </w:rPr>
        <w:t xml:space="preserve">[322] </w:t>
      </w:r>
      <w:hyperlink r:id="rId835">
        <w:r>
          <w:rPr>
            <w:color w:val="1155CC"/>
            <w:u w:val="single"/>
          </w:rPr>
          <w:t>高温费米子吉布斯态是高斯态的混合</w:t>
        </w:r>
      </w:hyperlink>
    </w:p>
    <w:p>
      <w:pPr>
        <w:spacing w:before="0" w:after="80"/>
      </w:pPr>
      <w:r>
        <w:rPr>
          <w:i/>
          <w:sz w:val="20"/>
        </w:rPr>
        <w:t>EN: High-Temperature Fermionic Gibbs States are Mixtures of Gaussian States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36">
        <w:r>
          <w:rPr>
            <w:color w:val="1155CC"/>
            <w:u w:val="single"/>
          </w:rPr>
          <w:t>10.1103/qprk-k7wn</w:t>
        </w:r>
      </w:hyperlink>
    </w:p>
    <w:p>
      <w:pPr>
        <w:spacing w:before="0" w:after="120"/>
      </w:pPr>
      <w:r>
        <w:rPr>
          <w:b/>
        </w:rPr>
        <w:t xml:space="preserve">Notes: </w:t>
      </w:r>
      <w:r>
        <w:t>abstract_source=rss_description</w:t>
      </w:r>
    </w:p>
    <w:p>
      <w:pPr>
        <w:spacing w:before="0" w:after="80" w:lineRule="auto" w:line="276"/>
      </w:pPr>
      <w:r>
        <w:rPr>
          <w:b/>
        </w:rPr>
        <w:t xml:space="preserve">摘要（ZH）: </w:t>
      </w:r>
      <w:r>
        <w:t>作者：Akshar Ramkumar、Yiyi Cai、Yu Tong 和 Jiaqing Jiang 量子系统的有效模拟通常依赖于量子态的结构特性。受到 Bakshi 等人最近的结果的启发。关于量子自旋系统高温吉布斯态中纠缠的突然死亡，我们研究了边界的高温吉布斯态......[物理。莱特牧师。 137, 020601] 发布时间 2026 年 7 月 7 日星期二</w:t>
      </w:r>
    </w:p>
    <w:p>
      <w:pPr>
        <w:spacing w:before="0" w:after="200" w:lineRule="auto" w:line="276"/>
      </w:pPr>
      <w:r>
        <w:rPr>
          <w:b/>
        </w:rPr>
        <w:t xml:space="preserve">Abstract (EN): </w:t>
      </w:r>
      <w:r>
        <w:t>Author(s): Akshar Ramkumar, Yiyi Cai, Yu Tong, and Jiaqing JiangEfficient simulation of a quantum system generally relies on structural properties of the quantum state. Motivated by the recent results by Bakshi et al. on the sudden death of entanglement in high-temperature Gibbs states of quantum spin systems, we study the high-temperature Gibbs states of bounde…[Phys. Rev. Lett. 137, 020601] Published Tue Jul 07, 2026</w:t>
      </w:r>
    </w:p>
    <w:p>
      <w:pPr>
        <w:spacing w:before="120" w:after="120"/>
      </w:pPr>
      <w:r>
        <w:rPr>
          <w:sz w:val="18"/>
        </w:rPr>
        <w:t>——————————————————————————————————————————————————————————————————————</w:t>
      </w:r>
    </w:p>
    <w:p>
      <w:pPr>
        <w:spacing w:before="160" w:after="40" w:line="240" w:lineRule="auto"/>
      </w:pPr>
      <w:r>
        <w:rPr>
          <w:b/>
        </w:rPr>
        <w:t xml:space="preserve">[323] </w:t>
      </w:r>
      <w:hyperlink r:id="rId837">
        <w:r>
          <w:rPr>
            <w:color w:val="1155CC"/>
            <w:u w:val="single"/>
          </w:rPr>
          <w:t>超临界-亚临界对应、不对称效应和临界点附近的反对称校正</w:t>
        </w:r>
      </w:hyperlink>
    </w:p>
    <w:p>
      <w:pPr>
        <w:spacing w:before="0" w:after="80"/>
      </w:pPr>
      <w:r>
        <w:rPr>
          <w:i/>
          <w:sz w:val="20"/>
        </w:rPr>
        <w:t>EN: Supercritical-Subcritical Correspondence, Asymmetric Effects, and Antisymmetric Corrections Near a Critical Point</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38">
        <w:r>
          <w:rPr>
            <w:color w:val="1155CC"/>
            <w:u w:val="single"/>
          </w:rPr>
          <w:t>10.1103/dj1t-tvw6</w:t>
        </w:r>
      </w:hyperlink>
    </w:p>
    <w:p>
      <w:pPr>
        <w:spacing w:before="0" w:after="120"/>
      </w:pPr>
      <w:r>
        <w:rPr>
          <w:b/>
        </w:rPr>
        <w:t xml:space="preserve">Notes: </w:t>
      </w:r>
      <w:r>
        <w:t>abstract_source=rss_description</w:t>
      </w:r>
    </w:p>
    <w:p>
      <w:pPr>
        <w:spacing w:before="0" w:after="80" w:lineRule="auto" w:line="276"/>
      </w:pPr>
      <w:r>
        <w:rPr>
          <w:b/>
        </w:rPr>
        <w:t xml:space="preserve">摘要（ZH）: </w:t>
      </w:r>
      <w:r>
        <w:t>作者：李新阳和金玉良尽管液-气哈密顿量不存在 ${Z}_{2}$ 对称性，但伊辛模型和液-气系统中的二阶相变具有普适性类和临界指数。这种差异凸显了关键现象中的一个中心难题：不对称的影响是什么……[物理学。莱特牧师。 137, 027102] 2026 年 7 月 7 日星期二发布</w:t>
      </w:r>
    </w:p>
    <w:p>
      <w:pPr>
        <w:spacing w:before="0" w:after="200" w:lineRule="auto" w:line="276"/>
      </w:pPr>
      <w:r>
        <w:rPr>
          <w:b/>
        </w:rPr>
        <w:t xml:space="preserve">Abstract (EN): </w:t>
      </w:r>
      <w:r>
        <w:t>Author(s): Xinyang Li and Yuliang JinThe second-order phase transitions in the Ising model and liquid-gas systems share a universality class and critical exponents, despite the absence of ${Z}_{2}$ symmetry in the liquid-gas Hamiltonian. This discrepancy highlights a central puzzle in critical phenomena: what is the influence of asymme…[Phys. Rev. Lett. 137, 027102] Published Tue Jul 07, 2026</w:t>
      </w:r>
    </w:p>
    <w:p>
      <w:pPr>
        <w:spacing w:before="120" w:after="120"/>
      </w:pPr>
      <w:r>
        <w:rPr>
          <w:sz w:val="18"/>
        </w:rPr>
        <w:t>——————————————————————————————————————————————————————————————————————</w:t>
      </w:r>
    </w:p>
    <w:p>
      <w:pPr>
        <w:spacing w:before="160" w:after="40" w:line="240" w:lineRule="auto"/>
      </w:pPr>
      <w:r>
        <w:rPr>
          <w:b/>
        </w:rPr>
        <w:t xml:space="preserve">[324] </w:t>
      </w:r>
      <w:hyperlink r:id="rId839">
        <w:r>
          <w:rPr>
            <w:color w:val="1155CC"/>
            <w:u w:val="single"/>
          </w:rPr>
          <w:t>光谱均匀连续可变量子微梳</w:t>
        </w:r>
      </w:hyperlink>
    </w:p>
    <w:p>
      <w:pPr>
        <w:spacing w:before="0" w:after="80"/>
      </w:pPr>
      <w:r>
        <w:rPr>
          <w:i/>
          <w:sz w:val="20"/>
        </w:rPr>
        <w:t>EN: Spectrally Uniform Continuous-Variable Quantum Microcombs</w:t>
      </w:r>
    </w:p>
    <w:p>
      <w:pPr>
        <w:spacing w:before="0" w:after="120"/>
      </w:pPr>
      <w:r>
        <w:rPr>
          <w:b/>
        </w:rPr>
        <w:t xml:space="preserve">Source: </w:t>
      </w:r>
      <w:r>
        <w:t>Recent Articles in Phys. Rev. Lett.</w:t>
      </w:r>
      <w:r>
        <w:t xml:space="preserve">    </w:t>
      </w:r>
      <w:r>
        <w:rPr>
          <w:b/>
        </w:rPr>
        <w:t xml:space="preserve">Pub date: </w:t>
      </w:r>
      <w:r>
        <w:t>2026-07-07 10:00:00+00:00</w:t>
      </w:r>
      <w:r>
        <w:t xml:space="preserve">    </w:t>
      </w:r>
      <w:r>
        <w:rPr>
          <w:b/>
        </w:rPr>
        <w:t xml:space="preserve">DOI: </w:t>
      </w:r>
      <w:hyperlink r:id="rId840">
        <w:r>
          <w:rPr>
            <w:color w:val="1155CC"/>
            <w:u w:val="single"/>
          </w:rPr>
          <w:t>10.1103/vjtv-2prg</w:t>
        </w:r>
      </w:hyperlink>
    </w:p>
    <w:p>
      <w:pPr>
        <w:spacing w:before="0" w:after="120"/>
      </w:pPr>
      <w:r>
        <w:rPr>
          <w:b/>
        </w:rPr>
        <w:t xml:space="preserve">Notes: </w:t>
      </w:r>
      <w:r>
        <w:t>abstract_source=rss_description</w:t>
      </w:r>
    </w:p>
    <w:p>
      <w:pPr>
        <w:spacing w:before="0" w:after="80" w:lineRule="auto" w:line="276"/>
      </w:pPr>
      <w:r>
        <w:rPr>
          <w:b/>
        </w:rPr>
        <w:t xml:space="preserve">摘要（ZH）: </w:t>
      </w:r>
      <w:r>
        <w:t>作者：Kangkang Li、Yue Wang、Ze Wang、Xin Zhou、Jin Cheng Li、Yinke Cheng、Binyan Wu、Qi Huang Kong、Bei-Bei Li 和 Qi-Fan Yang 在高 Q$ 微谐振器中生成的连续变量 (CV) 量子微梳为集成量子信息处理提供了紧凑的、频率复用的纠缠模式源。尽管确定性克尔诱导的双模压缩已在芯片上得到证明，但实现了均匀的…[物理。莱特牧师。 137, 023802] 发布时间 2026 年 7 月 7 日星期二</w:t>
      </w:r>
    </w:p>
    <w:p>
      <w:pPr>
        <w:spacing w:before="0" w:after="200" w:lineRule="auto" w:line="276"/>
      </w:pPr>
      <w:r>
        <w:rPr>
          <w:b/>
        </w:rPr>
        <w:t xml:space="preserve">Abstract (EN): </w:t>
      </w:r>
      <w:r>
        <w:t>Author(s): Kangkang Li, Yue Wang, Ze Wang, Xin Zhou, Jincheng Li, Yinke Cheng, Binyan Wu, Qihuang Gong, Bei-Bei Li, and Qi-Fan YangContinuous-variable (CV) quantum microcombs generated in high-$Q$ microresonators provide compact, frequency-multiplexed sources of entangled modes for integrated quantum information processing. Although deterministic Kerr-induced two-mode squeezing has been demonstrated on chip, achieving uniform s…[Phys. Rev. Lett. 137, 023802] Published Tue Jul 07, 2026</w:t>
      </w:r>
    </w:p>
    <w:p>
      <w:pPr>
        <w:spacing w:before="120" w:after="120"/>
      </w:pPr>
      <w:r>
        <w:rPr>
          <w:sz w:val="18"/>
        </w:rPr>
        <w:t>——————————————————————————————————————————————————————————————————————</w:t>
      </w:r>
    </w:p>
    <w:p>
      <w:pPr>
        <w:spacing w:before="160" w:after="40" w:line="240" w:lineRule="auto"/>
      </w:pPr>
      <w:r>
        <w:rPr>
          <w:b/>
        </w:rPr>
        <w:t xml:space="preserve">[325] </w:t>
      </w:r>
      <w:hyperlink r:id="rId841">
        <w:r>
          <w:rPr>
            <w:color w:val="1155CC"/>
            <w:u w:val="single"/>
          </w:rPr>
          <w:t>量子纠错的强化学习控制</w:t>
        </w:r>
      </w:hyperlink>
    </w:p>
    <w:p>
      <w:pPr>
        <w:spacing w:before="0" w:after="80"/>
      </w:pPr>
      <w:r>
        <w:rPr>
          <w:i/>
          <w:sz w:val="20"/>
        </w:rPr>
        <w:t>EN: Reinforcement learning control of quantum error correction</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42">
        <w:r>
          <w:rPr>
            <w:color w:val="1155CC"/>
            <w:u w:val="single"/>
          </w:rPr>
          <w:t>10.1038/s41586-026-10759-2</w:t>
        </w:r>
      </w:hyperlink>
    </w:p>
    <w:p>
      <w:pPr>
        <w:spacing w:before="0" w:after="120"/>
      </w:pPr>
      <w:r>
        <w:rPr>
          <w:b/>
        </w:rPr>
        <w:t xml:space="preserve">Notes: </w:t>
      </w:r>
      <w:r>
        <w:t>abstract_source=nature_html</w:t>
      </w:r>
    </w:p>
    <w:p>
      <w:pPr>
        <w:spacing w:before="0" w:after="80" w:lineRule="auto" w:line="276"/>
      </w:pPr>
      <w:r>
        <w:rPr>
          <w:b/>
        </w:rPr>
        <w:t xml:space="preserve">摘要（ZH）: </w:t>
      </w:r>
      <w:r>
        <w:t>量子纠错 (QEC) 是保护量子计算机免受环境影响的主要策略1,2。 QEC 的先决条件是错误必须保持足够少，这需要不断调整计算机的控制参数以适应漂移的环境条件。目前解决这个问题的方法是终止整个量子计算进行重新校准，但这与未来量子算法的长运行时间不兼容3、4。在这里，我们通过将校准与计算相结合来解决这一挑战。我们赋予 QEC 过程 5,6,7,8,9,10,11 双重角色：它的错误检测事件不仅用于纠正逻辑量子状态，而且还被重新用作学习信号，教导强化学习代理 12,13,14,15,16 在计算过程中连续引导控制参数并稳定量子系统。我们在 Willow 超导处理器上通过实验演示了该框架，将表面代码针对注入漂移的逻辑稳定性提高了 3.5 倍。通过综合我们的全套技术进步，我们实现了表面和颜色代码的创纪录性能，每个周期的平均逻辑错误分别为 7.72(9) × 10−4 和 8.19(14) × 10−3。对具有数万个控制参数的大型代码的数值模拟证实了我们的 RL 框架的可扩展性，揭示了与系统规模无关的优化速度。因此，这项工作实现了一种新的范式：一种能够从错误中学习并且永不停止计算的量子计算机。</w:t>
      </w:r>
    </w:p>
    <w:p>
      <w:pPr>
        <w:spacing w:before="0" w:after="200" w:lineRule="auto" w:line="276"/>
      </w:pPr>
      <w:r>
        <w:rPr>
          <w:b/>
        </w:rPr>
        <w:t xml:space="preserve">Abstract (EN): </w:t>
      </w:r>
      <w:r>
        <w:t>Quantum error correction (QEC) is the primary strategy for protecting a quantum computer from the environment1,2. The prerequisite of QEC is that errors must remain sufficiently rare, which requires perpetually adapting the control parameters of the computer to the drifting environmental conditions. The current solution to this problem is to terminate the entire quantum computation for recalibration, but it is incompatible with the long runtimes of future quantum algorithms3,4. Here we address this challenge by unifying calibration with computation. We grant the QEC process5,6,7,8,9,10,11 a dual role: its error-detection events are not only used to correct the logical quantum state but are also repurposed as a learning signal, teaching a reinforcement learning agent12,13,14,15,16 to continuously steer the control parameters and stabilize the quantum system during computation. We experimentally demonstrate this framework on a Willow superconducting processor, improving the logical stability of the surface code 3.5-fold against injected drift. By synthesizing our full suite of technological advances, we achieve record performance of the surface and colour codes, with average logical error per cycle of 7.72(9) × 10−4 and 8.19(14) × 10−3, respectively. Numerical simulations of large codes with tens of thousands of control parameters confirm the scalability of our RL framework, revealing an optimization speed that is independent of system size. This work thus enables a new paradigm: a quantum computer that learns from its errors and never stops computing.</w:t>
      </w:r>
    </w:p>
    <w:p>
      <w:pPr>
        <w:spacing w:before="120" w:after="120"/>
      </w:pPr>
      <w:r>
        <w:rPr>
          <w:sz w:val="18"/>
        </w:rPr>
        <w:t>——————————————————————————————————————————————————————————————————————</w:t>
      </w:r>
    </w:p>
    <w:p>
      <w:pPr>
        <w:spacing w:before="160" w:after="40" w:line="240" w:lineRule="auto"/>
      </w:pPr>
      <w:r>
        <w:rPr>
          <w:b/>
        </w:rPr>
        <w:t xml:space="preserve">[326] </w:t>
      </w:r>
      <w:hyperlink r:id="rId843">
        <w:r>
          <w:rPr>
            <w:color w:val="1155CC"/>
            <w:u w:val="single"/>
          </w:rPr>
          <w:t>通过气凝胶粘弹性相分离制备透气水凝胶</w:t>
        </w:r>
      </w:hyperlink>
    </w:p>
    <w:p>
      <w:pPr>
        <w:spacing w:before="0" w:after="80"/>
      </w:pPr>
      <w:r>
        <w:rPr>
          <w:i/>
          <w:sz w:val="20"/>
        </w:rPr>
        <w:t>EN: Air-permeable hydrogels through viscoelastic phase separation of aerogels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44">
        <w:r>
          <w:rPr>
            <w:color w:val="1155CC"/>
            <w:u w:val="single"/>
          </w:rPr>
          <w:t>10.1038/s41586-026-10712-3</w:t>
        </w:r>
      </w:hyperlink>
    </w:p>
    <w:p>
      <w:pPr>
        <w:spacing w:before="0" w:after="120"/>
      </w:pPr>
      <w:r>
        <w:rPr>
          <w:b/>
        </w:rPr>
        <w:t xml:space="preserve">Notes: </w:t>
      </w:r>
      <w:r>
        <w:t>abstract_source=nature_html</w:t>
      </w:r>
    </w:p>
    <w:p>
      <w:pPr>
        <w:spacing w:before="0" w:after="80" w:lineRule="auto" w:line="276"/>
      </w:pPr>
      <w:r>
        <w:rPr>
          <w:b/>
        </w:rPr>
        <w:t xml:space="preserve">摘要（ZH）: </w:t>
      </w:r>
      <w:r>
        <w:t>水凝胶广泛应用于生物医学界面，其中富含水的环境中有效的气体交换（例如，O2、CO2）至关重要。然而，由于非极性气体在极性水介质中的溶解度（C）和扩散率（D）较低，水凝胶表现出本质上有限的空气交换效率。这一限制在长期应用中造成了重大瓶颈，例如可穿戴健康监测器2、3、4、5、6、7和组织工程8、9、10、11、12。现有的提高透气性的方法13,14,15,16都存在稳健性差和/或渗透性与含水量之间固有的权衡问题（例如，17 (VPS)启用的策略在高含水量水凝胶中创建不可塌陷的、富含空气的网络，在70体积%的水下实现了185barrer的创纪录高透氧率——与原始水凝胶相比增加了十倍。VPS，a这种现象在软物质中普遍存在，用于将亲水性潮湿介质中的疏水性干燥气体颗粒驱动到薄而稳定的三维网络中，这种方法可以轻松、可扩展地制造各种化学成分和形状因素的透气水凝胶，经过10天的连续佩戴条件的生理测试证实了其在防止液体积聚和保持皮肤健康方面的有效性，为水凝胶在长期生物医学应用中铺平了道路。交流变得至关重要。</w:t>
      </w:r>
    </w:p>
    <w:p>
      <w:pPr>
        <w:spacing w:before="0" w:after="200" w:lineRule="auto" w:line="276"/>
      </w:pPr>
      <w:r>
        <w:rPr>
          <w:b/>
        </w:rPr>
        <w:t xml:space="preserve">Abstract (EN): </w:t>
      </w:r>
      <w:r>
        <w:t>Hydrogels are widely used in biomedical interfaces, in which effective gas exchange (for example, O2, CO2) within a water-rich environment is essential. However, hydrogels show intrinsically limited air exchange efficiency, owing to the low solubility (C) and diffusivity (D) of non-polar gases in the polar water medium1. This limitation poses a substantial bottleneck in long-term applications, such as wearable health monitors2,3,4,5,6,7 and tissue engineering8,9,10,11,12. Existing methods13,14,15,16 to enhance air permeability suffer from poor robustness and/or an inherent trade-off between permeability and water content (for example, 17 (VPS)-enabled strategy to create a non-collapsible, air-rich network in high-water-content hydrogels, achieving a record-high oxygen permeability of 185 barrer with 70 vol% water—a tenfold increase compared with pristine hydrogels. VPS, a ubiquitous phenomenon in soft matter, is used to drive hydrophobic, dry gas particles within a hydrophilic, wet medium into a thin, stable three-dimensional network. This approach allows the facile and scalable fabrication of air-permeable hydrogels across diverse chemistries and form factors. Physiological tests over a 10-day continuous wear condition confirmed their effectiveness in preventing fluid accumulation and maintaining skin health. This strategy paves the way for hydrogels in long-term biomedical applications in which efficient and sustained air exchange becomes critical.</w:t>
      </w:r>
    </w:p>
    <w:p>
      <w:pPr>
        <w:spacing w:before="120" w:after="120"/>
      </w:pPr>
      <w:r>
        <w:rPr>
          <w:sz w:val="18"/>
        </w:rPr>
        <w:t>——————————————————————————————————————————————————————————————————————</w:t>
      </w:r>
    </w:p>
    <w:p>
      <w:pPr>
        <w:spacing w:before="160" w:after="40" w:line="240" w:lineRule="auto"/>
      </w:pPr>
      <w:r>
        <w:rPr>
          <w:b/>
        </w:rPr>
        <w:t xml:space="preserve">[327] </w:t>
      </w:r>
      <w:hyperlink r:id="rId845">
        <w:r>
          <w:rPr>
            <w:color w:val="1155CC"/>
            <w:u w:val="single"/>
          </w:rPr>
          <w:t>大型语言模型可以预测社会科学实验的结果</w:t>
        </w:r>
      </w:hyperlink>
    </w:p>
    <w:p>
      <w:pPr>
        <w:spacing w:before="0" w:after="80"/>
      </w:pPr>
      <w:r>
        <w:rPr>
          <w:i/>
          <w:sz w:val="20"/>
        </w:rPr>
        <w:t>EN: Large language models can predict the results of social science experiments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46">
        <w:r>
          <w:rPr>
            <w:color w:val="1155CC"/>
            <w:u w:val="single"/>
          </w:rPr>
          <w:t>10.1038/s41586-026-10742-x</w:t>
        </w:r>
      </w:hyperlink>
    </w:p>
    <w:p>
      <w:pPr>
        <w:spacing w:before="0" w:after="120"/>
      </w:pPr>
      <w:r>
        <w:rPr>
          <w:b/>
        </w:rPr>
        <w:t xml:space="preserve">Notes: </w:t>
      </w:r>
      <w:r>
        <w:t>abstract_source=nature_html</w:t>
      </w:r>
    </w:p>
    <w:p>
      <w:pPr>
        <w:spacing w:before="0" w:after="80" w:lineRule="auto" w:line="276"/>
      </w:pPr>
      <w:r>
        <w:rPr>
          <w:b/>
        </w:rPr>
        <w:t xml:space="preserve">摘要（ZH）: </w:t>
      </w:r>
      <w:r>
        <w:t>人们越来越关注大型语言模型 (LLM) 如何推动社会和行为科学1,2,3,4,5。之前的工作评估了法学硕士预测调查反应的能力6,7,8,9，但人们对他们是否能够预测社会科学实验的结果10知之甚少，特别是那些训练数据中没有的结果。在这里，我们建立了美国 70 个预先注册的、具有全国代表性的调查实验档案，涉及 469 个实验效果和 119,330 名参与者。我们促使法学硕士模拟美国个体的代表性样本对实验刺激的反应，然后通过比较不同条件下的模拟反应来推断治疗效果。 GPT-4 的训练数据截止时间早于我们档案中许多研究的发表，其预测与实际治疗效果密切相关，达到了与人类汇总预测相似的准确性。对于在模型训练数据截止日期之前未发表或公开发布的研究以及来自著名开放权重模型的预测，相关性仍然很高。尽管相关性很高，但预测系统地高估了效应大小。在包含 15 项大型研究（涉及 606 种效应）的二级档案中，相关性较低，但与汇总的专家预测者的相关性相当。为了评估对科学实践的影响，我们对 460 名社会科学家进行了调查，了解可能的用途和感知的风险，并利用我们的档案来评估多种应用（试点测试、干预选择、识别需要复制的效果）和风险（偏见、</w:t>
      </w:r>
    </w:p>
    <w:p>
      <w:pPr>
        <w:spacing w:before="0" w:after="200" w:lineRule="auto" w:line="276"/>
      </w:pPr>
      <w:r>
        <w:rPr>
          <w:b/>
        </w:rPr>
        <w:t xml:space="preserve">Abstract (EN): </w:t>
      </w:r>
      <w:r>
        <w:t>There is growing interest in how large language models (LLMs) can advance social and behavioural science1,2,3,4,5. Previous work has assessed LLMs’ ability to predict survey responses6,7,8,9, but less is known about whether they can predict the outcomes of social science experiments10, particularly those absent from training data. Here we built an archive of 70 preregistered, nationally representative survey experiments in the USA involving 469 experimental effects and 119,330 participants. We prompted an LLM to simulate how representative samples from American individuals would respond to experimental stimuli, and then we inferred treatment effects by comparing simulated responses across conditions. Predictions derived from GPT-4, whose training-data cutoff predated the publication of many studies in our archive, were strongly correlated with actual treatment effects, achieving accuracy similar to pooled human forecasts. Correlations remained high for studies not published or publicly posted by the model’s training-data cutoff date and for predictions from prominent open-weight models. Despite high correlations, predictions systematically overestimated effect sizes. In a secondary archive of 15 megastudies featuring 606 effects, correlations were lower but comparable to those of pooled expert forecasters. To assess implications for scientific practice, we surveyed 460 social scientists about probable uses and perceived risks and used our archives to assess several applications (pilot testing, intervention selection, identifying effects needing replication) and risks (bias, misuse). Together, these results indicate that LLMs can augment experimental methods in science and practice while raising important considerations for responsible use.</w:t>
      </w:r>
    </w:p>
    <w:p>
      <w:pPr>
        <w:spacing w:before="120" w:after="120"/>
      </w:pPr>
      <w:r>
        <w:rPr>
          <w:sz w:val="18"/>
        </w:rPr>
        <w:t>——————————————————————————————————————————————————————————————————————</w:t>
      </w:r>
    </w:p>
    <w:p>
      <w:pPr>
        <w:spacing w:before="160" w:after="40" w:line="240" w:lineRule="auto"/>
      </w:pPr>
      <w:r>
        <w:rPr>
          <w:b/>
        </w:rPr>
        <w:t xml:space="preserve">[328] </w:t>
      </w:r>
      <w:hyperlink r:id="rId847">
        <w:r>
          <w:rPr>
            <w:color w:val="1155CC"/>
            <w:u w:val="single"/>
          </w:rPr>
          <w:t>古代与喂养相关的神经肽调节蚂蚁的异育</w:t>
        </w:r>
      </w:hyperlink>
    </w:p>
    <w:p>
      <w:pPr>
        <w:spacing w:before="0" w:after="80"/>
      </w:pPr>
      <w:r>
        <w:rPr>
          <w:i/>
          <w:sz w:val="20"/>
        </w:rPr>
        <w:t>EN: Ancient feeding-related neuropeptides regulate alloparenting in ants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48">
        <w:r>
          <w:rPr>
            <w:color w:val="1155CC"/>
            <w:u w:val="single"/>
          </w:rPr>
          <w:t>10.1038/s41586-026-10747-6</w:t>
        </w:r>
      </w:hyperlink>
    </w:p>
    <w:p>
      <w:pPr>
        <w:spacing w:before="0" w:after="120"/>
      </w:pPr>
      <w:r>
        <w:rPr>
          <w:b/>
        </w:rPr>
        <w:t xml:space="preserve">Notes: </w:t>
      </w:r>
      <w:r>
        <w:t>abstract_source=nature_html</w:t>
      </w:r>
    </w:p>
    <w:p>
      <w:pPr>
        <w:spacing w:before="0" w:after="80" w:lineRule="auto" w:line="276"/>
      </w:pPr>
      <w:r>
        <w:rPr>
          <w:b/>
        </w:rPr>
        <w:t xml:space="preserve">摘要（ZH）: </w:t>
      </w:r>
      <w:r>
        <w:t>异亲照料和劳动分工是昆虫社会的标志1。社会昆虫工蜂通常在幼年时在巢内照顾幼虫，并在年龄2、3、4、5岁时过渡到巢外觅食。这为研究养育和与年龄相关的行为变化的神经基础提供了一个强大的范例。尽管之前的工作已经探讨了这些动力学的各个方面6,7,8,9,10,11,12,13,14，但潜在的神经和分子机制仍然知之甚少。在这里，通过对神经肽进行无偏见的药理学筛选，我们发现两种祖先的摄食调节因子神经肽 F (NPF) 和尿抑素 A (AstA) 可调节克隆掠夺蚁的育雏行为。通过功能操作，我们发现 NPF 会增加育雏行为，而 AstA 则具有相反的效果。此外，我们发现大脑中 NPF 和 AstA 的水平随着蚂蚁年龄的增长而自然变化，这表明这些变化是与年龄相关的育雏行为变化的基础。最后，我们表明，与孤独物种15,16一样，NPF和AstA仍然对营养状态敏感，并且营养状态相应地影响育雏行为。我们的结果表明，进化具有增选的分子机制，可以调节祖先的进食，以实现合作性的育雏和与年龄相关的劳动分工。</w:t>
      </w:r>
    </w:p>
    <w:p>
      <w:pPr>
        <w:spacing w:before="0" w:after="200" w:lineRule="auto" w:line="276"/>
      </w:pPr>
      <w:r>
        <w:rPr>
          <w:b/>
        </w:rPr>
        <w:t xml:space="preserve">Abstract (EN): </w:t>
      </w:r>
      <w:r>
        <w:t>Alloparental care and division of labour are hallmarks of insect societies1. Social insect workers typically care for brood within the nest when they are young and transition to foraging outside the nest as they age2,3,4,5. This provides a powerful paradigm to study the neural basis of parenting and age-related behavioural change. Although previous work has interrogated aspects of these dynamics6,7,8,9,10,11,12,13,14, the underlying neural and molecular mechanisms remain poorly understood. Here, using an unbiased pharmacological screen of neuropeptides, we show that two ancestral regulators of feeding, neuropeptide F (NPF) and allatostatin A (AstA), modulate brood-care behaviour in the clonal raider ant. Through functional manipulations, we show that NPF increases brood-care behaviour, whereas AstA has the opposite effect. Furthermore, we find that the levels of NPF and AstA in the brain change naturally as ants age, suggesting that these changes underlie the age-related changes in brood-care behaviour. Finally, we show that, as in solitary species15,16, NPF and AstA remain sensitive to nutritional state, and nutritional state affects brood-care behaviour accordingly. Our results reveal that evolution has co-opted molecular mechanisms that regulated feeding ancestrally to enable cooperative brood care and age-associated division of labour.</w:t>
      </w:r>
    </w:p>
    <w:p>
      <w:pPr>
        <w:spacing w:before="120" w:after="120"/>
      </w:pPr>
      <w:r>
        <w:rPr>
          <w:sz w:val="18"/>
        </w:rPr>
        <w:t>——————————————————————————————————————————————————————————————————————</w:t>
      </w:r>
    </w:p>
    <w:p>
      <w:pPr>
        <w:spacing w:before="160" w:after="40" w:line="240" w:lineRule="auto"/>
      </w:pPr>
      <w:r>
        <w:rPr>
          <w:b/>
        </w:rPr>
        <w:t xml:space="preserve">[329] </w:t>
      </w:r>
      <w:hyperlink r:id="rId849">
        <w:r>
          <w:rPr>
            <w:color w:val="1155CC"/>
            <w:u w:val="single"/>
          </w:rPr>
          <w:t>原位地震大地测量法捕获的海底扩张事件的解剖</w:t>
        </w:r>
      </w:hyperlink>
    </w:p>
    <w:p>
      <w:pPr>
        <w:spacing w:before="0" w:after="80"/>
      </w:pPr>
      <w:r>
        <w:rPr>
          <w:i/>
          <w:sz w:val="20"/>
        </w:rPr>
        <w:t>EN: Anatomy of a seafloor spreading event captured by in situ seismogeodesy</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50">
        <w:r>
          <w:rPr>
            <w:color w:val="1155CC"/>
            <w:u w:val="single"/>
          </w:rPr>
          <w:t>10.1038/s41586-026-10785-0</w:t>
        </w:r>
      </w:hyperlink>
    </w:p>
    <w:p>
      <w:pPr>
        <w:spacing w:before="0" w:after="120"/>
      </w:pPr>
      <w:r>
        <w:rPr>
          <w:b/>
        </w:rPr>
        <w:t xml:space="preserve">Notes: </w:t>
      </w:r>
      <w:r>
        <w:t>abstract_source=nature_html</w:t>
      </w:r>
    </w:p>
    <w:p>
      <w:pPr>
        <w:spacing w:before="0" w:after="80" w:lineRule="auto" w:line="276"/>
      </w:pPr>
      <w:r>
        <w:rPr>
          <w:b/>
        </w:rPr>
        <w:t xml:space="preserve">摘要（ZH）: </w:t>
      </w:r>
      <w:r>
        <w:t>在地质时期，海底的生长涉及大洋中脊 (MOR) 处的岩浆和构造伸展1。由于对这些海底板块边界的地震大地测量仍然具有挑战性2,3,4,5,6,7，因此人们对这些系统如何在每年的时间尺度上运行知之甚少。在此，我们报告了据我们所知，对 MOR 段裂谷事件的首次现场观测，该观测结合了水声、直接路径测距和底部压力测量，以及重复的海底测绘。该事件于 2024 年 4 月 26 日在南纬 37° 附近的东南印度洋中脊 (SEIR) 轴上开始，两个月前，仪器已部署在洋中脊轴和附近的阿姆斯特丹转换断层 (TF) 上。该事件始于沿着轴向山谷快速迁移的伸展地震活动群。导致谷底下沉4米，山谷水平延伸超过一米。我们将其解释为沿着山脊轴线向传播堤坝供给水的坎状水库的收缩。这些堤坝最终导致大约 16 天内约 1.6 亿立方米的熔岩在海底涌出，同时在山谷边界的正断层上引发地震和抗震滑移，并最终在毗邻的 TF 上引发地震活动。因此，岩浆过程引起的大规模抗震滑移可能是 MOR 正断层产生位移的主要机制，这可以解释其有据可查的地震缺陷8,9。</w:t>
      </w:r>
    </w:p>
    <w:p>
      <w:pPr>
        <w:spacing w:before="0" w:after="200" w:lineRule="auto" w:line="276"/>
      </w:pPr>
      <w:r>
        <w:rPr>
          <w:b/>
        </w:rPr>
        <w:t xml:space="preserve">Abstract (EN): </w:t>
      </w:r>
      <w:r>
        <w:t>Over geological time, the growth of the ocean floor involves magmatic and tectonic extension1 at mid-ocean ridges (MORs). Because seismogeodetic monitoring of these submarine plate boundaries remains challenging2,3,4,5,6,7, little is known about how these systems operate on yearly timescales. Here we report the first, to our knowledge, in situ observation of a rifting event at a MOR segment that combines hydroacoustic, direct-path ranging and bottom-pressure measurements, with repeated seafloor mapping. This event started on 26 April 2024 at the axis of the Southeast Indian Ridge (SEIR) near 37° S, two months after instruments had been deployed across the ridge axis and nearby Amsterdam transform fault (TF). The event began as a rapidly migrating swarm of extensional seismicity along the axial valley. It caused 4 m of subsidence of the valley floor and more than a metre of horizontal extension across the valley. We interpret this as the deflation of a sill-like reservoir feeding propagating dykes along the ridge axis. The dykes eventually led to the outpouring of about 160 million m3 of lava at the seafloor in about 16 days, while inducing both seismic and aseismic slip on valley-bounding normal faults and finally triggering seismic activity on the abutting TFs. Large-scale aseismic slip induced by magmatic processes could therefore be the primary mechanism by which MOR normal faults accrue their displacement, which would account for their well-documented seismic deficit8,9.</w:t>
      </w:r>
    </w:p>
    <w:p>
      <w:pPr>
        <w:spacing w:before="120" w:after="120"/>
      </w:pPr>
      <w:r>
        <w:rPr>
          <w:sz w:val="18"/>
        </w:rPr>
        <w:t>——————————————————————————————————————————————————————————————————————</w:t>
      </w:r>
    </w:p>
    <w:p>
      <w:pPr>
        <w:spacing w:before="160" w:after="40" w:line="240" w:lineRule="auto"/>
      </w:pPr>
      <w:r>
        <w:rPr>
          <w:b/>
        </w:rPr>
        <w:t xml:space="preserve">[330] </w:t>
      </w:r>
      <w:hyperlink r:id="rId851">
        <w:r>
          <w:rPr>
            <w:color w:val="1155CC"/>
            <w:u w:val="single"/>
          </w:rPr>
          <w:t>计算方法和城市犯罪研究的未来</w:t>
        </w:r>
      </w:hyperlink>
    </w:p>
    <w:p>
      <w:pPr>
        <w:spacing w:before="0" w:after="80"/>
      </w:pPr>
      <w:r>
        <w:rPr>
          <w:i/>
          <w:sz w:val="20"/>
        </w:rPr>
        <w:t>EN: Computational approaches and the future of urban crime research</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52">
        <w:r>
          <w:rPr>
            <w:color w:val="1155CC"/>
            <w:u w:val="single"/>
          </w:rPr>
          <w:t>10.1038/s41586-026-10622-4</w:t>
        </w:r>
      </w:hyperlink>
    </w:p>
    <w:p>
      <w:pPr>
        <w:spacing w:before="0" w:after="120"/>
      </w:pPr>
      <w:r>
        <w:rPr>
          <w:b/>
        </w:rPr>
        <w:t xml:space="preserve">Notes: </w:t>
      </w:r>
      <w:r>
        <w:t>abstract_source=nature_html</w:t>
      </w:r>
    </w:p>
    <w:p>
      <w:pPr>
        <w:spacing w:before="0" w:after="80" w:lineRule="auto" w:line="276"/>
      </w:pPr>
      <w:r>
        <w:rPr>
          <w:b/>
        </w:rPr>
        <w:t xml:space="preserve">摘要（ZH）: </w:t>
      </w:r>
      <w:r>
        <w:t>城市环境长期以来一直是不同学科犯罪研究人员关注的焦点。在过去的几十年里，在新颖数据集的出现和灵活计算方法的日益使用的推动下，这一异构的研究领域经历了巨大的方法论和实证变化。在这篇综述中，我们评估了这一演变，并研究了这些发展对于推进城市犯罪研究的潜力，同时也解决了继续影响该领域的持续挑战。在此概述的基础上，我们强调计算方法有望提供超越传统预测任务的更严格的因果推理。最后，我们概述了未来研究的三个关键方向，以确保新数据和计算工具得到有效利用：跨学科的更大程度的整合、改进的开放科学标准以及超越西方背景的更广泛的调查范围。在此过程中，我们的目标是支持更严格的研究，并为制定更有效的政策提供信息，以实现全球更安全、更可持续的城市。</w:t>
      </w:r>
    </w:p>
    <w:p>
      <w:pPr>
        <w:spacing w:before="0" w:after="200" w:lineRule="auto" w:line="276"/>
      </w:pPr>
      <w:r>
        <w:rPr>
          <w:b/>
        </w:rPr>
        <w:t xml:space="preserve">Abstract (EN): </w:t>
      </w:r>
      <w:r>
        <w:t>Urban environments have long been a central focus for crime researchers across diverse disciplines. Over the past few decades, this heterogeneous area of inquiry has experienced substantial methodological and empirical change, driven by the emergence of novel datasets and the increasing use of flexible computational methods. In this Review, we take stock of this evolution and examine the potential that these developments hold for advancing urban crime research, while also addressing the persistent challenges that continue to shape the field. Building on this overview, we emphasize the promise that computational methods offer for more rigorous causal inference beyond traditional prediction tasks. Finally, we outline three key directions for future research to ensure that new data and computational tools are used effectively: greater integration across disciplines, improved open science standards and a broader scope of inquiry beyond Western contexts. In doing so, we aim to support more rigorous research and inform the development of more effective policies for safer and more sustainable cities worldwide.</w:t>
      </w:r>
    </w:p>
    <w:p>
      <w:pPr>
        <w:spacing w:before="120" w:after="120"/>
      </w:pPr>
      <w:r>
        <w:rPr>
          <w:sz w:val="18"/>
        </w:rPr>
        <w:t>——————————————————————————————————————————————————————————————————————</w:t>
      </w:r>
    </w:p>
    <w:p>
      <w:pPr>
        <w:spacing w:before="160" w:after="40" w:line="240" w:lineRule="auto"/>
      </w:pPr>
      <w:r>
        <w:rPr>
          <w:b/>
        </w:rPr>
        <w:t xml:space="preserve">[331] </w:t>
      </w:r>
      <w:hyperlink r:id="rId853">
        <w:r>
          <w:rPr>
            <w:color w:val="1155CC"/>
            <w:u w:val="single"/>
          </w:rPr>
          <w:t>可重构毫米波微芯片在 GaN 上共同集成六方氮化硼开关</w:t>
        </w:r>
      </w:hyperlink>
    </w:p>
    <w:p>
      <w:pPr>
        <w:spacing w:before="0" w:after="80"/>
      </w:pPr>
      <w:r>
        <w:rPr>
          <w:i/>
          <w:sz w:val="20"/>
        </w:rPr>
        <w:t>EN: Reconfigurable mmWave microchips co-integrating hBN switches on GaN</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54">
        <w:r>
          <w:rPr>
            <w:color w:val="1155CC"/>
            <w:u w:val="single"/>
          </w:rPr>
          <w:t>10.1038/s41586-026-10761-8</w:t>
        </w:r>
      </w:hyperlink>
    </w:p>
    <w:p>
      <w:pPr>
        <w:spacing w:before="0" w:after="120"/>
      </w:pPr>
      <w:r>
        <w:rPr>
          <w:b/>
        </w:rPr>
        <w:t xml:space="preserve">Notes: </w:t>
      </w:r>
      <w:r>
        <w:t>abstract_source=nature_html</w:t>
      </w:r>
    </w:p>
    <w:p>
      <w:pPr>
        <w:spacing w:before="0" w:after="80" w:lineRule="auto" w:line="276"/>
      </w:pPr>
      <w:r>
        <w:rPr>
          <w:b/>
        </w:rPr>
        <w:t xml:space="preserve">摘要（ZH）: </w:t>
      </w:r>
      <w:r>
        <w:t>单片微波集成电路 (MMIC) 是一项新兴技术，预计将在未来几年内大幅改善电信业 1,2。 MMIC 使用专用半导体来满足 5G 标准及更高标准的性能需求；然而，将高频开关集成到这些平台中对面积和成本的要求非常高，而且这样做也是性能的瓶颈3。忆阻射频开关因其易于制造和高器件级电气性能而成为一种颇具吸引力的替代方案，但它们在 MMIC 电路实现中的应用从未实现过4。在这里，我们演示了可编程毫米波 (mmWave) 氮化镓 (GaN) MMIC，其采用忆阻射频开关制造，该开关由直接集成在后端的二维层状六方氮化硼 (hBN) 制成。我们制造了工作频率高达 100 GHz 的后端宽带开关，插入损耗低至 0.3 dB，隔离度优于 15 dB。这些开关可提供长期状态保持（2 周）、175 °C 下稳定的导通电阻、测量高达 18 dBm 时线性功率处理在 0.28 dB 以内，以及推断的 1 dB 压缩点平均值为 30.52 dBm。我们使用单晶体管、单忆阻器单元集成作为开关驱动器，实现了 3,250 个周期的耐用性，这是对基于二维材料的忆阻射频开关的改进。最后，我们演示了忆阻可配置衰减器、功率分配器和可编程谐振器在 GaN MMI 上的实现</w:t>
      </w:r>
    </w:p>
    <w:p>
      <w:pPr>
        <w:spacing w:before="0" w:after="200" w:lineRule="auto" w:line="276"/>
      </w:pPr>
      <w:r>
        <w:rPr>
          <w:b/>
        </w:rPr>
        <w:t xml:space="preserve">Abstract (EN): </w:t>
      </w:r>
      <w:r>
        <w:t>Monolithic microwave integrated circuits (MMICs) are an emerging technology that is expected to substantially improve telecommunications in the next few years1,2. MMICs use application-specific semiconductors to meet the performance needs of 5G standards and beyond; however, integrating high-frequency switches into these platforms is very demanding in terms of area and cost and doing so is also a bottleneck for performance3. Memristive radio-frequency switches are an appealing alternative due to their easy fabrication and high device-level electrical performance, but their use in circuit implementations of MMICs has never been realized4. Here we demonstrate programmable millimetre-wave (mmWave) gallium nitride (GaN) MMICs fabricated with memristive radio-frequency switches made from two-dimensional layered hexagonal boron nitride (hBN) integrated directly on the back-end-of-line. We fabricated back-end-of-line wideband switches operating up to 100 GHz with insertion losses as low as 0.3 dB and isolation better than 15 dB. The switches delivered long-term state retention (2 weeks), stable on-state resistance at 175 °C, linear power handling within 0.28 dB measured up to 18 dBm, and an extrapolated 1-dB compression point mean of 30.52 dBm. We use one-transistor, one-memristor cell integration for the switch drivers, achieving 3,250 cycles of endurance, an improvement for two-dimensional-material-based memristive radio-frequency switches. Finally, we demonstrate the implementation of memristive-configurable attenuators, power dividers and programmable resonators on the GaN MMIC platform.</w:t>
      </w:r>
    </w:p>
    <w:p>
      <w:pPr>
        <w:spacing w:before="120" w:after="120"/>
      </w:pPr>
      <w:r>
        <w:rPr>
          <w:sz w:val="18"/>
        </w:rPr>
        <w:t>——————————————————————————————————————————————————————————————————————</w:t>
      </w:r>
    </w:p>
    <w:p>
      <w:pPr>
        <w:spacing w:before="160" w:after="40" w:line="240" w:lineRule="auto"/>
      </w:pPr>
      <w:r>
        <w:rPr>
          <w:b/>
        </w:rPr>
        <w:t xml:space="preserve">[332] </w:t>
      </w:r>
      <w:hyperlink r:id="rId855">
        <w:r>
          <w:rPr>
            <w:color w:val="1155CC"/>
            <w:u w:val="single"/>
          </w:rPr>
          <w:t>用宇宙质子验证《外层空间条约》</w:t>
        </w:r>
      </w:hyperlink>
    </w:p>
    <w:p>
      <w:pPr>
        <w:spacing w:before="0" w:after="80"/>
      </w:pPr>
      <w:r>
        <w:rPr>
          <w:i/>
          <w:sz w:val="20"/>
        </w:rPr>
        <w:t>EN: Verification of the Outer Space Treaty with cosmic protons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56">
        <w:r>
          <w:rPr>
            <w:color w:val="1155CC"/>
            <w:u w:val="single"/>
          </w:rPr>
          <w:t>10.1038/s41586-026-10783-2</w:t>
        </w:r>
      </w:hyperlink>
    </w:p>
    <w:p>
      <w:pPr>
        <w:spacing w:before="0" w:after="120"/>
      </w:pPr>
      <w:r>
        <w:rPr>
          <w:b/>
        </w:rPr>
        <w:t xml:space="preserve">Notes: </w:t>
      </w:r>
      <w:r>
        <w:t>abstract_source=nature_html</w:t>
      </w:r>
    </w:p>
    <w:p>
      <w:pPr>
        <w:spacing w:before="0" w:after="80" w:lineRule="auto" w:line="276"/>
      </w:pPr>
      <w:r>
        <w:rPr>
          <w:b/>
        </w:rPr>
        <w:t xml:space="preserve">摘要（ZH）: </w:t>
      </w:r>
      <w:r>
        <w:t>《外层空间条约》（OST）于 1967 年开放供签署，自此，包括中国、美国和俄罗斯在内的 117 个国家成为该条约的成员1。除其他规定外，该条约还禁止在外层空间部署核武器。最近，美国政府对俄罗斯正在测试核武器反卫星武器（ASAT）部件表示担忧，并有可能在太空部署核武器。这种装置一旦引爆，将摧毁近地轨道上的大部分卫星。由于 OST 缺乏验证机制，这种危险变得更加复杂。公开的同行评审文献中尚未提出验证方法。这里提出了一个概念和可行性研究，通过观察内部范艾伦辐射带2中约GeV质子散裂引起的中子来验证卫星是否符合OST。计算表明，9U-CubeSat大小的探测平台可以在大约一周的观测时间内识别出4公里外的热核武器。这项概念研究将刺激并为 OST 验证平台的未来研究和开发提供信息。</w:t>
      </w:r>
    </w:p>
    <w:p>
      <w:pPr>
        <w:spacing w:before="0" w:after="200" w:lineRule="auto" w:line="276"/>
      </w:pPr>
      <w:r>
        <w:rPr>
          <w:b/>
        </w:rPr>
        <w:t xml:space="preserve">Abstract (EN): </w:t>
      </w:r>
      <w:r>
        <w:t>The Outer Space Treaty (OST) was opened to signatures in 1967 and, since then, 117 countries, including China, the USA and Russia, have become part of it1. Among other stipulations, the treaty bans the placement of nuclear weapons in outer space. Recently, the US government has raised worries that Russia is testing nuclear-armed anti-satellite weapon (ASAT) components, with the possibility that it will place a nuclear weapon in space. Such a device, if detonated, would destroy most of the satellites in the low Earth orbit. This danger is compounded by the lack of a verification mechanism for the OST. No methodologies of verification have been proposed in the open peer-reviewed literature. Here a concept and feasibility study is presented for verifying a satellite’s compliance to the OST by observing the neutrons induced by spallation from the approximately GeV protons in the inner Van Allen radiation belts2. The calculations show that a 9U-CubeSat-sized detection platform can identify a thermonuclear weapon from a distance of 4 km in approximately one week of observation. This conceptual study will stimulate and inform future research and development of verification platforms for the OST.</w:t>
      </w:r>
    </w:p>
    <w:p>
      <w:pPr>
        <w:spacing w:before="120" w:after="120"/>
      </w:pPr>
      <w:r>
        <w:rPr>
          <w:sz w:val="18"/>
        </w:rPr>
        <w:t>——————————————————————————————————————————————————————————————————————</w:t>
      </w:r>
    </w:p>
    <w:p>
      <w:pPr>
        <w:spacing w:before="160" w:after="40" w:line="240" w:lineRule="auto"/>
      </w:pPr>
      <w:r>
        <w:rPr>
          <w:b/>
        </w:rPr>
        <w:t xml:space="preserve">[333] </w:t>
      </w:r>
      <w:hyperlink r:id="rId857">
        <w:r>
          <w:rPr>
            <w:color w:val="1155CC"/>
            <w:u w:val="single"/>
          </w:rPr>
          <w:t>光免疫原性纳米光笼激活 STING 用于冷肿瘤的协同光免疫治疗</w:t>
        </w:r>
      </w:hyperlink>
    </w:p>
    <w:p>
      <w:pPr>
        <w:spacing w:before="0" w:after="80"/>
      </w:pPr>
      <w:r>
        <w:rPr>
          <w:i/>
          <w:sz w:val="20"/>
        </w:rPr>
        <w:t>EN: STING Activation by Photo-immunogenic Nanophotocages for Synergistic Photoimmunotherapy of Cold Tumor</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858">
        <w:r>
          <w:rPr>
            <w:color w:val="1155CC"/>
            <w:u w:val="single"/>
          </w:rPr>
          <w:t>10.1021/jacs.6c01388</w:t>
        </w:r>
      </w:hyperlink>
    </w:p>
    <w:p>
      <w:pPr>
        <w:spacing w:before="0" w:after="120"/>
      </w:pPr>
      <w:r>
        <w:rPr>
          <w:b/>
        </w:rPr>
        <w:t xml:space="preserve">Notes: </w:t>
      </w:r>
      <w:r>
        <w:t>abstract_source=pubmed</w:t>
      </w:r>
    </w:p>
    <w:p>
      <w:pPr>
        <w:spacing w:before="0" w:after="80" w:lineRule="auto" w:line="276"/>
      </w:pPr>
      <w:r>
        <w:rPr>
          <w:b/>
        </w:rPr>
        <w:t xml:space="preserve">摘要（ZH）: </w:t>
      </w:r>
      <w:r>
        <w:t>逆转免疫抑制肿瘤微环境（ITME）是冷肿瘤免疫治疗的一个关键障碍。 STING 信号通路在克服 ITME 问题方面显示出了希望。然而，通过精确激活 STING 信号通路来逆转 ITME 仍然是一个重大挑战。在这项工作中，开发了具有光免疫原性的光响应纳米光笼，用于冷肿瘤的ITME逆转协同光免疫疗法。在光笼设计中，光响应硼二吡咯亚甲基（BODIPY）被用来连接STING激动剂（DMXAA），然后制备成水分散性纳米颗粒。在四种纳米光笼中，碘化纳米光笼表现出最好的光反应效率和时空可控性。在光照射下，碘化纳米光笼精确释放STING激动剂，并通过光动力疗法（PDT）效应触发免疫原性细胞死亡（ICD），从而逆转ITME，增强免疫检查点抑制剂（aCTLA4）的免疫治疗。强大的免疫反应不仅实现了80%小鼠的原发肿瘤根除，而且还显着抑制了远处的肿瘤。这项工作提供了一种光免疫原性光笼，用于光控 STING 激活，用于 ITME 逆转癌症光免疫疗法。</w:t>
      </w:r>
    </w:p>
    <w:p>
      <w:pPr>
        <w:spacing w:before="0" w:after="200" w:lineRule="auto" w:line="276"/>
      </w:pPr>
      <w:r>
        <w:rPr>
          <w:b/>
        </w:rPr>
        <w:t xml:space="preserve">Abstract (EN): </w:t>
      </w:r>
      <w:r>
        <w:t>Reversing the immunosuppressive tumor microenvironment (ITME) is a crucial obstacle in the immunotherapy of cold tumor. The STING signaling pathway has shown promise in overcoming the ITME issue. However, reversing ITME via precise activation of the STING signaling pathway remains a significant challenge. In this work, photoresponsive nanophotocages with photoimmunogenic performance were developed for ITME-reversed synergistic photoimmunotherapy of cold tumor. In the photocage design, photoresponsive boron dipyrromethene (BODIPY) was used to link a STING agonist (DMXAA) and then prepared into water-dispersible nanoparticles. The iodinated nanophotocage showed the best photoreaction efficiency and spatiotemporal controllability among the four nanophotocages. Under light irradiation, the iodinated nanophotocages precisely released the STING agonist and triggered immunogenic cell death (ICD) via the photodynamic therapy (PDT) effect, by which the ITME was reversed to enhance the immune checkpoint inhibitor (aCTLA4) immunotherapy. The robust immune response not only achieved primary tumor eradication in 80% of the mice but also significantly inhibited the distant tumor. This work offers a photoimmunogenic photocage for light-controlled STING activation for ITME-reversed cancer photoimmunotherapy.</w:t>
      </w:r>
    </w:p>
    <w:p>
      <w:pPr>
        <w:spacing w:before="120" w:after="120"/>
      </w:pPr>
      <w:r>
        <w:rPr>
          <w:sz w:val="18"/>
        </w:rPr>
        <w:t>——————————————————————————————————————————————————————————————————————</w:t>
      </w:r>
    </w:p>
    <w:p>
      <w:pPr>
        <w:spacing w:before="160" w:after="40" w:line="240" w:lineRule="auto"/>
      </w:pPr>
      <w:r>
        <w:rPr>
          <w:b/>
        </w:rPr>
        <w:t xml:space="preserve">[334] </w:t>
      </w:r>
      <w:hyperlink r:id="rId859">
        <w:r>
          <w:rPr>
            <w:color w:val="1155CC"/>
            <w:u w:val="single"/>
          </w:rPr>
          <w:t>通用细胞嵌入为细胞生物学提供了基础模型</w:t>
        </w:r>
      </w:hyperlink>
    </w:p>
    <w:p>
      <w:pPr>
        <w:spacing w:before="0" w:after="80"/>
      </w:pPr>
      <w:r>
        <w:rPr>
          <w:i/>
          <w:sz w:val="20"/>
        </w:rPr>
        <w:t>EN: Universal cell embedding provides a foundation model for cell biology</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60">
        <w:r>
          <w:rPr>
            <w:color w:val="1155CC"/>
            <w:u w:val="single"/>
          </w:rPr>
          <w:t>10.1038/s41586-026-10689-z</w:t>
        </w:r>
      </w:hyperlink>
    </w:p>
    <w:p>
      <w:pPr>
        <w:spacing w:before="0" w:after="120"/>
      </w:pPr>
      <w:r>
        <w:rPr>
          <w:b/>
        </w:rPr>
        <w:t xml:space="preserve">Notes: </w:t>
      </w:r>
      <w:r>
        <w:t>abstract_source=nature_html</w:t>
      </w:r>
    </w:p>
    <w:p>
      <w:pPr>
        <w:spacing w:before="0" w:after="80" w:lineRule="auto" w:line="276"/>
      </w:pPr>
      <w:r>
        <w:rPr>
          <w:b/>
        </w:rPr>
        <w:t xml:space="preserve">摘要（ZH）: </w:t>
      </w:r>
      <w:r>
        <w:t>为细胞开发一个通用的表示空间，涵盖跨物种细胞类型的巨大分子多样性，这将对细胞生物学产生变革。最近的工作使用单细胞转录组学方法以细胞图谱的形式创建细胞类型的分子定义，为这种努力提供了必要的数据1,2,3。在这里，我们提出了通用细胞嵌入（UCE）基础模型。 UCE 使用自我监督对大量细胞数据进行训练，创建了一个统一的生物潜在空间，可以代表不同组织和物种的细胞。尽管存在实验噪音，但这个潜在空间捕获了重要的生物变异。 UCE 的通用性意味着无需数据标记、模型训练或微调即可嵌入新单元。我们使用 UCE 创建了集成的超大规模图谱，嵌入了 3600 万个细胞，其中包含来自数百个实验、数十个组织和 8 个物种的 1,000 多种独特命名的细胞类型。我们深入了解空间内细胞类型和组织的组织。 UCE 的嵌入空间表现出突现行为，识别从未接受过训练的生物学，例如识别发育谱系和嵌入来自未包含在训练集中的物种的数据。总体而言，通过为每种细胞状态和类型提供通用表示，UCE 成为对单细胞数据进行分析、注释和假设生成的宝贵工具。</w:t>
      </w:r>
    </w:p>
    <w:p>
      <w:pPr>
        <w:spacing w:before="0" w:after="200" w:lineRule="auto" w:line="276"/>
      </w:pPr>
      <w:r>
        <w:rPr>
          <w:b/>
        </w:rPr>
        <w:t xml:space="preserve">Abstract (EN): </w:t>
      </w:r>
      <w:r>
        <w:t>Developing a universal representation space for cells that encompasses the tremendous molecular diversity of cell types across species would be transformative for cell biology. Recent work using single-cell transcriptomic approaches to create molecular definitions of cell types in the form of cell atlases has provided the necessary data for such an endeavour1,2,3. Here we present the universal cell embedding (UCE) foundation model. UCE was trained on a large corpus of cell data using self-supervision, creating a unified biological latent space that can represent cells across diverse tissues and species. This latent space captures important biological variation despite the presence of experimental noise. UCE’s universality means that new cells can be embedded with no data labelling, model training or fine-tuning. We used UCE to create the Integrated Mega-scale Atlas, embedding 36 million cells, with more than 1,000 uniquely named cell types, from hundreds of experiments, dozens of tissues and eight species. We gain insights into the organization of cell types and tissues within the space. UCE’s embedding space exhibits emergent behaviour, identifying biology that it was never trained for, such as identifying developmental lineages and embedding data from species that were not included in the training set. Overall, by enabling a universal representation for every cell state and type, UCE is a valuable tool for analysis, annotation and hypothesis generation over single-cell data.</w:t>
      </w:r>
    </w:p>
    <w:p>
      <w:pPr>
        <w:spacing w:before="120" w:after="120"/>
      </w:pPr>
      <w:r>
        <w:rPr>
          <w:sz w:val="18"/>
        </w:rPr>
        <w:t>——————————————————————————————————————————————————————————————————————</w:t>
      </w:r>
    </w:p>
    <w:p>
      <w:pPr>
        <w:spacing w:before="160" w:after="40" w:line="240" w:lineRule="auto"/>
      </w:pPr>
      <w:r>
        <w:rPr>
          <w:b/>
        </w:rPr>
        <w:t xml:space="preserve">[335] </w:t>
      </w:r>
      <w:hyperlink r:id="rId861">
        <w:r>
          <w:rPr>
            <w:color w:val="1155CC"/>
            <w:u w:val="single"/>
          </w:rPr>
          <w:t>N-k 突发事件下的协调输配电负荷恢复：分布式优化和强化学习方法</w:t>
        </w:r>
      </w:hyperlink>
    </w:p>
    <w:p>
      <w:pPr>
        <w:spacing w:before="0" w:after="80"/>
      </w:pPr>
      <w:r>
        <w:rPr>
          <w:i/>
          <w:sz w:val="20"/>
        </w:rPr>
        <w:t>EN: Coordinated transmission-distribution load restoration under N-k contingencies: a distributed optimization and reinforcement learning approach</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862">
        <w:r>
          <w:rPr>
            <w:color w:val="1155CC"/>
            <w:u w:val="single"/>
          </w:rPr>
          <w:t>发电多样性和可再生能源能否减轻价格冲击？ 2022年欧洲能源危机的经验证据</w:t>
        </w:r>
      </w:hyperlink>
    </w:p>
    <w:p>
      <w:pPr>
        <w:spacing w:before="0" w:after="80"/>
      </w:pPr>
      <w:r>
        <w:rPr>
          <w:i/>
          <w:sz w:val="20"/>
        </w:rPr>
        <w:t>EN: Do generation diversity and renewables mitigate price shocks? Empirical evidence from the 2022 European energy crisis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[337] </w:t>
      </w:r>
      <w:hyperlink r:id="rId863">
        <w:r>
          <w:rPr>
            <w:color w:val="1155CC"/>
            <w:u w:val="single"/>
          </w:rPr>
          <w:t>考虑输电网托管容量的弹性感知方法，支持数据中心优化分配</w:t>
        </w:r>
      </w:hyperlink>
    </w:p>
    <w:p>
      <w:pPr>
        <w:spacing w:before="0" w:after="80"/>
      </w:pPr>
      <w:r>
        <w:rPr>
          <w:i/>
          <w:sz w:val="20"/>
        </w:rPr>
        <w:t>EN: A resilience-aware methodology to support data center optimal allocation considering the transmission grid’s hosting capacity</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[338] </w:t>
      </w:r>
      <w:hyperlink r:id="rId864">
        <w:r>
          <w:rPr>
            <w:color w:val="1155CC"/>
            <w:u w:val="single"/>
          </w:rPr>
          <w:t>非整倍体选择获得乳腺癌驱动基因</w:t>
        </w:r>
      </w:hyperlink>
    </w:p>
    <w:p>
      <w:pPr>
        <w:spacing w:before="0" w:after="80"/>
      </w:pPr>
      <w:r>
        <w:rPr>
          <w:i/>
          <w:sz w:val="20"/>
        </w:rPr>
        <w:t>EN: Aneuploidy selects for the acquisition of driver genes in breast cancer</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65">
        <w:r>
          <w:rPr>
            <w:color w:val="1155CC"/>
            <w:u w:val="single"/>
          </w:rPr>
          <w:t>10.1038/s41586-026-10752-9</w:t>
        </w:r>
      </w:hyperlink>
    </w:p>
    <w:p>
      <w:pPr>
        <w:spacing w:before="0" w:after="120"/>
      </w:pPr>
      <w:r>
        <w:rPr>
          <w:b/>
        </w:rPr>
        <w:t xml:space="preserve">Notes: </w:t>
      </w:r>
      <w:r>
        <w:t>abstract_source=nature_html</w:t>
      </w:r>
    </w:p>
    <w:p>
      <w:pPr>
        <w:spacing w:before="0" w:after="80" w:lineRule="auto" w:line="276"/>
      </w:pPr>
      <w:r>
        <w:rPr>
          <w:b/>
        </w:rPr>
        <w:t xml:space="preserve">摘要（ZH）: </w:t>
      </w:r>
      <w:r>
        <w:t>染色体不稳定性在癌症中非常普遍，并导致大规模染色体失衡，称为非整倍体1,2,3,4。由于大量基因受到影响，非整倍体如何促进肿瘤发生仍然很难研究。在这里，我们建立了一种 CRISPR 敲除和激活关联分析 (CRISPR-KOALA)，能够在免疫活性小鼠癌症模型中进行高通量双向遗传筛选。我们编制了基底样乳腺癌 (BLBC) 中十种最常见的人类染色体臂水平改变的概要，这是一种由大拷贝数改变 (CNA) 驱动的疾病类型5,6,7,8。使用 CRISPR-KOALA，我们筛选了这些手臂上 3,752 个基因的小鼠直系同源物，并鉴定了 90 个癌症驱动基因，其中绝大多数的功能尚不清楚。这些基因驱动不同的信号通路，包括 MAPK、HIPPO 和 WNT，反映了 BLBC 的高度异质性。操纵已识别的癌症驱动基因可以克服 Trp53 突变 BLBC 小鼠模型对 CNA 的需求。从机制上讲，我们确定 PLGRKT 是一种位于 9p 染色体上的强癌基因，并表明其促肿瘤活性与高度抗应激的线粒体和增强的活性氧解毒能力有关。总之，我们的研究结果表明，臂级 CNA 可以选择特定的驱动基因来促进异质生物过程。</w:t>
      </w:r>
    </w:p>
    <w:p>
      <w:pPr>
        <w:spacing w:before="0" w:after="200" w:lineRule="auto" w:line="276"/>
      </w:pPr>
      <w:r>
        <w:rPr>
          <w:b/>
        </w:rPr>
        <w:t xml:space="preserve">Abstract (EN): </w:t>
      </w:r>
      <w:r>
        <w:t>Chromosome instability is highly prevalent in cancer and drives large-scale chromosomal imbalances, known as aneuploidies1,2,3,4. How aneuploidy contributes to tumorigenesis remains difficult to study due to the vast numbers of genes affected. Here we established a CRISPR knockout- and activation-linked assay (CRISPR-KOALA), enabling high-throughput bidirectional genetic screens in immunocompetent mouse models of cancer. We developed a compendium of the ten most frequent human chromosome-arm-level alterations in basal-like breast cancer (BLBC), a disease type that is driven by large copy-number alterations (CNAs)5,6,7,8. Using CRISPR-KOALA, we screened the mouse orthologues of 3,752 genes on these arms and identified 90 cancer driver genes, the function of the vast majority of which is unknown. These genes drive distinct signalling pathways including MAPK, HIPPO and WNT, reflecting the high degree of BLBC heterogeneity. Manipulating the identified cancer driver genes overcomes the need for CNAs in Trp53-mutant BLBC mouse models. Mechanistically, we identify that PLGRKT is a potent oncogene that lies on chromosome 9p and show that its tumour-promoting activity is associated with highly stress-resistant mitochondria and an increased ability to detoxify reactive oxygen species. Together, our findings reveal that arm-level CNAs can function to select specific driver genes to promote heterogeneous biological processes.</w:t>
      </w:r>
    </w:p>
    <w:p>
      <w:pPr>
        <w:spacing w:before="120" w:after="120"/>
      </w:pPr>
      <w:r>
        <w:rPr>
          <w:sz w:val="18"/>
        </w:rPr>
        <w:t>——————————————————————————————————————————————————————————————————————</w:t>
      </w:r>
    </w:p>
    <w:p>
      <w:pPr>
        <w:spacing w:before="160" w:after="40" w:line="240" w:lineRule="auto"/>
      </w:pPr>
      <w:r>
        <w:rPr>
          <w:b/>
        </w:rPr>
        <w:t xml:space="preserve">[339] </w:t>
      </w:r>
      <w:hyperlink r:id="rId866">
        <w:r>
          <w:rPr>
            <w:color w:val="1155CC"/>
            <w:u w:val="single"/>
          </w:rPr>
          <w:t>通过表位编辑进行非基因毒性移植和体内选择</w:t>
        </w:r>
      </w:hyperlink>
    </w:p>
    <w:p>
      <w:pPr>
        <w:spacing w:before="0" w:after="80"/>
      </w:pPr>
      <w:r>
        <w:rPr>
          <w:i/>
          <w:sz w:val="20"/>
        </w:rPr>
        <w:t>EN: Non-genotoxic transplantation and in vivo selection through epitope editing</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67">
        <w:r>
          <w:rPr>
            <w:color w:val="1155CC"/>
            <w:u w:val="single"/>
          </w:rPr>
          <w:t>10.1038/s41586-026-10737-8</w:t>
        </w:r>
      </w:hyperlink>
    </w:p>
    <w:p>
      <w:pPr>
        <w:spacing w:before="0" w:after="120"/>
      </w:pPr>
      <w:r>
        <w:rPr>
          <w:b/>
        </w:rPr>
        <w:t xml:space="preserve">Notes: </w:t>
      </w:r>
      <w:r>
        <w:t>abstract_source=nature_html</w:t>
      </w:r>
    </w:p>
    <w:p>
      <w:pPr>
        <w:spacing w:before="0" w:after="80" w:lineRule="auto" w:line="276"/>
      </w:pPr>
      <w:r>
        <w:rPr>
          <w:b/>
        </w:rPr>
        <w:t xml:space="preserve">摘要（ZH）: </w:t>
      </w:r>
      <w:r>
        <w:t>移植前基因毒性调节的短期和长期影响仍然阻碍造血干/祖细胞 (HSPC) 移植和基因治疗的更广泛应用1,2,3,4。尽管针对 KIT 的单克隆抗体已被提议作为化疗或放疗的替代方案5,6,7，但由于存在耗尽移植的 HSPC 的风险，其药代动力学阻碍了临床应用。在这里，为了解决这个问题，我们鉴定了 KIT 胞外域中的氨基酸变化，这些变化破坏了两种治疗性单克隆抗体8,9的结合，从而损害干细胞因子（SCF）介导的信号传导而不影响 KIT 表达或功能。我们利用腺嘌呤碱基编辑 10 或引物编辑 11 在 HSPC 中有效引入这些突变，并将其与 BCL11A 红细胞增强子的破坏相结合，以促进胎儿血红蛋白 (HbF) 的表达 12,13，这是一种治疗多种血红蛋白病的方法。该策略能够在体内共同选择基因工程细胞，以达到为镰状细胞病和β地中海贫血患者提供治疗益处所需的阈值。我们在体外和体内展示了 KIT 单克隆抗体在选择性压力下 KIT 加 BCL11A 多重编辑造血作用的逐步富集。我们报告说，根据慢病毒条形码文库的评估，抗 KIT 方案的延长治疗可实现优异的体内富集，同时避免克隆选择。最后，通过克服单克隆抗体药代动力学的局限性，e</w:t>
      </w:r>
    </w:p>
    <w:p>
      <w:pPr>
        <w:spacing w:before="0" w:after="200" w:lineRule="auto" w:line="276"/>
      </w:pPr>
      <w:r>
        <w:rPr>
          <w:b/>
        </w:rPr>
        <w:t xml:space="preserve">Abstract (EN): </w:t>
      </w:r>
      <w:r>
        <w:t>The short-term and long-term effects of genotoxic pre-transplant conditioning remain barriers to the broader application of haematopoietic stem/progenitor cell (HSPC) transplantation and gene therapies1,2,3,4. Although monoclonal antibodies targeting KIT have been proposed as alternatives to chemotherapy or radiotherapy5,6,7, their pharmacokinetics hinder clinical applications owing to the risk of depleting transplanted HSPCs. Here, to address this issue, we identified amino acid changes in the extracellular domain of KIT that disrupt the binding of two therapeutic monoclonal antibodies8,9, which impair stem cell factor (SCF)-mediated signalling without affecting KIT expression or functionality. We exploited adenine base editing10 or prime editing11 to efficiently introduce these mutations in HSPCs and combined them with the disruption of the BCL11A erythroid enhancer to promote expression of fetal haemoglobin (HbF)12,13, a therapeutic approach for several haemoglobinopathies. This strategy enables in vivo co-selection of gene-engineered cells to reach the threshold required to provide therapeutic benefit in patients affected by sickle cell disease and β-thalassaemia. We show progressive enrichment of KIT plus BCL11A multiplex-edited haematopoiesis under selective pressure with KIT monoclonal antibody, in vitro and in vivo. We report that extended treatment with anti-KIT regimens leads to superior in vivo enrichment while avoiding clonal selection, as assessed by a lentiviral barcoded library. Finally, by overcoming the limitations of monoclonal antibody pharmacokinetics, epitope editing enables novel haematopoietic replacement regimens that are not limited by on-target graft elimination, allowing prolonged immune-based conditioning that maximizes haematopoietic niche clearance without chemo-radiotherapy or monoclonal antibody wash-out.</w:t>
      </w:r>
    </w:p>
    <w:p>
      <w:pPr>
        <w:spacing w:before="120" w:after="120"/>
      </w:pPr>
      <w:r>
        <w:rPr>
          <w:sz w:val="18"/>
        </w:rPr>
        <w:t>——————————————————————————————————————————————————————————————————————</w:t>
      </w:r>
    </w:p>
    <w:p>
      <w:pPr>
        <w:spacing w:before="160" w:after="40" w:line="240" w:lineRule="auto"/>
      </w:pPr>
      <w:r>
        <w:rPr>
          <w:b/>
        </w:rPr>
        <w:t xml:space="preserve">[340] </w:t>
      </w:r>
      <w:hyperlink r:id="rId868">
        <w:r>
          <w:rPr>
            <w:color w:val="1155CC"/>
            <w:u w:val="single"/>
          </w:rPr>
          <w:t>急性髓系白血病的染色质景观和表观遗传异质性</w:t>
        </w:r>
      </w:hyperlink>
    </w:p>
    <w:p>
      <w:pPr>
        <w:spacing w:before="0" w:after="80"/>
      </w:pPr>
      <w:r>
        <w:rPr>
          <w:i/>
          <w:sz w:val="20"/>
        </w:rPr>
        <w:t>EN: Chromatin landscape and epigenetic heterogeneity of acute myeloid leukaemia</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69">
        <w:r>
          <w:rPr>
            <w:color w:val="1155CC"/>
            <w:u w:val="single"/>
          </w:rPr>
          <w:t>10.1038/s41586-026-10703-4</w:t>
        </w:r>
      </w:hyperlink>
    </w:p>
    <w:p>
      <w:pPr>
        <w:spacing w:before="0" w:after="120"/>
      </w:pPr>
      <w:r>
        <w:rPr>
          <w:b/>
        </w:rPr>
        <w:t xml:space="preserve">Notes: </w:t>
      </w:r>
      <w:r>
        <w:t>abstract_source=nature_html</w:t>
      </w:r>
    </w:p>
    <w:p>
      <w:pPr>
        <w:spacing w:before="0" w:after="80" w:lineRule="auto" w:line="276"/>
      </w:pPr>
      <w:r>
        <w:rPr>
          <w:b/>
        </w:rPr>
        <w:t xml:space="preserve">摘要（ZH）: </w:t>
      </w:r>
      <w:r>
        <w:t>急性髓系白血病 (AML) 是一种侵袭性血癌，其特征是未成熟成粒细胞增殖失控。基因突变已被证明对 AML1、2、3、4、5、6、7、8 的发病机制、肿瘤间异质性和临床结果有很大影响；然而，表观遗传改变在这些方面的作用尚未得到广泛研究。在这里，我们在 1,563 名最近诊断为 AML 的个体（“eCHROMA”队列）中使用 ATAC-seq（转座酶可及染色质测序分析），以表明 AML 可根据染色质可及性概况分为 16 个亚组。对基因突变、转录组、DNA 甲基化和组蛋白标记的多组学分析表明，这些 ATAC 亚组表现出不同的驱动突变、分化状态、基因表达、DNA 甲基化和超级增强子谱，并且也与临床结果相关。这些发现在独立队列中得到了验证。单细胞 ATAC 测序显示，每个亚组中的所有白血病细胞都具有共同的染色质可及性特征，这表明亚组特异性表观基因组指纹是基于 ATAC 的分类的基础。从机制上讲，这些亚组具有独特的基因调控网络，这些网络由造血中关键转录因子的活动驱动，并且亚组特异性超级增强子在其中发挥着关键作用。多组学单细胞分析进一步揭示了分化的失调轨迹以及染色质可及性和基因表达。尤其</w:t>
      </w:r>
    </w:p>
    <w:p>
      <w:pPr>
        <w:spacing w:before="0" w:after="200" w:lineRule="auto" w:line="276"/>
      </w:pPr>
      <w:r>
        <w:rPr>
          <w:b/>
        </w:rPr>
        <w:t xml:space="preserve">Abstract (EN): </w:t>
      </w:r>
      <w:r>
        <w:t>Acute myeloid leukaemia (AML) is an aggressive blood cancer characterized by the unregulated proliferation of immature myeloblasts. Gene mutations have been shown to have a large effect on pathogenesis, inter-tumour heterogeneity and clinical outcomes in AML1,2,3,4,5,6,7,8; however, the role of epigenetic alterations in these respects has been investigated less extensively. Here we use ATAC-seq (assay for transposase-accessible chromatin with sequencing) in a cohort of 1,563 individuals with a recent diagnosis of AML (the ‘eCHROMA’ cohort) to show that AML can be classified into 16 subgroups on the basis of chromatin accessibility profiles. Multiomics analyses of gene mutations, the transcriptome, DNA methylation and histone marks show that these ATAC subgroups exhibit distinct driver mutations, differentiation states, gene expression, DNA methylation and super-enhancer profiles, and are also associated with clinical outcomes. These findings were validated in independent cohorts. Single-cell ATAC sequencing reveals that all leukaemic cells in each subgroup share a common chromatin accessibility profile, which suggests that subgroup-specific epigenomic fingerprints underlie the ATAC-based classification. Mechanistically, the subgroups have distinct gene-regulatory networks that are driven by the activities of key transcription factors in haematopoiesis, and in which subgroup-specific super-enhancers have a pivotal role. Multiomics single-cell analysis further reveals deregulated trajectories of differentiation coupled with chromatin accessibility and gene expression. Notably, ATAC subgroups have an independent prognostic effect, compared with genomic classification, and are associated with particular drug sensitivities. In summary, ATAC-based chromatin profiling, combined with multiomics data, provides insights into AML pathogenesis beyond genomics and constitutes a valuable resource for AML research.</w:t>
      </w:r>
    </w:p>
    <w:p>
      <w:pPr>
        <w:spacing w:before="120" w:after="120"/>
      </w:pPr>
      <w:r>
        <w:rPr>
          <w:sz w:val="18"/>
        </w:rPr>
        <w:t>——————————————————————————————————————————————————————————————————————</w:t>
      </w:r>
    </w:p>
    <w:p>
      <w:pPr>
        <w:spacing w:before="160" w:after="40" w:line="240" w:lineRule="auto"/>
      </w:pPr>
      <w:r>
        <w:rPr>
          <w:b/>
        </w:rPr>
        <w:t xml:space="preserve">[341] </w:t>
      </w:r>
      <w:hyperlink r:id="rId870">
        <w:r>
          <w:rPr>
            <w:color w:val="1155CC"/>
            <w:u w:val="single"/>
          </w:rPr>
          <w:t>蛋白质增强的配体环境重塑铜聚吡啶配合物中的经典配位偏好</w:t>
        </w:r>
      </w:hyperlink>
    </w:p>
    <w:p>
      <w:pPr>
        <w:spacing w:before="0" w:after="80"/>
      </w:pPr>
      <w:r>
        <w:rPr>
          <w:i/>
          <w:sz w:val="20"/>
        </w:rPr>
        <w:t>EN: Protein-Enforced Ligand Environments Reshape Classical Coordination Preferences in Copper Polypyridyl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871">
        <w:r>
          <w:rPr>
            <w:color w:val="1155CC"/>
            <w:u w:val="single"/>
          </w:rPr>
          <w:t>10.1021/jacs.6c09177</w:t>
        </w:r>
      </w:hyperlink>
    </w:p>
    <w:p>
      <w:pPr>
        <w:spacing w:before="0" w:after="120"/>
      </w:pPr>
      <w:r>
        <w:rPr>
          <w:b/>
        </w:rPr>
        <w:t xml:space="preserve">Notes: </w:t>
      </w:r>
      <w:r>
        <w:t>abstract_source=pubmed</w:t>
      </w:r>
    </w:p>
    <w:p>
      <w:pPr>
        <w:spacing w:before="0" w:after="80" w:lineRule="auto" w:line="276"/>
      </w:pPr>
      <w:r>
        <w:rPr>
          <w:b/>
        </w:rPr>
        <w:t xml:space="preserve">摘要（ZH）: </w:t>
      </w:r>
      <w:r>
        <w:t>铜配位化学受几个公认的特征控制，包括八面体 Cu(II) 配合物中的 Jahn-Teller 畸变和高配位 Cu(I) 物种的稀缺。在这里，我们证明蛋白质支架可以作为机械活性配体结构发挥作用，超越这些固有的电子和结构偏好。我们设计了四种蛋白质支架，它们预组织两个或三个联吡啶-丙氨酸非规范氨基酸，以产生铜或亚铜状态的单核铜位点。这些蛋白质嵌入复合物表现出独特的电荷转移特征、增强的结构对称性和显着减少的Jahn-Teller畸变、前所未有的八面体Cu(I)几何形状、Cu(II)/Cu(I)氧化还原电位的显着阴极位移以及与束缚态行为一致的快速自交换速率常数。总的来说，这项工作建立了基于蛋白质的多齿配体作为进入非经典配位环境并通过蛋白质施加的菌株扩大金属蛋白质的化学空间和反应性的一般策略。</w:t>
      </w:r>
    </w:p>
    <w:p>
      <w:pPr>
        <w:spacing w:before="0" w:after="200" w:lineRule="auto" w:line="276"/>
      </w:pPr>
      <w:r>
        <w:rPr>
          <w:b/>
        </w:rPr>
        <w:t xml:space="preserve">Abstract (EN): </w:t>
      </w:r>
      <w:r>
        <w:t>Copper coordination chemistry is governed by several well-established features, including Jahn-Teller distortion in octahedral Cu(II) complexes and the scarcity of high-coordinate Cu(I) species. Here, we demonstrate that protein scaffolds can function as mechanically active ligand architectures that override these intrinsic electronic and structural preferences. We designed four protein scaffolds that preorganize two or three bipyridine-alanine noncanonical amino acids to generate mononuclear copper sites in either the cupric or cuprous state. These protein-embedded complexes exhibit distinct charge-transfer features, enhanced structural symmetry with significantly reduced Jahn-Teller distortion, an unprecedented octahedral Cu(I) geometry, markedly cathodic shifts in Cu(II)/Cu(I) redox potentials, and rapid self-exchange rate constants consistent with entatic-state behavior. Collectively, this work establishes protein-based multidentate ligands as a general strategy to access nonclassical coordination environments and to expand the chemical space and reactivity of metalloproteins through protein-imposed strains.</w:t>
      </w:r>
    </w:p>
    <w:p>
      <w:pPr>
        <w:spacing w:before="120" w:after="120"/>
      </w:pPr>
      <w:r>
        <w:rPr>
          <w:sz w:val="18"/>
        </w:rPr>
        <w:t>——————————————————————————————————————————————————————————————————————</w:t>
      </w:r>
    </w:p>
    <w:p>
      <w:pPr>
        <w:spacing w:before="160" w:after="40" w:line="240" w:lineRule="auto"/>
      </w:pPr>
      <w:r>
        <w:rPr>
          <w:b/>
        </w:rPr>
        <w:t xml:space="preserve">[342] </w:t>
      </w:r>
      <w:hyperlink r:id="rId872">
        <w:r>
          <w:rPr>
            <w:color w:val="1155CC"/>
            <w:u w:val="single"/>
          </w:rPr>
          <w:t>从核酸递送的筛选到生成设计</w:t>
        </w:r>
      </w:hyperlink>
    </w:p>
    <w:p>
      <w:pPr>
        <w:spacing w:before="0" w:after="80"/>
      </w:pPr>
      <w:r>
        <w:rPr>
          <w:i/>
          <w:sz w:val="20"/>
        </w:rPr>
        <w:t>EN: From screening to generative design in nucleic acid delivery</w:t>
      </w:r>
    </w:p>
    <w:p>
      <w:pPr>
        <w:spacing w:before="0" w:after="120"/>
      </w:pPr>
      <w:r>
        <w:rPr>
          <w:b/>
        </w:rPr>
        <w:t xml:space="preserve">Source: </w:t>
      </w:r>
      <w:r>
        <w:t>Nature Reviews Materials</w:t>
      </w:r>
      <w:r>
        <w:t xml:space="preserve">    </w:t>
      </w:r>
      <w:r>
        <w:rPr>
          <w:b/>
        </w:rPr>
        <w:t xml:space="preserve">Pub date: </w:t>
      </w:r>
      <w:r>
        <w:t>2026-07-08 00:00:00+00:00</w:t>
      </w:r>
      <w:r>
        <w:t xml:space="preserve">    </w:t>
      </w:r>
      <w:r>
        <w:rPr>
          <w:b/>
        </w:rPr>
        <w:t xml:space="preserve">DOI: </w:t>
      </w:r>
      <w:hyperlink r:id="rId873">
        <w:r>
          <w:rPr>
            <w:color w:val="1155CC"/>
            <w:u w:val="single"/>
          </w:rPr>
          <w:t>10.1038/s41578-026-00944-0</w:t>
        </w:r>
      </w:hyperlink>
    </w:p>
    <w:p>
      <w:pPr>
        <w:spacing w:before="0" w:after="120"/>
      </w:pPr>
      <w:r>
        <w:rPr>
          <w:b/>
        </w:rPr>
        <w:t xml:space="preserve">Notes: </w:t>
      </w:r>
      <w:r>
        <w:t>abstract_source=nature_html</w:t>
      </w:r>
    </w:p>
    <w:p>
      <w:pPr>
        <w:spacing w:before="0" w:after="80" w:lineRule="auto" w:line="276"/>
      </w:pPr>
      <w:r>
        <w:rPr>
          <w:b/>
        </w:rPr>
        <w:t xml:space="preserve">摘要（ZH）: </w:t>
      </w:r>
      <w:r>
        <w:t>递送材料的发现正在从经验筛选转向预测性、人工智能引导的设计。更困难的问题，包括同时优化竞争特性和肝脏以外的输送，现在正在进一步推动该领域，从筛选材料到根据预定义的特性目标生成它们。</w:t>
      </w:r>
    </w:p>
    <w:p>
      <w:pPr>
        <w:spacing w:before="0" w:after="200" w:lineRule="auto" w:line="276"/>
      </w:pPr>
      <w:r>
        <w:rPr>
          <w:b/>
        </w:rPr>
        <w:t xml:space="preserve">Abstract (EN): </w:t>
      </w:r>
      <w:r>
        <w:t>The discovery of delivery materials is shifting from empirical screening to predictive, artificial intelligence-guided design. Harder problems, including the simultaneous optimization of competing properties and delivery beyond the liver, are now pushing the field further, from screening materials to generating them against predefined property targets.</w:t>
      </w:r>
    </w:p>
    <w:p>
      <w:pPr>
        <w:spacing w:before="120" w:after="120"/>
      </w:pPr>
      <w:r>
        <w:rPr>
          <w:sz w:val="18"/>
        </w:rPr>
        <w:t>——————————————————————————————————————————————————————————————————————</w:t>
      </w:r>
    </w:p>
    <w:p>
      <w:pPr>
        <w:spacing w:before="160" w:after="40" w:line="240" w:lineRule="auto"/>
      </w:pPr>
      <w:r>
        <w:rPr>
          <w:b/>
        </w:rPr>
        <w:t xml:space="preserve">[343] </w:t>
      </w:r>
      <w:hyperlink r:id="rId874">
        <w:r>
          <w:rPr>
            <w:color w:val="1155CC"/>
            <w:u w:val="single"/>
          </w:rPr>
          <w:t>定制 Pt-I 电荷密度波链中的电子配对过程</w:t>
        </w:r>
      </w:hyperlink>
    </w:p>
    <w:p>
      <w:pPr>
        <w:spacing w:before="0" w:after="80"/>
      </w:pPr>
      <w:r>
        <w:rPr>
          <w:i/>
          <w:sz w:val="20"/>
        </w:rPr>
        <w:t>EN: Tailoring the Electron Pairing Process in a Pt–I Charge-Density-Wave Chain</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875">
        <w:r>
          <w:rPr>
            <w:color w:val="1155CC"/>
            <w:u w:val="single"/>
          </w:rPr>
          <w:t>10.1021/jacs.6c09941</w:t>
        </w:r>
      </w:hyperlink>
    </w:p>
    <w:p>
      <w:pPr>
        <w:spacing w:before="0" w:after="120"/>
      </w:pPr>
      <w:r>
        <w:rPr>
          <w:b/>
        </w:rPr>
        <w:t xml:space="preserve">Notes: </w:t>
      </w:r>
      <w:r>
        <w:t>abstract_source=pubmed</w:t>
      </w:r>
    </w:p>
    <w:p>
      <w:pPr>
        <w:spacing w:before="0" w:after="80" w:lineRule="auto" w:line="276"/>
      </w:pPr>
      <w:r>
        <w:rPr>
          <w:b/>
        </w:rPr>
        <w:t xml:space="preserve">摘要（ZH）: </w:t>
      </w:r>
      <w:r>
        <w:t>强相关固态材料中的电子配对过程控制着一系列重要现象，例如超导性、电荷密度波（CDW）阶数等。操纵电子对和电荷顺序的能力至关重要。在此，我们报道了一种具有交替 Pt-I 和 Pt-Pt-I-I 双链的一维分子超晶格结构。链间静电相互作用可以从根本上重新配置电子配对过程，将其从传统的局域机制转变为离域的多位点路径。这种转变稳定了第一个碘桥连的 Pt(III) CDW 链。与局域态相比，CDW 态内的离域电子配对过程将材料的体电导率提高了大约 3 个数量级。我们的研究结果建立了一种在分子水平上操纵电子相关性和电荷顺序的通用化学策略，为强相关电子材料提供了新的设计原理。</w:t>
      </w:r>
    </w:p>
    <w:p>
      <w:pPr>
        <w:spacing w:before="0" w:after="200" w:lineRule="auto" w:line="276"/>
      </w:pPr>
      <w:r>
        <w:rPr>
          <w:b/>
        </w:rPr>
        <w:t xml:space="preserve">Abstract (EN): </w:t>
      </w:r>
      <w:r>
        <w:t>The electron pairing process in strongly correlated solid-state materials governs a range of important phenomena, such as superconductivity, charge density wave (CDW) orders, and so on. The ability to manipulate the electron pairs and charge orders is of central importance. Herein, we report the construction of a one-dimensional molecular superlattice structure featuring alternating Pt-I and Pt-Pt-I-I double-chains. The interchain electrostatic interactions could fundamentally reconfigure the electron pairing process, shifting it from a conventional localized mechanism to a delocalized, multisite pathway. This transformation stabilizes the first iodide-bridged Pt(III) CDW chain. The delocalized electron pairing process within this CDW state elevates the material's bulk conductivity by roughly 3 orders of magnitude compared to the localized state. Our findings establish a versatile chemical strategy for manipulating electron correlations and charge orders at the molecular level, providing a new design principle for strongly correlated electronic materials.</w:t>
      </w:r>
    </w:p>
    <w:p>
      <w:pPr>
        <w:spacing w:before="120" w:after="120"/>
      </w:pPr>
      <w:r>
        <w:rPr>
          <w:sz w:val="18"/>
        </w:rPr>
        <w:t>——————————————————————————————————————————————————————————————————————</w:t>
      </w:r>
    </w:p>
    <w:p>
      <w:pPr>
        <w:spacing w:before="160" w:after="40" w:line="240" w:lineRule="auto"/>
      </w:pPr>
      <w:r>
        <w:rPr>
          <w:b/>
        </w:rPr>
        <w:t xml:space="preserve">[344] </w:t>
      </w:r>
      <w:hyperlink r:id="rId876">
        <w:r>
          <w:rPr>
            <w:color w:val="1155CC"/>
            <w:u w:val="single"/>
          </w:rPr>
          <w:t>饮食与微生物组的协同作用是肥胖相关免疫治疗功效的基础</w:t>
        </w:r>
      </w:hyperlink>
    </w:p>
    <w:p>
      <w:pPr>
        <w:spacing w:before="0" w:after="80"/>
      </w:pPr>
      <w:r>
        <w:rPr>
          <w:i/>
          <w:sz w:val="20"/>
        </w:rPr>
        <w:t>EN: Diet–microbiome synergy underlies obesity-associated immunotherapy efficacy</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77">
        <w:r>
          <w:rPr>
            <w:color w:val="1155CC"/>
            <w:u w:val="single"/>
          </w:rPr>
          <w:t>10.1038/s41586-026-10750-x</w:t>
        </w:r>
      </w:hyperlink>
    </w:p>
    <w:p>
      <w:pPr>
        <w:spacing w:before="0" w:after="120"/>
      </w:pPr>
      <w:r>
        <w:rPr>
          <w:b/>
        </w:rPr>
        <w:t xml:space="preserve">Notes: </w:t>
      </w:r>
      <w:r>
        <w:t>abstract_source=nature_html</w:t>
      </w:r>
    </w:p>
    <w:p>
      <w:pPr>
        <w:spacing w:before="0" w:after="80" w:lineRule="auto" w:line="276"/>
      </w:pPr>
      <w:r>
        <w:rPr>
          <w:b/>
        </w:rPr>
        <w:t xml:space="preserve">摘要（ZH）: </w:t>
      </w:r>
      <w:r>
        <w:t>肠道微生物组和肥胖等生理宿主因素独立影响抗肿瘤免疫力和对免疫检查点抑制剂 (ICIs) 的反应1，高体重指数 (BMI) 与更高的 ICI 功效有着意想不到的联系2,3,4,5,6。然而，这些因素如何在不同的饮食环境中相互作用仍不清楚。在这里，我们使用反映一系列肥胖生物学的 12 种小鼠饮食模型，描述了与 ICI 敏感性相关的饮食驱动的代谢、免疫和肠道微生物群特征。我们发现，肥胖相关的 ICI 反应与代谢功能障碍的相关性较差，而是依赖于饮食-肠道轴。致肥饮食可促进强大且持久的肠道微生物生态系统，能够在短期饮食转换或无反应模型粪便微生物移植 (FMT) 后恢复 ICI 敏感性。用约氏乳杆菌等有益细菌对无菌小鼠进行单定植，再加上致肥饮食，通过富集微生物群衍生的芳香氨基酸代谢物，协同促进肿瘤消退。此外，与BMI正常的捐赠者相比，高BMI捐赠者的人对小鼠FMT增强了ICI疗效，并且肥胖饮食恢复了无反应患者FMT后的敏感性。我们的研究提供了关于 BMI 和 ICI 功效之间流行病学关联的见解，并表明饮食和肠道微生物群之间的免疫调节协同作用可用于改善 ICI 结果和 FMT 干预措施。</w:t>
      </w:r>
    </w:p>
    <w:p>
      <w:pPr>
        <w:spacing w:before="0" w:after="200" w:lineRule="auto" w:line="276"/>
      </w:pPr>
      <w:r>
        <w:rPr>
          <w:b/>
        </w:rPr>
        <w:t xml:space="preserve">Abstract (EN): </w:t>
      </w:r>
      <w:r>
        <w:t>Physiological host factors, such as the gut microbiome and obesity, independently influence anti-tumour immunity and responses to immune checkpoint inhibitors (ICIs)1, with high body mass index (BMI) having an unexpected link with greater ICI efficacy2,3,4,5,6. However, how these factors interact across diverse dietary contexts remains unclear. Here, using 12 mouse diet models that reflect a spectrum of obesity biology, we characterize diet-driven metabolic, immune and gut microbiota features associated with ICI sensitivity. We find that obesity-associated ICI responses are poorly correlated with metabolic dysfunction and are instead dependent on the diet–gut axis. Obesogenic diets promote a robust and persistent gut microbial ecosystem that is capable of restoring ICI sensitivity following a short-term diet switch or fecal microbiota transplants (FMTs) from non-responder models. Monocolonization of germ-free mice with favourable bacteria such as Lactobacillus johnsonii, together with an obesogenic diet, synergistically promotes tumour regression through an enrichment of microbiota-derived aromatic amino acid metabolites. Moreover, human-to-mouse FMT from donors with a high BMI enhanced ICI efficacy compared with donors with a normal BMI, and an obesogenic diet restored sensitivity following FMT from a non-responder patient. Our study provides insight on epidemiological associations between BMI and ICI efficacy, and suggests that immunomodulatory synergy between diet and the gut microbiota could be leveraged to improve ICI outcomes and FMT interventions.</w:t>
      </w:r>
    </w:p>
    <w:p>
      <w:pPr>
        <w:spacing w:before="120" w:after="120"/>
      </w:pPr>
      <w:r>
        <w:rPr>
          <w:sz w:val="18"/>
        </w:rPr>
        <w:t>——————————————————————————————————————————————————————————————————————</w:t>
      </w:r>
    </w:p>
    <w:p>
      <w:pPr>
        <w:spacing w:before="160" w:after="40" w:line="240" w:lineRule="auto"/>
      </w:pPr>
      <w:r>
        <w:rPr>
          <w:b/>
        </w:rPr>
        <w:t xml:space="preserve">[345] </w:t>
      </w:r>
      <w:hyperlink r:id="rId878">
        <w:r>
          <w:rPr>
            <w:color w:val="1155CC"/>
            <w:u w:val="single"/>
          </w:rPr>
          <w:t>LARES-2 卫星测量地球周围的坐标系拖动效应</w:t>
        </w:r>
      </w:hyperlink>
    </w:p>
    <w:p>
      <w:pPr>
        <w:spacing w:before="0" w:after="80"/>
      </w:pPr>
      <w:r>
        <w:rPr>
          <w:i/>
          <w:sz w:val="20"/>
        </w:rPr>
        <w:t>EN: LARES-2 satellite measures frame-dragging effect around the Earth</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79">
        <w:r>
          <w:rPr>
            <w:color w:val="1155CC"/>
            <w:u w:val="single"/>
          </w:rPr>
          <w:t>10.1038/s41586-026-10715-0</w:t>
        </w:r>
      </w:hyperlink>
    </w:p>
    <w:p>
      <w:pPr>
        <w:spacing w:before="0" w:after="120"/>
      </w:pPr>
      <w:r>
        <w:rPr>
          <w:b/>
        </w:rPr>
        <w:t xml:space="preserve">Notes: </w:t>
      </w:r>
      <w:r>
        <w:t>abstract_source=nature_html</w:t>
      </w:r>
    </w:p>
    <w:p>
      <w:pPr>
        <w:spacing w:before="0" w:after="80" w:lineRule="auto" w:line="276"/>
      </w:pPr>
      <w:r>
        <w:rPr>
          <w:b/>
        </w:rPr>
        <w:t xml:space="preserve">摘要（ZH）: </w:t>
      </w:r>
      <w:r>
        <w:t>激光测距提供了弱场区域中一些最精确的重力测试，使得能够利用地球作为实验室来对爱因斯坦的广义相对论进行实验探测1。广义相对论的一个核心测试是参考系拖动的幅度，即旋转质量对时空的拖动2,3,4,5。由于其优化的轨道、非常低的表面质量比和高度均匀的后向反射器分布，我们表明最近发射的激光相对论卫星 2 (LARES-2)6 连同其前身 LAGEOS 和 GRACE 卫星，能够以千分之一的水平相对不确定性测量地球坐标系拖曳，这比以前的太阳系测定有了数量级的改进。这一结果为近地环境中的广义相对论提供了严格的确认，并对替代引力模型施加了严格的约束，这些模型专门预测参考系拖动中的偏差，包括标量张量扩展，例如陈-西蒙斯引力7,8。除了基础物理测试之外，LARES-2 和 LAGEOS 的综合分析还改进了对地球日月潮汐的测定，说明了高精度相对论卫星实验的更广泛的地球物理影响。</w:t>
      </w:r>
    </w:p>
    <w:p>
      <w:pPr>
        <w:spacing w:before="0" w:after="200" w:lineRule="auto" w:line="276"/>
      </w:pPr>
      <w:r>
        <w:rPr>
          <w:b/>
        </w:rPr>
        <w:t xml:space="preserve">Abstract (EN): </w:t>
      </w:r>
      <w:r>
        <w:t>Laser-ranging provides some of the most precise tests of gravity in the weak-field regime, enabling experimental probes of Einstein’s general theory of relativity using the Earth as a laboratory1. A central test of general relativity is the amplitude of frame-dragging, that is, the dragging of spacetime by a rotating mass2,3,4,5. Owing to its optimized orbit, a very low surface-to-mass ratio and a highly uniform retroreflector distribution, we show that the recently launched Laser Relativity Satellite 2 (LARES-2)6—together with its predecessor LAGEOS and the GRACE satellites—enables a measurement of terrestrial frame-dragging with a relative uncertainty at the one-part-in-a-thousand level, representing an order-of-magnitude improvement over previous Solar System determinations. This result provides a stringent confirmation of general relativity in the near-Earth environment and places strong constraints on alternative gravitational models that predict deviations specifically in frame-dragging, including scalar–tensor extensions such as Chern–Simons gravity7,8. Beyond tests of fundamental physics, the combined analysis of LARES-2 and LAGEOS also improves the determination of Earth’s lunisolar tides, illustrating the broader geophysical impact of high-precision relativistic satellite experiments.</w:t>
      </w:r>
    </w:p>
    <w:p>
      <w:pPr>
        <w:spacing w:before="120" w:after="120"/>
      </w:pPr>
      <w:r>
        <w:rPr>
          <w:sz w:val="18"/>
        </w:rPr>
        <w:t>——————————————————————————————————————————————————————————————————————</w:t>
      </w:r>
    </w:p>
    <w:p>
      <w:pPr>
        <w:spacing w:before="160" w:after="40" w:line="240" w:lineRule="auto"/>
      </w:pPr>
      <w:r>
        <w:rPr>
          <w:b/>
        </w:rPr>
        <w:t xml:space="preserve">[346] </w:t>
      </w:r>
      <w:hyperlink r:id="rId880">
        <w:r>
          <w:rPr>
            <w:color w:val="1155CC"/>
            <w:u w:val="single"/>
          </w:rPr>
          <w:t>作为变构调节剂的条件跨膜肽：膜蛋白调节的热力学和功能视角</w:t>
        </w:r>
      </w:hyperlink>
    </w:p>
    <w:p>
      <w:pPr>
        <w:spacing w:before="0" w:after="80"/>
      </w:pPr>
      <w:r>
        <w:rPr>
          <w:i/>
          <w:sz w:val="20"/>
        </w:rPr>
        <w:t>EN: Conditional Transmembrane Peptides as Allosteric Modulators: Thermodynamic and Functional Perspectives in Membrane Protein Regulation</w:t>
      </w:r>
    </w:p>
    <w:p>
      <w:pPr>
        <w:spacing w:before="0" w:after="120"/>
      </w:pPr>
      <w:r>
        <w:rPr>
          <w:b/>
        </w:rPr>
        <w:t xml:space="preserve">Source: </w:t>
      </w:r>
      <w:r>
        <w:t>Chemical Reviews: Latest Articles (ACS Publications)</w:t>
      </w:r>
      <w:r>
        <w:t xml:space="preserve">    </w:t>
      </w:r>
      <w:r>
        <w:rPr>
          <w:b/>
        </w:rPr>
        <w:t xml:space="preserve">Pub date: </w:t>
      </w:r>
      <w:r>
        <w:t>2026-07-08 00:00:00+00:00</w:t>
      </w:r>
      <w:r>
        <w:t xml:space="preserve">    </w:t>
      </w:r>
      <w:r>
        <w:rPr>
          <w:b/>
        </w:rPr>
        <w:t xml:space="preserve">DOI: </w:t>
      </w:r>
      <w:hyperlink r:id="rId881">
        <w:r>
          <w:rPr>
            <w:color w:val="1155CC"/>
            <w:u w:val="single"/>
          </w:rPr>
          <w:t>10.1021/acs.chemrev.6c00122</w:t>
        </w:r>
      </w:hyperlink>
    </w:p>
    <w:p>
      <w:pPr>
        <w:spacing w:before="0" w:after="120"/>
      </w:pPr>
      <w:r>
        <w:rPr>
          <w:b/>
        </w:rPr>
        <w:t xml:space="preserve">Notes: </w:t>
      </w:r>
      <w:r>
        <w:t>abstract_source=pubmed</w:t>
      </w:r>
    </w:p>
    <w:p>
      <w:pPr>
        <w:spacing w:before="0" w:after="80" w:lineRule="auto" w:line="276"/>
      </w:pPr>
      <w:r>
        <w:rPr>
          <w:b/>
        </w:rPr>
        <w:t xml:space="preserve">摘要（ZH）: </w:t>
      </w:r>
      <w:r>
        <w:t>膜蛋白参与从感知细胞环境到调节基因表达的大多数细胞过程。真核膜蛋白的基本单位是跨膜 (TM) 螺旋，它除了将蛋白质锚定到脂质双层外，还经常发挥核心功能作用。我们在此回顾了我们对支持细胞膜中 TM 螺旋热力学稳定性的因素的理解进展。有趣的是，存在一类TM序列，当作为肽分离时，它能够在溶液和膜中保持稳定。本综述涵盖了此类条件性 TM 肽，包括它们以 pHLIP 肽形式的发现、决定其膜插入的因素以及它们在癌症治疗诊断中使用的基础。我们还讨论了这些知识如何成为设计划分为脂质双层和靶膜蛋白的序列的概念基础。这些肽充当其膜靶标的正变构调节剂和负变构调节剂。这种 TM 变构条件肽 (TMAC) 还构成了可以增进我们对膜蛋白活性和调节的理解的工具。</w:t>
      </w:r>
    </w:p>
    <w:p>
      <w:pPr>
        <w:spacing w:before="0" w:after="200" w:lineRule="auto" w:line="276"/>
      </w:pPr>
      <w:r>
        <w:rPr>
          <w:b/>
        </w:rPr>
        <w:t xml:space="preserve">Abstract (EN): </w:t>
      </w:r>
      <w:r>
        <w:t>Membrane proteins participate in most cellular processes from sensing the cellular environment to regulating gene expression. The fundamental unit in eukaryotic membrane proteins is the transmembrane (TM) helix, which in addition to anchoring the protein to the lipid bilayer, often plays a central functional role. We review here advances in our understanding of the factors underpinning the thermodynamic stability of TM helices in cellular membranes. Interestingly, a class of TM sequences exists that has the ability to, when isolated as a peptide, be stable both in solution and in the membrane. This Review covers such conditional TM peptides, including their discovery in the form of the pHLIP peptide, the factors that determine their membrane insertion, and the basis for their use in cancer theranostics. We also discuss how this knowledge has been the conceptual basis for the design of sequences that partition into lipid bilayers and target membrane proteins. These peptides act as both positive and negative allosteric regulators of their membrane targets. Such TM allosteric conditional peptides (TMACs) additionally constitute tools that can advance our understanding of the activity and regulation of membrane proteins.</w:t>
      </w:r>
    </w:p>
    <w:p>
      <w:pPr>
        <w:spacing w:before="120" w:after="120"/>
      </w:pPr>
      <w:r>
        <w:rPr>
          <w:sz w:val="18"/>
        </w:rPr>
        <w:t>——————————————————————————————————————————————————————————————————————</w:t>
      </w:r>
    </w:p>
    <w:p>
      <w:pPr>
        <w:spacing w:before="160" w:after="40" w:line="240" w:lineRule="auto"/>
      </w:pPr>
      <w:r>
        <w:rPr>
          <w:b/>
        </w:rPr>
        <w:t xml:space="preserve">[347] </w:t>
      </w:r>
      <w:hyperlink r:id="rId882">
        <w:r>
          <w:rPr>
            <w:color w:val="1155CC"/>
            <w:u w:val="single"/>
          </w:rPr>
          <w:t>扭曲三层石墨烯的超导性与电子压缩振荡有关</w:t>
        </w:r>
      </w:hyperlink>
    </w:p>
    <w:p>
      <w:pPr>
        <w:spacing w:before="0" w:after="80"/>
      </w:pPr>
      <w:r>
        <w:rPr>
          <w:i/>
          <w:sz w:val="20"/>
        </w:rPr>
        <w:t>EN: Super-conductivity in twisted trilayer graphene linked to electronic compressibility oscillations</w:t>
      </w:r>
    </w:p>
    <w:p>
      <w:pPr>
        <w:spacing w:before="0" w:after="120"/>
      </w:pPr>
      <w:r>
        <w:rPr>
          <w:b/>
        </w:rPr>
        <w:t xml:space="preserve">Source: </w:t>
      </w:r>
      <w:r>
        <w:t>Nature Nanotechnology</w:t>
      </w:r>
      <w:r>
        <w:t xml:space="preserve">    </w:t>
      </w:r>
      <w:r>
        <w:rPr>
          <w:b/>
        </w:rPr>
        <w:t xml:space="preserve">Pub date: </w:t>
      </w:r>
      <w:r>
        <w:t>2026-07-08 00:00:00+00:00</w:t>
      </w:r>
      <w:r>
        <w:t xml:space="preserve">    </w:t>
      </w:r>
      <w:r>
        <w:rPr>
          <w:b/>
        </w:rPr>
        <w:t xml:space="preserve">DOI: </w:t>
      </w:r>
      <w:hyperlink r:id="rId883">
        <w:r>
          <w:rPr>
            <w:color w:val="1155CC"/>
            <w:u w:val="single"/>
          </w:rPr>
          <w:t>10.1038/s41565-026-02176-3</w:t>
        </w:r>
      </w:hyperlink>
    </w:p>
    <w:p>
      <w:pPr>
        <w:spacing w:before="0" w:after="120"/>
      </w:pPr>
      <w:r>
        <w:rPr>
          <w:b/>
        </w:rPr>
        <w:t xml:space="preserve">Notes: </w:t>
      </w:r>
      <w:r>
        <w:t>abstract_source=nature_html</w:t>
      </w:r>
    </w:p>
    <w:p>
      <w:pPr>
        <w:spacing w:before="0" w:after="80" w:lineRule="auto" w:line="276"/>
      </w:pPr>
      <w:r>
        <w:rPr>
          <w:b/>
        </w:rPr>
        <w:t xml:space="preserve">摘要（ZH）: </w:t>
      </w:r>
      <w:r>
        <w:t>了解强相互作用的不同特征如何相互关联一直是一项长期存在的挑战。现在，一种将局部热力学测量与单个扭曲三层石墨烯器件中的输运测量相结合的技术表明，超导性与电子压缩性的特征振荡一致，但仍然独立于相关的绝缘相。</w:t>
      </w:r>
    </w:p>
    <w:p>
      <w:pPr>
        <w:spacing w:before="0" w:after="200" w:lineRule="auto" w:line="276"/>
      </w:pPr>
      <w:r>
        <w:rPr>
          <w:b/>
        </w:rPr>
        <w:t xml:space="preserve">Abstract (EN): </w:t>
      </w:r>
      <w:r>
        <w:t>Understanding how different signatures of strong interactions relate to one another has been a long-standing challenge. Now, a technique that combines local thermodynamic measurements with transport measurements in a single twisted trilayer graphene device reveals that superconductivity coincides with characteristic oscillations in the electronic compressibility but remains independent of the correlated insulating phases.</w:t>
      </w:r>
    </w:p>
    <w:p>
      <w:pPr>
        <w:spacing w:before="120" w:after="120"/>
      </w:pPr>
      <w:r>
        <w:rPr>
          <w:sz w:val="18"/>
        </w:rPr>
        <w:t>——————————————————————————————————————————————————————————————————————</w:t>
      </w:r>
    </w:p>
    <w:p>
      <w:pPr>
        <w:spacing w:before="160" w:after="40" w:line="240" w:lineRule="auto"/>
      </w:pPr>
      <w:r>
        <w:rPr>
          <w:b/>
        </w:rPr>
        <w:t xml:space="preserve">[348] </w:t>
      </w:r>
      <w:hyperlink r:id="rId884">
        <w:r>
          <w:rPr>
            <w:color w:val="1155CC"/>
            <w:u w:val="single"/>
          </w:rPr>
          <w:t>气候变化加剧城市用水负担能力危机</w:t>
        </w:r>
      </w:hyperlink>
    </w:p>
    <w:p>
      <w:pPr>
        <w:spacing w:before="0" w:after="80"/>
      </w:pPr>
      <w:r>
        <w:rPr>
          <w:i/>
          <w:sz w:val="20"/>
        </w:rPr>
        <w:t>EN: Urban water affordability crisis exacerbated by climate change</w:t>
      </w:r>
    </w:p>
    <w:p>
      <w:pPr>
        <w:spacing w:before="0" w:after="120"/>
      </w:pPr>
      <w:r>
        <w:rPr>
          <w:b/>
        </w:rPr>
        <w:t xml:space="preserve">Source: </w:t>
      </w:r>
      <w:r>
        <w:t>Nature Sustainability</w:t>
      </w:r>
      <w:r>
        <w:t xml:space="preserve">    </w:t>
      </w:r>
      <w:r>
        <w:rPr>
          <w:b/>
        </w:rPr>
        <w:t xml:space="preserve">Pub date: </w:t>
      </w:r>
      <w:r>
        <w:t>2026-07-08 00:00:00+00:00</w:t>
      </w:r>
      <w:r>
        <w:t xml:space="preserve">    </w:t>
      </w:r>
      <w:r>
        <w:rPr>
          <w:b/>
        </w:rPr>
        <w:t xml:space="preserve">DOI: </w:t>
      </w:r>
      <w:hyperlink r:id="rId885">
        <w:r>
          <w:rPr>
            <w:color w:val="1155CC"/>
            <w:u w:val="single"/>
          </w:rPr>
          <w:t>10.1038/s41893-026-01890-z</w:t>
        </w:r>
      </w:hyperlink>
    </w:p>
    <w:p>
      <w:pPr>
        <w:spacing w:before="0" w:after="120"/>
      </w:pPr>
      <w:r>
        <w:rPr>
          <w:b/>
        </w:rPr>
        <w:t xml:space="preserve">Notes: </w:t>
      </w:r>
      <w:r>
        <w:t>abstract_source=nature_html</w:t>
      </w:r>
    </w:p>
    <w:p>
      <w:pPr>
        <w:spacing w:before="0" w:after="80" w:lineRule="auto" w:line="276"/>
      </w:pPr>
      <w:r>
        <w:rPr>
          <w:b/>
        </w:rPr>
        <w:t xml:space="preserve">摘要（ZH）: </w:t>
      </w:r>
      <w:r>
        <w:t>气候变化加剧了全球水资源压力，需要昂贵的基础设施干预措施来维持可靠的供应。为了资助基础设施，公用事业公司经常提高费率，增加低收入家庭的水费。由此产生的负担能力影响取决于公用事业成本以及费率设计、融资、气候和家庭需求之间的相互作用。在这里，我们开发了一个城市规模的建模框架，以评估气候变化对水承受能力的影响，整合气候、公用事业适应决策和需求。在加利福尼亚州圣克鲁斯，我们发现，到本世纪中叶，仅气候变化就可能使水费增加一倍，导致圣克鲁斯家庭另外 7-16% 买不起水。我们的研究结果表明，在供应易受气候变化影响的热点地区，气候变化可能会导致比之前估计的更大的水负担能力挑战。这凸显了政策干预和融资的必要性，以确保气候适应不会损害负担能力。与气候相关的负担能力挑战的严重程度取决于当地情况，需要进行城市规模的评估。</w:t>
      </w:r>
    </w:p>
    <w:p>
      <w:pPr>
        <w:spacing w:before="0" w:after="200" w:lineRule="auto" w:line="276"/>
      </w:pPr>
      <w:r>
        <w:rPr>
          <w:b/>
        </w:rPr>
        <w:t xml:space="preserve">Abstract (EN): </w:t>
      </w:r>
      <w:r>
        <w:t>Climate change intensifies water stress globally, necessitating expensive infrastructure interventions to maintain reliable supply. To fund infrastructure, utilities often raise rates, increasing water bills for low-income households. The resulting affordability impacts depend on utility costs and interactions between rate design, financing, climate and household demands. Here we develop a city-scale modelling framework to estimate climate change impacts on water affordability, integrating climate, utility adaptation decisions and demand. In Santa Cruz, California, we find that climate change alone could double water bills by mid-century, leaving an additional 7–16% of Santa Cruz households with unaffordable water. Our results suggest that climate change may lead to greater water affordability challenges than previously estimated in hotspots where supply is vulnerable to climate change. This highlights the need for policy intervention and financing to ensure climate adaptation does not compromise affordability. The magnitude of climate-related affordability challenges depends on local context, requiring city-scale assessments.</w:t>
      </w:r>
    </w:p>
    <w:p>
      <w:pPr>
        <w:spacing w:before="120" w:after="120"/>
      </w:pPr>
      <w:r>
        <w:rPr>
          <w:sz w:val="18"/>
        </w:rPr>
        <w:t>——————————————————————————————————————————————————————————————————————</w:t>
      </w:r>
    </w:p>
    <w:p>
      <w:pPr>
        <w:spacing w:before="160" w:after="40" w:line="240" w:lineRule="auto"/>
      </w:pPr>
      <w:r>
        <w:rPr>
          <w:b/>
        </w:rPr>
        <w:t xml:space="preserve">[349] </w:t>
      </w:r>
      <w:hyperlink r:id="rId886">
        <w:r>
          <w:rPr>
            <w:color w:val="1155CC"/>
            <w:u w:val="single"/>
          </w:rPr>
          <w:t>作者更正：上皮细胞集体主动润湿和流化的机制</w:t>
        </w:r>
      </w:hyperlink>
    </w:p>
    <w:p>
      <w:pPr>
        <w:spacing w:before="0" w:after="80"/>
      </w:pPr>
      <w:r>
        <w:rPr>
          <w:i/>
          <w:sz w:val="20"/>
        </w:rPr>
        <w:t>EN: Author Correction: Mechanisms of active wetting and fluidification in epithelial cell collectives</w:t>
      </w:r>
    </w:p>
    <w:p>
      <w:pPr>
        <w:spacing w:before="0" w:after="120"/>
      </w:pPr>
      <w:r>
        <w:rPr>
          <w:b/>
        </w:rPr>
        <w:t xml:space="preserve">Source: </w:t>
      </w:r>
      <w:r>
        <w:t>Nature Materials</w:t>
      </w:r>
      <w:r>
        <w:t xml:space="preserve">    </w:t>
      </w:r>
      <w:r>
        <w:rPr>
          <w:b/>
        </w:rPr>
        <w:t xml:space="preserve">Pub date: </w:t>
      </w:r>
      <w:r>
        <w:t>2026-07-08 00:00:00+00:00</w:t>
      </w:r>
      <w:r>
        <w:t xml:space="preserve">    </w:t>
      </w:r>
      <w:r>
        <w:rPr>
          <w:b/>
        </w:rPr>
        <w:t xml:space="preserve">DOI: </w:t>
      </w:r>
      <w:hyperlink r:id="rId887">
        <w:r>
          <w:rPr>
            <w:color w:val="1155CC"/>
            <w:u w:val="single"/>
          </w:rPr>
          <w:t>10.1038/s41563-026-02692-6</w:t>
        </w:r>
      </w:hyperlink>
    </w:p>
    <w:p>
      <w:pPr>
        <w:spacing w:before="0" w:after="120"/>
      </w:pPr>
      <w:r>
        <w:rPr>
          <w:b/>
        </w:rPr>
        <w:t xml:space="preserve">Notes: </w:t>
      </w:r>
      <w:r>
        <w:t>abstract_source=openalex</w:t>
      </w:r>
    </w:p>
    <w:p>
      <w:pPr>
        <w:spacing w:before="0" w:after="80" w:lineRule="auto" w:line="276"/>
      </w:pPr>
      <w:r>
        <w:rPr>
          <w:b/>
        </w:rPr>
        <w:t xml:space="preserve">摘要（ZH）: </w:t>
      </w:r>
      <w:r>
        <w:t>在本文最初发表的版本中，Alexander X. Cartagena-Rivera、Fabio Giavazzi 和 Andrea Disanza 并未与 Giorgio Scita 一起被列为通讯作者。该错误已在文章的 HTML 和 PDF 版本中得到纠正。</w:t>
      </w:r>
    </w:p>
    <w:p>
      <w:pPr>
        <w:spacing w:before="0" w:after="200" w:lineRule="auto" w:line="276"/>
      </w:pPr>
      <w:r>
        <w:rPr>
          <w:b/>
        </w:rPr>
        <w:t xml:space="preserve">Abstract (EN): </w:t>
      </w:r>
      <w:r>
        <w:t>In the version of this article initially published, Alexander X. Cartagena-Rivera, Fabio Giavazzi and Andrea Disanza were not listed as corresponding authors along with Giorgio Scita. The error has been corrected in the HTML and PDF versions of the article.</w:t>
      </w:r>
    </w:p>
    <w:p>
      <w:pPr>
        <w:spacing w:before="120" w:after="120"/>
      </w:pPr>
      <w:r>
        <w:rPr>
          <w:sz w:val="18"/>
        </w:rPr>
        <w:t>——————————————————————————————————————————————————————————————————————</w:t>
      </w:r>
    </w:p>
    <w:p>
      <w:pPr>
        <w:spacing w:before="160" w:after="40" w:line="240" w:lineRule="auto"/>
      </w:pPr>
      <w:r>
        <w:rPr>
          <w:b/>
        </w:rPr>
        <w:t xml:space="preserve">[350] </w:t>
      </w:r>
      <w:hyperlink r:id="rId888">
        <w:r>
          <w:rPr>
            <w:color w:val="1155CC"/>
            <w:u w:val="single"/>
          </w:rPr>
          <w:t>高稳定 p 型半导体单层 MoSi2N4 单晶的晶圆级生长</w:t>
        </w:r>
      </w:hyperlink>
    </w:p>
    <w:p>
      <w:pPr>
        <w:spacing w:before="0" w:after="80"/>
      </w:pPr>
      <w:r>
        <w:rPr>
          <w:i/>
          <w:sz w:val="20"/>
        </w:rPr>
        <w:t>EN: Wafer-scale growth of highly stable p-type semiconducting monolayer MoSi2N4 single crystals</w:t>
      </w:r>
    </w:p>
    <w:p>
      <w:pPr>
        <w:spacing w:before="0" w:after="120"/>
      </w:pPr>
      <w:r>
        <w:rPr>
          <w:b/>
        </w:rPr>
        <w:t xml:space="preserve">Source: </w:t>
      </w:r>
      <w:r>
        <w:t>Nature Materials</w:t>
      </w:r>
      <w:r>
        <w:t xml:space="preserve">    </w:t>
      </w:r>
      <w:r>
        <w:rPr>
          <w:b/>
        </w:rPr>
        <w:t xml:space="preserve">Pub date: </w:t>
      </w:r>
      <w:r>
        <w:t>2026-07-08 00:00:00+00:00</w:t>
      </w:r>
      <w:r>
        <w:t xml:space="preserve">    </w:t>
      </w:r>
      <w:r>
        <w:rPr>
          <w:b/>
        </w:rPr>
        <w:t xml:space="preserve">DOI: </w:t>
      </w:r>
      <w:hyperlink r:id="rId889">
        <w:r>
          <w:rPr>
            <w:color w:val="1155CC"/>
            <w:u w:val="single"/>
          </w:rPr>
          <w:t>10.1038/s41563-026-02669-5</w:t>
        </w:r>
      </w:hyperlink>
    </w:p>
    <w:p>
      <w:pPr>
        <w:spacing w:before="0" w:after="120"/>
      </w:pPr>
      <w:r>
        <w:rPr>
          <w:b/>
        </w:rPr>
        <w:t xml:space="preserve">Notes: </w:t>
      </w:r>
      <w:r>
        <w:t>abstract_source=nature_html</w:t>
      </w:r>
    </w:p>
    <w:p>
      <w:pPr>
        <w:spacing w:before="0" w:after="80" w:lineRule="auto" w:line="276"/>
      </w:pPr>
      <w:r>
        <w:rPr>
          <w:b/>
        </w:rPr>
        <w:t xml:space="preserve">摘要（ZH）: </w:t>
      </w:r>
      <w:r>
        <w:t>p 型二维 (2D) 半导体单晶晶圆是下一代电子产品的迫切需求。然而，p型二维半导体仍然稀缺，实现此类材料的晶圆级单层单晶更具挑战性。在这里，我们报道了在具有预存Mo和Si原子的Cu(111)箔上p型半导体单层MoSi2N4单晶的晶圆级生长。 Cu (111) 上的台阶引导单层 MoSi2N4 域的成核和单向取向，使其能够无缝拼接成连续的单晶薄膜。所得的 MoSi2N4 表现出卓越的品质，其固有迁移率为 154 cm2 V−1 s−1。用这种材料制造的场效应晶体管阵列具有出色的电气性能，包括约 3.8 ± 1.4 × 106 的开/关比和高达约 17.96 μA μm−1（1 μm 沟道长度）的通态电流密度，并且与单层 WSe2 同类产品相比具有卓越的稳定性。此外，这种多功能的生长策略还能够制造晶圆级单层 WSi2N4 单晶。这项工作为未来集成电路建立了一个有前景的 p 型二维半导体平台。</w:t>
      </w:r>
    </w:p>
    <w:p>
      <w:pPr>
        <w:spacing w:before="0" w:after="200" w:lineRule="auto" w:line="276"/>
      </w:pPr>
      <w:r>
        <w:rPr>
          <w:b/>
        </w:rPr>
        <w:t xml:space="preserve">Abstract (EN): </w:t>
      </w:r>
      <w:r>
        <w:t>Single-crystal wafers of p-type two-dimensional (2D) semiconductors are highly desired for next-generation electronics. However, p-type 2D semiconductors remain scarce, and achieving wafer-scale monolayer single crystals of such materials is even more challenging. Here we report the wafer-scale growth of p-type semiconducting monolayer MoSi2N4 single crystals on Cu (111) foils with prestored Mo and Si atoms. The steps on Cu (111) guide the nucleation and unidirectional orientation of monolayer MoSi2N4 domains, enabling their seamless stitching into a continuous single-crystal film. The resulting MoSi2N4 exhibits exceptional quality, with an intrinsic mobility of 154 cm2 V−1 s−1. Field-effect transistor arrays fabricated from this material deliver excellent electrical performance, including an on/off ratio of ~3.8 ± 1.4 × 106 and an on-state current density up to ~17.96 μA μm−1 (1 μm channel length), along with superior stability compared with monolayer WSe2-based counterparts. Furthermore, this versatile growth strategy also enables the fabrication of wafer-scale monolayer WSi2N4 single crystals. This work establishes a promising p-type 2D semiconductor platform for future integrated circuits.</w:t>
      </w:r>
    </w:p>
    <w:p>
      <w:pPr>
        <w:spacing w:before="120" w:after="120"/>
      </w:pPr>
      <w:r>
        <w:rPr>
          <w:sz w:val="18"/>
        </w:rPr>
        <w:t>——————————————————————————————————————————————————————————————————————</w:t>
      </w:r>
    </w:p>
    <w:p>
      <w:pPr>
        <w:spacing w:before="160" w:after="40" w:line="240" w:lineRule="auto"/>
      </w:pPr>
      <w:r>
        <w:rPr>
          <w:b/>
        </w:rPr>
        <w:t xml:space="preserve">[351] </w:t>
      </w:r>
      <w:hyperlink r:id="rId890">
        <w:r>
          <w:rPr>
            <w:color w:val="1155CC"/>
            <w:u w:val="single"/>
          </w:rPr>
          <w:t>太空中的核武器？轨道探测器可以嗅出弹头</w:t>
        </w:r>
      </w:hyperlink>
    </w:p>
    <w:p>
      <w:pPr>
        <w:spacing w:before="0" w:after="80"/>
      </w:pPr>
      <w:r>
        <w:rPr>
          <w:i/>
          <w:sz w:val="20"/>
        </w:rPr>
        <w:t>EN: Nukes in space? Orbital detector could sniff out warheads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91">
        <w:r>
          <w:rPr>
            <w:color w:val="1155CC"/>
            <w:u w:val="single"/>
          </w:rPr>
          <w:t>10.1038/d41586-026-02141-z</w:t>
        </w:r>
      </w:hyperlink>
    </w:p>
    <w:p>
      <w:pPr>
        <w:spacing w:before="0" w:after="120"/>
      </w:pPr>
      <w:r>
        <w:rPr>
          <w:b/>
        </w:rPr>
        <w:t xml:space="preserve">Notes: </w:t>
      </w:r>
      <w:r>
        <w:t>abstract_source=nature_html</w:t>
      </w:r>
    </w:p>
    <w:p>
      <w:pPr>
        <w:spacing w:before="0" w:after="80" w:lineRule="auto" w:line="276"/>
      </w:pPr>
      <w:r>
        <w:rPr>
          <w:b/>
        </w:rPr>
        <w:t xml:space="preserve">摘要（ZH）: </w:t>
      </w:r>
      <w:r>
        <w:t>鞋盒大小的探测器卫星可以识别隐藏核装置的泄露信号，此外，还可以识别本土植物知识如何受到威胁。聆听科学界最伟大的故事 | 2026 年 7 月 8 日</w:t>
      </w:r>
    </w:p>
    <w:p>
      <w:pPr>
        <w:spacing w:before="0" w:after="200" w:lineRule="auto" w:line="276"/>
      </w:pPr>
      <w:r>
        <w:rPr>
          <w:b/>
        </w:rPr>
        <w:t xml:space="preserve">Abstract (EN): </w:t>
      </w:r>
      <w:r>
        <w:t>A shoebox-sized detector satellite could identify the telltale signal of a hidden nuclear device — plus, how Indigenous plant knowledge is under threat. Hear the biggest stories from the world of science | 08 July 2026</w:t>
      </w:r>
    </w:p>
    <w:p>
      <w:pPr>
        <w:spacing w:before="120" w:after="120"/>
      </w:pPr>
      <w:r>
        <w:rPr>
          <w:sz w:val="18"/>
        </w:rPr>
        <w:t>——————————————————————————————————————————————————————————————————————</w:t>
      </w:r>
    </w:p>
    <w:p>
      <w:pPr>
        <w:spacing w:before="160" w:after="40" w:line="240" w:lineRule="auto"/>
      </w:pPr>
      <w:r>
        <w:rPr>
          <w:b/>
        </w:rPr>
        <w:t xml:space="preserve">[352] </w:t>
      </w:r>
      <w:hyperlink r:id="rId892">
        <w:r>
          <w:rPr>
            <w:color w:val="1155CC"/>
            <w:u w:val="single"/>
          </w:rPr>
          <w:t>Floquet旋转超辐射观测</w:t>
        </w:r>
      </w:hyperlink>
    </w:p>
    <w:p>
      <w:pPr>
        <w:spacing w:before="0" w:after="80"/>
      </w:pPr>
      <w:r>
        <w:rPr>
          <w:i/>
          <w:sz w:val="20"/>
        </w:rPr>
        <w:t>EN: Observation of Floquet rotational super-radiance</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93">
        <w:r>
          <w:rPr>
            <w:color w:val="1155CC"/>
            <w:u w:val="single"/>
          </w:rPr>
          <w:t>10.1038/s41586-026-10725-y</w:t>
        </w:r>
      </w:hyperlink>
    </w:p>
    <w:p>
      <w:pPr>
        <w:spacing w:before="0" w:after="120"/>
      </w:pPr>
      <w:r>
        <w:rPr>
          <w:b/>
        </w:rPr>
        <w:t xml:space="preserve">Notes: </w:t>
      </w:r>
      <w:r>
        <w:t>abstract_source=nature_html</w:t>
      </w:r>
    </w:p>
    <w:p>
      <w:pPr>
        <w:spacing w:before="0" w:after="80" w:lineRule="auto" w:line="276"/>
      </w:pPr>
      <w:r>
        <w:rPr>
          <w:b/>
        </w:rPr>
        <w:t xml:space="preserve">摘要（ZH）: </w:t>
      </w:r>
      <w:r>
        <w:t>时间驱动系统提供了一个通过时空调制控制波的框架，从而能够在没有机械位移的情况下合成有效运动1,2,3,4,5,6,7。在此框架内，行波调制可以模拟移动介质并产生多普勒引起的非互易性等现象8,9,10。一个相关的效应是从旋转介质中提取能量，理论上预测当波经历足够大的旋转多普勒频移时会发生这种效应11,12,13,14,15,16,17。由于机械旋转系统所需的极端旋转速度，对该状态的实验访问仍然受到限制18,19,20,21。在这里，我们展示了 Floquet 诱导的旋转可以使用纯粹的时空调制来实现这种超快旋转状态。当以有效的超光速旋转时，角动量带隙出现在底层时空晶体的能带结构中。这些间隙主持参数过程，有效地从 Floquet 旋转介质中提取能量，从而在耗散形光谱带宽内对轨道波进行角动量选择性放大。我们在时间调制谐振器的环形网络中通过实验实现了这种效应，在那里我们观察到由时空结构介质中的非厄米和参数动力学介导的旋转超辐射的 Floquet 机制。这些结果证明了一个用于研究时空调制介质中的旋转能量传递和角动量相关波放大的可控平台。</w:t>
      </w:r>
    </w:p>
    <w:p>
      <w:pPr>
        <w:spacing w:before="0" w:after="200" w:lineRule="auto" w:line="276"/>
      </w:pPr>
      <w:r>
        <w:rPr>
          <w:b/>
        </w:rPr>
        <w:t xml:space="preserve">Abstract (EN): </w:t>
      </w:r>
      <w:r>
        <w:t>Time-driven systems provide a framework for controlling waves through spatio-temporal modulation, which enables the synthesis of effective motion without mechanical displacement1,2,3,4,5,6,7. Within this framework, travelling-wave modulations can emulate moving media and give rise to phenomena such as Doppler-induced non-reciprocity8,9,10. A related effect is the extraction of energy from rotating media, which has been theoretically predicted to occur when waves experience sufficiently large rotational Doppler shifts11,12,13,14,15,16,17. Experimental access to this regime has remained limited due to the extreme rotation speeds required in mechanically rotating systems18,19,20,21. Here we show that Floquet-induced rotation enables access to such ultrafast rotational regimes using purely spatio-temporal modulation. When spinning at effective superluminal speeds, angular-momentum bandgaps emerge in the band structure of the underlying space–time crystal. These gaps host parametric processes that efficiently extract energy from the Floquet-rotating medium, resulting in angular-momentum-selective amplification of orbital waves within a dissipation-shaped spectral bandwidth. We realize this effect experimentally in a ring network of time-modulated resonators, where we observe a Floquet regime of rotational super-radiance mediated by non-Hermitian and parametric dynamics in space–time structured media. These results demonstrate a controllable platform for studying rotational energy transfer and angular-momentum-dependent wave amplification in space–time-modulated media.</w:t>
      </w:r>
    </w:p>
    <w:p>
      <w:pPr>
        <w:spacing w:before="120" w:after="120"/>
      </w:pPr>
      <w:r>
        <w:rPr>
          <w:sz w:val="18"/>
        </w:rPr>
        <w:t>——————————————————————————————————————————————————————————————————————</w:t>
      </w:r>
    </w:p>
    <w:p>
      <w:pPr>
        <w:spacing w:before="160" w:after="40" w:line="240" w:lineRule="auto"/>
      </w:pPr>
      <w:r>
        <w:rPr>
          <w:b/>
        </w:rPr>
        <w:t xml:space="preserve">[353] </w:t>
      </w:r>
      <w:hyperlink r:id="rId894">
        <w:r>
          <w:rPr>
            <w:color w:val="1155CC"/>
            <w:u w:val="single"/>
          </w:rPr>
          <w:t>仿人机器人在手术中的体内可行性研究</w:t>
        </w:r>
      </w:hyperlink>
    </w:p>
    <w:p>
      <w:pPr>
        <w:spacing w:before="0" w:after="80"/>
      </w:pPr>
      <w:r>
        <w:rPr>
          <w:i/>
          <w:sz w:val="20"/>
        </w:rPr>
        <w:t>EN: In vivo feasibility study of humanoid robots in surgery</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895">
        <w:r>
          <w:rPr>
            <w:color w:val="1155CC"/>
            <w:u w:val="single"/>
          </w:rPr>
          <w:t>10.1038/s41586-026-10796-x</w:t>
        </w:r>
      </w:hyperlink>
    </w:p>
    <w:p>
      <w:pPr>
        <w:spacing w:before="0" w:after="120"/>
      </w:pPr>
      <w:r>
        <w:rPr>
          <w:b/>
        </w:rPr>
        <w:t xml:space="preserve">Notes: </w:t>
      </w:r>
      <w:r>
        <w:t>abstract_source=nature_html</w:t>
      </w:r>
    </w:p>
    <w:p>
      <w:pPr>
        <w:spacing w:before="0" w:after="80" w:lineRule="auto" w:line="276"/>
      </w:pPr>
      <w:r>
        <w:rPr>
          <w:b/>
        </w:rPr>
        <w:t xml:space="preserve">摘要（ZH）: </w:t>
      </w:r>
      <w:r>
        <w:t>驱动、控制和学习方面的最新进展已迅速将人形机器人从遥远的愿景推向近期的现实世界部署1,2,3,4,5,6,7,8,9,10,11,12,13,14,15,16,17,18。医疗保健是一个特别紧迫的领域，其中人员短缺和不断增长的护理需求正在扩大临床工作量和可用熟练劳动力之间的差距19,20,21。尽管当前的自动化主要集中在数字和后勤任务22，但许多医院工作仍然是具体化的，需要在人为设计的环境中进行移动、操作和安全交互。人形外形具有独特的潜力，特别是在协助手术任务方面。传统上，手术机器人系统是专门构建的平台，例如 Intuitive Surgical 的达芬奇手术系统23,24，目前尚不清楚当前的人形系统在满足微创手术的精度、控制和安全要求方面有多接近。在这里，我们对用于腹腔镜手术任务的当代人形技术进行了系统评估。我们使用通用仪器开发了一种基于人形的腹腔镜远程操作框架，并通过台式表征、跨越不同手术经验水平的干实验室用户研究和体内猪研究来评估其能力。通过这些评估，我们量化了相对于已建立的手术平台的技术可行性、任务绩效和临床准备情况。总之，我们的研究为当前人形动物的能力和手术应用的局限性提供了基于证据的评估</w:t>
      </w:r>
    </w:p>
    <w:p>
      <w:pPr>
        <w:spacing w:before="0" w:after="200" w:lineRule="auto" w:line="276"/>
      </w:pPr>
      <w:r>
        <w:rPr>
          <w:b/>
        </w:rPr>
        <w:t xml:space="preserve">Abstract (EN): </w:t>
      </w:r>
      <w:r>
        <w:t>Recent advances in actuation, control and learning have rapidly pushed humanoid robots from a distant vision towards near-term real-world deployment1,2,3,4,5,6,7,8,9,10,11,12,13,14,15,16,17,18. Healthcare is a particularly pressing domain, in which staffing shortages and increasing care demand are widening the gap between clinical workload and available skilled labour19,20,21. Although current automation has largely focused on digital and logistical tasks22, much hospital work remains embodied, requiring mobility, manipulation and safe interaction in human-designed environments. Humanoid form factors offer unique potential, particularly for assisting with surgical tasks. Traditionally, robotic systems for surgery are purpose-built platforms such as Intuitive Surgical’s da Vinci Surgical System23,24, and it remains unclear how close current humanoid systems are to meeting the precision, control and safety requirements of minimally invasive surgery. Here we present a systematic evaluation of contemporary humanoid technology for laparoscopic surgical tasks. We develop a humanoid-based laparoscopic teleoperation framework using general-purpose instruments and assess its abilities through benchtop characterization, dry-laboratory user studies spanning diverse surgical experience levels and in vivo porcine studies. Across these evaluations, we quantify technical feasibility, task performance and clinical readiness relative to established surgical platforms. Together, our study provides an evidence-based assessment of current humanoid abilities and limitations for surgical applications, highlighting both their promise and key technical challenges that must be addressed before clinical deployment.</w:t>
      </w:r>
    </w:p>
    <w:p>
      <w:pPr>
        <w:spacing w:before="120" w:after="120"/>
      </w:pPr>
      <w:r>
        <w:rPr>
          <w:sz w:val="18"/>
        </w:rPr>
        <w:t>——————————————————————————————————————————————————————————————————————</w:t>
      </w:r>
    </w:p>
    <w:p>
      <w:pPr>
        <w:spacing w:before="160" w:after="40" w:line="240" w:lineRule="auto"/>
      </w:pPr>
      <w:r>
        <w:rPr>
          <w:b/>
        </w:rPr>
        <w:t xml:space="preserve">[354] </w:t>
      </w:r>
      <w:hyperlink r:id="rId896">
        <w:r>
          <w:rPr>
            <w:color w:val="1155CC"/>
            <w:u w:val="single"/>
          </w:rPr>
          <w:t>频率感知孤岛约束下多微电网配电系统非迭代协调优化调度</w:t>
        </w:r>
      </w:hyperlink>
    </w:p>
    <w:p>
      <w:pPr>
        <w:spacing w:before="0" w:after="80"/>
      </w:pPr>
      <w:r>
        <w:rPr>
          <w:i/>
          <w:sz w:val="20"/>
        </w:rPr>
        <w:t>EN: Non-iterative coordinated optimal scheduling for multi-microgrid distribution system under frequency-aware islanding constraints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[355] </w:t>
      </w:r>
      <w:hyperlink r:id="rId897">
        <w:r>
          <w:rPr>
            <w:color w:val="1155CC"/>
            <w:u w:val="single"/>
          </w:rPr>
          <w:t>考虑需求响应不确定性的工业消费者数据驱动的随机动态零售电价</w:t>
        </w:r>
      </w:hyperlink>
    </w:p>
    <w:p>
      <w:pPr>
        <w:spacing w:before="0" w:after="80"/>
      </w:pPr>
      <w:r>
        <w:rPr>
          <w:i/>
          <w:sz w:val="20"/>
        </w:rPr>
        <w:t>EN: A data-driven stochastic dynamic retail electricity pricing of an industrial consumer considering demand response uncertainty</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[356] </w:t>
      </w:r>
      <w:hyperlink r:id="rId898">
        <w:r>
          <w:rPr>
            <w:color w:val="1155CC"/>
            <w:u w:val="single"/>
          </w:rPr>
          <w:t>铜介导的无保护糖基磺酰肼的自由基转化以获得多种糖苷</w:t>
        </w:r>
      </w:hyperlink>
    </w:p>
    <w:p>
      <w:pPr>
        <w:spacing w:before="0" w:after="80"/>
      </w:pPr>
      <w:r>
        <w:rPr>
          <w:i/>
          <w:sz w:val="20"/>
        </w:rPr>
        <w:t>EN: Copper-Mediated Radical Transformation of Protection-Free Glycosylsulfonohydrazide for Access to Diverse Glycosides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899">
        <w:r>
          <w:rPr>
            <w:color w:val="1155CC"/>
            <w:u w:val="single"/>
          </w:rPr>
          <w:t>10.1021/jacs.6c08818</w:t>
        </w:r>
      </w:hyperlink>
    </w:p>
    <w:p>
      <w:pPr>
        <w:spacing w:before="0" w:after="120"/>
      </w:pPr>
      <w:r>
        <w:rPr>
          <w:b/>
        </w:rPr>
        <w:t xml:space="preserve">Notes: </w:t>
      </w:r>
      <w:r>
        <w:t>abstract_source=pubmed</w:t>
      </w:r>
    </w:p>
    <w:p>
      <w:pPr>
        <w:spacing w:before="0" w:after="80" w:lineRule="auto" w:line="276"/>
      </w:pPr>
      <w:r>
        <w:rPr>
          <w:b/>
        </w:rPr>
        <w:t xml:space="preserve">摘要（ZH）: </w:t>
      </w:r>
      <w:r>
        <w:t>无保护基糖苷作为许多治疗剂的基本支架，由于立体控制的困难和对多步保护-脱保护序列的依赖，提出了重大的合成挑战。在此，我们报告了一种统一而简洁的策略，能够高度立体选择性合成多种无保护基的糖苷（包括具有多个立体中心的烯基C-糖苷、烷基C-糖苷、芳基硫糖苷和芳基硒糖苷），这些糖苷以前很难从未受保护的糖基供体中获得。该过程涉及在铜/配体/碱介导下从容易获得的糖基磺酰肼生成糖基自由基，然后以高立体选择性加成到各种自由基或不饱和键上。值得注意的是，含氮配体是实现高度立体选择性的烯基糖苷和烷基硫代糖苷的关键。这种方法的实用性通过抗炎药物的简明合成得到了证明，突显了其加速基于糖苷的疗法开发的潜力。</w:t>
      </w:r>
    </w:p>
    <w:p>
      <w:pPr>
        <w:spacing w:before="0" w:after="200" w:lineRule="auto" w:line="276"/>
      </w:pPr>
      <w:r>
        <w:rPr>
          <w:b/>
        </w:rPr>
        <w:t xml:space="preserve">Abstract (EN): </w:t>
      </w:r>
      <w:r>
        <w:t>Protecting-group-free glycosides, which serve as fundamental scaffolds for numerous therapeutic agents, present significant synthetic challenges due to the difficulties in stereocontrol and the reliance on multistep protection-deprotection sequences. Herein, we report a unified and concise strategy that enables the highly stereoselective synthesis of diverse protecting-group-free glycosides─including alkenyl C-glycosides with multiple stereocenters, alkyl C-glycosides, aryl thioglycosides, and aryl selenoglycosides─that were previously difficult to access from unprotected glycosyl donors. The process involves generating glycosyl radicals from readily accessible glycosylsulfonohydrazides under copper/ligand/base mediation, which then undergo addition to various radicals or unsaturated bonds with high stereoselectivity. Notably, nitrogen-containing ligands are key to achieving highly stereoselective alkenyl glycosides and alkyl thioglycosides. The utility of this approach is demonstrated by the concise synthesis of an anti-inflammatory drug, highlighting its potential to accelerate the development of glycoside-based therapeutics.</w:t>
      </w:r>
    </w:p>
    <w:p>
      <w:pPr>
        <w:spacing w:before="120" w:after="120"/>
      </w:pPr>
      <w:r>
        <w:rPr>
          <w:sz w:val="18"/>
        </w:rPr>
        <w:t>——————————————————————————————————————————————————————————————————————</w:t>
      </w:r>
    </w:p>
    <w:p>
      <w:pPr>
        <w:spacing w:before="160" w:after="40" w:line="240" w:lineRule="auto"/>
      </w:pPr>
      <w:r>
        <w:rPr>
          <w:b/>
        </w:rPr>
        <w:t xml:space="preserve">[357] </w:t>
      </w:r>
      <w:hyperlink r:id="rId900">
        <w:r>
          <w:rPr>
            <w:color w:val="1155CC"/>
            <w:u w:val="single"/>
          </w:rPr>
          <w:t>谷黄苷 A–E 的不同不对称合成</w:t>
        </w:r>
      </w:hyperlink>
    </w:p>
    <w:p>
      <w:pPr>
        <w:spacing w:before="0" w:after="80"/>
      </w:pPr>
      <w:r>
        <w:rPr>
          <w:i/>
          <w:sz w:val="20"/>
        </w:rPr>
        <w:t>EN: Divergent Asymmetric Synthesis of Glutinosasins A–E</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01">
        <w:r>
          <w:rPr>
            <w:color w:val="1155CC"/>
            <w:u w:val="single"/>
          </w:rPr>
          <w:t>10.1021/jacs.6c09478</w:t>
        </w:r>
      </w:hyperlink>
    </w:p>
    <w:p>
      <w:pPr>
        <w:spacing w:before="0" w:after="120"/>
      </w:pPr>
      <w:r>
        <w:rPr>
          <w:b/>
        </w:rPr>
        <w:t xml:space="preserve">Notes: </w:t>
      </w:r>
      <w:r>
        <w:t>abstract_source=pubmed</w:t>
      </w:r>
    </w:p>
    <w:p>
      <w:pPr>
        <w:spacing w:before="0" w:after="80" w:lineRule="auto" w:line="276"/>
      </w:pPr>
      <w:r>
        <w:rPr>
          <w:b/>
        </w:rPr>
        <w:t xml:space="preserve">摘要（ZH）: </w:t>
      </w:r>
      <w:r>
        <w:t>我们报告了麦黄素 A-E 的不同不对称合成。谷黄苷 A-D 代表了对映贝壳杉烷二萜的一个新亚家族，其特征在于其前所未有的 8,14-对映贝壳杉烷支架。该合成依赖于几个关键步骤：(a) Baran 还原性烯烃偶联，建立含有 C10 四元中心的反式十氢化萘骨架； (b)路易斯酸介导的脱保护/逆克莱森缩合级联以构建8,14-seco-ent-贝壳杉烷支架。我们开发了一种立体发散策略来构建十氢萘框架，其中 C7-sp3 底物提供反式十氢萘结构，而 C7-sp2 底物提供顺式十氢萘构型。这种方法可以扩展到含有顺式或反式十氢化萘基序的相关天然产物的合成。</w:t>
      </w:r>
    </w:p>
    <w:p>
      <w:pPr>
        <w:spacing w:before="0" w:after="200" w:lineRule="auto" w:line="276"/>
      </w:pPr>
      <w:r>
        <w:rPr>
          <w:b/>
        </w:rPr>
        <w:t xml:space="preserve">Abstract (EN): </w:t>
      </w:r>
      <w:r>
        <w:t>We report a divergent asymmetric synthesis of glutinosasins A-E. Glutinosasins A-D represent a novel subfamily of ent-kaurane diterpenoids characterized by their unprecedented 8,14-seco-ent-kaurane scaffold. The synthesis relies on several key steps: (a) a Baran reductive olefin coupling to establish a trans-decalin framework containing a C10 quaternary center; and (b) a Lewis acid-mediated deprotection/retro-Claisen condensation cascade to construct the 8,14-seco-ent-kaurane scaffold. We have developed a stereodivergent strategy for constructing decalin frameworks, where a C7-sp3 substrate delivers a trans-decalin structure, while a C7-sp2 substrate provides a cis-decalin configuration. This approach can be extended to the synthesis of related natural products containing either cis- or trans-decalin motifs.</w:t>
      </w:r>
    </w:p>
    <w:p>
      <w:pPr>
        <w:spacing w:before="120" w:after="120"/>
      </w:pPr>
      <w:r>
        <w:rPr>
          <w:sz w:val="18"/>
        </w:rPr>
        <w:t>——————————————————————————————————————————————————————————————————————</w:t>
      </w:r>
    </w:p>
    <w:p>
      <w:pPr>
        <w:spacing w:before="160" w:after="40" w:line="240" w:lineRule="auto"/>
      </w:pPr>
      <w:r>
        <w:rPr>
          <w:b/>
        </w:rPr>
        <w:t xml:space="preserve">[358] </w:t>
      </w:r>
      <w:hyperlink r:id="rId902">
        <w:r>
          <w:rPr>
            <w:color w:val="1155CC"/>
            <w:u w:val="single"/>
          </w:rPr>
          <w:t>模块化 PMDA 连接器可实现未受保护肽的赖氨酸选择性环化和自动大环化合物组装</w:t>
        </w:r>
      </w:hyperlink>
    </w:p>
    <w:p>
      <w:pPr>
        <w:spacing w:before="0" w:after="80"/>
      </w:pPr>
      <w:r>
        <w:rPr>
          <w:i/>
          <w:sz w:val="20"/>
        </w:rPr>
        <w:t>EN: A Modular PMDA Linker Enables Lysine-Selective Cyclization of Unprotected Peptides and Automated Macrocycle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03">
        <w:r>
          <w:rPr>
            <w:color w:val="1155CC"/>
            <w:u w:val="single"/>
          </w:rPr>
          <w:t>10.1021/jacs.6c09909</w:t>
        </w:r>
      </w:hyperlink>
    </w:p>
    <w:p>
      <w:pPr>
        <w:spacing w:before="0" w:after="120"/>
      </w:pPr>
      <w:r>
        <w:rPr>
          <w:b/>
        </w:rPr>
        <w:t xml:space="preserve">Notes: </w:t>
      </w:r>
      <w:r>
        <w:t>abstract_source=pubmed</w:t>
      </w:r>
    </w:p>
    <w:p>
      <w:pPr>
        <w:spacing w:before="0" w:after="80" w:lineRule="auto" w:line="276"/>
      </w:pPr>
      <w:r>
        <w:rPr>
          <w:b/>
        </w:rPr>
        <w:t xml:space="preserve">摘要（ZH）: </w:t>
      </w:r>
      <w:r>
        <w:t>大环肽装订是增强构象稳定性和功能性能的强大策略，但现有方法常常受到化学选择性有限、模块化受限或与自动化合成兼容性差的困扰。在这里，我们报道了一种基于均苯四酸二酐（PMDA）的Lys-Lys装订平台，该平台能够在温和条件下对完全未受保护的肽进行高度化学选择性的分子内双酰胺化。与传统的双功能连接体不同，PMDA 作为四功能支架，在安装两个羧酸酯手柄以实现下游多样化的同时诱导有效的大环化。该反应对赖氨酸 ε-胺表现出卓越的选择性，可耐受所有其他亲核侧链，包括半胱氨酸，涵盖广泛的肽序列和接头间距。所得大环支持逐步双环化以及与核酸、小分子药物和亲和标签的模块化后环化缀合。抗菌肽的应用表明增强的构象约束和显着改善的蛋白水解稳定性。重要的是，该化学本质上与固相肽合成和完全集成的端到端自动化工作流程兼容，无需修改硬件。这种 PMDA 介导的装订策略建立了一个多功能、自动化就绪的连接器平台，用于大环肽的快速组装和功能多样化。</w:t>
      </w:r>
    </w:p>
    <w:p>
      <w:pPr>
        <w:spacing w:before="0" w:after="200" w:lineRule="auto" w:line="276"/>
      </w:pPr>
      <w:r>
        <w:rPr>
          <w:b/>
        </w:rPr>
        <w:t xml:space="preserve">Abstract (EN): </w:t>
      </w:r>
      <w:r>
        <w:t>Macrocyclic peptide stapling is a powerful strategy to enhance conformational stability and functional performance, yet existing approaches often suffer from limited chemoselectivity, constrained modularity, or poor compatibility with automated synthesis. Here we report a pyromellitic dianhydride (PMDA)-based Lys-Lys stapling platform that enables highly chemoselective intramolecular bis-amidation of fully unprotected peptides under mild conditions. Distinct from conventional bifunctional linkers, PMDA operates as a tetrafunctional scaffold, simultaneously inducing efficient macrocyclization while installing two carboxylate handles for downstream diversification. The reaction exhibits exceptional selectivity for lysine ε-amines, tolerating all other nucleophilic side chains, including cysteine, across a broad range of peptide sequences and linker spacings. The resulting macrocycles support stepwise bicyclization and modular postcyclization conjugation with nucleic acids, small-molecule drugs, and affinity tags. Application to antimicrobial peptides demonstrates enhanced conformational constraint and markedly improved proteolytic stability. Importantly, the chemistry is intrinsically compatible with solid-phase peptide synthesis and fully integrated, end-to-end automated workflows without hardware modification. This PMDA-mediated stapling strategy establishes a versatile, automation-ready linker platform for rapid assembly and functional diversification of macrocyclic peptides.</w:t>
      </w:r>
    </w:p>
    <w:p>
      <w:pPr>
        <w:spacing w:before="120" w:after="120"/>
      </w:pPr>
      <w:r>
        <w:rPr>
          <w:sz w:val="18"/>
        </w:rPr>
        <w:t>——————————————————————————————————————————————————————————————————————</w:t>
      </w:r>
    </w:p>
    <w:p>
      <w:pPr>
        <w:spacing w:before="160" w:after="40" w:line="240" w:lineRule="auto"/>
      </w:pPr>
      <w:r>
        <w:rPr>
          <w:b/>
        </w:rPr>
        <w:t xml:space="preserve">[359] </w:t>
      </w:r>
      <w:hyperlink r:id="rId904">
        <w:r>
          <w:rPr>
            <w:color w:val="1155CC"/>
            <w:u w:val="single"/>
          </w:rPr>
          <w:t>支持不公平社区的公平能源转型：加拿大新斯科舍省的海上风电</w:t>
        </w:r>
      </w:hyperlink>
    </w:p>
    <w:p>
      <w:pPr>
        <w:spacing w:before="0" w:after="80"/>
      </w:pPr>
      <w:r>
        <w:rPr>
          <w:i/>
          <w:sz w:val="20"/>
        </w:rPr>
        <w:t>EN: Supporting equitable energy transitions in inequitable communities: Offshore wind in Nova Scotia, Canada</w:t>
      </w:r>
    </w:p>
    <w:p>
      <w:pPr>
        <w:spacing w:before="0" w:after="120"/>
      </w:pPr>
      <w:r>
        <w:rPr>
          <w:b/>
        </w:rPr>
        <w:t xml:space="preserve">Source: </w:t>
      </w:r>
      <w:r>
        <w:t>ScienceDirect Publication: Energy Policy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[360] </w:t>
      </w:r>
      <w:hyperlink r:id="rId905">
        <w:r>
          <w:rPr>
            <w:color w:val="1155CC"/>
            <w:u w:val="single"/>
          </w:rPr>
          <w:t>一氧化硫-水复合物</w:t>
        </w:r>
      </w:hyperlink>
    </w:p>
    <w:p>
      <w:pPr>
        <w:spacing w:before="0" w:after="80"/>
      </w:pPr>
      <w:r>
        <w:rPr>
          <w:i/>
          <w:sz w:val="20"/>
        </w:rPr>
        <w:t>EN: The Sulfur Monoxide–Water Complex</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06">
        <w:r>
          <w:rPr>
            <w:color w:val="1155CC"/>
            <w:u w:val="single"/>
          </w:rPr>
          <w:t>10.1021/jacs.6c08436</w:t>
        </w:r>
      </w:hyperlink>
    </w:p>
    <w:p>
      <w:pPr>
        <w:spacing w:before="0" w:after="120"/>
      </w:pPr>
      <w:r>
        <w:rPr>
          <w:b/>
        </w:rPr>
        <w:t xml:space="preserve">Notes: </w:t>
      </w:r>
      <w:r>
        <w:t>abstract_source=pubmed</w:t>
      </w:r>
    </w:p>
    <w:p>
      <w:pPr>
        <w:spacing w:before="0" w:after="80" w:lineRule="auto" w:line="276"/>
      </w:pPr>
      <w:r>
        <w:rPr>
          <w:b/>
        </w:rPr>
        <w:t xml:space="preserve">摘要（ZH）: </w:t>
      </w:r>
      <w:r>
        <w:t>迄今为止实验上未报道的硫族键合一氧化硫-水络合物（OS·OH2）是大气中的关键中间体，在星际 SO 化学中更是如此，它是通过在 3.5 K 的氩基质中原位生成的亚稳态次硫酸（HOSOH）在 254 nm 光解中生成的。该酸是通过叔丁基亚磺酸的闪蒸真空热解在气相中制备的。 (t-BuS(O)OH) 在 600 °C。 HOSOH和OS·OH2复合物的表征是通过基质分离红外和紫外/可见光谱以及2H同位素标记实验来完成的。焦点计算表明，具有硫属键合的三重态一氧化硫-水络合物（OS·OH2）的能量比单重态次硫酸（HOSOH）高8.1 kcal mol-1，并且比三重态氢键络合物（SO·H2O）稳定0.4 kcal mol-1，但仅在包含零点振动能量校正之后。</w:t>
      </w:r>
    </w:p>
    <w:p>
      <w:pPr>
        <w:spacing w:before="0" w:after="200" w:lineRule="auto" w:line="276"/>
      </w:pPr>
      <w:r>
        <w:rPr>
          <w:b/>
        </w:rPr>
        <w:t xml:space="preserve">Abstract (EN): </w:t>
      </w:r>
      <w:r>
        <w:t>The hitherto experimentally unreported chalcogen-bonded sulfur monoxide-water complex (OS···OH2), a key intermediate in atmospheric but even more so in interstellar SO chemistry, was generated through 254 nm photolysis of in situ generated metastable sulfoxylic acid (HOSOH) in argon matrices at 3.5 K. The acid was prepared in the gas phase through flash vacuum pyrolysis of tert-butylsulfinic acid (t-BuS(O)OH) at 600 °C. The characterization of HOSOH and the OS···OH2 complex was accomplished by means of matrix isolation IR and UV/vis spectroscopy and 2H-isotope labeling experiments. Focal point computations indicate the triplet sulfur monoxide-water complex with chalcogen bonding (OS···OH2) is 8.1 kcal mol-1 higher in energy than singlet sulfoxylic acid (HOSOH) and more stable than the triplet hydrogen bonding complex (SO···H2O) by 0.4 kcal mol-1 but only after inclusion of the zero-point vibrational energy correction.</w:t>
      </w:r>
    </w:p>
    <w:p>
      <w:pPr>
        <w:spacing w:before="120" w:after="120"/>
      </w:pPr>
      <w:r>
        <w:rPr>
          <w:sz w:val="18"/>
        </w:rPr>
        <w:t>——————————————————————————————————————————————————————————————————————</w:t>
      </w:r>
    </w:p>
    <w:p>
      <w:pPr>
        <w:spacing w:before="160" w:after="40" w:line="240" w:lineRule="auto"/>
      </w:pPr>
      <w:r>
        <w:rPr>
          <w:b/>
        </w:rPr>
        <w:t xml:space="preserve">[361] </w:t>
      </w:r>
      <w:hyperlink r:id="rId907">
        <w:r>
          <w:rPr>
            <w:color w:val="1155CC"/>
            <w:u w:val="single"/>
          </w:rPr>
          <w:t>使用计量功率数据进行多设施分析，以量化跨扫描仪操作模式的 MRI 能源使用和公用事业账单成本</w:t>
        </w:r>
      </w:hyperlink>
    </w:p>
    <w:p>
      <w:pPr>
        <w:spacing w:before="0" w:after="80"/>
      </w:pPr>
      <w:r>
        <w:rPr>
          <w:i/>
          <w:sz w:val="20"/>
        </w:rPr>
        <w:t>EN: Multi-facility analysis using metered power data to quantify MRI energy use and utility bill costs across scanner operating modes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908">
        <w:r>
          <w:rPr>
            <w:color w:val="1155CC"/>
            <w:u w:val="single"/>
          </w:rPr>
          <w:t>协调能源转型中的能量平衡和灵活性平衡的阶段自适应优化框架</w:t>
        </w:r>
      </w:hyperlink>
    </w:p>
    <w:p>
      <w:pPr>
        <w:spacing w:before="0" w:after="80"/>
      </w:pPr>
      <w:r>
        <w:rPr>
          <w:i/>
          <w:sz w:val="20"/>
        </w:rPr>
        <w:t>EN: A stage-adaptive optimization framework for reconciling energy balance and flexibility balance in the energy transition</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909">
        <w:r>
          <w:rPr>
            <w:color w:val="1155CC"/>
            <w:u w:val="single"/>
          </w:rPr>
          <w:t>伊朗的能源悖论：制裁、外部冲突和治理陷阱</w:t>
        </w:r>
      </w:hyperlink>
    </w:p>
    <w:p>
      <w:pPr>
        <w:spacing w:before="0" w:after="80"/>
      </w:pPr>
      <w:r>
        <w:rPr>
          <w:i/>
          <w:sz w:val="20"/>
        </w:rPr>
        <w:t>EN: Iran's energy paradox: sanctions, external conflicts, and the governance trap</w:t>
      </w:r>
    </w:p>
    <w:p>
      <w:pPr>
        <w:spacing w:before="0" w:after="120"/>
      </w:pPr>
      <w:r>
        <w:rPr>
          <w:b/>
        </w:rPr>
        <w:t xml:space="preserve">Source: </w:t>
      </w:r>
      <w:r>
        <w:t>ScienceDirect Publication: Energy Policy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910">
        <w:r>
          <w:rPr>
            <w:color w:val="1155CC"/>
            <w:u w:val="single"/>
          </w:rPr>
          <w:t>应变环烷烃与自由基和双自由基的反应：双自由基特征和应变释放的作用</w:t>
        </w:r>
      </w:hyperlink>
    </w:p>
    <w:p>
      <w:pPr>
        <w:spacing w:before="0" w:after="80"/>
      </w:pPr>
      <w:r>
        <w:rPr>
          <w:i/>
          <w:sz w:val="20"/>
        </w:rPr>
        <w:t>EN: Reactions of Strained Cycloalkanes with Radicals and Diradicaloids: The Roles of Diradical Character and Strain Release</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11">
        <w:r>
          <w:rPr>
            <w:color w:val="1155CC"/>
            <w:u w:val="single"/>
          </w:rPr>
          <w:t>10.1021/jacs.6c10706</w:t>
        </w:r>
      </w:hyperlink>
    </w:p>
    <w:p>
      <w:pPr>
        <w:spacing w:before="0" w:after="120"/>
      </w:pPr>
      <w:r>
        <w:rPr>
          <w:b/>
        </w:rPr>
        <w:t xml:space="preserve">Notes: </w:t>
      </w:r>
      <w:r>
        <w:t>abstract_source=pubmed</w:t>
      </w:r>
    </w:p>
    <w:p>
      <w:pPr>
        <w:spacing w:before="0" w:after="80" w:lineRule="auto" w:line="276"/>
      </w:pPr>
      <w:r>
        <w:rPr>
          <w:b/>
        </w:rPr>
        <w:t xml:space="preserve">摘要（ZH）: </w:t>
      </w:r>
      <w:r>
        <w:t>应变环烷烃的开环反应是构建复杂有机分子的有力方法。通过贝尔-埃文斯-波兰尼 (BEP) 关系量化的应变释放会导致速率加速，但含环丙烷的分子的反应性甚至比 BEP 预测的还要高。我们报告了 12 种紧张环烷烃和乙烷与甲基自由基和六种不饱和双自由基反应的计算探索。应变环烷烃与 Sterling 等人早期在与甲基自由基的反应中研究的相同。我们发现，除了应变释放之外，烷烃断裂σ键的双自由基特征是加速开环反应的关键因素。双自由基特征由 y0 量化，y0 是分子 CASSCF 计算中 σ* 轨道的占据数。对于所有这些反应，过渡态都有一个阈值 σ* 占据。具有高基态双自由基特征的分子在几乎没有几何畸变的情况下达到该阈值，从而导致较早的过渡态和较低的活化势垒。该模型证明了内在反应性因素（例如双自由基特征、键序和 Sterling 等）的重要性。除了热力学应变释放因素之外，还有离域作用。在这些概念中，双自由基特征直接揭示了为什么应变 σ 键需要较小的几何畸变才能达到过渡态几何形状，从而导致较低的活化势垒。</w:t>
      </w:r>
    </w:p>
    <w:p>
      <w:pPr>
        <w:spacing w:before="0" w:after="200" w:lineRule="auto" w:line="276"/>
      </w:pPr>
      <w:r>
        <w:rPr>
          <w:b/>
        </w:rPr>
        <w:t xml:space="preserve">Abstract (EN): </w:t>
      </w:r>
      <w:r>
        <w:t>Ring-opening reactions of strained cyclic alkanes are powerful methods to construct complex organic molecules. Strain release, quantified by the Bell-Evans-Polanyi (BEP) relationship, leads to rate acceleration, but cyclopropane-containing molecules are even more reactive than predicted from BEP. We report a computational exploration of reactions of 12 strained cycloalkanes and ethane with methyl radical and six unsaturated diradicaloids. The strained cycloalkanes are the same that were studied earlier in reactions with the methyl radical by Sterling et al. We have found that the diradical character of the breaking σ bond of the alkane is a key factor, in addition to strain release, that accelerates ring-opening reactions. Diradical character is quantified by y0, the occupation number of the σ* orbital from CASSCF calculations of the molecule. For all of these reactions, there is a threshold σ* occupation at the transition state. Molecules with high ground-state diradical character reach this threshold with little geometric distortion, leading to earlier transition states and lower activation barriers. This model demonstrates the importance of intrinsic reactivity factors such as diradical character, bond order, and the Sterling et al. delocalization in addition to thermodynamic strain-release factors. Among these concepts, diradical character directly reveals why strained σ bonds require less geometric distortion to reach transition state geometries, resulting in lower activation barriers.</w:t>
      </w:r>
    </w:p>
    <w:p>
      <w:pPr>
        <w:spacing w:before="120" w:after="120"/>
      </w:pPr>
      <w:r>
        <w:rPr>
          <w:sz w:val="18"/>
        </w:rPr>
        <w:t>——————————————————————————————————————————————————————————————————————</w:t>
      </w:r>
    </w:p>
    <w:p>
      <w:pPr>
        <w:spacing w:before="160" w:after="40" w:line="240" w:lineRule="auto"/>
      </w:pPr>
      <w:r>
        <w:rPr>
          <w:b/>
        </w:rPr>
        <w:t xml:space="preserve">[365] </w:t>
      </w:r>
      <w:hyperlink r:id="rId912">
        <w:r>
          <w:rPr>
            <w:color w:val="1155CC"/>
            <w:u w:val="single"/>
          </w:rPr>
          <w:t>位点特异性氢-氘交换质谱法深入探索蛋白质-药物相互作用的动态变化</w:t>
        </w:r>
      </w:hyperlink>
    </w:p>
    <w:p>
      <w:pPr>
        <w:spacing w:before="0" w:after="80"/>
      </w:pPr>
      <w:r>
        <w:rPr>
          <w:i/>
          <w:sz w:val="20"/>
        </w:rPr>
        <w:t>EN: Site-Specific Hydrogen–Deuterium Exchange Mass Spectrometry for Deep Explorations of Dynamic Shifts in Protein–Drug Interactions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13">
        <w:r>
          <w:rPr>
            <w:color w:val="1155CC"/>
            <w:u w:val="single"/>
          </w:rPr>
          <w:t>10.1021/jacs.6c03259</w:t>
        </w:r>
      </w:hyperlink>
    </w:p>
    <w:p>
      <w:pPr>
        <w:spacing w:before="0" w:after="120"/>
      </w:pPr>
      <w:r>
        <w:rPr>
          <w:b/>
        </w:rPr>
        <w:t xml:space="preserve">Notes: </w:t>
      </w:r>
      <w:r>
        <w:t>abstract_source=pubmed</w:t>
      </w:r>
    </w:p>
    <w:p>
      <w:pPr>
        <w:spacing w:before="0" w:after="80" w:lineRule="auto" w:line="276"/>
      </w:pPr>
      <w:r>
        <w:rPr>
          <w:b/>
        </w:rPr>
        <w:t xml:space="preserve">摘要（ZH）: </w:t>
      </w:r>
      <w:r>
        <w:t>氢-氘交换质谱 (HDX-MS) 是一种动力学敏感的结构方法，由于其能够快速识别结合位点并为候选药物提供分子作用机制，因此已在生物制药行业中迅速得到广泛采用。然而，传统 HDX-MS 的一个主要限制是它的空间分辨率比其他结构技术低得多，通常提供五个或更多氨基酸“片段”的平均信息。在这里，我们展示了一种灵敏、广泛适用的单氨基酸分辨率方法，即位点特异性 HDX-MS 测量。使用一组针对高度可药物化的癌症靶点 WDR5 的五种治疗候选药物，我们探索了位点特异性带来的极大增强的分析能力，包括结合模式表征、亲和力排序以及传统肽级 HDX-MS 实验中“沉默”特征的检测。</w:t>
      </w:r>
    </w:p>
    <w:p>
      <w:pPr>
        <w:spacing w:before="0" w:after="200" w:lineRule="auto" w:line="276"/>
      </w:pPr>
      <w:r>
        <w:rPr>
          <w:b/>
        </w:rPr>
        <w:t xml:space="preserve">Abstract (EN): </w:t>
      </w:r>
      <w:r>
        <w:t>Hydrogen-Deuterium eXchange Mass Spectrometry (HDX-MS) is a dynamics-sensitive structural method that has rapidly achieved widespread adoption in the biopharmaceuticals industry, owing to its ability to quickly identify binding sites and to provide a molecular mechanism of action for drug candidates. However, a central limitation of conventional HDX-MS is that it has substantially lower spatial resolution than other structural techniques, typically providing information averaged over "segments" of five amino acids or more. Here, we demonstrate a sensitive, broadly applicable method for single amino acid resolution, i.e., site-specific HDX-MS measurements. Using a set of five therapeutic candidates targeting the highly druggable cancer target WDR5, we explore the greatly enhanced analytical power that arises from site specificity, including binding mode characterization, affinity ranking, and the detection of features that are "silent" in conventional peptide-level HDX-MS experiments.</w:t>
      </w:r>
    </w:p>
    <w:p>
      <w:pPr>
        <w:spacing w:before="120" w:after="120"/>
      </w:pPr>
      <w:r>
        <w:rPr>
          <w:sz w:val="18"/>
        </w:rPr>
        <w:t>——————————————————————————————————————————————————————————————————————</w:t>
      </w:r>
    </w:p>
    <w:p>
      <w:pPr>
        <w:spacing w:before="160" w:after="40" w:line="240" w:lineRule="auto"/>
      </w:pPr>
      <w:r>
        <w:rPr>
          <w:b/>
        </w:rPr>
        <w:t xml:space="preserve">[366] </w:t>
      </w:r>
      <w:hyperlink r:id="rId914">
        <w:r>
          <w:rPr>
            <w:color w:val="1155CC"/>
            <w:u w:val="single"/>
          </w:rPr>
          <w:t>羰基胺化 Suzuki-Miyaura 偶联：Pd 催化乙烯基/芳基卤化物和硼酸合成酰胺</w:t>
        </w:r>
      </w:hyperlink>
    </w:p>
    <w:p>
      <w:pPr>
        <w:spacing w:before="0" w:after="80"/>
      </w:pPr>
      <w:r>
        <w:rPr>
          <w:i/>
          <w:sz w:val="20"/>
        </w:rPr>
        <w:t>EN: Carbonylative Aminative Suzuki–Miyaura Coupling: Pd-Catalyzed Synthesis of Amides from Vinyl/Aryl Halides and Boronic Acids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15">
        <w:r>
          <w:rPr>
            <w:color w:val="1155CC"/>
            <w:u w:val="single"/>
          </w:rPr>
          <w:t>10.1021/jacs.6c06565</w:t>
        </w:r>
      </w:hyperlink>
    </w:p>
    <w:p>
      <w:pPr>
        <w:spacing w:before="0" w:after="120"/>
      </w:pPr>
      <w:r>
        <w:rPr>
          <w:b/>
        </w:rPr>
        <w:t xml:space="preserve">Notes: </w:t>
      </w:r>
      <w:r>
        <w:t>abstract_source=pubmed</w:t>
      </w:r>
    </w:p>
    <w:p>
      <w:pPr>
        <w:spacing w:before="0" w:after="80" w:lineRule="auto" w:line="276"/>
      </w:pPr>
      <w:r>
        <w:rPr>
          <w:b/>
        </w:rPr>
        <w:t xml:space="preserve">摘要（ZH）: </w:t>
      </w:r>
      <w:r>
        <w:t>酰胺合成对于药物、农用化学品和功能材料的开发至关重要。在这里，我们报告了 Pd 催化的 Suzuki-Miyaura 偶联的四组分变体，该变体重新调整了通常用于 C-C 键形成的伙伴以产生酰胺。通过顺序插入来自 Mo(CO)6 的 CO（作为方便的替代物）和来自 O-(二苯基膦基)羟胺 (DPPH) 的 NH，可以得到多种带有芳香族和烯属基团的仲酰胺，包括烯酰胺、α,β-不饱和酰胺和 α,β-不饱和烯酰胺。药物类似物可以快速组装，并且我们表明可以从相同的起始材料生成“反向酰胺”对应物。</w:t>
      </w:r>
    </w:p>
    <w:p>
      <w:pPr>
        <w:spacing w:before="0" w:after="200" w:lineRule="auto" w:line="276"/>
      </w:pPr>
      <w:r>
        <w:rPr>
          <w:b/>
        </w:rPr>
        <w:t xml:space="preserve">Abstract (EN): </w:t>
      </w:r>
      <w:r>
        <w:t>Amide synthesis is critical for the development of pharmaceuticals, agrochemicals, and functional materials. Here, we report a four-component variant of the Pd-catalyzed Suzuki-Miyaura coupling that repurposes partners conventionally used for C-C bond formation to instead yield amides. The sequential insertion of CO, from Mo(CO)6 as a convenient surrogate, and NH, from O-(diphenylphosphinyl)hydroxylamine (DPPH), allows access to a broad scope of secondary amides bearing aromatic and olefinic groups, including enamides, α,β-unsaturated amides, and α,β-unsaturated enamides. Drug-like analogs can be rapidly assembled, and we show that "reverse amide" counterparts can be generated from the same starting materials.</w:t>
      </w:r>
    </w:p>
    <w:p>
      <w:pPr>
        <w:spacing w:before="120" w:after="120"/>
      </w:pPr>
      <w:r>
        <w:rPr>
          <w:sz w:val="18"/>
        </w:rPr>
        <w:t>——————————————————————————————————————————————————————————————————————</w:t>
      </w:r>
    </w:p>
    <w:p>
      <w:pPr>
        <w:spacing w:before="160" w:after="40" w:line="240" w:lineRule="auto"/>
      </w:pPr>
      <w:r>
        <w:rPr>
          <w:b/>
        </w:rPr>
        <w:t xml:space="preserve">[367] </w:t>
      </w:r>
      <w:hyperlink r:id="rId916">
        <w:r>
          <w:rPr>
            <w:color w:val="1155CC"/>
            <w:u w:val="single"/>
          </w:rPr>
          <w:t>用于增强多能源互补系统可靠性的混合共享储能规划：集成地理空间分析和深度学习预测的双层优化框架</w:t>
        </w:r>
      </w:hyperlink>
    </w:p>
    <w:p>
      <w:pPr>
        <w:spacing w:before="0" w:after="80"/>
      </w:pPr>
      <w:r>
        <w:rPr>
          <w:i/>
          <w:sz w:val="20"/>
        </w:rPr>
        <w:t>EN: Hybrid shared energy storage planning for enhanced reliability in multi-energy complementary systems: a bi-level optimization framework integrating geospatial analysis and deep learning forecasting</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917">
        <w:r>
          <w:rPr>
            <w:color w:val="1155CC"/>
            <w:u w:val="single"/>
          </w:rPr>
          <w:t>失去灵活性：大规模泛欧能源系统模型中的水电能力</w:t>
        </w:r>
      </w:hyperlink>
    </w:p>
    <w:p>
      <w:pPr>
        <w:spacing w:before="0" w:after="80"/>
      </w:pPr>
      <w:r>
        <w:rPr>
          <w:i/>
          <w:sz w:val="20"/>
        </w:rPr>
        <w:t>EN: Lost flexibility: Hydropower capabilities in large-scale, Pan-European Energy system models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918">
        <w:r>
          <w:rPr>
            <w:color w:val="1155CC"/>
            <w:u w:val="single"/>
          </w:rPr>
          <w:t>重新思考纯电动汽车快速充电规划中的空间单元：基于中观级别移动性的方法</w:t>
        </w:r>
      </w:hyperlink>
    </w:p>
    <w:p>
      <w:pPr>
        <w:spacing w:before="0" w:after="80"/>
      </w:pPr>
      <w:r>
        <w:rPr>
          <w:i/>
          <w:sz w:val="20"/>
        </w:rPr>
        <w:t>EN: Rethinking spatial units in BEV fast charging planning: A meso-level mobility-based approach</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919">
        <w:r>
          <w:rPr>
            <w:color w:val="1155CC"/>
            <w:u w:val="single"/>
          </w:rPr>
          <w:t>高效的动态感知深度强化学习，用于解决具有服务时间窗口和使用时间电价的容量电动汽车路径问题</w:t>
        </w:r>
      </w:hyperlink>
    </w:p>
    <w:p>
      <w:pPr>
        <w:spacing w:before="0" w:after="80"/>
      </w:pPr>
      <w:r>
        <w:rPr>
          <w:i/>
          <w:sz w:val="20"/>
        </w:rPr>
        <w:t>EN: Efficient dynamic-aware deep reinforcement learning for solving capacitated electric vehicle routing problems with service time windows and time-of-use electricity prices</w:t>
      </w:r>
    </w:p>
    <w:p>
      <w:pPr>
        <w:spacing w:before="0" w:after="120"/>
      </w:pPr>
      <w:r>
        <w:rPr>
          <w:b/>
        </w:rPr>
        <w:t xml:space="preserve">Source: </w:t>
      </w:r>
      <w:r>
        <w:t>ScienceDirect Publication: Applied Energy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920">
        <w:r>
          <w:rPr>
            <w:color w:val="1155CC"/>
            <w:u w:val="single"/>
          </w:rPr>
          <w:t>脂肪酸光脱羧酶催化自由基终止的分子机制</w:t>
        </w:r>
      </w:hyperlink>
    </w:p>
    <w:p>
      <w:pPr>
        <w:spacing w:before="0" w:after="80"/>
      </w:pPr>
      <w:r>
        <w:rPr>
          <w:i/>
          <w:sz w:val="20"/>
        </w:rPr>
        <w:t>EN: Molecular Mechanism of the Catalytic Radical Termination in Fatty Acid Photodecarboxylase</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21">
        <w:r>
          <w:rPr>
            <w:color w:val="1155CC"/>
            <w:u w:val="single"/>
          </w:rPr>
          <w:t>10.1021/jacs.6c07143</w:t>
        </w:r>
      </w:hyperlink>
    </w:p>
    <w:p>
      <w:pPr>
        <w:spacing w:before="0" w:after="120"/>
      </w:pPr>
      <w:r>
        <w:rPr>
          <w:b/>
        </w:rPr>
        <w:t xml:space="preserve">Notes: </w:t>
      </w:r>
      <w:r>
        <w:t>abstract_source=pubmed</w:t>
      </w:r>
    </w:p>
    <w:p>
      <w:pPr>
        <w:spacing w:before="0" w:after="80" w:lineRule="auto" w:line="276"/>
      </w:pPr>
      <w:r>
        <w:rPr>
          <w:b/>
        </w:rPr>
        <w:t xml:space="preserve">摘要（ZH）: </w:t>
      </w:r>
      <w:r>
        <w:t>脂肪酸光脱羧酶（FAP）是一种光酶，可通过光驱动的自由基化学将脂肪酸转化为碳氢化合物。尽管早期的光化学步骤已被阐明，但控制催化终止的分子机制仍未解决。在这里，我们通过结合经典和极化 QM/MM 策略，通过基于反应过程的显式动态模拟的多尺度计算研究来解决这个问题。我们的结果表明，快速脱羧后，产生的烷基主要通过质子化精氨酸 R451 和附近水分子介导的质子耦合电子转移机制被猝灭。相比之下，在室温下水辅助碳酸氢盐的形成是罕见的，这与最近的实验观察结果一致。此外，计算的吸收光谱表明，不同的活性位点配置，无论是涉及中性 R451/水网络还是碳酸氢盐的存在，都可以解释实验中观察到的瞬时红移黄素物质 FADRS。总体而言，这些发现提供了 FAP 催化终止的连贯且统一的分子图景，并强调了活性位点异质性和水动力学在控制光酶反应活性中发挥的关键作用。</w:t>
      </w:r>
    </w:p>
    <w:p>
      <w:pPr>
        <w:spacing w:before="0" w:after="200" w:lineRule="auto" w:line="276"/>
      </w:pPr>
      <w:r>
        <w:rPr>
          <w:b/>
        </w:rPr>
        <w:t xml:space="preserve">Abstract (EN): </w:t>
      </w:r>
      <w:r>
        <w:t>Fatty acid photodecarboxylase (FAP) is a photoenzyme that converts fatty acids into hydrocarbons through light-driven radical chemistry. Although the early photochemical steps have been elucidated, the molecular mechanism governing the catalytic termination remains unresolved. Here, we address this issue through a multiscale computational investigation based on explicit dynamic simulations of the reactive processes through a combination of classical and polarizable QM/MM strategies. Our results indicate that, following rapid decarboxylation, the resulting alkyl radical is predominantly quenched via a proton-coupled electron transfer mechanism mediated by the protonated arginine R451 and nearby water molecules. In contrast, water-assisted bicarbonate formation is found to be a rare event at room temperature, consistent with recent experimental observations. Furthermore, calculated absorption spectra demonstrate that distinct active-site configurations, either involving a neutral R451/water network or the presence of bicarbonate, can both account for the transient red-shifted flavin species FADRS observed experimentally. Overall, these findings provide a coherent and unified molecular picture of the catalytic termination in FAP and emphasize the key roles played by active-site heterogeneity and water dynamics in controlling photoenzymatic reactivity.</w:t>
      </w:r>
    </w:p>
    <w:p>
      <w:pPr>
        <w:spacing w:before="120" w:after="120"/>
      </w:pPr>
      <w:r>
        <w:rPr>
          <w:sz w:val="18"/>
        </w:rPr>
        <w:t>——————————————————————————————————————————————————————————————————————</w:t>
      </w:r>
    </w:p>
    <w:p>
      <w:pPr>
        <w:spacing w:before="160" w:after="40" w:line="240" w:lineRule="auto"/>
      </w:pPr>
      <w:r>
        <w:rPr>
          <w:b/>
        </w:rPr>
        <w:t xml:space="preserve">[372] </w:t>
      </w:r>
      <w:hyperlink r:id="rId922">
        <w:r>
          <w:rPr>
            <w:color w:val="1155CC"/>
            <w:u w:val="single"/>
          </w:rPr>
          <w:t>按需粘度梯度将纳升液滴转变为浓缩皮升液滴的可编程来源</w:t>
        </w:r>
      </w:hyperlink>
    </w:p>
    <w:p>
      <w:pPr>
        <w:spacing w:before="0" w:after="80"/>
      </w:pPr>
      <w:r>
        <w:rPr>
          <w:i/>
          <w:sz w:val="20"/>
        </w:rPr>
        <w:t>EN: On-Demand Viscosity Gradients Turn Nanoliter Droplets into Programmable Sources of Enriched Picoliter Droplets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23">
        <w:r>
          <w:rPr>
            <w:color w:val="1155CC"/>
            <w:u w:val="single"/>
          </w:rPr>
          <w:t>10.1021/jacs.6c04285</w:t>
        </w:r>
      </w:hyperlink>
    </w:p>
    <w:p>
      <w:pPr>
        <w:spacing w:before="0" w:after="120"/>
      </w:pPr>
      <w:r>
        <w:rPr>
          <w:b/>
        </w:rPr>
        <w:t xml:space="preserve">Notes: </w:t>
      </w:r>
      <w:r>
        <w:t>abstract_source=pubmed</w:t>
      </w:r>
    </w:p>
    <w:p>
      <w:pPr>
        <w:spacing w:before="0" w:after="80" w:lineRule="auto" w:line="276"/>
      </w:pPr>
      <w:r>
        <w:rPr>
          <w:b/>
        </w:rPr>
        <w:t xml:space="preserve">摘要（ZH）: </w:t>
      </w:r>
      <w:r>
        <w:t>液滴微流控彻底改变了诊断、化学合成和生物技术。虽然液滴合并和混合是常规操作，但相反的过程（试剂、分析物或产品的富集和夹断）却很重要。如果能够实现，这些操作非常有价值，可以改善反应动力学、提高测定灵敏度和纯化。在这项工作中，我们提出了来自纳升规模亲代的皮升规模子代液滴的耦合富集和按需发射。所报道的方法利用液滴内电动驱动的粘度梯度来调节液滴动力学。具体来说，带电粘度调节剂（聚电解质、藻酸盐）和带电目标物质（此处为阴离子荧光示踪剂）的局部富集是通过液滴内离子浓差极化（ICP）来实现的。这里给出的结果表明，陡峭的粘度梯度有利于发射，并且子液滴的体积是可编程的。这些发现通过可调节的过程（类似于生物细胞中的囊泡包装和夹断）增强了对液滴介导的化学和生物测定的前所未有的控制。</w:t>
      </w:r>
    </w:p>
    <w:p>
      <w:pPr>
        <w:spacing w:before="0" w:after="200" w:lineRule="auto" w:line="276"/>
      </w:pPr>
      <w:r>
        <w:rPr>
          <w:b/>
        </w:rPr>
        <w:t xml:space="preserve">Abstract (EN): </w:t>
      </w:r>
      <w:r>
        <w:t>Droplet microfluidics has revolutionized diagnostics, chemical synthesis, and biotechnology. While droplet merging and mixing are routine operations, the opposite processes─coupled enrichment and pinch-off of reagents, analytes, or products─is nontrivial. If accessed, these operations are highly valuable, enabling improved reaction kinetics, increased assay sensitivity, and purification. In this work, we present coupled enrichment and on-demand emission of picoliter-scale daughter droplets from nanoliter-scale parents. The reported approach leverages electrokinetically driven viscosity gradients within droplets to modulate droplet dynamics. Specifically, localized enrichment of a charged viscosity modifier (the polyelectrolyte, alginate) and a charged target species (here, an anionic fluorescent tracer) is accomplished by in-droplet ion concentration polarization (ICP). The results presented here demonstrate that emission is favored by a steep viscosity gradient and that the volume of daughter droplets is programmable. These findings potentiate unprecedented control over droplet-mediated chemistry and bioassays via a tunable process reminiscent of vesicle packaging and pinch-off in biological cells.</w:t>
      </w:r>
    </w:p>
    <w:p>
      <w:pPr>
        <w:spacing w:before="120" w:after="120"/>
      </w:pPr>
      <w:r>
        <w:rPr>
          <w:sz w:val="18"/>
        </w:rPr>
        <w:t>——————————————————————————————————————————————————————————————————————</w:t>
      </w:r>
    </w:p>
    <w:p>
      <w:pPr>
        <w:spacing w:before="160" w:after="40" w:line="240" w:lineRule="auto"/>
      </w:pPr>
      <w:r>
        <w:rPr>
          <w:b/>
        </w:rPr>
        <w:t xml:space="preserve">[373] </w:t>
      </w:r>
      <w:hyperlink r:id="rId924">
        <w:r>
          <w:rPr>
            <w:color w:val="1155CC"/>
            <w:u w:val="single"/>
          </w:rPr>
          <w:t>钴催化的环烃羰基化：光促进的饱和杂环的合成</w:t>
        </w:r>
      </w:hyperlink>
    </w:p>
    <w:p>
      <w:pPr>
        <w:spacing w:before="0" w:after="80"/>
      </w:pPr>
      <w:r>
        <w:rPr>
          <w:i/>
          <w:sz w:val="20"/>
        </w:rPr>
        <w:t>EN: Cobalt-Catalyzed Cyclohydrocarbonylations: Syntheses of Saturated Heterocycles Promoted by Light</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25">
        <w:r>
          <w:rPr>
            <w:color w:val="1155CC"/>
            <w:u w:val="single"/>
          </w:rPr>
          <w:t>10.1021/jacs.6c05405</w:t>
        </w:r>
      </w:hyperlink>
    </w:p>
    <w:p>
      <w:pPr>
        <w:spacing w:before="0" w:after="120"/>
      </w:pPr>
      <w:r>
        <w:rPr>
          <w:b/>
        </w:rPr>
        <w:t xml:space="preserve">Notes: </w:t>
      </w:r>
      <w:r>
        <w:t>abstract_source=pubmed</w:t>
      </w:r>
    </w:p>
    <w:p>
      <w:pPr>
        <w:spacing w:before="0" w:after="80" w:lineRule="auto" w:line="276"/>
      </w:pPr>
      <w:r>
        <w:rPr>
          <w:b/>
        </w:rPr>
        <w:t xml:space="preserve">摘要（ZH）: </w:t>
      </w:r>
      <w:r>
        <w:t>报道了通过区域和立体选择性环烃基化合成有价值的饱和杂环的一般策略。这种成环反应使用简单的钴催化剂和可见光，在温和的条件下，可以从不同的烷基胺底物中广泛获得δ-内酰胺或哌啶。还证明了获得内酯的环烃基化。增加催化剂负载量可以在氩气氛下实现环烃羰基化，使用羰基钴作为预催化剂和原位 CO 源。环烃基化显示出对钴预催化剂特性的惊人依赖性，使用羰基钴或 KCo(CO)4 观察到不同的反应结果。初步的机械和计算研究表明多种操作途径取决于催化条件。</w:t>
      </w:r>
    </w:p>
    <w:p>
      <w:pPr>
        <w:spacing w:before="0" w:after="200" w:lineRule="auto" w:line="276"/>
      </w:pPr>
      <w:r>
        <w:rPr>
          <w:b/>
        </w:rPr>
        <w:t xml:space="preserve">Abstract (EN): </w:t>
      </w:r>
      <w:r>
        <w:t>A general strategy for the syntheses of valuable saturated heterocycles via regio- and stereoselective cyclohydrocarbonylation is reported. This annulation uses a simple cobalt catalyst and visible light under mild conditions and enables broad access to δ-lactams or piperidines from diverse alkylamine substrates. Cyclohydrocarbonylations accessing lactones are also demonstrated. Increasing catalyst loading enables cyclohydrocarbonylations under an argon atmosphere, using the cobalt carbonyl as both a precatalyst and in situ CO source. The cyclohydrocarbonylations display a surprising dependence on the identity of the cobalt precatalyst, with different reaction outcomes observed using either cobalt carbonyl or KCo(CO)4. Initial mechanistic and computational studies indicate multiple operative pathways dependent on the catalytic conditions.</w:t>
      </w:r>
    </w:p>
    <w:p>
      <w:pPr>
        <w:spacing w:before="120" w:after="120"/>
      </w:pPr>
      <w:r>
        <w:rPr>
          <w:sz w:val="18"/>
        </w:rPr>
        <w:t>——————————————————————————————————————————————————————————————————————</w:t>
      </w:r>
    </w:p>
    <w:p>
      <w:pPr>
        <w:spacing w:before="160" w:after="40" w:line="240" w:lineRule="auto"/>
      </w:pPr>
      <w:r>
        <w:rPr>
          <w:b/>
        </w:rPr>
        <w:t xml:space="preserve">[374] </w:t>
      </w:r>
      <w:hyperlink r:id="rId926">
        <w:r>
          <w:rPr>
            <w:color w:val="1155CC"/>
            <w:u w:val="single"/>
          </w:rPr>
          <w:t>缺乏 Mn4CaO5 簇的天然二聚光系统 II 复合物的冷冻电镜结构</w:t>
        </w:r>
      </w:hyperlink>
    </w:p>
    <w:p>
      <w:pPr>
        <w:spacing w:before="0" w:after="80"/>
      </w:pPr>
      <w:r>
        <w:rPr>
          <w:i/>
          <w:sz w:val="20"/>
        </w:rPr>
        <w:t>EN: Cryo-EM structures of naturally occurring dimeric photosystem II complexes lacking the Mn4CaO5 cluster</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强大的产氧光合作用需要多亚基释氧光系统 II (PSII) 复合物的有效组装和修复。先前的 PSII 组装/拆卸中间体的低温电子显微镜 (cryo-EM) 结构依赖于体外删除突变体或 PSII 亚基的分析。在这里，我们报告了来自蓝细菌Thermosynechoccas pestitus 的天然存在的二聚 PSII 中间体的冷冻电镜结构，分辨率约为 2.2 Å。这些中间体含有缺乏释氧复合物 (OEC) 的非活性二聚体和 OEC 存在于两个单体之一的半活性二聚体。我们的结构数据提供了一种机制，说明 Mn4CaO5 簇的组装和分解如何与外在蛋白的结合和释放相协调：在 Mn 簇的组装或分解过程中，D1 亚基 C 末端尾部的重组触发 D2、CP47 和 CP43 的构象变化，从而驱动外在蛋白的结合/释放。结构和质谱数据的结合还表明，失活的 PSII 复合物可能包括含有氧化 D1-His332 的受损复合物，D1-His332 是 OEC Mn 离子之一的单齿配体。</w:t>
      </w:r>
    </w:p>
    <w:p>
      <w:pPr>
        <w:spacing w:before="0" w:after="200" w:lineRule="auto" w:line="276"/>
      </w:pPr>
      <w:r>
        <w:rPr>
          <w:b/>
        </w:rPr>
        <w:t xml:space="preserve">Abstract (EN): </w:t>
      </w:r>
      <w:r>
        <w:t>Robust oxygenic photosynthesis requires the efficient assembly and repair of the multi-subunit oxygen-evolving photosystem II (PSII) complex. Previous cryogenic electron microscopy (cryo-EM) structures of PSII assembly/disassembly intermediates have relied on the analysis of deletion mutants or removal of PSII subunits in vitro. Here we report the cryo-EM structures of naturally occurring dimeric PSII intermediates from the cyanobacterium Thermosynechococcus vestitus at a resolution of about 2.2 Å. These intermediates contain inactive dimers lacking the oxygen-evolving complex (OEC) and semi-active dimers with the OEC present in one of the two monomers. Our structural data provide a mechanism for how assembly and disassembly of the Mn4CaO5 cluster is coordinated with the binding and release of the extrinsic proteins: restructuring of the C-terminal tail of D1 subunit during assembly or disassembly of the Mn cluster triggers conformational changes in D2, CP47 and CP43 to drive the binding/release of the extrinsic proteins. A combination of structural and mass spectrometry data also suggests that the inactive PSII complexes may include damaged complexes containing oxidized D1-His332, a monodentate ligand to one of the Mn ions of the OEC.</w:t>
      </w:r>
    </w:p>
    <w:p>
      <w:pPr>
        <w:spacing w:before="120" w:after="120"/>
      </w:pPr>
      <w:r>
        <w:rPr>
          <w:sz w:val="18"/>
        </w:rPr>
        <w:t>——————————————————————————————————————————————————————————————————————</w:t>
      </w:r>
    </w:p>
    <w:p>
      <w:pPr>
        <w:spacing w:before="160" w:after="40" w:line="240" w:lineRule="auto"/>
      </w:pPr>
      <w:r>
        <w:rPr>
          <w:b/>
        </w:rPr>
        <w:t xml:space="preserve">[375] </w:t>
      </w:r>
      <w:hyperlink r:id="rId927">
        <w:r>
          <w:rPr>
            <w:color w:val="1155CC"/>
            <w:u w:val="single"/>
          </w:rPr>
          <w:t>上皮皮肤细胞和感觉腔之间的动态相互作用塑造了不断增长的嗅孔</w:t>
        </w:r>
      </w:hyperlink>
    </w:p>
    <w:p>
      <w:pPr>
        <w:spacing w:before="0" w:after="80"/>
      </w:pPr>
      <w:r>
        <w:rPr>
          <w:i/>
          <w:sz w:val="20"/>
        </w:rPr>
        <w:t>EN: Dynamic interactions between epithelial skin cells and a sensory cavity sculpt the growing olfactory orifice</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在形态发生和病理条件下，在破坏细胞间连接的细胞力的作用下，上皮屏障平面上会形成间隙。这些上皮孔的尺寸如何随着时间的推移而进一步增加以及它们的形状是如何形成的，人们仍然知之甚少。在这里，我们分析了斑马鱼嗅孔（鼻孔）的形成，它在嗅基板细胞花环上方的皮肤上皮细胞中打开并生长，使感觉神经元能够直接获取气味线索。使用定量成像和组织特异性扰动，我们分析了允许孔口边缘扩张的皮肤细胞的动态重塑。我们认为位于基底莲座中心的感觉腔是决定皮肤上皮上皮孔洞大小的关键因素。我们进一步表明，每个组织（皮肤和感觉腔）内肌动球蛋白收缩力的微调会对邻近组织产生非自主效应，从而塑造鼻孔结构。这项研究揭示了控制体内上皮孔生长和形状的动态细胞行为和相互的组织-组织相互作用。</w:t>
      </w:r>
    </w:p>
    <w:p>
      <w:pPr>
        <w:spacing w:before="0" w:after="200" w:lineRule="auto" w:line="276"/>
      </w:pPr>
      <w:r>
        <w:rPr>
          <w:b/>
        </w:rPr>
        <w:t xml:space="preserve">Abstract (EN): </w:t>
      </w:r>
      <w:r>
        <w:t>During morphogenesis and in pathological conditions, gaps can form in the plane of epithelial barriers upon cellular forces that disrupt intercellular junctions. How the size of these epithelial holes further increases over time and what sets their shape remain poorly understood. Here we analyze the formation of the olfactory orifice (the nostril) in zebrafish, which opens and grows in the skin epithelium above a rosette of olfactory placode cells, allowing the sensory neurons to directly access odor cues. Using quantitative imaging and tissue-specific perturbations, we analyze the dynamic remodeling of skin cells allowing the expansion of the orifice edge. We identify the sensory cavity located in the center of the placodal rosette as a crucial player that sets the size of the growing epithelial hole in the skin. We further show that fine-tuning of actomyosin contractility within each tissue (skin and sensory cavity) exerts non-autonomous effects on the neighboring tissue, thereby shaping the nostril structure. This study uncovers dynamic cell behaviors and reciprocal tissue-tissue interplay that control the growth and shape of an epithelial hole in vivo.</w:t>
      </w:r>
    </w:p>
    <w:p>
      <w:pPr>
        <w:spacing w:before="120" w:after="120"/>
      </w:pPr>
      <w:r>
        <w:rPr>
          <w:sz w:val="18"/>
        </w:rPr>
        <w:t>——————————————————————————————————————————————————————————————————————</w:t>
      </w:r>
    </w:p>
    <w:p>
      <w:pPr>
        <w:spacing w:before="160" w:after="40" w:line="240" w:lineRule="auto"/>
      </w:pPr>
      <w:r>
        <w:rPr>
          <w:b/>
        </w:rPr>
        <w:t xml:space="preserve">[376] </w:t>
      </w:r>
      <w:hyperlink r:id="rId928">
        <w:r>
          <w:rPr>
            <w:color w:val="1155CC"/>
            <w:u w:val="single"/>
          </w:rPr>
          <w:t>肺部 mRNA-LNP 疫苗可快速、持久地预防细菌感染</w:t>
        </w:r>
      </w:hyperlink>
    </w:p>
    <w:p>
      <w:pPr>
        <w:spacing w:before="0" w:after="80"/>
      </w:pPr>
      <w:r>
        <w:rPr>
          <w:i/>
          <w:sz w:val="20"/>
        </w:rPr>
        <w:t>EN: Pulmonary mRNA-LNP vaccines for rapid and durable protection against bacterial infection</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肺部细菌感染仍然是一个主要的临床挑战。尽管疫苗接种可降低感染率和死亡率，但疫苗接种后脆弱的免疫缺口仍可能导致感染和疫苗失败。此外，对于许多临床上重要的细菌病原体还没有有效的疫苗。在这里，我们报告了一种肺部 mRNA-脂质纳米颗粒 (mRNA-LNP) 疫苗，其中含有一种可电离脂质，可实现局部高水平表达，可对雌性小鼠产生快速而持久的细菌性肺部感染保护，有效地弥合了这一关键的脆弱窗口。气管内递送 mRNA-LNP 迅速使肺中性粒细胞和巨噬细胞进入转录预激活状态，增强其吞噬活性，并在疫苗接种后早期（大约 1-7 天）实现快速、不依赖于抗原的细菌清除。随后，疫苗接种可诱导有效的抗原特异性适应性反应，从而针对实验室和临床耐药铜绿假单胞菌菌株提供持续的保护。单细胞转录组学和免疫分析揭示了先天性和适应性免疫程序的协调激活。这种双阶段免疫反应体现了一种范式转变的疫苗设计，它整合了先天免疫和适应性免疫，以提供即时和长期保护。我们的研究结果为快速抗菌防御奠定了机制基础，并强调肺部 mRNA-LNP 疫苗接种是对抗呼吸道感染的一种有前途的策略。</w:t>
      </w:r>
    </w:p>
    <w:p>
      <w:pPr>
        <w:spacing w:before="0" w:after="200" w:lineRule="auto" w:line="276"/>
      </w:pPr>
      <w:r>
        <w:rPr>
          <w:b/>
        </w:rPr>
        <w:t xml:space="preserve">Abstract (EN): </w:t>
      </w:r>
      <w:r>
        <w:t>Pulmonary bacterial infections remain a major clinical challenge. Although vaccination reduces infection rates and mortality, the vulnerable post-vaccination immunity gap can still result in infection and vaccine failure. In addition, effective vaccines are unavailable for many clinically important bacterial pathogens. Here, we report a pulmonary mRNA-lipid nanoparticle (mRNA-LNP) vaccine incorporating an ionizable lipid engineered for localized high-level expression, which elicits both rapid and durable protection against bacterial lung infections in female mice, effectively bridging this critical window of vulnerability. Intratracheal delivery of mRNA-LNP rapidly primes lung neutrophils and macrophages into a transcriptionally pre-activated state, enhancing their phagocytic activity and enabling rapid, antigen-independent bacterial clearance during the early post-vaccination period (approximately 1-7 days). Subsequently, vaccination induces potent antigen-specific adaptive responses, conferring sustained protection against both laboratory and clinical drug-resistant Pseudomonas aeruginosa strains. Single-cell transcriptomics and immune profiling reveal coordinated activation of innate and adaptive immune programs. This dual-phase immune response exemplifies a paradigm-shifting vaccine design that integrates innate and adaptive immunity to confer both immediate and long-term protection. Our findings establish a mechanistic basis for rapid antibacterial defense and highlight pulmonary mRNA-LNP vaccination as a promising strategy for combating respiratory infections.</w:t>
      </w:r>
    </w:p>
    <w:p>
      <w:pPr>
        <w:spacing w:before="120" w:after="120"/>
      </w:pPr>
      <w:r>
        <w:rPr>
          <w:sz w:val="18"/>
        </w:rPr>
        <w:t>——————————————————————————————————————————————————————————————————————</w:t>
      </w:r>
    </w:p>
    <w:p>
      <w:pPr>
        <w:spacing w:before="160" w:after="40" w:line="240" w:lineRule="auto"/>
      </w:pPr>
      <w:r>
        <w:rPr>
          <w:b/>
        </w:rPr>
        <w:t xml:space="preserve">[377] </w:t>
      </w:r>
      <w:hyperlink r:id="rId929">
        <w:r>
          <w:rPr>
            <w:color w:val="1155CC"/>
            <w:u w:val="single"/>
          </w:rPr>
          <w:t>猪造血发育的单细胞图谱</w:t>
        </w:r>
      </w:hyperlink>
    </w:p>
    <w:p>
      <w:pPr>
        <w:spacing w:before="0" w:after="80"/>
      </w:pPr>
      <w:r>
        <w:rPr>
          <w:i/>
          <w:sz w:val="20"/>
        </w:rPr>
        <w:t>EN: A single-cell atlas of porcine hematopoietic development</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家猪既是全球重要的农业物种，也是弥合啮齿动物和非人类灵长类动物之间差距的日益有价值的生物医学模型。因此，全面了解正在发育的猪免疫系统对于改善猪的健康和推进临床前研究非常重要。在这里，我们将单细胞转录组分析与 T 细胞和 B 细胞受体分析相结合，创建了从胎儿到成年的猪肝、骨髓和胸腺组织造血发育的综合细胞图谱。我们强调组织特异性和年龄相关的特征；识别 B 细胞和 T 细胞发育的基因模块；描述骨髓 B 细胞和胸腺 αβ 和 γδ T 细胞中 B 和 T 细胞受体库的成熟和多样化；并根据 γ 链的使用区分转录上不同的 γδ T 细胞亚群。我们的数据提供了有关猪免疫系统发育的重要见解，并为将猪作为人类血液和免疫疾病的模型发展提供了宝贵的资源。</w:t>
      </w:r>
    </w:p>
    <w:p>
      <w:pPr>
        <w:spacing w:before="0" w:after="200" w:lineRule="auto" w:line="276"/>
      </w:pPr>
      <w:r>
        <w:rPr>
          <w:b/>
        </w:rPr>
        <w:t xml:space="preserve">Abstract (EN): </w:t>
      </w:r>
      <w:r>
        <w:t>Domestic pigs are both a globally important agricultural species and an increasingly valuable biomedical model that bridges the gap between rodents and non-human primates. Thus, a thorough understanding of the developing porcine immune system is important to improve pig health and advance preclinical research. Here, we coupled single-cell transcriptomic analyses with T and B cell receptor profiling to create a comprehensive cell atlas of pig hematopoietic development across fetal liver, bone marrow, and thymus tissues from fetal to adult life. We highlight tissue-specific and age-related features; identify gene modules underlying B cell and T cell development; describe the maturation and diversification of B and T cell receptor repertoires in bone marrow B cells and thymic αβ and γδ T cells; and distinguish transcriptionally distinct subsets of γδ T cells according to their γ chain usage. Our data provide key insights into pig immune system development and contribute a valuable resource for advancing pigs as a model of human blood and immune diseases.</w:t>
      </w:r>
    </w:p>
    <w:p>
      <w:pPr>
        <w:spacing w:before="120" w:after="120"/>
      </w:pPr>
      <w:r>
        <w:rPr>
          <w:sz w:val="18"/>
        </w:rPr>
        <w:t>——————————————————————————————————————————————————————————————————————</w:t>
      </w:r>
    </w:p>
    <w:p>
      <w:pPr>
        <w:spacing w:before="160" w:after="40" w:line="240" w:lineRule="auto"/>
      </w:pPr>
      <w:r>
        <w:rPr>
          <w:b/>
        </w:rPr>
        <w:t xml:space="preserve">[378] </w:t>
      </w:r>
      <w:hyperlink r:id="rId930">
        <w:r>
          <w:rPr>
            <w:color w:val="1155CC"/>
            <w:u w:val="single"/>
          </w:rPr>
          <w:t>选择性剪接的杀手-保护系统赋予水稻S19介导的杂交雄性不育性</w:t>
        </w:r>
      </w:hyperlink>
    </w:p>
    <w:p>
      <w:pPr>
        <w:spacing w:before="0" w:after="80"/>
      </w:pPr>
      <w:r>
        <w:rPr>
          <w:i/>
          <w:sz w:val="20"/>
        </w:rPr>
        <w:t>EN: Alternatively spliced killer–protector system confers S19-mediated hybrid male sterility in rice</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杂交不育性限制了强种间杂种优势的使用，S19 是赋予 Oryza sativa（亚洲栽培稻）和 Oryza glaberrima（非洲栽培稻）之间杂交不育性的主要基因座。然而，S19 尚未被克隆，其基本机制仍然难以捉摸。在这项研究中，我们鉴定了非洲水稻等位基因特有的两个紧密连锁的基因（S19A1 和 S19A7），它们在 S19 位点编码杀手-保护模块。杀伤基因 S19A1 表达的两个选择性剪​​接转录物（S19A1.1 和 S19A1.2）编码线粒体靶向的细胞毒性蛋白，分别导致体细胞和/或配子细胞死亡的毒性多样性。然而，S19A7 与 S19A1.1 和 S19A1.2 相互作用，阻断它们的细胞毒性作用。由于亚洲水稻 S19 等位基因缺乏 S19A1 和 S19A7，因此携带该等位基因的雄配子在亚洲-非洲 F1 杂种中选择性败育。 S19A1 的敲除可以克服 S19 介导的杂种不育。单倍型分析表明，功能性 S19 等位基因在非 AA 基因组稻物种中不存在，并且可能出现在 O. barthii-O 中。 glaberrima 谱系经历了多步进化过程。我们的研究结果深入了解了亚洲和非洲水稻杂交不育的遗传机制，并提出了利用水稻种间杂种优势的遗传和生物技术策略。</w:t>
      </w:r>
    </w:p>
    <w:p>
      <w:pPr>
        <w:spacing w:before="0" w:after="200" w:lineRule="auto" w:line="276"/>
      </w:pPr>
      <w:r>
        <w:rPr>
          <w:b/>
        </w:rPr>
        <w:t xml:space="preserve">Abstract (EN): </w:t>
      </w:r>
      <w:r>
        <w:t>Hybrid sterility limits the use of strong interspecific heterosis and S19 is a major locus that confers hybrid sterility between Oryza sativa (Asian cultivated rice) and Oryza glaberrima (African cultivated rice). However, the S19 is not yet cloned and its underlying mechanism remains elusive. In this study, we identify two closely linked genes (S19A1 and S19A7) specific to African rice allele that encode a killer–protector module at the S19 locus. Two alternatively spliced transcripts expressed from the killer gene S19A1 (S19A1.1 and S19A1.2) encode mitochondria-targeted cytotoxic proteins that cause toxicity diversity for somatic and/or gametic cell death, respectively. However, S19A7 interacts with S19A1.1 and S19A1.2, blocking their cytotoxic effect. Because the Asian rice S19 allele lacks S19A1 and S19A7, male gametes that carry this allele are selectively aborted in Asian–African F1 hybrids. Knockout of S19A1 can overcome S19-mediated hybrid sterility. Haplotype analysis reveals that the functional S19 allele is absent in non-AA-genome Oryza species and likely emerged in the O. barthii–O. glaberrima lineage through a multi-step evolutionary process. Our findings provide insight into the genetic mechanisms responsible for hybrid sterility between Asian and African rice and suggest genetic and biotechnological strategies for the use of interspecific heterosis in rice.</w:t>
      </w:r>
    </w:p>
    <w:p>
      <w:pPr>
        <w:spacing w:before="120" w:after="120"/>
      </w:pPr>
      <w:r>
        <w:rPr>
          <w:sz w:val="18"/>
        </w:rPr>
        <w:t>——————————————————————————————————————————————————————————————————————</w:t>
      </w:r>
    </w:p>
    <w:p>
      <w:pPr>
        <w:spacing w:before="160" w:after="40" w:line="240" w:lineRule="auto"/>
      </w:pPr>
      <w:r>
        <w:rPr>
          <w:b/>
        </w:rPr>
        <w:t xml:space="preserve">[379] </w:t>
      </w:r>
      <w:hyperlink r:id="rId931">
        <w:r>
          <w:rPr>
            <w:color w:val="1155CC"/>
            <w:u w:val="single"/>
          </w:rPr>
          <w:t>定制有机框架中的氢键，用于低温再生快速大气水收集</w:t>
        </w:r>
      </w:hyperlink>
    </w:p>
    <w:p>
      <w:pPr>
        <w:spacing w:before="0" w:after="80"/>
      </w:pPr>
      <w:r>
        <w:rPr>
          <w:i/>
          <w:sz w:val="20"/>
        </w:rPr>
        <w:t>EN: Tailoring Hydrogen Bonding in Organic Frameworks for Rapid Atmospheric Water Harvesting with Low-Temperature Regeneration</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32">
        <w:r>
          <w:rPr>
            <w:color w:val="1155CC"/>
            <w:u w:val="single"/>
          </w:rPr>
          <w:t>10.1021/jacs.6c07892</w:t>
        </w:r>
      </w:hyperlink>
    </w:p>
    <w:p>
      <w:pPr>
        <w:spacing w:before="0" w:after="120"/>
      </w:pPr>
      <w:r>
        <w:rPr>
          <w:b/>
        </w:rPr>
        <w:t xml:space="preserve">Notes: </w:t>
      </w:r>
      <w:r>
        <w:t>abstract_source=pubmed</w:t>
      </w:r>
    </w:p>
    <w:p>
      <w:pPr>
        <w:spacing w:before="0" w:after="80" w:lineRule="auto" w:line="276"/>
      </w:pPr>
      <w:r>
        <w:rPr>
          <w:b/>
        </w:rPr>
        <w:t xml:space="preserve">摘要（ZH）: </w:t>
      </w:r>
      <w:r>
        <w:t>大气水收集（AWH）提供了一条通过分散淡水生产来解决水资源短缺问题的有前途的途径。开发能够执行快速吸附-解吸循环并降低能耗的材料对于实现高水生产率至关重要。我们报告了氨基功能化的氢键有机框架（HOF）HOF-101-NH2，它可以通过氢键设计的吸附来有效捕获水分。战略性的-NH2整合创造了丰富的水成核位点并促进了合作氢键网络，在60% RH下实现了~0.46 g g-1的吸水量。捕获的水可以在 50 °C 的温度下在 3 分钟内释放，从而实现低能量再生。这种快速的吸附-解吸动力学允许每天超过 30 个循环，产水量为 ∼15 L kg-1 day-1。除了证明 HOF 作为有效的 AWH 吸附剂外，这种氢键工程策略还为合理设计在不同气候条件下运行的下一代集水材料提供了机会。</w:t>
      </w:r>
    </w:p>
    <w:p>
      <w:pPr>
        <w:spacing w:before="0" w:after="200" w:lineRule="auto" w:line="276"/>
      </w:pPr>
      <w:r>
        <w:rPr>
          <w:b/>
        </w:rPr>
        <w:t xml:space="preserve">Abstract (EN): </w:t>
      </w:r>
      <w:r>
        <w:t>Atmospheric water harvesting (AWH) offers a promising route to address water scarcity by decentralizing freshwater production. Developing materials capable of performing rapid sorption-desorption cycles with reduced energy consumption is crucial for achieving high water productivity. We report amino-functionalized hydrogen-bonded organic frameworks (HOFs), HOF-101-NH2, that enable efficient moisture capture through hydrogen-bond-engineered adsorption. Strategic -NH2 integration creates abundant water nucleation sites and promotes cooperative hydrogen-bond networks, achieving a water uptake of ∼0.46 g g-1 at 60% RH. Captured water can be released at ∼50 °C within 3 min, enabling low-energy regeneration. This fast sorption-desorption kinetics allows more than 30 cycles per day with a water yield of ∼15 L kg-1 day-1. Beyond demonstrating HOFs as effective AWH sorbents, this hydrogen-bond engineering strategy opens opportunities for rational design of next-generation water harvesting materials operating under diverse climatic conditions.</w:t>
      </w:r>
    </w:p>
    <w:p>
      <w:pPr>
        <w:spacing w:before="120" w:after="120"/>
      </w:pPr>
      <w:r>
        <w:rPr>
          <w:sz w:val="18"/>
        </w:rPr>
        <w:t>——————————————————————————————————————————————————————————————————————</w:t>
      </w:r>
    </w:p>
    <w:p>
      <w:pPr>
        <w:spacing w:before="160" w:after="40" w:line="240" w:lineRule="auto"/>
      </w:pPr>
      <w:r>
        <w:rPr>
          <w:b/>
        </w:rPr>
        <w:t xml:space="preserve">[380] </w:t>
      </w:r>
      <w:hyperlink r:id="rId933">
        <w:r>
          <w:rPr>
            <w:color w:val="1155CC"/>
            <w:u w:val="single"/>
          </w:rPr>
          <w:t>双层范德华磁体中的扭转调谐交换和磁滞</w:t>
        </w:r>
      </w:hyperlink>
    </w:p>
    <w:p>
      <w:pPr>
        <w:spacing w:before="0" w:after="80"/>
      </w:pPr>
      <w:r>
        <w:rPr>
          <w:i/>
          <w:sz w:val="20"/>
        </w:rPr>
        <w:t>EN: Twist-tuned exchange and hysteresis in a bilayer van der Waals magnet</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扭曲双层中的莫尔超晶格能够强烈重建电子能带结构，从而产生具有高可调性的相关相位。将这一概念扩展到范德华磁体，我们发现扭曲会引起空间变化的层间交换相互作用，从而稳定复杂的磁响应。在这里，我们证明了双层 CrSBr 在扭转约 3° 时存在强大的磁滞，观察到激子能量的磁滞演化，直接跟踪场相关光致发光测量中的底层磁配置。解析双子晶格模型捕获了这种行为，将其归因于扭转引起的层间交换减少，从而在广泛的场范围内稳定了平行和反平行自旋状态。空间分辨测量揭示了磁滞回线的局部变化，与磁参数的位置相关调制一致。在某些区域，莫尔晶胞上的相干平均产生有效的类单域响应。我们的结果确立了扭转工程作为二维反铁磁体中可编程磁性的途径。</w:t>
      </w:r>
    </w:p>
    <w:p>
      <w:pPr>
        <w:spacing w:before="0" w:after="200" w:lineRule="auto" w:line="276"/>
      </w:pPr>
      <w:r>
        <w:rPr>
          <w:b/>
        </w:rPr>
        <w:t xml:space="preserve">Abstract (EN): </w:t>
      </w:r>
      <w:r>
        <w:t>Moiré superlattices in twisted bilayers enable strong reconstruction of electronic band structures, giving rise to correlated phases with high tunability. Extending this concept to van der Waals magnets, we show that twisting induces spatially varying interlayer exchange interactions that can stabilize complex magnetic responses. Here, we demonstrate robust magnetic hysteresis in bilayer CrSBr upon a twist of ~ 3°, observed as a hysteretic evolution of exciton energies that directly track the underlying magnetic configuration in field-dependent photoluminescence measurements. An analytic two-sublattice model captures this behaviour, attributing it to a twist-induced reduction of interlayer exchange that stabilizes both parallel and antiparallel spin states over a broad field range. Spatially resolved measurements reveal local variations in hysteresis loops, consistent with position-dependent modulation of magnetic parameters. In certain regions, coherent averaging over the moiré unit cell yields an effective monodomain-like response. Our results establish twist engineering as a route to programmable magnetism in two-dimensional antiferromagnets.</w:t>
      </w:r>
    </w:p>
    <w:p>
      <w:pPr>
        <w:spacing w:before="120" w:after="120"/>
      </w:pPr>
      <w:r>
        <w:rPr>
          <w:sz w:val="18"/>
        </w:rPr>
        <w:t>——————————————————————————————————————————————————————————————————————</w:t>
      </w:r>
    </w:p>
    <w:p>
      <w:pPr>
        <w:spacing w:before="160" w:after="40" w:line="240" w:lineRule="auto"/>
      </w:pPr>
      <w:r>
        <w:rPr>
          <w:b/>
        </w:rPr>
        <w:t xml:space="preserve">[381] </w:t>
      </w:r>
      <w:hyperlink r:id="rId934">
        <w:r>
          <w:rPr>
            <w:color w:val="1155CC"/>
            <w:u w:val="single"/>
          </w:rPr>
          <w:t>纤毛微生物的具体行为复杂性</w:t>
        </w:r>
      </w:hyperlink>
    </w:p>
    <w:p>
      <w:pPr>
        <w:spacing w:before="0" w:after="80"/>
      </w:pPr>
      <w:r>
        <w:rPr>
          <w:i/>
          <w:sz w:val="20"/>
        </w:rPr>
        <w:t>EN: Embodied behavioural complexity in a ciliated microorganism</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大多数动物使用神经计算来协调行为。然而，单细胞生物也表现出刺激反应，甚至认知行为。为了了解单个细胞如何在没有任何神经编码的情况下协调和驱动复杂的行为，我们研究了一种藻类原生生物——一种具有四个极长纤毛的运动细胞。这种生物体表现出令人惊讶的丰富运动能力，这些运动能力源于纤毛复杂的动力学，在游泳时纤毛会形成紧密的束。我们使用高速定量实时成像来提取可能的纤毛跳动模式的光谱，并导出耦合纤毛振荡的时间频率和空间波长的色散关系。我们进一步重建了行为空间中嵌入的流形，表明尽管纤毛跳动模式的范围和复杂性，潜在的行为流形本质上是低维的，具有不平凡的拓扑结构。运动模式的动态转变被编码为该空间中的轨迹，从而将宏观行为状态还原为纤毛的潜在微观动力学。</w:t>
      </w:r>
    </w:p>
    <w:p>
      <w:pPr>
        <w:spacing w:before="0" w:after="200" w:lineRule="auto" w:line="276"/>
      </w:pPr>
      <w:r>
        <w:rPr>
          <w:b/>
        </w:rPr>
        <w:t xml:space="preserve">Abstract (EN): </w:t>
      </w:r>
      <w:r>
        <w:t>Most animals coordinate behaviour using neural computations. Yet, single-celled organisms also exhibit stimulus-responsive, even cognitive, actions. To understand how a single cell can coordinate and drive complex behaviours without any neural encoding, we study an algal protist – a motile cell with four extremely long cilia. The organism displays a surprisingly rich locomotor repertoire, emerging from the intricate dynamics of the cilia, which form a tight bundle when swimming. We use high-speed quantitative live imaging to extract the spectrum of possible ciliary beating patterns and derive a dispersion relation coupling the temporal frequency and spatial wavelength of cilia oscillations. We further reconstruct the manifold embedded in the behavioural space, showing that despite the range and complexity of ciliary beating modes, the underlying behavioural manifold is intrinsically low-dimensional with non-trivial topological structure. Dynamic transitions in motility patterns are encoded as trajectories in this space, thus reducing the macroscopic behavioural states to the underlying microscopic dynamics of the cilia.</w:t>
      </w:r>
    </w:p>
    <w:p>
      <w:pPr>
        <w:spacing w:before="120" w:after="120"/>
      </w:pPr>
      <w:r>
        <w:rPr>
          <w:sz w:val="18"/>
        </w:rPr>
        <w:t>——————————————————————————————————————————————————————————————————————</w:t>
      </w:r>
    </w:p>
    <w:p>
      <w:pPr>
        <w:spacing w:before="160" w:after="40" w:line="240" w:lineRule="auto"/>
      </w:pPr>
      <w:r>
        <w:rPr>
          <w:b/>
        </w:rPr>
        <w:t xml:space="preserve">[382] </w:t>
      </w:r>
      <w:hyperlink r:id="rId935">
        <w:r>
          <w:rPr>
            <w:color w:val="1155CC"/>
            <w:u w:val="single"/>
          </w:rPr>
          <w:t>RNA 聚合酶 II 在整个核苷酸添加循环中的结构动力学</w:t>
        </w:r>
      </w:hyperlink>
    </w:p>
    <w:p>
      <w:pPr>
        <w:spacing w:before="0" w:after="80"/>
      </w:pPr>
      <w:r>
        <w:rPr>
          <w:i/>
          <w:sz w:val="20"/>
        </w:rPr>
        <w:t>EN: Structural dynamics of RNA polymerase II throughout the nucleotide addition cycle</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RNA 聚合酶 II (RNAPII) 通过包括易位、底物结合和催化的迭代核苷酸添加循环 (NAC) 驱动基因表达。由于缺乏催化前和催化后中间体，无法对 NAC 进行完整的机理理解。在这里，我们展示了 31 个冷冻电子显微镜结构（带有 43 个图谱），捕获了酿酒酵母 RNAPII 延伸复合物 (EC) NAC 的不同阶段，包括以前难以处理的过渡中间体。我们建立了 NAC 期间 RNAPII EC 结构动力学的连续谱，它可以分为两个协调阶段：底物诱导的 EC 紧缩阶段和催化后 EC 松弛阶段。对于底物诱导的 EC 紧缩阶段，底物结合引发整个 RNAPII EC 的变构构象变化，包括触发环折叠、漏斗闭合、夹闭合、转录气泡排序以及 RNA 3' 端与底物的精确对齐，以形成具有催化能力的构型。对于催化后 EC 弛豫阶段，我们捕获了长期寻找的、短寿命的催化后产物状态，并确定了一系列中间体，这些中间体揭示了促进快速易位的反向构象转变。总之，我们的研究结果定义了 RNAPII NAC 的全面结构和动态框架，产生了 RNAPII 作用的“分子电影”，并揭示了酶通过协调构象动力学平衡速度和保真度的基本原理。</w:t>
      </w:r>
    </w:p>
    <w:p>
      <w:pPr>
        <w:spacing w:before="0" w:after="200" w:lineRule="auto" w:line="276"/>
      </w:pPr>
      <w:r>
        <w:rPr>
          <w:b/>
        </w:rPr>
        <w:t xml:space="preserve">Abstract (EN): </w:t>
      </w:r>
      <w:r>
        <w:t>RNA polymerase II (RNAPII) drives gene expression through iterative nucleotide addition cycles (NACs) comprising translocation, substrate binding, and catalysis. The lack of pre-catalysis and post-catalysis intermediates has precluded a complete mechanistic understanding of the NAC. Here we present 31 Cryo-electron Microscopy structures (with 43 maps) capturing distinct stages of Saccharomyces cerevisiae RNAPII elongation complex (EC) NAC, including previously intractable transition intermediates. We establish a continuous spectrum of RNAPII EC structural dynamics during the NAC, which can be divided into two coordinated phases: a substrate-induced EC tightening phase and a post-catalysis EC relaxation phase. For the substrate-induced EC tightening phase, the substrate binding initiates allosteric conformational changes across the entire RNAPII EC, including Trigger Loop folding, funnel closure, clamp closure, transcription bubble ordering, and precise alignment of the RNA 3′-end with substrate to form a catalysis-competent configuration. For the post-catalysis EC relaxation phase, we capture the long-sought, short-lived post-catalysis product state and identify a series of intermediates that reveal a reverse conformational transition that facilitates rapid translocation. Together, our findings define a comprehensive structural and dynamic framework for RNAPII NAC, yielding a “molecular movie” of RNAPII in action and revealing a fundamental principle by which the enzyme balances speed and fidelity through coordinated conformational dynamics.</w:t>
      </w:r>
    </w:p>
    <w:p>
      <w:pPr>
        <w:spacing w:before="120" w:after="120"/>
      </w:pPr>
      <w:r>
        <w:rPr>
          <w:sz w:val="18"/>
        </w:rPr>
        <w:t>——————————————————————————————————————————————————————————————————————</w:t>
      </w:r>
    </w:p>
    <w:p>
      <w:pPr>
        <w:spacing w:before="160" w:after="40" w:line="240" w:lineRule="auto"/>
      </w:pPr>
      <w:r>
        <w:rPr>
          <w:b/>
        </w:rPr>
        <w:t xml:space="preserve">[383] </w:t>
      </w:r>
      <w:hyperlink r:id="rId936">
        <w:r>
          <w:rPr>
            <w:color w:val="1155CC"/>
            <w:u w:val="single"/>
          </w:rPr>
          <w:t>双层 TeO 2：首个预计具有对称亚 5 纳米 NMOS 和 PMOS 的氧化物半导体</w:t>
        </w:r>
      </w:hyperlink>
    </w:p>
    <w:p>
      <w:pPr>
        <w:spacing w:before="0" w:after="80"/>
      </w:pPr>
      <w:r>
        <w:rPr>
          <w:i/>
          <w:sz w:val="20"/>
        </w:rPr>
        <w:t>EN: Bilayer TeO 2 : The First Predicted Oxide Semiconductor with Symmetric Sub-5-nm NMOS and PMOS</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937">
        <w:r>
          <w:rPr>
            <w:color w:val="1155CC"/>
            <w:u w:val="single"/>
          </w:rPr>
          <w:t>10.1021/acsami.6c09897</w:t>
        </w:r>
      </w:hyperlink>
    </w:p>
    <w:p>
      <w:pPr>
        <w:spacing w:before="0" w:after="120"/>
      </w:pPr>
      <w:r>
        <w:rPr>
          <w:b/>
        </w:rPr>
        <w:t xml:space="preserve">Notes: </w:t>
      </w:r>
      <w:r>
        <w:t>abstract_source=pubmed</w:t>
      </w:r>
    </w:p>
    <w:p>
      <w:pPr>
        <w:spacing w:before="0" w:after="80" w:lineRule="auto" w:line="276"/>
      </w:pPr>
      <w:r>
        <w:rPr>
          <w:b/>
        </w:rPr>
        <w:t xml:space="preserve">摘要（ZH）: </w:t>
      </w:r>
      <w:r>
        <w:t>宽带隙氧化物半导体因其大面积制造、高质量电介质、低接触电阻和低漏电流而成为下一代电子器件非常有前途的通道候选者。然而，超短栅长（Lg）p型晶体管的缺乏限制了它们在未来互补金属氧化物半导体（CMOS）集成中的应用。受成功生长的高空穴迁移率双层 (BL) β-二氧化碲 (β-TeO2) 的启发，我们利用第一原理量子输运模拟研究了亚 5 nm Lg BL β-TeO2 场效应晶体管 (FET) 的性能。 BL β-TeO2 独特的各向异性产生不同的传输特性。在 y 方向上，亚 5 nm Lg n 型和 p 型 BL β-TeO2 FET 都可以满足高性能（HP）器件的国际半导体技术路线图（ITRS）标准，优于已报道的氧化物 FET（仅限 n 型）。值得注意的是，我们首次证明了亚 5 nm Lg 氧化物半导体 FET 中 NMOS 和 PMOS 对称性的存在。对于 x 方向，n 型 BL β-TeO2 FET 满足 ITRS HP 和低功耗 (LP) 要求，Lg 低至 3 nm。因此，我们的工作揭示了 BL β-TeO2 在 CMOS 应用中的巨大前景。</w:t>
      </w:r>
    </w:p>
    <w:p>
      <w:pPr>
        <w:spacing w:before="0" w:after="200" w:lineRule="auto" w:line="276"/>
      </w:pPr>
      <w:r>
        <w:rPr>
          <w:b/>
        </w:rPr>
        <w:t xml:space="preserve">Abstract (EN): </w:t>
      </w:r>
      <w:r>
        <w:t>Wide-band-gap oxide semiconductors are very promising channel candidates for next-generation electronics due to their large-area manufacturing, high-quality dielectrics, low contact resistance, and low leakage current. However, the absence of ultrashort-gate-length (Lg) p-type transistors has restricted their application in future complementary metal oxide semiconductor (CMOS) integration. Inspired by the successfully grown high-hole-mobility bilayer (BL) β-tellurium dioxide (β-TeO2), we investigate the performance of sub-5-nm Lg BL β-TeO2 field-effect transistors (FETs) by utilizing first-principles quantum transport simulation. The distinctive anisotropy of BL β-TeO2 yields different transport properties. In the y direction, both the sub-5-nm Lg n-type and p-type BL β-TeO2 FETs can fulfill the International Technology Roadmap for Semiconductors (ITRS) criteria for high-performance (HP) devices, which are superior to the reported oxide FETs (only n-type). Remarkably, we for the first time demonstrate the existence of the NMOS and PMOS symmetry in sub-5-nm Lg oxide semiconductor FETs. As to the x direction, the n-type BL β-TeO2 FETs satisfy both the ITRS HP and low-power (LP) requirements with Lg down to 3 nm. Consequently, our work sheds light on the tremendous prospects of BL β-TeO2 for CMOS applications.</w:t>
      </w:r>
    </w:p>
    <w:p>
      <w:pPr>
        <w:spacing w:before="120" w:after="120"/>
      </w:pPr>
      <w:r>
        <w:rPr>
          <w:sz w:val="18"/>
        </w:rPr>
        <w:t>——————————————————————————————————————————————————————————————————————</w:t>
      </w:r>
    </w:p>
    <w:p>
      <w:pPr>
        <w:spacing w:before="160" w:after="40" w:line="240" w:lineRule="auto"/>
      </w:pPr>
      <w:r>
        <w:rPr>
          <w:b/>
        </w:rPr>
        <w:t xml:space="preserve">[384] </w:t>
      </w:r>
      <w:hyperlink r:id="rId938">
        <w:r>
          <w:rPr>
            <w:color w:val="1155CC"/>
            <w:u w:val="single"/>
          </w:rPr>
          <w:t>用于磁共振成像的可调谐高弛豫 Gd(III) 共轭硫辛酸水凝胶</w:t>
        </w:r>
      </w:hyperlink>
    </w:p>
    <w:p>
      <w:pPr>
        <w:spacing w:before="0" w:after="80"/>
      </w:pPr>
      <w:r>
        <w:rPr>
          <w:i/>
          <w:sz w:val="20"/>
        </w:rPr>
        <w:t>EN: Tunable, High-Relaxivity Gd(III)-Conjugated Lipoic Acid Hydrogels for Magnetic Resonance Imaging</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939">
        <w:r>
          <w:rPr>
            <w:color w:val="1155CC"/>
            <w:u w:val="single"/>
          </w:rPr>
          <w:t>10.1021/acsami.6c09115</w:t>
        </w:r>
      </w:hyperlink>
    </w:p>
    <w:p>
      <w:pPr>
        <w:spacing w:before="0" w:after="120"/>
      </w:pPr>
      <w:r>
        <w:rPr>
          <w:b/>
        </w:rPr>
        <w:t xml:space="preserve">Notes: </w:t>
      </w:r>
      <w:r>
        <w:t>abstract_source=pubmed</w:t>
      </w:r>
    </w:p>
    <w:p>
      <w:pPr>
        <w:spacing w:before="0" w:after="80" w:lineRule="auto" w:line="276"/>
      </w:pPr>
      <w:r>
        <w:rPr>
          <w:b/>
        </w:rPr>
        <w:t xml:space="preserve">摘要（ZH）: </w:t>
      </w:r>
      <w:r>
        <w:t>通过改变几种不同的碱、添加剂、Gd3+螯合物以及有或没有还原剂（三（2-羧乙基）膦，TCEP），探索了硫辛酸（LA）基水凝胶的聚合、粘度和弛豫率。通过使用TCEP将惰性较大的二硫化物转化为硫醇引发剂，LA的聚合反应得到了极大的改善。人们发现 LA 的碱基去质子化对于溶解 LA 以进行聚合物增长至关重要。各种碱和 TCEP 添加对粘度有显着影响，值范围为 1 × 108 至 1 × 103 mPa·s。这可以实现许多取决于粘度的不同应用的目标，例如外用软膏或可注射水凝胶。通过改变 Gd3+ 螯合物的内球配位或添加一个或两个硫原子，从而允许末端或内部连接的 Gd3+ 螯合物，探索了 LA-水凝胶的弛豫效应。结果发现，LA-水凝胶中Gd3+螯合物的弛豫率由内球和微环境决定，在1.4 T和37 °C下具有r1 = 49.2 ± 1.2 mM-1 s-1的高弛豫率。通过共焦荧光显微镜证实细胞摄取，并在 9.4 T 下评估体内对比度。</w:t>
      </w:r>
    </w:p>
    <w:p>
      <w:pPr>
        <w:spacing w:before="0" w:after="200" w:lineRule="auto" w:line="276"/>
      </w:pPr>
      <w:r>
        <w:rPr>
          <w:b/>
        </w:rPr>
        <w:t xml:space="preserve">Abstract (EN): </w:t>
      </w:r>
      <w:r>
        <w:t>A lipoic acid(LA)-base hydrogel polymerization, viscosity, and relaxivity were explored by varying several different bases, additives, Gd3+ chelates, and with or without a reducing agent (tris(2-carboxyethyl)phosphine, TCEP). The polymerization of LA was greatly improved by using TCEP to convert the more inert disulfides into thiol initiators. The base deprotonation of LA was found to be essential to solubilize LA for polymer propagation. The various bases and TCEP additions had a substantial effect on viscosity, with values ranging from 1 × 108 to 1 × 103 mPa·s. This can enable targeting of many different applications that depend on viscosity, such as topical ointments or injectable hydrogels. The relaxivity effects of the LA-hydrogels were explored by varying the Gd3+ chelates' inner-sphere coordination or by adding one or two sulfur atoms, thereby allowing for a terminal or internal-linking Gd3+ chelate. It was found that the inner sphere and microenvironment dominate the relaxivity of Gd3+ chelates in the LA-hydrogel, with a high relaxivity of r1 = 49.2 ± 1.2 mM-1 s-1 at 1.4 T and 37 °C. Cellular uptake was confirmed by confocal fluorescence microscopy, and contrast was assessed in vivo at 9.4 T.</w:t>
      </w:r>
    </w:p>
    <w:p>
      <w:pPr>
        <w:spacing w:before="120" w:after="120"/>
      </w:pPr>
      <w:r>
        <w:rPr>
          <w:sz w:val="18"/>
        </w:rPr>
        <w:t>——————————————————————————————————————————————————————————————————————</w:t>
      </w:r>
    </w:p>
    <w:p>
      <w:pPr>
        <w:spacing w:before="160" w:after="40" w:line="240" w:lineRule="auto"/>
      </w:pPr>
      <w:r>
        <w:rPr>
          <w:b/>
        </w:rPr>
        <w:t xml:space="preserve">[385] </w:t>
      </w:r>
      <w:hyperlink r:id="rId940">
        <w:r>
          <w:rPr>
            <w:color w:val="1155CC"/>
            <w:u w:val="single"/>
          </w:rPr>
          <w:t>金属有机骨架膜金属离子对海水淡化中 NaCl 溶液传输的影响</w:t>
        </w:r>
      </w:hyperlink>
    </w:p>
    <w:p>
      <w:pPr>
        <w:spacing w:before="0" w:after="80"/>
      </w:pPr>
      <w:r>
        <w:rPr>
          <w:i/>
          <w:sz w:val="20"/>
        </w:rPr>
        <w:t>EN: Effects of Metal Ions of Metal–Organic Framework Membranes on the Transport of NaCl Solutions toward Seawater Desalination</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941">
        <w:r>
          <w:rPr>
            <w:color w:val="1155CC"/>
            <w:u w:val="single"/>
          </w:rPr>
          <w:t>10.1021/acsami.6c07928</w:t>
        </w:r>
      </w:hyperlink>
    </w:p>
    <w:p>
      <w:pPr>
        <w:spacing w:before="0" w:after="120"/>
      </w:pPr>
      <w:r>
        <w:rPr>
          <w:b/>
        </w:rPr>
        <w:t xml:space="preserve">Notes: </w:t>
      </w:r>
      <w:r>
        <w:t>abstract_source=pubmed</w:t>
      </w:r>
    </w:p>
    <w:p>
      <w:pPr>
        <w:spacing w:before="0" w:after="80" w:lineRule="auto" w:line="276"/>
      </w:pPr>
      <w:r>
        <w:rPr>
          <w:b/>
        </w:rPr>
        <w:t xml:space="preserve">摘要（ZH）: </w:t>
      </w:r>
      <w:r>
        <w:t>在这项工作中，我们通过分子动力学模拟研究了金属离子对金属有机骨架（MOF）膜脱盐性能的影响。在不同的驱动压力下研究了 NaCl 溶液通过三种 M-MOF-74 膜（M：Cu、Ni 和 Zn）的传输，这三种膜具有相似的拓扑结构，但金属离子不同。模拟表明 Ni-MOF-74 和 Zn-MOF-74 膜允许 Na+ 和 Cl- 通过，其通量随着驱动压力的增加而增加。然而，Cu-MOF-74膜表现出优异的海水淡化性能。当驱动压力低于50 MPa时，可以完全阻断Na+和Cl-的传输，离子截留率达到100%。此外，在低驱动压力下，通过三个 MOF 膜的水通量相似。当驱动压力高于30 MPa时，通过Cu-MOF-74膜的水通量变得低于Ni-MOF-74和Zn-MOF-74膜的水通量。使用膜的有效孔径、盐离子脱水以及与 Na+ 和 Cl- 传输相关的能量势垒来解释潜在的机制。</w:t>
      </w:r>
    </w:p>
    <w:p>
      <w:pPr>
        <w:spacing w:before="0" w:after="200" w:lineRule="auto" w:line="276"/>
      </w:pPr>
      <w:r>
        <w:rPr>
          <w:b/>
        </w:rPr>
        <w:t xml:space="preserve">Abstract (EN): </w:t>
      </w:r>
      <w:r>
        <w:t>In this work, we study the effects of metal ions on the desalination performance of metal-organic framework (MOF) membranes through molecular dynamics simulations. The transport of NaCl solutions through three M-MOF-74 membranes (M: Cu, Ni, and Zn), which share similar topological structures but differ in metal ions, is investigated under various driving pressures. Simulations reveal that Ni-MOF-74 and Zn-MOF-74 membranes allow the passage of Na+ and Cl-, whose fluxes increase with increasing driving pressure. However, the Cu-MOF-74 membrane exhibits excellent desalination performance. It can completely block the transport of Na+ and Cl- when the driving pressure is lower than 50 MPa, leading to 100% ion rejection rate. Furthermore, water fluxes through the three MOF membranes are similar at low driving pressures. When the driving pressure is higher than 30 MPa, the water flux through the Cu-MOF-74 membrane becomes lower than those for Ni-MOF-74 and Zn-MOF-74 membranes. The underlying mechanisms are explained using effective pore diameters of the membranes, dehydration of salt ions, and the energy barriers associated with the transport of Na+ and Cl-.</w:t>
      </w:r>
    </w:p>
    <w:p>
      <w:pPr>
        <w:spacing w:before="120" w:after="120"/>
      </w:pPr>
      <w:r>
        <w:rPr>
          <w:sz w:val="18"/>
        </w:rPr>
        <w:t>——————————————————————————————————————————————————————————————————————</w:t>
      </w:r>
    </w:p>
    <w:p>
      <w:pPr>
        <w:spacing w:before="160" w:after="40" w:line="240" w:lineRule="auto"/>
      </w:pPr>
      <w:r>
        <w:rPr>
          <w:b/>
        </w:rPr>
        <w:t xml:space="preserve">[386] </w:t>
      </w:r>
      <w:hyperlink r:id="rId942">
        <w:r>
          <w:rPr>
            <w:color w:val="1155CC"/>
            <w:u w:val="single"/>
          </w:rPr>
          <w:t>Ni(111) 上阶梯边缘辅助大孔硼吩的证据</w:t>
        </w:r>
      </w:hyperlink>
    </w:p>
    <w:p>
      <w:pPr>
        <w:spacing w:before="0" w:after="80"/>
      </w:pPr>
      <w:r>
        <w:rPr>
          <w:i/>
          <w:sz w:val="20"/>
        </w:rPr>
        <w:t>EN: Evidence for Step-Edge-Assisted Large Hole Borophene on Ni(111)</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943">
        <w:r>
          <w:rPr>
            <w:color w:val="1155CC"/>
            <w:u w:val="single"/>
          </w:rPr>
          <w:t>10.1021/acsami.6c08634</w:t>
        </w:r>
      </w:hyperlink>
    </w:p>
    <w:p>
      <w:pPr>
        <w:spacing w:before="0" w:after="120"/>
      </w:pPr>
      <w:r>
        <w:rPr>
          <w:b/>
        </w:rPr>
        <w:t xml:space="preserve">Notes: </w:t>
      </w:r>
      <w:r>
        <w:t>abstract_source=pubmed</w:t>
      </w:r>
    </w:p>
    <w:p>
      <w:pPr>
        <w:spacing w:before="0" w:after="80" w:lineRule="auto" w:line="276"/>
      </w:pPr>
      <w:r>
        <w:rPr>
          <w:b/>
        </w:rPr>
        <w:t xml:space="preserve">摘要（ZH）: </w:t>
      </w:r>
      <w:r>
        <w:t>由于其独特的电子特性，硼倾向于形成各种多中心键，从而能够通过调节三角晶格内硼空位的数量和分布来构建多种二维硼烯结构。在这项研究中，我们在超高真空条件下通过分子束外延研究了加热 Ni(111) 基板上的大孔硼烯模型。通过扫描隧道显微镜、低能电子衍射、角分辨光电子能谱和密度泛函理论计算研究了复杂的原子排列和电子结构。我们的结果表明，硼原子最初并入镍表面，并优先在阶梯边缘成核。所提出的结构和镍阶梯边缘配置之间有利的几何匹配有助于结构的稳定并促进其在当前生长条件下的形成。这些发现扩大了二维硼烯片的结构多样性，并为金属基底上复杂硼烯结构的受控合成提供了见解。</w:t>
      </w:r>
    </w:p>
    <w:p>
      <w:pPr>
        <w:spacing w:before="0" w:after="200" w:lineRule="auto" w:line="276"/>
      </w:pPr>
      <w:r>
        <w:rPr>
          <w:b/>
        </w:rPr>
        <w:t xml:space="preserve">Abstract (EN): </w:t>
      </w:r>
      <w:r>
        <w:t>Due to its unique electronic properties, boron tends to form various multicenter bonds, enabling the construction of diverse two-dimensional borophene structures through modulation of the number and distribution of boron vacancies within a triangular lattice. In this study, we investigate a large-hole borophene model on heated Ni(111) substrates via molecular beam epitaxy under ultra-high-vacuum conditions. The complex atomic arrangement and electronic structures were investigated by scanning tunneling microscopy, low-energy electron diffraction, angle-resolved photoemission spectroscopy, and density functional theory calculations. Our results suggest that boron atoms are initially incorporated into the Ni surface and preferentially nucleated at step edges. The favorable geometric matching between the proposed structure and the Ni step-edge configuration contributes to the stabilization of the structure and facilitates its formation under the present growth conditions. These findings broaden the structural diversity of 2D borophene sheets and offer insights into the controlled synthesis of complex borophene architectures on metallic substrates.</w:t>
      </w:r>
    </w:p>
    <w:p>
      <w:pPr>
        <w:spacing w:before="120" w:after="120"/>
      </w:pPr>
      <w:r>
        <w:rPr>
          <w:sz w:val="18"/>
        </w:rPr>
        <w:t>——————————————————————————————————————————————————————————————————————</w:t>
      </w:r>
    </w:p>
    <w:p>
      <w:pPr>
        <w:spacing w:before="160" w:after="40" w:line="240" w:lineRule="auto"/>
      </w:pPr>
      <w:r>
        <w:rPr>
          <w:b/>
        </w:rPr>
        <w:t xml:space="preserve">[387] </w:t>
      </w:r>
      <w:hyperlink r:id="rId944">
        <w:r>
          <w:rPr>
            <w:color w:val="1155CC"/>
            <w:u w:val="single"/>
          </w:rPr>
          <w:t>靶向和抗氧化表面工程间充质基质细胞用于增强勃起功能障碍治疗</w:t>
        </w:r>
      </w:hyperlink>
    </w:p>
    <w:p>
      <w:pPr>
        <w:spacing w:before="0" w:after="80"/>
      </w:pPr>
      <w:r>
        <w:rPr>
          <w:i/>
          <w:sz w:val="20"/>
        </w:rPr>
        <w:t>EN: Targeting and antioxidant surface-engineered mesenchymal stromal cells for enhanced erectile dysfunction therapy</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勃起功能障碍会损害男性的生活质量和生育能力。间充质基质细胞注射疗法具有临床前景，但由于血流过快、活性氧含量升高和炎症导致海绵体内细胞保留和存活率较差，其疗效受到限制。在这里，我们表明，用与抗血管细胞粘附分子1的抗体缀合的聚多巴胺纳米颗粒进行表面工程改造的间充质基质细胞在勃起功能障碍中表现出增强的保留、存活和治疗功效。我们证明多价抗体引导细胞到达发炎的海绵体内皮，而聚多巴胺减轻活性氧诱导的损伤并改善炎症微环境。我们表明，基础工程过程在温和条件下可以快速实现，最大限度地减少对细胞活力的影响。我们发现表面工程间充质基质细胞在高活性氧应激下表现出更高的存活率，并增强了体外靶向能力。在勃起功能障碍的大鼠模型中，我们证明工程细胞实现了强大的海绵体保留，减少了局部活性氧和炎症，逆转了组织病理学并恢复了勃起功能。我们进一步验证了它们在比格犬模型中的功效，证实了跨物种转化潜力。因此，这项研究提供了一种简便且可转化的表面工程策略，以克服基于间充质基质细胞的勃起功能障碍治疗的关键瓶颈。</w:t>
      </w:r>
    </w:p>
    <w:p>
      <w:pPr>
        <w:spacing w:before="0" w:after="200" w:lineRule="auto" w:line="276"/>
      </w:pPr>
      <w:r>
        <w:rPr>
          <w:b/>
        </w:rPr>
        <w:t xml:space="preserve">Abstract (EN): </w:t>
      </w:r>
      <w:r>
        <w:t>Erectile dysfunction compromises men’s quality of life and fertility. Mesenchymal stromal cell injection therapy holds clinical promise, yet its efficacy is limited by poor cell retention and survival in the corpus cavernosum due to rapid blood flow, elevated reactive oxygen species and inflammation. Here, we show that mesenchymal stromal cells surface-engineered with polydopamine nanoparticles conjugated to antibodies against vascular cell adhesion molecule 1 exhibit enhanced retention, survival, and therapeutic efficacy in erectile dysfunction. We demonstrate that the multivalent antibodies guide the cells to inflamed cavernosal endothelium, while polydopamine mitigates reactive oxygen species‑induced damage and improves the inflammatory microenvironment. We show that the underlying engineering process is rapidly achievable under mild conditions, minimizing the impact on cell viability. We find that surface-engineered mesenchymal stromal cells display improved survival under high reactive oxygen species stress and enhanced targeting capabilities in vitro. In rat models of erectile dysfunction, we demonstrate that the engineered cells achieve robust cavernosal retention, reduce local reactive oxygen species and inflammation, reverse tissue pathology, and restore erectile function. We further validate their efficacy in beagle models, confirming cross-species translational potential. Thus, this study provides a facile and translatable surface engineering strategy to overcome key bottlenecks in mesenchymal stromal cell-based erectile dysfunction therapy.</w:t>
      </w:r>
    </w:p>
    <w:p>
      <w:pPr>
        <w:spacing w:before="120" w:after="120"/>
      </w:pPr>
      <w:r>
        <w:rPr>
          <w:sz w:val="18"/>
        </w:rPr>
        <w:t>——————————————————————————————————————————————————————————————————————</w:t>
      </w:r>
    </w:p>
    <w:p>
      <w:pPr>
        <w:spacing w:before="160" w:after="40" w:line="240" w:lineRule="auto"/>
      </w:pPr>
      <w:r>
        <w:rPr>
          <w:b/>
        </w:rPr>
        <w:t xml:space="preserve">[388] </w:t>
      </w:r>
      <w:hyperlink r:id="rId945">
        <w:r>
          <w:rPr>
            <w:color w:val="1155CC"/>
            <w:u w:val="single"/>
          </w:rPr>
          <w:t>通过凝胶电泳和 3D 单分子成像对单细胞蛋白质组进行分子分析</w:t>
        </w:r>
      </w:hyperlink>
    </w:p>
    <w:p>
      <w:pPr>
        <w:spacing w:before="0" w:after="80"/>
      </w:pPr>
      <w:r>
        <w:rPr>
          <w:i/>
          <w:sz w:val="20"/>
        </w:rPr>
        <w:t>EN: Molecular profiling of the single-cell proteome via gel electrophoresis and 3D single-molecule imaging</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鸟枪法蛋白质组学和免疫分析的最新进展产生了强大的单细胞蛋白质组学技术。然而，当前的方法缺乏全面量化单个细胞中蛋白质丰度所需的灵敏度。在这里，我们提出了单细胞 PAGE-PISA，这是一种将凝胶电泳与 3D 单分子荧光成像相结合的超灵敏蛋白质组分析策略。我们的方法用荧光染料标记单细胞中的所有蛋白质，通过电泳将它们分离，并以单分子分辨率进行计数。该技术可定量单个哺乳动物细胞中超过 107 个蛋白质拷贝，其灵敏度可检测每个物种低至 105 个拷贝的低丰度蛋白质。单细胞 PAGE-PISA 根据细胞的蛋白质组谱成功地将细胞分为不同的细胞类型。此外，我们的单细胞蛋白质组数据与心肌细胞分化过程中的预测发育状态密切相关，为单细胞转录组数据提供了补充信息。总之，单细胞 PAGE-PISA 能够在单细胞水平上进行高度灵敏的定量蛋白质组分析，捕获区分不同细胞状态的细微蛋白质组差异。</w:t>
      </w:r>
    </w:p>
    <w:p>
      <w:pPr>
        <w:spacing w:before="0" w:after="200" w:lineRule="auto" w:line="276"/>
      </w:pPr>
      <w:r>
        <w:rPr>
          <w:b/>
        </w:rPr>
        <w:t xml:space="preserve">Abstract (EN): </w:t>
      </w:r>
      <w:r>
        <w:t>Recent advances in shotgun proteomics and immunoassays have yielded powerful single-cell proteomics technologies. However, current methods lack the sensitivity required to comprehensively quantify protein abundances in individual cells. Here, we present single-cell PAGE-PISA, an ultra-sensitive proteome profiling strategy that combines gel electrophoresis with 3D single-molecule fluorescence imaging. Our approach labels all proteins in single cells with fluorescent dyes, separates them by electrophoresis, and counts with single-molecule resolution. This technique quantified over 107 protein copies from a single mammalian cell with the sensitivity to detect low-abundance proteins down to 105 copies per species. Single-cell PAGE-PISA successfully classified cells into distinct cell types based on their proteomic profiles. Furthermore, our single-cell proteome data strongly correlated with predicted developmental states during cardiomyocyte differentiation, providing complementary information to single-cell transcriptome data. Together, single-cell PAGE-PISA enables highly sensitive and quantitative proteome profiling at the single-cell level, capturing subtle proteomic differences that distinguish diverse cellular states.</w:t>
      </w:r>
    </w:p>
    <w:p>
      <w:pPr>
        <w:spacing w:before="120" w:after="120"/>
      </w:pPr>
      <w:r>
        <w:rPr>
          <w:sz w:val="18"/>
        </w:rPr>
        <w:t>——————————————————————————————————————————————————————————————————————</w:t>
      </w:r>
    </w:p>
    <w:p>
      <w:pPr>
        <w:spacing w:before="160" w:after="40" w:line="240" w:lineRule="auto"/>
      </w:pPr>
      <w:r>
        <w:rPr>
          <w:b/>
        </w:rPr>
        <w:t xml:space="preserve">[389] </w:t>
      </w:r>
      <w:hyperlink r:id="rId946">
        <w:r>
          <w:rPr>
            <w:color w:val="1155CC"/>
            <w:u w:val="single"/>
          </w:rPr>
          <w:t>TREM1 信号放大炎症性肠病中中性粒细胞介导的炎症</w:t>
        </w:r>
      </w:hyperlink>
    </w:p>
    <w:p>
      <w:pPr>
        <w:spacing w:before="0" w:after="80"/>
      </w:pPr>
      <w:r>
        <w:rPr>
          <w:i/>
          <w:sz w:val="20"/>
        </w:rPr>
        <w:t>EN: TREM1 signaling amplifies neutrophil-mediated inflammation in inflammatory bowel disease</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在炎症性肠病（IBD）中，复杂的免疫失调会诱发慢性炎症。 TREM1 是骨髓细胞上表达的受体，被 PGLYRP1 等配体激活以放大炎症反应。在这里，我们分析了 TREM1 信号在中性粒细胞驱动的炎症中的功能，确定了两个正反馈回路。首先，佛波醇 12-肉豆蔻酸酯 13-乙酸酯 (PMA) 或细菌激活的中性粒细胞释放 PGLYRP1，后者与细菌肽聚糖形成配体复合物并激活 TREM1，从而增强中性粒细胞脱粒、活性氧产生和 NETosis。其次，单核细胞上的 TREM1 激活会促进趋化因子和细胞因子的分泌，从而招募和激活额外的中性粒细胞，从而进一步使炎症持续存在。在体内，TREM1 激活会加剧小鼠的结肠炎，而肠道共生细菌粪布劳特菌 (Blautia faecis) 可能会导致 IBD 中的人类 TREM1 激活。在 IBD 患者的活检样本中，TREM1 通路特征升高与溃疡性结肠炎的发炎组织和治疗抵抗相关。因此，我们的研究结果强调 TREM1 是粘膜炎症的调节因子，也是 IBD 的潜在治疗靶点。</w:t>
      </w:r>
    </w:p>
    <w:p>
      <w:pPr>
        <w:spacing w:before="0" w:after="200" w:lineRule="auto" w:line="276"/>
      </w:pPr>
      <w:r>
        <w:rPr>
          <w:b/>
        </w:rPr>
        <w:t xml:space="preserve">Abstract (EN): </w:t>
      </w:r>
      <w:r>
        <w:t>In inflammatory bowel disease (IBD), complex immune dysregulation induces chronic inflammation. TREM1 is a receptor expressed on myeloid cells and is activated by ligands such as PGLYRP1 to amplify inflammatory responses. Here, we analyze the function of TREM1 signaling in neutrophil-driven inflammation, identifying two positive feedback loops. First, neutrophils activated by phorbol 12-myristate 13-acetate (PMA) or by bacteria release PGLYRP1, which forms a ligand complex with bacterial peptidoglycan and activates TREM1, thereby enhancing neutrophil degranulation, reactive oxygen species production, and NETosis. Second, TREM1 activation on monocytes promotes the secretion of chemokines and cytokines that recruit and activate additional neutrophils, further perpetuating inflammation. In vivo, TREM1 activation exacerbates colitis in mice, with the gut commensal bacterium Blautia faecis potentially contributing to human TREM1 activation in IBD. In biopsy samples from patients with IBD, an elevated TREM1 pathway signature is associated with inflamed tissue and treatment resistance in ulcerative colitis. Our findings thus highlight TREM1 as a regulator of mucosal inflammation, and a potential therapeutic target for IBD.</w:t>
      </w:r>
    </w:p>
    <w:p>
      <w:pPr>
        <w:spacing w:before="120" w:after="120"/>
      </w:pPr>
      <w:r>
        <w:rPr>
          <w:sz w:val="18"/>
        </w:rPr>
        <w:t>——————————————————————————————————————————————————————————————————————</w:t>
      </w:r>
    </w:p>
    <w:p>
      <w:pPr>
        <w:spacing w:before="160" w:after="40" w:line="240" w:lineRule="auto"/>
      </w:pPr>
      <w:r>
        <w:rPr>
          <w:b/>
        </w:rPr>
        <w:t xml:space="preserve">[390] </w:t>
      </w:r>
      <w:hyperlink r:id="rId947">
        <w:r>
          <w:rPr>
            <w:color w:val="1155CC"/>
            <w:u w:val="single"/>
          </w:rPr>
          <w:t>SerRS 和 SIRT2 之间的代谢桥复合物将 NAD⁺ 代谢与翻译控制结合起来</w:t>
        </w:r>
      </w:hyperlink>
    </w:p>
    <w:p>
      <w:pPr>
        <w:spacing w:before="0" w:after="80"/>
      </w:pPr>
      <w:r>
        <w:rPr>
          <w:i/>
          <w:sz w:val="20"/>
        </w:rPr>
        <w:t>EN: A metabolite-bridged complex between SerRS and SIRT2 couples NAD⁺ metabolism to translation control</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细胞稳态需要代谢网络和翻译网络之间的紧密协调。在这里，我们通过人胞质丝氨酰-tRNA合成酶（SerRS）与NAD⁺依赖性脱乙酰酶SIRT2复合物的冷冻电镜结构确定了这些过程之间的直接分子联系。这种相互作用是由 NAD⁺ 代谢物 ADP-核糖 (ADPR) 促进的，它充当两种酶之间的分子桥梁。在 SIRT2 活性位点内，ADPR 与位于灵活催化结构域环中的 SerRS 残基 K414 结合。 K414 的乙酰化对于结合来说是可有可无的。从功能上讲，复合物的形成通过阻断底物进入来抑制 SIRT2 脱乙酰酶活性，而 SIRT2 结合通过阻止 tRNA 结合来抑制 SerRS 氨酰化活性。因此，SerRS 和 SIRT2 相互调节，ADPR 增强，而 tRNA 减弱它们的相互作用。氧化应激通过 PARP1 依赖性途径促进这种相互作用，揭示了将代谢状态与翻译输出耦合的 ADPR 响应调节模块。这种调节模块可能在脊椎动物中是保守的。</w:t>
      </w:r>
    </w:p>
    <w:p>
      <w:pPr>
        <w:spacing w:before="0" w:after="200" w:lineRule="auto" w:line="276"/>
      </w:pPr>
      <w:r>
        <w:rPr>
          <w:b/>
        </w:rPr>
        <w:t xml:space="preserve">Abstract (EN): </w:t>
      </w:r>
      <w:r>
        <w:t>Cellular homeostasis requires tight coordination between metabolic and translational networks. Here we identify a direct molecular link between these processes through a cryo-EM structure of human cytosolic seryl-tRNA synthetase (SerRS) in complex with the NAD⁺-dependent deacetylase SIRT2. This interaction is promoted by the NAD⁺ metabolite ADP-ribose (ADPR), which acts as a molecular bridge between the two enzymes. Within the SIRT2 active site, ADPR engages SerRS residue K414 located in a flexible catalytic-domain loop. Acetylation of K414 is dispensable for binding. Functionally, complex formation inhibits SIRT2 deacetylase activity by blocking substrate access, while SIRT2 association suppresses SerRS aminoacylation activity by preventing tRNA binding. Thus, SerRS and SIRT2 mutually regulate each other, with ADPR enhancing while tRNA attenuating their interaction. Oxidative stress promotes this interaction via a PARP1-dependent pathway, revealing an ADPR-responsive regulatory module that couples metabolic state to translational output. This regulatory module is likely conserved across vertebrates.</w:t>
      </w:r>
    </w:p>
    <w:p>
      <w:pPr>
        <w:spacing w:before="120" w:after="120"/>
      </w:pPr>
      <w:r>
        <w:rPr>
          <w:sz w:val="18"/>
        </w:rPr>
        <w:t>——————————————————————————————————————————————————————————————————————</w:t>
      </w:r>
    </w:p>
    <w:p>
      <w:pPr>
        <w:spacing w:before="160" w:after="40" w:line="240" w:lineRule="auto"/>
      </w:pPr>
      <w:r>
        <w:rPr>
          <w:b/>
        </w:rPr>
        <w:t xml:space="preserve">[391] </w:t>
      </w:r>
      <w:hyperlink r:id="rId948">
        <w:r>
          <w:rPr>
            <w:color w:val="1155CC"/>
            <w:u w:val="single"/>
          </w:rPr>
          <w:t>小鼠日本血吸虫病肝肉芽肿形成和进化的细胞异质性</w:t>
        </w:r>
      </w:hyperlink>
    </w:p>
    <w:p>
      <w:pPr>
        <w:spacing w:before="0" w:after="80"/>
      </w:pPr>
      <w:r>
        <w:rPr>
          <w:i/>
          <w:sz w:val="20"/>
        </w:rPr>
        <w:t>EN: Cellular heterogeneity of hepatic granuloma formation and evolution in murine schistosomiasis japonica</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血吸虫病的发病率和死亡率主要是由虫卵引发的肉芽肿及其随后的纤维化引起的。然而，这些肉芽肿内细胞组成的动态，特别是协调其形成和进化的关键免疫细胞的身份和功能，仍然知之甚少。在这里，我们将单细胞 RNA 测序与多重免疫荧光相结合，来表征日本血吸虫感染小鼠的肝脏免疫景观，并进一步验证两个中性粒细胞亚群的功能作用。我们发现鸡蛋改变了肝脏免疫细胞的组成，其特点是广泛的中性粒细胞募集和分化。中性粒细胞募集与源自单核细胞自分泌环和旁分泌信号的 CXCL2 相关。细胞定位分析表明，肉芽肿经历三个不同的发育阶段：早期 Ly6GhiF4/80loDesminlo、发育中的 Ly6GmidF4/80hiDesminmid 和晚期 Ly6GloF4/80midDesminhi。中性粒细胞亚群在肉芽肿内呈带状分布，CD177+中性粒细胞围绕卵，Ltf+中性粒细胞定位于中外层。 Cd177 敲低可减少肉芽肿大小和纤维化，而 Ltf 抑制则可增加这些病理特征，表明 CD177 和 LTF 对肉芽肿形成具有相反的作用。我们的研究结果为日本血吸虫卵诱导的肉芽肿的细胞复杂性提供了新的见解，并可能有助于指导肝纤维化新疗法的开发。</w:t>
      </w:r>
    </w:p>
    <w:p>
      <w:pPr>
        <w:spacing w:before="0" w:after="200" w:lineRule="auto" w:line="276"/>
      </w:pPr>
      <w:r>
        <w:rPr>
          <w:b/>
        </w:rPr>
        <w:t xml:space="preserve">Abstract (EN): </w:t>
      </w:r>
      <w:r>
        <w:t>Schistosomiasis morbidity and mortality are primarily driven by egg-triggered granulomas with subsequent fibrosis. However, the dynamics of cellular composition within these granulomas, particularly the identity and function of key immune cells that orchestrate their formation and evolution, remain poorly understood. Here, we combine single-cell RNA sequencing with multiplex immunofluorescence to characterize the hepatic immune landscape in Schistosoma japonicum-infected mice and further validate the functional roles of two neutrophil subsets. We find that eggs alter hepatic immune cell composition, which is characterized by extensive neutrophil recruitment and differentiation. Neutrophil recruitment correlates with CXCL2 derived from both an autocrine loop and paracrine signaling from monocytes. Cellular localization analysis reveals that granulomas progress through three distinct developmental stages: early Ly6GhiF4/80loDesminlo, developing Ly6GmidF4/80hiDesminmid, and advanced Ly6GloF4/80midDesminhi. Neutrophil subsets display a zonal distribution within granulomas, with CD177+ neutrophils surrounding the eggs and Ltf+ neutrophils localizing to the mid-outer layer. Cd177 knockdown reduces granuloma size and fibrosis, whereas Ltf suppression increases these pathological features, indicating that CD177 and LTF exert opposite effects on granuloma formation. Our findings provide new insights into the cellular complexity of S. japonicum egg-induced granulomas and may help guide the development of novel therapies for liver fibrosis.</w:t>
      </w:r>
    </w:p>
    <w:p>
      <w:pPr>
        <w:spacing w:before="120" w:after="120"/>
      </w:pPr>
      <w:r>
        <w:rPr>
          <w:sz w:val="18"/>
        </w:rPr>
        <w:t>——————————————————————————————————————————————————————————————————————</w:t>
      </w:r>
    </w:p>
    <w:p>
      <w:pPr>
        <w:spacing w:before="160" w:after="40" w:line="240" w:lineRule="auto"/>
      </w:pPr>
      <w:r>
        <w:rPr>
          <w:b/>
        </w:rPr>
        <w:t xml:space="preserve">[392] </w:t>
      </w:r>
      <w:hyperlink r:id="rId949">
        <w:r>
          <w:rPr>
            <w:color w:val="1155CC"/>
            <w:u w:val="single"/>
          </w:rPr>
          <w:t>用于水净化的桥介导 FeCu 双原子催化剂的轨道耦合</w:t>
        </w:r>
      </w:hyperlink>
    </w:p>
    <w:p>
      <w:pPr>
        <w:spacing w:before="0" w:after="80"/>
      </w:pPr>
      <w:r>
        <w:rPr>
          <w:i/>
          <w:sz w:val="20"/>
        </w:rPr>
        <w:t>EN: Orbital coupling in bridge-mediated FeCu dual-atom catalysts for water decontamination</w:t>
      </w:r>
    </w:p>
    <w:p>
      <w:pPr>
        <w:spacing w:before="0" w:after="120"/>
      </w:pPr>
      <w:r>
        <w:rPr>
          <w:b/>
        </w:rPr>
        <w:t xml:space="preserve">Source: </w:t>
      </w:r>
      <w:r>
        <w:t>Earth and environmental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双原子催化剂 (DAC) 对高级氧化过程具有重大前景。然而，它们的实际应用往往受到电子转移缓慢和原子利用效率低的限制。在此，我们报道了P桥联的Fe-Cu双原子催化剂（FeCu-NP-C）由第一层N和P配体精确调控，形成独特的N3Fe-P1-CuN3结构。 Fe-P-Cu桥键诱导d-p-d梯度轨道耦合，建立从Cu位点（电子供体）到Fe位点（电子受体）的定向电子转移通道，从而实现污染物超快降解和细菌灭活。 FeCu-NP-C催化剂能够过一硫酸盐活化，选择性地生成稳态浓度为5.80×10−5 mM的高价铁氧物种，比Fe-NP-C高100倍。 FeCu-NP-C膜反应器在100小时内可实现每克催化剂处理500升废水的能力，每吨运行成本为0.16美元。这项工作为水净化中 DAC 的桥介导轨道相互作用提供了深入的见解。</w:t>
      </w:r>
    </w:p>
    <w:p>
      <w:pPr>
        <w:spacing w:before="0" w:after="200" w:lineRule="auto" w:line="276"/>
      </w:pPr>
      <w:r>
        <w:rPr>
          <w:b/>
        </w:rPr>
        <w:t xml:space="preserve">Abstract (EN): </w:t>
      </w:r>
      <w:r>
        <w:t>Dual-atom catalysts (DACs) hold significant promise for advanced oxidation processes. However, their practical applications are often limited by sluggish electron transfer and low atomic utilization efficiency. Herein, we report that P-bridged Fe-Cu dual-atom catalysts (FeCu-NP-C) are precisely modulated by first-shell N and P ligands, forming a unique N3Fe-P1-CuN3 structure. The Fe-P-Cu bridging bond induces d-p-d gradient orbital coupling to establish a directional electron-transfer channel from the Cu site (electron donor) to the Fe site (electron acceptor) for enabling ultrafast pollutant degradation and bacterial inactivation. The FeCu-NP-C catalyst enables peroxymonosulfate activation to selectively generate high-valent iron-oxo species with a steady-state concentration of 5.80 × 10−5 mM, which is 100 times higher than that of Fe-NP-C. The FeCu-NP-C membrane reactor achieves a treatment capacity of 500 L of wastewater per gram of catalyst over 100 h, at an operational cost of USD 0.16 per tonne. This work provides deep insights into the bridge-mediated orbital interactions of DACs for water decontamination.</w:t>
      </w:r>
    </w:p>
    <w:p>
      <w:pPr>
        <w:spacing w:before="120" w:after="120"/>
      </w:pPr>
      <w:r>
        <w:rPr>
          <w:sz w:val="18"/>
        </w:rPr>
        <w:t>——————————————————————————————————————————————————————————————————————</w:t>
      </w:r>
    </w:p>
    <w:p>
      <w:pPr>
        <w:spacing w:before="160" w:after="40" w:line="240" w:lineRule="auto"/>
      </w:pPr>
      <w:r>
        <w:rPr>
          <w:b/>
        </w:rPr>
        <w:t xml:space="preserve">[393] </w:t>
      </w:r>
      <w:hyperlink r:id="rId950">
        <w:r>
          <w:rPr>
            <w:color w:val="1155CC"/>
            <w:u w:val="single"/>
          </w:rPr>
          <w:t>卵巢透明细胞癌的空间转录组分析揭示了 OXPHOS 和 EMT 梯度的异质性</w:t>
        </w:r>
      </w:hyperlink>
    </w:p>
    <w:p>
      <w:pPr>
        <w:spacing w:before="0" w:after="80"/>
      </w:pPr>
      <w:r>
        <w:rPr>
          <w:i/>
          <w:sz w:val="20"/>
        </w:rPr>
        <w:t>EN: Spatial transcriptomic profiling of ovarian clear cell carcinoma reveals heterogeneity in OXPHOS and EMT gradients</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肿瘤内异质性本质上由肿瘤细胞的分子改变组成，外在则由与微环境的互连组成。本研究探讨了卵巢透明细胞癌（OCCC）的空间异质性，这是一种对东亚女性具有重要意义的罕见癌症。我们使用空间转录组 (ST) 平台对发现队列中的 21 个原发性转移肿瘤对和两个验证队列中的 16 个肿瘤进行了分析。我们的综合分析揭示了 OXPHOS 和炎症之间沿 EMT 梯度呈负相关。经历部分 EMT 的 OCCC 细胞发生代谢变化并失去 LCN2 表达，可能是通过 SOX9 的伴随下调而实现的。相反，LCN2 表达与 OCCC 中富含 OXPHOS 的肿瘤特征、低 EMT 和更好的结果相关。使用 CosMx 进行的单细胞 ST 分析进一步鉴定了九个空间上不同的癌细胞群，包括具有高上皮评分的 LCN2 高癌症亚克隆。 SOX9 诱导可以部分恢复 LCN2-low 细胞的上皮性，表明 OCCC 的可塑性是通过转录重编程实现的。我们的研究结果为 OCCC 中上皮间质可塑性以及癌细胞与其微环境之间的适应性相互作用提供了进一步的见解。</w:t>
      </w:r>
    </w:p>
    <w:p>
      <w:pPr>
        <w:spacing w:before="0" w:after="200" w:lineRule="auto" w:line="276"/>
      </w:pPr>
      <w:r>
        <w:rPr>
          <w:b/>
        </w:rPr>
        <w:t xml:space="preserve">Abstract (EN): </w:t>
      </w:r>
      <w:r>
        <w:t>Intratumoral heterogeneity is intrinsically comprised of molecular alterations of tumor cells and extrinsically from interconnections with microenvironments. This study explores the spatial heterogeneity of ovarian clear cell carcinoma (OCCC), a rare cancer with significance to East Asian women. We profile 21 primary-metastatic tumor pairs in a discovery cohort and 16 tumors in two validation cohorts using spatial transcriptomic (ST) platforms. Our integrative analysis revealed an inverse relationship between OXPHOS and inflammation along the EMT gradient. OCCC cells undergoing partial EMT have metabolic shifts and lose LCN2 expression, possibly via concomitant down-regulation of SOX9. Conversely, LCN2 expression correlated with OXPHOS-enriched tumor signature, low EMT, and better outcomes in OCCC. Single-cell ST profiling using CosMx further identifies nine spatially distinct cancer cell populations including the LCN2-high cancer subclone with a high epithelial score. SOX9 induction could partially restore epithelial-ness in LCN2-low cells suggesting that plasticity in OCCC is achieved via transcriptional reprogramming. Our findings provide further insights into epithelial-mesenchymal plasticity and the adaptive interactions between cancer cells and their microenvironments in OCCC.</w:t>
      </w:r>
    </w:p>
    <w:p>
      <w:pPr>
        <w:spacing w:before="120" w:after="120"/>
      </w:pPr>
      <w:r>
        <w:rPr>
          <w:sz w:val="18"/>
        </w:rPr>
        <w:t>——————————————————————————————————————————————————————————————————————</w:t>
      </w:r>
    </w:p>
    <w:p>
      <w:pPr>
        <w:spacing w:before="160" w:after="40" w:line="240" w:lineRule="auto"/>
      </w:pPr>
      <w:r>
        <w:rPr>
          <w:b/>
        </w:rPr>
        <w:t xml:space="preserve">[394] </w:t>
      </w:r>
      <w:hyperlink r:id="rId951">
        <w:r>
          <w:rPr>
            <w:color w:val="1155CC"/>
            <w:u w:val="single"/>
          </w:rPr>
          <w:t>一种基于 Cas6f 的便携式细菌多重翻译抑制系统</w:t>
        </w:r>
      </w:hyperlink>
    </w:p>
    <w:p>
      <w:pPr>
        <w:spacing w:before="0" w:after="80"/>
      </w:pPr>
      <w:r>
        <w:rPr>
          <w:i/>
          <w:sz w:val="20"/>
        </w:rPr>
        <w:t>EN: A portable Cas6f-based system for multiplex translational repression in bacteria</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工程化小 RNA (sRNA) 可实现可编程基因敲除，并支持模型细菌中的代谢工程和多重调控。尽管如此，精确、可调节和多重基因抑制仍然是合成生物学中的一个挑战。常见的工具可能会造成遗传负担，取决于宿主 RNA 因素，或者不能很好地跨物种转移。在这里，我们推出 MORTISE（多重正交翻译干扰系统），这是一种基于 Cas6f 的紧凑平台，用于革兰氏阴性细菌的可编程翻译抑制。该系统无需宿主 Hfq 或 RNase，即可在大肠杆菌和恶臭假单胞菌中稳定运行。我们使用染色体报告基因检测证明了这两个物种的抑制，当引导转录和目标转录匹配以及翻译起始区域被靶向时，性能得到改善。单启动子多重化可实现同时击倒，克隆工具箱可促进一步组装多达 9 个导向器。最后，MORTISE 被用来促进恶臭假单胞菌中依赖丙二酰辅酶 A 的生产，支持途径平衡。</w:t>
      </w:r>
    </w:p>
    <w:p>
      <w:pPr>
        <w:spacing w:before="0" w:after="200" w:lineRule="auto" w:line="276"/>
      </w:pPr>
      <w:r>
        <w:rPr>
          <w:b/>
        </w:rPr>
        <w:t xml:space="preserve">Abstract (EN): </w:t>
      </w:r>
      <w:r>
        <w:t>Engineered small RNAs (sRNAs) enable programmable gene knockdowns and support metabolic engineering and multiplex regulation in model bacteria. Still, precise, tunable, and multiplex gene repression remains a challenge in synthetic biology. Common tools can impose genetic burden, depend on host RNA factors, or do not transfer well across species. Here we present MORTISE (Multiplex, ORthogonal Translation Interference SystEm), a compact Cas6f-based platform for programmable translational repression in Gram-negative bacteria. The system functions without host Hfq or RNases and operates robustly in Escherichia coli and Pseudomonas putida. We demonstrate repression in both species using chromosomal reporter assays, with performance improving when guide and target transcription are matched and when the translation initiation region is targeted. Single-promoter multiplexing enables simultaneous knockdowns and a cloning toolbox facilitates assembly of up to nine guides in a single step. Finally, MORTISE is leveraged to boost malonyl-coenzyme A–dependent production in P. putida, supporting pathway balancing.</w:t>
      </w:r>
    </w:p>
    <w:p>
      <w:pPr>
        <w:spacing w:before="120" w:after="120"/>
      </w:pPr>
      <w:r>
        <w:rPr>
          <w:sz w:val="18"/>
        </w:rPr>
        <w:t>——————————————————————————————————————————————————————————————————————</w:t>
      </w:r>
    </w:p>
    <w:p>
      <w:pPr>
        <w:spacing w:before="160" w:after="40" w:line="240" w:lineRule="auto"/>
      </w:pPr>
      <w:r>
        <w:rPr>
          <w:b/>
        </w:rPr>
        <w:t xml:space="preserve">[395] </w:t>
      </w:r>
      <w:hyperlink r:id="rId952">
        <w:r>
          <w:rPr>
            <w:color w:val="1155CC"/>
            <w:u w:val="single"/>
          </w:rPr>
          <w:t>消除肌强直可改善强直性肌营养不良的肌盲样基因敲除模型中的肌病</w:t>
        </w:r>
      </w:hyperlink>
    </w:p>
    <w:p>
      <w:pPr>
        <w:spacing w:before="0" w:after="80"/>
      </w:pPr>
      <w:r>
        <w:rPr>
          <w:i/>
          <w:sz w:val="20"/>
        </w:rPr>
        <w:t>EN: Elimination of myotonia improves myopathy in a muscleblind-like knockout model of myotonic dystrophy</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1 型强直性肌营养不良 (DM1) 的主要症状是肌强​​直，即随意收缩后肌肉松弛缓慢。肌强直是由氯通道 1 (ClC-1) 剪接错误调节引起的，导致通道功能丧失和肌纤维中不自主动作电位的运行。在无力发作之前，肌强直通常是 DM1 的首发症状，因此这增加了肌肉过度兴奋导致随后的无力和肌病的可能性。在这里，我们发现，ClC-1 外显子 7a (E7a)（DM1 中异常调节的神秘外显子）的基因组缺失可以完全挽救 ClC-1 功能，并在 DM1 肌盲样 1 (Mbnl1) 敲除小鼠模型中永久消除肌强直。正常兴奋性的恢复导致肌肉力量产生的正常化、纤维类型分布的纠正以及肌肉组织学的改善。 E7a 缺失还部分纠正了肌肉转录组，包括差异基因表达和选择性剪接的变化。这些结果表明，E7a 包含是导致强直性肌病的关键剪接事件，并支持将减少肌强直作为 DM1 的治疗目标。</w:t>
      </w:r>
    </w:p>
    <w:p>
      <w:pPr>
        <w:spacing w:before="0" w:after="200" w:lineRule="auto" w:line="276"/>
      </w:pPr>
      <w:r>
        <w:rPr>
          <w:b/>
        </w:rPr>
        <w:t xml:space="preserve">Abstract (EN): </w:t>
      </w:r>
      <w:r>
        <w:t>A cardinal sign of myotonic dystrophy type 1 (DM1) is myotonia, slow muscle relaxation after voluntary contraction. Myotonia results from mis-regulated splicing of chloride channel 1 (ClC-1), leading to loss of channel function and runs of involuntary action potentials in muscle fibers. Preceding the onset of weakness, myotonia is often the first symptom of DM1, and thus this raises the possibility that muscle hyperexcitability contributes to the subsequent weakness and myopathy. Here, we show that genomic deletion of ClC-1 exon 7a (E7a), a cryptic exon abnormally regulated in DM1, completely rescues of ClC-1 function and yields permanent elimination of myotonia in the muscleblind-like 1 (Mbnl1) knockout mouse model of DM1. The restoration of normal excitability results in normalization of muscle force generation, correction of fiber-type distribution, and improvement of muscle histology. E7a deletion also partially corrects the muscle transcriptome, including changes of differential gene expression and alternative splicing. These results indicate that E7a inclusion is a lynchpin splice event that contributes to myotonic myopathy, and support myotonia reduction as a therapeutic objective in DM1.</w:t>
      </w:r>
    </w:p>
    <w:p>
      <w:pPr>
        <w:spacing w:before="120" w:after="120"/>
      </w:pPr>
      <w:r>
        <w:rPr>
          <w:sz w:val="18"/>
        </w:rPr>
        <w:t>——————————————————————————————————————————————————————————————————————</w:t>
      </w:r>
    </w:p>
    <w:p>
      <w:pPr>
        <w:spacing w:before="160" w:after="40" w:line="240" w:lineRule="auto"/>
      </w:pPr>
      <w:r>
        <w:rPr>
          <w:b/>
        </w:rPr>
        <w:t xml:space="preserve">[396] </w:t>
      </w:r>
      <w:hyperlink r:id="rId953">
        <w:r>
          <w:rPr>
            <w:color w:val="1155CC"/>
            <w:u w:val="single"/>
          </w:rPr>
          <w:t>动态免疫分析预测寡转移性肾细胞癌对放射加抗 PD-1 治疗的反应</w:t>
        </w:r>
      </w:hyperlink>
    </w:p>
    <w:p>
      <w:pPr>
        <w:spacing w:before="0" w:after="80"/>
      </w:pPr>
      <w:r>
        <w:rPr>
          <w:i/>
          <w:sz w:val="20"/>
        </w:rPr>
        <w:t>EN: Dynamic immune profiling predicts response to radiation plus anti-PD-1 therapy in oligometastatic renal cell carcinoma</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预测透明细胞肾细胞癌 (ccRCC) 联合放疗和抗 PD-1 治疗反应的生物标志物尚不明确。 RAPPORT 试验 (NCT02855203) 是一项前瞻性 I/II 期研究，对 30 名寡转移性 ccRCC 患者进行立体定向消融性放射治疗 (SABR) 和派姆单抗 (pembrolizumab)。主要终点是安全性；次要终点包括总生存期、局部进展时间、远处无进展生存期、客观控制率和疾病控制率、缓解持续时间和患者报告的疼痛。在这里，我们报告预先指定的探索性转化分析。在治疗前的肿瘤中，有反应者在肿瘤细胞附近有更多的肿瘤内细胞毒性 T 细胞浸润，而无反应者则表现出免疫抑制、TGF-β 和血管生成特征的富集。在治疗后的外周血中，反应者出现了活化的 CD8+ T 细胞的增殖爆发，并持续共享预先存在的富含肿瘤的 TCR 克隆。这些发现确定了预先存在的富含肿瘤的 T 细胞克隆的运输和维持是 ccRCC 中对 SABR 加抗 PD-1 反应的决定因素。</w:t>
      </w:r>
    </w:p>
    <w:p>
      <w:pPr>
        <w:spacing w:before="0" w:after="200" w:lineRule="auto" w:line="276"/>
      </w:pPr>
      <w:r>
        <w:rPr>
          <w:b/>
        </w:rPr>
        <w:t xml:space="preserve">Abstract (EN): </w:t>
      </w:r>
      <w:r>
        <w:t>Biomarkers that predict response to combined radiation and anti-PD-1 therapy in clear cell renal cell carcinoma (ccRCC) are poorly defined. RAPPORT trial (NCT02855203) is a prospective phase I/II study of stereotactic ablative body radiotherapy (SABR) and pembrolizumab in 30 patients with oligometastatic ccRCC. The primary endpoint was safety; secondary endpoints included overall survival, time to local progression, distant progression-free survival, objective and disease control rates, duration of response and patient-reported pain. Here, we report the pre-specified exploratory translational analyses. In pre-treatment tumours, responders had greater intra-tumoural cytotoxic T cell infiltration in close proximity to tumour cells, whereas non-responders showed enrichment of immunosuppressive, TGF-β and angiogenic signatures. In peripheral blood post-treatment, responders developed a proliferative burst of activated CD8+ T cells and sustained sharing of pre-existing tumour-enriched TCR clones. These findings identify trafficking and maintenance of pre-existing tumour-enriched T cell clones as determinants of response to SABR plus anti-PD-1 in ccRCC.</w:t>
      </w:r>
    </w:p>
    <w:p>
      <w:pPr>
        <w:spacing w:before="120" w:after="120"/>
      </w:pPr>
      <w:r>
        <w:rPr>
          <w:sz w:val="18"/>
        </w:rPr>
        <w:t>——————————————————————————————————————————————————————————————————————</w:t>
      </w:r>
    </w:p>
    <w:p>
      <w:pPr>
        <w:spacing w:before="160" w:after="40" w:line="240" w:lineRule="auto"/>
      </w:pPr>
      <w:r>
        <w:rPr>
          <w:b/>
        </w:rPr>
        <w:t xml:space="preserve">[397] </w:t>
      </w:r>
      <w:hyperlink r:id="rId954">
        <w:r>
          <w:rPr>
            <w:color w:val="1155CC"/>
            <w:u w:val="single"/>
          </w:rPr>
          <w:t>分层优化预测对象训练后猕猴下颞叶皮层的可塑性</w:t>
        </w:r>
      </w:hyperlink>
    </w:p>
    <w:p>
      <w:pPr>
        <w:spacing w:before="0" w:after="80"/>
      </w:pPr>
      <w:r>
        <w:rPr>
          <w:i/>
          <w:sz w:val="20"/>
        </w:rPr>
        <w:t>EN: Hierarchical optimization predicts plasticity in the macaque inferior temporal cortex following object training</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当灵长类动物学习辨别新物体时，大脑如何协调可塑性？我们测量了对象学习对雄性猕猴下颞叶皮层（IT）的影响，下颞叶皮层是支持腹侧视觉流中对象识别的关键路径点。与未经任务训练的猴子相比，经过任务训练的猴子 IT 的神经活动表现出更高的对象选择性、增强的对象之间的线性可分离性以及更多的对象不变表示。为了模拟这些差异，我们使用腹侧流的解剖映射人工神经网络（ANN）模型和各种学习算法开发了一个计算框架。模拟显示，基于梯度、性能优化的 ANN 内部表示更新准确地近似了观察到的 IT 皮层变化。这些模型预测 IT 皮层中由训练引起的新现象，包括独立于物体身份的变化以及 IT 与行为的一致性。经验测量和模型预测之间的这种收敛表明腹侧流可塑性遵循通过梯度下降很好地近似的任务优化原则，从而能够准确预测视觉可塑性和泛化到测试图像。</w:t>
      </w:r>
    </w:p>
    <w:p>
      <w:pPr>
        <w:spacing w:before="0" w:after="200" w:lineRule="auto" w:line="276"/>
      </w:pPr>
      <w:r>
        <w:rPr>
          <w:b/>
        </w:rPr>
        <w:t xml:space="preserve">Abstract (EN): </w:t>
      </w:r>
      <w:r>
        <w:t>How does the primate brain coordinate plasticity when learning to discriminate new objects? We measured consequences of object learning on inferior temporal (IT) cortex, a key waypoint supporting object recognition in the ventral visual stream, in male macaques. Neural activity in task-trained monkeys’ IT showed increased object selectivity, enhanced linear separability across objects, and more object-invariant representations compared to task-naïve monkeys. To model these differences, we developed a computational framework using anatomically-mapped artificial neural network (ANN) models of the ventral stream with various learning algorithms. Simulations revealed that gradient-based, performance-optimizing updates of ANN internal representations accurately approximated observed IT cortex changes. These models predict novel training-induced phenomena in the IT cortex, including changes independent of object identity and IT’s alignment with behavior. This convergence between empirical measurements and model predictions suggests ventral stream plasticity follows task optimization principles well-approximated by gradient descent, enabling accurate predictions about visual plasticity and generalization to test images.</w:t>
      </w:r>
    </w:p>
    <w:p>
      <w:pPr>
        <w:spacing w:before="120" w:after="120"/>
      </w:pPr>
      <w:r>
        <w:rPr>
          <w:sz w:val="18"/>
        </w:rPr>
        <w:t>——————————————————————————————————————————————————————————————————————</w:t>
      </w:r>
    </w:p>
    <w:p>
      <w:pPr>
        <w:spacing w:before="160" w:after="40" w:line="240" w:lineRule="auto"/>
      </w:pPr>
      <w:r>
        <w:rPr>
          <w:b/>
        </w:rPr>
        <w:t xml:space="preserve">[398] </w:t>
      </w:r>
      <w:hyperlink r:id="rId955">
        <w:r>
          <w:rPr>
            <w:color w:val="1155CC"/>
            <w:u w:val="single"/>
          </w:rPr>
          <w:t>电子断层扫描揭示人胎盘细胞分化过程中的线粒体网络和嵴重塑</w:t>
        </w:r>
      </w:hyperlink>
    </w:p>
    <w:p>
      <w:pPr>
        <w:spacing w:before="0" w:after="80"/>
      </w:pPr>
      <w:r>
        <w:rPr>
          <w:i/>
          <w:sz w:val="20"/>
        </w:rPr>
        <w:t>EN: Electron tomography reveals mitochondrial network and cristae remodelling during cell differentiation in the human placenta</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线粒体通过融合和裂变调整其结构，但其形态和嵴结构如何随着细胞分化而变化仍不清楚。人类胎盘是研究单个组织内线粒体多样性的有价值的模型。随着胎盘上皮滋养层细胞的分化，其伴随的线粒体在形态和功能上发生转变。我们使用阵列断层扫描来表征线粒体体积和网络复杂性。冷冻电子断层扫描揭示了富含祖细胞滋养层的制剂中两个不同的线粒体亚群，以及分化的合体滋养层中的单一均匀群体。我们通过标准化的“弯曲度”度量来展示单个嵴的 3D 拓扑。对分离线粒体的蛋白质组学分析发现，合体滋养层中参与线粒体动力学和嵴组织复合体的蛋白质水平降低，并伴有电子传递链亚基、ATP 合酶和超复合体成分的变化。这项研究强调了将多模态成像与蛋白质组学分析相结合的优势，以阐明细胞分化时线粒体形态和嵴结构重塑的过程。</w:t>
      </w:r>
    </w:p>
    <w:p>
      <w:pPr>
        <w:spacing w:before="0" w:after="200" w:lineRule="auto" w:line="276"/>
      </w:pPr>
      <w:r>
        <w:rPr>
          <w:b/>
        </w:rPr>
        <w:t xml:space="preserve">Abstract (EN): </w:t>
      </w:r>
      <w:r>
        <w:t>Mitochondria adapt their structure through fusion and fission, yet how their morphology and cristae architecture change as cells differentiate remains unclear. The human placenta is a valuable model for studying mitochondrial diversity within a single tissue. As epithelial trophoblast cells of the placenta differentiate, their accompanying mitochondria morphologically and functionally transform. We use array tomography to characterise mitochondrial volume and network complexity. Cryo-electron tomography reveals two distinct subpopulations of mitochondria within preparations enriched for progenitor cytotrophoblasts, and a singular, homogeneous population in the differentiated syncytiotrophoblast. We showcase the 3D topology of individual cristae through a standardised metric of “curvedness”. Proteomic analysis of isolated mitochondria identifies reduced levels of proteins involved in mitochondrial dynamics and cristae organisation complexes in the syncytiotrophoblast, accompanied by variations in electron transport chain subunits, ATP synthase, and supercomplex components. This study highlights the advantages of combining multimodal imaging with proteomic analyses, to elucidate the process of mitochondrial morphology and cristae architecture remodelling as cells differentiate.</w:t>
      </w:r>
    </w:p>
    <w:p>
      <w:pPr>
        <w:spacing w:before="120" w:after="120"/>
      </w:pPr>
      <w:r>
        <w:rPr>
          <w:sz w:val="18"/>
        </w:rPr>
        <w:t>——————————————————————————————————————————————————————————————————————</w:t>
      </w:r>
    </w:p>
    <w:p>
      <w:pPr>
        <w:spacing w:before="160" w:after="40" w:line="240" w:lineRule="auto"/>
      </w:pPr>
      <w:r>
        <w:rPr>
          <w:b/>
        </w:rPr>
        <w:t xml:space="preserve">[399] </w:t>
      </w:r>
      <w:hyperlink r:id="rId956">
        <w:r>
          <w:rPr>
            <w:color w:val="1155CC"/>
            <w:u w:val="single"/>
          </w:rPr>
          <w:t>剪接体蛋白指导 RNA 甲基化来调节基因表达并沉默逆转录转座子</w:t>
        </w:r>
      </w:hyperlink>
    </w:p>
    <w:p>
      <w:pPr>
        <w:spacing w:before="0" w:after="80"/>
      </w:pPr>
      <w:r>
        <w:rPr>
          <w:i/>
          <w:sz w:val="20"/>
        </w:rPr>
        <w:t>EN: Spliceosomal proteins direct RNA methylation to modulate gene expression and silence retrotransposons</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RNA 修饰是基因调控和 RNA 加工的基础，但其多样性和转录特异性仍未完全确定。在这里，通过对粟酒裂殖酵母进行遗传筛选，我们鉴定出 RNA 甲基转移酶 Tgs1 和 Coilin 相关蛋白是含有低效剪接的隐秘内含子的转录本的调节因子。这些因子结合形成称为 TEaM 的蛋白质组装体，它通过剪接体成分被募集到含隐含内含子的 RNA（包括逆转录转座子衍生的转录本），并通过 YTH 家族 RNA 结合蛋白募集到配子基因转录本。招募后，Tgs1 催化三甲基鸟苷 (TMG) 加帽，促进保守因子 Pir2/ARS2 的参与，该因子与 DROSHA 同源物 Pac1 和其他因子配合，促进 RNA 加工和 RNAi 介导的沉默。该途径还靶向含有隐性内含子的着丝粒重复RNA，从而能够从头产生指定异染色质成核的siRNA。总之，这些发现描绘了一种机制，其中 Tgs1 引导的 TMG 加帽与 Pir2/ARS2 结合，指定 RNAi 底物来广泛调节基因表达并沉默逆转录转座子。</w:t>
      </w:r>
    </w:p>
    <w:p>
      <w:pPr>
        <w:spacing w:before="0" w:after="200" w:lineRule="auto" w:line="276"/>
      </w:pPr>
      <w:r>
        <w:rPr>
          <w:b/>
        </w:rPr>
        <w:t xml:space="preserve">Abstract (EN): </w:t>
      </w:r>
      <w:r>
        <w:t>RNA modifications are fundamental to gene regulation and RNA processing, yet their diversity and transcript specificity remain incompletely defined. Here, using a genetic screen in S. pombe, we identify the RNA methyltransferase Tgs1 and Coilin-related proteins as regulators of transcripts harboring inefficiently spliced cryptic introns. These factors associate to form a protein assembly, termed TEaM, which is recruited to cryptic-intron-containing RNAs, including retrotransposon-derived transcripts, by spliceosomal components, and to gametogenic gene transcripts by a YTH-family RNA-binding protein. Upon recruitment, Tgs1 catalyzes trimethylguanosine (TMG) capping, facilitating engagement of the conserved factor Pir2/ARS2, which cooperates with the DROSHA homolog Pac1 and other factors to promote RNA processing and RNAi-mediated silencing. This pathway also targets centromeric repeat RNAs containing cryptic introns, enabling de novo production of siRNAs that specify heterochromatin nucleation. Together, these findings delineate a mechanism in which Tgs1-directed TMG capping, coupled with Pir2/ARS2, specifies RNAi substrates to broadly regulate gene expression and silence retrotransposons.</w:t>
      </w:r>
    </w:p>
    <w:p>
      <w:pPr>
        <w:spacing w:before="120" w:after="120"/>
      </w:pPr>
      <w:r>
        <w:rPr>
          <w:sz w:val="18"/>
        </w:rPr>
        <w:t>——————————————————————————————————————————————————————————————————————</w:t>
      </w:r>
    </w:p>
    <w:p>
      <w:pPr>
        <w:spacing w:before="160" w:after="40" w:line="240" w:lineRule="auto"/>
      </w:pPr>
      <w:r>
        <w:rPr>
          <w:b/>
        </w:rPr>
        <w:t xml:space="preserve">[400] </w:t>
      </w:r>
      <w:hyperlink r:id="rId957">
        <w:r>
          <w:rPr>
            <w:color w:val="1155CC"/>
            <w:u w:val="single"/>
          </w:rPr>
          <w:t>USP22 去泛素化酶的缺失导致小细胞肺癌对化疗产生耐药性</w:t>
        </w:r>
      </w:hyperlink>
    </w:p>
    <w:p>
      <w:pPr>
        <w:spacing w:before="0" w:after="80"/>
      </w:pPr>
      <w:r>
        <w:rPr>
          <w:i/>
          <w:sz w:val="20"/>
        </w:rPr>
        <w:t>EN: Loss of the USP22 deubiquitylase confers resistance to chemotherapy in small cell lung cancer</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小细胞肺癌（SCLC）对细胞毒性化疗的反应非常好。然而，随着耐药性疾病的出现，复发速度很快，并且治疗效果不佳。为了了解 SCLC 化疗耐药的遗传基础，我们将体内 CRISPR 缺失筛选应用于患者来源的异种移植 (PDX) 模型。热门屏幕点击包括编码转录共激活因子 SAGA（Spt-Ada-Gcn5 乙酰转移酶）复合物成分的基因。我们证明，SAGA 去泛素化酶 USP22 的缺失会在两种化疗敏感的 PDX 模型中赋予顺铂依托泊苷耐药性，并且在含有 USP22 纯合截短突变的 PDX 模型中恢复表达使肿瘤对化疗重新敏感。 USP22 缺失会增加神经元分化关键调节因子处的基因体组蛋白 H2AK119 单泛素化，并抑制神经和神经内分泌基因表达，包括 ASCL1 的靶标。 USP22 缺失后的化学耐药性反映了 DNA 损伤驱动的磷酸化事件和细胞凋亡的减弱，以及糖酵解和缺氧相关基因表达的增加。糖酵解程序的上调可能反映了一种可靶向的脆弱性，因为抑制 GLUT1 会使 USP22 无效的肿瘤对化疗重新敏感。</w:t>
      </w:r>
    </w:p>
    <w:p>
      <w:pPr>
        <w:spacing w:before="0" w:after="200" w:lineRule="auto" w:line="276"/>
      </w:pPr>
      <w:r>
        <w:rPr>
          <w:b/>
        </w:rPr>
        <w:t xml:space="preserve">Abstract (EN): </w:t>
      </w:r>
      <w:r>
        <w:t>Small cell lung cancer (SCLC) responds exceptionally well to cytotoxic chemotherapy. However, relapse with the emergence of chemoresistant disease is rapid and accompanied by poor treatment outcomes. To understand the genetic basis of chemoresistance in SCLC, we apply in vivo CRISPR deletion screening to patient-derived xenograft (PDX) models. Top screen hits include genes encoding components of the transcriptional co-activator SAGA (Spt-Ada-Gcn5 acetyltransferase) complex. We demonstrate that deletion of the SAGA deubiquitylase USP22 confers cisplatin-etoposide resistance in two chemosensitive PDX models, and that restoring expression in a PDX model harboring homozygous truncating mutation of USP22 re-sensitizes tumors to chemotherapy. USP22 loss increases gene body histone H2AK119 monoubiquitylation at key regulators of neuronal differentiation and suppresses neural and neuroendocrine gene expression including targets of ASCL1. Chemoresistance following USP22 loss reflects attenuated DNA damage-driven phosphorylation events and apoptosis, in conjunction with increased expression of glycolysis and hypoxia-related genes. Glycolysis program upregulation may reflect a targetable vulnerability, as inhibition of GLUT1 re-sensitizes USP22-null tumors to chemotherapy.</w:t>
      </w:r>
    </w:p>
    <w:p>
      <w:pPr>
        <w:spacing w:before="120" w:after="120"/>
      </w:pPr>
      <w:r>
        <w:rPr>
          <w:sz w:val="18"/>
        </w:rPr>
        <w:t>——————————————————————————————————————————————————————————————————————</w:t>
      </w:r>
    </w:p>
    <w:p>
      <w:pPr>
        <w:spacing w:before="160" w:after="40" w:line="240" w:lineRule="auto"/>
      </w:pPr>
      <w:r>
        <w:rPr>
          <w:b/>
        </w:rPr>
        <w:t xml:space="preserve">[401] </w:t>
      </w:r>
      <w:hyperlink r:id="rId958">
        <w:r>
          <w:rPr>
            <w:color w:val="1155CC"/>
            <w:u w:val="single"/>
          </w:rPr>
          <w:t>北极表面动量平衡的制度转变揭示了持久且可预测的动态状态</w:t>
        </w:r>
      </w:hyperlink>
    </w:p>
    <w:p>
      <w:pPr>
        <w:spacing w:before="0" w:after="80"/>
      </w:pPr>
      <w:r>
        <w:rPr>
          <w:i/>
          <w:sz w:val="20"/>
        </w:rPr>
        <w:t>EN: Regime transitions in Arctic surface momentum balance reveal persistent and predictable dynamical states</w:t>
      </w:r>
    </w:p>
    <w:p>
      <w:pPr>
        <w:spacing w:before="0" w:after="120"/>
      </w:pPr>
      <w:r>
        <w:rPr>
          <w:b/>
        </w:rPr>
        <w:t xml:space="preserve">Source: </w:t>
      </w:r>
      <w:r>
        <w:t>Earth and environmental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北极海冰的减少从根本上改变了大气和海洋之间的动量传递，对气候系统产生了重要影响。然而，捕捉不同时间尺度的空气-冰-海洋相互作用的复杂性仍然是气候模型的一个挑战。在这里，我们展示了北极埃克曼抽水被组织成七个不同的物理状态，这些物理状态是使用应用于 26 年状态估计的概率聚类框架确定的。这些状况反映了风、冰和地转强迫的不同组合，以及在季节性海冰转变期间变得更加突出的残余成分。在空间上，波弗特海的特点是频繁的转变和持续的冰-地转耦合状态，而北欧和欧亚边缘海随着时间的推移表现出更大的状态稳定性变化。该体系框架提供了大气强迫和表面动量平衡之间的物理基础联系，为冰盖变化如何影响北极上层海洋动力学提供了基于过程的视角。</w:t>
      </w:r>
    </w:p>
    <w:p>
      <w:pPr>
        <w:spacing w:before="0" w:after="200" w:lineRule="auto" w:line="276"/>
      </w:pPr>
      <w:r>
        <w:rPr>
          <w:b/>
        </w:rPr>
        <w:t xml:space="preserve">Abstract (EN): </w:t>
      </w:r>
      <w:r>
        <w:t>Arctic sea-ice decline is fundamentally altering the momentum transfer between the atmosphere and ocean, with important implications for the climate system. However, capturing the complexity of air–ice–ocean interactions across varying timescales remains a challenge for climate models. Here, we show that Arctic Ekman pumping is organized into seven distinct physical regimes identified using a probabilistic clustering framework applied to a 26-year state estimate. These regimes reflect different combinations of wind, ice, and geostrophic forcing, alongside a residual component that becomes more prominent during seasonal sea-ice transitions. Spatially, the Beaufort Sea is characterized by frequent transitions and persistent ice–geostrophic coupled regimes, whereas the Nordic and Eurasian marginal seas exhibit greater variability in regime stability over time. This regime framework provides a physically grounded link between atmospheric forcing and surface momentum balance, offering a process-based perspective on how changing ice cover may influence Arctic upper-ocean dynamics.</w:t>
      </w:r>
    </w:p>
    <w:p>
      <w:pPr>
        <w:spacing w:before="120" w:after="120"/>
      </w:pPr>
      <w:r>
        <w:rPr>
          <w:sz w:val="18"/>
        </w:rPr>
        <w:t>——————————————————————————————————————————————————————————————————————</w:t>
      </w:r>
    </w:p>
    <w:p>
      <w:pPr>
        <w:spacing w:before="160" w:after="40" w:line="240" w:lineRule="auto"/>
      </w:pPr>
      <w:r>
        <w:rPr>
          <w:b/>
        </w:rPr>
        <w:t xml:space="preserve">[402] </w:t>
      </w:r>
      <w:hyperlink r:id="rId959">
        <w:r>
          <w:rPr>
            <w:color w:val="1155CC"/>
            <w:u w:val="single"/>
          </w:rPr>
          <w:t>城市化进程扩大了极端温度变化的全球差异</w:t>
        </w:r>
      </w:hyperlink>
    </w:p>
    <w:p>
      <w:pPr>
        <w:spacing w:before="0" w:after="80"/>
      </w:pPr>
      <w:r>
        <w:rPr>
          <w:i/>
          <w:sz w:val="20"/>
        </w:rPr>
        <w:t>EN: Urbanization processes widen global divergence in extreme temperature variability</w:t>
      </w:r>
    </w:p>
    <w:p>
      <w:pPr>
        <w:spacing w:before="0" w:after="120"/>
      </w:pPr>
      <w:r>
        <w:rPr>
          <w:b/>
        </w:rPr>
        <w:t xml:space="preserve">Source: </w:t>
      </w:r>
      <w:r>
        <w:t>Earth and environmental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极端温度变化（ETV）是数十亿居民面临气候风险的一个关键维度。然而，城市化如何影响全球 ETV 差异仍不清楚。在这里，我们汇集了 1950-2020 年 10,522 个城市的面板，并证明 ETV 轨迹因人类发展指数 (HDI) 衡量的发展状况而有所不同。 ETV 在高发展城市中增强，而在低发展城市中缓慢减弱，导致目前差距约为 1.66 °C。将 ETV 分解为事件频率和强度表明累积 ETV 主要由强度驱动。使用可解释的机器学习框架，我们发现在控制气候和地理之后，气溶胶是与 ETV 相关性最强的城市因素。蓝绿色空间始终与较低的 ETV 相关，而城市形态的影响较小且取决于环境。这些发现将全球 ETV 不平等与城市治理联系起来，并支持专注于限制气候风险下波动的有针对性的管理。</w:t>
      </w:r>
    </w:p>
    <w:p>
      <w:pPr>
        <w:spacing w:before="0" w:after="200" w:lineRule="auto" w:line="276"/>
      </w:pPr>
      <w:r>
        <w:rPr>
          <w:b/>
        </w:rPr>
        <w:t xml:space="preserve">Abstract (EN): </w:t>
      </w:r>
      <w:r>
        <w:t>Extreme temperature variability (ETV) is a key dimension of climate risk for billions of residents. However, how urbanization shapes global ETV divergence remains unclear. Here, we assemble a 1950–2020 panel of 10,522 cities and demonstrate that ETV trajectories diverge by development status as measured by the human development index (HDI). ETV intensifies in high-development cities, whereas it slowly weakens in low-development cities, resulting in a current gap of roughly 1.66 °C. Decomposing ETV into event frequency and intensity reveals that cumulative ETV is driven mainly by intensity. Using an interpretable machine-learning framework, we find that aerosols are the urban factor most strongly associated with ETV after controlling for climate and geography. Blue-green space is consistently associated with lower ETV, whereas urban morphology has a smaller and context-dependent effect. These findings link global ETV inequality to urban governance and support targeted management that focusses on limiting volatility under climate risk.</w:t>
      </w:r>
    </w:p>
    <w:p>
      <w:pPr>
        <w:spacing w:before="120" w:after="120"/>
      </w:pPr>
      <w:r>
        <w:rPr>
          <w:sz w:val="18"/>
        </w:rPr>
        <w:t>——————————————————————————————————————————————————————————————————————</w:t>
      </w:r>
    </w:p>
    <w:p>
      <w:pPr>
        <w:spacing w:before="160" w:after="40" w:line="240" w:lineRule="auto"/>
      </w:pPr>
      <w:r>
        <w:rPr>
          <w:b/>
        </w:rPr>
        <w:t xml:space="preserve">[403] </w:t>
      </w:r>
      <w:hyperlink r:id="rId960">
        <w:r>
          <w:rPr>
            <w:color w:val="1155CC"/>
            <w:u w:val="single"/>
          </w:rPr>
          <w:t>颗粒相关的固氮菌驱动巴伦支海北极地下水的固氮</w:t>
        </w:r>
      </w:hyperlink>
    </w:p>
    <w:p>
      <w:pPr>
        <w:spacing w:before="0" w:after="80"/>
      </w:pPr>
      <w:r>
        <w:rPr>
          <w:i/>
          <w:sz w:val="20"/>
        </w:rPr>
        <w:t>EN: Particle-associated diazotrophs drive nitrogen fixation in Arctic subsurface waters of the Barents Sea</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生物二氮（N2）固定维持了贫营养海洋的生产力，现在也被认为对变暖的北极的氮供应做出了重大贡献。在这里，我们证明了巴伦支海地下水中与颗粒相关的固氮生物对 N2 的显着固定。将我们的研究结果与亚热带研究进行比较，发现与颗粒相关的非蓝藻固氮菌是巴伦支海北极次表层水域中主要的氮固定剂，与温暖地区的不同群落形成鲜明对比。随着北极向贫营养化转变，了解与颗粒相关的氮固定的程度和控制将为维持快速变化的北冰洋生产力所需的未来氮供应提供重要见解。然而，与颗粒相关的氮固定可能是巴伦支海的一个显着特征，与其他北极陆架相比，氮动态的季节性和长期趋势是由外部大西洋供水、海冰范围和陆地输入的变化异质性决定的。在这种情况下，整个北冰洋与颗粒相关的氮气固定的作用将需要进一步研究。</w:t>
      </w:r>
    </w:p>
    <w:p>
      <w:pPr>
        <w:spacing w:before="0" w:after="200" w:lineRule="auto" w:line="276"/>
      </w:pPr>
      <w:r>
        <w:rPr>
          <w:b/>
        </w:rPr>
        <w:t xml:space="preserve">Abstract (EN): </w:t>
      </w:r>
      <w:r>
        <w:t>Biological dinitrogen (N2) fixation sustains productivity in oligotrophic oceans and is now also thought to contribute substantially to the nitrogen supply in the warming Arctic. Here we demonstrate significant N2 fixation by particle-associated diazotrophs in subsurface waters of the Barents Sea. Comparing our findings with subtropical studies reveals particle-associated non-cyanobacterial diazotrophs as the primary N2 fixers in subsurface Arctic waters of the Barents Sea, contrasting with diverse communities in warmer regions. As the Arctic shifts towards oligotrophication, understanding the magnitude and controls of particle-associated N2 fixation will provide critical insights into future nitrogen supply required to sustain productivity in the rapidly changing Arctic Ocean. However, particle-associated N2 fixation may be a distinctive feature of the Barents Sea, where in contrast to other Arctic shelves the seasonal and long-term trends in nitrogen dynamics are heterogeneously determined by changes in the external Atlantic Water supply, sea-ice extent, and terrestrial inputs. In this context, the role of particle-associated N2 fixation across the wider Arctic Ocean will require further investigation.</w:t>
      </w:r>
    </w:p>
    <w:p>
      <w:pPr>
        <w:spacing w:before="120" w:after="120"/>
      </w:pPr>
      <w:r>
        <w:rPr>
          <w:sz w:val="18"/>
        </w:rPr>
        <w:t>——————————————————————————————————————————————————————————————————————</w:t>
      </w:r>
    </w:p>
    <w:p>
      <w:pPr>
        <w:spacing w:before="160" w:after="40" w:line="240" w:lineRule="auto"/>
      </w:pPr>
      <w:r>
        <w:rPr>
          <w:b/>
        </w:rPr>
        <w:t xml:space="preserve">[404] </w:t>
      </w:r>
      <w:hyperlink r:id="rId961">
        <w:r>
          <w:rPr>
            <w:color w:val="1155CC"/>
            <w:u w:val="single"/>
          </w:rPr>
          <w:t>尽管大量施肥，但二氧化碳浓度升高和变暖加剧了植物对土壤氮储备的依赖</w:t>
        </w:r>
      </w:hyperlink>
    </w:p>
    <w:p>
      <w:pPr>
        <w:spacing w:before="0" w:after="80"/>
      </w:pPr>
      <w:r>
        <w:rPr>
          <w:i/>
          <w:sz w:val="20"/>
        </w:rPr>
        <w:t>EN: Elevated CO2 and warming intensify plant reliance on soil nitrogen reserves despite intensive fertilization</w:t>
      </w:r>
    </w:p>
    <w:p>
      <w:pPr>
        <w:spacing w:before="0" w:after="120"/>
      </w:pPr>
      <w:r>
        <w:rPr>
          <w:b/>
        </w:rPr>
        <w:t xml:space="preserve">Source: </w:t>
      </w:r>
      <w:r>
        <w:t>Earth and environmental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了解生态系统如何在气候变化下维持植物氮（N）供应至关重要，但是否通过外部投入或动员土壤氮储备来满足植物氮需求的增加仍然悬而未决。在这里，我们表明，尽管密集施肥，气候变化仍增加了植物对土壤氮储备的依赖。通过在山地草原上结合二氧化碳升高、变暖和干旱进行的为期两年的 15N 追踪实验，我们发现植物从土壤中获取了 82-88% 的氮，并且尽管氮输入量较高，但从土壤中获取的氮是从肥料中获取的氮的 4.6-7.3 倍。二氧化碳浓度升高和气候变暖增加了植物对土壤源氮的吸收，但不增加肥料氮的吸收。因此，植物氮输出超过化肥输入，导致生态系统氮赤字和土壤氮储量枯竭，在二氧化碳浓度升高和变暖的共同作用下，土壤氮开采最为强烈。我们的研究结果表明，气候变化加速了土壤氮储量的生物开采，可能限制集约化管理的农业生态系统的长期可持续性。</w:t>
      </w:r>
    </w:p>
    <w:p>
      <w:pPr>
        <w:spacing w:before="0" w:after="200" w:lineRule="auto" w:line="276"/>
      </w:pPr>
      <w:r>
        <w:rPr>
          <w:b/>
        </w:rPr>
        <w:t xml:space="preserve">Abstract (EN): </w:t>
      </w:r>
      <w:r>
        <w:t>Understanding how ecosystems sustain plant nitrogen (N) supply under climate change is critical, yet whether increasing plant N demand is met by external inputs or mobilization of soil N reserves remains unresolved. Here we show that climate change increases plant reliance on soil N reserves despite intensive fertilization. Using a two-year 15N-tracing experiment combining elevated CO2, warming, and drought in a montane grassland, we found that plants obtained 82–88% of their N from soil and acquired 4.6–7.3 times more N from soil than from fertilizer despite high N inputs. Elevated CO2 and warming increased plant uptake of soil-derived N but not fertilizer N. Consequently, plant N export exceeded fertilizer inputs, causing ecosystem N deficits and depletion of soil N stocks, with the strongest soil N mining under combined elevated CO2 and warming. Our findings reveal that climate change accelerates biological mining of soil N reserves, potentially constraining the long-term sustainability of intensively managed agroecosystems.</w:t>
      </w:r>
    </w:p>
    <w:p>
      <w:pPr>
        <w:spacing w:before="120" w:after="120"/>
      </w:pPr>
      <w:r>
        <w:rPr>
          <w:sz w:val="18"/>
        </w:rPr>
        <w:t>——————————————————————————————————————————————————————————————————————</w:t>
      </w:r>
    </w:p>
    <w:p>
      <w:pPr>
        <w:spacing w:before="160" w:after="40" w:line="240" w:lineRule="auto"/>
      </w:pPr>
      <w:r>
        <w:rPr>
          <w:b/>
        </w:rPr>
        <w:t xml:space="preserve">[405] </w:t>
      </w:r>
      <w:hyperlink r:id="rId962">
        <w:r>
          <w:rPr>
            <w:color w:val="1155CC"/>
            <w:u w:val="single"/>
          </w:rPr>
          <w:t>听觉前额叶回路中感觉和选择相关信息的神经元动力学、时序和流动</w:t>
        </w:r>
      </w:hyperlink>
    </w:p>
    <w:p>
      <w:pPr>
        <w:spacing w:before="0" w:after="80"/>
      </w:pPr>
      <w:r>
        <w:rPr>
          <w:i/>
          <w:sz w:val="20"/>
        </w:rPr>
        <w:t>EN: Neuronal dynamics, timing, and flow of sensory and choice-related information in auditory-prefrontal circuitry</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听觉决策需要通过将外部刺激与内部认知过程相结合，将感官输入转化为有意义的选择。经典的分层模型提出了顺序处理，其中主要感觉区域将感觉信息传递到计算决策相关过程的高阶区域。然而，这种顺序层次结构是否完全捕捉皮质动态仍不清楚。在这里，我们分析了两只执行空间听觉决策任务的雄性猕猴的初级听觉皮层（A1）和背外侧前额叶皮层（PFC）的同步神经元记录。我们的分析揭示了一个清晰的时间层次结构：感觉信息从 A1 单向传输到 PFC，而决策相关信息则呈现双向传输，首先从 PFC 到 A1，最重要的是从 A1 返回到 PFC。这些发现扩展了经典的层次假设，证明了决策过程中 A1 和 PFC 之间的循环循环，并为大脑皮层中感觉和认知过程的整合提供了动态视角。</w:t>
      </w:r>
    </w:p>
    <w:p>
      <w:pPr>
        <w:spacing w:before="0" w:after="200" w:lineRule="auto" w:line="276"/>
      </w:pPr>
      <w:r>
        <w:rPr>
          <w:b/>
        </w:rPr>
        <w:t xml:space="preserve">Abstract (EN): </w:t>
      </w:r>
      <w:r>
        <w:t>Auditory decision-making requires transforming sensory inputs into meaningful choices by integrating external stimuli with internal cognitive processes. Classical hierarchical models propose sequential processing, where primary sensory areas relay sensory information to higher-order regions that compute decision-related processes. However, whether this sequential hierarchy fully captures cortical dynamics remains unclear. Here, we analyzed simultaneous neuronal recordings from primary auditory cortex (A1) and dorsolateral prefrontal cortex (PFC) in two male macaque monkeys performing a spatial auditory decision-making task. Our analyses revealed a clear temporal hierarchy: sensory information was unidirectionally transferred from A1 to PFC, while decision-related information exhibited a bidirectional transfer, first from PFC to A1, and crucially back from A1 to PFC. These findings extend classical hierarchical assumptions, demonstrating a recurrent loop between A1 and PFC during decision-making, and offer a dynamic perspective on the integration of sensory and cognitive processes in the cerebral cortex.</w:t>
      </w:r>
    </w:p>
    <w:p>
      <w:pPr>
        <w:spacing w:before="120" w:after="120"/>
      </w:pPr>
      <w:r>
        <w:rPr>
          <w:sz w:val="18"/>
        </w:rPr>
        <w:t>——————————————————————————————————————————————————————————————————————</w:t>
      </w:r>
    </w:p>
    <w:p>
      <w:pPr>
        <w:spacing w:before="160" w:after="40" w:line="240" w:lineRule="auto"/>
      </w:pPr>
      <w:r>
        <w:rPr>
          <w:b/>
        </w:rPr>
        <w:t xml:space="preserve">[406] </w:t>
      </w:r>
      <w:hyperlink r:id="rId963">
        <w:r>
          <w:rPr>
            <w:color w:val="1155CC"/>
            <w:u w:val="single"/>
          </w:rPr>
          <w:t>丙酮酸交叉喂养对铜绿假单胞菌感染的免疫保护和持久性</w:t>
        </w:r>
      </w:hyperlink>
    </w:p>
    <w:p>
      <w:pPr>
        <w:spacing w:before="0" w:after="80"/>
      </w:pPr>
      <w:r>
        <w:rPr>
          <w:i/>
          <w:sz w:val="20"/>
        </w:rPr>
        <w:t>EN: Immune protection and persistence in Pseudomonas aeruginosa infections by pyruvate cross-feeding</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囊性纤维化患者的铜绿假单胞菌慢性感染的特点是持续炎症和氧化应激，但细菌持续存在的机制尚不完全清楚。在这里，我们确定了铜绿假单胞菌临床分离株中丙酮酸脱氢酶复合物突变导致的丙酮酸分泌介导的持久机制，在金黄色葡萄球菌、流感嗜血杆菌和嗜麦芽寡养单胞菌中也发现了推定的类似突变。这些突变导致细胞外丙酮酸升高，从而抑制宿主炎症反应并有利于细菌的持久存在。丙酮酸发挥多种作用：清除 H2O2 等活性氧，抑制气道上皮细胞和巨噬细胞中的宿主免疫激活，并增加吞噬过程中细菌的存活率。这种代谢串扰促进细菌的持久存在，同时减少上皮细胞和巨噬细胞的炎症反应。我们的研究结果表明，丙酮酸是一种细菌免疫代谢物，可以模仿宿主的抗氧化防御，重塑感染生态位以有利于长期定植。这项工作强调了分泌代谢物在宿主-病原体相互作用中的更广泛作用，并提出了针对代谢途径来管理慢性感染的新策略。</w:t>
      </w:r>
    </w:p>
    <w:p>
      <w:pPr>
        <w:spacing w:before="0" w:after="200" w:lineRule="auto" w:line="276"/>
      </w:pPr>
      <w:r>
        <w:rPr>
          <w:b/>
        </w:rPr>
        <w:t xml:space="preserve">Abstract (EN): </w:t>
      </w:r>
      <w:r>
        <w:t>Chronic infections by Pseudomonas aeruginosa in people with cystic fibrosis are characterized by persistent inflammation and oxidative stress, yet the mechanisms enabling bacterial persistence are not fully understood. Here, we identify a persistence mechanism mediated by pyruvate secretion resulting from mutations in the pyruvate dehydrogenase complex in clinical isolates of P. aeruginosa, with putative analogous mutations also identified in Staphylococcus aureus, Haemophilus influenzae and Stenotrophomonas maltophilia. These mutations lead to elevated extracellular pyruvate, which dampens host inflammatory responses and favors bacterial persistence. Pyruvate exerts multiple roles: scavenges reactive oxygen species such as H2O2, suppresses host immune activation both in airway epithelial cells and macrophages, and increases bacterial survival during phagocytosis. This metabolic crosstalk promotes bacterial persistence while reducing epithelial and macrophage inflammatory responses. Our findings reveal pyruvate as a bacterial immunometabolite that mimics host antioxidant defenses, reshaping the infection niche to favor long-term colonization. This work highlights the broader role of secreted metabolites in host-pathogen interactions and suggests new strategies targeting metabolic pathways to manage chronic infections.</w:t>
      </w:r>
    </w:p>
    <w:p>
      <w:pPr>
        <w:spacing w:before="120" w:after="120"/>
      </w:pPr>
      <w:r>
        <w:rPr>
          <w:sz w:val="18"/>
        </w:rPr>
        <w:t>——————————————————————————————————————————————————————————————————————</w:t>
      </w:r>
    </w:p>
    <w:p>
      <w:pPr>
        <w:spacing w:before="160" w:after="40" w:line="240" w:lineRule="auto"/>
      </w:pPr>
      <w:r>
        <w:rPr>
          <w:b/>
        </w:rPr>
        <w:t xml:space="preserve">[407] </w:t>
      </w:r>
      <w:hyperlink r:id="rId964">
        <w:r>
          <w:rPr>
            <w:color w:val="1155CC"/>
            <w:u w:val="single"/>
          </w:rPr>
          <w:t>嵌入低剂量 RT 加 αPD-1（immuno-EclipseRT、iERT）中的 SBRT 通过 IFN-I/NK/DC 轴引发针对大型肿瘤的 CD8+ T 细胞免疫</w:t>
        </w:r>
      </w:hyperlink>
    </w:p>
    <w:p>
      <w:pPr>
        <w:spacing w:before="0" w:after="80"/>
      </w:pPr>
      <w:r>
        <w:rPr>
          <w:i/>
          <w:sz w:val="20"/>
        </w:rPr>
        <w:t>EN: SBRT embedded in low-dose RT plus αPD-1 (immuno-EclipseRT, iERT) elicits CD8+ T cell immunity against bulky tumors via an IFN-I/NK/DC axis</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大块肿瘤的治疗仍然具有挑战性，单独使用免疫检查点抑制剂（ICIs）或与传统放疗（RT）联合使用的疗效有限。我们提出了 EclipseRT (ERT)，这是一种 RT 技术，可将低剂量 RT (LDRT) 递送至大体肿瘤体积 (GTV)，并将立体定向体 RT (SBRT) 递送至 GTV 内的选定子体积。与 ICI (iERT) 相结合，该方法通过 NK 和 CD8⁺ T 细胞的协调活性实现对大体积肿瘤的显着控制。单细胞 RNA 测序和验证实验表明，SBRT 成分可强力诱导 I 型干扰素 (IFN-I)，从而激活 NK 细胞分泌 XCL1，从而招募交叉呈递的 XCR1⁺ 树突状细胞 (DC)。 SBRT 还促进携带新抗原的细胞外囊泡的释放，增强 DC 交叉呈递和 CD8⁺ T 细胞反应。 LDRT 成分进一步促进 NK 和 CD8⁺ T 细胞招募。 iERT 还在肿瘤和肿瘤引流淋巴结中诱导前体耗尽的 CD8⁺ T 细胞。总的来说，iERT 激活 IFN-I/NK/DC/CD8⁺ T 细胞轴，驱动针对大体积肿瘤的有效抗肿瘤免疫。</w:t>
      </w:r>
    </w:p>
    <w:p>
      <w:pPr>
        <w:spacing w:before="0" w:after="200" w:lineRule="auto" w:line="276"/>
      </w:pPr>
      <w:r>
        <w:rPr>
          <w:b/>
        </w:rPr>
        <w:t xml:space="preserve">Abstract (EN): </w:t>
      </w:r>
      <w:r>
        <w:t>Bulky tumors remain challenging to treat, and immune checkpoint inhibitors (ICIs), alone or combined with conventional radiotherapy (RT), yield limited efficacy. We present EclipseRT (ERT), an RT technique that delivers low-dose RT (LDRT) to the gross tumor volume (GTV) and stereotactic body RT (SBRT) to selected subvolume(s) within the GTV. Combined with ICIs (iERT), this approach achieves marked control of bulky tumors through the coordinated activity of NK and CD8⁺ T cells. Single-cell RNA sequencing and validation experiments show that the SBRT component robustly induces type I interferon (IFN-I), which activates NK cells to secrete XCL1, thereby recruiting cross-presenting XCR1⁺ dendritic cells (DCs). SBRT also promotes the release of extracellular vesicles carrying neoantigens, enhancing DC cross-presentation and CD8⁺ T-cell responses. The LDRT component further promotes NK and CD8⁺ T-cell recruitment. iERT also induces precursor exhausted CD8⁺ T cells in tumors and tumor-draining lymph nodes. Collectively, iERT activates the IFN-I/NK/DC/CD8⁺ T-cell axis, driving potent antitumor immunity against bulky tumors.</w:t>
      </w:r>
    </w:p>
    <w:p>
      <w:pPr>
        <w:spacing w:before="120" w:after="120"/>
      </w:pPr>
      <w:r>
        <w:rPr>
          <w:sz w:val="18"/>
        </w:rPr>
        <w:t>——————————————————————————————————————————————————————————————————————</w:t>
      </w:r>
    </w:p>
    <w:p>
      <w:pPr>
        <w:spacing w:before="160" w:after="40" w:line="240" w:lineRule="auto"/>
      </w:pPr>
      <w:r>
        <w:rPr>
          <w:b/>
        </w:rPr>
        <w:t xml:space="preserve">[408] </w:t>
      </w:r>
      <w:hyperlink r:id="rId965">
        <w:r>
          <w:rPr>
            <w:color w:val="1155CC"/>
            <w:u w:val="single"/>
          </w:rPr>
          <w:t>Kozak mRNA 序列的翻译起始基于核糖体上的构象读数</w:t>
        </w:r>
      </w:hyperlink>
    </w:p>
    <w:p>
      <w:pPr>
        <w:spacing w:before="0" w:after="80"/>
      </w:pPr>
      <w:r>
        <w:rPr>
          <w:i/>
          <w:sz w:val="20"/>
        </w:rPr>
        <w:t>EN: Translation initiation by the Kozak mRNA sequence is based on a conformational readout on the ribosome</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Kozak mRNA（通常在 AUG 起始密码子两侧的 -3 和 +4 位点包含嘌呤）的识别机制几十年来一直是个谜。为了解决真核生物在翻译起始过程中的这一基本功能，我们分析了人类 48S 起始复合物的几种冷冻电镜结构，其中 mRNA 序列的 Kozak 活性不同，揭示了不同的识别模式。前密码子三联体在 18S 核糖体 RNA (rRNA) 中形成扇形嵌入，而 -3 嘧啶使三元复合物定位不稳定。对 +4 嘌呤的特异性是通过 eIF1A、mRNA 和 rRNA 的相互构象适应实现的，超出了单个残基识别的范围，其中涉及插入读取头，其中解码残基 A1825 (rRNA) 与 A 位密码子堆叠以稳定完全适应状态。因此，真核核糖体上 Kozak 序列的特异性识别不是像细菌那样依赖碱基配对，而是基于诱导拟合机制，该机制触发 mRNA 的构象读出。</w:t>
      </w:r>
    </w:p>
    <w:p>
      <w:pPr>
        <w:spacing w:before="0" w:after="200" w:lineRule="auto" w:line="276"/>
      </w:pPr>
      <w:r>
        <w:rPr>
          <w:b/>
        </w:rPr>
        <w:t xml:space="preserve">Abstract (EN): </w:t>
      </w:r>
      <w:r>
        <w:t>The recognition mechanism of Kozak mRNA, typically comprising purines in the −3 and +4 positions flanking the AUG start codon, has remained enigmatic for decades. To address this fundamental function in eukaryotes during translation initiation, we analysed several cryo-EM structures of human 48S preinitiation complexes with mRNA sequences differing in Kozak activity revealing distinct modes of recognition. The pre-codon triplet forms a fan-like intercalation into the 18S ribosomal RNA (rRNA), while a −3 pyrimidine destabilizes ternary complex positioning. Specificity towards the +4 purine is achieved beyond a single residue recognition by mutual conformational adaptations of eIF1A, mRNA and rRNA that involve the insertion of a reading head in which decoding residue A1825 (rRNA) stacks with the A-site codon to stabilize the fully accommodated state. Hence, instead of relying on base pairing as in bacteria, the specific recognition of the Kozak sequence on eukaryotic ribosomes is based on an induced-fit mechanism that triggers a conformational readout of the mRNA.</w:t>
      </w:r>
    </w:p>
    <w:p>
      <w:pPr>
        <w:spacing w:before="120" w:after="120"/>
      </w:pPr>
      <w:r>
        <w:rPr>
          <w:sz w:val="18"/>
        </w:rPr>
        <w:t>——————————————————————————————————————————————————————————————————————</w:t>
      </w:r>
    </w:p>
    <w:p>
      <w:pPr>
        <w:spacing w:before="160" w:after="40" w:line="240" w:lineRule="auto"/>
      </w:pPr>
      <w:r>
        <w:rPr>
          <w:b/>
        </w:rPr>
        <w:t xml:space="preserve">[409] </w:t>
      </w:r>
      <w:hyperlink r:id="rId966">
        <w:r>
          <w:rPr>
            <w:color w:val="1155CC"/>
            <w:u w:val="single"/>
          </w:rPr>
          <w:t>重建人与自然的关系以应对亚马逊地区的生物文化侵蚀</w:t>
        </w:r>
      </w:hyperlink>
    </w:p>
    <w:p>
      <w:pPr>
        <w:spacing w:before="0" w:after="80"/>
      </w:pPr>
      <w:r>
        <w:rPr>
          <w:i/>
          <w:sz w:val="20"/>
        </w:rPr>
        <w:t>EN: Regenerating people–nature relationships to counter biocultural erosion in the Amazon</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67">
        <w:r>
          <w:rPr>
            <w:color w:val="1155CC"/>
            <w:u w:val="single"/>
          </w:rPr>
          <w:t>10.1038/d41586-026-01874-1</w:t>
        </w:r>
      </w:hyperlink>
    </w:p>
    <w:p>
      <w:pPr>
        <w:spacing w:before="0" w:after="120"/>
      </w:pPr>
      <w:r>
        <w:rPr>
          <w:b/>
        </w:rPr>
        <w:t xml:space="preserve">Notes: </w:t>
      </w:r>
      <w:r>
        <w:t>abstract_source=nature_html</w:t>
      </w:r>
    </w:p>
    <w:p>
      <w:pPr>
        <w:spacing w:before="0" w:after="80" w:lineRule="auto" w:line="276"/>
      </w:pPr>
      <w:r>
        <w:rPr>
          <w:b/>
        </w:rPr>
        <w:t xml:space="preserve">摘要（ZH）: </w:t>
      </w:r>
      <w:r>
        <w:t>重建亚马逊原住民与自然之间的互惠关系可以解决气候变化对生物多样性的预期影响。重建亚马逊原住民与自然之间的互惠关系可以解决气候变化对生物多样性的预期影响。</w:t>
      </w:r>
    </w:p>
    <w:p>
      <w:pPr>
        <w:spacing w:before="0" w:after="200" w:lineRule="auto" w:line="276"/>
      </w:pPr>
      <w:r>
        <w:rPr>
          <w:b/>
        </w:rPr>
        <w:t xml:space="preserve">Abstract (EN): </w:t>
      </w:r>
      <w:r>
        <w:t>Rebuilding the reciprocal care-oriented relationships between Amazonian Indigenous peoples and nature could address the predicted effects of climate change on biodiversity. Rebuilding the reciprocal care-oriented relationships between Amazonian Indigenous peoples and nature could address the predicted effects of climate change on biodiversity.</w:t>
      </w:r>
    </w:p>
    <w:p>
      <w:pPr>
        <w:spacing w:before="120" w:after="120"/>
      </w:pPr>
      <w:r>
        <w:rPr>
          <w:sz w:val="18"/>
        </w:rPr>
        <w:t>——————————————————————————————————————————————————————————————————————</w:t>
      </w:r>
    </w:p>
    <w:p>
      <w:pPr>
        <w:spacing w:before="160" w:after="40" w:line="240" w:lineRule="auto"/>
      </w:pPr>
      <w:r>
        <w:rPr>
          <w:b/>
        </w:rPr>
        <w:t xml:space="preserve">[410] </w:t>
      </w:r>
      <w:hyperlink r:id="rId968">
        <w:r>
          <w:rPr>
            <w:color w:val="1155CC"/>
            <w:u w:val="single"/>
          </w:rPr>
          <w:t>诺贝尔化学奖得主离开美国，领导中国人工智能材料实验室</w:t>
        </w:r>
      </w:hyperlink>
    </w:p>
    <w:p>
      <w:pPr>
        <w:spacing w:before="0" w:after="80"/>
      </w:pPr>
      <w:r>
        <w:rPr>
          <w:i/>
          <w:sz w:val="20"/>
        </w:rPr>
        <w:t>EN: Nobel-winning chemist leaves US to direct AI materials lab in China</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69">
        <w:r>
          <w:rPr>
            <w:color w:val="1155CC"/>
            <w:u w:val="single"/>
          </w:rPr>
          <w:t>10.1038/d41586-026-02143-x</w:t>
        </w:r>
      </w:hyperlink>
    </w:p>
    <w:p>
      <w:pPr>
        <w:spacing w:before="0" w:after="120"/>
      </w:pPr>
      <w:r>
        <w:rPr>
          <w:b/>
        </w:rPr>
        <w:t xml:space="preserve">Notes: </w:t>
      </w:r>
      <w:r>
        <w:t>abstract_source=nature_html</w:t>
      </w:r>
    </w:p>
    <w:p>
      <w:pPr>
        <w:spacing w:before="0" w:after="80" w:lineRule="auto" w:line="276"/>
      </w:pPr>
      <w:r>
        <w:rPr>
          <w:b/>
        </w:rPr>
        <w:t xml:space="preserve">摘要（ZH）: </w:t>
      </w:r>
      <w:r>
        <w:t>奥马尔·亚吉 (Omar Yaghi) 此举正值美国科学事业遭到削减以及中国招募顶尖国际人才的运动之际。奥马尔·亚吉 (Omar Yaghi) 此举正值美国科学事业遭到削减以及中国招募顶尖国际人才的运动之际。</w:t>
      </w:r>
    </w:p>
    <w:p>
      <w:pPr>
        <w:spacing w:before="0" w:after="200" w:lineRule="auto" w:line="276"/>
      </w:pPr>
      <w:r>
        <w:rPr>
          <w:b/>
        </w:rPr>
        <w:t xml:space="preserve">Abstract (EN): </w:t>
      </w:r>
      <w:r>
        <w:t>Omar Yaghi’s move comes amid cuts to US science and a campaign in China to recruit top international talent. Omar Yaghi’s move comes amid cuts to US science and a campaign in China to recruit top international talent.</w:t>
      </w:r>
    </w:p>
    <w:p>
      <w:pPr>
        <w:spacing w:before="120" w:after="120"/>
      </w:pPr>
      <w:r>
        <w:rPr>
          <w:sz w:val="18"/>
        </w:rPr>
        <w:t>——————————————————————————————————————————————————————————————————————</w:t>
      </w:r>
    </w:p>
    <w:p>
      <w:pPr>
        <w:spacing w:before="160" w:after="40" w:line="240" w:lineRule="auto"/>
      </w:pPr>
      <w:r>
        <w:rPr>
          <w:b/>
        </w:rPr>
        <w:t xml:space="preserve">[411] </w:t>
      </w:r>
      <w:hyperlink r:id="rId970">
        <w:r>
          <w:rPr>
            <w:color w:val="1155CC"/>
            <w:u w:val="single"/>
          </w:rPr>
          <w:t>火山和野火导致平流层湿度增加</w:t>
        </w:r>
      </w:hyperlink>
    </w:p>
    <w:p>
      <w:pPr>
        <w:spacing w:before="0" w:after="80"/>
      </w:pPr>
      <w:r>
        <w:rPr>
          <w:i/>
          <w:sz w:val="20"/>
        </w:rPr>
        <w:t>EN: Volcanoes and wildfires contributed to increased stratospheric humidification</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71">
        <w:r>
          <w:rPr>
            <w:color w:val="1155CC"/>
            <w:u w:val="single"/>
          </w:rPr>
          <w:t>10.1038/d41586-026-02011-8</w:t>
        </w:r>
      </w:hyperlink>
    </w:p>
    <w:p>
      <w:pPr>
        <w:spacing w:before="0" w:after="120"/>
      </w:pPr>
      <w:r>
        <w:rPr>
          <w:b/>
        </w:rPr>
        <w:t xml:space="preserve">Notes: </w:t>
      </w:r>
      <w:r>
        <w:t>abstract_source=nature_html</w:t>
      </w:r>
    </w:p>
    <w:p>
      <w:pPr>
        <w:spacing w:before="0" w:after="80" w:lineRule="auto" w:line="276"/>
      </w:pPr>
      <w:r>
        <w:rPr>
          <w:b/>
        </w:rPr>
        <w:t xml:space="preserve">摘要（ZH）: </w:t>
      </w:r>
      <w:r>
        <w:t>卫星观测和气候模型模拟表明，自 2005 年以来，适度的火山喷发和极端野火使平流层变得湿润。这些喷发和火灾的气溶胶介导的影响解释了观测到的平流层水蒸气趋势的大约三分之一，这一贡献与地表变暖的贡献类似。中度喷发和极端火灾约占平流层湿度上升趋势的三分之一。</w:t>
      </w:r>
    </w:p>
    <w:p>
      <w:pPr>
        <w:spacing w:before="0" w:after="200" w:lineRule="auto" w:line="276"/>
      </w:pPr>
      <w:r>
        <w:rPr>
          <w:b/>
        </w:rPr>
        <w:t xml:space="preserve">Abstract (EN): </w:t>
      </w:r>
      <w:r>
        <w:t>Observations from satellites and climate-model simulations show that moderate volcanic eruptions and extreme wildfires have humidified the stratosphere since 2005. The aerosol-mediated effects of these eruptions and fires explain about one-third of the observed stratospheric water-vapour trend, a contribution similar to that of surface warming. Moderate eruptions and extreme fires account for about one-third of the upward trend in stratospheric moisture.</w:t>
      </w:r>
    </w:p>
    <w:p>
      <w:pPr>
        <w:spacing w:before="120" w:after="120"/>
      </w:pPr>
      <w:r>
        <w:rPr>
          <w:sz w:val="18"/>
        </w:rPr>
        <w:t>——————————————————————————————————————————————————————————————————————</w:t>
      </w:r>
    </w:p>
    <w:p>
      <w:pPr>
        <w:spacing w:before="160" w:after="40" w:line="240" w:lineRule="auto"/>
      </w:pPr>
      <w:r>
        <w:rPr>
          <w:b/>
        </w:rPr>
        <w:t xml:space="preserve">[412] </w:t>
      </w:r>
      <w:hyperlink r:id="rId972">
        <w:r>
          <w:rPr>
            <w:color w:val="1155CC"/>
            <w:u w:val="single"/>
          </w:rPr>
          <w:t>那些忘记的人</w:t>
        </w:r>
      </w:hyperlink>
    </w:p>
    <w:p>
      <w:pPr>
        <w:spacing w:before="0" w:after="80"/>
      </w:pPr>
      <w:r>
        <w:rPr>
          <w:i/>
          <w:sz w:val="20"/>
        </w:rPr>
        <w:t>EN: Those who forget</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73">
        <w:r>
          <w:rPr>
            <w:color w:val="1155CC"/>
            <w:u w:val="single"/>
          </w:rPr>
          <w:t>10.1038/d41586-026-01933-7</w:t>
        </w:r>
      </w:hyperlink>
    </w:p>
    <w:p>
      <w:pPr>
        <w:spacing w:before="0" w:after="120"/>
      </w:pPr>
      <w:r>
        <w:rPr>
          <w:b/>
        </w:rPr>
        <w:t xml:space="preserve">Notes: </w:t>
      </w:r>
      <w:r>
        <w:t>abstract_source=nature_html</w:t>
      </w:r>
    </w:p>
    <w:p>
      <w:pPr>
        <w:spacing w:before="0" w:after="80" w:lineRule="auto" w:line="276"/>
      </w:pPr>
      <w:r>
        <w:rPr>
          <w:b/>
        </w:rPr>
        <w:t xml:space="preserve">摘要（ZH）: </w:t>
      </w:r>
      <w:r>
        <w:t>思路清晰。思路清晰。</w:t>
      </w:r>
    </w:p>
    <w:p>
      <w:pPr>
        <w:spacing w:before="0" w:after="200" w:lineRule="auto" w:line="276"/>
      </w:pPr>
      <w:r>
        <w:rPr>
          <w:b/>
        </w:rPr>
        <w:t xml:space="preserve">Abstract (EN): </w:t>
      </w:r>
      <w:r>
        <w:t>Clarity of thought. Clarity of thought.</w:t>
      </w:r>
    </w:p>
    <w:p>
      <w:pPr>
        <w:spacing w:before="120" w:after="120"/>
      </w:pPr>
      <w:r>
        <w:rPr>
          <w:sz w:val="18"/>
        </w:rPr>
        <w:t>——————————————————————————————————————————————————————————————————————</w:t>
      </w:r>
    </w:p>
    <w:p>
      <w:pPr>
        <w:spacing w:before="160" w:after="40" w:line="240" w:lineRule="auto"/>
      </w:pPr>
      <w:r>
        <w:rPr>
          <w:b/>
        </w:rPr>
        <w:t xml:space="preserve">[413] </w:t>
      </w:r>
      <w:hyperlink r:id="rId974">
        <w:r>
          <w:rPr>
            <w:color w:val="1155CC"/>
            <w:u w:val="single"/>
          </w:rPr>
          <w:t>海底首次分裂——释放熔岩</w:t>
        </w:r>
      </w:hyperlink>
    </w:p>
    <w:p>
      <w:pPr>
        <w:spacing w:before="0" w:after="80"/>
      </w:pPr>
      <w:r>
        <w:rPr>
          <w:i/>
          <w:sz w:val="20"/>
        </w:rPr>
        <w:t>EN: Ocean floor witnessed splitting apart for the first time — releasing lava</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75">
        <w:r>
          <w:rPr>
            <w:color w:val="1155CC"/>
            <w:u w:val="single"/>
          </w:rPr>
          <w:t>10.1038/d41586-026-02139-7</w:t>
        </w:r>
      </w:hyperlink>
    </w:p>
    <w:p>
      <w:pPr>
        <w:spacing w:before="0" w:after="120"/>
      </w:pPr>
      <w:r>
        <w:rPr>
          <w:b/>
        </w:rPr>
        <w:t xml:space="preserve">Notes: </w:t>
      </w:r>
      <w:r>
        <w:t>abstract_source=nature_html</w:t>
      </w:r>
    </w:p>
    <w:p>
      <w:pPr>
        <w:spacing w:before="0" w:after="80" w:lineRule="auto" w:line="276"/>
      </w:pPr>
      <w:r>
        <w:rPr>
          <w:b/>
        </w:rPr>
        <w:t xml:space="preserve">摘要（ZH）: </w:t>
      </w:r>
      <w:r>
        <w:t>科学家实时观察到洋中脊变宽，记录了几米的海底运动和巨大的熔岩流出。科学家实时观察到洋中脊变宽，记录了几米的海底运动和巨大的熔岩流出。</w:t>
      </w:r>
    </w:p>
    <w:p>
      <w:pPr>
        <w:spacing w:before="0" w:after="200" w:lineRule="auto" w:line="276"/>
      </w:pPr>
      <w:r>
        <w:rPr>
          <w:b/>
        </w:rPr>
        <w:t xml:space="preserve">Abstract (EN): </w:t>
      </w:r>
      <w:r>
        <w:t>Scientists observed a mid-ocean ridge widen in real time, recording several metres of sea-floor motion and huge lava outflows. Scientists observed a mid-ocean ridge widen in real time, recording several metres of sea-floor motion and huge lava outflows.</w:t>
      </w:r>
    </w:p>
    <w:p>
      <w:pPr>
        <w:spacing w:before="120" w:after="120"/>
      </w:pPr>
      <w:r>
        <w:rPr>
          <w:sz w:val="18"/>
        </w:rPr>
        <w:t>——————————————————————————————————————————————————————————————————————</w:t>
      </w:r>
    </w:p>
    <w:p>
      <w:pPr>
        <w:spacing w:before="160" w:after="40" w:line="240" w:lineRule="auto"/>
      </w:pPr>
      <w:r>
        <w:rPr>
          <w:b/>
        </w:rPr>
        <w:t xml:space="preserve">[414] </w:t>
      </w:r>
      <w:hyperlink r:id="rId976">
        <w:r>
          <w:rPr>
            <w:color w:val="1155CC"/>
            <w:u w:val="single"/>
          </w:rPr>
          <w:t>通过体内染色体畸变筛查发现乳腺癌驱动基因</w:t>
        </w:r>
      </w:hyperlink>
    </w:p>
    <w:p>
      <w:pPr>
        <w:spacing w:before="0" w:after="80"/>
      </w:pPr>
      <w:r>
        <w:rPr>
          <w:i/>
          <w:sz w:val="20"/>
        </w:rPr>
        <w:t>EN: Breast cancer driver genes found by screening chromosome aberrations in vivo</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77">
        <w:r>
          <w:rPr>
            <w:color w:val="1155CC"/>
            <w:u w:val="single"/>
          </w:rPr>
          <w:t>10.1038/d41586-026-02014-5</w:t>
        </w:r>
      </w:hyperlink>
    </w:p>
    <w:p>
      <w:pPr>
        <w:spacing w:before="0" w:after="120"/>
      </w:pPr>
      <w:r>
        <w:rPr>
          <w:b/>
        </w:rPr>
        <w:t xml:space="preserve">Notes: </w:t>
      </w:r>
      <w:r>
        <w:t>abstract_source=nature_html</w:t>
      </w:r>
    </w:p>
    <w:p>
      <w:pPr>
        <w:spacing w:before="0" w:after="80" w:lineRule="auto" w:line="276"/>
      </w:pPr>
      <w:r>
        <w:rPr>
          <w:b/>
        </w:rPr>
        <w:t xml:space="preserve">摘要（ZH）: </w:t>
      </w:r>
      <w:r>
        <w:t>癌症基因组不稳定，通常会经历整个染色体或染色体臂的增加或丢失，这种变化称为非整倍体。在乳腺癌小鼠模型中进行的实验表明，这些不稳定性包含一两个驱动癌症的普遍基因，并且绕过了积累非整倍体的需要；它们还需要完整的微环境才能产生作用。体内 CRISPR 筛选中发现的许多驱动程序的表达改变并没有改变体外细胞的行为。</w:t>
      </w:r>
    </w:p>
    <w:p>
      <w:pPr>
        <w:spacing w:before="0" w:after="200" w:lineRule="auto" w:line="276"/>
      </w:pPr>
      <w:r>
        <w:rPr>
          <w:b/>
        </w:rPr>
        <w:t xml:space="preserve">Abstract (EN): </w:t>
      </w:r>
      <w:r>
        <w:t>Cancer genomes are unstable, often experiencing gains or losses of whole chromosomes or chromosome arms — changes known as aneuploidies. Experiments in mouse models of breast cancer reveal that these instabilities harbour one or two prevalent genes that drive cancer and that bypass the need to accumulate aneuploidies; they also require an intact microenvironment to produce their effects. Altered expression of many drivers identified in the in vivo CRISPR screen did not alter cell behaviour in vitro.</w:t>
      </w:r>
    </w:p>
    <w:p>
      <w:pPr>
        <w:spacing w:before="120" w:after="120"/>
      </w:pPr>
      <w:r>
        <w:rPr>
          <w:sz w:val="18"/>
        </w:rPr>
        <w:t>——————————————————————————————————————————————————————————————————————</w:t>
      </w:r>
    </w:p>
    <w:p>
      <w:pPr>
        <w:spacing w:before="160" w:after="40" w:line="240" w:lineRule="auto"/>
      </w:pPr>
      <w:r>
        <w:rPr>
          <w:b/>
        </w:rPr>
        <w:t xml:space="preserve">[415] </w:t>
      </w:r>
      <w:hyperlink r:id="rId978">
        <w:r>
          <w:rPr>
            <w:color w:val="1155CC"/>
            <w:u w:val="single"/>
          </w:rPr>
          <w:t>明智地使用法学硕士可以加速社会科学的进步</w:t>
        </w:r>
      </w:hyperlink>
    </w:p>
    <w:p>
      <w:pPr>
        <w:spacing w:before="0" w:after="80"/>
      </w:pPr>
      <w:r>
        <w:rPr>
          <w:i/>
          <w:sz w:val="20"/>
        </w:rPr>
        <w:t>EN: Judicious use of LLMs could speed up progress in the social sciences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79">
        <w:r>
          <w:rPr>
            <w:color w:val="1155CC"/>
            <w:u w:val="single"/>
          </w:rPr>
          <w:t>10.1038/d41586-026-01875-0</w:t>
        </w:r>
      </w:hyperlink>
    </w:p>
    <w:p>
      <w:pPr>
        <w:spacing w:before="0" w:after="120"/>
      </w:pPr>
      <w:r>
        <w:rPr>
          <w:b/>
        </w:rPr>
        <w:t xml:space="preserve">Notes: </w:t>
      </w:r>
      <w:r>
        <w:t>abstract_source=nature_html</w:t>
      </w:r>
    </w:p>
    <w:p>
      <w:pPr>
        <w:spacing w:before="0" w:after="80" w:lineRule="auto" w:line="276"/>
      </w:pPr>
      <w:r>
        <w:rPr>
          <w:b/>
        </w:rPr>
        <w:t xml:space="preserve">摘要（ZH）: </w:t>
      </w:r>
      <w:r>
        <w:t>大型语言模型可以推进社会科学的实验，但如何使用它们来支持研究的基本问题仍然存在。大型语言模型可以推进社会科学的实验，但如何使用它们来支持研究的基本问题仍然存在。</w:t>
      </w:r>
    </w:p>
    <w:p>
      <w:pPr>
        <w:spacing w:before="0" w:after="200" w:lineRule="auto" w:line="276"/>
      </w:pPr>
      <w:r>
        <w:rPr>
          <w:b/>
        </w:rPr>
        <w:t xml:space="preserve">Abstract (EN): </w:t>
      </w:r>
      <w:r>
        <w:t>Large language models could advance experiments in the social sciences, but fundamental questions remain about how they should be used to support research. Large language models could advance experiments in the social sciences, but fundamental questions remain about how they should be used to support research.</w:t>
      </w:r>
    </w:p>
    <w:p>
      <w:pPr>
        <w:spacing w:before="120" w:after="120"/>
      </w:pPr>
      <w:r>
        <w:rPr>
          <w:sz w:val="18"/>
        </w:rPr>
        <w:t>——————————————————————————————————————————————————————————————————————</w:t>
      </w:r>
    </w:p>
    <w:p>
      <w:pPr>
        <w:spacing w:before="160" w:after="40" w:line="240" w:lineRule="auto"/>
      </w:pPr>
      <w:r>
        <w:rPr>
          <w:b/>
        </w:rPr>
        <w:t xml:space="preserve">[416] </w:t>
      </w:r>
      <w:hyperlink r:id="rId980">
        <w:r>
          <w:rPr>
            <w:color w:val="1155CC"/>
            <w:u w:val="single"/>
          </w:rPr>
          <w:t>海底观测站捕捉到的海底扩张</w:t>
        </w:r>
      </w:hyperlink>
    </w:p>
    <w:p>
      <w:pPr>
        <w:spacing w:before="0" w:after="80"/>
      </w:pPr>
      <w:r>
        <w:rPr>
          <w:i/>
          <w:sz w:val="20"/>
        </w:rPr>
        <w:t>EN: Sea-floor spreading captured by undersea observatory</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81">
        <w:r>
          <w:rPr>
            <w:color w:val="1155CC"/>
            <w:u w:val="single"/>
          </w:rPr>
          <w:t>10.1038/d41586-026-01943-5</w:t>
        </w:r>
      </w:hyperlink>
    </w:p>
    <w:p>
      <w:pPr>
        <w:spacing w:before="0" w:after="120"/>
      </w:pPr>
      <w:r>
        <w:rPr>
          <w:b/>
        </w:rPr>
        <w:t xml:space="preserve">Notes: </w:t>
      </w:r>
      <w:r>
        <w:t>abstract_source=nature_html</w:t>
      </w:r>
    </w:p>
    <w:p>
      <w:pPr>
        <w:spacing w:before="0" w:after="80" w:lineRule="auto" w:line="276"/>
      </w:pPr>
      <w:r>
        <w:rPr>
          <w:b/>
        </w:rPr>
        <w:t xml:space="preserve">摘要（ZH）: </w:t>
      </w:r>
      <w:r>
        <w:t>海底监测实验观察到在两个构造板块之间形成了洋壳，这是对这种现象的首次现场测量。海底监测实验观察到在两个构造板块之间形成了洋壳，这是对这种现象的首次现场测量。</w:t>
      </w:r>
    </w:p>
    <w:p>
      <w:pPr>
        <w:spacing w:before="0" w:after="200" w:lineRule="auto" w:line="276"/>
      </w:pPr>
      <w:r>
        <w:rPr>
          <w:b/>
        </w:rPr>
        <w:t xml:space="preserve">Abstract (EN): </w:t>
      </w:r>
      <w:r>
        <w:t>A sea-floor monitoring experiment observed oceanic crust being created between two tectonic plates — the first in situ measurement of this phenomenon. A sea-floor monitoring experiment observed oceanic crust being created between two tectonic plates — the first in situ measurement of this phenomenon.</w:t>
      </w:r>
    </w:p>
    <w:p>
      <w:pPr>
        <w:spacing w:before="120" w:after="120"/>
      </w:pPr>
      <w:r>
        <w:rPr>
          <w:sz w:val="18"/>
        </w:rPr>
        <w:t>——————————————————————————————————————————————————————————————————————</w:t>
      </w:r>
    </w:p>
    <w:p>
      <w:pPr>
        <w:spacing w:before="160" w:after="40" w:line="240" w:lineRule="auto"/>
      </w:pPr>
      <w:r>
        <w:rPr>
          <w:b/>
        </w:rPr>
        <w:t xml:space="preserve">[417] </w:t>
      </w:r>
      <w:hyperlink r:id="rId982">
        <w:r>
          <w:rPr>
            <w:color w:val="1155CC"/>
            <w:u w:val="single"/>
          </w:rPr>
          <w:t>如何推进革命性科学：高流动性、高风险和失败的许可</w:t>
        </w:r>
      </w:hyperlink>
    </w:p>
    <w:p>
      <w:pPr>
        <w:spacing w:before="0" w:after="80"/>
      </w:pPr>
      <w:r>
        <w:rPr>
          <w:i/>
          <w:sz w:val="20"/>
        </w:rPr>
        <w:t>EN: How to advance revolutionary science: high turnover, high risk and a licence to fail</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83">
        <w:r>
          <w:rPr>
            <w:color w:val="1155CC"/>
            <w:u w:val="single"/>
          </w:rPr>
          <w:t>10.1038/d41586-026-02090-7</w:t>
        </w:r>
      </w:hyperlink>
    </w:p>
    <w:p>
      <w:pPr>
        <w:spacing w:before="0" w:after="120"/>
      </w:pPr>
      <w:r>
        <w:rPr>
          <w:b/>
        </w:rPr>
        <w:t xml:space="preserve">Notes: </w:t>
      </w:r>
      <w:r>
        <w:t>abstract_source=nature_html</w:t>
      </w:r>
    </w:p>
    <w:p>
      <w:pPr>
        <w:spacing w:before="0" w:after="80" w:lineRule="auto" w:line="276"/>
      </w:pPr>
      <w:r>
        <w:rPr>
          <w:b/>
        </w:rPr>
        <w:t xml:space="preserve">摘要（ZH）: </w:t>
      </w:r>
      <w:r>
        <w:t>凯瑟琳·费希尔 (Kathleen Fisher) 向英国高级研究和发明局透露了资助创新科学的秘诀。凯瑟琳·费希尔 (Kathleen Fisher) 向英国高级研究和发明局透露了资助创新科学的秘诀。</w:t>
      </w:r>
    </w:p>
    <w:p>
      <w:pPr>
        <w:spacing w:before="0" w:after="200" w:lineRule="auto" w:line="276"/>
      </w:pPr>
      <w:r>
        <w:rPr>
          <w:b/>
        </w:rPr>
        <w:t xml:space="preserve">Abstract (EN): </w:t>
      </w:r>
      <w:r>
        <w:t>Kathleen Fisher reveals the recipe for funding innovative science that she brings to the UK Advanced Research and Invention Agency. Kathleen Fisher reveals the recipe for funding innovative science that she brings to the UK Advanced Research and Invention Agency.</w:t>
      </w:r>
    </w:p>
    <w:p>
      <w:pPr>
        <w:spacing w:before="120" w:after="120"/>
      </w:pPr>
      <w:r>
        <w:rPr>
          <w:sz w:val="18"/>
        </w:rPr>
        <w:t>——————————————————————————————————————————————————————————————————————</w:t>
      </w:r>
    </w:p>
    <w:p>
      <w:pPr>
        <w:spacing w:before="160" w:after="40" w:line="240" w:lineRule="auto"/>
      </w:pPr>
      <w:r>
        <w:rPr>
          <w:b/>
        </w:rPr>
        <w:t xml:space="preserve">[418] </w:t>
      </w:r>
      <w:hyperlink r:id="rId984">
        <w:r>
          <w:rPr>
            <w:color w:val="1155CC"/>
            <w:u w:val="single"/>
          </w:rPr>
          <w:t>代际流动性促进欧洲创新</w:t>
        </w:r>
      </w:hyperlink>
    </w:p>
    <w:p>
      <w:pPr>
        <w:spacing w:before="0" w:after="80"/>
      </w:pPr>
      <w:r>
        <w:rPr>
          <w:i/>
          <w:sz w:val="20"/>
        </w:rPr>
        <w:t>EN: Intergenerational mobility fosters innovation in Europe</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85">
        <w:r>
          <w:rPr>
            <w:color w:val="1155CC"/>
            <w:u w:val="single"/>
          </w:rPr>
          <w:t>10.1038/s41586-026-10736-9</w:t>
        </w:r>
      </w:hyperlink>
    </w:p>
    <w:p>
      <w:pPr>
        <w:spacing w:before="0" w:after="120"/>
      </w:pPr>
      <w:r>
        <w:rPr>
          <w:b/>
        </w:rPr>
        <w:t xml:space="preserve">Notes: </w:t>
      </w:r>
      <w:r>
        <w:t>abstract_source=nature_html</w:t>
      </w:r>
    </w:p>
    <w:p>
      <w:pPr>
        <w:spacing w:before="0" w:after="80" w:lineRule="auto" w:line="276"/>
      </w:pPr>
      <w:r>
        <w:rPr>
          <w:b/>
        </w:rPr>
        <w:t xml:space="preserve">摘要（ZH）: </w:t>
      </w:r>
      <w:r>
        <w:t>个人的出生环境可能会对他们未来的经济机会产生根本性的限制1,2,3,4,5，导致人才、教育和职业之间的不匹配。这种机会不平等的一个主要决定因素是缺乏代际教育流动性2。在这里，我们通过介绍欧洲空间分类代际流动图集（EUROPE-IGM-ATLAS）扩展了有关代际流动性的现有知识，这是一个包含欧洲次国家地区代际流动性指标的面板数据库。在此过程中，我们做出了两项贡献。首先，我们扩展了欧洲地区代际流动性发展的现有知识。 EUROPE-IGM-ATLAS 揭示了几个时空趋势，这些趋势表征了欧洲机会地理的变化。例如，我们发现，观察到的代际流动性的增加主要源于来自教育分布较低端家庭的个人教育成就的提高，整个教育范围内的排名变化较小。然而，这些增长并不是均匀分布的。教育不平等程度较高的地区代际流动性也较低，这意味着代内和代际之间不平等现象并存。其次，我们使用该数据库来提供代际流动性与创新之间关系的证据。我们提供的大规模时间序列证据表明，代际流动性较高的欧洲地区</w:t>
      </w:r>
    </w:p>
    <w:p>
      <w:pPr>
        <w:spacing w:before="0" w:after="200" w:lineRule="auto" w:line="276"/>
      </w:pPr>
      <w:r>
        <w:rPr>
          <w:b/>
        </w:rPr>
        <w:t xml:space="preserve">Abstract (EN): </w:t>
      </w:r>
      <w:r>
        <w:t>The circumstances into which individuals are born can place fundamental constraints on their future economic opportunities1,2,3,4,5, leading to a mismatch between talent, education and occupation. One major determinant of this inequality of opportunity is the absence of intergenerational educational mobility2. Here we extend existing knowledge on intergenerational mobility by presenting The European Atlas of Spatially Disaggregated Intergenerational Mobility (EUROPE-IGM-ATLAS), a panel database comprising indicators of intergenerational mobility for European subnational regions. In doing so, we make two contributions. First, we extend existing knowledge on the development of intergenerational mobility in European regions. The EUROPE-IGM-ATLAS reveals several spatiotemporal trends that characterize the changing geography of opportunity in Europe. For example, we show that observed increases in intergenerational mobility primarily stem from improvements in educational achievements among individuals from families at the lower end of the educational distribution, with fewer changes in rank across the educational spectrum. However, these increases are not uniformly distributed. Regions with a high degree of educational inequality also exhibit lower levels of intergenerational mobility, implying the co-existence of inequality both within and between generations. Second, we use this database to provide evidence on the relationship between intergenerational mobility and innovation. We provide large-scale time-series evidence that European regions with higher intergenerational mobility achieve higher innovation outcomes, one important driver of economic growth. Subsets of results further indicate that this relationship is nonlinear and that distinct mechanisms operate in major innovation hubs.</w:t>
      </w:r>
    </w:p>
    <w:p>
      <w:pPr>
        <w:spacing w:before="120" w:after="120"/>
      </w:pPr>
      <w:r>
        <w:rPr>
          <w:sz w:val="18"/>
        </w:rPr>
        <w:t>——————————————————————————————————————————————————————————————————————</w:t>
      </w:r>
    </w:p>
    <w:p>
      <w:pPr>
        <w:spacing w:before="160" w:after="40" w:line="240" w:lineRule="auto"/>
      </w:pPr>
      <w:r>
        <w:rPr>
          <w:b/>
        </w:rPr>
        <w:t xml:space="preserve">[419] </w:t>
      </w:r>
      <w:hyperlink r:id="rId986">
        <w:r>
          <w:rPr>
            <w:color w:val="1155CC"/>
            <w:u w:val="single"/>
          </w:rPr>
          <w:t>卫星可以追踪潜伏在太空中的核武器</w:t>
        </w:r>
      </w:hyperlink>
    </w:p>
    <w:p>
      <w:pPr>
        <w:spacing w:before="0" w:after="80"/>
      </w:pPr>
      <w:r>
        <w:rPr>
          <w:i/>
          <w:sz w:val="20"/>
        </w:rPr>
        <w:t>EN: Nuclear weapons lurking in space could be tracked down by satellites</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87">
        <w:r>
          <w:rPr>
            <w:color w:val="1155CC"/>
            <w:u w:val="single"/>
          </w:rPr>
          <w:t>10.1038/d41586-026-01944-4</w:t>
        </w:r>
      </w:hyperlink>
    </w:p>
    <w:p>
      <w:pPr>
        <w:spacing w:before="0" w:after="120"/>
      </w:pPr>
      <w:r>
        <w:rPr>
          <w:b/>
        </w:rPr>
        <w:t xml:space="preserve">Notes: </w:t>
      </w:r>
      <w:r>
        <w:t>abstract_source=nature_html</w:t>
      </w:r>
    </w:p>
    <w:p>
      <w:pPr>
        <w:spacing w:before="0" w:after="80" w:lineRule="auto" w:line="276"/>
      </w:pPr>
      <w:r>
        <w:rPr>
          <w:b/>
        </w:rPr>
        <w:t xml:space="preserve">摘要（ZH）: </w:t>
      </w:r>
      <w:r>
        <w:t>绕地球运行的核武器会通过与地球空间辐射环境的相互作用发射中子，这些中子可以被卫星探测到。绕地球运行的核武器会通过与地球空间辐射环境的相互作用发射中子，这些中子可以被卫星探测到。</w:t>
      </w:r>
    </w:p>
    <w:p>
      <w:pPr>
        <w:spacing w:before="0" w:after="200" w:lineRule="auto" w:line="276"/>
      </w:pPr>
      <w:r>
        <w:rPr>
          <w:b/>
        </w:rPr>
        <w:t xml:space="preserve">Abstract (EN): </w:t>
      </w:r>
      <w:r>
        <w:t>A nuclear weapon orbiting Earth would emit neutrons through its interactions with the planet’s space radiation environment, and these could be detected by satellites. A nuclear weapon orbiting Earth would emit neutrons through its interactions with the planet’s space radiation environment, and these could be detected by satellites.</w:t>
      </w:r>
    </w:p>
    <w:p>
      <w:pPr>
        <w:spacing w:before="120" w:after="120"/>
      </w:pPr>
      <w:r>
        <w:rPr>
          <w:sz w:val="18"/>
        </w:rPr>
        <w:t>——————————————————————————————————————————————————————————————————————</w:t>
      </w:r>
    </w:p>
    <w:p>
      <w:pPr>
        <w:spacing w:before="160" w:after="40" w:line="240" w:lineRule="auto"/>
      </w:pPr>
      <w:r>
        <w:rPr>
          <w:b/>
        </w:rPr>
        <w:t xml:space="preserve">[420] </w:t>
      </w:r>
      <w:hyperlink r:id="rId988">
        <w:r>
          <w:rPr>
            <w:color w:val="1155CC"/>
            <w:u w:val="single"/>
          </w:rPr>
          <w:t>亚油酸通过靶向铁硫簇驱动软骨细胞铁死亡加速雄性大鼠骨关节炎的进展</w:t>
        </w:r>
      </w:hyperlink>
    </w:p>
    <w:p>
      <w:pPr>
        <w:spacing w:before="0" w:after="80"/>
      </w:pPr>
      <w:r>
        <w:rPr>
          <w:i/>
          <w:sz w:val="20"/>
        </w:rPr>
        <w:t>EN: Linoleic acid accelerates osteoarthritis progression in male rats by targeting iron-sulfur clusters to drive ferroptosis in chondrocytes</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骨关节炎（OA）的发展伴随着各种代谢紊乱，突出需要进一步研究代谢相关的发病机制和针对性的治疗策略。在此，我们发现亚油酸（LA）是饮食中最丰富的必需脂肪酸，在老年人和骨关节炎个体的血液、滑液和软骨组织中积累。值得注意的是，LA 不仅诱导软骨细胞铁死亡，而且还作为一种风险代谢物，在雄性大鼠模型中驱动 OA 发病并加速创伤性 OA 的进展。从机制上讲，LA可以直接与铁硫簇组装酶（ISCU）结合，诱导其自噬降解并抑制铁硫簇合成，随后激活IRP1介导的翻译调节以驱动铁死亡过程。此外，上调或补充软骨组织中的 ISCU 有助于减轻 LA 积累和创伤诱导的 OA 进展，该策略可以通过有效抑制铁死亡来进一步增强适度运动在 OA 治疗中的治疗效果。总而言之，我们的研究结果确定 LA 是通过驱动铁死亡而参与 OA 发生和进展的关键代谢物，并提出了基于 ISCU 补充剂的靶向治疗策略。</w:t>
      </w:r>
    </w:p>
    <w:p>
      <w:pPr>
        <w:spacing w:before="0" w:after="200" w:lineRule="auto" w:line="276"/>
      </w:pPr>
      <w:r>
        <w:rPr>
          <w:b/>
        </w:rPr>
        <w:t xml:space="preserve">Abstract (EN): </w:t>
      </w:r>
      <w:r>
        <w:t>The development of osteoarthritis (OA) is accompanied by various metabolic disorders, highlighting the need for further investigation into metabolism-related pathogenesis and targeted therapeutic strategies. Herein, we found that linoleic acid (LA), the most abundant essential fatty acid in the diet, accumulates in the blood, synovial fluid, and cartilage tissue of elderly and OA individuals. Notably, LA not only induces ferroptosis in chondrocytes, but it also serves as a risk metabolite, driving OA onset and accelerating the progression of traumatic OA in male rat models. Mechanistically, LA can directly bind to iron-sulfur cluster assembly enzyme (ISCU) to induce its autophagic degradation and inhibit iron-sulfur cluster synthesis, which subsequently activates IRP1-mediated translational regulation to drive the ferroptosis process. Furthermore, upregulating or supplementing ISCU in cartilage tissue contributes to mitigating LA accumulation and trauma-induced OA progression, and this strategy can further enhance the therapeutic efficacy of moderate exercise in OA treatment by effectively inhibiting ferroptosis. Taken together, our findings identify LA as a key metabolite involved in the onset and progression of OA by driving ferroptosis and propose a targeted therapeutic strategy based on ISCU supplementation.</w:t>
      </w:r>
    </w:p>
    <w:p>
      <w:pPr>
        <w:spacing w:before="120" w:after="120"/>
      </w:pPr>
      <w:r>
        <w:rPr>
          <w:sz w:val="18"/>
        </w:rPr>
        <w:t>——————————————————————————————————————————————————————————————————————</w:t>
      </w:r>
    </w:p>
    <w:p>
      <w:pPr>
        <w:spacing w:before="160" w:after="40" w:line="240" w:lineRule="auto"/>
      </w:pPr>
      <w:r>
        <w:rPr>
          <w:b/>
        </w:rPr>
        <w:t xml:space="preserve">[421] </w:t>
      </w:r>
      <w:hyperlink r:id="rId989">
        <w:r>
          <w:rPr>
            <w:color w:val="1155CC"/>
            <w:u w:val="single"/>
          </w:rPr>
          <w:t>基因靶向光催化有机染料用于特定活细胞中时空控制的有机合成</w:t>
        </w:r>
      </w:hyperlink>
    </w:p>
    <w:p>
      <w:pPr>
        <w:spacing w:before="0" w:after="80"/>
      </w:pPr>
      <w:r>
        <w:rPr>
          <w:i/>
          <w:sz w:val="20"/>
        </w:rPr>
        <w:t>EN: Genetically targeted photocatalytic organic dyes for spatiotemporally controlled organic synthesis in specific living cells</w:t>
      </w:r>
    </w:p>
    <w:p>
      <w:pPr>
        <w:spacing w:before="0" w:after="120"/>
      </w:pPr>
      <w:r>
        <w:rPr>
          <w:b/>
        </w:rPr>
        <w:t xml:space="preserve">Source: </w:t>
      </w:r>
      <w:r>
        <w:t>Nature Chemistry</w:t>
      </w:r>
      <w:r>
        <w:t xml:space="preserve">    </w:t>
      </w:r>
      <w:r>
        <w:rPr>
          <w:b/>
        </w:rPr>
        <w:t xml:space="preserve">Pub date: </w:t>
      </w:r>
      <w:r>
        <w:t>2026-07-08 00:00:00+00:00</w:t>
      </w:r>
      <w:r>
        <w:t xml:space="preserve">    </w:t>
      </w:r>
      <w:r>
        <w:rPr>
          <w:b/>
        </w:rPr>
        <w:t xml:space="preserve">DOI: </w:t>
      </w:r>
      <w:hyperlink r:id="rId990">
        <w:r>
          <w:rPr>
            <w:color w:val="1155CC"/>
            <w:u w:val="single"/>
          </w:rPr>
          <w:t>10.1038/s41557-026-02195-6</w:t>
        </w:r>
      </w:hyperlink>
    </w:p>
    <w:p>
      <w:pPr>
        <w:spacing w:before="0" w:after="120"/>
      </w:pPr>
      <w:r>
        <w:rPr>
          <w:b/>
        </w:rPr>
        <w:t xml:space="preserve">Notes: </w:t>
      </w:r>
      <w:r>
        <w:t>abstract_source=nature_html</w:t>
      </w:r>
    </w:p>
    <w:p>
      <w:pPr>
        <w:spacing w:before="0" w:after="80" w:lineRule="auto" w:line="276"/>
      </w:pPr>
      <w:r>
        <w:rPr>
          <w:b/>
        </w:rPr>
        <w:t xml:space="preserve">摘要（ZH）: </w:t>
      </w:r>
      <w:r>
        <w:t>许多非生物有机化合物的催化合成超出了哺乳动物细胞的天然能力。扩大生理相容性成键催化反应的范围可以使生命系统内不同分子的原位合成成为可能。通过控制特定细胞和物理空间中的这些反应，这种方法可以提供调节细胞行为的变革性方法，并将细胞视为生物体内不同的反应容器。在这里，我们使用基因靶向将有机光催化染料掺入细胞上和细胞内，以实现细胞类型特异性和空间限定的催化。使用温和的、从绿色到红色的可见光刺激，可以将光催化作用限制在单个细胞上。该染料催化交叉脱氢 C-H 官能化，以实现光和细胞特异性的 C-C 键原位构建。核定位组装以反向运输方向指导蛋白质易位，说明了这种方法在生成和增强化学生物学工具功能方面的实用性。我们预计，合成催化剂与细胞特异性靶向的整合可能为未来生物体中精确定向的非生物化学合成奠定重要基础。</w:t>
      </w:r>
    </w:p>
    <w:p>
      <w:pPr>
        <w:spacing w:before="0" w:after="200" w:lineRule="auto" w:line="276"/>
      </w:pPr>
      <w:r>
        <w:rPr>
          <w:b/>
        </w:rPr>
        <w:t xml:space="preserve">Abstract (EN): </w:t>
      </w:r>
      <w:r>
        <w:t>The catalytic synthesis of many abiotic organic compounds is beyond the native capabilities of mammalian cells. Broadening the range of physiologically compatible, bond-forming catalytic reactions could enable the in situ synthesis of diverse molecules within living systems. By controlling these reactions in both specific cells and in physical space, this approach could offer transformative ways to modulate cellular behaviour and treat cells as distinct reaction vessels within organisms. Here we use genetic targeting to incorporate organic photocatalytic dyes onto and within cells to enable cell-type-specific and spatially defined catalysis. Photocatalysis can be restricted to individual cells using mild, green-to-red visible stimulation. The dyes catalyse cross-dehydrogenative C–H functionalization for the light- and cell-specific construction of C–C bonds in situ. Nuclear-localized assembly directs protein translocation with reversed transport directionality, illustrating the utility of this approach to both generate and enhance the function of chemical biology tools. We anticipate that the integration of synthetic catalysts with cell-specific targeting may lay an important foundation for future precision-directed abiotic chemical synthesis in living organisms.</w:t>
      </w:r>
    </w:p>
    <w:p>
      <w:pPr>
        <w:spacing w:before="120" w:after="120"/>
      </w:pPr>
      <w:r>
        <w:rPr>
          <w:sz w:val="18"/>
        </w:rPr>
        <w:t>——————————————————————————————————————————————————————————————————————</w:t>
      </w:r>
    </w:p>
    <w:p>
      <w:pPr>
        <w:spacing w:before="160" w:after="40" w:line="240" w:lineRule="auto"/>
      </w:pPr>
      <w:r>
        <w:rPr>
          <w:b/>
        </w:rPr>
        <w:t xml:space="preserve">[422] </w:t>
      </w:r>
      <w:hyperlink r:id="rId991">
        <w:r>
          <w:rPr>
            <w:color w:val="1155CC"/>
            <w:u w:val="single"/>
          </w:rPr>
          <w:t>钯催化无向芳烃与环戊烯的对映选择性 C-H 活化反应</w:t>
        </w:r>
      </w:hyperlink>
    </w:p>
    <w:p>
      <w:pPr>
        <w:spacing w:before="0" w:after="80"/>
      </w:pPr>
      <w:r>
        <w:rPr>
          <w:i/>
          <w:sz w:val="20"/>
        </w:rPr>
        <w:t>EN: Palladium-Catalyzed Enantioselective C–H Activation Reaction of Undirected Arenes with Cyclopentenes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92">
        <w:r>
          <w:rPr>
            <w:color w:val="1155CC"/>
            <w:u w:val="single"/>
          </w:rPr>
          <w:t>10.1021/jacs.6c08426</w:t>
        </w:r>
      </w:hyperlink>
    </w:p>
    <w:p>
      <w:pPr>
        <w:spacing w:before="0" w:after="120"/>
      </w:pPr>
      <w:r>
        <w:rPr>
          <w:b/>
        </w:rPr>
        <w:t xml:space="preserve">Notes: </w:t>
      </w:r>
      <w:r>
        <w:t>abstract_source=pubmed</w:t>
      </w:r>
    </w:p>
    <w:p>
      <w:pPr>
        <w:spacing w:before="0" w:after="80" w:lineRule="auto" w:line="276"/>
      </w:pPr>
      <w:r>
        <w:rPr>
          <w:b/>
        </w:rPr>
        <w:t xml:space="preserve">摘要（ZH）: </w:t>
      </w:r>
      <w:r>
        <w:t>尽管定向 C-H 活化已经彻底改变了有机合成，但在没有定向基团的情况下芳烃的不对称官能化仍然是一个艰巨的挑战。在这里，我们表明，钯催化的 C-H 活化反应能够实现无向芳烃和杂芳烃与环戊烯衍生物的对映选择性偶联。在一类易于获得的手性吡啶酮-恶唑啉配体的促进下，该方案可促进有效的 C(sp2)-H 活化，生成具有两个立体中心且具有出色立体控制的产品（高达 96% ee 和 40:1 dr）。</w:t>
      </w:r>
    </w:p>
    <w:p>
      <w:pPr>
        <w:spacing w:before="0" w:after="200" w:lineRule="auto" w:line="276"/>
      </w:pPr>
      <w:r>
        <w:rPr>
          <w:b/>
        </w:rPr>
        <w:t xml:space="preserve">Abstract (EN): </w:t>
      </w:r>
      <w:r>
        <w:t>Although directed C-H activation has revolutionized organic synthesis, the asymmetric functionalization of arenes in the absence of directing groups remains a formidable challenge. Here we show that a palladium-catalyzed C-H activation reaction enables the enantioselective coupling of undirected arenes and heteroarenes with cyclopentene derivatives. Facilitated by a class of readily accessible chiral pyridone-oxazoline ligands, this protocol promotes efficient C(sp2)-H activation to generate the products featuring two stereocenters with excellent stereocontrol (up to 96% ee and 40:1 dr).</w:t>
      </w:r>
    </w:p>
    <w:p>
      <w:pPr>
        <w:spacing w:before="120" w:after="120"/>
      </w:pPr>
      <w:r>
        <w:rPr>
          <w:sz w:val="18"/>
        </w:rPr>
        <w:t>——————————————————————————————————————————————————————————————————————</w:t>
      </w:r>
    </w:p>
    <w:p>
      <w:pPr>
        <w:spacing w:before="160" w:after="40" w:line="240" w:lineRule="auto"/>
      </w:pPr>
      <w:r>
        <w:rPr>
          <w:b/>
        </w:rPr>
        <w:t xml:space="preserve">[423] </w:t>
      </w:r>
      <w:hyperlink r:id="rId993">
        <w:r>
          <w:rPr>
            <w:color w:val="1155CC"/>
            <w:u w:val="single"/>
          </w:rPr>
          <w:t>光催化纳米反应器中仿生氧化还原介导的质子中继</w:t>
        </w:r>
      </w:hyperlink>
    </w:p>
    <w:p>
      <w:pPr>
        <w:spacing w:before="0" w:after="80"/>
      </w:pPr>
      <w:r>
        <w:rPr>
          <w:i/>
          <w:sz w:val="20"/>
        </w:rPr>
        <w:t>EN: Biomimetic Redox-Mediated Proton Relay in Nanoreactors for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2026-07-08 00:00:00+00:00</w:t>
      </w:r>
      <w:r>
        <w:t xml:space="preserve">    </w:t>
      </w:r>
      <w:r>
        <w:rPr>
          <w:b/>
        </w:rPr>
        <w:t xml:space="preserve">DOI: </w:t>
      </w:r>
      <w:hyperlink r:id="rId994">
        <w:r>
          <w:rPr>
            <w:color w:val="1155CC"/>
            <w:u w:val="single"/>
          </w:rPr>
          <w:t>10.1021/jacs.6c08170</w:t>
        </w:r>
      </w:hyperlink>
    </w:p>
    <w:p>
      <w:pPr>
        <w:spacing w:before="0" w:after="120"/>
      </w:pPr>
      <w:r>
        <w:rPr>
          <w:b/>
        </w:rPr>
        <w:t xml:space="preserve">Notes: </w:t>
      </w:r>
      <w:r>
        <w:t>abstract_source=pubmed</w:t>
      </w:r>
    </w:p>
    <w:p>
      <w:pPr>
        <w:spacing w:before="0" w:after="80" w:lineRule="auto" w:line="276"/>
      </w:pPr>
      <w:r>
        <w:rPr>
          <w:b/>
        </w:rPr>
        <w:t xml:space="preserve">摘要（ZH）: </w:t>
      </w:r>
      <w:r>
        <w:t>在合成纳米材料中模仿活细胞的分层分区和质子泵机制为可持续光催化提供了一条有前途的途径。在这里，我们报告了一种中空的CdS@聚多巴胺纳米反应器，它集成了两个仿生特征：（i）聚多巴胺壳中的动态儿茶酚/邻苯醌氧化还原对充当质子继电器（而不是主动泵），通过可逆地给予和接受质子来加速质子耦合电子转移（PCET），以及（ii）划分的纳米反应器结构，包括多孔壳定义的纳米级空腔，可产生有限的空间用于质量扩散、反应物富集和光子捕获的微环境。这种协同整合同时促进了氧还原和水氧化半反应，在可见光照射下在水溶液中实现了创纪录的H2O2光合作用速率（3.24 mmol gcat.-1 h-1），太阳能到化学的转化效率为1.2%。原位光谱、光化学分析、有限元模拟和理论计算相结合，使仿生机械可视化并阐明光催化机制。此外，封装在环境友好的海藻酸钠水凝胶基质中可产生整体式且可回收的光催化剂，能够在自然阳光下稳定合成 H2O2。这项工作将激发新一代仿生纳米材料的开发，这种材料将越来越多地复制活细胞的复杂性，开辟光合作用、能量催化和合成化学领域的前沿。</w:t>
      </w:r>
    </w:p>
    <w:p>
      <w:pPr>
        <w:spacing w:before="0" w:after="200" w:lineRule="auto" w:line="276"/>
      </w:pPr>
      <w:r>
        <w:rPr>
          <w:b/>
        </w:rPr>
        <w:t xml:space="preserve">Abstract (EN): </w:t>
      </w:r>
      <w:r>
        <w:t>Mimicking the hierarchical compartmentalization and proton pump machinery of living cells in synthetic nanomaterials offers a promising route for sustainable photocatalysis. Here, we report a hollow CdS@polydopamine nanoreactor that integrates two biomimetic features: (i) A dynamic catechol/o-benzoquinone redox pair in the polydopamine shell that functions as a proton relay (rather than an active pump), accelerating proton-coupled electron transfer (PCET) by reversibly donating and accepting protons, and (ii) compartmentalized nanoreactor architecture comprising a porous shell-defined nanoscale cavity that creates confined microenvironments for mass diffusion, reactant enrichment, and photon trapping. This synergistic integration concurrently promotes both oxygen reduction and water oxidation half-reactions, achieving a record H2O2 photosynthesis rate (3.24 mmol gcat.-1 h-1) in aqueous solution under visible-light illumination, with a solar-to-chemical conversion efficiency of 1.2%. The combination of in situ spectroscopy, photochemical analysis, finite element simulations, and theoretical calculations visualizes the biomimetic machinery and elucidates the photocatalytic mechanism. Furthermore, encapsulation within an environmentally benign sodium alginate hydrogel matrix yields monolithic and recyclable photocatalysts capable of stable H2O2 synthesis under natural sunlight. This work will inspire a new generation of biomimetic nanomaterials that increasingly replicate the sophistication of living cells, opening frontiers in photosynthesis, energy catalysis, and synthetic chemistry.</w:t>
      </w:r>
    </w:p>
    <w:p>
      <w:pPr>
        <w:spacing w:before="120" w:after="120"/>
      </w:pPr>
      <w:r>
        <w:rPr>
          <w:sz w:val="18"/>
        </w:rPr>
        <w:t>——————————————————————————————————————————————————————————————————————</w:t>
      </w:r>
    </w:p>
    <w:p>
      <w:pPr>
        <w:spacing w:before="160" w:after="40" w:line="240" w:lineRule="auto"/>
      </w:pPr>
      <w:r>
        <w:rPr>
          <w:b/>
        </w:rPr>
        <w:t xml:space="preserve">[424] </w:t>
      </w:r>
      <w:hyperlink r:id="rId995">
        <w:r>
          <w:rPr>
            <w:color w:val="1155CC"/>
            <w:u w:val="single"/>
          </w:rPr>
          <w:t>我想看到从监狱到博士的管道</w:t>
        </w:r>
      </w:hyperlink>
    </w:p>
    <w:p>
      <w:pPr>
        <w:spacing w:before="0" w:after="80"/>
      </w:pPr>
      <w:r>
        <w:rPr>
          <w:i/>
          <w:sz w:val="20"/>
        </w:rPr>
        <w:t>EN: I want to see a prison-to-PhD pipeline</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96">
        <w:r>
          <w:rPr>
            <w:color w:val="1155CC"/>
            <w:u w:val="single"/>
          </w:rPr>
          <w:t>10.1038/d41586-026-01673-8</w:t>
        </w:r>
      </w:hyperlink>
    </w:p>
    <w:p>
      <w:pPr>
        <w:spacing w:before="0" w:after="120"/>
      </w:pPr>
      <w:r>
        <w:rPr>
          <w:b/>
        </w:rPr>
        <w:t xml:space="preserve">Notes: </w:t>
      </w:r>
      <w:r>
        <w:t>abstract_source=nature_html</w:t>
      </w:r>
    </w:p>
    <w:p>
      <w:pPr>
        <w:spacing w:before="0" w:after="80" w:lineRule="auto" w:line="276"/>
      </w:pPr>
      <w:r>
        <w:rPr>
          <w:b/>
        </w:rPr>
        <w:t xml:space="preserve">摘要（ZH）: </w:t>
      </w:r>
      <w:r>
        <w:t>Ryan Rising 创建了一些项目来帮助被监禁的人获得学术机会。 Ryan Rising 创建了一些项目来帮助被监禁的人获得学术机会。</w:t>
      </w:r>
    </w:p>
    <w:p>
      <w:pPr>
        <w:spacing w:before="0" w:after="200" w:lineRule="auto" w:line="276"/>
      </w:pPr>
      <w:r>
        <w:rPr>
          <w:b/>
        </w:rPr>
        <w:t xml:space="preserve">Abstract (EN): </w:t>
      </w:r>
      <w:r>
        <w:t>Ryan Rising creates programmes that help people who have been incarcerated to access academic opportunities. Ryan Rising creates programmes that help people who have been incarcerated to access academic opportunities.</w:t>
      </w:r>
    </w:p>
    <w:p>
      <w:pPr>
        <w:spacing w:before="120" w:after="120"/>
      </w:pPr>
      <w:r>
        <w:rPr>
          <w:sz w:val="18"/>
        </w:rPr>
        <w:t>——————————————————————————————————————————————————————————————————————</w:t>
      </w:r>
    </w:p>
    <w:p>
      <w:pPr>
        <w:spacing w:before="160" w:after="40" w:line="240" w:lineRule="auto"/>
      </w:pPr>
      <w:r>
        <w:rPr>
          <w:b/>
        </w:rPr>
        <w:t xml:space="preserve">[425] </w:t>
      </w:r>
      <w:hyperlink r:id="rId997">
        <w:r>
          <w:rPr>
            <w:color w:val="1155CC"/>
            <w:u w:val="single"/>
          </w:rPr>
          <w:t>全球变化下的知识森林</w:t>
        </w:r>
      </w:hyperlink>
    </w:p>
    <w:p>
      <w:pPr>
        <w:spacing w:before="0" w:after="80"/>
      </w:pPr>
      <w:r>
        <w:rPr>
          <w:i/>
          <w:sz w:val="20"/>
        </w:rPr>
        <w:t>EN: The forest of knowledge under global change</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998">
        <w:r>
          <w:rPr>
            <w:color w:val="1155CC"/>
            <w:u w:val="single"/>
          </w:rPr>
          <w:t>10.1038/s41586-026-10741-y</w:t>
        </w:r>
      </w:hyperlink>
    </w:p>
    <w:p>
      <w:pPr>
        <w:spacing w:before="0" w:after="120"/>
      </w:pPr>
      <w:r>
        <w:rPr>
          <w:b/>
        </w:rPr>
        <w:t xml:space="preserve">Notes: </w:t>
      </w:r>
      <w:r>
        <w:t>abstract_source=nature_html</w:t>
      </w:r>
    </w:p>
    <w:p>
      <w:pPr>
        <w:spacing w:before="0" w:after="80" w:lineRule="auto" w:line="276"/>
      </w:pPr>
      <w:r>
        <w:rPr>
          <w:b/>
        </w:rPr>
        <w:t xml:space="preserve">摘要（ZH）: </w:t>
      </w:r>
      <w:r>
        <w:t>亚马逊流域拥有地球 10% 以上的陆地生物多样性1和 400 多个土著群体2。然而，到目前为止，还没有研究评估气候变化和土著语言的丧失如何同时影响其生物和文化遗产。为了弥补这一差距，我们首先收集了来自 700 份参考资料的 90,536 份报告的数据库，以了解本土植物为亚马逊流域所有国家提供的社会效益。我们发现人类利用了 5,796 种本土植物，占已知的亚马逊维管种子植物区系的三分之一。接下来，通过分析三种未来气候情景（SSP1-2.6、SSP3-7.0 和 SSP5-8.5）的 8,429 个物种分布模型，我们发现，到 2060 年至 2080 年，气候变化将导致利用物种范围比未利用物种范围出现更大的减少。在当地，由于气候变化，原住民文化可能会平均损失 28-34% 的利用植物物种和 18-23% 的相关服务。从区域来看，受威胁的土著语言的消失可能会导致亚马逊知识库减少 26%。总体而言，我们的结果表明亚马逊生物文化遗产在气候和语言方面存在严重脆弱性。与此同时，这些结果与我们公开的数据集可能有助于指导生物文化恢复并扭转全球变化对生态系统和文化传统日益严重的影响。</w:t>
      </w:r>
    </w:p>
    <w:p>
      <w:pPr>
        <w:spacing w:before="0" w:after="200" w:lineRule="auto" w:line="276"/>
      </w:pPr>
      <w:r>
        <w:rPr>
          <w:b/>
        </w:rPr>
        <w:t xml:space="preserve">Abstract (EN): </w:t>
      </w:r>
      <w:r>
        <w:t>Amazonia harbours more than 10% of the terrestrial biodiversity of the Earth1 and more than 400 Indigenous groups2. So far, however, no study has assessed how climate change and the loss of Indigenous languages may simultaneously impact its biological and cultural heritage. Here, to bridge this gap, we first assembled a database of 90,536 reports from 700 references to understand the societal benefits that native plants provide across all countries of the Amazon basin. We found that humans utilize 5,796 native plant species, which amounts to one-third of the known Amazon vascular seed plant flora. Next, analysing 8,429 species distribution models across three future climate scenarios (SSP1–2.6, SSP3–7.0 and SSP5–8.5), we show that climate change will produce a greater reduction in the ranges of utilized than of non-utilized species by 2060–2080. Locally, Indigenous cultures may lose an average of 28–34% of their utilized plant species and 18–23% of their associated services from climate change. Regionally, the loss of threatened Indigenous languages may result in a 26% reduction in the Amazonian knowledge pool. Overall, our results point to the strong climate and language vulnerability of Amazonian biocultural heritage. At the same time, these results—together with our publicly available dataset—may serve to guide biocultural restoration and reverse the growing global change effects on ecosystems and cultural traditions.</w:t>
      </w:r>
    </w:p>
    <w:p>
      <w:pPr>
        <w:spacing w:before="120" w:after="120"/>
      </w:pPr>
      <w:r>
        <w:rPr>
          <w:sz w:val="18"/>
        </w:rPr>
        <w:t>——————————————————————————————————————————————————————————————————————</w:t>
      </w:r>
    </w:p>
    <w:p>
      <w:pPr>
        <w:spacing w:before="160" w:after="40" w:line="240" w:lineRule="auto"/>
      </w:pPr>
      <w:r>
        <w:rPr>
          <w:b/>
        </w:rPr>
        <w:t xml:space="preserve">[426] </w:t>
      </w:r>
      <w:hyperlink r:id="rId999">
        <w:r>
          <w:rPr>
            <w:color w:val="1155CC"/>
            <w:u w:val="single"/>
          </w:rPr>
          <w:t>在多种全球变化因素下，植物-土壤反馈有利于植物入侵者</w:t>
        </w:r>
      </w:hyperlink>
    </w:p>
    <w:p>
      <w:pPr>
        <w:spacing w:before="0" w:after="80"/>
      </w:pPr>
      <w:r>
        <w:rPr>
          <w:i/>
          <w:sz w:val="20"/>
        </w:rPr>
        <w:t>EN: Plant-soil feedbacks benefit plant invaders under multiple global change factors</w:t>
      </w:r>
    </w:p>
    <w:p>
      <w:pPr>
        <w:spacing w:before="0" w:after="120"/>
      </w:pPr>
      <w:r>
        <w:rPr>
          <w:b/>
        </w:rPr>
        <w:t xml:space="preserve">Source: </w:t>
      </w:r>
      <w:r>
        <w:t>National Science Review Advance Access</w:t>
      </w:r>
      <w:r>
        <w:t xml:space="preserve">    </w:t>
      </w:r>
      <w:r>
        <w:rPr>
          <w:b/>
        </w:rPr>
        <w:t xml:space="preserve">Pub date: </w:t>
      </w:r>
      <w:r>
        <w:t>2026-07-08 00:00:00+00:00</w:t>
      </w:r>
      <w:r>
        <w:t xml:space="preserve">    </w:t>
      </w:r>
      <w:r>
        <w:rPr>
          <w:b/>
        </w:rPr>
        <w:t xml:space="preserve">DOI: </w:t>
      </w:r>
      <w:hyperlink r:id="rId1000">
        <w:r>
          <w:rPr>
            <w:color w:val="1155CC"/>
            <w:u w:val="single"/>
          </w:rPr>
          <w:t>10.1093/nsr/nwag415</w:t>
        </w:r>
      </w:hyperlink>
    </w:p>
    <w:p>
      <w:pPr>
        <w:spacing w:before="0" w:after="120"/>
      </w:pPr>
      <w:r>
        <w:rPr>
          <w:b/>
        </w:rPr>
        <w:t xml:space="preserve">Notes: </w:t>
      </w:r>
      <w:r>
        <w:t>abstract_source=rss_oup</w:t>
      </w:r>
    </w:p>
    <w:p>
      <w:pPr>
        <w:spacing w:before="0" w:after="80" w:lineRule="auto" w:line="276"/>
      </w:pPr>
      <w:r>
        <w:rPr>
          <w:b/>
        </w:rPr>
        <w:t xml:space="preserve">摘要（ZH）: </w:t>
      </w:r>
      <w:r>
        <w:t>植物-土壤反馈（PSF）是决定植物群落动态和非本地物种入侵的重要机制。虽然植物和土壤微生物对多个同时发生的全球变化因素 (GCF) 的个体反应已被记录，但人们仍然对多个 GCF 如何影响 PSF 知之甚少，特别是这种影响是否取决于植物起源。我们对五对本地和外来物种以及 9 个 GCF 进行了 PSF 实验，并同时组合了 0、1、3 和 6 个 GCF。随着 GCF 数量的增加，本地物种中的 PSF 从负值转变为中性或正值，但外来物种中的 PSF 始终为正值并且变得更强。 PSF 对多个 GCF 的积极反应是由于本地物种中共同作用的 GCF 之间的特定相互作用，而不是外来物种中的相互作用，并且与土壤互利共生体的变化有关。我们的研究强调，PSF 可以在多个并发的 GCF 下促进外来物种的传播。</w:t>
      </w:r>
    </w:p>
    <w:p>
      <w:pPr>
        <w:spacing w:before="0" w:after="200" w:lineRule="auto" w:line="276"/>
      </w:pPr>
      <w:r>
        <w:rPr>
          <w:b/>
        </w:rPr>
        <w:t xml:space="preserve">Abstract (EN): </w:t>
      </w:r>
      <w:r>
        <w:t>Plant-soil feedbacks (PSFs) are an important mechanism determining plant community dynamics and invasion by non-native species. While the individual responses of plants and soil microbes to multiple concurrent global change factors (GCFs) have been documented, it remains poorly understood how multiple GCFs affect PSFs and, particularly, whether this effect depends on plant origin. We conducted a PSF experiment with five pairs of native and alien species and nine GCFs applied in concurrent combinations of 0, 1, 3 and 6 GCFs. As GCF-number increased, PSFs shifted from negative to neutral or positive in native species, but were consistently positive and became stronger in alien species. The positive response of PSFs to multiple GCFs was due to specific interactions between co-acting GCFs in native species, but not in alien species, and was related to changes in soil mutualists. Our study highlights that PSFs could promote the spread of alien species under multiple concurrent GCFs.</w:t>
      </w:r>
    </w:p>
    <w:p>
      <w:pPr>
        <w:spacing w:before="120" w:after="120"/>
      </w:pPr>
      <w:r>
        <w:rPr>
          <w:sz w:val="18"/>
        </w:rPr>
        <w:t>——————————————————————————————————————————————————————————————————————</w:t>
      </w:r>
    </w:p>
    <w:p>
      <w:pPr>
        <w:spacing w:before="160" w:after="40" w:line="240" w:lineRule="auto"/>
      </w:pPr>
      <w:r>
        <w:rPr>
          <w:b/>
        </w:rPr>
        <w:t xml:space="preserve">[427] </w:t>
      </w:r>
      <w:hyperlink r:id="rId1001">
        <w:r>
          <w:rPr>
            <w:color w:val="1155CC"/>
            <w:u w:val="single"/>
          </w:rPr>
          <w:t>日本的巨型太阳能项目：政府政策如何为太阳能供应链中的强迫劳动风险提供激励</w:t>
        </w:r>
      </w:hyperlink>
    </w:p>
    <w:p>
      <w:pPr>
        <w:spacing w:before="0" w:after="80"/>
      </w:pPr>
      <w:r>
        <w:rPr>
          <w:i/>
          <w:sz w:val="20"/>
        </w:rPr>
        <w:t>EN: Japan's megasolar projects: How government policy creates incentives for forced-labor risks in solar energy supply chains</w:t>
      </w:r>
    </w:p>
    <w:p>
      <w:pPr>
        <w:spacing w:before="0" w:after="120"/>
      </w:pPr>
      <w:r>
        <w:rPr>
          <w:b/>
        </w:rPr>
        <w:t xml:space="preserve">Source: </w:t>
      </w:r>
      <w:r>
        <w:t>ScienceDirect Publication: Energy Policy</w:t>
      </w:r>
      <w:r>
        <w:t xml:space="preserve">    </w:t>
      </w:r>
      <w:r>
        <w:rPr>
          <w:b/>
        </w:rPr>
        <w:t xml:space="preserve">Pub date: </w:t>
      </w:r>
      <w:r>
        <w:t>2026-07-08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[428] </w:t>
      </w:r>
      <w:hyperlink r:id="rId1002">
        <w:r>
          <w:rPr>
            <w:color w:val="1155CC"/>
            <w:u w:val="single"/>
          </w:rPr>
          <w:t>内在的细胞骨架振荡器建立神经元极性</w:t>
        </w:r>
      </w:hyperlink>
    </w:p>
    <w:p>
      <w:pPr>
        <w:spacing w:before="0" w:after="80"/>
      </w:pPr>
      <w:r>
        <w:rPr>
          <w:i/>
          <w:sz w:val="20"/>
        </w:rPr>
        <w:t>EN: An intrinsic cytoskeletal oscillator establishes neuronal polarity</w:t>
      </w:r>
    </w:p>
    <w:p>
      <w:pPr>
        <w:spacing w:before="0" w:after="120"/>
      </w:pPr>
      <w:r>
        <w:rPr>
          <w:b/>
        </w:rPr>
        <w:t xml:space="preserve">Source: </w:t>
      </w:r>
      <w:r>
        <w:t>Nature</w:t>
      </w:r>
      <w:r>
        <w:t xml:space="preserve">    </w:t>
      </w:r>
      <w:r>
        <w:rPr>
          <w:b/>
        </w:rPr>
        <w:t xml:space="preserve">Pub date: </w:t>
      </w:r>
      <w:r>
        <w:t>2026-07-08 00:00:00+00:00</w:t>
      </w:r>
      <w:r>
        <w:t xml:space="preserve">    </w:t>
      </w:r>
      <w:r>
        <w:rPr>
          <w:b/>
        </w:rPr>
        <w:t xml:space="preserve">DOI: </w:t>
      </w:r>
      <w:hyperlink r:id="rId1003">
        <w:r>
          <w:rPr>
            <w:color w:val="1155CC"/>
            <w:u w:val="single"/>
          </w:rPr>
          <w:t>10.1038/s41586-026-10755-6</w:t>
        </w:r>
      </w:hyperlink>
    </w:p>
    <w:p>
      <w:pPr>
        <w:spacing w:before="0" w:after="120"/>
      </w:pPr>
      <w:r>
        <w:rPr>
          <w:b/>
        </w:rPr>
        <w:t xml:space="preserve">Notes: </w:t>
      </w:r>
      <w:r>
        <w:t>abstract_source=nature_html</w:t>
      </w:r>
    </w:p>
    <w:p>
      <w:pPr>
        <w:spacing w:before="0" w:after="80" w:lineRule="auto" w:line="276"/>
      </w:pPr>
      <w:r>
        <w:rPr>
          <w:b/>
        </w:rPr>
        <w:t xml:space="preserve">摘要（ZH）: </w:t>
      </w:r>
      <w:r>
        <w:t>神经元通过将一个神经突指定为轴突而获得极性，而其他神经突则成为树突。但这种根本性的不对称是如何建立的仍不清楚1。人们认为神经元极化主要依赖于感知外部线索的生长锥。在这里，我们表明生长锥本身并不能指导这一过程，并且胞体充当神经元极化的中心组织者。利用体内实时成像和遗传功能丧失方法，结合培养神经元中的光遗传学控制和局部细胞骨架扰动，我们发现了一种由体细胞启动的振荡程序，该程序可以启动轴突选择。依赖于体细胞肌动蛋白相关蛋白 2/3 (ARP2/3) 复合物的周期性肌动蛋白分支重塑了整体肌动球蛋白网络，从而产生肌动蛋白波，在传播到单个神经突尖端之前缩回神经突。暴露在这种波下会放松局部肌动球蛋白的收缩性，从而驱动基于微管的短暂突出并使该神经突偏向轴突命运。当细胞退出这个振荡阶段时，该神经突可以克服整体抑制并独立于 ARP2/3 延伸，而肌动球蛋白活性会抑制剩余神经突中的轴突形成，从而使它们随后变成树突。这种体细胞驱动的机制确保了独立于环境线索的单个轴突的出现，并支撑神经元回路中的单向信息流。</w:t>
      </w:r>
    </w:p>
    <w:p>
      <w:pPr>
        <w:spacing w:before="0" w:after="200" w:lineRule="auto" w:line="276"/>
      </w:pPr>
      <w:r>
        <w:rPr>
          <w:b/>
        </w:rPr>
        <w:t xml:space="preserve">Abstract (EN): </w:t>
      </w:r>
      <w:r>
        <w:t>Neurons acquire polarity by specifying one neurite as the axon, whereas the others become dendrites. But how this fundamental asymmetry is established remains unclear1. Neuronal polarization has been thought to rely primarily on growth cones that sense external cues2. Here we show that growth cones alone do not direct this process and that the soma acts as a central organizer of neuronal polarization. Using live imaging and genetic loss-of-function approaches in vivo, combined with optogenetic control and local cytoskeletal perturbations in cultured neurons, we uncover a soma-initiated oscillatory program that primes axon selection. Periodic actin branching that depends on the actin-related protein 2/3 (ARP2/3) complex at the soma remodels a global actomyosin network, thereby generating an actin wave that retracts neurites before propagating into a single neurite tip. Exposure to this wave relaxes local actomyosin contractility, which drives a transient microtubule-based protrusion and biases this neurite towards axon fate. As the cell exits this oscillatory stage, this neurite can overcome global inhibition and extend independently of ARP2/3, whereas actomyosin activity suppresses axon formation in the remaining neurites so that they subsequently become dendrites. This soma-driven mechanism ensures the emergence of a single axon independent of environmental cues and underpins the unidirectional information flow in neuronal circuits.</w:t>
      </w:r>
    </w:p>
    <w:p>
      <w:pPr>
        <w:spacing w:before="120" w:after="120"/>
      </w:pPr>
      <w:r>
        <w:rPr>
          <w:sz w:val="18"/>
        </w:rPr>
        <w:t>——————————————————————————————————————————————————————————————————————</w:t>
      </w:r>
    </w:p>
    <w:p>
      <w:pPr>
        <w:spacing w:before="160" w:after="40" w:line="240" w:lineRule="auto"/>
      </w:pPr>
      <w:r>
        <w:rPr>
          <w:b/>
        </w:rPr>
        <w:t xml:space="preserve">[429] </w:t>
      </w:r>
      <w:hyperlink r:id="rId1004">
        <w:r>
          <w:rPr>
            <w:color w:val="1155CC"/>
            <w:u w:val="single"/>
          </w:rPr>
          <w:t>混合卤化物钙钛矿中的可重构多态光学存储器</w:t>
        </w:r>
      </w:hyperlink>
    </w:p>
    <w:p>
      <w:pPr>
        <w:spacing w:before="0" w:after="80"/>
      </w:pPr>
      <w:r>
        <w:rPr>
          <w:i/>
          <w:sz w:val="20"/>
        </w:rPr>
        <w:t>EN: Reconfigurable Multistate Optical Memory in Mixed Halide Perovskites</w:t>
      </w:r>
    </w:p>
    <w:p>
      <w:pPr>
        <w:spacing w:before="0" w:after="120"/>
      </w:pPr>
      <w:r>
        <w:rPr>
          <w:b/>
        </w:rPr>
        <w:t xml:space="preserve">Source: </w:t>
      </w:r>
      <w:r>
        <w:t>ACS Applied Materials &amp; Interfaces: Latest Articles (ACS Publications)</w:t>
      </w:r>
      <w:r>
        <w:t xml:space="preserve">    </w:t>
      </w:r>
      <w:r>
        <w:rPr>
          <w:b/>
        </w:rPr>
        <w:t xml:space="preserve">Pub date: </w:t>
      </w:r>
      <w:r>
        <w:t>2026-07-08 00:00:00+00:00</w:t>
      </w:r>
      <w:r>
        <w:t xml:space="preserve">    </w:t>
      </w:r>
      <w:r>
        <w:rPr>
          <w:b/>
        </w:rPr>
        <w:t xml:space="preserve">DOI: </w:t>
      </w:r>
      <w:hyperlink r:id="rId1005">
        <w:r>
          <w:rPr>
            <w:color w:val="1155CC"/>
            <w:u w:val="single"/>
          </w:rPr>
          <w:t>10.1021/acsami.6c06430</w:t>
        </w:r>
      </w:hyperlink>
    </w:p>
    <w:p>
      <w:pPr>
        <w:spacing w:before="0" w:after="120"/>
      </w:pPr>
      <w:r>
        <w:rPr>
          <w:b/>
        </w:rPr>
        <w:t xml:space="preserve">Notes: </w:t>
      </w:r>
      <w:r>
        <w:t>abstract_source=pubmed</w:t>
      </w:r>
    </w:p>
    <w:p>
      <w:pPr>
        <w:spacing w:before="0" w:after="80" w:lineRule="auto" w:line="276"/>
      </w:pPr>
      <w:r>
        <w:rPr>
          <w:b/>
        </w:rPr>
        <w:t xml:space="preserve">摘要（ZH）: </w:t>
      </w:r>
      <w:r>
        <w:t>冯诺依曼瓶颈对数据密集型计算（例如大型语言模型训练）的新兴优势提出了越来越大的挑战。还可以执行计算的材料中的光学存储器提供了一个有前途的解决方案。在这里，我们报告了一种基于混合卤化物钙钛矿（MHP）的可重构多态光学存储器，利用其在飞秒脉冲激发下的动态离子行为。我们发现光致发光（PL）发射波长将激发参数编码为易失性、可重写的存储状态。这些状态具有长期保留性，并且可以通过热脉冲快速擦除。通过调节激发功率和重复率，我们实现了对 PL 波长的精确控制，从而实现类似模拟的突触行为。在单个薄膜内空间分辨地写入多个状态凸显了高密度存储器的潜力。我们的研究结果将 MHP 定位为能够存储和处理光学信息的主动光子材料，为低功耗、高带宽内存和神经形态计算的可扩展平台提供了一条道路。</w:t>
      </w:r>
    </w:p>
    <w:p>
      <w:pPr>
        <w:spacing w:before="0" w:after="200" w:lineRule="auto" w:line="276"/>
      </w:pPr>
      <w:r>
        <w:rPr>
          <w:b/>
        </w:rPr>
        <w:t xml:space="preserve">Abstract (EN): </w:t>
      </w:r>
      <w:r>
        <w:t>The von Neumann bottleneck presents a growing challenge for the emerging prominence of data-intensive computing, such as large language model training. Optical memory in materials that could also perform computation offers a promising solution. Here, we report a reconfigurable multistate optical memory based on mixed halide perovskites (MHPs), leveraging their dynamic ionic behavior under femtosecond pulsed excitation. We find that the photoluminescence (PL) emission wavelength encodes excitation parameters as volatile, rewritable memory states. These states exhibit long-lived retention and can be rapidly erased via thermal pulses. By tuning excitation power and repetition rate, we achieve precise control over the PL wavelength, enabling analog-like synaptic behavior. Spatially resolved writing of multiple states within a single film highlights the potential for high-density memory. Our findings position MHPs as active photonic materials capable of storing and processing optical information, offering a path toward a scalable platform for low-power, high-bandwidth memory and neuromorphic computing.</w:t>
      </w:r>
    </w:p>
    <w:p>
      <w:pPr>
        <w:spacing w:before="120" w:after="120"/>
      </w:pPr>
      <w:r>
        <w:rPr>
          <w:sz w:val="18"/>
        </w:rPr>
        <w:t>——————————————————————————————————————————————————————————————————————</w:t>
      </w:r>
    </w:p>
    <w:p>
      <w:pPr>
        <w:spacing w:before="160" w:after="40" w:line="240" w:lineRule="auto"/>
      </w:pPr>
      <w:r>
        <w:rPr>
          <w:b/>
        </w:rPr>
        <w:t xml:space="preserve">[430] </w:t>
      </w:r>
      <w:hyperlink r:id="rId1006">
        <w:r>
          <w:rPr>
            <w:color w:val="1155CC"/>
            <w:u w:val="single"/>
          </w:rPr>
          <w:t>PC1-PC2离子通道脂质依赖性变构门控机制的结构基础</w:t>
        </w:r>
      </w:hyperlink>
    </w:p>
    <w:p>
      <w:pPr>
        <w:spacing w:before="0" w:after="80"/>
      </w:pPr>
      <w:r>
        <w:rPr>
          <w:i/>
          <w:sz w:val="20"/>
        </w:rPr>
        <w:t>EN: Structural basis of lipid-dependent allosteric gating mechanisms for PC1-PC2 ion channel</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多囊蛋白复合物由一个多囊蛋白-1 (PC1) 和三个多囊蛋白-2 (PC2) 组成，形成位于初级纤毛的阳离子通道，并且与常染色体显性多囊肾病 (ADPKD) 密切相关。这项研究揭示了由特定膜脂调节的 PC1-PC2 通道的变构门控机制。在典型的膜环境中，磷脂酰甘油（PG）和磷脂酸（PA）与通道中心孔结合，使其保持关闭状态。这些脂质的解离将通道转变为预开放状态。富含纤毛的氧甾醇 7β,27-二羟基胆固醇 (7β,27-DHC) 通过变构机制将通道稳定在更开放但仍不导电的构象中。脂质介导的调节与第三个 PC2 亚基的 TOP 和电压传感器样结构域 (VSD) 的大构象重排相结合，最终导致孔打开。这种脂质依赖性调节也在功能获得通道中观察到。这些发现揭示了不对称 1:3 PC1-PC2 复合物的独特门控机制。</w:t>
      </w:r>
    </w:p>
    <w:p>
      <w:pPr>
        <w:spacing w:before="0" w:after="200" w:lineRule="auto" w:line="276"/>
      </w:pPr>
      <w:r>
        <w:rPr>
          <w:b/>
        </w:rPr>
        <w:t xml:space="preserve">Abstract (EN): </w:t>
      </w:r>
      <w:r>
        <w:t>The polycystin complex, consisting of one polycystin-1 (PC1) and three polycystin-2 (PC2), forms a cation channel localized to the primary cilium and is critically involved in autosomal dominant polycystic kidney disease (ADPKD). This study reveals an allosteric gating mechanism of the PC1-PC2 channel modulated by specific membrane lipids. In typical membrane environments, phosphatidylglycerol (PG) and phosphatidic acid (PA) bind to the channel central pore, maintaining it in a closed state. Dissociation of these lipids transitions the channel to a pre-open state. The cilia-enriched oxysterol 7β,27-dihydroxycholesterol (7β,27-DHC) stabilizes the channel in a more open but still non-conductive conformation through an allosteric mechanism. Lipid-mediated regulation is coupled to large conformational rearrangements of the TOP and voltage-sensor-like domains (VSDs) of the third PC2 subunit, which eventually leads to pore opening. This lipid-dependent modulation is also observed in a gain-of-function channel. These findings reveal a distinct gating mechanism for the asymmetric 1:3 PC1-PC2 complex.</w:t>
      </w:r>
    </w:p>
    <w:p>
      <w:pPr>
        <w:spacing w:before="120" w:after="120"/>
      </w:pPr>
      <w:r>
        <w:rPr>
          <w:sz w:val="18"/>
        </w:rPr>
        <w:t>——————————————————————————————————————————————————————————————————————</w:t>
      </w:r>
    </w:p>
    <w:p>
      <w:pPr>
        <w:spacing w:before="160" w:after="40" w:line="240" w:lineRule="auto"/>
      </w:pPr>
      <w:r>
        <w:rPr>
          <w:b/>
        </w:rPr>
        <w:t xml:space="preserve">[431] </w:t>
      </w:r>
      <w:hyperlink r:id="rId1007">
        <w:r>
          <w:rPr>
            <w:color w:val="1155CC"/>
            <w:u w:val="single"/>
          </w:rPr>
          <w:t>揭示莫特内斯的景观及其与 4Hb-TaS2 超导性的接近</w:t>
        </w:r>
      </w:hyperlink>
    </w:p>
    <w:p>
      <w:pPr>
        <w:spacing w:before="0" w:after="80"/>
      </w:pPr>
      <w:r>
        <w:rPr>
          <w:i/>
          <w:sz w:val="20"/>
        </w:rPr>
        <w:t>EN: Unveiling the landscape of Mottness and its proximity to superconductivity in 4Hb-TaS2</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莫特物理学是许多有趣的量子现象的核心。最近，范德华材料成为探索这些相关电子态的强大平台，但跟踪这种莫特态如何发展以及与相邻相的相互作用仍然是一个实验挑战。在这里，我们使用扫描隧道光谱来研究填充控制的莫特态及其与 4Hb-TaS2 中超导性的相互作用，4Hb-TaS2 交错着强相关的 1T-TaS2 层和超导 1H-TaS2 层。通过解析由层间电荷转移驱动的不同填充水平的电子谱函数，我们定量捕获了莫特态的连续演化，其特征是莫特-哈伯德带的出现和中心准粒子峰的系统抑制。此外，虽然 1H 层表现出均匀、完全开放的超导能隙，但 1T 层中高度相关的电子会对配对产生破坏性影响，从而产生纳米级非超导顺磁水坑。我们的研究结果提供了标志性哈伯德模型的典型可视化，并建立了分层异质结构作为设计奇异相关量子相的理想场所。</w:t>
      </w:r>
    </w:p>
    <w:p>
      <w:pPr>
        <w:spacing w:before="0" w:after="200" w:lineRule="auto" w:line="276"/>
      </w:pPr>
      <w:r>
        <w:rPr>
          <w:b/>
        </w:rPr>
        <w:t xml:space="preserve">Abstract (EN): </w:t>
      </w:r>
      <w:r>
        <w:t>Mott physics lies at the heart of many intriguing quantum phenomena. Recently, van der Waals materials emerge as a powerful platform to explore these correlated electronic states, yet tracking how such a Mott state develops and interacts with neighboring phases remains an experimental challenge. Here we use scanning tunnelling spectroscopy to study a filling-controlled Mott state and its interplay with superconductivity in 4Hb-TaS2, which interleaves strongly correlated 1T-TaS2 layers and superconducting 1H-TaS2 layers. By resolving the electronic spectral function across different filling levels driven by interlayer charge transfer, we quantitatively capture the continuous evolution of the Mott state, characterized by the emergence of Mott-Hubbard bands and the systematic suppression of the central quasiparticle peak. Moreover, while the 1H layers exhibit a uniform, fully opened superconducting gap, the heavily correlated electrons in the 1T layers act destructively against pairing, creating nanoscale, non-superconducting paramagnetic puddles. Our findings provide a quintessential visualization of the iconic Hubbard model and establish layered heterostructures as an ideal playground for designing exotic correlated quantum phases.</w:t>
      </w:r>
    </w:p>
    <w:p>
      <w:pPr>
        <w:spacing w:before="120" w:after="120"/>
      </w:pPr>
      <w:r>
        <w:rPr>
          <w:sz w:val="18"/>
        </w:rPr>
        <w:t>——————————————————————————————————————————————————————————————————————</w:t>
      </w:r>
    </w:p>
    <w:p>
      <w:pPr>
        <w:spacing w:before="160" w:after="40" w:line="240" w:lineRule="auto"/>
      </w:pPr>
      <w:r>
        <w:rPr>
          <w:b/>
        </w:rPr>
        <w:t xml:space="preserve">[432] </w:t>
      </w:r>
      <w:hyperlink r:id="rId1008">
        <w:r>
          <w:rPr>
            <w:color w:val="1155CC"/>
            <w:u w:val="single"/>
          </w:rPr>
          <w:t>硒原子转移能够实现选择性桥连烯烃-芳胺环加成</w:t>
        </w:r>
      </w:hyperlink>
    </w:p>
    <w:p>
      <w:pPr>
        <w:spacing w:before="0" w:after="80"/>
      </w:pPr>
      <w:r>
        <w:rPr>
          <w:i/>
          <w:sz w:val="20"/>
        </w:rPr>
        <w:t>EN: Selenium atom transfer enables selective bridged alkene-arylamine cycloaddition</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环加成反应对于构建药物发现和材料科学的环状分子结构至关重要。然而，控制单原子桥环加成仍然难以捉摸。在此，我们描述了容易获得的芳胺、烯烃和二硒化物的硒原子转移[3 + 2 + 1]杂环加成，使得能够快速、模块化地获得多种含硒和含氮杂环，包括硒吗啉和多环1,4-硒嗪烷。这种无金属方法在温和、简单的条件下操作，具有可扩展性，表现出广泛的底物通用性和官能团耐受性，适合可扩展的合成，并在复杂分子的后期骨架多样化中表现出实用性。机理和计算研究揭示了硒桥环加成途径，涉及烯烃氨基硒化，然后是亲电硒环化和去质子重芳构化。这种杂原子驱动的环化为多杂原子环状支架的构建反应的发展以及在硒基药物化学中的更广泛应用提供了机会。</w:t>
      </w:r>
    </w:p>
    <w:p>
      <w:pPr>
        <w:spacing w:before="0" w:after="200" w:lineRule="auto" w:line="276"/>
      </w:pPr>
      <w:r>
        <w:rPr>
          <w:b/>
        </w:rPr>
        <w:t xml:space="preserve">Abstract (EN): </w:t>
      </w:r>
      <w:r>
        <w:t>Cycloaddition reactions are central to building cyclic molecular architectures for drug discovery and materials science. However, controlling single-atom-bridged cycloaddition remains elusive. Herein, we describe a selenium-atom transfer [3 + 2 + 1] heterocycloaddition of readily available arylamines, alkenes and diselenides, enabling rapid, modular access to diverse selenium- and nitrogen-containing heterocycles, including selenomorpholines and polycyclic 1,4-selenazinanes. This metal-free method operates under mild, simple conditions with scalability, showcasing broad substrate generality and functional group tolerance, is amenable to scalable synthesis, and demonstrates utility in the late-stage skeletal diversification of complex molecules. Mechanistic and computational studies reveal a Se-bridged cycloaddition pathway involving alkene aminoselenylation, followed by electrophilic selenocyclization and deprotonative rearomatization. This heteroatom-driven annulation opens opportunities for the development of reactions for the construction of multi-heteroatom cyclic scaffolds and broader application in selenium-based medicinal chemistry.</w:t>
      </w:r>
    </w:p>
    <w:p>
      <w:pPr>
        <w:spacing w:before="120" w:after="120"/>
      </w:pPr>
      <w:r>
        <w:rPr>
          <w:sz w:val="18"/>
        </w:rPr>
        <w:t>——————————————————————————————————————————————————————————————————————</w:t>
      </w:r>
    </w:p>
    <w:p>
      <w:pPr>
        <w:spacing w:before="160" w:after="40" w:line="240" w:lineRule="auto"/>
      </w:pPr>
      <w:r>
        <w:rPr>
          <w:b/>
        </w:rPr>
        <w:t xml:space="preserve">[433] </w:t>
      </w:r>
      <w:hyperlink r:id="rId1009">
        <w:r>
          <w:rPr>
            <w:color w:val="1155CC"/>
            <w:u w:val="single"/>
          </w:rPr>
          <w:t>获得本质抗氧化聚烯烃的一般策略</w:t>
        </w:r>
      </w:hyperlink>
    </w:p>
    <w:p>
      <w:pPr>
        <w:spacing w:before="0" w:after="80"/>
      </w:pPr>
      <w:r>
        <w:rPr>
          <w:i/>
          <w:sz w:val="20"/>
        </w:rPr>
        <w:t>EN: A general strategy for access intrinsically antioxidant polyolefins</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各种聚烯烃的长期稳定性依赖于抗氧化剂。物理共混或化学改性等传统方法常常存在分散不均匀、迁移或缺乏通用性的问题，特别是对于超高分子量聚乙烯（UHMWPE）。制定通用策略来获得具有内在抗氧化特性的各种聚乙烯类型（定义为通过聚合产生的具有抗氧化特性的聚烯烃，无需聚合后添加抗氧化剂）仍然是一个挑战。在这里，我们提出了一种催化剂抗氧化策略（CEAS），使用酚羟基功能化双功能催化剂，既催化聚合又提供抗氧化能力，从而能够生产各种类型的本质抗氧化聚烯烃。我们通过辅助抗氧化剂和生物质支持的多相催化进一步开发增强策略，以提高抗氧化性能。这种方法可确保均匀分散、克服加工限制、保留机械性能并增强抗氧化性能。值得注意的是，CEAS 合成的 UHMWPE 在高温纺丝和辐射诱导交联等苛刻加工过程中表现出抗氧化性。</w:t>
      </w:r>
    </w:p>
    <w:p>
      <w:pPr>
        <w:spacing w:before="0" w:after="200" w:lineRule="auto" w:line="276"/>
      </w:pPr>
      <w:r>
        <w:rPr>
          <w:b/>
        </w:rPr>
        <w:t xml:space="preserve">Abstract (EN): </w:t>
      </w:r>
      <w:r>
        <w:t>The long-term stability of various polyolefins relies on antioxidants. Traditional methods such as physical blending or chemical modification often suffer from non-uniform dispersion, migration, or lack of universality, especially for ultra-high molecular weight polyethylene (UHMWPE). Developing a general strategy to access various polyethylene types bearing intrinsically antioxidant properties (defined as polyolefins with antioxidant properties produced via polymerization, without postpolymerization antioxidant addition) remains a challenge. Here, we present a Catalyst-Enabled Antioxidation Strategy (CEAS) using phenolic hydroxy-functionalized dual-functional catalysts that both catalyze polymerization and provide antioxidant capacity, enabling the production of various types of intrinsically antioxidant polyolefins. We further develop enhancement strategies via auxiliary antioxidants and biomass-supported heterogeneous catalysis to boost antioxidant properties. This approach ensures uniform dispersion, overcomes processing limitations, retains mechanical properties, and enhances antioxidant performance. Notably, CEAS-synthesized UHMWPE demonstrates resistance to oxidation during demanding processing such as high-temperature spinning and radiation-induced crosslinking.</w:t>
      </w:r>
    </w:p>
    <w:p>
      <w:pPr>
        <w:spacing w:before="120" w:after="120"/>
      </w:pPr>
      <w:r>
        <w:rPr>
          <w:sz w:val="18"/>
        </w:rPr>
        <w:t>——————————————————————————————————————————————————————————————————————</w:t>
      </w:r>
    </w:p>
    <w:p>
      <w:pPr>
        <w:spacing w:before="160" w:after="40" w:line="240" w:lineRule="auto"/>
      </w:pPr>
      <w:r>
        <w:rPr>
          <w:b/>
        </w:rPr>
        <w:t xml:space="preserve">[434] </w:t>
      </w:r>
      <w:hyperlink r:id="rId1010">
        <w:r>
          <w:rPr>
            <w:color w:val="1155CC"/>
            <w:u w:val="single"/>
          </w:rPr>
          <w:t>有机平面 π-共轭阴离子可实现阴离子-π+ NIR-II 光治疗剂的结构设计</w:t>
        </w:r>
      </w:hyperlink>
    </w:p>
    <w:p>
      <w:pPr>
        <w:spacing w:before="0" w:after="80"/>
      </w:pPr>
      <w:r>
        <w:rPr>
          <w:i/>
          <w:sz w:val="20"/>
        </w:rPr>
        <w:t>EN: Organic planar π-conjugated anions enable structural design of anion-π+ NIR-II phototheranostic agents</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阴离子π+光治疗剂（PTA）因其出色的发光和活性氧（ROS）而引起了人们的极大兴趣。然而，目前的发展受到有限的结构多样性和缺乏第二近红外（NIR-II）发射和光热性能的限制，有机π共轭阴离子的作用仍未得到探索。在这里，我们提出了一种有机 π 共轭阴离子交换策略来构建先进的 NIR-II PTA。合成了DTPAP-2B（带有Br-）和DTPAP-2P（带有五氰基环戊二烯阴离子（(CCN)5-））。纳米制剂后，与 DTPAP-2B NP 相比，DTPAP-2P NP 表现出明显的吸收红移、强烈的 NIR-II 发射、大斯托克斯位移 (340 nm)、优异的 ROS 生成和高光热转换效率 (72%)。单晶和理论分析表明，平面 (CCN)5- 阴离子增强了双阴离子-π+ 相互作用，促进分子内电荷转移，同时抑制分子间 π-π 堆积。这使得能够在雌性小鼠模型中进行高分辨率 NIR-II 血管造影和有效的 NIR-II 成像引导的协同光动力/光热治疗。这项工作将有机 π-共轭阴离子交换建立为开发强大的 NIR-II PTA 的强大策略。</w:t>
      </w:r>
    </w:p>
    <w:p>
      <w:pPr>
        <w:spacing w:before="0" w:after="200" w:lineRule="auto" w:line="276"/>
      </w:pPr>
      <w:r>
        <w:rPr>
          <w:b/>
        </w:rPr>
        <w:t xml:space="preserve">Abstract (EN): </w:t>
      </w:r>
      <w:r>
        <w:t>Anion-π+ phototheranostic agents (PTAs) have attracted considerable interest for their exceptional luminescence and reactive oxygen species (ROS). However, current development is constrained by limited structural diversity and lack of second near-infrared (NIR-II) emission and photothermal performance, with the role of organic π-conjugated anions remaining unexplored. Here, we propose an organic π-conjugated anion-exchange strategy to construct advanced NIR-II PTAs. DTPAP-2B (with Br-) and DTPAP-2P (with pentacyanocyclopentadiene anion ((CCN)5-)), were synthesized. Upon nanoformulation, DTPAP-2P NPs exhibit pronounced absorption redshift, intense NIR-II emission, a large Stokes shift (340 nm), superior ROS generation, and high photothermal conversion efficiency (72%) compared to DTPAP-2B NPs. Single-crystal and theoretical analyses reveal that the planar (CCN)5- anion enhances dual anion-π+ interactions, promoting intramolecular charge transfer while suppressing intermolecular π-π stacking. This enables high-resolution NIR-II angiography and effective NIR-II imaging-guided synergistic photodynamic/photothermal therapy in female mice model. This work establishes organic π-conjugated anion exchange as a powerful strategy for developing robust NIR-II PTAs.</w:t>
      </w:r>
    </w:p>
    <w:p>
      <w:pPr>
        <w:spacing w:before="120" w:after="120"/>
      </w:pPr>
      <w:r>
        <w:rPr>
          <w:sz w:val="18"/>
        </w:rPr>
        <w:t>——————————————————————————————————————————————————————————————————————</w:t>
      </w:r>
    </w:p>
    <w:p>
      <w:pPr>
        <w:spacing w:before="160" w:after="40" w:line="240" w:lineRule="auto"/>
      </w:pPr>
      <w:r>
        <w:rPr>
          <w:b/>
        </w:rPr>
        <w:t xml:space="preserve">[435] </w:t>
      </w:r>
      <w:hyperlink r:id="rId1011">
        <w:r>
          <w:rPr>
            <w:color w:val="1155CC"/>
            <w:u w:val="single"/>
          </w:rPr>
          <w:t>NIR 荧光标记报告基因 CETIF6a 可实现明亮的全肿瘤标记和功能蛋白质组分析</w:t>
        </w:r>
      </w:hyperlink>
    </w:p>
    <w:p>
      <w:pPr>
        <w:spacing w:before="0" w:after="80"/>
      </w:pPr>
      <w:r>
        <w:rPr>
          <w:i/>
          <w:sz w:val="20"/>
        </w:rPr>
        <w:t>EN: A NIR fluorotag reporter CETIF6a enables bright pan-tumor labeling and functional proteomic profiling</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肿瘤寻找荧光染料通过识别过度表达的受体来实现精确的病变定位，为癌症组织病理学提供了关键的辅助技术。然而，肿瘤异质性和对靶向机制的了解不足限制了它们的疗效。在这里，我们设计了 CETIF6a，这是一种点击化学兼容的七次甲基花青染料，用于多种癌症靶向、术中组织病理学和全蛋白质组靶点识别。 CETIF6a 展示了多种癌症类型的边缘描绘（与 H&amp;E 染色的一致性 &gt; 90%）。定量蛋白质组学表明，该染料针对的肿瘤特异性蛋白质比癌旁组织多 5-15 倍。通过涉及核糖体、蛋白酶体和代谢途径的 491 个保守的肿瘤富集蛋白实现协同泛癌靶向，有效克服异质性。机理研究证实，CETIF6a 通过疏水腔内半胱氨酸硫醇残基的亲核取代与靶标共价结合后发出明亮的荧光。 CETIF6a 的可修饰支架支持术中肿瘤诊断和功能靶点分析，为系统探针优化提供基础。</w:t>
      </w:r>
    </w:p>
    <w:p>
      <w:pPr>
        <w:spacing w:before="0" w:after="200" w:lineRule="auto" w:line="276"/>
      </w:pPr>
      <w:r>
        <w:rPr>
          <w:b/>
        </w:rPr>
        <w:t xml:space="preserve">Abstract (EN): </w:t>
      </w:r>
      <w:r>
        <w:t>Tumor-seeking fluorescent dyes enable precise lesion localization by recognizing overexpressed receptors, providing a critical adjunctive technology for cancer histopathology. However, tumor heterogeneity and the poor understanding of targeting mechanisms limit their efficacy. Here we engineer CETIF6a, a click chemistry-compatible heptamethine cyanine dye, for multi-cancer targeting, intraoperative histopathology, and proteome-wide target identification. CETIF6a demonstrates margin delineation across multiple cancer types ( &gt; 90% concordance with H&amp;E staining). Quantitative proteomics reveals that the dye targets 5-15 times more tumor-specific proteins than in paracancerous tissues. Synergistic pan-cancer targeting is achieved through 491 conserved tumor-enriched proteins involved in ribosomal, proteasomal, and metabolic pathways, effectively overcoming heterogeneity. Mechanistic studies confirm that CETIF6a emits bright fluorescence upon covalent binding to targets via nucleophilic substitution at cysteine thiol residues within hydrophobic cavities. The modifiable scaffold of CETIF6a supports both intraoperative tumor diagnosis and functional targets profiling, providing a foundation for systematic probe optimization.</w:t>
      </w:r>
    </w:p>
    <w:p>
      <w:pPr>
        <w:spacing w:before="120" w:after="120"/>
      </w:pPr>
      <w:r>
        <w:rPr>
          <w:sz w:val="18"/>
        </w:rPr>
        <w:t>——————————————————————————————————————————————————————————————————————</w:t>
      </w:r>
    </w:p>
    <w:p>
      <w:pPr>
        <w:spacing w:before="160" w:after="40" w:line="240" w:lineRule="auto"/>
      </w:pPr>
      <w:r>
        <w:rPr>
          <w:b/>
        </w:rPr>
        <w:t xml:space="preserve">[436] </w:t>
      </w:r>
      <w:hyperlink r:id="rId1012">
        <w:r>
          <w:rPr>
            <w:color w:val="1155CC"/>
            <w:u w:val="single"/>
          </w:rPr>
          <w:t>使用可编程光脉冲动态控制光子结构中激光驱动电子加速</w:t>
        </w:r>
      </w:hyperlink>
    </w:p>
    <w:p>
      <w:pPr>
        <w:spacing w:before="0" w:after="80"/>
      </w:pPr>
      <w:r>
        <w:rPr>
          <w:i/>
          <w:sz w:val="20"/>
        </w:rPr>
        <w:t>EN: Dynamic control of laser driven electron acceleration in a photonic structure using programmable optical pulses</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光学技术的进步使得对光脉冲相位分布的精确控制在科学实验室中变得普遍且易于实现。仔细塑造激光脉冲的场轮廓可用于掌握电子在光子加速结构中行进的动力学，例如通过精确对准两个电介质光栅获得的电子。在这里，我们表明，通过应用液晶掩模结合脉冲前倾斜方案对红外激光脉冲的相位和幅度进行编程，可以对激光加速器实现动态控制。这使得加速器光束动力学具有近乎无限的实时调谐能力，从而可以演示基于软件的结构和光学前部缺陷校正、横向聚焦方案的实施、输出光束的能量和电荷的控制，以及最终优化相互作用长度，从而测量到高达 0.55 MeV 的能量增益。</w:t>
      </w:r>
    </w:p>
    <w:p>
      <w:pPr>
        <w:spacing w:before="0" w:after="200" w:lineRule="auto" w:line="276"/>
      </w:pPr>
      <w:r>
        <w:rPr>
          <w:b/>
        </w:rPr>
        <w:t xml:space="preserve">Abstract (EN): </w:t>
      </w:r>
      <w:r>
        <w:t>Progress in optical techniques has made precision control of the phase profile in optical pulses common and accessible in scientific laboratories. Carefully shaping the field profile of a laser pulse can be used to master the dynamics of electrons traveling in photonic accelerating structures, such as the ones obtained by precisely aligning two dielectric gratings. Here, we show that by applying a liquid-crystal mask to program the phase and amplitude of an infrared laser pulse in combination with a pulse front tilt scheme, it is possible to implement dynamic control on a laser accelerator. This results in a nearly limitless live tuning capability of the accelerator beam dynamics, allowing the demonstration of software-based correction of structure and optical front imperfections, implementation of transverse focusing schemes, control of the energy and charge of the output beam, and ultimately optimization of the interaction length, leading to measured energy gains of up to 0.55 MeV.</w:t>
      </w:r>
    </w:p>
    <w:p>
      <w:pPr>
        <w:spacing w:before="120" w:after="120"/>
      </w:pPr>
      <w:r>
        <w:rPr>
          <w:sz w:val="18"/>
        </w:rPr>
        <w:t>——————————————————————————————————————————————————————————————————————</w:t>
      </w:r>
    </w:p>
    <w:p>
      <w:pPr>
        <w:spacing w:before="160" w:after="40" w:line="240" w:lineRule="auto"/>
      </w:pPr>
      <w:r>
        <w:rPr>
          <w:b/>
        </w:rPr>
        <w:t xml:space="preserve">[437] </w:t>
      </w:r>
      <w:hyperlink r:id="rId1013">
        <w:r>
          <w:rPr>
            <w:color w:val="1155CC"/>
            <w:u w:val="single"/>
          </w:rPr>
          <w:t>通过液态金属自发熔化在复杂微尺度结构上形成高性能可拉伸导电薄膜</w:t>
        </w:r>
      </w:hyperlink>
    </w:p>
    <w:p>
      <w:pPr>
        <w:spacing w:before="0" w:after="80"/>
      </w:pPr>
      <w:r>
        <w:rPr>
          <w:i/>
          <w:sz w:val="20"/>
        </w:rPr>
        <w:t>EN: High-performance stretchable conductive film on complex microscale structures via spontaneous fusion of liquid metal</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在微结构表面上共形制造可拉伸导电薄膜对于柔性电子产品非常重要。基于材料设计和结构工程的现有方法在拉伸性、导电性和几何兼容性方面受到限制。在这里，我们提出了一种在复杂微结构表面上制造高性能可拉伸导电薄膜的通用策略。通过精确控制颗粒间液桥力和液态金属（LM）颗粒壳的临界断裂强度，实现LM颗粒的自发融合，形成高性能可拉伸导电薄膜，无需额外的活化过程。在拉普拉斯压力差的驱动下，可拉伸导电薄膜可以共形沉积在任意 3D 微结构上，例如高深宽比垂直互连通道。这种能力使得开发即使在动态应变下也具有高稳定性的可拉伸多层电子系统成为可能。此外，薄膜在与人体皮肤形成无缝耦合时允许汗孔和毛发暴露，从而实现高效的电刺激和汗液渗透性和不可感知性的高保真电生理监测。这项工作建立了一种通用方法，将高性能可拉伸导体集成到复杂的 3D 架构中，将材料级创新与可穿戴电子产品和生物集成系统的系统级实施联系起来。</w:t>
      </w:r>
    </w:p>
    <w:p>
      <w:pPr>
        <w:spacing w:before="0" w:after="200" w:lineRule="auto" w:line="276"/>
      </w:pPr>
      <w:r>
        <w:rPr>
          <w:b/>
        </w:rPr>
        <w:t xml:space="preserve">Abstract (EN): </w:t>
      </w:r>
      <w:r>
        <w:t>Conformal fabrication of stretchable conductive film on micro-structured surfaces is important for flexible electronics. Existing methods based on material design and structural engineering suffer from limitations in stretchability, conductivity, and geometrical compatibility. Here, we propose a universal strategy for fabricating high-performance stretchable conductive film on complex micro-structured surfaces. By precisely controlling the interparticle liquid bridge force and the critical rupture strength of liquid metal (LM) particle shells, the spontaneous fusion of LM particles is realized to form high-performance stretchable conductive film without requiring extra activation processes. Driven by the Laplace pressure difference, the stretchable conductive film can be conformally deposited on arbitrary 3D microstructures such as high-aspect-ratio vertical interconnect accesses. This capability enables the development of stretchable multilayer electronic systems with high stability even under dynamic strain. Moreover, the thin film allows the exposure of sweat pores and hair when forming seamless coupling with human skin, enabling highly effective electrical stimulation and high-fidelity electrophysiological monitoring with sweat permeability and imperceptibility. This work establishes a universal approach for integrating high-performance stretchable conductors onto complex 3D architectures, bridging material-level innovation with system-level implementation for wearable electronics and bio-integrated systems.</w:t>
      </w:r>
    </w:p>
    <w:p>
      <w:pPr>
        <w:spacing w:before="120" w:after="120"/>
      </w:pPr>
      <w:r>
        <w:rPr>
          <w:sz w:val="18"/>
        </w:rPr>
        <w:t>——————————————————————————————————————————————————————————————————————</w:t>
      </w:r>
    </w:p>
    <w:p>
      <w:pPr>
        <w:spacing w:before="160" w:after="40" w:line="240" w:lineRule="auto"/>
      </w:pPr>
      <w:r>
        <w:rPr>
          <w:b/>
        </w:rPr>
        <w:t xml:space="preserve">[438] </w:t>
      </w:r>
      <w:hyperlink r:id="rId1014">
        <w:r>
          <w:rPr>
            <w:color w:val="1155CC"/>
            <w:u w:val="single"/>
          </w:rPr>
          <w:t>通过混合维范德华异质结构中的传感器内背景偏移消除实现灵敏的红外光电检测</w:t>
        </w:r>
      </w:hyperlink>
    </w:p>
    <w:p>
      <w:pPr>
        <w:spacing w:before="0" w:after="80"/>
      </w:pPr>
      <w:r>
        <w:rPr>
          <w:i/>
          <w:sz w:val="20"/>
        </w:rPr>
        <w:t>EN: Sensitive infrared photodetection enabled by in-sensor background-offset cancellation in a mixed-dimensional van der Waals heterostructure</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室温红外光电探测长期以来一直受到宽带热辐射的限制，宽带热辐射会注入背景光子并驱动探测器进入背景限制状态。除了随机光子波动之外，这种辐射还会产生确定性的平均光电流偏移，可以压倒环境条件下的微弱信号。这种限制源于单极光谱积分，其中响应带上的背景光子贡献相同的光电流极性。在这里，我们演示了通过光谱极性反转实现的传感器内背景偏移消除机制。通过设计与波长相关的光电流反转，来自不同光谱带的光子在单个器件内产生相反符号的响应，从而抑制固定黑体照明下的平均背景感应电流，而无需外部减法或平衡读出。我们使用光学可重构混合维Ge/黑磷范德华异质结构光电探测器实现了这一概念。该零偏置器件的室温探测灵敏度为 7.89 × 1010 Jones，是单位量子效率集成型探测器的背景限制基准的 4.11 倍之内。</w:t>
      </w:r>
    </w:p>
    <w:p>
      <w:pPr>
        <w:spacing w:before="0" w:after="200" w:lineRule="auto" w:line="276"/>
      </w:pPr>
      <w:r>
        <w:rPr>
          <w:b/>
        </w:rPr>
        <w:t xml:space="preserve">Abstract (EN): </w:t>
      </w:r>
      <w:r>
        <w:t>Room-temperature infrared photodetection has long been constrained by broadband thermal radiation, which injects background photons and drives detectors toward a background-limited regime. Beyond stochastic photon fluctuations, this radiation produces a deterministic mean photocurrent offset that can overwhelm weak signals under ambient conditions. This limitation originates from unipolar spectral integration, where background photons across the response band contribute with the same photocurrent polarity. Here we demonstrate an in-sensor background-offset cancellation mechanism enabled by spectral polarity inversion. By engineering wavelength-dependent photocurrent reversal, photons from different spectral bands generate opposite-signed responses within a single device, suppressing the mean background-induced current under fixed blackbody illumination without external subtraction or balanced readout. We realize this concept using an optically reconfigurable mixed-dimensional Ge/black phosphorus van der Waals heterostructure photodetector. The zero-bias device achieves a room-temperature detectivity of 7.89 × 1010 Jones, within a factor of 4.11 of the background-limited benchmark for unity-quantum-efficiency integration-type detectors.</w:t>
      </w:r>
    </w:p>
    <w:p>
      <w:pPr>
        <w:spacing w:before="120" w:after="120"/>
      </w:pPr>
      <w:r>
        <w:rPr>
          <w:sz w:val="18"/>
        </w:rPr>
        <w:t>——————————————————————————————————————————————————————————————————————</w:t>
      </w:r>
    </w:p>
    <w:p>
      <w:pPr>
        <w:spacing w:before="160" w:after="40" w:line="240" w:lineRule="auto"/>
      </w:pPr>
      <w:r>
        <w:rPr>
          <w:b/>
        </w:rPr>
        <w:t xml:space="preserve">[439] </w:t>
      </w:r>
      <w:hyperlink r:id="rId1015">
        <w:r>
          <w:rPr>
            <w:color w:val="1155CC"/>
            <w:u w:val="single"/>
          </w:rPr>
          <w:t>粒状小行星强度的通用标度框架及其在小行星贝努表面的应用</w:t>
        </w:r>
      </w:hyperlink>
    </w:p>
    <w:p>
      <w:pPr>
        <w:spacing w:before="0" w:after="80"/>
      </w:pPr>
      <w:r>
        <w:rPr>
          <w:i/>
          <w:sz w:val="20"/>
        </w:rPr>
        <w:t>EN: A universal scaling framework for granular asteroid strength and its application to the surface of asteroid Bennu</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尽管重力低且自转速率高，粒状小行星仍表现出令人惊讶的结构稳定性。了解其强度背后的机制对于预测其演化和指导偏转策略至关重要。使用 3D 粒子动力学模拟，我们开发了一个用于粘性、自重力风化层拉伸强度的缩放框架，研究粒子大小和形状如何共同控制宏观行为。我们表明，拉伸强度可以使用等效粒径或颗粒形状来衡量，后者通过球形度及其对等效球形填料的参考。我们使用 OSIRIS-REx 任务返回的样本数据将此模型应用于小行星 Bennu，并得出与遥感和采样事件重建中低于 1 Pa 的估计一致的粘性表面强度。我们的结果表明，贝努的强度极低是由于其风化层中细尘的缺乏。这项研究展示了粒子级特性如何控制粒状小行星的大规模稳定性和异质性。</w:t>
      </w:r>
    </w:p>
    <w:p>
      <w:pPr>
        <w:spacing w:before="0" w:after="200" w:lineRule="auto" w:line="276"/>
      </w:pPr>
      <w:r>
        <w:rPr>
          <w:b/>
        </w:rPr>
        <w:t xml:space="preserve">Abstract (EN): </w:t>
      </w:r>
      <w:r>
        <w:t>Granular asteroids exhibit surprising structural stability despite low gravity and high spin rates. Understanding the mechanisms behind their strength is essential for predicting their evolution and informing deflection strategies. Using 3D particle-dynamics simulations, we develop a scaling framework for the tensile strength of cohesive, self-gravitating regolith, examining how particle size and shape jointly control macroscopic behavior. We show that tensile strength can be scaled using either an equivalent particle diameter or particle shape, the latter through sphericity and its reference to an equivalent spherical packing. We apply this model to asteroid Bennu using data from samples returned by the OSIRIS-REx mission and derive a cohesive surface strength consistent with estimates below 1 Pa from remote sensing and sampling-event reconstructions. Our results indicate that Bennu’s extremely low strength arises from a scarcity of fine dust in its regolith. This study demonstrates how particle-level properties govern large-scale stability and heterogeneity in granular asteroids.</w:t>
      </w:r>
    </w:p>
    <w:p>
      <w:pPr>
        <w:spacing w:before="120" w:after="120"/>
      </w:pPr>
      <w:r>
        <w:rPr>
          <w:sz w:val="18"/>
        </w:rPr>
        <w:t>——————————————————————————————————————————————————————————————————————</w:t>
      </w:r>
    </w:p>
    <w:p>
      <w:pPr>
        <w:spacing w:before="160" w:after="40" w:line="240" w:lineRule="auto"/>
      </w:pPr>
      <w:r>
        <w:rPr>
          <w:b/>
        </w:rPr>
        <w:t xml:space="preserve">[440] </w:t>
      </w:r>
      <w:hyperlink r:id="rId1016">
        <w:r>
          <w:rPr>
            <w:color w:val="1155CC"/>
            <w:u w:val="single"/>
          </w:rPr>
          <w:t>三角形分子组装体中的非平衡相关电子动力学</w:t>
        </w:r>
      </w:hyperlink>
    </w:p>
    <w:p>
      <w:pPr>
        <w:spacing w:before="0" w:after="80"/>
      </w:pPr>
      <w:r>
        <w:rPr>
          <w:i/>
          <w:sz w:val="20"/>
        </w:rPr>
        <w:t>EN: Non-equilibrium correlated electron dynamics in triangular molecular assemblies</w:t>
      </w:r>
    </w:p>
    <w:p>
      <w:pPr>
        <w:spacing w:before="0" w:after="120"/>
      </w:pPr>
      <w:r>
        <w:rPr>
          <w:b/>
        </w:rPr>
        <w:t xml:space="preserve">Source: </w:t>
      </w:r>
      <w:r>
        <w:t>Physical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理解和控制分子组装体中单个电子水平的电荷状态常常受到系统复杂性和缺乏可靠的理论框架来准确模拟底层多体非平衡电子动力学的阻碍。为了应对这一挑战，我们在这里通过扫描探针操作构建了明确的四溴四氮杂芘分子三聚体和六聚体，并表明使用安德森杂质模型和主方程方法可以完全合理化电子动力学。我们的分析表明，这种超越标准单粒子图像的处理对于理解此类分子系统至关重要。该模型不仅定量地再现了测量的微分电导图中可见的所有特征，而且还揭示了由于集体电荷态的非平衡占据而产生负微分电导的机制。分析还表明，充电环不一定与团簇总电荷的变化相关，而往往源于位点之间的内部电荷重排。这些发现提供了对强相互作用分子系统中基本量子多体效应的深入了解，并为通过控制簇拓扑和静电环境来工程电子相开辟了途径。</w:t>
      </w:r>
    </w:p>
    <w:p>
      <w:pPr>
        <w:spacing w:before="0" w:after="200" w:lineRule="auto" w:line="276"/>
      </w:pPr>
      <w:r>
        <w:rPr>
          <w:b/>
        </w:rPr>
        <w:t xml:space="preserve">Abstract (EN): </w:t>
      </w:r>
      <w:r>
        <w:t>Understanding and controlling charge states at the level of individual electrons in molecular assemblies is often hindered by system complexity and the lack of reliable theoretical framework to accurately model the underlying many-body non-equilibrium electron dynamics. To address this challenge, here we construct well-defined molecular trimers and hexamers of tetrabromo-tetraazapyrene molecules by scanning probe manipulation and show that the electron dynamics can be completely rationalized using the Anderson impurity model and master equation approach. Our analysis demonstrates that such a treatment, which goes beyond the standard single-particle picture, is essential for understanding this class of molecular systems. The model not only quantitatively reproduces all features visible in measured differential conductance maps, but also uncovers the mechanism for negative differential conductance, which arises from the non-equilibrium occupancy of collective charge states. The analysis also reveals that the charging rings are not necessarily associated with changes in the total charge of the cluster, but often originate from internal charge rearrangements between the sites. These findings provide insight into fundamental quantum many-body effects in strongly interacting molecular systems and open pathways for engineering electronic phases by controlling cluster topology and the electrostatic environment.</w:t>
      </w:r>
    </w:p>
    <w:p>
      <w:pPr>
        <w:spacing w:before="120" w:after="120"/>
      </w:pPr>
      <w:r>
        <w:rPr>
          <w:sz w:val="18"/>
        </w:rPr>
        <w:t>——————————————————————————————————————————————————————————————————————</w:t>
      </w:r>
    </w:p>
    <w:p>
      <w:pPr>
        <w:spacing w:before="160" w:after="40" w:line="240" w:lineRule="auto"/>
      </w:pPr>
      <w:r>
        <w:rPr>
          <w:b/>
        </w:rPr>
        <w:t xml:space="preserve">[441] </w:t>
      </w:r>
      <w:hyperlink r:id="rId1017">
        <w:r>
          <w:rPr>
            <w:color w:val="1155CC"/>
            <w:u w:val="single"/>
          </w:rPr>
          <w:t>使用智能纺织电极阵列绘制皮质肌肉轴的体表电位图</w:t>
        </w:r>
      </w:hyperlink>
    </w:p>
    <w:p>
      <w:pPr>
        <w:spacing w:before="0" w:after="80"/>
      </w:pPr>
      <w:r>
        <w:rPr>
          <w:i/>
          <w:sz w:val="20"/>
        </w:rPr>
        <w:t>EN: Body surface potential mapping of the cortico-muscular axis using smart textile electrode arrays</w:t>
      </w:r>
    </w:p>
    <w:p>
      <w:pPr>
        <w:spacing w:before="0" w:after="120"/>
      </w:pPr>
      <w:r>
        <w:rPr>
          <w:b/>
        </w:rPr>
        <w:t xml:space="preserve">Source: </w:t>
      </w:r>
      <w:r>
        <w:t>Biological sciences : Nature Communications subject feeds</w:t>
      </w:r>
      <w:r>
        <w:t xml:space="preserve">    </w:t>
      </w:r>
      <w:r>
        <w:rPr>
          <w:b/>
        </w:rPr>
        <w:t xml:space="preserve">Pub date: </w:t>
      </w:r>
      <w:r>
        <w:t>2026-07-08 00:00:00+00:00</w:t>
      </w:r>
    </w:p>
    <w:p>
      <w:pPr>
        <w:spacing w:before="0" w:after="120"/>
      </w:pPr>
      <w:r>
        <w:rPr>
          <w:b/>
        </w:rPr>
        <w:t xml:space="preserve">Notes: </w:t>
      </w:r>
      <w:r>
        <w:t>abstract_source=nature_html</w:t>
      </w:r>
    </w:p>
    <w:p>
      <w:pPr>
        <w:spacing w:before="0" w:after="80" w:lineRule="auto" w:line="276"/>
      </w:pPr>
      <w:r>
        <w:rPr>
          <w:b/>
        </w:rPr>
        <w:t xml:space="preserve">摘要（ZH）: </w:t>
      </w:r>
      <w:r>
        <w:t>皮肤电生理学是一种基本的非侵入性技术，用于评估大脑、心脏和肌肉等电活动器官。然而，标准方法在空间分辨率方面受到限制，降低了对某些病理特征的敏感性。使用电极阵列进行体表电位测绘的发展有助于克服这些限制，增强皮肤记录的诊断能力，但临床采用仍然受到电极性能、接线复杂性、耐磨性、数据传输和可解释性方面的挑战的限制。在这里，我们提出了一种混合电子纺织品电极阵列系统，它克服了这些障碍，能够沿着皮质肌肉轴同时绘制电活动图。该系统结合了特定应用的导电聚合物涂层，以提高电极性能，灵活的制造工艺，以实现强大的连接性和耐磨性，以及用于数据分析的可解释的机器学习算法。在受控的单受试者实验中，我们展示了可靠的肌肉和大脑记录，从而能够对抓取的物体形状和体感刺激进行分类。沿着皮质肌肉轴的同时多站点记录提供了反应时间分布的空间图，并允许根据皮质活动预测肌肉激活模式。该平台建立了可穿戴、多模态电生理测绘和皮质肌肉动力学非侵入性研究的框架，代表着朝着实用的脑体接口及其应用迈出了一步。</w:t>
      </w:r>
    </w:p>
    <w:p>
      <w:pPr>
        <w:spacing w:before="0" w:after="200" w:lineRule="auto" w:line="276"/>
      </w:pPr>
      <w:r>
        <w:rPr>
          <w:b/>
        </w:rPr>
        <w:t xml:space="preserve">Abstract (EN): </w:t>
      </w:r>
      <w:r>
        <w:t>Cutaneous electrophysiology is a fundamental non-invasive technique for assessing electrically active organs such as the brain, heart, and muscles. Standard approaches, however, are limited in spatial resolution, reducing sensitivity to certain pathological features. The development of body surface potential mapping using electrode arrays has helped overcome these limitations, enhancing the diagnostic power of cutaneous recordings, yet clinical adoption remains constrained by challenges in electrode performance, wiring complexity, wearability, data transmission, and interpretability. Here, we present a hybrid e-textile electrode array system that overcomes these barriers, enabling simultaneous mapping of electrical activity along the cortico-muscular axis. The system combines application-specific conducting polymer coatings to improve electrode performance, a flexible fabrication process for robust connectivity and wearability, and interpretable machine learning algorithms for data analysis. In controlled single-subject experiments, we demonstrate reliable muscle and brain recordings, enabling classification of grasped object shapes and somatosensory stimuli. Simultaneous multi-site recordings along the cortico-muscular axis provide spatial maps of reaction time distributions and allow prediction of muscle activation patterns from cortical activity. This platform establishes a framework for wearable, multi-modal electrophysiological mapping and non-invasive study of cortico-muscular dynamics, representing a step towards practical brain–body interfaces with applications in neurorehabilitation, prosthetics, and human–machine interaction.</w:t>
      </w:r>
    </w:p>
    <w:p>
      <w:pPr>
        <w:spacing w:before="120" w:after="120"/>
      </w:pPr>
      <w:r>
        <w:rPr>
          <w:sz w:val="18"/>
        </w:rPr>
        <w:t>——————————————————————————————————————————————————————————————————————</w:t>
      </w:r>
    </w:p>
    <w:p>
      <w:pPr>
        <w:spacing w:before="160" w:after="40" w:line="240" w:lineRule="auto"/>
      </w:pPr>
      <w:r>
        <w:rPr>
          <w:b/>
        </w:rPr>
        <w:t xml:space="preserve">[442] </w:t>
      </w:r>
      <w:hyperlink r:id="rId1018">
        <w:r>
          <w:rPr>
            <w:color w:val="1155CC"/>
            <w:u w:val="single"/>
          </w:rPr>
          <w:t>Louis E. Brus（1943-2026）：一位完美的物理化学家和纳米尺度材料光谱探索的先驱</w:t>
        </w:r>
      </w:hyperlink>
    </w:p>
    <w:p>
      <w:pPr>
        <w:spacing w:before="0" w:after="80"/>
      </w:pPr>
      <w:r>
        <w:rPr>
          <w:i/>
          <w:sz w:val="20"/>
        </w:rPr>
        <w:t>EN: Louis E. Brus (1943–2026): A consummate physical chemist and a pioneer in the exploration of spectroscopy of materials at the nanoscale</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19">
        <w:r>
          <w:rPr>
            <w:color w:val="1155CC"/>
            <w:u w:val="single"/>
          </w:rPr>
          <w:t>10.1073/pnas.2617634123</w:t>
        </w:r>
      </w:hyperlink>
    </w:p>
    <w:p>
      <w:pPr>
        <w:spacing w:before="0" w:after="120"/>
      </w:pPr>
      <w:r>
        <w:rPr>
          <w:b/>
        </w:rPr>
        <w:t xml:space="preserve">Notes: </w:t>
      </w:r>
      <w:r>
        <w:t>abstract_source=crossref</w:t>
      </w:r>
    </w:p>
    <w:p>
      <w:pPr>
        <w:spacing w:before="0" w:after="80" w:lineRule="auto" w:line="276"/>
      </w:pPr>
      <w:r>
        <w:rPr>
          <w:b/>
        </w:rPr>
        <w:t xml:space="preserve">摘要（ZH）: </w:t>
      </w:r>
      <w:r>
        <w:t>去年，我们失去了一位纳米科学领域真正的先驱。路易斯·E·布鲁斯（Louis E. Brus）并不追求名誉，他追求的是</w:t>
      </w:r>
      <w:r>
        <w:t xml:space="preserve"> </w:t>
      </w:r>
      <w:r>
        <w:t>“问题。”</w:t>
      </w:r>
      <w:r>
        <w:t xml:space="preserve"> </w:t>
      </w:r>
      <w:r>
        <w:t>他的职业生涯是好奇心驱动科学力量的一座纪念碑，贝尔实验室在 20 世纪 80 年代和 90 年代培育了这种有影响力的科学。路易斯以合作为核心，是一个很好的例子</w:t>
      </w:r>
      <w:r>
        <w:t xml:space="preserve"> </w:t>
      </w:r>
      <w:r>
        <w:t>“贝尔实验室类型”</w:t>
      </w:r>
      <w:r>
        <w:t xml:space="preserve"> </w:t>
      </w:r>
      <w:r>
        <w:t>如你所见。他的朋友、学生和同事将深深怀念他的智慧、指导和善良。</w:t>
      </w:r>
    </w:p>
    <w:p>
      <w:pPr>
        <w:spacing w:before="0" w:after="200" w:lineRule="auto" w:line="276"/>
      </w:pPr>
      <w:r>
        <w:rPr>
          <w:b/>
        </w:rPr>
        <w:t xml:space="preserve">Abstract (EN): </w:t>
      </w:r>
      <w:r>
        <w:t>Last year we lost a true pioneer in the field of nanoscience. Louis E. Brus didn’t chase fame, he chased</w:t>
      </w:r>
      <w:r>
        <w:t xml:space="preserve"> </w:t>
      </w:r>
      <w:r>
        <w:t>“the problem.”</w:t>
      </w:r>
      <w:r>
        <w:t xml:space="preserve"> </w:t>
      </w:r>
      <w:r>
        <w:t>His career is a monument to the power of curiosity driven science, the kind of impactful science nurtured by Bell Laboratories in the 1980s and 1990s. Collaborative to his core, Louis is as good an example of a</w:t>
      </w:r>
      <w:r>
        <w:t xml:space="preserve"> </w:t>
      </w:r>
      <w:r>
        <w:t>“Bell Labs type”</w:t>
      </w:r>
      <w:r>
        <w:t xml:space="preserve"> </w:t>
      </w:r>
      <w:r>
        <w:t>as you can find. His intellect, mentorship, and kindness will be greatly missed by his friends, students, and colleagues.</w:t>
      </w:r>
    </w:p>
    <w:p>
      <w:pPr>
        <w:spacing w:before="120" w:after="120"/>
      </w:pPr>
      <w:r>
        <w:rPr>
          <w:sz w:val="18"/>
        </w:rPr>
        <w:t>——————————————————————————————————————————————————————————————————————</w:t>
      </w:r>
    </w:p>
    <w:p>
      <w:pPr>
        <w:spacing w:before="160" w:after="40" w:line="240" w:lineRule="auto"/>
      </w:pPr>
      <w:r>
        <w:rPr>
          <w:b/>
        </w:rPr>
        <w:t xml:space="preserve">[443] </w:t>
      </w:r>
      <w:hyperlink r:id="rId1020">
        <w:r>
          <w:rPr>
            <w:color w:val="1155CC"/>
            <w:u w:val="single"/>
          </w:rPr>
          <w:t>免疫刺激先导候选物激活补体过敏毒素受体的结构基础</w:t>
        </w:r>
      </w:hyperlink>
    </w:p>
    <w:p>
      <w:pPr>
        <w:spacing w:before="0" w:after="80"/>
      </w:pPr>
      <w:r>
        <w:rPr>
          <w:i/>
          <w:sz w:val="20"/>
        </w:rPr>
        <w:t>EN: Structural basis of complement anaphylatoxin receptor activation by an immunostimulant lead candidate</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21">
        <w:r>
          <w:rPr>
            <w:color w:val="1155CC"/>
            <w:u w:val="single"/>
          </w:rPr>
          <w:t>10.1073/pnas.2614459123</w:t>
        </w:r>
      </w:hyperlink>
    </w:p>
    <w:p>
      <w:pPr>
        <w:spacing w:before="0" w:after="120"/>
      </w:pPr>
      <w:r>
        <w:rPr>
          <w:b/>
        </w:rPr>
        <w:t xml:space="preserve">Notes: </w:t>
      </w:r>
      <w:r>
        <w:t>abstract_source=crossref</w:t>
      </w:r>
    </w:p>
    <w:p>
      <w:pPr>
        <w:spacing w:before="0" w:after="80" w:lineRule="auto" w:line="276"/>
      </w:pPr>
      <w:r>
        <w:rPr>
          <w:b/>
        </w:rPr>
        <w:t xml:space="preserve">摘要（ZH）: </w:t>
      </w:r>
      <w:r>
        <w:t>补体级联的激活是对抗病原体感染的主要先天免疫反应机制。补体过敏毒素（即 C3a 和 C5a）通过原型 GPCR（即 C3aR 和 C5aR1）发挥强烈的炎症反应。从治疗的角度来看，几种源自过敏毒素的肽已显示出作为免疫刺激剂的前景，它们可以在不过度炎症的情况下引发免疫反应。 EP67 是一种 C5a 衍生的十肽，是具有抗病毒和抗菌背景的临床前适应症的最先进候选药物。尽管如此，EP67 的分子机制和精确的受体靶点仍不清楚。在这里，我们对人类和小鼠 C3aR 和 C5aR1 进行了 EP67 的全面药理学分析，发现它在传感器偶联测定中优先激活人类 C3aR。随后，我们确定了 C3aR 和 C5aR1 与 EP67 复合物的四种冷冻电镜结构，阐明了其与这些受体相互作用和激活的分子细节。有趣的是，我们观察到EP67采用钩状结构并结合在受体的正构口袋中，类似于C3a和C5a的羧基末端。我们采用定点诱变研究来验证 EP67 与这些受体的关键相互作用，并证实结构观察结果，包括关键激活开关的参与。最后，我们观察到 EP67 诱导 C3aR 和 C5aR1 TM7-Helix8 界面的不同构象，这为其优先激活 C3aR 的能力提供了合理的解释</w:t>
      </w:r>
    </w:p>
    <w:p>
      <w:pPr>
        <w:spacing w:before="0" w:after="200" w:lineRule="auto" w:line="276"/>
      </w:pPr>
      <w:r>
        <w:rPr>
          <w:b/>
        </w:rPr>
        <w:t xml:space="preserve">Abstract (EN): </w:t>
      </w:r>
      <w:r>
        <w:t>Activation of the complement cascade is a primary innate immune response mechanism to combat pathogenic infections. Complement anaphylatoxins (i.e., C3a and C5a) exert a robust inflammatory response via prototypical GPCRs (i.e., C3aR and C5aR1). Several peptides derived from anaphylatoxins have shown promise as immunostimulants from therapeutic standpoint by eliciting immune response without excessive inflammation. EP67, a C5a-derived decapeptide, is the most advanced candidate with preclinical indications in antiviral and antibacterial context. Still, the molecular mechanism and the precise receptor target of EP67 remain unclear. Here, we perform a comprehensive pharmacological profiling of EP67 on the human and mouse C3aR and C5aR1 and find that it preferentially activates human C3aR in transducer-coupling assays. Subsequently, we determined four cryo-EM structures of C3aR and C5aR1 in complex with EP67, which elucidate the molecular details of its interaction with, and activation of, these receptors. Interestingly, we observe that EP67 adopts a hook-like structure and binds in the orthosteric pocket of the receptors, analogous to that of the carboxyl terminus of C3a and C5a. We employ site-directed mutagenesis studies to validate the key interactions of EP67 with these receptors and corroborate the structural observations including the engagement of a critical activation switch. Finally, we observe that EP67 induces distinct conformations of the TM7–Helix8 interface for C3aR and C5aR1, which provides a plausible explanation for its ability to preferentially activate C3aR. In summary, our study elucidates molecular insights into the interaction of EP67 with the complement anaphylatoxin receptors, and it should facilitate further optimization for therapeutic applications.</w:t>
      </w:r>
    </w:p>
    <w:p>
      <w:pPr>
        <w:spacing w:before="120" w:after="120"/>
      </w:pPr>
      <w:r>
        <w:rPr>
          <w:sz w:val="18"/>
        </w:rPr>
        <w:t>——————————————————————————————————————————————————————————————————————</w:t>
      </w:r>
    </w:p>
    <w:p>
      <w:pPr>
        <w:spacing w:before="160" w:after="40" w:line="240" w:lineRule="auto"/>
      </w:pPr>
      <w:r>
        <w:rPr>
          <w:b/>
        </w:rPr>
        <w:t xml:space="preserve">[444] </w:t>
      </w:r>
      <w:hyperlink r:id="rId1022">
        <w:r>
          <w:rPr>
            <w:color w:val="1155CC"/>
            <w:u w:val="single"/>
          </w:rPr>
          <w:t>硬度可调的口腔纳米颗粒促进受损胰岛β细胞修复，用于糖尿病治疗</w:t>
        </w:r>
      </w:hyperlink>
    </w:p>
    <w:p>
      <w:pPr>
        <w:spacing w:before="0" w:after="80"/>
      </w:pPr>
      <w:r>
        <w:rPr>
          <w:i/>
          <w:sz w:val="20"/>
        </w:rPr>
        <w:t>EN: Stiffness-tunable oral nanoparticles facilitate damaged islet β cell restoration for diabetes treatment</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23">
        <w:r>
          <w:rPr>
            <w:color w:val="1155CC"/>
            <w:u w:val="single"/>
          </w:rPr>
          <w:t>10.1126/sciadv.aed0407</w:t>
        </w:r>
      </w:hyperlink>
    </w:p>
    <w:p>
      <w:pPr>
        <w:spacing w:before="0" w:after="120"/>
      </w:pPr>
      <w:r>
        <w:rPr>
          <w:b/>
        </w:rPr>
        <w:t xml:space="preserve">Notes: </w:t>
      </w:r>
      <w:r>
        <w:t>abstract_source=crossref</w:t>
      </w:r>
    </w:p>
    <w:p>
      <w:pPr>
        <w:spacing w:before="0" w:after="80" w:lineRule="auto" w:line="276"/>
      </w:pPr>
      <w:r>
        <w:rPr>
          <w:b/>
        </w:rPr>
        <w:t xml:space="preserve">摘要（ZH）: </w:t>
      </w:r>
      <w:r>
        <w:t>糖尿病仍然是一个全球健康挑战，因为目前基于胰岛素的疗法只能控制血糖，而不能恢复胰岛β细胞功能，导致患者依赖终生药物治疗，并且容易发生低血糖。抗氧化药物有望修复胰岛β细胞，但受到胃肠道运输不良和胰腺靶向性不足的限制。在这里，我们最初确定铁死亡相关的氧化应激是胰岛 β 细胞死亡的关键原因，并通过将弯曲油酸嵌入有序的 1,2-二硬脂酰-</w:t>
      </w:r>
      <w:r>
        <w:t>锡</w:t>
      </w:r>
      <w:r>
        <w:t xml:space="preserve"> </w:t>
      </w:r>
      <w:r>
        <w:t>-甘油-3-磷酸乙醇胺可增强药物的生物利用度。具有中等硬度的纳米颗粒可优化膜包裹并最大限度地降低能量消耗，增强肠道 M 细胞转胞吞作用和巨噬细胞介导的搭便车作用，从而使胰腺姜黄素积累增加约 4.5 倍。在糖尿病模型中，该制剂抑制铁死亡相关的氧化应激，促进原位胰岛β细胞修复，恢复胰岛素稳态和自主血糖控制，即使在治疗停止后也能维持正常血糖而不会出现低血糖。这项研究代表了一种对患者友好的口服纳米疗法，在长期糖尿病管理中优于胰岛素疗法。</w:t>
      </w:r>
    </w:p>
    <w:p>
      <w:pPr>
        <w:spacing w:before="0" w:after="200" w:lineRule="auto" w:line="276"/>
      </w:pPr>
      <w:r>
        <w:rPr>
          <w:b/>
        </w:rPr>
        <w:t xml:space="preserve">Abstract (EN): </w:t>
      </w:r>
      <w:r>
        <w:t>Diabetes mellitus remains a global health challenge, as current insulin-based therapies merely control blood glucose without restoring islet β cell function, leaving patients dependent on lifelong medication and vulnerable to hypoglycemia. Antioxidant drugs hold promise for islet β cell repair but are limited by poor gastrointestinal transportation and insufficient pancreatic targetability. Here, we initially identify ferroptosis-associated oxidative stress as a key cause of islet β cell death and develop six stiffness-gradient nanoparticles by embedding bent oleic acid into ordered 1,2-distearoyl-</w:t>
      </w:r>
      <w:r>
        <w:t>sn</w:t>
      </w:r>
      <w:r>
        <w:t xml:space="preserve"> </w:t>
      </w:r>
      <w:r>
        <w:t>-glycero-3-phosphoethanolamine to enhance drug bioavailability. Nanoparticles with intermediate stiffness optimize membrane wrapping and minimize energetic cost, enhancing intestinal M cell transcytosis and macrophage-mediated hitchhiking, thereby increasing pancreatic curcumin accumulation by ~4.5-fold. In diabetic models, this formulation suppresses ferroptosis-associated oxidative stress, promotes in situ islet β cell repair, and restores insulin homeostasis and autonomous glycemic control, maintaining normoglycemia without hypoglycemia even after treatment cessation. This study represents a patient-friendly oral nanotherapy that outperforms insulin therapy in long-standing diabetes management.</w:t>
      </w:r>
    </w:p>
    <w:p>
      <w:pPr>
        <w:spacing w:before="120" w:after="120"/>
      </w:pPr>
      <w:r>
        <w:rPr>
          <w:sz w:val="18"/>
        </w:rPr>
        <w:t>——————————————————————————————————————————————————————————————————————</w:t>
      </w:r>
    </w:p>
    <w:p>
      <w:pPr>
        <w:spacing w:before="160" w:after="40" w:line="240" w:lineRule="auto"/>
      </w:pPr>
      <w:r>
        <w:rPr>
          <w:b/>
        </w:rPr>
        <w:t xml:space="preserve">[445] </w:t>
      </w:r>
      <w:hyperlink r:id="rId1024">
        <w:r>
          <w:rPr>
            <w:color w:val="1155CC"/>
            <w:u w:val="single"/>
          </w:rPr>
          <w:t>经口感染因素对于布拉科病毒感染和黄蜂寄生至关重要</w:t>
        </w:r>
      </w:hyperlink>
    </w:p>
    <w:p>
      <w:pPr>
        <w:spacing w:before="0" w:after="80"/>
      </w:pPr>
      <w:r>
        <w:rPr>
          <w:i/>
          <w:sz w:val="20"/>
        </w:rPr>
        <w:t>EN: Per os infectivity factors are essential for bracovirus infection and wasp parasitism</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25">
        <w:r>
          <w:rPr>
            <w:color w:val="1155CC"/>
            <w:u w:val="single"/>
          </w:rPr>
          <w:t>10.1073/pnas.2609861123</w:t>
        </w:r>
      </w:hyperlink>
    </w:p>
    <w:p>
      <w:pPr>
        <w:spacing w:before="0" w:after="120"/>
      </w:pPr>
      <w:r>
        <w:rPr>
          <w:b/>
        </w:rPr>
        <w:t xml:space="preserve">Notes: </w:t>
      </w:r>
      <w:r>
        <w:t>abstract_source=crossref</w:t>
      </w:r>
    </w:p>
    <w:p>
      <w:pPr>
        <w:spacing w:before="0" w:after="80" w:lineRule="auto" w:line="276"/>
      </w:pPr>
      <w:r>
        <w:rPr>
          <w:b/>
        </w:rPr>
        <w:t xml:space="preserve">摘要（ZH）: </w:t>
      </w:r>
      <w:r>
        <w:t>茧蜂科的许多寄生蜂依靠茧病毒来寄生鳞翅目宿主。布拉科病毒是由家族中的一种病毒进化而来的</w:t>
      </w:r>
      <w:r>
        <w:t xml:space="preserve"> </w:t>
      </w:r>
      <w:r>
        <w:t>裸病毒科</w:t>
      </w:r>
      <w:r>
        <w:t xml:space="preserve"> </w:t>
      </w:r>
      <w:r>
        <w:t>，而裸病毒与杆状病毒密切相关。经口感染因子（PIF）复合物对于杆状病毒对宿主的口腔感染至关重要。布拉科病毒编码 8 个 PIF 同源物，但没有经口感染途径，因为黄蜂将病毒颗粒注入宿主体内。因此，布拉科病毒如何进入鳞翅目宿主细胞的机制尚不清楚。这里我们使用了寄生蜂</w:t>
      </w:r>
      <w:r>
        <w:t xml:space="preserve"> </w:t>
      </w:r>
      <w:r>
        <w:t>微毛介导者</w:t>
      </w:r>
      <w:r>
        <w:t xml:space="preserve"> </w:t>
      </w:r>
      <w:r>
        <w:t>，其鳞翅目宿主</w:t>
      </w:r>
      <w:r>
        <w:t xml:space="preserve"> </w:t>
      </w:r>
      <w:r>
        <w:t>粘虫</w:t>
      </w:r>
      <w:r>
        <w:t xml:space="preserve"> </w:t>
      </w:r>
      <w:r>
        <w:t>和</w:t>
      </w:r>
      <w:r>
        <w:t xml:space="preserve"> </w:t>
      </w:r>
      <w:r>
        <w:t>棉铃虫</w:t>
      </w:r>
      <w:r>
        <w:t xml:space="preserve"> </w:t>
      </w:r>
      <w:r>
        <w:t>和 M. mediator bracovirus (MmBV)，以阐明 Bracoviral PIF 的功能。我们在 MmBV 病毒粒子的包膜上发现了约 720 kDa 的 PIF 复合物。除了 PIF0-4、PIF6 和 PIF8 之外，我们还鉴定了 MmBV PIF 复合物中的另外两种蛋白质：PIF5-3 和黄蜂编码的含有 β-螺旋桨结构域的蛋白质（名为 P52）。另外两个 PIF5 旁系同源物（PIF5-1 和 PIF5-2）与 PIF 复合物无关。敲除 PIF 复合物中的任何成分都会导致降解，这表明所有成分对于稳定性都至关重要。使用 MmBV 的表达</w:t>
      </w:r>
      <w:r>
        <w:t xml:space="preserve"> </w:t>
      </w:r>
      <w:r>
        <w:t>锚蛋白</w:t>
      </w:r>
      <w:r>
        <w:t xml:space="preserve"> </w:t>
      </w:r>
      <w:r>
        <w:t>基因作为标记，我们确定 MmBV PIF 对于宿主幼虫的全身感染至关重要。敲低任何 PIF 复合体成分或 PIF5-1 和 PIF5- 的双重沉默</w:t>
      </w:r>
    </w:p>
    <w:p>
      <w:pPr>
        <w:spacing w:before="0" w:after="200" w:lineRule="auto" w:line="276"/>
      </w:pPr>
      <w:r>
        <w:rPr>
          <w:b/>
        </w:rPr>
        <w:t xml:space="preserve">Abstract (EN): </w:t>
      </w:r>
      <w:r>
        <w:t>Many parasitoid wasps in the family Braconidae rely on bracoviruses to parasitize lepidopteran hosts. Bracoviruses evolved from a virus in the family</w:t>
      </w:r>
      <w:r>
        <w:t xml:space="preserve"> </w:t>
      </w:r>
      <w:r>
        <w:t>Nudiviridae</w:t>
      </w:r>
      <w:r>
        <w:t xml:space="preserve"> </w:t>
      </w:r>
      <w:r>
        <w:t>, while nudiviruses are closely related to baculoviruses. A per os infectivity factor (PIF) complex is essential for oral infection of hosts by baculoviruses. Bracoviruses encode 8 PIF homologs but have no per os infection route because wasps inject virions into hosts. Thus, the mechanism underlying how bracoviruses enter lepidopteran host cells is unknown. Here we used the parasitoid</w:t>
      </w:r>
      <w:r>
        <w:t xml:space="preserve"> </w:t>
      </w:r>
      <w:r>
        <w:t>Microplitis mediator</w:t>
      </w:r>
      <w:r>
        <w:t xml:space="preserve"> </w:t>
      </w:r>
      <w:r>
        <w:t>, its lepidopteran hosts</w:t>
      </w:r>
      <w:r>
        <w:t xml:space="preserve"> </w:t>
      </w:r>
      <w:r>
        <w:t>Mythimna separata</w:t>
      </w:r>
      <w:r>
        <w:t xml:space="preserve"> </w:t>
      </w:r>
      <w:r>
        <w:t>and</w:t>
      </w:r>
      <w:r>
        <w:t xml:space="preserve"> </w:t>
      </w:r>
      <w:r>
        <w:t>Helicoverpa armigera</w:t>
      </w:r>
      <w:r>
        <w:t xml:space="preserve"> </w:t>
      </w:r>
      <w:r>
        <w:t>, and M. mediator bracovirus (MmBV) to elucidate the function of bracoviral PIFs. We identified a ~720-kDa PIF complex on the envelope of MmBV virions. In addition to PIF0-4, PIF6, and PIF8, we identified two other proteins in the MmBV PIF complex: PIF5-3 and a wasp encoded β-propeller domain-containing protein named P52. The other two PIF5 paralogs (PIF5-1 and PIF5-2) were not associated with the PIF complex. Knocking down any component in the PIF complex resulted in degradation, which suggested all components are essential for stability. Using expression of an MmBV</w:t>
      </w:r>
      <w:r>
        <w:t xml:space="preserve"> </w:t>
      </w:r>
      <w:r>
        <w:t>ankyrin</w:t>
      </w:r>
      <w:r>
        <w:t xml:space="preserve"> </w:t>
      </w:r>
      <w:r>
        <w:t>gene as a marker, we determined that MmBV PIFs are essential for systemic infection of host larvae. Knocking down any PIF complex component or double silencing of PIF5-1 and PIF5-2 also resulted in failed parasitism as measured by no survival of</w:t>
      </w:r>
      <w:r>
        <w:t xml:space="preserve"> </w:t>
      </w:r>
      <w:r>
        <w:t>M. mediator</w:t>
      </w:r>
      <w:r>
        <w:t xml:space="preserve"> </w:t>
      </w:r>
      <w:r>
        <w:t>offspring. Altogether, our results demonstrate an essential role for the MmBV PIFs in systemic infection of a lepidopteran host.</w:t>
      </w:r>
    </w:p>
    <w:p>
      <w:pPr>
        <w:spacing w:before="120" w:after="120"/>
      </w:pPr>
      <w:r>
        <w:rPr>
          <w:sz w:val="18"/>
        </w:rPr>
        <w:t>——————————————————————————————————————————————————————————————————————</w:t>
      </w:r>
    </w:p>
    <w:p>
      <w:pPr>
        <w:spacing w:before="160" w:after="40" w:line="240" w:lineRule="auto"/>
      </w:pPr>
      <w:r>
        <w:rPr>
          <w:b/>
        </w:rPr>
        <w:t xml:space="preserve">[446] </w:t>
      </w:r>
      <w:hyperlink r:id="rId1026">
        <w:r>
          <w:rPr>
            <w:color w:val="1155CC"/>
            <w:u w:val="single"/>
          </w:rPr>
          <w:t>绘制对话图：解码肺泡干与生态位的相互作用</w:t>
        </w:r>
      </w:hyperlink>
    </w:p>
    <w:p>
      <w:pPr>
        <w:spacing w:before="0" w:after="80"/>
      </w:pPr>
      <w:r>
        <w:rPr>
          <w:i/>
          <w:sz w:val="20"/>
        </w:rPr>
        <w:t>EN: Mapping the dialogue: Decoding alveolar stem–niche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27">
        <w:r>
          <w:rPr>
            <w:color w:val="1155CC"/>
            <w:u w:val="single"/>
          </w:rPr>
          <w:t>10.1073/pnas.2606113123</w:t>
        </w:r>
      </w:hyperlink>
    </w:p>
    <w:p>
      <w:pPr>
        <w:spacing w:before="0" w:after="120"/>
      </w:pPr>
      <w:r>
        <w:rPr>
          <w:b/>
        </w:rPr>
        <w:t xml:space="preserve">Notes: </w:t>
      </w:r>
      <w:r>
        <w:t>abstract_source=crossref</w:t>
      </w:r>
    </w:p>
    <w:p>
      <w:pPr>
        <w:spacing w:before="0" w:after="80" w:lineRule="auto" w:line="276"/>
      </w:pPr>
      <w:r>
        <w:rPr>
          <w:b/>
        </w:rPr>
        <w:t xml:space="preserve">摘要（ZH）: </w:t>
      </w:r>
      <w:r>
        <w:t>虽然细胞图谱揭示了显着的表型多样性，但细胞如何驾驭这种景观以影响组织行为仍然知之甚少。我们提出了一个肺泡球筛选平台，用于研究肺干细胞与其成纤维细胞生态位之间的相互作用。我们通过成像评估了 201 个候选基因在干细胞中的作用，然后使用嵌合 RNAseq 分析在转录组范围内了解对干细胞的细胞自主效应和对生态位的非细胞自主效应。该表型转录组图谱揭示了细胞状态和调节增殖、代谢和免疫信号传导的途径。值得注意的是，干细胞影响成纤维细胞的疤痕形成和免疫程序。这种损伤反应取决于干细胞的特性；损失</w:t>
      </w:r>
      <w:r>
        <w:t xml:space="preserve"> </w:t>
      </w:r>
      <w:r>
        <w:t>NKX2.1</w:t>
      </w:r>
      <w:r>
        <w:t xml:space="preserve"> </w:t>
      </w:r>
      <w:r>
        <w:t>，编码赋予肺上皮身份的转录因子，重新连接干细胞-生态位相互作用，并且比消除癌症基因具有更大的非细胞自主效应</w:t>
      </w:r>
      <w:r>
        <w:t xml:space="preserve"> </w:t>
      </w:r>
      <w:r>
        <w:t>Trp53、Egfr、</w:t>
      </w:r>
      <w:r>
        <w:t xml:space="preserve"> </w:t>
      </w:r>
      <w:r>
        <w:t>或</w:t>
      </w:r>
      <w:r>
        <w:t xml:space="preserve"> </w:t>
      </w:r>
      <w:r>
        <w:t>cdkn2b</w:t>
      </w:r>
      <w:r>
        <w:t xml:space="preserve"> </w:t>
      </w:r>
      <w:r>
        <w:t>。我们的研究强调了功能图谱如何补充描述性方法揭示的细胞多样性。</w:t>
      </w:r>
    </w:p>
    <w:p>
      <w:pPr>
        <w:spacing w:before="0" w:after="200" w:lineRule="auto" w:line="276"/>
      </w:pPr>
      <w:r>
        <w:rPr>
          <w:b/>
        </w:rPr>
        <w:t xml:space="preserve">Abstract (EN): </w:t>
      </w:r>
      <w:r>
        <w:t>While cellular atlases have revealed remarkable phenotypic diversity, how cells navigate this landscape to influence tissue behavior remains poorly understood. We present an alveolosphere screening platform for investigating interactions between lung stem cells and their fibroblast niche. We assessed the role of 201 candidate genes in stem cells via imaging, then used chimeric RNAseq analysis for a transcriptome-wide understanding of cell-autonomous effects on stem cells and non-cell-autonomous effects on the niche. This phenome-transcriptome map uncovered cellular states and pathways regulating proliferation, metabolism, and immune signaling. Notably, stem cells influenced scar-forming and immune programs in fibroblasts. This injury response was dependent on stem cell identity; loss of</w:t>
      </w:r>
      <w:r>
        <w:t xml:space="preserve"> </w:t>
      </w:r>
      <w:r>
        <w:t>Nkx2.1</w:t>
      </w:r>
      <w:r>
        <w:t xml:space="preserve"> </w:t>
      </w:r>
      <w:r>
        <w:t>, encoding the transcription factor conferring lung epithelial identity, rewired stem cell–niche interactions and had a greater non-cell-autonomous effect than eliminating the cancer genes</w:t>
      </w:r>
      <w:r>
        <w:t xml:space="preserve"> </w:t>
      </w:r>
      <w:r>
        <w:t>Trp53, Egfr,</w:t>
      </w:r>
      <w:r>
        <w:t xml:space="preserve"> </w:t>
      </w:r>
      <w:r>
        <w:t>or</w:t>
      </w:r>
      <w:r>
        <w:t xml:space="preserve"> </w:t>
      </w:r>
      <w:r>
        <w:t>Cdkn2b</w:t>
      </w:r>
      <w:r>
        <w:t xml:space="preserve"> </w:t>
      </w:r>
      <w:r>
        <w:t>. Our study highlights how functional atlases complement the cellular diversity revealed by descriptive methods.</w:t>
      </w:r>
    </w:p>
    <w:p>
      <w:pPr>
        <w:spacing w:before="120" w:after="120"/>
      </w:pPr>
      <w:r>
        <w:rPr>
          <w:sz w:val="18"/>
        </w:rPr>
        <w:t>——————————————————————————————————————————————————————————————————————</w:t>
      </w:r>
    </w:p>
    <w:p>
      <w:pPr>
        <w:spacing w:before="160" w:after="40" w:line="240" w:lineRule="auto"/>
      </w:pPr>
      <w:r>
        <w:rPr>
          <w:b/>
        </w:rPr>
        <w:t xml:space="preserve">[447] </w:t>
      </w:r>
      <w:hyperlink r:id="rId1028">
        <w:r>
          <w:rPr>
            <w:color w:val="1155CC"/>
            <w:u w:val="single"/>
          </w:rPr>
          <w:t>将肿瘤细胞体内工程改造为具有全抗原谱的通用“一体化”癌症疫苗</w:t>
        </w:r>
      </w:hyperlink>
    </w:p>
    <w:p>
      <w:pPr>
        <w:spacing w:before="0" w:after="80"/>
      </w:pPr>
      <w:r>
        <w:rPr>
          <w:i/>
          <w:sz w:val="20"/>
        </w:rPr>
        <w:t>EN: In vivo engineering tumor cells to a universal “all-in-one” cancer vaccine with full antigen spectrum</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29">
        <w:r>
          <w:rPr>
            <w:color w:val="1155CC"/>
            <w:u w:val="single"/>
          </w:rPr>
          <w:t>10.1126/sciadv.aee5201</w:t>
        </w:r>
      </w:hyperlink>
    </w:p>
    <w:p>
      <w:pPr>
        <w:spacing w:before="0" w:after="120"/>
      </w:pPr>
      <w:r>
        <w:rPr>
          <w:b/>
        </w:rPr>
        <w:t xml:space="preserve">Notes: </w:t>
      </w:r>
      <w:r>
        <w:t>abstract_source=crossref</w:t>
      </w:r>
    </w:p>
    <w:p>
      <w:pPr>
        <w:spacing w:before="0" w:after="80" w:lineRule="auto" w:line="276"/>
      </w:pPr>
      <w:r>
        <w:rPr>
          <w:b/>
        </w:rPr>
        <w:t xml:space="preserve">摘要（ZH）: </w:t>
      </w:r>
      <w:r>
        <w:t>癌症疫苗提供了一种很有前途的策略，可以启动从头的 T 细胞反应或增强现有的反应，可以独立发挥作用，也可以与 T 细胞调节疗法协同作用，以减轻肿瘤负担。癌症疫苗的临床开发面临着抗原覆盖范围有限、抗原呈递不足、免疫抑制微环境以及个性化疫苗的可用性等挑战。在这项研究中，我们通过 CIITA、NLRC5、CD80 和 IL-2 的共同传递将肿瘤细胞编程为抗原呈递细胞 (APC)，开发了一种具有全面抗原谱覆盖的通用“一体化”癌细胞衍生疫苗 (UniCVac)。这种重编程模仿专业的 APC 表型，同时提供 HLA-I 和 HLA-II 抗原呈递、共刺激和 T 细胞增殖信号。这些肿瘤来源的 UniCVac 可以直接激活 CD4</w:t>
      </w:r>
      <w:r>
        <w:t xml:space="preserve"> </w:t>
      </w:r>
      <w:r>
        <w:t>+</w:t>
      </w:r>
      <w:r>
        <w:t xml:space="preserve"> </w:t>
      </w:r>
      <w:r>
        <w:t>和CD8</w:t>
      </w:r>
      <w:r>
        <w:t xml:space="preserve"> </w:t>
      </w:r>
      <w:r>
        <w:t>+</w:t>
      </w:r>
      <w:r>
        <w:t xml:space="preserve"> </w:t>
      </w:r>
      <w:r>
        <w:t>体外 T 细胞，独立于 APC。此外，它们的共刺激和 T 细胞生长刺激能力可产生卓越的 CD4</w:t>
      </w:r>
      <w:r>
        <w:t xml:space="preserve"> </w:t>
      </w:r>
      <w:r>
        <w:t>+</w:t>
      </w:r>
      <w:r>
        <w:t xml:space="preserve"> </w:t>
      </w:r>
      <w:r>
        <w:t>和CD8</w:t>
      </w:r>
      <w:r>
        <w:t xml:space="preserve"> </w:t>
      </w:r>
      <w:r>
        <w:t>+</w:t>
      </w:r>
      <w:r>
        <w:t xml:space="preserve"> </w:t>
      </w:r>
      <w:r>
        <w:t>T 细胞活化和增殖与传统 APC 相当，并具有增强的 PI3K-AKT 通路激活。单细胞转录组分析证实了 UniCVac 激活的 T 细胞和传统 APC 激活的 T 细胞之间细胞亚型的相似性。在小鼠模型中，UniCVac 疫苗接种将肿瘤微环境从免疫抑制重新编程为免疫抑制。</w:t>
      </w:r>
    </w:p>
    <w:p>
      <w:pPr>
        <w:spacing w:before="0" w:after="200" w:lineRule="auto" w:line="276"/>
      </w:pPr>
      <w:r>
        <w:rPr>
          <w:b/>
        </w:rPr>
        <w:t xml:space="preserve">Abstract (EN): </w:t>
      </w:r>
      <w:r>
        <w:t>Cancer vaccines offer a promising strategy to initiate de novo T cell responses or enhance existing ones, either functioning independently or synergizing with T cell–modulating therapeutics to reduce tumor burden. The clinical development of cancer vaccines faces challenges such as limited antigen coverage, insufficient antigen presentation, immune suppressive microenvironment, and the availability of personalized vaccines. In this study, we developed a universal “all-in-one” cancer cell–derived vaccine (UniCVac) with comprehensive antigen spectrum coverage by programming tumor cells into antigen-presenting cells (APCs) through the codelivery of CIITA, NLRC5, CD80, and IL-2. This reprogramming mimics the professional APC phenotype, providing simultaneous HLA-I and HLA-II antigen presentation, costimulation, and T cell proliferation signals. These tumor-derived UniCVac can directly activate both CD4</w:t>
      </w:r>
      <w:r>
        <w:t xml:space="preserve"> </w:t>
      </w:r>
      <w:r>
        <w:t>+</w:t>
      </w:r>
      <w:r>
        <w:t xml:space="preserve"> </w:t>
      </w:r>
      <w:r>
        <w:t>and CD8</w:t>
      </w:r>
      <w:r>
        <w:t xml:space="preserve"> </w:t>
      </w:r>
      <w:r>
        <w:t>+</w:t>
      </w:r>
      <w:r>
        <w:t xml:space="preserve"> </w:t>
      </w:r>
      <w:r>
        <w:t>T cells in vitro, independent of APCs. In addition, their costimulation and T cell growth-stimulating capabilities result in superior CD4</w:t>
      </w:r>
      <w:r>
        <w:t xml:space="preserve"> </w:t>
      </w:r>
      <w:r>
        <w:t>+</w:t>
      </w:r>
      <w:r>
        <w:t xml:space="preserve"> </w:t>
      </w:r>
      <w:r>
        <w:t>and CD8</w:t>
      </w:r>
      <w:r>
        <w:t xml:space="preserve"> </w:t>
      </w:r>
      <w:r>
        <w:t>+</w:t>
      </w:r>
      <w:r>
        <w:t xml:space="preserve"> </w:t>
      </w:r>
      <w:r>
        <w:t>T cell activation and proliferation comparable to traditional APCs, with enhanced PI3K-AKT pathways activation. Single-cell transcriptome analysis confirmed the similarity in cellular subtypes between UniCVac-activated and traditional APC-activated T cells. In mouse models, the UniCVac vaccination reprogramed the tumor microenvironment from immunosuppressive to immune-permissive, induced robust CD4</w:t>
      </w:r>
      <w:r>
        <w:t xml:space="preserve"> </w:t>
      </w:r>
      <w:r>
        <w:t>+</w:t>
      </w:r>
      <w:r>
        <w:t xml:space="preserve"> </w:t>
      </w:r>
      <w:r>
        <w:t>and CD8</w:t>
      </w:r>
      <w:r>
        <w:t xml:space="preserve"> </w:t>
      </w:r>
      <w:r>
        <w:t>+</w:t>
      </w:r>
      <w:r>
        <w:t xml:space="preserve"> </w:t>
      </w:r>
      <w:r>
        <w:t>T cell expansion in both preventive and therapeutic tumor models, and achieved complete tumor regression in vivo. Our approach provides a platform for the development of universal cancer vaccines with full antigen spectrum coverage and the ability to directly activate both CD4</w:t>
      </w:r>
      <w:r>
        <w:t xml:space="preserve"> </w:t>
      </w:r>
      <w:r>
        <w:t>+</w:t>
      </w:r>
      <w:r>
        <w:t xml:space="preserve"> </w:t>
      </w:r>
      <w:r>
        <w:t>and CD8</w:t>
      </w:r>
      <w:r>
        <w:t xml:space="preserve"> </w:t>
      </w:r>
      <w:r>
        <w:t>+</w:t>
      </w:r>
      <w:r>
        <w:t xml:space="preserve"> </w:t>
      </w:r>
      <w:r>
        <w:t>T cells, offering potential combinatorial opportunities with existing T cell–based immunotherapies against cancer.</w:t>
      </w:r>
    </w:p>
    <w:p>
      <w:pPr>
        <w:spacing w:before="120" w:after="120"/>
      </w:pPr>
      <w:r>
        <w:rPr>
          <w:sz w:val="18"/>
        </w:rPr>
        <w:t>——————————————————————————————————————————————————————————————————————</w:t>
      </w:r>
    </w:p>
    <w:p>
      <w:pPr>
        <w:spacing w:before="160" w:after="40" w:line="240" w:lineRule="auto"/>
      </w:pPr>
      <w:r>
        <w:rPr>
          <w:b/>
        </w:rPr>
        <w:t xml:space="preserve">[448] </w:t>
      </w:r>
      <w:hyperlink r:id="rId1030">
        <w:r>
          <w:rPr>
            <w:color w:val="1155CC"/>
            <w:u w:val="single"/>
          </w:rPr>
          <w:t>光子任意陈向量</w:t>
        </w:r>
      </w:hyperlink>
    </w:p>
    <w:p>
      <w:pPr>
        <w:spacing w:before="0" w:after="80"/>
      </w:pPr>
      <w:r>
        <w:rPr>
          <w:i/>
          <w:sz w:val="20"/>
        </w:rPr>
        <w:t>EN: Photonic arbitrary Chern vectors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31">
        <w:r>
          <w:rPr>
            <w:color w:val="1155CC"/>
            <w:u w:val="single"/>
          </w:rPr>
          <w:t>10.1126/sciadv.aef3784</w:t>
        </w:r>
      </w:hyperlink>
    </w:p>
    <w:p>
      <w:pPr>
        <w:spacing w:before="0" w:after="120"/>
      </w:pPr>
      <w:r>
        <w:rPr>
          <w:b/>
        </w:rPr>
        <w:t xml:space="preserve">Notes: </w:t>
      </w:r>
      <w:r>
        <w:t>abstract_source=crossref</w:t>
      </w:r>
    </w:p>
    <w:p>
      <w:pPr>
        <w:spacing w:before="0" w:after="80" w:lineRule="auto" w:line="276"/>
      </w:pPr>
      <w:r>
        <w:rPr>
          <w:b/>
        </w:rPr>
        <w:t xml:space="preserve">摘要（ZH）: </w:t>
      </w:r>
      <w:r>
        <w:t>三维 (3D) 陈绝缘体的标志特征是拓扑陈矢量，</w:t>
      </w:r>
      <w:r>
        <w:t xml:space="preserve"> </w:t>
      </w:r>
      <w:r>
        <w:t>C</w:t>
      </w:r>
      <w:r>
        <w:t xml:space="preserve"> </w:t>
      </w:r>
      <w:r>
        <w:t>=（</w:t>
      </w:r>
      <w:r>
        <w:t xml:space="preserve"> </w:t>
      </w:r>
      <w:r>
        <w:t>C</w:t>
      </w:r>
      <w:r>
        <w:rPr>
          <w:vertAlign w:val="subscript"/>
        </w:rPr>
        <w:t>1</w:t>
      </w:r>
      <w:r>
        <w:t>,</w:t>
      </w:r>
      <w:r>
        <w:t xml:space="preserve"> </w:t>
      </w:r>
      <w:r>
        <w:t>C</w:t>
      </w:r>
      <w:r>
        <w:rPr>
          <w:vertAlign w:val="subscript"/>
        </w:rPr>
        <w:t>2</w:t>
      </w:r>
      <w:r>
        <w:t>,</w:t>
      </w:r>
      <w:r>
        <w:t xml:space="preserve"> </w:t>
      </w:r>
      <w:r>
        <w:t>C</w:t>
      </w:r>
      <w:r>
        <w:rPr>
          <w:vertAlign w:val="subscript"/>
        </w:rPr>
        <w:t>3</w:t>
      </w:r>
      <w:r>
        <w:t>），它将著名的 Chern 型块边对应从 2D 系统扩展到 3D 系统。然而，拓扑陈向量迄今为止仅限于具有单个非零分量的最简单形式，</w:t>
      </w:r>
      <w:r>
        <w:t xml:space="preserve"> </w:t>
      </w:r>
      <w:r>
        <w:t>C</w:t>
      </w:r>
      <w:r>
        <w:t xml:space="preserve"> </w:t>
      </w:r>
      <w:r>
        <w:t>=（0, 0,</w:t>
      </w:r>
      <w:r>
        <w:t xml:space="preserve"> </w:t>
      </w:r>
      <w:r>
        <w:t>C</w:t>
      </w:r>
      <w:r>
        <w:rPr>
          <w:vertAlign w:val="subscript"/>
        </w:rPr>
        <w:t>3</w:t>
      </w:r>
      <w:r>
        <w:t>），这限制了手性表面态仅出现在沿着陈矢量方向具有非手性传输的四个侧面上。在这里，我们从理论上提出并实验实现了具有陈矢量的 3D 光子陈绝缘体</w:t>
      </w:r>
      <w:r>
        <w:t xml:space="preserve"> </w:t>
      </w:r>
      <w:r>
        <w:t>C</w:t>
      </w:r>
      <w:r>
        <w:t xml:space="preserve"> </w:t>
      </w:r>
      <w:r>
        <w:t>= (1, 1, -1) 在倾斜的旋磁光子晶体中。其多个非零分量使得所有六个晶体表面上都具有手性表面态，在任意方向上表现出真正的手性传输以及铰链处的非互易拓扑负折射或正折射。此外，我们证明可以通过超晶胞调制实现任意陈向量，从而实现单晶体内手性和环面结或链接表面态的多模式传输。这项工作为拓扑陈矢量建立了一个全面的框架，并为非互易光子器件开辟了可能性。</w:t>
      </w:r>
    </w:p>
    <w:p>
      <w:pPr>
        <w:spacing w:before="0" w:after="200" w:lineRule="auto" w:line="276"/>
      </w:pPr>
      <w:r>
        <w:rPr>
          <w:b/>
        </w:rPr>
        <w:t xml:space="preserve">Abstract (EN): </w:t>
      </w:r>
      <w:r>
        <w:t>The hallmark feature of three-dimensional (3D) Chern insulators is the topological Chern vector,</w:t>
      </w:r>
      <w:r>
        <w:t xml:space="preserve"> </w:t>
      </w:r>
      <w:r>
        <w:t>C</w:t>
      </w:r>
      <w:r>
        <w:t xml:space="preserve"> </w:t>
      </w:r>
      <w:r>
        <w:t>= (</w:t>
      </w:r>
      <w:r>
        <w:t xml:space="preserve"> </w:t>
      </w:r>
      <w:r>
        <w:t>C</w:t>
      </w:r>
      <w:r>
        <w:rPr>
          <w:vertAlign w:val="subscript"/>
        </w:rPr>
        <w:t>1</w:t>
      </w:r>
      <w:r>
        <w:t>,</w:t>
      </w:r>
      <w:r>
        <w:t xml:space="preserve"> </w:t>
      </w:r>
      <w:r>
        <w:t>C</w:t>
      </w:r>
      <w:r>
        <w:rPr>
          <w:vertAlign w:val="subscript"/>
        </w:rPr>
        <w:t>2</w:t>
      </w:r>
      <w:r>
        <w:t>,</w:t>
      </w:r>
      <w:r>
        <w:t xml:space="preserve"> </w:t>
      </w:r>
      <w:r>
        <w:t>C</w:t>
      </w:r>
      <w:r>
        <w:rPr>
          <w:vertAlign w:val="subscript"/>
        </w:rPr>
        <w:t>3</w:t>
      </w:r>
      <w:r>
        <w:t>), which extends the celebrated Chern-type bulk-edge correspondence from 2D to 3D systems. However, topological Chern vectors have thus far been limited to the simplest form with a single nonzero component,</w:t>
      </w:r>
      <w:r>
        <w:t xml:space="preserve"> </w:t>
      </w:r>
      <w:r>
        <w:t>C</w:t>
      </w:r>
      <w:r>
        <w:t xml:space="preserve"> </w:t>
      </w:r>
      <w:r>
        <w:t>= (0, 0,</w:t>
      </w:r>
      <w:r>
        <w:t xml:space="preserve"> </w:t>
      </w:r>
      <w:r>
        <w:t>C</w:t>
      </w:r>
      <w:r>
        <w:rPr>
          <w:vertAlign w:val="subscript"/>
        </w:rPr>
        <w:t>3</w:t>
      </w:r>
      <w:r>
        <w:t>), which restricts chiral surface states to appear only on four side surfaces with nonchiral transport along the direction of the Chern vector. Here, we theoretically propose and experimentally realize a 3D photonic Chern insulator with a Chern vector</w:t>
      </w:r>
      <w:r>
        <w:t xml:space="preserve"> </w:t>
      </w:r>
      <w:r>
        <w:t>C</w:t>
      </w:r>
      <w:r>
        <w:t xml:space="preserve"> </w:t>
      </w:r>
      <w:r>
        <w:t>= (1, 1, −1) in a tilted gyromagnetic photonic crystal. Its multiple nonzero components enable chiral surface states on all six crystal surfaces, exhibiting genuine chiral transport in arbitrary directions and nonreciprocal topological negative or positive refraction at the hinges. Furthermore, we demonstrate that arbitrary Chern vectors can be achieved via supercell modulation, enabling multimodal transport of chiral and torus knot or link surface states within a single crystal. This work establishes a comprehensive framework for topological Chern vectors and opens possibilities for nonreciprocal photonic devices.</w:t>
      </w:r>
    </w:p>
    <w:p>
      <w:pPr>
        <w:spacing w:before="120" w:after="120"/>
      </w:pPr>
      <w:r>
        <w:rPr>
          <w:sz w:val="18"/>
        </w:rPr>
        <w:t>——————————————————————————————————————————————————————————————————————</w:t>
      </w:r>
    </w:p>
    <w:p>
      <w:pPr>
        <w:spacing w:before="160" w:after="40" w:line="240" w:lineRule="auto"/>
      </w:pPr>
      <w:r>
        <w:rPr>
          <w:b/>
        </w:rPr>
        <w:t xml:space="preserve">[449] </w:t>
      </w:r>
      <w:hyperlink r:id="rId1032">
        <w:r>
          <w:rPr>
            <w:color w:val="1155CC"/>
            <w:u w:val="single"/>
          </w:rPr>
          <w:t>沟通珊瑚：全球珊瑚礁行动的艺术和科学</w:t>
        </w:r>
      </w:hyperlink>
    </w:p>
    <w:p>
      <w:pPr>
        <w:spacing w:before="0" w:after="80"/>
      </w:pPr>
      <w:r>
        <w:rPr>
          <w:i/>
          <w:sz w:val="20"/>
        </w:rPr>
        <w:t>EN: Communicating coral: Art and science for global reef action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33">
        <w:r>
          <w:rPr>
            <w:color w:val="1155CC"/>
            <w:u w:val="single"/>
          </w:rPr>
          <w:t>10.1126/sciadv.aej6847</w:t>
        </w:r>
      </w:hyperlink>
    </w:p>
    <w:p>
      <w:pPr>
        <w:spacing w:before="0" w:after="120"/>
      </w:pPr>
      <w:r>
        <w:rPr>
          <w:b/>
        </w:rPr>
        <w:t xml:space="preserve">Notes: </w:t>
      </w:r>
      <w:r>
        <w:t>abstract_source=crossref</w:t>
      </w:r>
    </w:p>
    <w:p>
      <w:pPr>
        <w:spacing w:before="0" w:after="80" w:lineRule="auto" w:line="276"/>
      </w:pPr>
      <w:r>
        <w:rPr>
          <w:b/>
        </w:rPr>
        <w:t xml:space="preserve">摘要（ZH）: </w:t>
      </w:r>
      <w:r>
        <w:t>珊瑚礁正在经历前所未有的快速衰退。艺术可以充当吸引观众、影响政策和激发全球行动的灯塔。</w:t>
      </w:r>
    </w:p>
    <w:p>
      <w:pPr>
        <w:spacing w:before="0" w:after="200" w:lineRule="auto" w:line="276"/>
      </w:pPr>
      <w:r>
        <w:rPr>
          <w:b/>
        </w:rPr>
        <w:t xml:space="preserve">Abstract (EN): </w:t>
      </w:r>
      <w:r>
        <w:t>Coral reefs are experiencing unprecedented rapid decline. Art can act as a beacon to engage audiences, influence policy, and inspire global action.</w:t>
      </w:r>
    </w:p>
    <w:p>
      <w:pPr>
        <w:spacing w:before="120" w:after="120"/>
      </w:pPr>
      <w:r>
        <w:rPr>
          <w:sz w:val="18"/>
        </w:rPr>
        <w:t>——————————————————————————————————————————————————————————————————————</w:t>
      </w:r>
    </w:p>
    <w:p>
      <w:pPr>
        <w:spacing w:before="160" w:after="40" w:line="240" w:lineRule="auto"/>
      </w:pPr>
      <w:r>
        <w:rPr>
          <w:b/>
        </w:rPr>
        <w:t xml:space="preserve">[450] </w:t>
      </w:r>
      <w:hyperlink r:id="rId1034">
        <w:r>
          <w:rPr>
            <w:color w:val="1155CC"/>
            <w:u w:val="single"/>
          </w:rPr>
          <w:t>机械性能的权衡会影响尖牙、毒刺和刺的多样性</w:t>
        </w:r>
      </w:hyperlink>
    </w:p>
    <w:p>
      <w:pPr>
        <w:spacing w:before="0" w:after="80"/>
      </w:pPr>
      <w:r>
        <w:rPr>
          <w:i/>
          <w:sz w:val="20"/>
        </w:rPr>
        <w:t>EN: Trade-offs in mechanical performance influence the diversity of fangs, stingers, and spines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35">
        <w:r>
          <w:rPr>
            <w:color w:val="1155CC"/>
            <w:u w:val="single"/>
          </w:rPr>
          <w:t>10.1126/sciadv.aec5395</w:t>
        </w:r>
      </w:hyperlink>
    </w:p>
    <w:p>
      <w:pPr>
        <w:spacing w:before="0" w:after="120"/>
      </w:pPr>
      <w:r>
        <w:rPr>
          <w:b/>
        </w:rPr>
        <w:t xml:space="preserve">Notes: </w:t>
      </w:r>
      <w:r>
        <w:t>abstract_source=crossref</w:t>
      </w:r>
    </w:p>
    <w:p>
      <w:pPr>
        <w:spacing w:before="0" w:after="80" w:lineRule="auto" w:line="276"/>
      </w:pPr>
      <w:r>
        <w:rPr>
          <w:b/>
        </w:rPr>
        <w:t xml:space="preserve">摘要（ZH）: </w:t>
      </w:r>
      <w:r>
        <w:t>尖牙、毒刺和刺等刺穿结构在所有生物领域都已趋同进化。尽管表面上形式相似，但这些特征的多样性令人质疑简单的几何定律是否可以完全描述它们的演化。我们通过工程学的视角来研究生物穿刺工具，以评估机械原理如何影响其本质上的多样性。将 140 多种生物体的生物穿刺工具绘制到机械信息性能图上表明，工具多样性很大程度上受到抗弯性和穿刺效率之间权衡的影响。生物体陷入这种权衡的情况部分与生物功能有关，但与工具的可替代性关系不大。我们的结果强调了生物穿刺系统进化适应物理定律施加的约束的多种途径。</w:t>
      </w:r>
    </w:p>
    <w:p>
      <w:pPr>
        <w:spacing w:before="0" w:after="200" w:lineRule="auto" w:line="276"/>
      </w:pPr>
      <w:r>
        <w:rPr>
          <w:b/>
        </w:rPr>
        <w:t xml:space="preserve">Abstract (EN): </w:t>
      </w:r>
      <w:r>
        <w:t>Puncturing structures such as fangs, stingers, and spines have evolved convergently across all biological realms. Although superficially similar in form, the diversity of these features calls into question whether simple geometric laws can fully describe their evolution. We examine biological puncture tools through the lens of engineering to evaluate how mechanical principles influence their diversity in nature. Plotting biological puncture tools from more than 140 organisms onto mechanically informed performance landscapes shows that tool diversity is heavily influenced by trade-offs between buckling resistance and puncture efficiency. Where an organism falls on this trade-off is partly related to biological function but shows little relation to the replaceability of the tool. Our results highlight multiple avenues for the evolutionary adaptation of biological puncture systems to constraints imposed by physical laws.</w:t>
      </w:r>
    </w:p>
    <w:p>
      <w:pPr>
        <w:spacing w:before="120" w:after="120"/>
      </w:pPr>
      <w:r>
        <w:rPr>
          <w:sz w:val="18"/>
        </w:rPr>
        <w:t>——————————————————————————————————————————————————————————————————————</w:t>
      </w:r>
    </w:p>
    <w:p>
      <w:pPr>
        <w:spacing w:before="160" w:after="40" w:line="240" w:lineRule="auto"/>
      </w:pPr>
      <w:r>
        <w:rPr>
          <w:b/>
        </w:rPr>
        <w:t xml:space="preserve">[451] </w:t>
      </w:r>
      <w:hyperlink r:id="rId1036">
        <w:r>
          <w:rPr>
            <w:color w:val="1155CC"/>
            <w:u w:val="single"/>
          </w:rPr>
          <w:t>具有胃肠道内具身记忆和逻辑功能的物理智能胶囊机器人</w:t>
        </w:r>
      </w:hyperlink>
    </w:p>
    <w:p>
      <w:pPr>
        <w:spacing w:before="0" w:after="80"/>
      </w:pPr>
      <w:r>
        <w:rPr>
          <w:i/>
          <w:sz w:val="20"/>
        </w:rPr>
        <w:t>EN: Physically intelligent capsule robots with embodied memory and logic in the gastrointestinal tract</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37">
        <w:r>
          <w:rPr>
            <w:color w:val="1155CC"/>
            <w:u w:val="single"/>
          </w:rPr>
          <w:t>10.1073/pnas.2605060123</w:t>
        </w:r>
      </w:hyperlink>
    </w:p>
    <w:p>
      <w:pPr>
        <w:spacing w:before="0" w:after="120"/>
      </w:pPr>
      <w:r>
        <w:rPr>
          <w:b/>
        </w:rPr>
        <w:t xml:space="preserve">Notes: </w:t>
      </w:r>
      <w:r>
        <w:t>abstract_source=crossref</w:t>
      </w:r>
    </w:p>
    <w:p>
      <w:pPr>
        <w:spacing w:before="0" w:after="80" w:lineRule="auto" w:line="276"/>
      </w:pPr>
      <w:r>
        <w:rPr>
          <w:b/>
        </w:rPr>
        <w:t xml:space="preserve">摘要（ZH）: </w:t>
      </w:r>
      <w:r>
        <w:t>微型医疗机器人为胃肠道 (GI) 的微创测量和干预提供了一种有前途的解决方案。胃肠道疾病的临床评估通常以基于阈值的生理指标为指导，包括压力、温度和 pH 值，这些指标激发了个性化医疗的事件触发策略。然而，识别稳态失调并实现原位治疗仍然具有挑战性，因为可摄入机器人系统必须在尺寸、功率和生物安全的严格限制下紧密集成传感、决策和驱动。受到无需神经处理的微生物自主性的启发，这项工作引入了物理智能胶囊机器人 (PI Capbots)，该机器人能够在胃肠道内进行稳态监测和有针对性的输送，而无需依赖集中电子控制。通过具体的刺激响应记忆和逻辑，PI Capbot 可以有效地将丰富、详细和冗余的生理信息提取为一小组适合体内环境操作的解耦和事件触发的输出。在每个 PI Capbot 中，多稳态超材料将腔内压力编码为机械记忆，可编程水凝胶实现正交传感和逻辑运算，螺旋纤维实现多模式运动。大型动物模型的离体和体内研究证明了 PI Capbot 的功效、稳健性和可重复性，凸显了其转化医学应用的潜力。</w:t>
      </w:r>
    </w:p>
    <w:p>
      <w:pPr>
        <w:spacing w:before="0" w:after="200" w:lineRule="auto" w:line="276"/>
      </w:pPr>
      <w:r>
        <w:rPr>
          <w:b/>
        </w:rPr>
        <w:t xml:space="preserve">Abstract (EN): </w:t>
      </w:r>
      <w:r>
        <w:t>Miniaturized medical robots offer a promising solution for minimally invasive measurements and interventions in the gastrointestinal (GI) tract. Clinical assessment of GI disorders is commonly guided by threshold-based physiological indicators, including pressure, temperature, and pH, which motivate event-triggered strategies for personalized medicine. However, identifying homeostatic dysregulation and enabling in-situ therapy remains challenging, because ingestible robotic systems must tightly integrate sensing, decision-making, and actuation under severe constraints of size, power, and biosafety. Inspired by the autonomy of microorganisms that operate without neural processing, this work introduces physically intelligent capsule robots (PI Capbots) that enable homeostatic monitoring and targeted delivery within the GI tract, without relying on centralized electronic control. Through embodied stimuli-responsive memory and logic, PI Capbots effectively distill rich, detailed, and redundant physiological information into a small set of decoupled and event-triggered outputs suitable for operations in in vivo environments. In each PI Capbot, multistable metamaterials encode intraluminal pressure as mechanical memory, programmable hydrogels implement orthogonal sensing and logic operations, and helical fibers enable multimodal locomotion. Ex vivo and in vivo studies in large animal models demonstrate the efficacy, robustness, and reproducibility of PI Capbots, highlighting its potential for their translational medical applications.</w:t>
      </w:r>
    </w:p>
    <w:p>
      <w:pPr>
        <w:spacing w:before="120" w:after="120"/>
      </w:pPr>
      <w:r>
        <w:rPr>
          <w:sz w:val="18"/>
        </w:rPr>
        <w:t>——————————————————————————————————————————————————————————————————————</w:t>
      </w:r>
    </w:p>
    <w:p>
      <w:pPr>
        <w:spacing w:before="160" w:after="40" w:line="240" w:lineRule="auto"/>
      </w:pPr>
      <w:r>
        <w:rPr>
          <w:b/>
        </w:rPr>
        <w:t xml:space="preserve">[452] </w:t>
      </w:r>
      <w:hyperlink r:id="rId1038">
        <w:r>
          <w:rPr>
            <w:color w:val="1155CC"/>
            <w:u w:val="single"/>
          </w:rPr>
          <w:t>Daniel Herschlag 的 QnAs</w:t>
        </w:r>
      </w:hyperlink>
    </w:p>
    <w:p>
      <w:pPr>
        <w:spacing w:before="0" w:after="80"/>
      </w:pPr>
      <w:r>
        <w:rPr>
          <w:i/>
          <w:sz w:val="20"/>
        </w:rPr>
        <w:t>EN: QnAs with Daniel Herschlag</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39">
        <w:r>
          <w:rPr>
            <w:color w:val="1155CC"/>
            <w:u w:val="single"/>
          </w:rPr>
          <w:t>10.1073/pnas.2621353123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1040">
        <w:r>
          <w:rPr>
            <w:color w:val="1155CC"/>
            <w:u w:val="single"/>
          </w:rPr>
          <w:t>细胞营养经济对浮游植物基因组大小进化的影响</w:t>
        </w:r>
      </w:hyperlink>
    </w:p>
    <w:p>
      <w:pPr>
        <w:spacing w:before="0" w:after="80"/>
      </w:pPr>
      <w:r>
        <w:rPr>
          <w:i/>
          <w:sz w:val="20"/>
        </w:rPr>
        <w:t>EN: Effect of cellular nutrient economy on the evolution of genome size in phytoplankton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41">
        <w:r>
          <w:rPr>
            <w:color w:val="1155CC"/>
            <w:u w:val="single"/>
          </w:rPr>
          <w:t>10.1126/sciadv.aee2207</w:t>
        </w:r>
      </w:hyperlink>
    </w:p>
    <w:p>
      <w:pPr>
        <w:spacing w:before="0" w:after="120"/>
      </w:pPr>
      <w:r>
        <w:rPr>
          <w:b/>
        </w:rPr>
        <w:t xml:space="preserve">Notes: </w:t>
      </w:r>
      <w:r>
        <w:t>abstract_source=crossref</w:t>
      </w:r>
    </w:p>
    <w:p>
      <w:pPr>
        <w:spacing w:before="0" w:after="80" w:lineRule="auto" w:line="276"/>
      </w:pPr>
      <w:r>
        <w:rPr>
          <w:b/>
        </w:rPr>
        <w:t xml:space="preserve">摘要（ZH）: </w:t>
      </w:r>
      <w:r>
        <w:t>基因组大小变异的起源仍然是进化生物学的一个中心问题。虽然能量成本已被提出通过插入和缺失（indels）的选择来影响基因组大小，但营养物质的可用性可能是浮游植物等初级生产者中更相关的限制。我们根据核苷酸的磷和氮成本以及细胞营养需求导出了插入缺失选择系数的表达式。选择系数估计表明，自然选择主导了遗传漂变，并有利于突变的固定，从而减少了营养需求低的浮游植物的基因组大小。模型预测得到比较基因组学和宏基因组分析的支持。总之，该模型为理解基因组大小进化提供了严格的定量框架，特别是在小细胞和寡营养环境中，强调了营养限制如何驱动基因组精简。</w:t>
      </w:r>
    </w:p>
    <w:p>
      <w:pPr>
        <w:spacing w:before="0" w:after="200" w:lineRule="auto" w:line="276"/>
      </w:pPr>
      <w:r>
        <w:rPr>
          <w:b/>
        </w:rPr>
        <w:t xml:space="preserve">Abstract (EN): </w:t>
      </w:r>
      <w:r>
        <w:t>The origin of genome size variation remains a central question in evolutionary biology. While energetic costs have been proposed to influence genome size through selection on insertions and deletions (indels), nutrient availability may be a more relevant constraint in primary producers such as phytoplankton. We derived an expression for the selection coefficient of indels based on the phosphorus and nitrogen costs of nucleotides and the cellular nutrient requirements. Selection coefficient estimates indicate that natural selection dominates over genetic drift and favors the fixation of mutations that reduce genome size in phytoplankton with low nutrient requirements. Model predictions are supported by comparative genomics and metagenomic analyses. Together, this model provides a rigorous quantitative framework for understanding genome size evolution, particularly in small cells and oligotrophic environments, highlighting how nutrient limitation drives genome streamlining.</w:t>
      </w:r>
    </w:p>
    <w:p>
      <w:pPr>
        <w:spacing w:before="120" w:after="120"/>
      </w:pPr>
      <w:r>
        <w:rPr>
          <w:sz w:val="18"/>
        </w:rPr>
        <w:t>——————————————————————————————————————————————————————————————————————</w:t>
      </w:r>
    </w:p>
    <w:p>
      <w:pPr>
        <w:spacing w:before="160" w:after="40" w:line="240" w:lineRule="auto"/>
      </w:pPr>
      <w:r>
        <w:rPr>
          <w:b/>
        </w:rPr>
        <w:t xml:space="preserve">[454] </w:t>
      </w:r>
      <w:hyperlink r:id="rId1042">
        <w:r>
          <w:rPr>
            <w:color w:val="1155CC"/>
            <w:u w:val="single"/>
          </w:rPr>
          <w:t>有针对性的海洋云增亮削弱了随后的厄尔尼诺现象</w:t>
        </w:r>
      </w:hyperlink>
    </w:p>
    <w:p>
      <w:pPr>
        <w:spacing w:before="0" w:after="80"/>
      </w:pPr>
      <w:r>
        <w:rPr>
          <w:i/>
          <w:sz w:val="20"/>
        </w:rPr>
        <w:t>EN: Targeted marine cloud brightening weakens subsequent El Niño</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43">
        <w:r>
          <w:rPr>
            <w:color w:val="1155CC"/>
            <w:u w:val="single"/>
          </w:rPr>
          <w:t>10.1126/sciadv.adx3012</w:t>
        </w:r>
      </w:hyperlink>
    </w:p>
    <w:p>
      <w:pPr>
        <w:spacing w:before="0" w:after="120"/>
      </w:pPr>
      <w:r>
        <w:rPr>
          <w:b/>
        </w:rPr>
        <w:t xml:space="preserve">Notes: </w:t>
      </w:r>
      <w:r>
        <w:t>abstract_source=crossref</w:t>
      </w:r>
    </w:p>
    <w:p>
      <w:pPr>
        <w:spacing w:before="0" w:after="80" w:lineRule="auto" w:line="276"/>
      </w:pPr>
      <w:r>
        <w:rPr>
          <w:b/>
        </w:rPr>
        <w:t xml:space="preserve">摘要（ZH）: </w:t>
      </w:r>
      <w:r>
        <w:t>极端事件通常归因于人为变暖和自然变化的复合影响。海洋云增亮（MCB）是一项旨在减少长期变暖的太阳能地球工程提案，理论上可以通过针对季节性到多年的现象（例如厄尔尼诺南方涛动（ENSO））来缓解极端情况。然而，区域 MCB 有意修改 ENSO 的有效性尚未经过测试。通过利用 2019-2020 年澳大利亚野火机会主义实验，我们证明可以通过模拟东南太平洋的 MCB 来重现“自然”的云增亮和随之而来的类似拉尼娜的反应。然后我们探讨 MCB 如何改变 1997-1998 年和 2015-2016 年的厄尔尼诺事件。在厄尔尼诺生长阶段启动的 MCB 会扰乱通常放大厄尔尼诺状况的比耶克内斯反馈，但这些影响在 MCB 终止后减弱。只有最早和最长的干预措施才能恢复中性 ENSO 条件并削弱遥相关。厄尔尼诺现象减弱可能会导致意想不到的后果，包括在目标厄尔尼诺现象之后出现较早的拉尼娜现象，尽管早期和短期干预可能会抵消这些影响。我们的结果支持将气候变化和遥相关作为太阳能地球工程研究的目标。</w:t>
      </w:r>
    </w:p>
    <w:p>
      <w:pPr>
        <w:spacing w:before="0" w:after="200" w:lineRule="auto" w:line="276"/>
      </w:pPr>
      <w:r>
        <w:rPr>
          <w:b/>
        </w:rPr>
        <w:t xml:space="preserve">Abstract (EN): </w:t>
      </w:r>
      <w:r>
        <w:t>Extreme events are often attributable to the compounding effects of anthropogenic warming and natural variability. Marine cloud brightening (MCB), a solar geoengineering proposal to reduce long-term warming, could theoretically mitigate extremes by instead targeting seasonal-to-multiyear phenomena, such as El Niño–Southern Oscillation (ENSO). Yet the effectiveness of regional MCB to deliberately modify ENSO has not been tested. By exploiting the 2019–2020 Australian wildfire opportunistic experiment, we demonstrate that the “natural” cloud brightening and ensuing La Niña–like response can be reproduced by simulating MCB in the southeast Pacific. We then explore how MCB modifies the 1997–1998 and 2015–2016 El Niño events. MCB initiated during the El Niño growth phase disrupts the Bjerknes feedbacks that normally amplify El Niño conditions, but those effects weaken after MCB is terminated. Only the earliest and longest interventions restore neutral ENSO conditions and weaken teleconnections. Weakening El Niño can result in unintended consequences including an earlier La Niña following the targeted El Niño, although early and short interventions may counter these effects. Our results support the consideration of climate variability and teleconnections as targets in solar geoengineering research.</w:t>
      </w:r>
    </w:p>
    <w:p>
      <w:pPr>
        <w:spacing w:before="120" w:after="120"/>
      </w:pPr>
      <w:r>
        <w:rPr>
          <w:sz w:val="18"/>
        </w:rPr>
        <w:t>——————————————————————————————————————————————————————————————————————</w:t>
      </w:r>
    </w:p>
    <w:p>
      <w:pPr>
        <w:spacing w:before="160" w:after="40" w:line="240" w:lineRule="auto"/>
      </w:pPr>
      <w:r>
        <w:rPr>
          <w:b/>
        </w:rPr>
        <w:t xml:space="preserve">[455] </w:t>
      </w:r>
      <w:hyperlink r:id="rId1044">
        <w:r>
          <w:rPr>
            <w:color w:val="1155CC"/>
            <w:u w:val="single"/>
          </w:rPr>
          <w:t>减数分裂 SYCP1 在乳腺癌中的兼职作用：DNA 修复、转录和耐药性的染色质结合调节因子</w:t>
        </w:r>
      </w:hyperlink>
    </w:p>
    <w:p>
      <w:pPr>
        <w:spacing w:before="0" w:after="80"/>
      </w:pPr>
      <w:r>
        <w:rPr>
          <w:i/>
          <w:sz w:val="20"/>
        </w:rPr>
        <w:t>EN: Moonlighting role of meiotic SYCP1 in breast cancer: A chromatin-bound regulator of DNA repair, transcription, and drug resistance</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45">
        <w:r>
          <w:rPr>
            <w:color w:val="1155CC"/>
            <w:u w:val="single"/>
          </w:rPr>
          <w:t>10.1126/sciadv.aea2067</w:t>
        </w:r>
      </w:hyperlink>
    </w:p>
    <w:p>
      <w:pPr>
        <w:spacing w:before="0" w:after="120"/>
      </w:pPr>
      <w:r>
        <w:rPr>
          <w:b/>
        </w:rPr>
        <w:t xml:space="preserve">Notes: </w:t>
      </w:r>
      <w:r>
        <w:t>abstract_source=crossref</w:t>
      </w:r>
    </w:p>
    <w:p>
      <w:pPr>
        <w:spacing w:before="0" w:after="80" w:lineRule="auto" w:line="276"/>
      </w:pPr>
      <w:r>
        <w:rPr>
          <w:b/>
        </w:rPr>
        <w:t xml:space="preserve">摘要（ZH）: </w:t>
      </w:r>
      <w:r>
        <w:t>维持基因组完整性对于细胞稳态至关重要，其扰动会导致肿瘤发生。在这里，我们发现了联会复合体蛋白 SYCP1 的意想不到的体细胞作用，该蛋白以前被认为是严格减数分裂特异性的，在包括乳腺癌在内的多种人类癌症中。通过综合基因组、蛋白质组和功能分析，我们证明 SYCP1 在肿瘤细胞中异常重新表达，它积极促进 DNA 损伤修复、细胞周期进展和恶性生长。 SYCP1 在调控元件处结合染色质，并直接控制控制基因组维护的转录程序，包括关键效应子，例如</w:t>
      </w:r>
      <w:r>
        <w:t xml:space="preserve"> </w:t>
      </w:r>
      <w:r>
        <w:t>CCNB1</w:t>
      </w:r>
      <w:r>
        <w:t xml:space="preserve"> </w:t>
      </w:r>
      <w:r>
        <w:t>,</w:t>
      </w:r>
      <w:r>
        <w:t xml:space="preserve"> </w:t>
      </w:r>
      <w:r>
        <w:t>PCNA</w:t>
      </w:r>
      <w:r>
        <w:t xml:space="preserve"> </w:t>
      </w:r>
      <w:r>
        <w:t>,</w:t>
      </w:r>
      <w:r>
        <w:t xml:space="preserve"> </w:t>
      </w:r>
      <w:r>
        <w:t>RAD51C</w:t>
      </w:r>
      <w:r>
        <w:t xml:space="preserve"> </w:t>
      </w:r>
      <w:r>
        <w:t>, 和</w:t>
      </w:r>
      <w:r>
        <w:t xml:space="preserve"> </w:t>
      </w:r>
      <w:r>
        <w:t>H2AX</w:t>
      </w:r>
      <w:r>
        <w:t xml:space="preserve"> </w:t>
      </w:r>
      <w:r>
        <w:t>。 SYCP1 的缺失会损害 DNA 修复动力学，减弱肿瘤细胞增殖和迁移，并增加对化疗药物顺铂和吉西他滨的敏感性。从机制上讲，SYCP1 与染色质重塑复合物以及转录因子 SP1 和 SP2 共免疫沉淀，并调节它们的基因组占据和致癌转录输出。临床上，SYCP1 高表达对多种癌症类型的预后不良和治疗耐药的患者进行分层。我们的研究结果阐明了 SYCP1 在体细胞癌细胞中以前未被认识的兼职功能，并将其定位为基因组稳定性的关键染色质相关调节因子，对生物标记具有重要意义。</w:t>
      </w:r>
    </w:p>
    <w:p>
      <w:pPr>
        <w:spacing w:before="0" w:after="200" w:lineRule="auto" w:line="276"/>
      </w:pPr>
      <w:r>
        <w:rPr>
          <w:b/>
        </w:rPr>
        <w:t xml:space="preserve">Abstract (EN): </w:t>
      </w:r>
      <w:r>
        <w:t>Maintenance of genome integrity is essential for cellular homeostasis, and its perturbation leads to tumorigenesis. Here, we uncover an unanticipated somatic role for the synaptonemal complex protein SYCP1, previously regarded as strictly meiosis specific, in a broad spectrum of human cancers including breast cancer. Through integrative genomic, proteomic, and functional analyses, we demonstrate that SYCP1 is aberrantly reexpressed in tumor cells, where it actively promotes DNA damage repair, cell cycle progression, and malignant growth. SYCP1 binds chromatin at regulatory elements and directly controls transcriptional programs governing genome maintenance, including key effectors such as</w:t>
      </w:r>
      <w:r>
        <w:t xml:space="preserve"> </w:t>
      </w:r>
      <w:r>
        <w:t>CCNB1</w:t>
      </w:r>
      <w:r>
        <w:t xml:space="preserve"> </w:t>
      </w:r>
      <w:r>
        <w:t>,</w:t>
      </w:r>
      <w:r>
        <w:t xml:space="preserve"> </w:t>
      </w:r>
      <w:r>
        <w:t>PCNA</w:t>
      </w:r>
      <w:r>
        <w:t xml:space="preserve"> </w:t>
      </w:r>
      <w:r>
        <w:t>,</w:t>
      </w:r>
      <w:r>
        <w:t xml:space="preserve"> </w:t>
      </w:r>
      <w:r>
        <w:t>RAD51C</w:t>
      </w:r>
      <w:r>
        <w:t xml:space="preserve"> </w:t>
      </w:r>
      <w:r>
        <w:t>, and</w:t>
      </w:r>
      <w:r>
        <w:t xml:space="preserve"> </w:t>
      </w:r>
      <w:r>
        <w:t>H2AX</w:t>
      </w:r>
      <w:r>
        <w:t xml:space="preserve"> </w:t>
      </w:r>
      <w:r>
        <w:t>. Loss of SYCP1 impairs DNA repair kinetics, attenuates tumor cell proliferation and migration, and increases sensitivity to chemotherapeutics cisplatin and gemcitabine. Mechanistically, SYCP1 coimmunoprecipitates with chromatin remodeling complexes and transcription factors SP1 and SP2 and modulates their genomic occupancy and oncogenic transcriptional outputs. Clinically, high SYCP1 expression stratifies patients with poor prognosis and therapy resistance across multiple cancer types. Our findings illuminate a previously unrecognized moonlighting function of SYCP1 in somatic cancer cells and position it as a critical chromatin-associated regulator of genome stability, with implications for biomarker development and therapeutic targeting.</w:t>
      </w:r>
    </w:p>
    <w:p>
      <w:pPr>
        <w:spacing w:before="120" w:after="120"/>
      </w:pPr>
      <w:r>
        <w:rPr>
          <w:sz w:val="18"/>
        </w:rPr>
        <w:t>——————————————————————————————————————————————————————————————————————</w:t>
      </w:r>
    </w:p>
    <w:p>
      <w:pPr>
        <w:spacing w:before="160" w:after="40" w:line="240" w:lineRule="auto"/>
      </w:pPr>
      <w:r>
        <w:rPr>
          <w:b/>
        </w:rPr>
        <w:t xml:space="preserve">[456] </w:t>
      </w:r>
      <w:hyperlink r:id="rId1046">
        <w:r>
          <w:rPr>
            <w:color w:val="1155CC"/>
            <w:u w:val="single"/>
          </w:rPr>
          <w:t>深硫循环中的区域变异性和全球通量平衡</w:t>
        </w:r>
      </w:hyperlink>
    </w:p>
    <w:p>
      <w:pPr>
        <w:spacing w:before="0" w:after="80"/>
      </w:pPr>
      <w:r>
        <w:rPr>
          <w:i/>
          <w:sz w:val="20"/>
        </w:rPr>
        <w:t>EN: Regional variability but global flux balance in the deep sulfur cycle</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47">
        <w:r>
          <w:rPr>
            <w:color w:val="1155CC"/>
            <w:u w:val="single"/>
          </w:rPr>
          <w:t>10.1073/pnas.2611196123</w:t>
        </w:r>
      </w:hyperlink>
    </w:p>
    <w:p>
      <w:pPr>
        <w:spacing w:before="0" w:after="120"/>
      </w:pPr>
      <w:r>
        <w:rPr>
          <w:b/>
        </w:rPr>
        <w:t xml:space="preserve">Notes: </w:t>
      </w:r>
      <w:r>
        <w:t>abstract_source=crossref</w:t>
      </w:r>
    </w:p>
    <w:p>
      <w:pPr>
        <w:spacing w:before="0" w:after="80" w:lineRule="auto" w:line="276"/>
      </w:pPr>
      <w:r>
        <w:rPr>
          <w:b/>
        </w:rPr>
        <w:t xml:space="preserve">摘要（ZH）: </w:t>
      </w:r>
      <w:r>
        <w:t>硫是影响地球氧化还原状态、气候和深层地球化学循环的关键挥发物。俯冲带是将硫从地表带入地幔的主要途径，但全球硫预算和回收效率仍然不确定。在这里，我们利用在主要海沟附近收集的海洋钻探计划中的沉积物成分，编制了逐条海沟俯冲硫的清单，并与从地震数据得出的海洋地壳和蛇纹岩厚度的空间分辨估计相结合。我们的结果揭示了硫通量的明显空间异质性，这是由沉积硫含量的巨大变化以及侵蚀和增生边缘之间的基本构造差异驱动的。全球板片到弧形硫回收效率平均为 37%，但各个俯冲系统之间存在显着差异。尽管存在这种异质性，但现代地球上的全球硫循环似乎是平衡的：硫通过板片俯冲作用输入地幔（57 ± 3 Mt y</w:t>
      </w:r>
      <w:r>
        <w:t xml:space="preserve"> </w:t>
      </w:r>
      <w:r>
        <w:t>–1</w:t>
      </w:r>
      <w:r>
        <w:t xml:space="preserve"> </w:t>
      </w:r>
      <w:r>
        <w:t>）在不确定性范围内与地幔输出相匹配（~60 ± 14 Mt y</w:t>
      </w:r>
      <w:r>
        <w:t xml:space="preserve"> </w:t>
      </w:r>
      <w:r>
        <w:t>–1</w:t>
      </w:r>
      <w:r>
        <w:t xml:space="preserve"> </w:t>
      </w:r>
      <w:r>
        <w:t>）穿过洋中脊、火山弧和板内岩浆作用。这种平衡表明地球的深层硫循环目前处于稳定状态。硫同位素揭示了系统解耦，俯冲硫带有负 δ</w:t>
      </w:r>
      <w:r>
        <w:rPr>
          <w:vertAlign w:val="subscript"/>
        </w:rPr>
        <w:t>34</w:t>
      </w:r>
      <w:r>
        <w:t>S 值，而电弧硫输出始终为正值。硫输入和回收效率的强烈空间变异性凸显了</w:t>
      </w:r>
    </w:p>
    <w:p>
      <w:pPr>
        <w:spacing w:before="0" w:after="200" w:lineRule="auto" w:line="276"/>
      </w:pPr>
      <w:r>
        <w:rPr>
          <w:b/>
        </w:rPr>
        <w:t xml:space="preserve">Abstract (EN): </w:t>
      </w:r>
      <w:r>
        <w:t>Sulfur is a key volatile that influences Earth’s redox state, climate, and deep geochemical cycles. Subduction zones are the primary pathways carrying sulfur from the surface into the mantle, yet the global sulfur budget and recycling efficiency remain uncertain. Here, we compile a trench-by-trench inventory of subducting sulfur using sediment compositions from ocean drilling programs collected near major trenches, integrated with spatially resolved estimates of oceanic crustal and serpentinite thicknesses derived from seismic data. Our results reveal pronounced spatial heterogeneity in sulfur fluxes, driven by large variations in sedimentary sulfur contents and fundamental tectonic differences between erosive and accretionary margins. Slab-to-arc sulfur recycling efficiency averages 37% globally but varies markedly among individual subduction systems. Despite this heterogeneity, the global sulfur cycle appears balanced on the modern Earth: Sulfur input into the mantle via slab subduction (57 ± 3 Mt y</w:t>
      </w:r>
      <w:r>
        <w:t xml:space="preserve"> </w:t>
      </w:r>
      <w:r>
        <w:t>–1</w:t>
      </w:r>
      <w:r>
        <w:t xml:space="preserve"> </w:t>
      </w:r>
      <w:r>
        <w:t>) is matched within uncertainty by mantle output (~60 ± 14 Mt y</w:t>
      </w:r>
      <w:r>
        <w:t xml:space="preserve"> </w:t>
      </w:r>
      <w:r>
        <w:t>–1</w:t>
      </w:r>
      <w:r>
        <w:t xml:space="preserve"> </w:t>
      </w:r>
      <w:r>
        <w:t>) through mid-ocean ridges, volcanic arcs, and intraplate magmatism. This balance suggests that Earth’s deep sulfur cycle operates in a steady state today. Sulfur isotopes reveal a systematic decoupling, with subducted sulfur carrying negative δ</w:t>
      </w:r>
      <w:r>
        <w:rPr>
          <w:vertAlign w:val="subscript"/>
        </w:rPr>
        <w:t>34</w:t>
      </w:r>
      <w:r>
        <w:t>S values, whereas arc sulfur output is consistently positive. The strong spatial variability in sulfur inputs and recycling efficiency underscores the individuality of Earth’s subduction zones, but the balanced input–output fluxes highlight its capacity for self-regulation. These findings have important implications for atmospheric chemistry, surface environments, and the long-term evolution of the deep Earth’s sulfur cycle.</w:t>
      </w:r>
    </w:p>
    <w:p>
      <w:pPr>
        <w:spacing w:before="120" w:after="120"/>
      </w:pPr>
      <w:r>
        <w:rPr>
          <w:sz w:val="18"/>
        </w:rPr>
        <w:t>——————————————————————————————————————————————————————————————————————</w:t>
      </w:r>
    </w:p>
    <w:p>
      <w:pPr>
        <w:spacing w:before="160" w:after="40" w:line="240" w:lineRule="auto"/>
      </w:pPr>
      <w:r>
        <w:rPr>
          <w:b/>
        </w:rPr>
        <w:t xml:space="preserve">[457] </w:t>
      </w:r>
      <w:hyperlink r:id="rId1048">
        <w:r>
          <w:rPr>
            <w:color w:val="1155CC"/>
            <w:u w:val="single"/>
          </w:rPr>
          <w:t>ALDH6A1异常低表达介导的缬氨酸代谢重编程促进胃癌侵袭性转移</w:t>
        </w:r>
      </w:hyperlink>
    </w:p>
    <w:p>
      <w:pPr>
        <w:spacing w:before="0" w:after="80"/>
      </w:pPr>
      <w:r>
        <w:rPr>
          <w:i/>
          <w:sz w:val="20"/>
        </w:rPr>
        <w:t>EN: Reprogramming of valine metabolism mediated by abnormally low ALDH6A1 expression promotes invasive metastasis of gastric cancer</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49">
        <w:r>
          <w:rPr>
            <w:color w:val="1155CC"/>
            <w:u w:val="single"/>
          </w:rPr>
          <w:t>10.1126/sciadv.aeb2892</w:t>
        </w:r>
      </w:hyperlink>
    </w:p>
    <w:p>
      <w:pPr>
        <w:spacing w:before="0" w:after="120"/>
      </w:pPr>
      <w:r>
        <w:rPr>
          <w:b/>
        </w:rPr>
        <w:t xml:space="preserve">Notes: </w:t>
      </w:r>
      <w:r>
        <w:t>abstract_source=crossref</w:t>
      </w:r>
    </w:p>
    <w:p>
      <w:pPr>
        <w:spacing w:before="0" w:after="80" w:lineRule="auto" w:line="276"/>
      </w:pPr>
      <w:r>
        <w:rPr>
          <w:b/>
        </w:rPr>
        <w:t xml:space="preserve">摘要（ZH）: </w:t>
      </w:r>
      <w:r>
        <w:t>胃癌的转移需要代谢重编程，但其关键驱动因素仍不清楚。使用与患者转录组整合的 CRISPR-Cas9 代谢敲除筛选，我们确定线粒体酶 ALDH6A1 是一种抗侵袭因子。</w:t>
      </w:r>
      <w:r>
        <w:t xml:space="preserve"> </w:t>
      </w:r>
      <w:r>
        <w:t>乙醛脱氢酶6A1</w:t>
      </w:r>
      <w:r>
        <w:t xml:space="preserve"> </w:t>
      </w:r>
      <w:r>
        <w:t>下调阻断了缬氨酸分解代谢的最终步骤，并导致甲基丙二酸（MMA）在细胞内积累。 MMA 竞争性占据组蛋白去甲基化酶 KDM5C 的 α-酮戊二酸 (α-KG) 辅因子袋，抑制其活性并增加入侵相关基因启动子处的 H3K4 二甲基化 (H3K4me2)，包括</w:t>
      </w:r>
      <w:r>
        <w:t xml:space="preserve"> </w:t>
      </w:r>
      <w:r>
        <w:t>ANGPT2</w:t>
      </w:r>
      <w:r>
        <w:t xml:space="preserve"> </w:t>
      </w:r>
      <w:r>
        <w:t>（血管生成素-2）和</w:t>
      </w:r>
      <w:r>
        <w:t xml:space="preserve"> </w:t>
      </w:r>
      <w:r>
        <w:t>基质金属蛋白酶7</w:t>
      </w:r>
      <w:r>
        <w:t xml:space="preserve"> </w:t>
      </w:r>
      <w:r>
        <w:t>（基质金属蛋白酶 7）。这种表观遗传重编程促进了小鼠胃癌的肝转移。 Alda-1 药理学 ALDH6A1 激活或全身 MMA 清除</w:t>
      </w:r>
      <w:r>
        <w:t xml:space="preserve"> </w:t>
      </w:r>
      <w:r>
        <w:t>我</w:t>
      </w:r>
      <w:r>
        <w:t xml:space="preserve"> </w:t>
      </w:r>
      <w:r>
        <w:t>-肉碱降低 H3K4me2，抑制侵袭性程序，并减少转移负担。这些发现确定 ALDH6A1-MMA 轴是胃癌转移中的一个可靶向的代谢表观遗传途径。</w:t>
      </w:r>
    </w:p>
    <w:p>
      <w:pPr>
        <w:spacing w:before="0" w:after="200" w:lineRule="auto" w:line="276"/>
      </w:pPr>
      <w:r>
        <w:rPr>
          <w:b/>
        </w:rPr>
        <w:t xml:space="preserve">Abstract (EN): </w:t>
      </w:r>
      <w:r>
        <w:t>Metastasis in gastric cancer requires metabolic reprogramming, but its key drivers remain unclear. Using a CRISPR-Cas9 metabolic knockout screen integrated with patient transcriptomes, we identified the mitochondrial enzyme ALDH6A1 as an anti-invasive factor.</w:t>
      </w:r>
      <w:r>
        <w:t xml:space="preserve"> </w:t>
      </w:r>
      <w:r>
        <w:t>ALDH6A1</w:t>
      </w:r>
      <w:r>
        <w:t xml:space="preserve"> </w:t>
      </w:r>
      <w:r>
        <w:t>down-regulation blocked the terminal step of valine catabolism and caused intracellular accumulation of methylmalonic acid (MMA). MMA competitively occupied the α-ketoglutarate (α-KG) cofactor pocket of the histone demethylase KDM5C, suppressing its activity and increasing H3K4 dimethylation (H3K4me2) at promoters of invasion-related genes, including</w:t>
      </w:r>
      <w:r>
        <w:t xml:space="preserve"> </w:t>
      </w:r>
      <w:r>
        <w:t>ANGPT2</w:t>
      </w:r>
      <w:r>
        <w:t xml:space="preserve"> </w:t>
      </w:r>
      <w:r>
        <w:t>(angiopoietin-2) and</w:t>
      </w:r>
      <w:r>
        <w:t xml:space="preserve"> </w:t>
      </w:r>
      <w:r>
        <w:t>MMP7</w:t>
      </w:r>
      <w:r>
        <w:t xml:space="preserve"> </w:t>
      </w:r>
      <w:r>
        <w:t>(matrix metalloproteinase 7). This epigenetic reprogramming promoted gastric cancer liver metastasis in mice. Pharmacologic ALDH6A1 activation with Alda-1 or systemic MMA clearance with</w:t>
      </w:r>
      <w:r>
        <w:t xml:space="preserve"> </w:t>
      </w:r>
      <w:r>
        <w:t>l</w:t>
      </w:r>
      <w:r>
        <w:t xml:space="preserve"> </w:t>
      </w:r>
      <w:r>
        <w:t>-carnitine lowered H3K4me2, dampened the invasive program, and reduced metastatic burden. These findings identify the ALDH6A1-MMA axis as a targetable metabolic-epigenetic pathway in gastric cancer metastasis.</w:t>
      </w:r>
    </w:p>
    <w:p>
      <w:pPr>
        <w:spacing w:before="120" w:after="120"/>
      </w:pPr>
      <w:r>
        <w:rPr>
          <w:sz w:val="18"/>
        </w:rPr>
        <w:t>——————————————————————————————————————————————————————————————————————</w:t>
      </w:r>
    </w:p>
    <w:p>
      <w:pPr>
        <w:spacing w:before="160" w:after="40" w:line="240" w:lineRule="auto"/>
      </w:pPr>
      <w:r>
        <w:rPr>
          <w:b/>
        </w:rPr>
        <w:t xml:space="preserve">[458] </w:t>
      </w:r>
      <w:hyperlink r:id="rId1050">
        <w:r>
          <w:rPr>
            <w:color w:val="1155CC"/>
            <w:u w:val="single"/>
          </w:rPr>
          <w:t>平行的前扣带皮层通路是可分离的社交和注意力输出的基础</w:t>
        </w:r>
      </w:hyperlink>
    </w:p>
    <w:p>
      <w:pPr>
        <w:spacing w:before="0" w:after="80"/>
      </w:pPr>
      <w:r>
        <w:rPr>
          <w:i/>
          <w:sz w:val="20"/>
        </w:rPr>
        <w:t>EN: Parallel anterior cingulate cortex pathways underlie dissociable social and attentional outputs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51">
        <w:r>
          <w:rPr>
            <w:color w:val="1155CC"/>
            <w:u w:val="single"/>
          </w:rPr>
          <w:t>10.1126/sciadv.aec8032</w:t>
        </w:r>
      </w:hyperlink>
    </w:p>
    <w:p>
      <w:pPr>
        <w:spacing w:before="0" w:after="120"/>
      </w:pPr>
      <w:r>
        <w:rPr>
          <w:b/>
        </w:rPr>
        <w:t xml:space="preserve">Notes: </w:t>
      </w:r>
      <w:r>
        <w:t>abstract_source=crossref</w:t>
      </w:r>
    </w:p>
    <w:p>
      <w:pPr>
        <w:spacing w:before="0" w:after="80" w:lineRule="auto" w:line="276"/>
      </w:pPr>
      <w:r>
        <w:rPr>
          <w:b/>
        </w:rPr>
        <w:t xml:space="preserve">摘要（ZH）: </w:t>
      </w:r>
      <w:r>
        <w:t>在患有自闭症谱系障碍 (ASD) 等神经精神疾病的个体中，协调社会行为和注意力控制的神经机制常常同时受到破坏；然而，共享大脑区域内的不同电路如何分别调节这些功能仍不清楚。在这里，我们确定了前扣带皮层（ACC）中两个功能不同的谷氨酸能神经元亚群，它们投射到不同的下游目标：未定带（ZI）和丘脑网状核边缘部分（lTRN）。这两个 ACC 亚群在社交互动和注意力分配方面存在差异。在这两种行为中都观察到缺陷</w:t>
      </w:r>
      <w:r>
        <w:t xml:space="preserve"> </w:t>
      </w:r>
      <w:r>
        <w:t>刀柄3b</w:t>
      </w:r>
      <w:r>
        <w:t xml:space="preserve"> </w:t>
      </w:r>
      <w:r>
        <w:t>突变型 ASD 模型小鼠。 ACC→ZI 回路的光遗传学激活可以挽救社交障碍，而 ACC→lTRN 通路的激活可以恢复注意力表现。我们的研究结果揭示了可分离的 ACC 亚群及其社交和注意力行为的下游回路，提供了回路层面的见解，可能为未来调节精神疾病患者相关症状的研究提供信息。</w:t>
      </w:r>
    </w:p>
    <w:p>
      <w:pPr>
        <w:spacing w:before="0" w:after="200" w:lineRule="auto" w:line="276"/>
      </w:pPr>
      <w:r>
        <w:rPr>
          <w:b/>
        </w:rPr>
        <w:t xml:space="preserve">Abstract (EN): </w:t>
      </w:r>
      <w:r>
        <w:t>The neural mechanisms coordinating social behavior and attentional control are often disrupted together in individuals with neuropsychiatric disorders such as autism spectrum disorder (ASD); however, how distinct circuits within a shared brain region separately regulate these functions remains unclear. Here, we identified two functionally distinct subpopulations of glutamatergic neurons in the anterior cingulate cortex (ACC) that project to different downstream targets: the zona incerta (ZI) and the limbic sector of the thalamic reticular nucleus (lTRN). These two ACC subpopulations differentially mediate social interaction and attentional allocation. Deficits in both behaviors were observed in</w:t>
      </w:r>
      <w:r>
        <w:t xml:space="preserve"> </w:t>
      </w:r>
      <w:r>
        <w:t>Shank3b</w:t>
      </w:r>
      <w:r>
        <w:t xml:space="preserve"> </w:t>
      </w:r>
      <w:r>
        <w:t>mutant ASD model mice. Optogenetic activation of the ACC→ZI circuit rescued social impairments, whereas activation of the ACC→lTRN pathway restored attentional performance. Our findings reveal dissociable ACC subpopulations and their downstream circuits for social and attentional behaviors, providing circuit-level insights that may inform future research on modulating related symptoms in patients with psychiatric disorders.</w:t>
      </w:r>
    </w:p>
    <w:p>
      <w:pPr>
        <w:spacing w:before="120" w:after="120"/>
      </w:pPr>
      <w:r>
        <w:rPr>
          <w:sz w:val="18"/>
        </w:rPr>
        <w:t>——————————————————————————————————————————————————————————————————————</w:t>
      </w:r>
    </w:p>
    <w:p>
      <w:pPr>
        <w:spacing w:before="160" w:after="40" w:line="240" w:lineRule="auto"/>
      </w:pPr>
      <w:r>
        <w:rPr>
          <w:b/>
        </w:rPr>
        <w:t xml:space="preserve">[459] </w:t>
      </w:r>
      <w:hyperlink r:id="rId1052">
        <w:r>
          <w:rPr>
            <w:color w:val="1155CC"/>
            <w:u w:val="single"/>
          </w:rPr>
          <w:t>VCAM-1 靶向肽组件保护血管内皮并延长心脏异种移植物的存活</w:t>
        </w:r>
      </w:hyperlink>
    </w:p>
    <w:p>
      <w:pPr>
        <w:spacing w:before="0" w:after="80"/>
      </w:pPr>
      <w:r>
        <w:rPr>
          <w:i/>
          <w:sz w:val="20"/>
        </w:rPr>
        <w:t>EN: VCAM-1–targeting peptide assemblies protect vascular endothelium and prolong cardiac xenograft survival</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53">
        <w:r>
          <w:rPr>
            <w:color w:val="1155CC"/>
            <w:u w:val="single"/>
          </w:rPr>
          <w:t>10.1126/sciadv.aec5707</w:t>
        </w:r>
      </w:hyperlink>
    </w:p>
    <w:p>
      <w:pPr>
        <w:spacing w:before="0" w:after="120"/>
      </w:pPr>
      <w:r>
        <w:rPr>
          <w:b/>
        </w:rPr>
        <w:t xml:space="preserve">Notes: </w:t>
      </w:r>
      <w:r>
        <w:t>abstract_source=crossref</w:t>
      </w:r>
    </w:p>
    <w:p>
      <w:pPr>
        <w:spacing w:before="0" w:after="80" w:lineRule="auto" w:line="276"/>
      </w:pPr>
      <w:r>
        <w:rPr>
          <w:b/>
        </w:rPr>
        <w:t xml:space="preserve">摘要（ZH）: </w:t>
      </w:r>
      <w:r>
        <w:t>心脏异种移植是解决供体心脏短缺问题的一种有前景的策略，但内皮细胞功能障碍仍然是移植物长期存活的主要障碍。在猪灵长类异种移植模型中使用集成单细胞 RNA 测序，我们鉴定了 VCAM-1</w:t>
      </w:r>
      <w:r>
        <w:t xml:space="preserve"> </w:t>
      </w:r>
      <w:r>
        <w:t>+</w:t>
      </w:r>
      <w:r>
        <w:t xml:space="preserve"> </w:t>
      </w:r>
      <w:r>
        <w:t>内皮亚群是易受急性排斥反应的主要内皮亚型，其特点是移植后选择性耗尽。为了保护这一群体，我们开发了集成三个功能模块的 VCAM-1 靶向纳米颗粒 (VTN)：(i) 鉴定出 VCAM-1 结合肽，(ii) 通过单珠一种化合物筛选的自组装肽模块，以形成保护性纳米纤维涂层的精确靶向，以及 (iii) 局部递送吗替麦考酚酯 (MMF) 用于免疫调节。 VTN 降低免疫细胞粘附 73%（</w:t>
      </w:r>
      <w:r>
        <w:t xml:space="preserve"> </w:t>
      </w:r>
      <w:r>
        <w:t>磷</w:t>
      </w:r>
      <w:r>
        <w:t xml:space="preserve"> </w:t>
      </w:r>
      <w:r>
        <w:t>&lt; 0.001）并将异种移植物的存活时间延长近四倍，从 6.7 天延长至 27.0 天。这些发现确立了 VCAM-1</w:t>
      </w:r>
      <w:r>
        <w:t xml:space="preserve"> </w:t>
      </w:r>
      <w:r>
        <w:t>+</w:t>
      </w:r>
      <w:r>
        <w:t xml:space="preserve"> </w:t>
      </w:r>
      <w:r>
        <w:t>内皮细胞作为治疗靶点，并强调 VCAM-1 靶向纳米药物是改善异种移植结果的有前途的方法。</w:t>
      </w:r>
    </w:p>
    <w:p>
      <w:pPr>
        <w:spacing w:before="0" w:after="200" w:lineRule="auto" w:line="276"/>
      </w:pPr>
      <w:r>
        <w:rPr>
          <w:b/>
        </w:rPr>
        <w:t xml:space="preserve">Abstract (EN): </w:t>
      </w:r>
      <w:r>
        <w:t>Cardiac xenotransplantation represents a promising strategy to address the shortage of donor hearts, yet endothelial cell dysfunction remains a major obstacle to long-term graft survival. Using integrated single-cell RNA sequencing in a porcine-to-primate xenotransplantation model, we identified a VCAM-1</w:t>
      </w:r>
      <w:r>
        <w:t xml:space="preserve"> </w:t>
      </w:r>
      <w:r>
        <w:t>+</w:t>
      </w:r>
      <w:r>
        <w:t xml:space="preserve"> </w:t>
      </w:r>
      <w:r>
        <w:t>endothelial subpopulation as the primary endothelial subtype susceptible to acute rejection, characterized by its selective depletion after transplantation. To protect this population, we develop VCAM-1–targeted nanoparticles (VTNs) integrating three functional modules: (i) a VCAM-1–binding peptide identified, (ii) a self-assembling peptide module by one-bead one-compound screening for precise targeting that forms protective nanofibrous coatings, and (iii) localized delivery of mycophenolate mofetil (MMF) for immune modulation. VTN reduces immune cell adhesion by 73% (</w:t>
      </w:r>
      <w:r>
        <w:t xml:space="preserve"> </w:t>
      </w:r>
      <w:r>
        <w:t>P</w:t>
      </w:r>
      <w:r>
        <w:t xml:space="preserve"> </w:t>
      </w:r>
      <w:r>
        <w:t>&amp;lt; 0.001) and extends xenograft survival nearly fourfold, from 6.7 to 27.0 days. These findings establish VCAM-1</w:t>
      </w:r>
      <w:r>
        <w:t xml:space="preserve"> </w:t>
      </w:r>
      <w:r>
        <w:t>+</w:t>
      </w:r>
      <w:r>
        <w:t xml:space="preserve"> </w:t>
      </w:r>
      <w:r>
        <w:t>endothelial cells as a therapeutic target and highlight VCAM-1–targeted nanomedicine as a promising approach to improve xenograft outcomes.</w:t>
      </w:r>
    </w:p>
    <w:p>
      <w:pPr>
        <w:spacing w:before="120" w:after="120"/>
      </w:pPr>
      <w:r>
        <w:rPr>
          <w:sz w:val="18"/>
        </w:rPr>
        <w:t>——————————————————————————————————————————————————————————————————————</w:t>
      </w:r>
    </w:p>
    <w:p>
      <w:pPr>
        <w:spacing w:before="160" w:after="40" w:line="240" w:lineRule="auto"/>
      </w:pPr>
      <w:r>
        <w:rPr>
          <w:b/>
        </w:rPr>
        <w:t xml:space="preserve">[460] </w:t>
      </w:r>
      <w:hyperlink r:id="rId1054">
        <w:r>
          <w:rPr>
            <w:color w:val="1155CC"/>
            <w:u w:val="single"/>
          </w:rPr>
          <w:t>通过配准质谱和非线性光学成像绘制肺组织的多尺度代谢图</w:t>
        </w:r>
      </w:hyperlink>
    </w:p>
    <w:p>
      <w:pPr>
        <w:spacing w:before="0" w:after="80"/>
      </w:pPr>
      <w:r>
        <w:rPr>
          <w:i/>
          <w:sz w:val="20"/>
        </w:rPr>
        <w:t>EN: Multiscale metabolic mapping of lung tissue via coregistered mass spectrometry and nonlinear optical imaging</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55">
        <w:r>
          <w:rPr>
            <w:color w:val="1155CC"/>
            <w:u w:val="single"/>
          </w:rPr>
          <w:t>10.1126/sciadv.aec3544</w:t>
        </w:r>
      </w:hyperlink>
    </w:p>
    <w:p>
      <w:pPr>
        <w:spacing w:before="0" w:after="120"/>
      </w:pPr>
      <w:r>
        <w:rPr>
          <w:b/>
        </w:rPr>
        <w:t xml:space="preserve">Notes: </w:t>
      </w:r>
      <w:r>
        <w:t>abstract_source=crossref</w:t>
      </w:r>
    </w:p>
    <w:p>
      <w:pPr>
        <w:spacing w:before="0" w:after="80" w:lineRule="auto" w:line="276"/>
      </w:pPr>
      <w:r>
        <w:rPr>
          <w:b/>
        </w:rPr>
        <w:t xml:space="preserve">摘要（ZH）: </w:t>
      </w:r>
      <w:r>
        <w:t>肺是一个高度异质的器官，由许多显微解剖单元组成，每个单元对于维持协同工作的复杂功能至关重要。分子和细胞机制的破坏会导致组织纤维化、炎症和严重呼吸困难，这是早产儿支气管肺发育不良（BPD）疾病的共同特征。 BPD 的分子变化尚不清楚，这阻碍了有效的诊断和治疗。在这里，我们提出了多模态成像工作流程，用于在多个空间尺度上详细描述肺组织的分子和代谢特征。我们还开发了一个分层多模态配准网络，用于精确配准每种模态的数据。我们的结果表明，这种方法可以揭示受疾病影响的不同功能组织单位中以前未知的代谢变化，包括脂质分布的改变、光学氧化还原状态的减少和胶原蛋白的重塑。这种多模式方法提供了不同微解剖特征中发生的分子变化的详细图谱，当采用这些图谱来研究这种组织类型和其他组织类型时，有可能发现新的治疗方法。</w:t>
      </w:r>
    </w:p>
    <w:p>
      <w:pPr>
        <w:spacing w:before="0" w:after="200" w:lineRule="auto" w:line="276"/>
      </w:pPr>
      <w:r>
        <w:rPr>
          <w:b/>
        </w:rPr>
        <w:t xml:space="preserve">Abstract (EN): </w:t>
      </w:r>
      <w:r>
        <w:t>The lung is a highly heterogeneous organ that is composed of numerous microanatomical units, each essential for maintaining intricate functions that work in concert. Disruptions in the molecular and cellular mechanisms can cause tissue fibrosis, inflammation, and severe breathing difficulties, which are common characteristics of the disease of prematurity, bronchopulmonary dysplasia (BPD). BPD’s molecular changes are not well understood, and this has hindered effective diagnosis and treatment. Here, we present a multimodal imaging workflow for detailed molecular and metabolic characterization of lung tissue at multiple spatial scales. We also developed a hierarchical multimodal registration network for precise coregistration of the data from each modality. Our results show that this approach can reveal previously unknown metabolic changes in distinct functional tissue units affected by disease, including altered lipid distributions, reduced optical redox states, and collagen remodeling. This multimodal approach provided detailed maps of molecular shifts occurring in distinct microanatomical features that, when adopted to interrogate this and other tissue types, has the potential to enable the discovery of new therapeutics.</w:t>
      </w:r>
    </w:p>
    <w:p>
      <w:pPr>
        <w:spacing w:before="120" w:after="120"/>
      </w:pPr>
      <w:r>
        <w:rPr>
          <w:sz w:val="18"/>
        </w:rPr>
        <w:t>——————————————————————————————————————————————————————————————————————</w:t>
      </w:r>
    </w:p>
    <w:p>
      <w:pPr>
        <w:spacing w:before="160" w:after="40" w:line="240" w:lineRule="auto"/>
      </w:pPr>
      <w:r>
        <w:rPr>
          <w:b/>
        </w:rPr>
        <w:t xml:space="preserve">[461] </w:t>
      </w:r>
      <w:hyperlink r:id="rId1056">
        <w:r>
          <w:rPr>
            <w:color w:val="1155CC"/>
            <w:u w:val="single"/>
          </w:rPr>
          <w:t>卫星观测揭示美国大坝对河流热力状况的广泛改变</w:t>
        </w:r>
      </w:hyperlink>
    </w:p>
    <w:p>
      <w:pPr>
        <w:spacing w:before="0" w:after="80"/>
      </w:pPr>
      <w:r>
        <w:rPr>
          <w:i/>
          <w:sz w:val="20"/>
        </w:rPr>
        <w:t>EN: Satellite observations reveal widespread alteration of river thermal regimes by US dams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57">
        <w:r>
          <w:rPr>
            <w:color w:val="1155CC"/>
            <w:u w:val="single"/>
          </w:rPr>
          <w:t>10.1126/sciadv.aeb5193</w:t>
        </w:r>
      </w:hyperlink>
    </w:p>
    <w:p>
      <w:pPr>
        <w:spacing w:before="0" w:after="120"/>
      </w:pPr>
      <w:r>
        <w:rPr>
          <w:b/>
        </w:rPr>
        <w:t xml:space="preserve">Notes: </w:t>
      </w:r>
      <w:r>
        <w:t>abstract_source=crossref</w:t>
      </w:r>
    </w:p>
    <w:p>
      <w:pPr>
        <w:spacing w:before="0" w:after="80" w:lineRule="auto" w:line="276"/>
      </w:pPr>
      <w:r>
        <w:rPr>
          <w:b/>
        </w:rPr>
        <w:t xml:space="preserve">摘要（ZH）: </w:t>
      </w:r>
      <w:r>
        <w:t>众所周知，水坝会改变河流的热力状况，但对下游温度变化的评估仅限于单个水坝、单个流域或特定的季节窗口，从而限制了对其广泛影响的了解。我们利用基于卫星的热红外观测来量化 2013 年至 2024 年美国 287 座大型水坝上下游河流表面所有季节的温差。我们发现大多数（71%）纵向河流剖面的下游河流温度存在差异。这些下游变化通常较温暖 (60%)，并且平均而言，在大坝下游 20 公里范围内持续或继续增加。我们还发现，下游变化的幅度和频率因水坝类型而异，其中 91% 的极端（≥±4°C）差异发生在带有水库的水坝上。这项工作记录了全国范围内大型水坝在所有季节对下游生态系统的热效应。</w:t>
      </w:r>
    </w:p>
    <w:p>
      <w:pPr>
        <w:spacing w:before="0" w:after="200" w:lineRule="auto" w:line="276"/>
      </w:pPr>
      <w:r>
        <w:rPr>
          <w:b/>
        </w:rPr>
        <w:t xml:space="preserve">Abstract (EN): </w:t>
      </w:r>
      <w:r>
        <w:t>Dams are well known to alter river thermal regimes, but assessments of downstream temperature changes have been constrained to single dams, single basins, or specific seasonal windows, thus limiting knowledge of their widespread impacts. We used satellite-based thermal infrared observations to quantify river surface temperature differences up- and downstream of 287 large dams in the United States from 2013 to 2024 across all seasons. We found downstream river temperature differences for the majority (71%) of longitudinal river profiles. These downstream changes were typically warmer (60%) and, on average, were sustained or continued to increase within 20 km downstream of the dam. We also found that the magnitude and frequency of downstream alterations varied by dam type, with 91% of extreme (≥±4°C) differences occurring at dams with reservoirs. This work documents the thermal effects of large dams on downstream ecosystems across all seasons on a national scale.</w:t>
      </w:r>
    </w:p>
    <w:p>
      <w:pPr>
        <w:spacing w:before="120" w:after="120"/>
      </w:pPr>
      <w:r>
        <w:rPr>
          <w:sz w:val="18"/>
        </w:rPr>
        <w:t>——————————————————————————————————————————————————————————————————————</w:t>
      </w:r>
    </w:p>
    <w:p>
      <w:pPr>
        <w:spacing w:before="160" w:after="40" w:line="240" w:lineRule="auto"/>
      </w:pPr>
      <w:r>
        <w:rPr>
          <w:b/>
        </w:rPr>
        <w:t xml:space="preserve">[462] </w:t>
      </w:r>
      <w:hyperlink r:id="rId1058">
        <w:r>
          <w:rPr>
            <w:color w:val="1155CC"/>
            <w:u w:val="single"/>
          </w:rPr>
          <w:t>对早期玉米种植的营养适应：新热带地区以玉米为基础的动物供应的最早同位素证据</w:t>
        </w:r>
      </w:hyperlink>
    </w:p>
    <w:p>
      <w:pPr>
        <w:spacing w:before="0" w:after="80"/>
      </w:pPr>
      <w:r>
        <w:rPr>
          <w:i/>
          <w:sz w:val="20"/>
        </w:rPr>
        <w:t>EN: Nutritional adaptations to early maize cultivation: Earliest isotopic evidence of maize-based animal provisioning in the Neotropics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59">
        <w:r>
          <w:rPr>
            <w:color w:val="1155CC"/>
            <w:u w:val="single"/>
          </w:rPr>
          <w:t>10.1126/sciadv.aec3522</w:t>
        </w:r>
      </w:hyperlink>
    </w:p>
    <w:p>
      <w:pPr>
        <w:spacing w:before="0" w:after="120"/>
      </w:pPr>
      <w:r>
        <w:rPr>
          <w:b/>
        </w:rPr>
        <w:t xml:space="preserve">Notes: </w:t>
      </w:r>
      <w:r>
        <w:t>abstract_source=crossref</w:t>
      </w:r>
    </w:p>
    <w:p>
      <w:pPr>
        <w:spacing w:before="0" w:after="80" w:lineRule="auto" w:line="276"/>
      </w:pPr>
      <w:r>
        <w:rPr>
          <w:b/>
        </w:rPr>
        <w:t xml:space="preserve">摘要（ZH）: </w:t>
      </w:r>
      <w:r>
        <w:t>采用玉米作为主食塑造了人类社会。虽然是可靠的富含碳水化合物的来源，但其固有的营养限制带来了巨大的挑战。玉米缺乏赖氨酸，赖氨酸是维持平衡健康至关重要的必需氨基酸。因此，依赖玉米的饮食需要补充性饮食策略。我们报告了伯利兹南部 39 名直接定年人类 [距今 6100 至 1100 年 (B.P.)] 的氨基酸稳定碳同位素数据，以研究早期人群如何缓解营养缺乏。浓度依赖性混合模型结果表明，吃玉米的动物补充的蛋白质通过营养放大（营养转移导致组织中同位素不同营养物质的比例升高）为人类饮食提供了玉米来源的赖氨酸。我们的结果表明，这种策略在距今 6100 年就已经到位，这与早期玉米种植的证据一致，但比依赖早了约 2000 年。我们的研究结果强调了将玉米种植和人类与动物供应关系联系起来的早期共同进化动态，加深了对农业转型期间适应性食物系统的理解，并为支持可持续生存的营养策略提供了见解。</w:t>
      </w:r>
    </w:p>
    <w:p>
      <w:pPr>
        <w:spacing w:before="0" w:after="200" w:lineRule="auto" w:line="276"/>
      </w:pPr>
      <w:r>
        <w:rPr>
          <w:b/>
        </w:rPr>
        <w:t xml:space="preserve">Abstract (EN): </w:t>
      </w:r>
      <w:r>
        <w:t>The adoption of maize as a dietary staple shaped human societies. While a reliable carbohydrate-rich source, its inherent nutritional limitations posed substantial challenges. Maize is deficient in lysine, an essential amino acid crucial for maintaining balanced health. Maize-dependent diets, therefore, necessitated complementary dietary strategies. We report amino acid stable carbon isotope data from 39 directly dated humans from southern Belize [6100 to 1100 before present (B.P.)] to investigate how early populations mitigated nutritional deficiencies. Concentration-dependent mixing model results indicate that protein supplementation from maize-eating animals contributed maize-derived lysine to human diets through trophic magnification (elevated proportions of isotopically distinct nutrients in tissues from trophic transfer). Our results indicate that such strategies were in place by 6100 B.P., consistent with evidence of early maize cultivation but predating reliance by ~2000 years. Our findings highlight early coevolutionary dynamics linking maize cultivation and human-animal provisioning relationships, deepening understandings of adaptive food systems during agricultural transitions and offering insights into nutritional strategies underpinning sustainable subsistence.</w:t>
      </w:r>
    </w:p>
    <w:p>
      <w:pPr>
        <w:spacing w:before="120" w:after="120"/>
      </w:pPr>
      <w:r>
        <w:rPr>
          <w:sz w:val="18"/>
        </w:rPr>
        <w:t>——————————————————————————————————————————————————————————————————————</w:t>
      </w:r>
    </w:p>
    <w:p>
      <w:pPr>
        <w:spacing w:before="160" w:after="40" w:line="240" w:lineRule="auto"/>
      </w:pPr>
      <w:r>
        <w:rPr>
          <w:b/>
        </w:rPr>
        <w:t xml:space="preserve">[463] </w:t>
      </w:r>
      <w:hyperlink r:id="rId1060">
        <w:r>
          <w:rPr>
            <w:color w:val="1155CC"/>
            <w:u w:val="single"/>
          </w:rPr>
          <w:t>用于缩小平流层 OH 数据差距的化学信息深度学习网络</w:t>
        </w:r>
      </w:hyperlink>
    </w:p>
    <w:p>
      <w:pPr>
        <w:spacing w:before="0" w:after="80"/>
      </w:pPr>
      <w:r>
        <w:rPr>
          <w:i/>
          <w:sz w:val="20"/>
        </w:rPr>
        <w:t>EN: A chemistry-informed deep learning network for mitigating the stratospheric OH data gap</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61">
        <w:r>
          <w:rPr>
            <w:color w:val="1155CC"/>
            <w:u w:val="single"/>
          </w:rPr>
          <w:t>10.1126/sciadv.aee2319</w:t>
        </w:r>
      </w:hyperlink>
    </w:p>
    <w:p>
      <w:pPr>
        <w:spacing w:before="0" w:after="120"/>
      </w:pPr>
      <w:r>
        <w:rPr>
          <w:b/>
        </w:rPr>
        <w:t xml:space="preserve">Notes: </w:t>
      </w:r>
      <w:r>
        <w:t>abstract_source=crossref</w:t>
      </w:r>
    </w:p>
    <w:p>
      <w:pPr>
        <w:spacing w:before="0" w:after="80" w:lineRule="auto" w:line="276"/>
      </w:pPr>
      <w:r>
        <w:rPr>
          <w:b/>
        </w:rPr>
        <w:t xml:space="preserve">摘要（ZH）: </w:t>
      </w:r>
      <w:r>
        <w:t>羟基 (OH) 自由基是平流层化学中的关键物质，导致臭氧损失和其他化学家族的耦合。然而，全球 OH 观测非常稀疏，自 2009 年以来卫星观测存在严重差距。尽管替代化学方法试图缩小这种差距，但它们具有局限性。在这里，我们提出了 DRCAT，这是一个化学信息深度学习网络，可利用化学相关物种的同步卫星观测来预测平流层 OH 分布。 DRCAT 仅使用 2 年的数据进行训练，提供了从 2004 年底至今连续可靠的全球平流层 OH 数据集的重建。结果表明，DRCAT 的性能优于化学输运模型和观测约束的稳态近似模型。此外，DRCAT 成功预测了 2022 年洪加火山喷发后的异常 OH 增强，显示出对训练制度之外的极端条件的普适性。因此，DRCAT 提供了一条填补 OH 观测空白的强大途径。除了 OH 之外，这项工作还为其他关键短命物种的类似重建提供了一个可扩展的框架。</w:t>
      </w:r>
    </w:p>
    <w:p>
      <w:pPr>
        <w:spacing w:before="0" w:after="200" w:lineRule="auto" w:line="276"/>
      </w:pPr>
      <w:r>
        <w:rPr>
          <w:b/>
        </w:rPr>
        <w:t xml:space="preserve">Abstract (EN): </w:t>
      </w:r>
      <w:r>
        <w:t>The hydroxyl (OH) radical is a key species in stratospheric chemistry, driving ozone loss and the coupling of other chemical families. However, global OH observations are very sparse, with a critical gap in satellite-based observations since 2009. Although alternative chemical methods attempt to mitigate such gaps, they have limitations. Here, we present DRCAT, a chemistry-informed deep learning network to predict stratospheric OH profiles using coincident satellite observations of chemically related species. Trained on only 2 years of data, DRCAT provides reconstruction of a continuous and reliable global stratospheric OH dataset from late 2004 to the present. Results show that DRCAT outperforms both a chemical transport model and an observation-constrained steady-state approximation. Moreover, DRCAT successfully predicts anomalous OH enhancements after the 2022 Hunga volcanic eruption, showing generalizability to extreme conditions outside of the training regime. DRCAT thus provides a robust pathway to fill OH observational voids. Beyond OH, this work offers a scalable framework for similar reconstruction of other key short-lived species.</w:t>
      </w:r>
    </w:p>
    <w:p>
      <w:pPr>
        <w:spacing w:before="120" w:after="120"/>
      </w:pPr>
      <w:r>
        <w:rPr>
          <w:sz w:val="18"/>
        </w:rPr>
        <w:t>——————————————————————————————————————————————————————————————————————</w:t>
      </w:r>
    </w:p>
    <w:p>
      <w:pPr>
        <w:spacing w:before="160" w:after="40" w:line="240" w:lineRule="auto"/>
      </w:pPr>
      <w:r>
        <w:rPr>
          <w:b/>
        </w:rPr>
        <w:t xml:space="preserve">[464] </w:t>
      </w:r>
      <w:hyperlink r:id="rId1062">
        <w:r>
          <w:rPr>
            <w:color w:val="1155CC"/>
            <w:u w:val="single"/>
          </w:rPr>
          <w:t>作为原行星胚胎逃逸卫星的球粒陨石母体</w:t>
        </w:r>
      </w:hyperlink>
    </w:p>
    <w:p>
      <w:pPr>
        <w:spacing w:before="0" w:after="80"/>
      </w:pPr>
      <w:r>
        <w:rPr>
          <w:i/>
          <w:sz w:val="20"/>
        </w:rPr>
        <w:t>EN: Chondrite parent bodies as escaped satellites of proto-planetary embryos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63">
        <w:r>
          <w:rPr>
            <w:color w:val="1155CC"/>
            <w:u w:val="single"/>
          </w:rPr>
          <w:t>10.1126/sciadv.adw9449</w:t>
        </w:r>
      </w:hyperlink>
    </w:p>
    <w:p>
      <w:pPr>
        <w:spacing w:before="0" w:after="120"/>
      </w:pPr>
      <w:r>
        <w:rPr>
          <w:b/>
        </w:rPr>
        <w:t xml:space="preserve">Notes: </w:t>
      </w:r>
      <w:r>
        <w:t>abstract_source=crossref</w:t>
      </w:r>
    </w:p>
    <w:p>
      <w:pPr>
        <w:spacing w:before="0" w:after="80" w:lineRule="auto" w:line="276"/>
      </w:pPr>
      <w:r>
        <w:rPr>
          <w:b/>
        </w:rPr>
        <w:t xml:space="preserve">摘要（ZH）: </w:t>
      </w:r>
      <w:r>
        <w:t>球粒陨石由以前部分熔融的材料（称为球粒）组成，周围环绕着细粒基质。它们的历史可以追溯到太阳系历史上最早的时期。然而，它们在行星形成中的作用尚不确定，部分原因是尚不清楚它们是如何产生的。在这里，我们展示了在类地行星形成后期通过胚胎与胚胎碰撞形成含有球粒的陨石产生小行星的强大途径。这些撞击产生的熔化物质冷却成球粒，并与喷射物形成的以胚胎为中心的盘中未熔化的物质混合。这种物质聚集成许多小行星大小的卫星。这些物体后来由于与其他胚胎的引力相遇而被喷射到日心轨道上，从而成为球粒陨石的母体。这种机制提供了一条在太阳系历史中形成球粒陨石的途径，有时与测量的球粒年龄相当，同时解释了它们的许多物理特性。</w:t>
      </w:r>
    </w:p>
    <w:p>
      <w:pPr>
        <w:spacing w:before="0" w:after="200" w:lineRule="auto" w:line="276"/>
      </w:pPr>
      <w:r>
        <w:rPr>
          <w:b/>
        </w:rPr>
        <w:t xml:space="preserve">Abstract (EN): </w:t>
      </w:r>
      <w:r>
        <w:t>Chondrites are composed of formerly partially molten material, known as chondrules, surrounded by fine-grained matrix. They date from the earliest times in Solar System history. However, their role in the formation of the planets is uncertain because, in part, it is not clear how they were produced. Here, we show a robust pathway for forming meteorite-producing asteroids that contain chondrules through embryo-embryo collisions during the late stages of terrestrial planet formation. Melted material from these impacts cool into chondrules and mix with unmelted material in embryo-centric disks that formed from the ejecta. This material accretes into numerous asteroid-sized satellites. These objects are later ejected onto heliocentric orbits because of gravitational encounters with other embryos, thereby becoming the parent bodies of chondrites. This mechanism provides a pathway to form chondrites in Solar System history at times commensurate with measured chondrule ages, while explaining many of their physical properties.</w:t>
      </w:r>
    </w:p>
    <w:p>
      <w:pPr>
        <w:spacing w:before="120" w:after="120"/>
      </w:pPr>
      <w:r>
        <w:rPr>
          <w:sz w:val="18"/>
        </w:rPr>
        <w:t>——————————————————————————————————————————————————————————————————————</w:t>
      </w:r>
    </w:p>
    <w:p>
      <w:pPr>
        <w:spacing w:before="160" w:after="40" w:line="240" w:lineRule="auto"/>
      </w:pPr>
      <w:r>
        <w:rPr>
          <w:b/>
        </w:rPr>
        <w:t xml:space="preserve">[465] </w:t>
      </w:r>
      <w:hyperlink r:id="rId1064">
        <w:r>
          <w:rPr>
            <w:color w:val="1155CC"/>
            <w:u w:val="single"/>
          </w:rPr>
          <w:t>用芘标记的树枝状聚合物鉴定出胶束聚集体中的两个不同区域</w:t>
        </w:r>
      </w:hyperlink>
    </w:p>
    <w:p>
      <w:pPr>
        <w:spacing w:before="0" w:after="80"/>
      </w:pPr>
      <w:r>
        <w:rPr>
          <w:i/>
          <w:sz w:val="20"/>
        </w:rPr>
        <w:t>EN: Two distinct regions in micellar aggregates identified with pyrene-labeled dendrimers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65">
        <w:r>
          <w:rPr>
            <w:color w:val="1155CC"/>
            <w:u w:val="single"/>
          </w:rPr>
          <w:t>10.1126/sciadv.aed4545</w:t>
        </w:r>
      </w:hyperlink>
    </w:p>
    <w:p>
      <w:pPr>
        <w:spacing w:before="0" w:after="120"/>
      </w:pPr>
      <w:r>
        <w:rPr>
          <w:b/>
        </w:rPr>
        <w:t xml:space="preserve">Notes: </w:t>
      </w:r>
      <w:r>
        <w:t>abstract_source=crossref</w:t>
      </w:r>
    </w:p>
    <w:p>
      <w:pPr>
        <w:spacing w:before="0" w:after="80" w:lineRule="auto" w:line="276"/>
      </w:pPr>
      <w:r>
        <w:rPr>
          <w:b/>
        </w:rPr>
        <w:t xml:space="preserve">摘要（ZH）: </w:t>
      </w:r>
      <w:r>
        <w:t>这项研究通过证明胶束聚集体（MA）具有特定的表面活性剂微域，挑战了胶束聚集体（MA）是离子表面活性剂的简单组装体的基本表征，这些离子表面活性剂通过疏水尾部结合在一起并通过带电头基稳定。这些微域是在 SDS 的同一 MA 内带电和被氯化钠表面活性剂部分中和之间局部相分离的结果。它们用芘标记的聚酰胺胺树枝状聚合物进行表征。发现带电和部分中和的表面活性剂分别构成MA的极性边缘和非极性中间区域，其中树枝状聚合物将在空间上分隔自身。树枝状聚合物的荧光响应与边缘区域的体积分数直接相关，该体积分数是通过假设 MA 是圆柱体而计算的，其边缘被两个相同的半球所覆盖，该半球由 35 个带电的 SDS 分子组成。两个半球合并生成球形 SDS 胶束这一事实导致了合理化 MA 形成的一般机制。</w:t>
      </w:r>
    </w:p>
    <w:p>
      <w:pPr>
        <w:spacing w:before="0" w:after="200" w:lineRule="auto" w:line="276"/>
      </w:pPr>
      <w:r>
        <w:rPr>
          <w:b/>
        </w:rPr>
        <w:t xml:space="preserve">Abstract (EN): </w:t>
      </w:r>
      <w:r>
        <w:t>This study challenges the basic representation that micellar aggregates (MAs) are simple assemblies of ionic surfactants held together by their hydrophobic tails and stabilized by their charged headgroups by demonstrating that they exhibit specific surfactant microdomains. These microdomains are the result of local phase separation between charged and partially neutralized with sodium chloride surfactants inside the same MA of SDS. They were characterized with pyrene-labeled polyamidoamine dendrimers. The charged and partially neutralized surfactants were found to constitute the polar edge and apolar middle regions of MA, respectively, among which the dendrimers would spatially partition themselves. The fluorescence response of the dendrimers was directly related to the volume fraction of the edge region calculated by assuming that the MAs were cylinders whose edges were capped with two identical hemispheres consisting of 35 charged SDS molecules. The fact that merging the two hemispheres generates a spherical SDS micelle led to a general mechanism rationalizing the formation of MA.</w:t>
      </w:r>
    </w:p>
    <w:p>
      <w:pPr>
        <w:spacing w:before="120" w:after="120"/>
      </w:pPr>
      <w:r>
        <w:rPr>
          <w:sz w:val="18"/>
        </w:rPr>
        <w:t>——————————————————————————————————————————————————————————————————————</w:t>
      </w:r>
    </w:p>
    <w:p>
      <w:pPr>
        <w:spacing w:before="160" w:after="40" w:line="240" w:lineRule="auto"/>
      </w:pPr>
      <w:r>
        <w:rPr>
          <w:b/>
        </w:rPr>
        <w:t xml:space="preserve">[466] </w:t>
      </w:r>
      <w:hyperlink r:id="rId1066">
        <w:r>
          <w:rPr>
            <w:color w:val="1155CC"/>
            <w:u w:val="single"/>
          </w:rPr>
          <w:t>变质硫释放是持续冷却和大规模灭绝的驱动因素</w:t>
        </w:r>
      </w:hyperlink>
    </w:p>
    <w:p>
      <w:pPr>
        <w:spacing w:before="0" w:after="80"/>
      </w:pPr>
      <w:r>
        <w:rPr>
          <w:i/>
          <w:sz w:val="20"/>
        </w:rPr>
        <w:t>EN: Metamorphic sulfur release as a driver of sustained cooling and mass extinction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67">
        <w:r>
          <w:rPr>
            <w:color w:val="1155CC"/>
            <w:u w:val="single"/>
          </w:rPr>
          <w:t>10.1126/sciadv.aee2277</w:t>
        </w:r>
      </w:hyperlink>
    </w:p>
    <w:p>
      <w:pPr>
        <w:spacing w:before="0" w:after="120"/>
      </w:pPr>
      <w:r>
        <w:rPr>
          <w:b/>
        </w:rPr>
        <w:t xml:space="preserve">Notes: </w:t>
      </w:r>
      <w:r>
        <w:t>abstract_source=crossref</w:t>
      </w:r>
    </w:p>
    <w:p>
      <w:pPr>
        <w:spacing w:before="0" w:after="80" w:lineRule="auto" w:line="276"/>
      </w:pPr>
      <w:r>
        <w:rPr>
          <w:b/>
        </w:rPr>
        <w:t xml:space="preserve">摘要（ZH）: </w:t>
      </w:r>
      <w:r>
        <w:t>大型火成岩省的侵位可能会直接通过火山脱气以及通过含碳和硫的宿主沉积物的加热间接导致灾难性的挥发物释放。人们普遍认为，硫磺注入必须到达平流层才能驱动长期冷却；因此，这些间接变质硫排放几乎完全被忽略。在这里，我们证明，接触变质作用引起的碳和硫排放可能会持续足够长的时间，从而导致百年规模的硫酸盐气溶胶驱动的几个开尔文的冷却峰值，叠加在二氧化碳温室效应造成的千年规模的变暖之上。我们使用沉积物变质作用模型以及简单的碳循环和气候响应的行星能量平衡模型来探索这种关系。我们的研究结果表明，变质硫源应被视为大型火成岩省侵占期间全球持续变冷的驱动因素，对显生宙生物危机（例如三叠纪末期大规模灭绝）具有潜在影响。</w:t>
      </w:r>
    </w:p>
    <w:p>
      <w:pPr>
        <w:spacing w:before="0" w:after="200" w:lineRule="auto" w:line="276"/>
      </w:pPr>
      <w:r>
        <w:rPr>
          <w:b/>
        </w:rPr>
        <w:t xml:space="preserve">Abstract (EN): </w:t>
      </w:r>
      <w:r>
        <w:t>The emplacement of large igneous provinces may drive catastrophic volatile release, both directly through volcanic degassing and indirectly through heating of carbon- and sulfur-bearing host sediments. It is broadly assumed that sulfur injection must reach the stratosphere to drive long-term cooling; thus, these indirect metamorphic sulfur emissions have been almost entirely ignored. Here, we demonstrate that plausible carbon and sulfur emissions from contact metamorphism may be sustained long enough to cause centennial-scale sulfate aerosol–driven cooling spikes of several kelvins superimposed on millennial-scale warming from the carbon dioxide greenhouse effect. We use modeling of sediment metamorphism along with simple carbon cycle and planetary energy balance models of the climate response to explore this relationship. Our results suggest that a metamorphic sulfur source should be considered as a driver of sustained global cooling during large igneous province emplacement, with potential implications for Phanerozoic biotic crises such as the End-Triassic Mass Extinction.</w:t>
      </w:r>
    </w:p>
    <w:p>
      <w:pPr>
        <w:spacing w:before="120" w:after="120"/>
      </w:pPr>
      <w:r>
        <w:rPr>
          <w:sz w:val="18"/>
        </w:rPr>
        <w:t>——————————————————————————————————————————————————————————————————————</w:t>
      </w:r>
    </w:p>
    <w:p>
      <w:pPr>
        <w:spacing w:before="160" w:after="40" w:line="240" w:lineRule="auto"/>
      </w:pPr>
      <w:r>
        <w:rPr>
          <w:b/>
        </w:rPr>
        <w:t xml:space="preserve">[467] </w:t>
      </w:r>
      <w:hyperlink r:id="rId1068">
        <w:r>
          <w:rPr>
            <w:color w:val="1155CC"/>
            <w:u w:val="single"/>
          </w:rPr>
          <w:t>一种软可穿戴近红外光谱系统，用于检测与睡眠期间类淋巴活动相关的脑水动态</w:t>
        </w:r>
      </w:hyperlink>
    </w:p>
    <w:p>
      <w:pPr>
        <w:spacing w:before="0" w:after="80"/>
      </w:pPr>
      <w:r>
        <w:rPr>
          <w:i/>
          <w:sz w:val="20"/>
        </w:rPr>
        <w:t>EN: A soft wearable near-infrared spectroscopy system for detecting brain water dynamics linked to glymphatic activity during sleep</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69">
        <w:r>
          <w:rPr>
            <w:color w:val="1155CC"/>
            <w:u w:val="single"/>
          </w:rPr>
          <w:t>10.1126/sciadv.aed2056</w:t>
        </w:r>
      </w:hyperlink>
    </w:p>
    <w:p>
      <w:pPr>
        <w:spacing w:before="0" w:after="120"/>
      </w:pPr>
      <w:r>
        <w:rPr>
          <w:b/>
        </w:rPr>
        <w:t xml:space="preserve">Notes: </w:t>
      </w:r>
      <w:r>
        <w:t>abstract_source=crossref</w:t>
      </w:r>
    </w:p>
    <w:p>
      <w:pPr>
        <w:spacing w:before="0" w:after="80" w:lineRule="auto" w:line="276"/>
      </w:pPr>
      <w:r>
        <w:rPr>
          <w:b/>
        </w:rPr>
        <w:t xml:space="preserve">摘要（ZH）: </w:t>
      </w:r>
      <w:r>
        <w:t>睡眠是对整体大脑健康至关重要的重要生理过程。最近的研究表明，类淋巴系统是促进代谢废物清除的关键角色。然而，持续实时监测睡眠期间的脑水动态仍然具有很大的挑战性。在这里，我们引入了一种柔软的可穿戴近红外光谱（NIRS）系统来检测可能与类淋巴活动相关的脑水动态。该器件集成了多波长 LED 和光电探测器。对多名人类受试者进行的体内研究捕获了该设备在自然家庭环境中的夜间睡眠监测，揭示了不同睡眠阶段脑水动态的持续变化。我们的结果支持睡眠阶段依赖的水动力学和类淋巴活动之间的联系。频谱分析可识别睡眠期间的多种生理节律，包括呼吸、心率以及与慢波活动相关的振荡。这些进步显着增强了 NIRS 系统更深入了解大脑健康的潜力。</w:t>
      </w:r>
    </w:p>
    <w:p>
      <w:pPr>
        <w:spacing w:before="0" w:after="200" w:lineRule="auto" w:line="276"/>
      </w:pPr>
      <w:r>
        <w:rPr>
          <w:b/>
        </w:rPr>
        <w:t xml:space="preserve">Abstract (EN): </w:t>
      </w:r>
      <w:r>
        <w:t>Sleep is a critical physiological process essential for overall brain health. Recent research shows that the glymphatic system is a key player in facilitating the metabolic waste clearance. However, the continuous real-time monitoring of brain water dynamics during sleep remains substantially challenging. Here, we introduce a soft, wearable near-infrared spectroscopy (NIRS) system to detect brain water dynamics potentially linked to glymphatic activity. The device features an integration of multi-wavelength LEDs and photodetectors. The in vivo study with multiple human subjects captures the device’s overnight sleep monitoring in a natural home environment, revealing continuous changes in brain water dynamics across different sleep stages. Our results support the link between sleep stage-dependent water dynamics and glymphatic activity. Spectral analysis identifies several physiological rhythms during sleep, including respiration, heart rate, and oscillations linked to slow-wave activity. These advancements significantly enhance the NIRS system’s potential for a deeper understanding of brain health.</w:t>
      </w:r>
    </w:p>
    <w:p>
      <w:pPr>
        <w:spacing w:before="120" w:after="120"/>
      </w:pPr>
      <w:r>
        <w:rPr>
          <w:sz w:val="18"/>
        </w:rPr>
        <w:t>——————————————————————————————————————————————————————————————————————</w:t>
      </w:r>
    </w:p>
    <w:p>
      <w:pPr>
        <w:spacing w:before="160" w:after="40" w:line="240" w:lineRule="auto"/>
      </w:pPr>
      <w:r>
        <w:rPr>
          <w:b/>
        </w:rPr>
        <w:t xml:space="preserve">[468] </w:t>
      </w:r>
      <w:hyperlink r:id="rId1070">
        <w:r>
          <w:rPr>
            <w:color w:val="1155CC"/>
            <w:u w:val="single"/>
          </w:rPr>
          <w:t>上地壳条件下流体驱动的地震滑动锋的传播</w:t>
        </w:r>
      </w:hyperlink>
    </w:p>
    <w:p>
      <w:pPr>
        <w:spacing w:before="0" w:after="80"/>
      </w:pPr>
      <w:r>
        <w:rPr>
          <w:i/>
          <w:sz w:val="20"/>
        </w:rPr>
        <w:t>EN: Propagation of fluid-driven aseismic slip fronts under upper crustal conditions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71">
        <w:r>
          <w:rPr>
            <w:color w:val="1155CC"/>
            <w:u w:val="single"/>
          </w:rPr>
          <w:t>10.1126/sciadv.aeb0234</w:t>
        </w:r>
      </w:hyperlink>
    </w:p>
    <w:p>
      <w:pPr>
        <w:spacing w:before="0" w:after="120"/>
      </w:pPr>
      <w:r>
        <w:rPr>
          <w:b/>
        </w:rPr>
        <w:t xml:space="preserve">Notes: </w:t>
      </w:r>
      <w:r>
        <w:t>abstract_source=crossref</w:t>
      </w:r>
    </w:p>
    <w:p>
      <w:pPr>
        <w:spacing w:before="0" w:after="80" w:lineRule="auto" w:line="276"/>
      </w:pPr>
      <w:r>
        <w:rPr>
          <w:b/>
        </w:rPr>
        <w:t xml:space="preserve">摘要（ZH）: </w:t>
      </w:r>
      <w:r>
        <w:t>断裂力学模型表明，抗震滑动可能滞后于或超过流体压力前沿，具体取决于注入条件和断层的初始应力状态。然而，这些预测缺乏直接的实验验证。在这里，我们报告了上地壳应力条件下花岗岩样品的实验室实验，其中我们同时跟踪了流体注入过程中流体压力和地震滑移的传播。我们发现，在低注入速率和低初始应力下，抗震滑动滞后于压力前沿，但在高速率注入或接近失效初始应力条件下，抗震滑动迅速超过压力前沿。该转变由无量纲加载参数控制，该参数集成了注入速率、断层强度和初始剪切应力。我们的结果为流体引起的抗震滑移的断裂力学模型提供了直接支持，并表明在临界应力的地壳断层中，破裂传播通常可能超过流体扩散。</w:t>
      </w:r>
    </w:p>
    <w:p>
      <w:pPr>
        <w:spacing w:before="0" w:after="200" w:lineRule="auto" w:line="276"/>
      </w:pPr>
      <w:r>
        <w:rPr>
          <w:b/>
        </w:rPr>
        <w:t xml:space="preserve">Abstract (EN): </w:t>
      </w:r>
      <w:r>
        <w:t>Fracture mechanics models suggest that aseismic slip may either lag behind or outpace the fluid pressure front, depending on injection conditions and the fault’s initial stress state. However, direct experimental validation of these predictions has been lacking. Here, we report laboratory experiments on granite samples under upper crustal stress conditions, where we simultaneously tracked the propagation of fluid pressure and aseismic slip during fluid injection. We show that aseismic slip lags the pressure front at low injection rates and low initial stress but rapidly outpaces it under high-rate injection or near-failure initial stress conditions. The transition is governed by a dimensionless loading parameter that integrates injection rate, fault strength, and initial shear stress. Our results provide direct support for fracture mechanics models of fluid-induced aseismic slip and suggest that in critically stressed crustal faults, rupture propagation may commonly outpace fluid diffusion.</w:t>
      </w:r>
    </w:p>
    <w:p>
      <w:pPr>
        <w:spacing w:before="120" w:after="120"/>
      </w:pPr>
      <w:r>
        <w:rPr>
          <w:sz w:val="18"/>
        </w:rPr>
        <w:t>——————————————————————————————————————————————————————————————————————</w:t>
      </w:r>
    </w:p>
    <w:p>
      <w:pPr>
        <w:spacing w:before="160" w:after="40" w:line="240" w:lineRule="auto"/>
      </w:pPr>
      <w:r>
        <w:rPr>
          <w:b/>
        </w:rPr>
        <w:t xml:space="preserve">[469] </w:t>
      </w:r>
      <w:hyperlink r:id="rId1072">
        <w:r>
          <w:rPr>
            <w:color w:val="1155CC"/>
            <w:u w:val="single"/>
          </w:rPr>
          <w:t>在高海拔地区实现粮食生产和保护目标的机遇和风险：来自青藏高原的证据</w:t>
        </w:r>
      </w:hyperlink>
    </w:p>
    <w:p>
      <w:pPr>
        <w:spacing w:before="0" w:after="80"/>
      </w:pPr>
      <w:r>
        <w:rPr>
          <w:i/>
          <w:sz w:val="20"/>
        </w:rPr>
        <w:t>EN: Opportunity and risk in achieving food production and conservation goals at high altitude: Evidence from the Tibetan Plateau</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73">
        <w:r>
          <w:rPr>
            <w:color w:val="1155CC"/>
            <w:u w:val="single"/>
          </w:rPr>
          <w:t>10.1073/pnas.2600030123</w:t>
        </w:r>
      </w:hyperlink>
    </w:p>
    <w:p>
      <w:pPr>
        <w:spacing w:before="0" w:after="120"/>
      </w:pPr>
      <w:r>
        <w:rPr>
          <w:b/>
        </w:rPr>
        <w:t xml:space="preserve">Notes: </w:t>
      </w:r>
      <w:r>
        <w:t>abstract_source=crossref</w:t>
      </w:r>
    </w:p>
    <w:p>
      <w:pPr>
        <w:spacing w:before="0" w:after="80" w:lineRule="auto" w:line="276"/>
      </w:pPr>
      <w:r>
        <w:rPr>
          <w:b/>
        </w:rPr>
        <w:t xml:space="preserve">摘要（ZH）: </w:t>
      </w:r>
      <w:r>
        <w:t>青藏高原是地球上海拔最高、面积最大的高原，农业环境恶劣，也是全球生物多样性热点地区，同时满足粮食生产和保护目标提出了挑战。目前，农业涉及陡坡作物生产和过度放牧，这威胁着未来的生产力。青藏高原也正在经历气候变化。我们评估了 1990 年至 2020 年的粮食生产，并利用这些结果来模拟青藏高原粮食生产的未来趋势和风险。我们评估在气候变化情景下同时实现粮食生产和保护目标的可行性。三十年来粮食产量增长了 32.33%，提供了 2,892.98 kcal d</w:t>
      </w:r>
      <w:r>
        <w:t xml:space="preserve"> </w:t>
      </w:r>
      <w:r>
        <w:t>−1</w:t>
      </w:r>
      <w:r>
        <w:t xml:space="preserve"> </w:t>
      </w:r>
      <w:r>
        <w:t>帽</w:t>
      </w:r>
      <w:r>
        <w:t xml:space="preserve"> </w:t>
      </w:r>
      <w:r>
        <w:t>−1</w:t>
      </w:r>
      <w:r>
        <w:t xml:space="preserve"> </w:t>
      </w:r>
      <w:r>
        <w:t>，满足粮食自给绰绰有余。在气候变化下，青藏高原在共享社会经济路径（SSP）SSP126、SSP245和SSP585的作用下将变得更加温暖和湿润，再加上农业进步（例如机械化和灌溉的改善），即使耕地面积减少10%（大于所有陡坡耕地的总面积），也可能导致产量增加，从而使陡坡耕地和耕地退役。减少牲畜数量，同时仍能实现粮食生产目标。与此同时，包括碳固存、保水和栖息地质量在内的关键生态系统服务预计也将大幅改善。尽管如此，日益增加的频率和严重性</w:t>
      </w:r>
    </w:p>
    <w:p>
      <w:pPr>
        <w:spacing w:before="0" w:after="200" w:lineRule="auto" w:line="276"/>
      </w:pPr>
      <w:r>
        <w:rPr>
          <w:b/>
        </w:rPr>
        <w:t xml:space="preserve">Abstract (EN): </w:t>
      </w:r>
      <w:r>
        <w:t>The Tibetan Plateau, the Earth’s highest and largest plateau, has a harsh environment for agriculture, and is a global biodiversity hotspot, raising the challenge of simultaneously satisfying food production and conservation goals. Currently, agriculture involves crop production on steep slopes and overgrazing, which threatens future productivity. The Tibetan Plateau is also undergoing climate change. We evaluate food production from 1990 to 2020 and use these results to model future trends and risks to food production on the Tibetan Plateau. We assess the feasibility of achieving both food production and conservation goals simultaneously under climate change scenarios. Food production increased 32.33% over three decades, providing 2,892.98 kcal d</w:t>
      </w:r>
      <w:r>
        <w:t xml:space="preserve"> </w:t>
      </w:r>
      <w:r>
        <w:t>−1</w:t>
      </w:r>
      <w:r>
        <w:t xml:space="preserve"> </w:t>
      </w:r>
      <w:r>
        <w:t>cap</w:t>
      </w:r>
      <w:r>
        <w:t xml:space="preserve"> </w:t>
      </w:r>
      <w:r>
        <w:t>−1</w:t>
      </w:r>
      <w:r>
        <w:t xml:space="preserve"> </w:t>
      </w:r>
      <w:r>
        <w:t>, more than enough to satisfy food self-sufficiency. Under climate change, the Tibetan Plateau will become warmer and wetter under Shared Socioeconomic Pathways (SSPs) SSP126, SSP245, and SSP585, which combined with agricultural advances (e.g., improved mechanization and irrigation), will likely result in increased yields even with a 10% reduction in cropland area—greater than the total area of all steeply sloping cropland, thereby allowing retirement of steeply sloping cropland and livestock reductions while still meeting food production goals. Meanwhile, key ecosystem services, including carbon sequestration, water retention, and habitat quality, are also projected to improve substantially. Nonetheless, the increasing frequency and severity of extreme weather events are expected to reduce food production, undermine current dietary requirements and may threaten the minimum nutritional intake required for humans.</w:t>
      </w:r>
    </w:p>
    <w:p>
      <w:pPr>
        <w:spacing w:before="120" w:after="120"/>
      </w:pPr>
      <w:r>
        <w:rPr>
          <w:sz w:val="18"/>
        </w:rPr>
        <w:t>——————————————————————————————————————————————————————————————————————</w:t>
      </w:r>
    </w:p>
    <w:p>
      <w:pPr>
        <w:spacing w:before="160" w:after="40" w:line="240" w:lineRule="auto"/>
      </w:pPr>
      <w:r>
        <w:rPr>
          <w:b/>
        </w:rPr>
        <w:t xml:space="preserve">[470] </w:t>
      </w:r>
      <w:hyperlink r:id="rId1074">
        <w:r>
          <w:rPr>
            <w:color w:val="1155CC"/>
            <w:u w:val="single"/>
          </w:rPr>
          <w:t>抑制弹性蛋白降解可减轻衰老小鼠、狗和人类模型的关节退化</w:t>
        </w:r>
      </w:hyperlink>
    </w:p>
    <w:p>
      <w:pPr>
        <w:spacing w:before="0" w:after="80"/>
      </w:pPr>
      <w:r>
        <w:rPr>
          <w:i/>
          <w:sz w:val="20"/>
        </w:rPr>
        <w:t>EN: Inhibition of elastin degradation alleviates joint degeneration in aging mice, dogs, and human models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75">
        <w:r>
          <w:rPr>
            <w:color w:val="1155CC"/>
            <w:u w:val="single"/>
          </w:rPr>
          <w:t>10.1073/pnas.2537622123</w:t>
        </w:r>
      </w:hyperlink>
    </w:p>
    <w:p>
      <w:pPr>
        <w:spacing w:before="0" w:after="120"/>
      </w:pPr>
      <w:r>
        <w:rPr>
          <w:b/>
        </w:rPr>
        <w:t xml:space="preserve">Notes: </w:t>
      </w:r>
      <w:r>
        <w:t>abstract_source=crossref</w:t>
      </w:r>
    </w:p>
    <w:p>
      <w:pPr>
        <w:spacing w:before="0" w:after="80" w:lineRule="auto" w:line="276"/>
      </w:pPr>
      <w:r>
        <w:rPr>
          <w:b/>
        </w:rPr>
        <w:t xml:space="preserve">摘要（ZH）: </w:t>
      </w:r>
      <w:r>
        <w:t>细胞外基质降解是骨关节炎的基本病理特征，而降解基质的作用仍然很大程度上未知。我们之前表明血清弹性蛋白片段是全身衰老的驱动因素。在这里，我们发现双中心骨关节炎患者滑液中的弹性蛋白片段上调。弹性蛋白碎片会严重损害小鼠和人类外植体的关节组织。从机制上讲，含有缬氨酸-甘氨酸-缬氨酸-丙氨酸-脯氨酸-甘氨酸（VGVAPG）寡肽（E-基序）的特定弹性蛋白基序通过神经氨酸酶-1（弹性蛋白受体复合物的一个组成部分）促进巨噬细胞分泌炎症因子。这些炎症因子与 E 基序一起上调软骨细胞中的血清淀粉样 A3 蛋白，加速软骨退化。在治疗上，中性粒细胞弹性蛋白酶的骨髓特异性敲除和临床应用药物（西维来司他）的药理抑制都通过降低弹性蛋白片段水平来减轻自然衰老小鼠的关节退化。该药物抑制剂在狗中表现出 1 年全身安全性，并减轻了自然衰老的狗和人类外植体中的骨关节炎样表型。最后，一些基质片段，包括 II 型胶原、纤连蛋白、透明质酸和聚集蛋白聚糖的片段，被证明普遍诱导软骨退化。最后，这项研究确定了降解基质，尤其是弹性蛋白片段，是通过病理性巨噬细胞-软骨细胞串扰导致关节退化的驱动因素之一，su</w:t>
      </w:r>
    </w:p>
    <w:p>
      <w:pPr>
        <w:spacing w:before="0" w:after="200" w:lineRule="auto" w:line="276"/>
      </w:pPr>
      <w:r>
        <w:rPr>
          <w:b/>
        </w:rPr>
        <w:t xml:space="preserve">Abstract (EN): </w:t>
      </w:r>
      <w:r>
        <w:t>Extracellular matrix degradation is a fundamental pathological feature of osteoarthritis, while the roles of degraded matrix remain largely unknown. We previously showed that serum elastin fragments were a systemic aging driver. Here, we found that elastin fragments were upregulated in synovial fluid in dual-center osteoarthritis patients. Elastin fragments actively impaired joint tissue in mice and human explants. Mechanistically, a specific elastin motif containing Valine-Glycine-Valine-Alanine-Proline-Glycine (VGVAPG) oligopeptide (E-motif) promoted macrophage secretion of inflammatory factors via the neuraminidase-1, a component of the elastin receptor complex. These inflammatory factors, together with the E-motif, upregulated serum amyloid A3 protein in chondrocytes, accelerating cartilage degeneration. Therapeutically, both the myeloid-specific knockout of neutrophil elastase and the pharmacological inhibition using a clinically applied drug (sivelestat) alleviated joint degeneration in naturally aging mice partly by reducing elastin fragments levels. The pharmacological inhibitor exhibited 1-y systemic safety in dogs and alleviated osteoarthritis-like phenotypes in naturally aging dogs and human explants. Finally, several matrix fragments, including the fragments of type II collagen, fibronectin, hyaluronic acid, and aggrecan, were demonstrated to universally induce cartilage degeneration. Conclusively, this study identifies degraded matrix, especially elastin fragments, as one of the drivers of joint degeneration via pathological macrophage–chondrocyte crosstalk, suggesting elastase inhibitors as a potential therapeutic strategy for aging-related osteoarthritis.</w:t>
      </w:r>
    </w:p>
    <w:p>
      <w:pPr>
        <w:spacing w:before="120" w:after="120"/>
      </w:pPr>
      <w:r>
        <w:rPr>
          <w:sz w:val="18"/>
        </w:rPr>
        <w:t>——————————————————————————————————————————————————————————————————————</w:t>
      </w:r>
    </w:p>
    <w:p>
      <w:pPr>
        <w:spacing w:before="160" w:after="40" w:line="240" w:lineRule="auto"/>
      </w:pPr>
      <w:r>
        <w:rPr>
          <w:b/>
        </w:rPr>
        <w:t xml:space="preserve">[471] </w:t>
      </w:r>
      <w:hyperlink r:id="rId1076">
        <w:r>
          <w:rPr>
            <w:color w:val="1155CC"/>
            <w:u w:val="single"/>
          </w:rPr>
          <w:t>糖脂减缓界面质子迁移，同时保持表面质子保留</w:t>
        </w:r>
      </w:hyperlink>
    </w:p>
    <w:p>
      <w:pPr>
        <w:spacing w:before="0" w:after="80"/>
      </w:pPr>
      <w:r>
        <w:rPr>
          <w:i/>
          <w:sz w:val="20"/>
        </w:rPr>
        <w:t>EN: Glycolipids slow interfacial proton migration while preserving surface proton retention</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77">
        <w:r>
          <w:rPr>
            <w:color w:val="1155CC"/>
            <w:u w:val="single"/>
          </w:rPr>
          <w:t>10.1073/pnas.2537390123</w:t>
        </w:r>
      </w:hyperlink>
    </w:p>
    <w:p>
      <w:pPr>
        <w:spacing w:before="0" w:after="120"/>
      </w:pPr>
      <w:r>
        <w:rPr>
          <w:b/>
        </w:rPr>
        <w:t xml:space="preserve">Notes: </w:t>
      </w:r>
      <w:r>
        <w:t>abstract_source=crossref</w:t>
      </w:r>
    </w:p>
    <w:p>
      <w:pPr>
        <w:spacing w:before="0" w:after="80" w:lineRule="auto" w:line="276"/>
      </w:pPr>
      <w:r>
        <w:rPr>
          <w:b/>
        </w:rPr>
        <w:t xml:space="preserve">摘要（ZH）: </w:t>
      </w:r>
      <w:r>
        <w:t>质子梯度为不同的生物过程提供动力，但如何调节界面质子迁移仍不清楚。在这里，我们使用一种通过嵌入式离子载体直接在膜片表面释放质子的方法来量化膜成分如何控制界面质子迁移。通过荧光监测质子到达穿过中性、带负电和带正电膜的远处斑块，我们证实侧表面扩散系数和质子释放到本体中的激活势垒变化相当小。与膜静电相反，类囊体膜典型的糖脂（二半乳糖基二酰基甘油和磺基喹诺糖基二酰基甘油）的膜掺入导致横向质子扩散系数更显着降低，而对表面到本体释放屏障的影响相对较小。因此，界面质子迁移主要由水化层特性而不是膜电荷控制。这些结果确立了膜锚定糖作为长程质子传导的有效调节剂，并为富含糖脂的生物膜中的局部质子耦合提供了机制框架。</w:t>
      </w:r>
    </w:p>
    <w:p>
      <w:pPr>
        <w:spacing w:before="0" w:after="200" w:lineRule="auto" w:line="276"/>
      </w:pPr>
      <w:r>
        <w:rPr>
          <w:b/>
        </w:rPr>
        <w:t xml:space="preserve">Abstract (EN): </w:t>
      </w:r>
      <w:r>
        <w:t>Proton gradients power diverse biological processes, yet how interfacial proton migration is regulated remains unclear. Here we quantify how membrane composition controls interfacial proton migration using an approach that releases protons directly at the surface of a membrane patch via an embedded ionophore. Fluorometrically monitoring proton arrival at a distant patch across neutral, negatively charged, and positively charged membranes, we confirm that both the lateral surface diffusion coefficient and the activation barrier for proton release into the bulk vary rather modestly. In contrast to membrane electrostatics, membrane incorporation of glycolipids typical of thylakoid membranes—digalactosyldiacylglycerol and sulfoquinovosyldiacylglycerol—leads to a more pronounced reduction of the lateral proton diffusion coefficient, with comparatively small effects on the surface-to-bulk release barrier. Thus, interfacial proton migration is governed primarily by hydration-layer properties rather than membrane charge. These results establish membrane-anchored sugars as potent modulators of long-range proton conduction and provide a mechanistic framework for localized proton coupling in glycolipid-rich biological membranes.</w:t>
      </w:r>
    </w:p>
    <w:p>
      <w:pPr>
        <w:spacing w:before="120" w:after="120"/>
      </w:pPr>
      <w:r>
        <w:rPr>
          <w:sz w:val="18"/>
        </w:rPr>
        <w:t>——————————————————————————————————————————————————————————————————————</w:t>
      </w:r>
    </w:p>
    <w:p>
      <w:pPr>
        <w:spacing w:before="160" w:after="40" w:line="240" w:lineRule="auto"/>
      </w:pPr>
      <w:r>
        <w:rPr>
          <w:b/>
        </w:rPr>
        <w:t xml:space="preserve">[472] </w:t>
      </w:r>
      <w:hyperlink r:id="rId1078">
        <w:r>
          <w:rPr>
            <w:color w:val="1155CC"/>
            <w:u w:val="single"/>
          </w:rPr>
          <w:t>中性粒细胞的昼夜节律筛查可确定多发性硬化症的治疗靶点</w:t>
        </w:r>
      </w:hyperlink>
    </w:p>
    <w:p>
      <w:pPr>
        <w:spacing w:before="0" w:after="80"/>
      </w:pPr>
      <w:r>
        <w:rPr>
          <w:i/>
          <w:sz w:val="20"/>
        </w:rPr>
        <w:t>EN: Circadian screening of neutrophils identifies therapeutic targets in multiple sclerosis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79">
        <w:r>
          <w:rPr>
            <w:color w:val="1155CC"/>
            <w:u w:val="single"/>
          </w:rPr>
          <w:t>10.1073/pnas.2536812123</w:t>
        </w:r>
      </w:hyperlink>
    </w:p>
    <w:p>
      <w:pPr>
        <w:spacing w:before="0" w:after="120"/>
      </w:pPr>
      <w:r>
        <w:rPr>
          <w:b/>
        </w:rPr>
        <w:t xml:space="preserve">Notes: </w:t>
      </w:r>
      <w:r>
        <w:t>abstract_source=crossref</w:t>
      </w:r>
    </w:p>
    <w:p>
      <w:pPr>
        <w:spacing w:before="0" w:after="80" w:lineRule="auto" w:line="276"/>
      </w:pPr>
      <w:r>
        <w:rPr>
          <w:b/>
        </w:rPr>
        <w:t xml:space="preserve">摘要（ZH）: </w:t>
      </w:r>
      <w:r>
        <w:t>昼夜节律是内在的计时机制，在调节免疫力方面发挥着关键作用。在这里，我们研究了昼夜节律对实验性自身免疫性脑脊髓炎（EAE）（多发性硬化症（MS）小鼠模型）发病机制的影响。我们证明，在 EAE 早期，即症状出现之前，血液中的循环中性粒细胞显着增加。重要的是，我们发现这些细胞以一天中的时间（ToD）依赖性方式浸润中枢神经系统（CNS），在小鼠行为活跃期（晚上）开始时浸润增加。 CNS 浸润性中性粒细胞的转录组分析揭示了独特的 ToD 依赖性基因表达谱，将甲酰肽受体 2 (FPR2) 确定为潜在的治疗候选者，因为 FPR2 的药理抑制可降低 EAE 疾病的严重程度。此外，与靶向 VLA-4 的药物（在临床实践中以商品名 Natalizumab 用于治疗多发性硬化症）的组合治疗会产生累加效应，显着减轻 EAE 症状。总之，这些发现强调了 EAE 发展过程中昼夜免疫细胞动态的重要性，并提供了 MS 动物模型中昼夜免疫景观的特征，从而确定了 MS 治疗的潜在靶点。</w:t>
      </w:r>
    </w:p>
    <w:p>
      <w:pPr>
        <w:spacing w:before="0" w:after="200" w:lineRule="auto" w:line="276"/>
      </w:pPr>
      <w:r>
        <w:rPr>
          <w:b/>
        </w:rPr>
        <w:t xml:space="preserve">Abstract (EN): </w:t>
      </w:r>
      <w:r>
        <w:t>Circadian rhythms are intrinsic time-keeping mechanisms that play a critical role in tuning immunity. Here, we investigated the impact of circadian rhythms on the pathogenesis of experimental autoimmune encephalomyelitis (EAE), a mouse model for multiple sclerosis (MS). We demonstrate that circulating neutrophils in blood significantly increase early in EAE, prior to symptoms onset. Importantly, we found that these cells infiltrate the central nervous system (CNS) in a time-of-day (ToD)-dependent manner, with increased infiltration at the onset of the behavioral active phase of the mice (evening). Transcriptomic analysis of CNS-infiltrating neutrophils revealed distinct ToD-dependent gene expression profiles, which identified Formyl peptide receptor 2 (FPR2) as a potential therapeutic candidate, since pharmacological inhibition of FPR2 led to reduced EAE disease severity. Furthermore, combinatorial treatment with a drug that targets VLA-4 (used in clinical practice under the trade name Natalizumab to treat MS) led to additive effects, substantially reducing EAE symptoms. Together, these findings highlight the importance of circadian immune cell dynamics during EAE development and provide a characterization of the circadian immune landscape in an animal model of MS, identifying potential targets for MS therapies.</w:t>
      </w:r>
    </w:p>
    <w:p>
      <w:pPr>
        <w:spacing w:before="120" w:after="120"/>
      </w:pPr>
      <w:r>
        <w:rPr>
          <w:sz w:val="18"/>
        </w:rPr>
        <w:t>——————————————————————————————————————————————————————————————————————</w:t>
      </w:r>
    </w:p>
    <w:p>
      <w:pPr>
        <w:spacing w:before="160" w:after="40" w:line="240" w:lineRule="auto"/>
      </w:pPr>
      <w:r>
        <w:rPr>
          <w:b/>
        </w:rPr>
        <w:t xml:space="preserve">[473] </w:t>
      </w:r>
      <w:hyperlink r:id="rId1080">
        <w:r>
          <w:rPr>
            <w:color w:val="1155CC"/>
            <w:u w:val="single"/>
          </w:rPr>
          <w:t>mRNA 脂质纳米颗粒癌症疫苗平台提供多种 STING 激活剂以增强抗肿瘤活性</w:t>
        </w:r>
      </w:hyperlink>
    </w:p>
    <w:p>
      <w:pPr>
        <w:spacing w:before="0" w:after="80"/>
      </w:pPr>
      <w:r>
        <w:rPr>
          <w:i/>
          <w:sz w:val="20"/>
        </w:rPr>
        <w:t>EN: mRNA lipid nanoparticle cancer vaccine platform delivering multiple STING activators for enhanced antitumor activity</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81">
        <w:r>
          <w:rPr>
            <w:color w:val="1155CC"/>
            <w:u w:val="single"/>
          </w:rPr>
          <w:t>10.1073/pnas.2525718123</w:t>
        </w:r>
      </w:hyperlink>
    </w:p>
    <w:p>
      <w:pPr>
        <w:spacing w:before="0" w:after="120"/>
      </w:pPr>
      <w:r>
        <w:rPr>
          <w:b/>
        </w:rPr>
        <w:t xml:space="preserve">Notes: </w:t>
      </w:r>
      <w:r>
        <w:t>abstract_source=crossref</w:t>
      </w:r>
    </w:p>
    <w:p>
      <w:pPr>
        <w:spacing w:before="0" w:after="80" w:lineRule="auto" w:line="276"/>
      </w:pPr>
      <w:r>
        <w:rPr>
          <w:b/>
        </w:rPr>
        <w:t xml:space="preserve">摘要（ZH）: </w:t>
      </w:r>
      <w:r>
        <w:t>基于 mRNA 的癌症疫苗提供了一个模块化且安全的平台来引发抗肿瘤免疫，但其功效通常受到低效 mRNA 传递和树突状细胞 (DC) 激活不足的限制，而这两者对于启动强大的细胞毒性 T 细胞反应至关重要。先天免疫激活不足加上抗原呈递不良进一步降低了它们的有效性，特别是在免疫学“冷”肿瘤中。虽然干扰素基因刺激剂 (STING) 激动剂可以增强 DC 成熟和交叉呈递，但其治疗效用受到细胞内递送不良和与肿瘤抗原有限共定位的限制。在这项研究中，我们通过高通量筛选可电离脂质，开发了脂质纳米颗粒 (LNP) 平台，以便在体外和体内将 mRNA 有效递送至 DC。为了增强免疫激活，我们将 STING 激动剂 c-di-AMP (AMP) 和锰 (Mn</w:t>
      </w:r>
      <w:r>
        <w:t xml:space="preserve"> </w:t>
      </w:r>
      <w:r>
        <w:t>2+</w:t>
      </w:r>
      <w:r>
        <w:t xml:space="preserve"> </w:t>
      </w:r>
      <w:r>
        <w:t>) 与肿瘤抗原编码 mRNA 一起进入先导 LNP 制剂中。这种共传递策略协同激活 I 型干扰素信号传导、上调共刺激分子、增强抗原呈递，并引发有效的肿瘤特异性 T 细胞反应和卓越的抗肿瘤功效。我们的结果表明，将先天免疫刺激与 mRNA-LNP 递送相结合提供了一种有前途的策略，可以克服目前 mRNA 疫苗功效的局限性并改善癌症免疫治疗结果。</w:t>
      </w:r>
    </w:p>
    <w:p>
      <w:pPr>
        <w:spacing w:before="0" w:after="200" w:lineRule="auto" w:line="276"/>
      </w:pPr>
      <w:r>
        <w:rPr>
          <w:b/>
        </w:rPr>
        <w:t xml:space="preserve">Abstract (EN): </w:t>
      </w:r>
      <w:r>
        <w:t>mRNA-based cancer vaccines offer a modular and safe platform to elicit antitumor immunity, yet their efficacy is often limited by inefficient mRNA delivery and inadequate dendritic cell (DC) activation, both of which are essential for initiating robust cytotoxic T cell responses. Inadequate innate immune activation coupled with poor antigen presentation further diminishes their effectiveness, particularly in immunologically “cold” tumors. While stimulator of interferon genes (STING) agonists can enhance DC maturation and cross-presentation, their therapeutic utility is constrained by poor intracellular delivery and limited colocalization with tumor antigens. In this study, we developed a lipid nanoparticle (LNP) platform via high-throughput screening of ionizable lipids for potent mRNA delivery to DCs both in vitro and in vivo. To amplify immune activation, we coencapsulated the STING agonists c-di-AMP (AMP) and manganese (Mn</w:t>
      </w:r>
      <w:r>
        <w:t xml:space="preserve"> </w:t>
      </w:r>
      <w:r>
        <w:t>2+</w:t>
      </w:r>
      <w:r>
        <w:t xml:space="preserve"> </w:t>
      </w:r>
      <w:r>
        <w:t>) together with tumor antigen-encoding mRNA into the lead LNP formulation. This codelivery strategy synergistically activated type I interferon signaling, upregulated costimulatory molecules, enhanced antigen presentation, and elicited potent tumor-specific T cell responses and superior antitumor efficacy. Our results demonstrate that integrating innate immune stimulation with mRNA-LNP delivery provides a promising strategy to overcome current limitations in mRNA vaccine efficacy and to improve cancer immunotherapy outcomes.</w:t>
      </w:r>
    </w:p>
    <w:p>
      <w:pPr>
        <w:spacing w:before="120" w:after="120"/>
      </w:pPr>
      <w:r>
        <w:rPr>
          <w:sz w:val="18"/>
        </w:rPr>
        <w:t>——————————————————————————————————————————————————————————————————————</w:t>
      </w:r>
    </w:p>
    <w:p>
      <w:pPr>
        <w:spacing w:before="160" w:after="40" w:line="240" w:lineRule="auto"/>
      </w:pPr>
      <w:r>
        <w:rPr>
          <w:b/>
        </w:rPr>
        <w:t xml:space="preserve">[474] </w:t>
      </w:r>
      <w:hyperlink r:id="rId1082">
        <w:r>
          <w:rPr>
            <w:color w:val="1155CC"/>
            <w:u w:val="single"/>
          </w:rPr>
          <w:t>空间结构异质性在人类皮质模型中塑造大规模皮质动力学</w:t>
        </w:r>
      </w:hyperlink>
    </w:p>
    <w:p>
      <w:pPr>
        <w:spacing w:before="0" w:after="80"/>
      </w:pPr>
      <w:r>
        <w:rPr>
          <w:i/>
          <w:sz w:val="20"/>
        </w:rPr>
        <w:t>EN: Spatially structured heterogeneity shapes large-scale cortical dynamics in a model of the human cortex</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83">
        <w:r>
          <w:rPr>
            <w:color w:val="1155CC"/>
            <w:u w:val="single"/>
          </w:rPr>
          <w:t>10.1073/pnas.2532072123</w:t>
        </w:r>
      </w:hyperlink>
    </w:p>
    <w:p>
      <w:pPr>
        <w:spacing w:before="0" w:after="120"/>
      </w:pPr>
      <w:r>
        <w:rPr>
          <w:b/>
        </w:rPr>
        <w:t xml:space="preserve">Notes: </w:t>
      </w:r>
      <w:r>
        <w:t>abstract_source=crossref</w:t>
      </w:r>
    </w:p>
    <w:p>
      <w:pPr>
        <w:spacing w:before="0" w:after="80" w:lineRule="auto" w:line="276"/>
      </w:pPr>
      <w:r>
        <w:rPr>
          <w:b/>
        </w:rPr>
        <w:t xml:space="preserve">摘要（ZH）: </w:t>
      </w:r>
      <w:r>
        <w:t>人脑在分子、解剖学和生理组织方面表现出巨大的空间变异性。然而，这种异质性如何塑造大规模神经元动力学仍然知之甚少。为了解决这个问题，我们采用了一种基于生物学的大规模皮层模型，该模型能够生成不同的大脑状态，从清醒状态到睡眠状态动态。我们的模型受到经验人体结构连接（SC）和源自转录组数据的区域胆碱能毒蕈碱受体（CHRM）图以及基于互补正电子发射断层扫描（PET）的受体图的限制。这些区域地图被用作与适应相关的兴奋性的调节器。我们发现，根据 CHRM 图的空间组织调节兴奋性会显着影响大规模皮层动力学：它不仅促进网络同步，而且增强了皮层区域之间的信息流。重要的是，这些效应在转录组和 PET 衍生图谱中是保守的，并且不能通过保留异质性通用形式的多个无效模型完全重现。此外，我们还讨论了一种特别复杂的动态机制，其特征是局部睡眠样活动与清醒状态共存。我们发现这些类似睡眠的慢波的出现是神经元适应和 SC 区域水平的副产品。总之，我们的研究结果强调了分子和解剖异质性在塑造广泛的皮质动力学中的关键作用，表明 br</w:t>
      </w:r>
    </w:p>
    <w:p>
      <w:pPr>
        <w:spacing w:before="0" w:after="200" w:lineRule="auto" w:line="276"/>
      </w:pPr>
      <w:r>
        <w:rPr>
          <w:b/>
        </w:rPr>
        <w:t xml:space="preserve">Abstract (EN): </w:t>
      </w:r>
      <w:r>
        <w:t>The human brain displays substantial spatial variability in molecular, anatomical, and physiological organization. Yet, how this heterogeneity shapes large-scale neuronal dynamics remains poorly understood. To address this question, we employed a biologically informed large-scale cortical model capable of generating distinct brain states, from awake-like to sleep-like dynamics. Our model was constrained by empirical human structural connectivity (SC) and regional cholinergic muscarinic receptor (CHRM) maps derived from transcriptomic data, together with complementary positron emission tomography (PET)-based receptor maps. These regional maps were implemented as modulators of adaptation-related excitability. We found that modulating excitability according to the spatial organization of CHRM maps significantly impacted large-scale cortical dynamics: It not only facilitated network synchronization but also enhanced information flow between cortical regions. Importantly, these effects were conserved across transcriptomic and PET-derived maps and could not be fully reproduced by multiple null models preserving generic forms of heterogeneity. Moreover, we addressed a particularly intricate dynamic regime characterized by the coexistence of localized sleep-like activity within otherwise awake-like states. We showed that the emergence of these sleep-like slow waves was a byproduct of both regional levels of neuronal adaptation and SC. In summary, our findings highlight the critical role of molecular and anatomical heterogeneity in shaping widespread cortical dynamics, suggesting broad avenues for linking microscale diversity to macroscale function.</w:t>
      </w:r>
    </w:p>
    <w:p>
      <w:pPr>
        <w:spacing w:before="120" w:after="120"/>
      </w:pPr>
      <w:r>
        <w:rPr>
          <w:sz w:val="18"/>
        </w:rPr>
        <w:t>——————————————————————————————————————————————————————————————————————</w:t>
      </w:r>
    </w:p>
    <w:p>
      <w:pPr>
        <w:spacing w:before="160" w:after="40" w:line="240" w:lineRule="auto"/>
      </w:pPr>
      <w:r>
        <w:rPr>
          <w:b/>
        </w:rPr>
        <w:t xml:space="preserve">[475] </w:t>
      </w:r>
      <w:hyperlink r:id="rId1084">
        <w:r>
          <w:rPr>
            <w:color w:val="1155CC"/>
            <w:u w:val="single"/>
          </w:rPr>
          <w:t>免疫细胞中多巴胺驱动的线粒体反向电子传递介导睡眠剥夺期间肠-脑ROS信号传导</w:t>
        </w:r>
      </w:hyperlink>
    </w:p>
    <w:p>
      <w:pPr>
        <w:spacing w:before="0" w:after="80"/>
      </w:pPr>
      <w:r>
        <w:rPr>
          <w:i/>
          <w:sz w:val="20"/>
        </w:rPr>
        <w:t>EN: Dopamine-driven mitochondrial reverse electron transport in immune cells mediates gut–brain ROS signaling during sleep deprivation</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85">
        <w:r>
          <w:rPr>
            <w:color w:val="1155CC"/>
            <w:u w:val="single"/>
          </w:rPr>
          <w:t>10.1073/pnas.2530907123</w:t>
        </w:r>
      </w:hyperlink>
    </w:p>
    <w:p>
      <w:pPr>
        <w:spacing w:before="0" w:after="120"/>
      </w:pPr>
      <w:r>
        <w:rPr>
          <w:b/>
        </w:rPr>
        <w:t xml:space="preserve">Notes: </w:t>
      </w:r>
      <w:r>
        <w:t>abstract_source=crossref</w:t>
      </w:r>
    </w:p>
    <w:p>
      <w:pPr>
        <w:spacing w:before="0" w:after="80" w:lineRule="auto" w:line="276"/>
      </w:pPr>
      <w:r>
        <w:rPr>
          <w:b/>
        </w:rPr>
        <w:t xml:space="preserve">摘要（ZH）: </w:t>
      </w:r>
      <w:r>
        <w:t>睡眠剥夺 (SD) 以及传统 SD 方案固有的不可避免的压力会诱发氧化应激和炎症，从而增加过早死亡的风险。然而，活性氧（ROS）产生的来源和信号通路仍不清楚。在这里，我们证明机械 SD 和热生成 SD 以及两种方案可能引起的应力，都会导致初始 ROS 积累</w:t>
      </w:r>
      <w:r>
        <w:t xml:space="preserve"> </w:t>
      </w:r>
      <w:r>
        <w:t>果蝇</w:t>
      </w:r>
      <w:r>
        <w:t xml:space="preserve"> </w:t>
      </w:r>
      <w:r>
        <w:t>通过上调多巴胺 (DA) 生物合成，影响肠道亚区域，包括腺胃 (PV) 和 PV 驻留血细胞。有趣的是，DA 通过激活线粒体反向电子转移 (RET) 来发挥非常规作用，大概是通过改变呼吸复合物 I 蛋白 NDUFV1 和 NDUFS3 之间的相互作用。 RET-ROS 引发血淋巴 IMD/Relish 介导的抗菌防御。然而，在慢性 SD 期间，</w:t>
      </w:r>
      <w:r>
        <w:t xml:space="preserve"> </w:t>
      </w:r>
      <w:r>
        <w:t>果蝇</w:t>
      </w:r>
      <w:r>
        <w:t xml:space="preserve"> </w:t>
      </w:r>
      <w:r>
        <w:t>APOE/D 直系同源神经 Lazarillo 促进血细胞向中脑的募集，并与此过程一起导致阿尔茨海默病 (AD) 果蝇模型中广泛的神经元 ROS 积累。抑制 RET 或血细胞 DA 水平可延长慢性 SD 动物的存活时间。我们的工作揭示了 SD 期间先天免疫细胞中 DA 驱动的 RET-ROS，强调了肠道先天免疫-大脑串扰在介导 SD 操作对衰老和 AD 发病机制的影响中的关键作用，并提出了减轻 SD 后果的方法，SD 是模式中的一个深刻的健康问题</w:t>
      </w:r>
    </w:p>
    <w:p>
      <w:pPr>
        <w:spacing w:before="0" w:after="200" w:lineRule="auto" w:line="276"/>
      </w:pPr>
      <w:r>
        <w:rPr>
          <w:b/>
        </w:rPr>
        <w:t xml:space="preserve">Abstract (EN): </w:t>
      </w:r>
      <w:r>
        <w:t>Sleep deprivation (SD), together with inevitable stress inherent to conventional SD protocols, can induce oxidative stress and inflammation, thereby increasing the risk of premature death. However, the source and signaling pathways underlying reactive oxygen species (ROS) generation remain unclear. Here, we demonstrate that both mechanical and thermogenetic SD, along with possible stress induced by both protocols, lead to initial ROS accumulation in</w:t>
      </w:r>
      <w:r>
        <w:t xml:space="preserve"> </w:t>
      </w:r>
      <w:r>
        <w:t>Drosophila</w:t>
      </w:r>
      <w:r>
        <w:t xml:space="preserve"> </w:t>
      </w:r>
      <w:r>
        <w:t>gut subregions, including the proventriculus (PV) and PV-resident hemocytes, via upregulation of dopamine (DA) biosynthesis. Intriguingly, DA acts unconventionally by activating mitochondrial reverse electron transfer (RET), presumably through modifying interactions between the respiratory complex I proteins NDUFV1 and NDUFS3. RET-ROS elicits hemolymphatic IMD/Relish-mediated antibacterial defense. However, during chronic SD, downregulation of the</w:t>
      </w:r>
      <w:r>
        <w:t xml:space="preserve"> </w:t>
      </w:r>
      <w:r>
        <w:t>Drosophila</w:t>
      </w:r>
      <w:r>
        <w:t xml:space="preserve"> </w:t>
      </w:r>
      <w:r>
        <w:t>APOE/D ortholog Neural Lazarillo promotes the recruitment of hemocytes to the central brain and, together with this process, leads to widespread neuronal ROS accumulation in an Alzheimer’s disease (AD) fly model. Inhibiting RET or hemocytic DA levels extends the survival of animals under chronic SD. Our work reveals DA-driven RET-ROS in innate immune cells during SD, highlights the pivotal role of a gut-innate immune-brain crosstalk in mediating the effect of SD manipulation on aging and AD pathogenesis, and suggests ways to lessen the consequence of SD, a profound health issue in modern society.</w:t>
      </w:r>
    </w:p>
    <w:p>
      <w:pPr>
        <w:spacing w:before="120" w:after="120"/>
      </w:pPr>
      <w:r>
        <w:rPr>
          <w:sz w:val="18"/>
        </w:rPr>
        <w:t>——————————————————————————————————————————————————————————————————————</w:t>
      </w:r>
    </w:p>
    <w:p>
      <w:pPr>
        <w:spacing w:before="160" w:after="40" w:line="240" w:lineRule="auto"/>
      </w:pPr>
      <w:r>
        <w:rPr>
          <w:b/>
        </w:rPr>
        <w:t xml:space="preserve">[476] </w:t>
      </w:r>
      <w:hyperlink r:id="rId1086">
        <w:r>
          <w:rPr>
            <w:color w:val="1155CC"/>
            <w:u w:val="single"/>
          </w:rPr>
          <w:t>扩散引起的不稳定性促进生态进化网络中的合作</w:t>
        </w:r>
      </w:hyperlink>
    </w:p>
    <w:p>
      <w:pPr>
        <w:spacing w:before="0" w:after="80"/>
      </w:pPr>
      <w:r>
        <w:rPr>
          <w:i/>
          <w:sz w:val="20"/>
        </w:rPr>
        <w:t>EN: Diffusion-induced instabilities promote cooperation in eco-evolutionary networks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87">
        <w:r>
          <w:rPr>
            <w:color w:val="1155CC"/>
            <w:u w:val="single"/>
          </w:rPr>
          <w:t>10.1073/pnas.2530131123</w:t>
        </w:r>
      </w:hyperlink>
    </w:p>
    <w:p>
      <w:pPr>
        <w:spacing w:before="0" w:after="120"/>
      </w:pPr>
      <w:r>
        <w:rPr>
          <w:b/>
        </w:rPr>
        <w:t xml:space="preserve">Notes: </w:t>
      </w:r>
      <w:r>
        <w:t>abstract_source=crossref</w:t>
      </w:r>
    </w:p>
    <w:p>
      <w:pPr>
        <w:spacing w:before="0" w:after="80" w:lineRule="auto" w:line="276"/>
      </w:pPr>
      <w:r>
        <w:rPr>
          <w:b/>
        </w:rPr>
        <w:t xml:space="preserve">摘要（ZH）: </w:t>
      </w:r>
      <w:r>
        <w:t>尽管自私行为具有优势，但理解合作如何持续存在仍然是进化动力学中的一个核心挑战。公共物品困境的经典模型预测叛逃者占主导地位，但自然和社会系统往往维持合作。我们研究了复杂网络上的生态进化公共物品博弈，其中合作者和叛逃者以不同的速率扩散。当孤立系统处于叛逃者主导的共存状态时，叛逃者比合作者更快地分散，导致对称性破缺转变，从而产生局部的合作者集群。在异构网络中，具有较高连接性的节点变得更有可能表现出合作优势。基于度数的平均场缩减通过表明网络连接性控制与节点度数成比例的有效耦合强度来支持这一结果，从而产生将叛逃者主导状态和合作状态分开的分叉。我们还解决了为什么并非所有中心都通过多稳定性分析进行合作的原因。这些结果揭示了不对称流动性和异构连通性如何共同促进结构化人群中的合作。</w:t>
      </w:r>
    </w:p>
    <w:p>
      <w:pPr>
        <w:spacing w:before="0" w:after="200" w:lineRule="auto" w:line="276"/>
      </w:pPr>
      <w:r>
        <w:rPr>
          <w:b/>
        </w:rPr>
        <w:t xml:space="preserve">Abstract (EN): </w:t>
      </w:r>
      <w:r>
        <w:t>Understanding how cooperation persists despite the advantage of selfish behavior remains a central challenge in evolutionary dynamics. Classical models of public goods dilemmas predict dominance of defectors, yet natural and social systems often sustain cooperation. We study an eco-evolutionary public goods game on complex networks where cooperators and defectors diffuse at different rates. When the isolated system is in a defector-dominated coexistence regime, faster dispersal of defectors than cooperators leads to a symmetry-breaking transition that produces localized clusters of cooperators. In heterogeneous networks, nodes with higher connectivity become significantly more likely to exhibit cooperative dominance. A degree-based mean-field reduction supports this result by showing that network connectivity controls an effective coupling strength proportional to node degree, thereby producing a bifurcation that separates defector-dominated and cooperative states. We also address why not all hubs become cooperative by means of a multistability analysis. These results reveal how asymmetric mobility and heterogeneous connectivity jointly promote cooperation in structured populations.</w:t>
      </w:r>
    </w:p>
    <w:p>
      <w:pPr>
        <w:spacing w:before="120" w:after="120"/>
      </w:pPr>
      <w:r>
        <w:rPr>
          <w:sz w:val="18"/>
        </w:rPr>
        <w:t>——————————————————————————————————————————————————————————————————————</w:t>
      </w:r>
    </w:p>
    <w:p>
      <w:pPr>
        <w:spacing w:before="160" w:after="40" w:line="240" w:lineRule="auto"/>
      </w:pPr>
      <w:r>
        <w:rPr>
          <w:b/>
        </w:rPr>
        <w:t xml:space="preserve">[477] </w:t>
      </w:r>
      <w:hyperlink r:id="rId1088">
        <w:r>
          <w:rPr>
            <w:color w:val="1155CC"/>
            <w:u w:val="single"/>
          </w:rPr>
          <w:t>受限活性向列中拓扑缺陷的混沌生成周期轨道</w:t>
        </w:r>
      </w:hyperlink>
    </w:p>
    <w:p>
      <w:pPr>
        <w:spacing w:before="0" w:after="80"/>
      </w:pPr>
      <w:r>
        <w:rPr>
          <w:i/>
          <w:sz w:val="20"/>
        </w:rPr>
        <w:t>EN: Chaos-generating periodic orbits of topological defects in confined active nematics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89">
        <w:r>
          <w:rPr>
            <w:color w:val="1155CC"/>
            <w:u w:val="single"/>
          </w:rPr>
          <w:t>10.1073/pnas.2516670123</w:t>
        </w:r>
      </w:hyperlink>
    </w:p>
    <w:p>
      <w:pPr>
        <w:spacing w:before="0" w:after="120"/>
      </w:pPr>
      <w:r>
        <w:rPr>
          <w:b/>
        </w:rPr>
        <w:t xml:space="preserve">Notes: </w:t>
      </w:r>
      <w:r>
        <w:t>abstract_source=crossref</w:t>
      </w:r>
    </w:p>
    <w:p>
      <w:pPr>
        <w:spacing w:before="0" w:after="80" w:lineRule="auto" w:line="276"/>
      </w:pPr>
      <w:r>
        <w:rPr>
          <w:b/>
        </w:rPr>
        <w:t xml:space="preserve">摘要（ZH）: </w:t>
      </w:r>
      <w:r>
        <w:t>二维的活跃向列相通过内部产生的混沌流有效地搅拌自己，这主要是由运动驱动的</w:t>
      </w:r>
      <w:r>
        <w:t xml:space="preserve"> </w:t>
      </w:r>
      <w:r>
        <w:t>+</w:t>
      </w:r>
      <w:r>
        <w:rPr>
          <w:vertAlign w:val="subscript"/>
        </w:rPr>
        <w:t>1</w:t>
      </w:r>
      <w:r>
        <w:t>/</w:t>
      </w:r>
      <w:r>
        <w:rPr>
          <w:vertAlign w:val="subscript"/>
        </w:rPr>
        <w:t>2</w:t>
      </w:r>
      <w:r>
        <w:t xml:space="preserve"> </w:t>
      </w:r>
      <w:r>
        <w:t>我们研究了这种混沌流体搅拌的趋势如何与直觉相反地在限制中产生某些有序的周期性流动，其特征是稳定的周期性轨道</w:t>
      </w:r>
      <w:r>
        <w:t xml:space="preserve"> </w:t>
      </w:r>
      <w:r>
        <w:t>+</w:t>
      </w:r>
      <w:r>
        <w:rPr>
          <w:vertAlign w:val="subscript"/>
        </w:rPr>
        <w:t>1</w:t>
      </w:r>
      <w:r>
        <w:t>/</w:t>
      </w:r>
      <w:r>
        <w:rPr>
          <w:vertAlign w:val="subscript"/>
        </w:rPr>
        <w:t>2</w:t>
      </w:r>
      <w:r>
        <w:t xml:space="preserve"> </w:t>
      </w:r>
      <w:r>
        <w:t>厌恶。我们通过计算研究具有需要规定数量的边界条件的系统中的二维主动向列</w:t>
      </w:r>
      <w:r>
        <w:t xml:space="preserve"> </w:t>
      </w:r>
      <w:r>
        <w:t>n</w:t>
      </w:r>
      <w:r>
        <w:t xml:space="preserve"> </w:t>
      </w:r>
      <w:r>
        <w:t>过剩的</w:t>
      </w:r>
      <w:r>
        <w:t xml:space="preserve"> </w:t>
      </w:r>
      <w:r>
        <w:t>+</w:t>
      </w:r>
      <w:r>
        <w:rPr>
          <w:vertAlign w:val="subscript"/>
        </w:rPr>
        <w:t>1</w:t>
      </w:r>
      <w:r>
        <w:t>/</w:t>
      </w:r>
      <w:r>
        <w:rPr>
          <w:vertAlign w:val="subscript"/>
        </w:rPr>
        <w:t>2</w:t>
      </w:r>
      <w:r>
        <w:t xml:space="preserve"> </w:t>
      </w:r>
      <w:r>
        <w:t>旋错，使用 Beris-Edwards 线流体动力学模拟以及基于代理的模拟方法。我们发现，当限制足够强以防止缺陷对成核，但不足以阻止所有流动时，则</w:t>
      </w:r>
    </w:p>
    <w:p>
      <w:pPr>
        <w:spacing w:before="0" w:after="200" w:lineRule="auto" w:line="276"/>
      </w:pPr>
      <w:r>
        <w:rPr>
          <w:b/>
        </w:rPr>
        <w:t xml:space="preserve">Abstract (EN): </w:t>
      </w:r>
      <w:r>
        <w:t>Active nematics in two dimensions stir themselves efficiently through internally generated chaotic flows, largely driven by motile</w:t>
      </w:r>
      <w:r>
        <w:t xml:space="preserve"> </w:t>
      </w:r>
      <w:r>
        <w:t>+</w:t>
      </w:r>
      <w:r>
        <w:rPr>
          <w:vertAlign w:val="subscript"/>
        </w:rPr>
        <w:t>1</w:t>
      </w:r>
      <w:r>
        <w:t>/</w:t>
      </w:r>
      <w:r>
        <w:rPr>
          <w:vertAlign w:val="subscript"/>
        </w:rPr>
        <w:t>2</w:t>
      </w:r>
      <w:r>
        <w:t xml:space="preserve"> </w:t>
      </w:r>
      <w:r>
        <w:t>disclinations.We investigate how this tendency toward chaotic fluid stirring can, counterintuitively, produce certain ordered, periodic flows in confinement, characterized by stable periodic orbits of</w:t>
      </w:r>
      <w:r>
        <w:t xml:space="preserve"> </w:t>
      </w:r>
      <w:r>
        <w:t>+</w:t>
      </w:r>
      <w:r>
        <w:rPr>
          <w:vertAlign w:val="subscript"/>
        </w:rPr>
        <w:t>1</w:t>
      </w:r>
      <w:r>
        <w:t>/</w:t>
      </w:r>
      <w:r>
        <w:rPr>
          <w:vertAlign w:val="subscript"/>
        </w:rPr>
        <w:t>2</w:t>
      </w:r>
      <w:r>
        <w:t xml:space="preserve"> </w:t>
      </w:r>
      <w:r>
        <w:t>disclinations. We computationally study two-dimensional active nematics in systems with boundary conditions requiring a prescribed number</w:t>
      </w:r>
      <w:r>
        <w:t xml:space="preserve"> </w:t>
      </w:r>
      <w:r>
        <w:t>n</w:t>
      </w:r>
      <w:r>
        <w:t xml:space="preserve"> </w:t>
      </w:r>
      <w:r>
        <w:t>of excess</w:t>
      </w:r>
      <w:r>
        <w:t xml:space="preserve"> </w:t>
      </w:r>
      <w:r>
        <w:t>+</w:t>
      </w:r>
      <w:r>
        <w:rPr>
          <w:vertAlign w:val="subscript"/>
        </w:rPr>
        <w:t>1</w:t>
      </w:r>
      <w:r>
        <w:t>/</w:t>
      </w:r>
      <w:r>
        <w:rPr>
          <w:vertAlign w:val="subscript"/>
        </w:rPr>
        <w:t>2</w:t>
      </w:r>
      <w:r>
        <w:t xml:space="preserve"> </w:t>
      </w:r>
      <w:r>
        <w:t>disclinations, using Beris-Edwards nematohydrodynamics simulations alongside an agent-based simulation approach. We find that when confinement is sufficiently strong to prevent defect pair-nucleation, but not strong enough to arrest all flow, then</w:t>
      </w:r>
      <w:r>
        <w:t xml:space="preserve"> </w:t>
      </w:r>
      <w:r>
        <w:t>n</w:t>
      </w:r>
      <w:r>
        <w:t xml:space="preserve"> </w:t>
      </w:r>
      <w:r>
        <w:t>=</w:t>
      </w:r>
      <w:r>
        <w:rPr>
          <w:vertAlign w:val="subscript"/>
        </w:rPr>
        <w:t>3</w:t>
      </w:r>
      <w:r>
        <w:t xml:space="preserve"> </w:t>
      </w:r>
      <w:r>
        <w:t>defects generically follow a “golden braid” orbit as observed recently in experiments, and we predict a “silver braid” orbit of</w:t>
      </w:r>
      <w:r>
        <w:t xml:space="preserve"> </w:t>
      </w:r>
      <w:r>
        <w:t>n</w:t>
      </w:r>
      <w:r>
        <w:t xml:space="preserve"> </w:t>
      </w:r>
      <w:r>
        <w:t>=</w:t>
      </w:r>
      <w:r>
        <w:rPr>
          <w:vertAlign w:val="subscript"/>
        </w:rPr>
        <w:t>4</w:t>
      </w:r>
      <w:r>
        <w:t xml:space="preserve"> </w:t>
      </w:r>
      <w:r>
        <w:t>defects. For these results and for greater numbers of defects, we show that the periodic or chaotic nature of the dynamics is determined by a balance between the number of defects and the number of vortices in the flow field, suggesting a design criterion for ordered flows in active nematics.</w:t>
      </w:r>
    </w:p>
    <w:p>
      <w:pPr>
        <w:spacing w:before="120" w:after="120"/>
      </w:pPr>
      <w:r>
        <w:rPr>
          <w:sz w:val="18"/>
        </w:rPr>
        <w:t>——————————————————————————————————————————————————————————————————————</w:t>
      </w:r>
    </w:p>
    <w:p>
      <w:pPr>
        <w:spacing w:before="160" w:after="40" w:line="240" w:lineRule="auto"/>
      </w:pPr>
      <w:r>
        <w:rPr>
          <w:b/>
        </w:rPr>
        <w:t xml:space="preserve">[478] </w:t>
      </w:r>
      <w:hyperlink r:id="rId1090">
        <w:r>
          <w:rPr>
            <w:color w:val="1155CC"/>
            <w:u w:val="single"/>
          </w:rPr>
          <w:t>为什么人类社会采用严格的道德规则：效率与稳健性的权衡</w:t>
        </w:r>
      </w:hyperlink>
    </w:p>
    <w:p>
      <w:pPr>
        <w:spacing w:before="0" w:after="80"/>
      </w:pPr>
      <w:r>
        <w:rPr>
          <w:i/>
          <w:sz w:val="20"/>
        </w:rPr>
        <w:t>EN: Why human societies adopt rigid moral rules: The efficiency–robustness trade-off</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91">
        <w:r>
          <w:rPr>
            <w:color w:val="1155CC"/>
            <w:u w:val="single"/>
          </w:rPr>
          <w:t>10.1073/pnas.2535467123</w:t>
        </w:r>
      </w:hyperlink>
    </w:p>
    <w:p>
      <w:pPr>
        <w:spacing w:before="0" w:after="120"/>
      </w:pPr>
      <w:r>
        <w:rPr>
          <w:b/>
        </w:rPr>
        <w:t xml:space="preserve">Notes: </w:t>
      </w:r>
      <w:r>
        <w:t>abstract_source=crossref</w:t>
      </w:r>
    </w:p>
    <w:p>
      <w:pPr>
        <w:spacing w:before="0" w:after="80" w:lineRule="auto" w:line="276"/>
      </w:pPr>
      <w:r>
        <w:rPr>
          <w:b/>
        </w:rPr>
        <w:t xml:space="preserve">摘要（ZH）: </w:t>
      </w:r>
      <w:r>
        <w:t>人类能够做出非常灵活的道德判断。然而，社会依赖于严格的规则——明确适用的义务和禁令，即使个案推理可以产生更好的结果。为什么一个具有灵活性的物种会将自己束缚在严格的规则之下？我们建议，严格的规则应作为社会技术来管理不合作的模糊性。人们常常有不合作的正当理由，但这些理由通常对观察者来说是不透明的，这使得机会主义者可以将自私伪装成正当的困难。我们用博弈论模型形式化了这个想法。出现了两种合作平衡：一种是灵活的规范，可以容纳合法的借口，但容易受到剥削；另一种是严格的规范，即使在效率低下的情况下，也可以通过强制合作来弥补这一漏洞。比较这些均衡揭示了效率与鲁棒性的权衡：当信任安全时，灵活性使福利最大化，而当信任脆弱时，刚性则保持合作。这解释了为什么在与陌生人、正式机构或紧密社会的互动中，严格的规则盛行，而当信任有保障时，灵活性则更常见。</w:t>
      </w:r>
    </w:p>
    <w:p>
      <w:pPr>
        <w:spacing w:before="0" w:after="200" w:lineRule="auto" w:line="276"/>
      </w:pPr>
      <w:r>
        <w:rPr>
          <w:b/>
        </w:rPr>
        <w:t xml:space="preserve">Abstract (EN): </w:t>
      </w:r>
      <w:r>
        <w:t>Humans are capable of remarkably flexible moral judgment. Yet societies rely on rigid rules—obligations and prohibitions that apply categorically, even when case-by-case reasoning could yield better outcomes. Why would a species capable of flexibility bind itself to rigid rules? We propose that rigid rules arise as social technologies for managing ambiguity about noncooperation. People often have legitimate reasons for failing to cooperate, yet those reasons are typically opaque to observers, allowing opportunists to disguise selfishness as justified hardship. We formalize this idea with a game-theoretic model. Two cooperative equilibria emerge: a flexible norm that accommodates legitimate excuses but is vulnerable to exploitation, and a rigid norm that closes this loophole by mandating cooperation even when inefficient. Comparing these equilibria reveals an efficiency–robustness trade-off: Flexibility maximizes welfare when trust is secure, whereas rigidity preserves cooperation when trust is fragile. This explains why rigid rules prevail in interactions with strangers, formal institutions, or in tight societies, while flexibility is more common when trust is secure.</w:t>
      </w:r>
    </w:p>
    <w:p>
      <w:pPr>
        <w:spacing w:before="120" w:after="120"/>
      </w:pPr>
      <w:r>
        <w:rPr>
          <w:sz w:val="18"/>
        </w:rPr>
        <w:t>——————————————————————————————————————————————————————————————————————</w:t>
      </w:r>
    </w:p>
    <w:p>
      <w:pPr>
        <w:spacing w:before="160" w:after="40" w:line="240" w:lineRule="auto"/>
      </w:pPr>
      <w:r>
        <w:rPr>
          <w:b/>
        </w:rPr>
        <w:t xml:space="preserve">[479] </w:t>
      </w:r>
      <w:hyperlink r:id="rId1092">
        <w:r>
          <w:rPr>
            <w:color w:val="1155CC"/>
            <w:u w:val="single"/>
          </w:rPr>
          <w:t>人类纹外视觉皮层的中尺度发育竞争</w:t>
        </w:r>
      </w:hyperlink>
    </w:p>
    <w:p>
      <w:pPr>
        <w:spacing w:before="0" w:after="80"/>
      </w:pPr>
      <w:r>
        <w:rPr>
          <w:i/>
          <w:sz w:val="20"/>
        </w:rPr>
        <w:t>EN: Mesoscale developmental rivalry in the human extrastriate visual cortex</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93">
        <w:r>
          <w:rPr>
            <w:color w:val="1155CC"/>
            <w:u w:val="single"/>
          </w:rPr>
          <w:t>10.1073/pnas.2600746123</w:t>
        </w:r>
      </w:hyperlink>
    </w:p>
    <w:p>
      <w:pPr>
        <w:spacing w:before="0" w:after="120"/>
      </w:pPr>
      <w:r>
        <w:rPr>
          <w:b/>
        </w:rPr>
        <w:t xml:space="preserve">Notes: </w:t>
      </w:r>
      <w:r>
        <w:t>abstract_source=crossref</w:t>
      </w:r>
    </w:p>
    <w:p>
      <w:pPr>
        <w:spacing w:before="0" w:after="80" w:lineRule="auto" w:line="276"/>
      </w:pPr>
      <w:r>
        <w:rPr>
          <w:b/>
        </w:rPr>
        <w:t xml:space="preserve">摘要（ZH）: </w:t>
      </w:r>
      <w:r>
        <w:t>人类的纹外视觉皮层包含选择性地响应运动、视差和颜色的精细尺度柱。然而，这些功能模块之间的发展相互作用仍然知之甚少。使用高分辨率功能 MRI，我们比较了 16 名视力正常的个体和 15 名因斜视 (n = 8) 或屈光参差 (n = 7) 引起的弱视 (PwA) 参与者的纹外皮质的中尺度组织。在对照组中，视差选择性柱占据的皮质区域与运动和颜色选择性柱占据的皮质区域表现出竞争关系。在 PwA 中，我们目睹了视差选择性柱的尺寸减小，同时分配给运动和颜色选择性柱的皮质区域扩大，而这些位点的叉指组织保持不变。在宏观尺度上，这种现象简单地表现为 PwA 中的视差较弱，加上运动和颜色选择性响应比对照组更强。我们的结果表明，中尺度模块在开发过程中是竞争对手，允许完整的功能取代那些受到损害的功能。</w:t>
      </w:r>
    </w:p>
    <w:p>
      <w:pPr>
        <w:spacing w:before="0" w:after="200" w:lineRule="auto" w:line="276"/>
      </w:pPr>
      <w:r>
        <w:rPr>
          <w:b/>
        </w:rPr>
        <w:t xml:space="preserve">Abstract (EN): </w:t>
      </w:r>
      <w:r>
        <w:t>The human extrastriate visual cortex contains fine-scale columns selectively responsive to motion, disparity, and color. However, the developmental interplay between these functional modules remains poorly understood. Using high-resolution functional MRI, we compared the mesoscale organization of the extrastriate cortex in 16 individuals with normal vision and 15 participants with amblyopia (PwA) caused by strabismus (n = 8) or anisometropia (n = 7). In controls, the cortical territory occupied by disparity-selective columns exhibited a competitive relationship with that of motion- and color-selective columns. In PwA, we witnessed a reduction in the size of disparity-selective columns accompanied by expansion of the cortical territory allocated to motion- and color-selective columns, while the interdigitated organization of these sites remained unchanged. At the macroscale, this phenomenon simply manifested as weaker disparity- plus stronger motion- and color-selective responses in PwA than controls. Our results show that the mesoscale modules are rivals in development allowing intact functions to usurp those that are compromised.</w:t>
      </w:r>
    </w:p>
    <w:p>
      <w:pPr>
        <w:spacing w:before="120" w:after="120"/>
      </w:pPr>
      <w:r>
        <w:rPr>
          <w:sz w:val="18"/>
        </w:rPr>
        <w:t>——————————————————————————————————————————————————————————————————————</w:t>
      </w:r>
    </w:p>
    <w:p>
      <w:pPr>
        <w:spacing w:before="160" w:after="40" w:line="240" w:lineRule="auto"/>
      </w:pPr>
      <w:r>
        <w:rPr>
          <w:b/>
        </w:rPr>
        <w:t xml:space="preserve">[480] </w:t>
      </w:r>
      <w:hyperlink r:id="rId1094">
        <w:r>
          <w:rPr>
            <w:color w:val="1155CC"/>
            <w:u w:val="single"/>
          </w:rPr>
          <w:t>单形 Aβ1-40 原纤维的高分辨率结构</w:t>
        </w:r>
      </w:hyperlink>
    </w:p>
    <w:p>
      <w:pPr>
        <w:spacing w:before="0" w:after="80"/>
      </w:pPr>
      <w:r>
        <w:rPr>
          <w:i/>
          <w:sz w:val="20"/>
        </w:rPr>
        <w:t>EN: High-resolution structure of monomorphic Aβ1-40 fibrils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95">
        <w:r>
          <w:rPr>
            <w:color w:val="1155CC"/>
            <w:u w:val="single"/>
          </w:rPr>
          <w:t>10.1073/pnas.2603575123</w:t>
        </w:r>
      </w:hyperlink>
    </w:p>
    <w:p>
      <w:pPr>
        <w:spacing w:before="0" w:after="120"/>
      </w:pPr>
      <w:r>
        <w:rPr>
          <w:b/>
        </w:rPr>
        <w:t xml:space="preserve">Notes: </w:t>
      </w:r>
      <w:r>
        <w:t>abstract_source=crossref</w:t>
      </w:r>
    </w:p>
    <w:p>
      <w:pPr>
        <w:spacing w:before="0" w:after="80" w:lineRule="auto" w:line="276"/>
      </w:pPr>
      <w:r>
        <w:rPr>
          <w:b/>
        </w:rPr>
        <w:t xml:space="preserve">摘要（ZH）: </w:t>
      </w:r>
      <w:r>
        <w:t>主要由 Aβ 组成的淀粉样蛋白 (Aβ) 原纤维</w:t>
      </w:r>
      <w:r>
        <w:t xml:space="preserve"> </w:t>
      </w:r>
      <w:r>
        <w:t>1-40</w:t>
      </w:r>
      <w:r>
        <w:t xml:space="preserve"> </w:t>
      </w:r>
      <w:r>
        <w:t>和 Aβ</w:t>
      </w:r>
      <w:r>
        <w:t xml:space="preserve"> </w:t>
      </w:r>
      <w:r>
        <w:t>1-42</w:t>
      </w:r>
      <w:r>
        <w:t xml:space="preserve"> </w:t>
      </w:r>
      <w:r>
        <w:t>形成阿尔茨海默病老年斑的核心。 Aβ</w:t>
      </w:r>
      <w:r>
        <w:t xml:space="preserve"> </w:t>
      </w:r>
      <w:r>
        <w:t>1-40</w:t>
      </w:r>
      <w:r>
        <w:t xml:space="preserve"> </w:t>
      </w:r>
      <w:r>
        <w:t>原纤维可能会表现出受样品制备条件影响的显着多态性，从而使原子分辨率结构表征变得复杂。为了建立可靠的结构基线，我们开发了表达和纯化重组 Aβ 的方案</w:t>
      </w:r>
      <w:r>
        <w:t xml:space="preserve"> </w:t>
      </w:r>
      <w:r>
        <w:t>1-40</w:t>
      </w:r>
      <w:r>
        <w:t xml:space="preserve"> </w:t>
      </w:r>
      <w:r>
        <w:t>在生理条件下（pH 7.4）形成单形原纤维。我们展示了这些非种子单态 Aβ 的高分辨率结构</w:t>
      </w:r>
      <w:r>
        <w:t xml:space="preserve"> </w:t>
      </w:r>
      <w:r>
        <w:t>1-40</w:t>
      </w:r>
      <w:r>
        <w:t xml:space="preserve"> </w:t>
      </w:r>
      <w:r>
        <w:t>使用魔角旋转核磁共振波谱 (PDB ID 12GB) 获得原纤维。我们获得了大约 90% 残基的明确化学位移分配，并测量了 500 多个距离和扭转角约束。解析出的结构，主链 RMSD 为 0.63 ± 0.06 Å，显示每个丝平面有两个单体，具有两个不同的 β-折叠（分别为残基 E11-E22 和 K28-V39），沿着原纤维轴延伸，每个平面之间具有 H 键合，并且两条链通过柔性环区域连接。这种结构揭示了每个长丝内部的三个连续的疏水核心，每个长丝平面埋藏了24个疏水侧链：每个单体内的两个β链之间的L17、F19、A21、V24、A30、I32、M35、V40的侧链和两个单体之间的I31、L34、V36、V39的侧链。小角度 X 射线散射揭示了尺寸和几何形状</w:t>
      </w:r>
    </w:p>
    <w:p>
      <w:pPr>
        <w:spacing w:before="0" w:after="200" w:lineRule="auto" w:line="276"/>
      </w:pPr>
      <w:r>
        <w:rPr>
          <w:b/>
        </w:rPr>
        <w:t xml:space="preserve">Abstract (EN): </w:t>
      </w:r>
      <w:r>
        <w:t>Amyloid-β (Aβ) fibrils primarily composed of Aβ</w:t>
      </w:r>
      <w:r>
        <w:t xml:space="preserve"> </w:t>
      </w:r>
      <w:r>
        <w:t>1-40</w:t>
      </w:r>
      <w:r>
        <w:t xml:space="preserve"> </w:t>
      </w:r>
      <w:r>
        <w:t>and Aβ</w:t>
      </w:r>
      <w:r>
        <w:t xml:space="preserve"> </w:t>
      </w:r>
      <w:r>
        <w:t>1-42</w:t>
      </w:r>
      <w:r>
        <w:t xml:space="preserve"> </w:t>
      </w:r>
      <w:r>
        <w:t>form the core of senile plaques in Alzheimer’s disease. Aβ</w:t>
      </w:r>
      <w:r>
        <w:t xml:space="preserve"> </w:t>
      </w:r>
      <w:r>
        <w:t>1-40</w:t>
      </w:r>
      <w:r>
        <w:t xml:space="preserve"> </w:t>
      </w:r>
      <w:r>
        <w:t>fibrils may exhibit significant polymorphism influenced by sample preparation conditions, complicating atomic resolution structural characterization. To establish a reliable structural baseline, we developed a protocol for expressing and purifying recombinant Aβ</w:t>
      </w:r>
      <w:r>
        <w:t xml:space="preserve"> </w:t>
      </w:r>
      <w:r>
        <w:t>1-40</w:t>
      </w:r>
      <w:r>
        <w:t xml:space="preserve"> </w:t>
      </w:r>
      <w:r>
        <w:t>that forms monomorphic fibrils under physiological conditions (pH 7.4). We present a high-resolution structure of these unseeded, monomorphic Aβ</w:t>
      </w:r>
      <w:r>
        <w:t xml:space="preserve"> </w:t>
      </w:r>
      <w:r>
        <w:t>1-40</w:t>
      </w:r>
      <w:r>
        <w:t xml:space="preserve"> </w:t>
      </w:r>
      <w:r>
        <w:t>fibrils obtained using magic-angle spinning NMR spectroscopy (PDB ID 12GB). We obtained unambiguous chemical shift assignments for approximately 90% of the residues and measured over 500 distance and torsion angle restraints. The resolved structure, with a backbone RMSD of 0.63 ± 0.06 Å, shows two monomers per filament plane, with two distinct β-sheets (residues E11-E22 and K28-V39, respectively) running along the fibril axis with H-bonding between each plane, and the two strands linked by a flexible loop region. This structure reveals three continuous hydrophobic cores inside each filament which bury 24 hydrophobic side chains per filament plane: those of L17, F19, A21, V24, A30, I32, M35, V40 between the two β-strands within each monomer and I31, L34, V36, V39 between the two monomers. Small angle X-ray scattering reveals the size and geometry of the fibril cross-section, which is compatible with a two-filament arrangement with a total of 4 monomers per fibril plane.</w:t>
      </w:r>
    </w:p>
    <w:p>
      <w:pPr>
        <w:spacing w:before="120" w:after="120"/>
      </w:pPr>
      <w:r>
        <w:rPr>
          <w:sz w:val="18"/>
        </w:rPr>
        <w:t>——————————————————————————————————————————————————————————————————————</w:t>
      </w:r>
    </w:p>
    <w:p>
      <w:pPr>
        <w:spacing w:before="160" w:after="40" w:line="240" w:lineRule="auto"/>
      </w:pPr>
      <w:r>
        <w:rPr>
          <w:b/>
        </w:rPr>
        <w:t xml:space="preserve">[481] </w:t>
      </w:r>
      <w:hyperlink r:id="rId1096">
        <w:r>
          <w:rPr>
            <w:color w:val="1155CC"/>
            <w:u w:val="single"/>
          </w:rPr>
          <w:t>液-液相分离可实现免色谱纯化和高性能蛛丝蛋白-淀粉样蛋白混合丝纤维</w:t>
        </w:r>
      </w:hyperlink>
    </w:p>
    <w:p>
      <w:pPr>
        <w:spacing w:before="0" w:after="80"/>
      </w:pPr>
      <w:r>
        <w:rPr>
          <w:i/>
          <w:sz w:val="20"/>
        </w:rPr>
        <w:t>EN: Liquid–liquid phase separation enables chromatography-free purification and high-performance spidroin-amyloid hybrid silk fibers</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097">
        <w:r>
          <w:rPr>
            <w:color w:val="1155CC"/>
            <w:u w:val="single"/>
          </w:rPr>
          <w:t>10.1073/pnas.2601661123</w:t>
        </w:r>
      </w:hyperlink>
    </w:p>
    <w:p>
      <w:pPr>
        <w:spacing w:before="0" w:after="120"/>
      </w:pPr>
      <w:r>
        <w:rPr>
          <w:b/>
        </w:rPr>
        <w:t xml:space="preserve">Notes: </w:t>
      </w:r>
      <w:r>
        <w:t>abstract_source=crossref</w:t>
      </w:r>
    </w:p>
    <w:p>
      <w:pPr>
        <w:spacing w:before="0" w:after="80" w:lineRule="auto" w:line="276"/>
      </w:pPr>
      <w:r>
        <w:rPr>
          <w:b/>
        </w:rPr>
        <w:t xml:space="preserve">摘要（ZH）: </w:t>
      </w:r>
      <w:r>
        <w:t>大规模生产人造蜘蛛丝纤维需要蜘蛛丝蛋白（蜘蛛蛋白）的异源表达，但目前的方法仍然受到产量低和纯化过程昂贵的限制。为了克服这些挑战，我们设计了迷你蜘蛛蛋白，其中重复区域的聚丙氨酸基序被非天然淀粉样蛋白β16肽取代，显着提高了表达产量和溶解度。此外，我们基于 NaCl 诱导的液-液相分离 (LLPS) 为这些构建体开发了一种简单的、免色谱纯化方法。与传统亲和层析相比，这一一步纯化策略可降低高达 99% 的处理成本，同时实现每升摇瓶培养物约 300 mg 纯化蛋白和约 25 g L 的纯化蛋白产量</w:t>
      </w:r>
      <w:r>
        <w:t xml:space="preserve"> </w:t>
      </w:r>
      <w:r>
        <w:t>−1</w:t>
      </w:r>
      <w:r>
        <w:t xml:space="preserve"> </w:t>
      </w:r>
      <w:r>
        <w:t>来自生物反应器培养。纯化的工程迷你蛛丝可以通过 pH 值下降触发的全水仿生纺丝过程纺成连续纤维。所得纤维的机械性能与迷你蛛丝蛋白 NT2RepCT 生产的纤维相当，后者需要传统的色谱纯化。我们的蛋白质工程方法和基于 LLPS 的纯化方法共同为人造蜘蛛丝提供了一个潜在可扩展、可持续且具有成本效益的平台，代表着重组丝基材料的商业可行性迈出了重要一步。</w:t>
      </w:r>
    </w:p>
    <w:p>
      <w:pPr>
        <w:spacing w:before="0" w:after="200" w:lineRule="auto" w:line="276"/>
      </w:pPr>
      <w:r>
        <w:rPr>
          <w:b/>
        </w:rPr>
        <w:t xml:space="preserve">Abstract (EN): </w:t>
      </w:r>
      <w:r>
        <w:t>Large-scale production of artificial spider silk fibers requires heterologous expression of spider silk proteins (spidroins), yet current methods remain limited by low yields and costly purification processes. To overcome these challenges, we engineered mini-spidroins in which the poly-alanine motifs of the repetitive region were replaced with the non-natural amyloidogenic β16 peptide, significantly enhancing expression yields and solubility. Furthermore, we developed a simple, chromatography-free purification method for these constructs based on NaCl-induced liquid–liquid phase separation (LLPS). This one-step purification strategy reduced processing costs by up to 99% compared to conventional affinity chromatography while achieving yields of ~300 mg of purified protein per liter of shake flask culture and ~25 g L</w:t>
      </w:r>
      <w:r>
        <w:t xml:space="preserve"> </w:t>
      </w:r>
      <w:r>
        <w:t>−1</w:t>
      </w:r>
      <w:r>
        <w:t xml:space="preserve"> </w:t>
      </w:r>
      <w:r>
        <w:t>from bioreactor cultivations. The purified engineered mini-spidroins could be spun into continuous fibers using an all-aqueous, biomimetic spinning process triggered by a pH drop. The resulting fibers exhibited mechanical properties comparable to those produced from the mini-spidroin NT2RepCT, which requires conventional chromatographic purification. Together, our protein-engineering approach and LLPS-based purification method provide a potentially scalable, sustainable, and cost-effective platform for artificial spider silk, representing a major step toward the commercial viability of recombinant silk-based materials.</w:t>
      </w:r>
    </w:p>
    <w:p>
      <w:pPr>
        <w:spacing w:before="120" w:after="120"/>
      </w:pPr>
      <w:r>
        <w:rPr>
          <w:sz w:val="18"/>
        </w:rPr>
        <w:t>——————————————————————————————————————————————————————————————————————</w:t>
      </w:r>
    </w:p>
    <w:p>
      <w:pPr>
        <w:spacing w:before="160" w:after="40" w:line="240" w:lineRule="auto"/>
      </w:pPr>
      <w:r>
        <w:rPr>
          <w:b/>
        </w:rPr>
        <w:t xml:space="preserve">[482] </w:t>
      </w:r>
      <w:hyperlink r:id="rId1098">
        <w:r>
          <w:rPr>
            <w:color w:val="1155CC"/>
            <w:u w:val="single"/>
          </w:rPr>
          <w:t>高 Q 微谐振器揭示量子稀有事件</w:t>
        </w:r>
      </w:hyperlink>
    </w:p>
    <w:p>
      <w:pPr>
        <w:spacing w:before="0" w:after="80"/>
      </w:pPr>
      <w:r>
        <w:rPr>
          <w:i/>
          <w:sz w:val="20"/>
        </w:rPr>
        <w:t>EN: High-Q microresonators unveil quantum rare events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099">
        <w:r>
          <w:rPr>
            <w:color w:val="1155CC"/>
            <w:u w:val="single"/>
          </w:rPr>
          <w:t>10.1126/sciadv.aed7827</w:t>
        </w:r>
      </w:hyperlink>
    </w:p>
    <w:p>
      <w:pPr>
        <w:spacing w:before="0" w:after="120"/>
      </w:pPr>
      <w:r>
        <w:rPr>
          <w:b/>
        </w:rPr>
        <w:t xml:space="preserve">Notes: </w:t>
      </w:r>
      <w:r>
        <w:t>abstract_source=crossref</w:t>
      </w:r>
    </w:p>
    <w:p>
      <w:pPr>
        <w:spacing w:before="0" w:after="80" w:lineRule="auto" w:line="276"/>
      </w:pPr>
      <w:r>
        <w:rPr>
          <w:b/>
        </w:rPr>
        <w:t xml:space="preserve">摘要（ZH）: </w:t>
      </w:r>
      <w:r>
        <w:t>经典线性光学假设，在足够低的强度下，电介质中的光传播仅由其线性磁化率控制。在这里，我们展示了与这种范式的背离，即高质量（高质量）</w:t>
      </w:r>
      <w:r>
        <w:t xml:space="preserve"> </w:t>
      </w:r>
      <w:r>
        <w:t>问</w:t>
      </w:r>
      <w:r>
        <w:t xml:space="preserve"> </w:t>
      </w:r>
      <w:r>
        <w:t>）微谐振器，其中长时间的光子限制使得由量子真空介导的罕见量子电动力学（QED）事件能够将耦合分析物的独特拉曼特征嵌入到谐振器的线性传输光谱中，尽管它们不存在线性磁化率。我们进一步表明，增加吸附的分析物样品的量可以将这些拉曼指纹放大到远高于典型的本底噪声，从而使它们可以通过最先进的光子架构和检测方案进行实验访问。这种弱耦合腔 QED 效应提供了独特的途径来利用延长的光子寿命和受限的几何形状，以利用下一代光子技术中的真空波动进行化学和生物传感以及高精度光谱学。</w:t>
      </w:r>
    </w:p>
    <w:p>
      <w:pPr>
        <w:spacing w:before="0" w:after="200" w:lineRule="auto" w:line="276"/>
      </w:pPr>
      <w:r>
        <w:rPr>
          <w:b/>
        </w:rPr>
        <w:t xml:space="preserve">Abstract (EN): </w:t>
      </w:r>
      <w:r>
        <w:t>Classical linear optics posits that at sufficiently low intensities, light propagation in dielectric media is governed solely by their linear susceptibilities. Here, we demonstrate a departure from this paradigm in high–quality (high-</w:t>
      </w:r>
      <w:r>
        <w:t>Q</w:t>
      </w:r>
      <w:r>
        <w:t xml:space="preserve"> </w:t>
      </w:r>
      <w:r>
        <w:t>) microresonators, where prolonged photon confinement enables rare quantum electrodynamical (QED) events, mediated by the quantum vacuum, to embed distinctive Raman signatures of the coupled analyte into the resonator’s linear transmission spectrum despite their absence from linear susceptibility. We further show that increasing the amount of adsorbed analyte sample amplifies these Raman fingerprints well above typical noise floors, rendering them experimentally accessible with state-of-the-art photonic architectures and detection schemes. This weak-coupling cavity QED effect offers unique routes to harness extended photon lifetimes and constrained geometries for leveraging vacuum fluctuations in next-generation photonic technologies for chemical and biological sensing and high-precision optical spectroscopy.</w:t>
      </w:r>
    </w:p>
    <w:p>
      <w:pPr>
        <w:spacing w:before="120" w:after="120"/>
      </w:pPr>
      <w:r>
        <w:rPr>
          <w:sz w:val="18"/>
        </w:rPr>
        <w:t>——————————————————————————————————————————————————————————————————————</w:t>
      </w:r>
    </w:p>
    <w:p>
      <w:pPr>
        <w:spacing w:before="160" w:after="40" w:line="240" w:lineRule="auto"/>
      </w:pPr>
      <w:r>
        <w:rPr>
          <w:b/>
        </w:rPr>
        <w:t xml:space="preserve">[483] </w:t>
      </w:r>
      <w:hyperlink r:id="rId1100">
        <w:r>
          <w:rPr>
            <w:color w:val="1155CC"/>
            <w:u w:val="single"/>
          </w:rPr>
          <w:t>用于直接桥接传感和流体驱动的机械多轴力传感器</w:t>
        </w:r>
      </w:hyperlink>
    </w:p>
    <w:p>
      <w:pPr>
        <w:spacing w:before="0" w:after="80"/>
      </w:pPr>
      <w:r>
        <w:rPr>
          <w:i/>
          <w:sz w:val="20"/>
        </w:rPr>
        <w:t>EN: Mechanical multiaxis force sensor for directly bridging sensing and fluidic actuation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01">
        <w:r>
          <w:rPr>
            <w:color w:val="1155CC"/>
            <w:u w:val="single"/>
          </w:rPr>
          <w:t>10.1126/sciadv.aeb8052</w:t>
        </w:r>
      </w:hyperlink>
    </w:p>
    <w:p>
      <w:pPr>
        <w:spacing w:before="0" w:after="120"/>
      </w:pPr>
      <w:r>
        <w:rPr>
          <w:b/>
        </w:rPr>
        <w:t xml:space="preserve">Notes: </w:t>
      </w:r>
      <w:r>
        <w:t>abstract_source=crossref</w:t>
      </w:r>
    </w:p>
    <w:p>
      <w:pPr>
        <w:spacing w:before="0" w:after="80" w:lineRule="auto" w:line="276"/>
      </w:pPr>
      <w:r>
        <w:rPr>
          <w:b/>
        </w:rPr>
        <w:t xml:space="preserve">摘要（ZH）: </w:t>
      </w:r>
      <w:r>
        <w:t>机器人是连接传感器和执行器的智能系统。许多感觉运动架构使用闭环控制代码来仲裁传感信号，从而需要处理模块。反应式架构通过建立直接的传感器-执行器连接来最大限度地减少计算需求，并且已被证明是有效和稳健的。在这里，我们介绍了此类反应系统的机械类比：基于流体的多轴机械软力传感器（ME-SOFS），它直接将传感信号与流体致动耦合，无需外部计算或能量输入。 ME-SOFS可以轻松地重新配置和集成，赋予机器人体感多轴力传感能力。 ME-SOFS 基于流体传导，将施加的力转换为流体执行器的机械输出。我们在三种场景中演示了这种传感驱动回路：定向液滴操纵、由检测到的力矢量引导的纤毛状阵列的统一弯曲，以及加速机器人抓取学习的触觉反馈系统。 ME-SOFS 展示了流体方法如何实现软机器人的多轴力传感，并实现简化的闭合传感驱动环路和触觉人机界面。</w:t>
      </w:r>
    </w:p>
    <w:p>
      <w:pPr>
        <w:spacing w:before="0" w:after="200" w:lineRule="auto" w:line="276"/>
      </w:pPr>
      <w:r>
        <w:rPr>
          <w:b/>
        </w:rPr>
        <w:t xml:space="preserve">Abstract (EN): </w:t>
      </w:r>
      <w:r>
        <w:t>Robots are the intelligent systems that connect sensors and actuators. Many sensorimotor architectures use close-loop control codes that arbitrate sensing signals, entailing processing modules. Reactive architectures minimize computational demands by establishing direct sensor-actuator connections and have proven to be effective and robust. Here, we introduce a mechanical analogy of such reactive systems: a fluidic-based multiaxis mechanical soft force sensor (ME-SOFS) that directly couples sensory signals with fluidic actuation, eliminating the need for external computation or energy input. The ME-SOFS can be easily reconfigured and integrated to endow robots with somatosensory multiaxis force sensing capabilities. Based on fluid transduction, ME-SOFS converts applied force into mechanical output for fluidic actuators. We demonstrate this sensing-actuation loop in three scenarios: directional droplet manipulation, unified bending of cilia-like array guided by detected force vectors, and haptic feedback system that accelerates robotic grasping learning. ME-SOFSs demonstrate how fluidic approach can realize multiaxis force sensing for soft robots, and enable simplified, closed sensing-actuation loops and haptic human-machine interfaces.</w:t>
      </w:r>
    </w:p>
    <w:p>
      <w:pPr>
        <w:spacing w:before="120" w:after="120"/>
      </w:pPr>
      <w:r>
        <w:rPr>
          <w:sz w:val="18"/>
        </w:rPr>
        <w:t>——————————————————————————————————————————————————————————————————————</w:t>
      </w:r>
    </w:p>
    <w:p>
      <w:pPr>
        <w:spacing w:before="160" w:after="40" w:line="240" w:lineRule="auto"/>
      </w:pPr>
      <w:r>
        <w:rPr>
          <w:b/>
        </w:rPr>
        <w:t xml:space="preserve">[484] </w:t>
      </w:r>
      <w:hyperlink r:id="rId1102">
        <w:r>
          <w:rPr>
            <w:color w:val="1155CC"/>
            <w:u w:val="single"/>
          </w:rPr>
          <w:t>非晶富集聚乙烯纤维的高导热性</w:t>
        </w:r>
      </w:hyperlink>
    </w:p>
    <w:p>
      <w:pPr>
        <w:spacing w:before="0" w:after="80"/>
      </w:pPr>
      <w:r>
        <w:rPr>
          <w:i/>
          <w:sz w:val="20"/>
        </w:rPr>
        <w:t>EN: High thermal conductivity in noncrystalline enriched polyethylene fibers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03">
        <w:r>
          <w:rPr>
            <w:color w:val="1155CC"/>
            <w:u w:val="single"/>
          </w:rPr>
          <w:t>10.1126/sciadv.aeh4182</w:t>
        </w:r>
      </w:hyperlink>
    </w:p>
    <w:p>
      <w:pPr>
        <w:spacing w:before="0" w:after="120"/>
      </w:pPr>
      <w:r>
        <w:rPr>
          <w:b/>
        </w:rPr>
        <w:t xml:space="preserve">Notes: </w:t>
      </w:r>
      <w:r>
        <w:t>abstract_source=crossref</w:t>
      </w:r>
    </w:p>
    <w:p>
      <w:pPr>
        <w:spacing w:before="0" w:after="80" w:lineRule="auto" w:line="276"/>
      </w:pPr>
      <w:r>
        <w:rPr>
          <w:b/>
        </w:rPr>
        <w:t xml:space="preserve">摘要（ZH）: </w:t>
      </w:r>
      <w:r>
        <w:t>理论上，聚乙烯代表着一种特殊的热导体：完美延伸的链条预计具有极好的导热性能。然而，其实际可扩展形式远低于此限制，因为非晶结构会破坏多个长度尺度的热传输。在这里，我们发现高度排列聚乙烯中的部分有序、非结晶过渡相不是加工过程中的负面副产品，而是热传导的关键因素。在这一见解的指导下，我们开发了一种凝胶态间歇缓慢拉伸方法，可指导聚乙烯纤维形成过程中的非晶态演化。这种方法能够在通常被视为非晶态和界面的区域中实现链松弛和结构重组，促进它们转化为过渡相并与晶域无缝集成。由此产生的结构扩展了周期结构内有序网格段的连续性，增加了热量可以准弹道传播的距离。因此，非晶含量为 26.79% 的聚乙烯纤维的导热系数高达 70.61 瓦/米/开尔文，是领先商用聚乙烯纤维的 1.45 至 2.60 倍。这些发现确立了非晶结构的控制作为释放聚合物高导热性的重要途径，并为轻质、全有机热导体开辟了道路。</w:t>
      </w:r>
    </w:p>
    <w:p>
      <w:pPr>
        <w:spacing w:before="0" w:after="200" w:lineRule="auto" w:line="276"/>
      </w:pPr>
      <w:r>
        <w:rPr>
          <w:b/>
        </w:rPr>
        <w:t xml:space="preserve">Abstract (EN): </w:t>
      </w:r>
      <w:r>
        <w:t>Polyethylene represents an exceptional thermal conductor in theory: The perfectly extended chain is predicted to conduct heat extremely well. However, its practical scalable forms fall far below this limit because noncrystalline structures disrupt heat transport across multiple length scales. Here, we identify that a partially ordered, noncrystalline transitional phase in highly aligned polyethylene is not a negative by-product of processing but a key contributor to heat conduction. Guided by this insight, we develop a gel-state intermittent slow stretching method that directs noncrystalline evolution during polyethylene fiber formation. This approach enables chain relaxation and structural reorganization in regions typically regarded as amorphous and interfacial, promoting their conversion into the transitional phase and their seamless integration with crystalline domains. The resulting structure extends the continuity of ordered shish segments within the period structure, increasing the distance over which heat can travel quasi-ballistically. As a result, polyethylene fibers with 26.79% noncrystalline content achieve thermal conductivities up to 70.61 watts per meter per kelvin, representing 1.45 to 2.60 times of leading commercial polyethylene fibers. These findings establish control of noncrystalline structure as an essential route to unlocking high thermal conductivity in polymers and open a pathway toward lightweight, fully organic thermal conductors.</w:t>
      </w:r>
    </w:p>
    <w:p>
      <w:pPr>
        <w:spacing w:before="120" w:after="120"/>
      </w:pPr>
      <w:r>
        <w:rPr>
          <w:sz w:val="18"/>
        </w:rPr>
        <w:t>——————————————————————————————————————————————————————————————————————</w:t>
      </w:r>
    </w:p>
    <w:p>
      <w:pPr>
        <w:spacing w:before="160" w:after="40" w:line="240" w:lineRule="auto"/>
      </w:pPr>
      <w:r>
        <w:rPr>
          <w:b/>
        </w:rPr>
        <w:t xml:space="preserve">[485] </w:t>
      </w:r>
      <w:hyperlink r:id="rId1104">
        <w:r>
          <w:rPr>
            <w:color w:val="1155CC"/>
            <w:u w:val="single"/>
          </w:rPr>
          <w:t>减排下敏感气溶胶限制海洋云区的全球扩张</w:t>
        </w:r>
      </w:hyperlink>
    </w:p>
    <w:p>
      <w:pPr>
        <w:spacing w:before="0" w:after="80"/>
      </w:pPr>
      <w:r>
        <w:rPr>
          <w:i/>
          <w:sz w:val="20"/>
        </w:rPr>
        <w:t>EN: Global expansion of the sensitive aerosol-limited marine cloud regime under emission reductions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05">
        <w:r>
          <w:rPr>
            <w:color w:val="1155CC"/>
            <w:u w:val="single"/>
          </w:rPr>
          <w:t>10.1126/sciadv.aef9665</w:t>
        </w:r>
      </w:hyperlink>
    </w:p>
    <w:p>
      <w:pPr>
        <w:spacing w:before="0" w:after="120"/>
      </w:pPr>
      <w:r>
        <w:rPr>
          <w:b/>
        </w:rPr>
        <w:t xml:space="preserve">Notes: </w:t>
      </w:r>
      <w:r>
        <w:t>abstract_source=crossref</w:t>
      </w:r>
    </w:p>
    <w:p>
      <w:pPr>
        <w:spacing w:before="0" w:after="80" w:lineRule="auto" w:line="276"/>
      </w:pPr>
      <w:r>
        <w:rPr>
          <w:b/>
        </w:rPr>
        <w:t xml:space="preserve">摘要（ZH）: </w:t>
      </w:r>
      <w:r>
        <w:t>气溶胶-云相互作用（ACI）从根本上来说是非线性的，当云特性对气溶胶变化高度敏感时（气溶胶限制区），就会出现最强烈的气候效应。因此，量化这一机制的演变对于限制气候强迫和未来预测的不确定性至关重要。通过将卫星观测与气候模型模拟相结合，我们绘制了全球这一状况的地图并跟踪其最近的变化。我们发现过去 20 年每十年增加 4.8%，主要是由于人为排放减少推动北半球急剧增加（每十年约 14.7%）。在强有力的减排途径下，预计主要海洋区域的排放频率将增加一倍或三倍。这种系统性的转变将海洋云推入气溶胶敏感性升高的状态，从而放大了云介导的对气溶胶变化的辐射响应。我们的研究结果强调需要考虑气候预测中这种不断变化的敏感性。</w:t>
      </w:r>
    </w:p>
    <w:p>
      <w:pPr>
        <w:spacing w:before="0" w:after="200" w:lineRule="auto" w:line="276"/>
      </w:pPr>
      <w:r>
        <w:rPr>
          <w:b/>
        </w:rPr>
        <w:t xml:space="preserve">Abstract (EN): </w:t>
      </w:r>
      <w:r>
        <w:t>Aerosol-cloud interactions (ACIs) are fundamentally nonlinear, with their strongest climatic effects emerging where cloud properties are highly sensitive to aerosol changes—the aerosol-limited regime. Quantifying this regime’s evolution is therefore critical for constraining uncertainties in climate forcing and future projections. By integrating satellite observations with climate model simulations, we map this regime globally and track its recent change. We find it expanded by 4.8% per decade over the past 20 years, primarily due to a sharp increase (∼14.7% per decade) in the Northern Hemisphere driven by anthropogenic emission reductions. Under a strong emission reduction pathway, its frequency is projected to double or triple in key ocean regions. This systematic shift pushes marine clouds into a state of heightened aerosol sensitivity, thereby amplifying the cloud-mediated radiative response to aerosol changes. Our findings underscore the need to account for this evolving sensitivity in climate projections.</w:t>
      </w:r>
    </w:p>
    <w:p>
      <w:pPr>
        <w:spacing w:before="120" w:after="120"/>
      </w:pPr>
      <w:r>
        <w:rPr>
          <w:sz w:val="18"/>
        </w:rPr>
        <w:t>——————————————————————————————————————————————————————————————————————</w:t>
      </w:r>
    </w:p>
    <w:p>
      <w:pPr>
        <w:spacing w:before="160" w:after="40" w:line="240" w:lineRule="auto"/>
      </w:pPr>
      <w:r>
        <w:rPr>
          <w:b/>
        </w:rPr>
        <w:t xml:space="preserve">[486] </w:t>
      </w:r>
      <w:hyperlink r:id="rId1106">
        <w:r>
          <w:rPr>
            <w:color w:val="1155CC"/>
            <w:u w:val="single"/>
          </w:rPr>
          <w:t>活细胞内质网脂肪酸酯化的光学光热红外成像</w:t>
        </w:r>
      </w:hyperlink>
    </w:p>
    <w:p>
      <w:pPr>
        <w:spacing w:before="0" w:after="80"/>
      </w:pPr>
      <w:r>
        <w:rPr>
          <w:i/>
          <w:sz w:val="20"/>
        </w:rPr>
        <w:t>EN: Optical photothermal infrared imaging of fatty acid esterification in the ER of living cells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07">
        <w:r>
          <w:rPr>
            <w:color w:val="1155CC"/>
            <w:u w:val="single"/>
          </w:rPr>
          <w:t>10.1126/sciadv.aed6477</w:t>
        </w:r>
      </w:hyperlink>
    </w:p>
    <w:p>
      <w:pPr>
        <w:spacing w:before="0" w:after="120"/>
      </w:pPr>
      <w:r>
        <w:rPr>
          <w:b/>
        </w:rPr>
        <w:t xml:space="preserve">Notes: </w:t>
      </w:r>
      <w:r>
        <w:t>abstract_source=crossref</w:t>
      </w:r>
    </w:p>
    <w:p>
      <w:pPr>
        <w:spacing w:before="0" w:after="80" w:lineRule="auto" w:line="276"/>
      </w:pPr>
      <w:r>
        <w:rPr>
          <w:b/>
        </w:rPr>
        <w:t xml:space="preserve">摘要（ZH）: </w:t>
      </w:r>
      <w:r>
        <w:t>脂毒性是导致细胞死亡和代谢疾病的脂质积累。饱和脂肪酸更容易引起脂毒性；然而，由于活细胞中反应可视化的挑战，其机制仍不清楚。在这里，我们使用光学光热红外显微光谱以亚微米空间分辨率研究肝细胞中的棕榈酸（PA）代谢。 PA 喂养后，我们发现时间依赖性酯羰基拉伸位于内质网 (ER) 附近的脂滴附近，形态异常。该片段属于甘油-3-磷酸途径中的二酰甘油中间体。氘化 PA 的 C─D 延伸段提供了互补的分子细节，支持了这样一种模型：内质网中 PA 酰基链堆积可减少酶扩散，从而减缓 PA 代谢。我们的结果提供了对高熔点脂肪酸及其代谢物诱导的相变如何改变内质网化学的更深入的了解，并提供了检测与活细胞脂毒性相关的化学和环境变化的工具。</w:t>
      </w:r>
    </w:p>
    <w:p>
      <w:pPr>
        <w:spacing w:before="0" w:after="200" w:lineRule="auto" w:line="276"/>
      </w:pPr>
      <w:r>
        <w:rPr>
          <w:b/>
        </w:rPr>
        <w:t xml:space="preserve">Abstract (EN): </w:t>
      </w:r>
      <w:r>
        <w:t>Lipotoxicity is an accumulation of lipids that leads to cell death and metabolic disease. Saturated fatty acids are more likely to cause lipotoxicity; however, the mechanism remains unclear due to challenges visualizing reactions in live cells. Here, we use optical photothermal infrared microspectroscopy to investigate palmitic acid (PA) metabolism in hepatocytes with submicron spatial resolution. Upon PA feeding, we found a time-dependent ester carbonyl stretch localized to the endoplasmic reticulum (ER) near lipid droplets with abnormal morphology. This stretch is assigned to diacylglycerol intermediates in the glycerol-3-phosphate pathway. C─D stretches of deuterated PA provide complementary molecular details, supporting a model whereby PA acyl chain packing in the ER reduces enzyme diffusion slowing PA metabolism. Our results provide a deeper understanding of how phase changes induced by high melting temperature fatty acids and their metabolites change ER chemistry as well as provide a tool for detecting chemical and environmental changes associated with lipotoxicity in live cells.</w:t>
      </w:r>
    </w:p>
    <w:p>
      <w:pPr>
        <w:spacing w:before="120" w:after="120"/>
      </w:pPr>
      <w:r>
        <w:rPr>
          <w:sz w:val="18"/>
        </w:rPr>
        <w:t>——————————————————————————————————————————————————————————————————————</w:t>
      </w:r>
    </w:p>
    <w:p>
      <w:pPr>
        <w:spacing w:before="160" w:after="40" w:line="240" w:lineRule="auto"/>
      </w:pPr>
      <w:r>
        <w:rPr>
          <w:b/>
        </w:rPr>
        <w:t xml:space="preserve">[487] </w:t>
      </w:r>
      <w:hyperlink r:id="rId1108">
        <w:r>
          <w:rPr>
            <w:color w:val="1155CC"/>
            <w:u w:val="single"/>
          </w:rPr>
          <w:t>将静态界面转变为具有可操纵透皮焦点的触觉通道</w:t>
        </w:r>
      </w:hyperlink>
    </w:p>
    <w:p>
      <w:pPr>
        <w:spacing w:before="0" w:after="80"/>
      </w:pPr>
      <w:r>
        <w:rPr>
          <w:i/>
          <w:sz w:val="20"/>
        </w:rPr>
        <w:t>EN: Transforming static interfaces into tactile channels with steerable transdermal foci</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09">
        <w:r>
          <w:rPr>
            <w:color w:val="1155CC"/>
            <w:u w:val="single"/>
          </w:rPr>
          <w:t>10.1126/sciadv.aef2372</w:t>
        </w:r>
      </w:hyperlink>
    </w:p>
    <w:p>
      <w:pPr>
        <w:spacing w:before="0" w:after="120"/>
      </w:pPr>
      <w:r>
        <w:rPr>
          <w:b/>
        </w:rPr>
        <w:t xml:space="preserve">Notes: </w:t>
      </w:r>
      <w:r>
        <w:t>abstract_source=crossref</w:t>
      </w:r>
    </w:p>
    <w:p>
      <w:pPr>
        <w:spacing w:before="0" w:after="80" w:lineRule="auto" w:line="276"/>
      </w:pPr>
      <w:r>
        <w:rPr>
          <w:b/>
        </w:rPr>
        <w:t xml:space="preserve">摘要（ZH）: </w:t>
      </w:r>
      <w:r>
        <w:t>抓握手柄、鼠标和手机等物体在人机交互中发挥着核心作用，但手的接触表面尽管具有精致的触觉敏感性，但很少被用作信息传输的渠道。在这里，我们介绍了透皮全向靶向（TADT），这是一种静态接触界面设计策略，可将被动抓握表面转换为主动触觉显示器，使用户能够稳定抓握，同时接收指尖上的空间和时间变化的信息。 TADT 通过将微纹理皮肤耦合接口与相控振动触觉驱动相集成，增强了子执行器螺距能量传递，从而在皮肤下生成可操纵的三维触觉焦点，从而实现 &gt;200 赫兹的振动和子执行器螺距空间超分辨率。心理物理实验表明，与不使用 TADT 的设计相比，TADT 的检测阈值降低了 30%，功耗降低了 80%。仅使用静态抓握，用户就可以可靠地识别六个方向线索并完成非视觉室内导航和虚拟现实交互任务，展示了一种紧凑、节能的表达触觉通信方式。</w:t>
      </w:r>
    </w:p>
    <w:p>
      <w:pPr>
        <w:spacing w:before="0" w:after="200" w:lineRule="auto" w:line="276"/>
      </w:pPr>
      <w:r>
        <w:rPr>
          <w:b/>
        </w:rPr>
        <w:t xml:space="preserve">Abstract (EN): </w:t>
      </w:r>
      <w:r>
        <w:t>Grasping objects such as handles, mice, and phones plays a central role in human-machine interaction, yet the contact surfaces of the hand, despite their exquisite tactile sensitivity, are rarely exploited as channels for information transfer. Here, we introduce transdermal all-directional targeting (TADT), a static-contact interface design strategy that converts passive grip surfaces into active tactile displays, allowing users to grasp stably while receiving spatially and temporally evolving information on the fingertips. TADT enhances sub-actuator-pitch energy delivery by integrating a microtextured skin-coupling interface with phase-controlled vibrotactile actuation, thereby generating steerable three-dimensional tactile foci beneath the skin, enabling &amp;gt;200-hertz vibration and sub-actuator-pitch spatial super-resolution. Psychophysical experiments show that TADT lowers detection thresholds by 30% and reduces power consumption by 80% compared with designs without TADT. Using static grip alone, users reliably identified six directional cues and completed nonvisual indoor navigation and virtual reality interaction tasks, demonstrating a compact, energy-efficient modality for expressive tactile communication.</w:t>
      </w:r>
    </w:p>
    <w:p>
      <w:pPr>
        <w:spacing w:before="120" w:after="120"/>
      </w:pPr>
      <w:r>
        <w:rPr>
          <w:sz w:val="18"/>
        </w:rPr>
        <w:t>——————————————————————————————————————————————————————————————————————</w:t>
      </w:r>
    </w:p>
    <w:p>
      <w:pPr>
        <w:spacing w:before="160" w:after="40" w:line="240" w:lineRule="auto"/>
      </w:pPr>
      <w:r>
        <w:rPr>
          <w:b/>
        </w:rPr>
        <w:t xml:space="preserve">[488] </w:t>
      </w:r>
      <w:hyperlink r:id="rId1110">
        <w:r>
          <w:rPr>
            <w:color w:val="1155CC"/>
            <w:u w:val="single"/>
          </w:rPr>
          <w:t>深层岩浆负压和连通性导致大型堤坝侵入</w:t>
        </w:r>
      </w:hyperlink>
    </w:p>
    <w:p>
      <w:pPr>
        <w:spacing w:before="0" w:after="80"/>
      </w:pPr>
      <w:r>
        <w:rPr>
          <w:i/>
          <w:sz w:val="20"/>
        </w:rPr>
        <w:t>EN: Deep magma underpressure and connectivity drive large dike intrusions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11">
        <w:r>
          <w:rPr>
            <w:color w:val="1155CC"/>
            <w:u w:val="single"/>
          </w:rPr>
          <w:t>10.1126/sciadv.aed6073</w:t>
        </w:r>
      </w:hyperlink>
    </w:p>
    <w:p>
      <w:pPr>
        <w:spacing w:before="0" w:after="120"/>
      </w:pPr>
      <w:r>
        <w:rPr>
          <w:b/>
        </w:rPr>
        <w:t xml:space="preserve">Notes: </w:t>
      </w:r>
      <w:r>
        <w:t>abstract_source=crossref</w:t>
      </w:r>
    </w:p>
    <w:p>
      <w:pPr>
        <w:spacing w:before="0" w:after="80" w:lineRule="auto" w:line="276"/>
      </w:pPr>
      <w:r>
        <w:rPr>
          <w:b/>
        </w:rPr>
        <w:t xml:space="preserve">摘要（ZH）: </w:t>
      </w:r>
      <w:r>
        <w:t>大型岩墙是火山地区地壳扩张的主要机制，但提供所需体积的底层岩浆系统的过程仍不清楚。我们发现 2024 年 12 月，1.4 立方公里的岩浆在埃塞俄比亚裂谷下传播，并持续了约 3 个月。大地测量学和地震活动表明，该堤坝的水源来自深度为 6 至 12 公里的岩浆库网络，岩浆库网络在岩浆库之间迅速形成。我们计算了储层中的压力变化，并表明在更深的部分形成了负压，为排出大量岩浆创造了条件。我们发现，仅靠构造应力和岩浆的可用性不足以驱动大规模岩墙的侵入。这些事件只有在岩浆连通和深层负压发展之后才会开始。类似的条件对于大量岩浆从地幔的转移和大型火成岩省的形成可能很重要。</w:t>
      </w:r>
    </w:p>
    <w:p>
      <w:pPr>
        <w:spacing w:before="0" w:after="200" w:lineRule="auto" w:line="276"/>
      </w:pPr>
      <w:r>
        <w:rPr>
          <w:b/>
        </w:rPr>
        <w:t xml:space="preserve">Abstract (EN): </w:t>
      </w:r>
      <w:r>
        <w:t>Large dikes are the main mechanism of crustal extension in volcanic areas, but the processes in the underlying magma system that supply the required volumes remain unclear. We show that 1.4 cubic kilometers of magma propagated under the Ethiopian rift in December 2024 and continued for ~3 months. Geodesy and seismicity reveal that the dike was fed from a network of magma reservoirs between 6 to 12 kilometers in depth with pathways rapidly forming between them. We calculate pressure changes in the reservoirs and show that underpressure developed in the deeper portion, creating the conditions to drain large magma volumes. We find that tectonic stress and availability of magma alone are not enough to drive intrusion of massive dikes. These events will start only after magma connectivity and deep underpressure develop. Similar conditions may be important for the transfer of large magma volumes from the mantle and the formation of large igneous provinces.</w:t>
      </w:r>
    </w:p>
    <w:p>
      <w:pPr>
        <w:spacing w:before="120" w:after="120"/>
      </w:pPr>
      <w:r>
        <w:rPr>
          <w:sz w:val="18"/>
        </w:rPr>
        <w:t>——————————————————————————————————————————————————————————————————————</w:t>
      </w:r>
    </w:p>
    <w:p>
      <w:pPr>
        <w:spacing w:before="160" w:after="40" w:line="240" w:lineRule="auto"/>
      </w:pPr>
      <w:r>
        <w:rPr>
          <w:b/>
        </w:rPr>
        <w:t xml:space="preserve">[489] </w:t>
      </w:r>
      <w:hyperlink r:id="rId1112">
        <w:r>
          <w:rPr>
            <w:color w:val="1155CC"/>
            <w:u w:val="single"/>
          </w:rPr>
          <w:t>ER-线粒体系链ML1协调外周裂变和批发线粒体自噬以适应植物适应碳饥饿</w:t>
        </w:r>
      </w:hyperlink>
    </w:p>
    <w:p>
      <w:pPr>
        <w:spacing w:before="0" w:after="80"/>
      </w:pPr>
      <w:r>
        <w:rPr>
          <w:i/>
          <w:sz w:val="20"/>
        </w:rPr>
        <w:t>EN: ER-mitochondria tether ML1 coordinates peripheral fission and wholesale mitophagy for plant adaptation to carbon starvation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13">
        <w:r>
          <w:rPr>
            <w:color w:val="1155CC"/>
            <w:u w:val="single"/>
          </w:rPr>
          <w:t>10.1126/sciadv.aef6631</w:t>
        </w:r>
      </w:hyperlink>
    </w:p>
    <w:p>
      <w:pPr>
        <w:spacing w:before="0" w:after="120"/>
      </w:pPr>
      <w:r>
        <w:rPr>
          <w:b/>
        </w:rPr>
        <w:t xml:space="preserve">Notes: </w:t>
      </w:r>
      <w:r>
        <w:t>abstract_source=crossref</w:t>
      </w:r>
    </w:p>
    <w:p>
      <w:pPr>
        <w:spacing w:before="0" w:after="80" w:lineRule="auto" w:line="276"/>
      </w:pPr>
      <w:r>
        <w:rPr>
          <w:b/>
        </w:rPr>
        <w:t xml:space="preserve">摘要（ZH）: </w:t>
      </w:r>
      <w:r>
        <w:t>植物经常因长期黑暗或树冠遮荫或非光合组织而遭遇碳饥饿，需要快速线粒体重塑以匹配代谢通量的减少。在这里，我们揭示了一个整合外周裂变介导的损伤分离和大规模线粒体自噬的协调程序。碳饥饿触发了从对称中区裂变到不对称外围裂变的转变，在较大的极化线粒体旁边产生了小的去极化碎片。出乎意料的是，与损伤无关的大规模线粒体自噬以中等大小的线粒体为目标，以减轻负担和资源动员，同时排除小型外围裂变产物。我们确定线粒体-ER（内质网）连接子 1 (ML1)，一种碳饥饿诱导的 ER-线粒体系链，作为中央协调器。在 ER-线粒体接触位点，ML1 促进外周裂变并招募 ATG18a（自噬相关蛋白 18a）进行大规模线粒体自噬。 ML1 的缺失会损害这种协调重塑，导致线粒体拉长、功能受损以及对碳饥饿过敏。这些发现揭示了植物如何通过协调线粒体重塑实现快速代谢适应。</w:t>
      </w:r>
    </w:p>
    <w:p>
      <w:pPr>
        <w:spacing w:before="0" w:after="200" w:lineRule="auto" w:line="276"/>
      </w:pPr>
      <w:r>
        <w:rPr>
          <w:b/>
        </w:rPr>
        <w:t xml:space="preserve">Abstract (EN): </w:t>
      </w:r>
      <w:r>
        <w:t>Plants frequently encounter carbon starvation from extended darkness or canopy shading or in nonphotosynthetic tissues, requiring rapid mitochondrial remodeling to match reduced metabolic flux. Here, we reveal a coordinated program integrating peripheral fission–mediated damage segregation and wholesale mitophagy. Carbon starvation triggers a shift from symmetric midzone fission to asymmetric peripheral fission, generating small depolarized fragments alongside larger polarized mitochondria. Unexpectedly, damage-independent wholesale mitophagy targets medium-sized mitochondria for both burden reduction and resource mobilization while excluding small peripheral fission products. We identify mitochondria-ER (endoplasmic reticulum) linker 1 (ML1), a carbon starvation–inducible ER-mitochondria tether, as the central coordinator. At ER-mitochondria contact sites, ML1 promotes peripheral fission and recruits ATG18a (autophagy-related protein 18a) for wholesale mitophagy. Loss of ML1 impairs this coordinated remodeling, resulting in elongated mitochondria, compromised function, and hypersensitivity to carbon starvation. These findings reveal how plants achieve rapid metabolic adaptation through coordinated mitochondrial remodeling.</w:t>
      </w:r>
    </w:p>
    <w:p>
      <w:pPr>
        <w:spacing w:before="120" w:after="120"/>
      </w:pPr>
      <w:r>
        <w:rPr>
          <w:sz w:val="18"/>
        </w:rPr>
        <w:t>——————————————————————————————————————————————————————————————————————</w:t>
      </w:r>
    </w:p>
    <w:p>
      <w:pPr>
        <w:spacing w:before="160" w:after="40" w:line="240" w:lineRule="auto"/>
      </w:pPr>
      <w:r>
        <w:rPr>
          <w:b/>
        </w:rPr>
        <w:t xml:space="preserve">[490] </w:t>
      </w:r>
      <w:hyperlink r:id="rId1114">
        <w:r>
          <w:rPr>
            <w:color w:val="1155CC"/>
            <w:u w:val="single"/>
          </w:rPr>
          <w:t>连接 3D 电子器件与皮肤的多功能多孔界面</w:t>
        </w:r>
      </w:hyperlink>
    </w:p>
    <w:p>
      <w:pPr>
        <w:spacing w:before="0" w:after="80"/>
      </w:pPr>
      <w:r>
        <w:rPr>
          <w:i/>
          <w:sz w:val="20"/>
        </w:rPr>
        <w:t>EN: A multifunctional porous interface bridging 3D architected electronics with skin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15">
        <w:r>
          <w:rPr>
            <w:color w:val="1155CC"/>
            <w:u w:val="single"/>
          </w:rPr>
          <w:t>10.1126/sciadv.aef0161</w:t>
        </w:r>
      </w:hyperlink>
    </w:p>
    <w:p>
      <w:pPr>
        <w:spacing w:before="0" w:after="120"/>
      </w:pPr>
      <w:r>
        <w:rPr>
          <w:b/>
        </w:rPr>
        <w:t xml:space="preserve">Notes: </w:t>
      </w:r>
      <w:r>
        <w:t>abstract_source=crossref</w:t>
      </w:r>
    </w:p>
    <w:p>
      <w:pPr>
        <w:spacing w:before="0" w:after="80" w:lineRule="auto" w:line="276"/>
      </w:pPr>
      <w:r>
        <w:rPr>
          <w:b/>
        </w:rPr>
        <w:t xml:space="preserve">摘要（ZH）: </w:t>
      </w:r>
      <w:r>
        <w:t>皮肤集成柔性电子产品正迅速从短期使用发展到连续、长期佩戴，以满足健康监测、伤口愈合和皮肤病治疗的需求。虽然三维 (3D) 架构设备提供传感功能和出色的机械性能，但由于其几何复杂性和机械脆弱性，开发这些 3D 电子设备和皮肤之间的共形界面以实现长期舒适佩戴仍然具有挑战性。在这里，我们介绍了一种多功能多孔界面，通过工程微孔网络将 3D 柔性电子器件与皮肤连接起来。这种多孔设计增强了弹性拉伸性和电气可靠性，同时提供透湿性、热缓冲、冲击缓解和药物输送能力。刚度降低和局部孔壁壳屈曲协同支撑大变形下出色的机械弹性。所提出的多功能多孔界面允许开发能够进行多模式传感和按需治疗的3D闭环伤口给药贴片，显着加速体内烫伤伤口的愈合。</w:t>
      </w:r>
    </w:p>
    <w:p>
      <w:pPr>
        <w:spacing w:before="0" w:after="200" w:lineRule="auto" w:line="276"/>
      </w:pPr>
      <w:r>
        <w:rPr>
          <w:b/>
        </w:rPr>
        <w:t xml:space="preserve">Abstract (EN): </w:t>
      </w:r>
      <w:r>
        <w:t>Skin-integrated flexible electronics are rapidly advancing from short-term use to continuous, long-term wear to meet the demands of health monitoring, wound healing, and skin disease treatment. While three-dimensionally (3D) architected devices offer sensing capabilities and outstanding mechanical performances, the development of a conformal interface between these 3D electronic devices and skin for long-term comfortable wear remains challenging due to their geometric complexity and mechanical fragility. Here, we introduce a multifunctional porous interface that bridges 3D flexible electronics with skin through engineered microporous networks. Such a porous design enhances elastic stretchability and electrical reliability while providing moisture permeability, thermal buffering, impact mitigation, and drug delivery capability. Stiffness reduction and localized pore-wall-shell buckling synergistically underpin the outstanding mechanical resilience under large deformations. The proposed multifunctional porous interface allows development of a 3D closed-loop wound administration patch capable of multimodal sensing and on-demand therapy, markedly accelerating scald wound healing in vivo.</w:t>
      </w:r>
    </w:p>
    <w:p>
      <w:pPr>
        <w:spacing w:before="120" w:after="120"/>
      </w:pPr>
      <w:r>
        <w:rPr>
          <w:sz w:val="18"/>
        </w:rPr>
        <w:t>——————————————————————————————————————————————————————————————————————</w:t>
      </w:r>
    </w:p>
    <w:p>
      <w:pPr>
        <w:spacing w:before="160" w:after="40" w:line="240" w:lineRule="auto"/>
      </w:pPr>
      <w:r>
        <w:rPr>
          <w:b/>
        </w:rPr>
        <w:t xml:space="preserve">[491] </w:t>
      </w:r>
      <w:hyperlink r:id="rId1116">
        <w:r>
          <w:rPr>
            <w:color w:val="1155CC"/>
            <w:u w:val="single"/>
          </w:rPr>
          <w:t>植入式生物电子插座</w:t>
        </w:r>
      </w:hyperlink>
    </w:p>
    <w:p>
      <w:pPr>
        <w:spacing w:before="0" w:after="80"/>
      </w:pPr>
      <w:r>
        <w:rPr>
          <w:i/>
          <w:sz w:val="20"/>
        </w:rPr>
        <w:t>EN: Implantable bioelectronic outlet</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17">
        <w:r>
          <w:rPr>
            <w:color w:val="1155CC"/>
            <w:u w:val="single"/>
          </w:rPr>
          <w:t>10.1126/sciadv.aee9688</w:t>
        </w:r>
      </w:hyperlink>
    </w:p>
    <w:p>
      <w:pPr>
        <w:spacing w:before="0" w:after="120"/>
      </w:pPr>
      <w:r>
        <w:rPr>
          <w:b/>
        </w:rPr>
        <w:t xml:space="preserve">Notes: </w:t>
      </w:r>
      <w:r>
        <w:t>abstract_source=crossref</w:t>
      </w:r>
    </w:p>
    <w:p>
      <w:pPr>
        <w:spacing w:before="0" w:after="80" w:lineRule="auto" w:line="276"/>
      </w:pPr>
      <w:r>
        <w:rPr>
          <w:b/>
        </w:rPr>
        <w:t xml:space="preserve">摘要（ZH）: </w:t>
      </w:r>
      <w:r>
        <w:t>为植入生物电子学开发可靠、长期的电气接口对于长期诊断、治疗和设备维护至关重要。在这里，我们介绍了植入式生物电子插座（IBO），这是一种柔软的组织状电子接口，可以在植入式电子设备和外部设备之间实现按需的直接欧姆连接。 IBO 由导电聚合物涂层的低密度聚合物基体组成，该基体外套有疏水性弹性体，允许重复插入外部电触点而不会产生裂纹扩展。 IBO 在植入一年后即可发挥作用，对组织的影响最小。我们证明，IBO 能够实现信号和电力的高保真双向传输，包括低压神经生理信号、高速数字信号、神经刺激协议和高效的高电流电力传输，并在小型和大型动物模型研究中得到验证。 IBO 提供了一个强大且可扩展的平台，可实现与植入式生物电子学的安全、直接和耐用的电气接口。</w:t>
      </w:r>
    </w:p>
    <w:p>
      <w:pPr>
        <w:spacing w:before="0" w:after="200" w:lineRule="auto" w:line="276"/>
      </w:pPr>
      <w:r>
        <w:rPr>
          <w:b/>
        </w:rPr>
        <w:t xml:space="preserve">Abstract (EN): </w:t>
      </w:r>
      <w:r>
        <w:t>Developing a reliable, long-term electrical interface for implanted bioelectronics is essential for chronic diagnostics, therapeutics, and device maintenance. Here, we introduce the implantable bioelectronic outlet (IBO), a soft, tissue-like electronic interface that enables on-demand, direct ohmic connection between implanted electronics and external devices. IBO is composed of a conducting polymer–coated low-density polymer matrix that is jacketed with a hydrophobic elastomer, allowing repetitive insertion of external electrical contacts without crack propagation. IBO was functional after 1 year of implantation with minimal tissue effects. We demonstrate that IBO enables high-fidelity, bidirectional transmission of signals and power, including low-voltage neurophysiological signals, high-speed digital signals, neurostimulation protocols, and efficient high-current power delivery, validated in small and large animal model studies. The IBO provides a robust and scalable platform for safe, direct, and durable electrical interfacing with implantable bioelectronics.</w:t>
      </w:r>
    </w:p>
    <w:p>
      <w:pPr>
        <w:spacing w:before="120" w:after="120"/>
      </w:pPr>
      <w:r>
        <w:rPr>
          <w:sz w:val="18"/>
        </w:rPr>
        <w:t>——————————————————————————————————————————————————————————————————————</w:t>
      </w:r>
    </w:p>
    <w:p>
      <w:pPr>
        <w:spacing w:before="160" w:after="40" w:line="240" w:lineRule="auto"/>
      </w:pPr>
      <w:r>
        <w:rPr>
          <w:b/>
        </w:rPr>
        <w:t xml:space="preserve">[492] </w:t>
      </w:r>
      <w:hyperlink r:id="rId1118">
        <w:r>
          <w:rPr>
            <w:color w:val="1155CC"/>
            <w:u w:val="single"/>
          </w:rPr>
          <w:t>具有液晶聚合物记忆功能的可训练软电子器件</w:t>
        </w:r>
      </w:hyperlink>
    </w:p>
    <w:p>
      <w:pPr>
        <w:spacing w:before="0" w:after="80"/>
      </w:pPr>
      <w:r>
        <w:rPr>
          <w:i/>
          <w:sz w:val="20"/>
        </w:rPr>
        <w:t>EN: Trainable soft electronics with memory in liquid crystal polymers</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19">
        <w:r>
          <w:rPr>
            <w:color w:val="1155CC"/>
            <w:u w:val="single"/>
          </w:rPr>
          <w:t>10.1126/sciadv.aee8616</w:t>
        </w:r>
      </w:hyperlink>
    </w:p>
    <w:p>
      <w:pPr>
        <w:spacing w:before="0" w:after="120"/>
      </w:pPr>
      <w:r>
        <w:rPr>
          <w:b/>
        </w:rPr>
        <w:t xml:space="preserve">Notes: </w:t>
      </w:r>
      <w:r>
        <w:t>abstract_source=crossref</w:t>
      </w:r>
    </w:p>
    <w:p>
      <w:pPr>
        <w:spacing w:before="0" w:after="80" w:lineRule="auto" w:line="276"/>
      </w:pPr>
      <w:r>
        <w:rPr>
          <w:b/>
        </w:rPr>
        <w:t xml:space="preserve">摘要（ZH）: </w:t>
      </w:r>
      <w:r>
        <w:t>最先进的软材料可以设计为传感器和执行器，然而，从外部信息中学习的方法仍然是当前研究的主题。受使用大型数据集训练人工智能的启发，调整对中继数据的物理响应将引入软材料的学习行为。在这项工作中，我们开发了一种可训练的液晶低聚物网络（LCON），它将数字信息直接存储到其分子配置中。通过用光可切换偶氮苯功能化各向异性 LCON，我们通过二元态系统同时将基本逻辑和存储器集成在材料中；我们将这种设计命名为可训练自走门（T-SPG）。我们可以通过光子刺激来调整 T-SPG 的记忆，从而允许系统通过传统的数字控制器进行训练。我们通过两个分层任务展示了 T-SPG 的可训练性：一个较低级别的二元分类任务，其中决策边界存储为材料内存；另一个较高级别的运动任务，使用存储的内存来触发驱动。</w:t>
      </w:r>
    </w:p>
    <w:p>
      <w:pPr>
        <w:spacing w:before="0" w:after="200" w:lineRule="auto" w:line="276"/>
      </w:pPr>
      <w:r>
        <w:rPr>
          <w:b/>
        </w:rPr>
        <w:t xml:space="preserve">Abstract (EN): </w:t>
      </w:r>
      <w:r>
        <w:t>State-of-the-art soft materials can be engineered as sensors and actuators, yet, methods for learning from external information remain a subject of current research. Inspired by the use of large datasets to train artificial intelligence, tuning physical responsiveness to relayed data would introduce learning behavior in soft materials. In this work, we develop a trainable liquid crystal oligomer network (LCON) that stores digital information directly into its molecular configuration. By functionalizing the anisotropic LCON with photo-switchable azobenzene, we simultaneously integrate basic logic and memory in a material through a binary-state system; we coin this design the trainable self-propelled gate (T-SPG). We can tune the memory of our T-SPG with photonic stimuli, allowing the system to be trained by a conventional digital controller. We demonstrate the trainability of the T-SPG through two hierarchical tasks: a lower-level binary classification task where the decision boundary is stored as material memory, and a higher-level motion task that uses the stored memory to trigger actuation.</w:t>
      </w:r>
    </w:p>
    <w:p>
      <w:pPr>
        <w:spacing w:before="120" w:after="120"/>
      </w:pPr>
      <w:r>
        <w:rPr>
          <w:sz w:val="18"/>
        </w:rPr>
        <w:t>——————————————————————————————————————————————————————————————————————</w:t>
      </w:r>
    </w:p>
    <w:p>
      <w:pPr>
        <w:spacing w:before="160" w:after="40" w:line="240" w:lineRule="auto"/>
      </w:pPr>
      <w:r>
        <w:rPr>
          <w:b/>
        </w:rPr>
        <w:t xml:space="preserve">[493] </w:t>
      </w:r>
      <w:hyperlink r:id="rId1120">
        <w:r>
          <w:rPr>
            <w:color w:val="1155CC"/>
            <w:u w:val="single"/>
          </w:rPr>
          <w:t>循环 PEG-吲哚胺 2,3-双加氧酶可改善多种炎症性疾病，且无毒性或不损害免疫功能</w:t>
        </w:r>
      </w:hyperlink>
    </w:p>
    <w:p>
      <w:pPr>
        <w:spacing w:before="0" w:after="80"/>
      </w:pPr>
      <w:r>
        <w:rPr>
          <w:i/>
          <w:sz w:val="20"/>
        </w:rPr>
        <w:t>EN: Circulating PEG-indoleamine 2,3-dioxygenase ameliorates diverse inflammatory diseases without toxicity or compromising immunocompetence</w:t>
      </w:r>
    </w:p>
    <w:p>
      <w:pPr>
        <w:spacing w:before="0" w:after="120"/>
      </w:pPr>
      <w:r>
        <w:rPr>
          <w:b/>
        </w:rPr>
        <w:t xml:space="preserve">Source: </w:t>
      </w:r>
      <w:r>
        <w:t>Proceedings of the National Academy of Sciences: Keyword search for query</w:t>
      </w:r>
      <w:r>
        <w:t xml:space="preserve">    </w:t>
      </w:r>
      <w:r>
        <w:rPr>
          <w:b/>
        </w:rPr>
        <w:t xml:space="preserve">Pub date: </w:t>
      </w:r>
      <w:r>
        <w:t>2026-07-08 07:00:00+00:00</w:t>
      </w:r>
      <w:r>
        <w:t xml:space="preserve">    </w:t>
      </w:r>
      <w:r>
        <w:rPr>
          <w:b/>
        </w:rPr>
        <w:t xml:space="preserve">DOI: </w:t>
      </w:r>
      <w:hyperlink r:id="rId1121">
        <w:r>
          <w:rPr>
            <w:color w:val="1155CC"/>
            <w:u w:val="single"/>
          </w:rPr>
          <w:t>10.1073/pnas.2602536123</w:t>
        </w:r>
      </w:hyperlink>
    </w:p>
    <w:p>
      <w:pPr>
        <w:spacing w:before="0" w:after="120"/>
      </w:pPr>
      <w:r>
        <w:rPr>
          <w:b/>
        </w:rPr>
        <w:t xml:space="preserve">Notes: </w:t>
      </w:r>
      <w:r>
        <w:t>abstract_source=crossref</w:t>
      </w:r>
    </w:p>
    <w:p>
      <w:pPr>
        <w:spacing w:before="0" w:after="80" w:lineRule="auto" w:line="276"/>
      </w:pPr>
      <w:r>
        <w:rPr>
          <w:b/>
        </w:rPr>
        <w:t xml:space="preserve">摘要（ZH）: </w:t>
      </w:r>
      <w:r>
        <w:t>吲哚胺 2,3-双加氧酶 (IDO) 是一种负责色氨酸分解代谢的酶，对许多自身免疫性疾病和炎症性疾病具有保护作用。我们之前开发了一种通过将 IDO 与碳水化合物结合蛋白融合的局部免疫调节方法 [E.布拉乔-桑切斯</w:t>
      </w:r>
      <w:r>
        <w:t xml:space="preserve"> </w:t>
      </w:r>
      <w:r>
        <w:t>等人。</w:t>
      </w:r>
      <w:r>
        <w:t xml:space="preserve"> </w:t>
      </w:r>
      <w:r>
        <w:t>,</w:t>
      </w:r>
      <w:r>
        <w:t xml:space="preserve"> </w:t>
      </w:r>
      <w:r>
        <w:t>纳特。生物医学。工程师。</w:t>
      </w:r>
      <w:r>
        <w:rPr>
          <w:vertAlign w:val="subscript"/>
        </w:rPr>
        <w:t>7</w:t>
      </w:r>
      <w:r>
        <w:t>，1156–1169（2023）]。在这里，我们进一步开发 IDO 作为炎症的蛋白质治疗剂，研究通过聚乙二醇 (PEG) 与 IDO 缀合的全身递送。聚乙二醇化可延长循环时间和治疗 PEG-IDO 在五种自身免疫和炎症模型中显示出治疗效果。在作为多发性硬化症模型的实验性自身免疫性脑脊髓炎中，使用单剂量 PEG-IDO 治疗可逆转后肢麻痹；防止肝脏缺血再灌注损伤中的肝损伤；预防腹主动脉瘤；并降低咪喹莫特诱发的牛皮癣的严重程度。用两剂 PEG-IDO 治疗可维持急性溃疡性结肠炎的体重和结肠长度。 PEG-IDO 治疗增加了调节性 T 细胞群，减少了致病性 Th17 细胞群和炎症细胞因子的产生。 PEG-IDO 的全身递送几乎没有脱靶效应。小鼠保持免疫活性，清除</w:t>
      </w:r>
      <w:r>
        <w:t xml:space="preserve"> </w:t>
      </w:r>
      <w:r>
        <w:t>李斯特菌</w:t>
      </w:r>
      <w:r>
        <w:t xml:space="preserve"> </w:t>
      </w:r>
      <w:r>
        <w:t>单核细胞增多症感染，并且没有观察到毒性。此外，PEG-IDO 增加血清犬尿氨酸，与</w:t>
      </w:r>
    </w:p>
    <w:p>
      <w:pPr>
        <w:spacing w:before="0" w:after="200" w:lineRule="auto" w:line="276"/>
      </w:pPr>
      <w:r>
        <w:rPr>
          <w:b/>
        </w:rPr>
        <w:t xml:space="preserve">Abstract (EN): </w:t>
      </w:r>
      <w:r>
        <w:t>Indoleamine 2,3-dioxygenase (IDO), the enzyme responsible for tryptophan catabolism, is protective in many autoimmune and inflammatory diseases. We previously developed a localized immunomodulation approach through the fusion of IDO to a carbohydrate binding protein [E. Bracho-Sanchez</w:t>
      </w:r>
      <w:r>
        <w:t xml:space="preserve"> </w:t>
      </w:r>
      <w:r>
        <w:t>et al.</w:t>
      </w:r>
      <w:r>
        <w:t xml:space="preserve"> </w:t>
      </w:r>
      <w:r>
        <w:t>,</w:t>
      </w:r>
      <w:r>
        <w:t xml:space="preserve"> </w:t>
      </w:r>
      <w:r>
        <w:t>Nat. Biomed. Eng.</w:t>
      </w:r>
      <w:r>
        <w:rPr>
          <w:vertAlign w:val="subscript"/>
        </w:rPr>
        <w:t>7</w:t>
      </w:r>
      <w:r>
        <w:t>, 1156–1169 (2023)]. Here we further develop IDO as a protein therapeutic for inflammation, investigating systemic delivery via conjugation of poly(ethylene glycol) (PEG) to IDO. PEGylation extended circulation time and treatment PEG-IDO demonstrated therapeutic efficacy in five autoimmune and inflammatory models. Treatment with a single dose of PEG-IDO resulted in reversal of hind limb paralysis in experimental autoimmune encephalomyelitis as model of multiple sclerosis; protected against hepatic damage in liver ischemia-reperfusion injury; prevention of abdominal aortic aneurysm; and decreased severity of imiquimod-induced psoriasis. Treatment with two doses of PEG-IDO provided maintenance of body weight and colon length in acute ulcerative colitis. PEG-IDO treatment increased regulatory T cell populations and reduced pathogenic Th17 cell populations and inflammatory cytokine production. Systemic delivery of PEG-IDO had little-to-no off-target effects. Mice maintained immunocompetency, clearing the</w:t>
      </w:r>
      <w:r>
        <w:t xml:space="preserve"> </w:t>
      </w:r>
      <w:r>
        <w:t>Listeria</w:t>
      </w:r>
      <w:r>
        <w:t xml:space="preserve"> </w:t>
      </w:r>
      <w:r>
        <w:t>monocytogenes infection, and had no observed toxicity. Additionally, PEG-IDO increased serum kynurenine, consistent with a kynurenine-mediated mechanism of action. These findings demonstrate systemic immunomodulation via circulating PEG-IDO ameliorates a breadth of disparate autoinflammatory diseases, protecting against inflammation-driven tissue destruction in spinal cord, liver, abdominal aorta, skin, and colon, while presenting a positive safety profile, and expanding the scope of potential applications for this therapeutic approach.</w:t>
      </w:r>
    </w:p>
    <w:p>
      <w:pPr>
        <w:spacing w:before="120" w:after="120"/>
      </w:pPr>
      <w:r>
        <w:rPr>
          <w:sz w:val="18"/>
        </w:rPr>
        <w:t>——————————————————————————————————————————————————————————————————————</w:t>
      </w:r>
    </w:p>
    <w:p>
      <w:pPr>
        <w:spacing w:before="160" w:after="40" w:line="240" w:lineRule="auto"/>
      </w:pPr>
      <w:r>
        <w:rPr>
          <w:b/>
        </w:rPr>
        <w:t xml:space="preserve">[494] </w:t>
      </w:r>
      <w:hyperlink r:id="rId1122">
        <w:r>
          <w:rPr>
            <w:color w:val="1155CC"/>
            <w:u w:val="single"/>
          </w:rPr>
          <w:t>通过能量转移双自由基重排重定向自由基磷酸化</w:t>
        </w:r>
      </w:hyperlink>
    </w:p>
    <w:p>
      <w:pPr>
        <w:spacing w:before="0" w:after="80"/>
      </w:pPr>
      <w:r>
        <w:rPr>
          <w:i/>
          <w:sz w:val="20"/>
        </w:rPr>
        <w:t>EN: Redirecting radical phosphonylation via energy-transfer–enabled diradical rearrangement</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23">
        <w:r>
          <w:rPr>
            <w:color w:val="1155CC"/>
            <w:u w:val="single"/>
          </w:rPr>
          <w:t>10.1126/sciadv.aee4031</w:t>
        </w:r>
      </w:hyperlink>
    </w:p>
    <w:p>
      <w:pPr>
        <w:spacing w:before="0" w:after="120"/>
      </w:pPr>
      <w:r>
        <w:rPr>
          <w:b/>
        </w:rPr>
        <w:t xml:space="preserve">Notes: </w:t>
      </w:r>
      <w:r>
        <w:t>abstract_source=crossref</w:t>
      </w:r>
    </w:p>
    <w:p>
      <w:pPr>
        <w:spacing w:before="0" w:after="80" w:lineRule="auto" w:line="276"/>
      </w:pPr>
      <w:r>
        <w:rPr>
          <w:b/>
        </w:rPr>
        <w:t xml:space="preserve">摘要（ZH）: </w:t>
      </w:r>
      <w:r>
        <w:t>自由基磷酸化传统上依赖于单电子转移机制。相比之下，利用能量转移途径实现支架重排的策略很少见。在这里，我们报告了一种能量转移催化策略，该策略将反应性转向以前未探索的途径：高烯丙醇和磷（III）试剂之间的直接光化学双自由基重排。由计算计算支持的机理研究为能量转移介导的双自由基机制提供了明确的支持。这种操作简单且温和的过程在可见光驱动下，通过双自由基中间体与磷进行自由基加成、β-断裂和重组，高效地形成应变磷酸化环丙烷。该方法具有广泛的底物兼容性和出色的官能团耐受性，可以以良好至优异的产率提供含有氧化膦的多种三元环。这项工作为有机磷合成建立了一种新的反应流形，展示了能量转移催化如何重新定向传统反应性，以通过以前无法实现的重排途径获得有价值的应变结构。</w:t>
      </w:r>
    </w:p>
    <w:p>
      <w:pPr>
        <w:spacing w:before="0" w:after="200" w:lineRule="auto" w:line="276"/>
      </w:pPr>
      <w:r>
        <w:rPr>
          <w:b/>
        </w:rPr>
        <w:t xml:space="preserve">Abstract (EN): </w:t>
      </w:r>
      <w:r>
        <w:t>Radical phosphonylation has traditionally relied on single-electron transfer mechanisms. In contrast, strategies using energy-transfer pathways to enable scaffold rearrangement are rare. Here, we report an energy transfer catalysis strategy that diverts reactivity toward a previously unexplored pathway: a direct photochemical diradical rearrangement between homoallylic alcohols and phosphorus(III) reagents. Mechanistic studies, supported by computational calculation, provide definitive support for an energy-transfer–mediated diradical mechanism. This operationally simple and mild process, driven by visible light, forges strained phosphorylated cyclopropanes with high efficiency via diradical intermediates that undergo radical addition to phosphorus, β-scission, and recombination. With broad substrate compatibility and excellent functional group tolerance, this method delivers diverse three-membered rings containing phosphine oxide in good to excellent yields. This work establishes a new reaction manifold for organophosphorus synthesis, demonstrating how energy transfer catalysis can redirect traditional reactivity to access valuable strained architectures through previously inaccessible rearrangement pathways.</w:t>
      </w:r>
    </w:p>
    <w:p>
      <w:pPr>
        <w:spacing w:before="120" w:after="120"/>
      </w:pPr>
      <w:r>
        <w:rPr>
          <w:sz w:val="18"/>
        </w:rPr>
        <w:t>——————————————————————————————————————————————————————————————————————</w:t>
      </w:r>
    </w:p>
    <w:p>
      <w:pPr>
        <w:spacing w:before="160" w:after="40" w:line="240" w:lineRule="auto"/>
      </w:pPr>
      <w:r>
        <w:rPr>
          <w:b/>
        </w:rPr>
        <w:t xml:space="preserve">[495] </w:t>
      </w:r>
      <w:hyperlink r:id="rId1124">
        <w:r>
          <w:rPr>
            <w:color w:val="1155CC"/>
            <w:u w:val="single"/>
          </w:rPr>
          <w:t>反事实模型隔离了采砂影响，揭示其是湄公河三角洲不稳定的关键驱动因素</w:t>
        </w:r>
      </w:hyperlink>
    </w:p>
    <w:p>
      <w:pPr>
        <w:spacing w:before="0" w:after="80"/>
      </w:pPr>
      <w:r>
        <w:rPr>
          <w:i/>
          <w:sz w:val="20"/>
        </w:rPr>
        <w:t>EN: Counterfactual modeling isolates sand mining impacts, revealing it as a key driver of Mekong Delta destabilization</w:t>
      </w:r>
    </w:p>
    <w:p>
      <w:pPr>
        <w:spacing w:before="0" w:after="120"/>
      </w:pPr>
      <w:r>
        <w:rPr>
          <w:b/>
        </w:rPr>
        <w:t xml:space="preserve">Source: </w:t>
      </w:r>
      <w:r>
        <w:t>AAAS: Science Advances: Table of Contents</w:t>
      </w:r>
      <w:r>
        <w:t xml:space="preserve">    </w:t>
      </w:r>
      <w:r>
        <w:rPr>
          <w:b/>
        </w:rPr>
        <w:t xml:space="preserve">Pub date: </w:t>
      </w:r>
      <w:r>
        <w:t>2026-07-08 07:00:00+00:00</w:t>
      </w:r>
      <w:r>
        <w:t xml:space="preserve">    </w:t>
      </w:r>
      <w:r>
        <w:rPr>
          <w:b/>
        </w:rPr>
        <w:t xml:space="preserve">DOI: </w:t>
      </w:r>
      <w:hyperlink r:id="rId1125">
        <w:r>
          <w:rPr>
            <w:color w:val="1155CC"/>
            <w:u w:val="single"/>
          </w:rPr>
          <w:t>10.1126/sciadv.aef0558</w:t>
        </w:r>
      </w:hyperlink>
    </w:p>
    <w:p>
      <w:pPr>
        <w:spacing w:before="0" w:after="120"/>
      </w:pPr>
      <w:r>
        <w:rPr>
          <w:b/>
        </w:rPr>
        <w:t xml:space="preserve">Notes: </w:t>
      </w:r>
      <w:r>
        <w:t>abstract_source=crossref</w:t>
      </w:r>
    </w:p>
    <w:p>
      <w:pPr>
        <w:spacing w:before="0" w:after="80" w:lineRule="auto" w:line="276"/>
      </w:pPr>
      <w:r>
        <w:rPr>
          <w:b/>
        </w:rPr>
        <w:t xml:space="preserve">摘要（ZH）: </w:t>
      </w:r>
      <w:r>
        <w:t>采砂对河流三角洲的威胁很难量化，因为它的影响常常与水坝和气候变化的影响混为一谈。在这里，我们使用长期数值模型和观察到的采矿数据来隔离其对全球采砂热点越南湄公河三角洲的影响。结果显示，采矿量超过自然沉积物供应量的 6 至 15 倍，导致约 65% 的河道受到河床侵蚀，平均切割率约为每年 0.10 米（约占所有驾驶员驱动的总切割量的 25% 至 30%）。这种河道加深改变了水流，减少了沉积物输送，并增强了盐水入侵。仅采砂一项就造成了年盐度增加的约 16% 至 30%，在旱季将入侵范围扩大到内陆约 1.5 公里。这些变化表明，采砂是三角洲不稳定的一个主要的、以前未被充分量化的驱动因素，影响着河流的形态、流量、沉积物和盐度。这项研究提供了一个框架来量化这些影响并支持更好地管理全球脆弱三角洲的采砂。</w:t>
      </w:r>
    </w:p>
    <w:p>
      <w:pPr>
        <w:spacing w:before="0" w:after="200" w:lineRule="auto" w:line="276"/>
      </w:pPr>
      <w:r>
        <w:rPr>
          <w:b/>
        </w:rPr>
        <w:t xml:space="preserve">Abstract (EN): </w:t>
      </w:r>
      <w:r>
        <w:t>Sand mining is a poorly quantified threat to river deltas because its impacts are often confounded with those of dams and climate change. Here, we isolate its effects in the Vietnamese Mekong Delta, a global sand mining hot spot, using a long-term numerical model and observed mining data. Results show that mining exceeds natural sediment supply by 6 to 15 times, causing riverbed erosion across ~65% of channels, with mean incision rates of ~0.10 meters per year (~25 to 30% of total incision driven by all drivers). This channel deepening alters flow, reduces sediment transport, and enhances saltwater intrusion. Sand mining alone contributes ~16 to 30% of the annual salinity increase, extending intrusion up to ~1.5 kilometers further inland during the dry season. These changes demonstrate that sand mining is a major, previously underquantified driver of delta instability, affecting river morphology, flow, sediment, and salinity. This study provides a framework to quantify these impacts and support better management of sand extraction in vulnerable deltas worldwide.</w:t>
      </w:r>
    </w:p>
    <w:p>
      <w:pPr>
        <w:spacing w:before="120" w:after="120"/>
      </w:pPr>
      <w:r>
        <w:rPr>
          <w:sz w:val="18"/>
        </w:rPr>
        <w:t>——————————————————————————————————————————————————————————————————————</w:t>
      </w:r>
    </w:p>
    <w:p>
      <w:pPr>
        <w:spacing w:before="160" w:after="40" w:line="240" w:lineRule="auto"/>
      </w:pPr>
      <w:r>
        <w:rPr>
          <w:b/>
        </w:rPr>
        <w:t xml:space="preserve">[496] </w:t>
      </w:r>
      <w:hyperlink r:id="rId1126">
        <w:r>
          <w:rPr>
            <w:color w:val="1155CC"/>
            <w:u w:val="single"/>
          </w:rPr>
          <w:t>在 ${\mathrm{WSe}}_{2}$ 封装的单层石墨烯中定制纯 Valley-Zeeman 自旋轨道耦合</w:t>
        </w:r>
      </w:hyperlink>
    </w:p>
    <w:p>
      <w:pPr>
        <w:spacing w:before="0" w:after="80"/>
      </w:pPr>
      <w:r>
        <w:rPr>
          <w:i/>
          <w:sz w:val="20"/>
        </w:rPr>
        <w:t>EN: Tailoring Pure Valley-Zeeman Spin-Orbit Coupling in ${\mathrm{WSe}}_{2}$-Encapsulated Monolayer Graphene</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27">
        <w:r>
          <w:rPr>
            <w:color w:val="1155CC"/>
            <w:u w:val="single"/>
          </w:rPr>
          <w:t>10.1103/46n3-pryp</w:t>
        </w:r>
      </w:hyperlink>
    </w:p>
    <w:p>
      <w:pPr>
        <w:spacing w:before="0" w:after="120"/>
      </w:pPr>
      <w:r>
        <w:rPr>
          <w:b/>
        </w:rPr>
        <w:t xml:space="preserve">Notes: </w:t>
      </w:r>
      <w:r>
        <w:t>abstract_source=rss_description</w:t>
      </w:r>
    </w:p>
    <w:p>
      <w:pPr>
        <w:spacing w:before="0" w:after="80" w:lineRule="auto" w:line="276"/>
      </w:pPr>
      <w:r>
        <w:rPr>
          <w:b/>
        </w:rPr>
        <w:t xml:space="preserve">摘要（ZH）: </w:t>
      </w:r>
      <w:r>
        <w:t>Author(s): Yaqing Han, Siqi Jiang, Jingkuan Xiao, Jiawei Jiang, Yulu Liu, Jiabei Huang, Yu Du, Di Zhang, Fuzhuo Lian, Wanting Xu, Siqin Wang, Kenji Watanabe, Takashi Taniguchi, Xiaoxiang Xi, Alexander S. Mayorov, Renjun Du, Kai Chang, Hongxin Yang, Lei Wang, and Geliang YuClearly resolved Landau levels reveal a symmetry-enforced Landau-level reordering driven by competition between fixed valley–Zeeman splitting and magnetic-field-dependent cyclotron energy.[Phys. Rev. Lett. 137, 027001] Published Wed Jul 08, 2026</w:t>
      </w:r>
    </w:p>
    <w:p>
      <w:pPr>
        <w:spacing w:before="0" w:after="200" w:lineRule="auto" w:line="276"/>
      </w:pPr>
      <w:r>
        <w:rPr>
          <w:b/>
        </w:rPr>
        <w:t xml:space="preserve">Abstract (EN): </w:t>
      </w:r>
      <w:r>
        <w:t>Author(s): Yaqing Han, Siqi Jiang, Jingkuan Xiao, Jiawei Jiang, Yulu Liu, Jiabei Huang, Yu Du, Di Zhang, Fuzhuo Lian, Wanting Xu, Siqin Wang, Kenji Watanabe, Takashi Taniguchi, Xiaoxiang Xi, Alexander S. Mayorov, Renjun Du, Kai Chang, Hongxin Yang, Lei Wang, and Geliang YuClearly resolved Landau levels reveal a symmetry-enforced Landau-level reordering driven by competition between fixed valley–Zeeman splitting and magnetic-field-dependent cyclotron energy.[Phys. Rev. Lett. 137, 027001] Published Wed Jul 08, 2026</w:t>
      </w:r>
    </w:p>
    <w:p>
      <w:pPr>
        <w:spacing w:before="120" w:after="120"/>
      </w:pPr>
      <w:r>
        <w:rPr>
          <w:sz w:val="18"/>
        </w:rPr>
        <w:t>——————————————————————————————————————————————————————————————————————</w:t>
      </w:r>
    </w:p>
    <w:p>
      <w:pPr>
        <w:spacing w:before="160" w:after="40" w:line="240" w:lineRule="auto"/>
      </w:pPr>
      <w:r>
        <w:rPr>
          <w:b/>
        </w:rPr>
        <w:t xml:space="preserve">[497] </w:t>
      </w:r>
      <w:hyperlink r:id="rId1128">
        <w:r>
          <w:rPr>
            <w:color w:val="1155CC"/>
            <w:u w:val="single"/>
          </w:rPr>
          <w:t>通过模拟重离子碰撞中的监督学习进行喷射淬火识别</w:t>
        </w:r>
      </w:hyperlink>
    </w:p>
    <w:p>
      <w:pPr>
        <w:spacing w:before="0" w:after="80"/>
      </w:pPr>
      <w:r>
        <w:rPr>
          <w:i/>
          <w:sz w:val="20"/>
        </w:rPr>
        <w:t>EN: Jet quenching identification via supervised learning in simulated heavy-ion collisions</w:t>
      </w:r>
    </w:p>
    <w:p>
      <w:pPr>
        <w:spacing w:before="0" w:after="120"/>
      </w:pPr>
      <w:r>
        <w:rPr>
          <w:b/>
        </w:rPr>
        <w:t xml:space="preserve">Source: </w:t>
      </w:r>
      <w:r>
        <w:t>Recent Articles in Phys. Rev. C</w:t>
      </w:r>
      <w:r>
        <w:t xml:space="preserve">    </w:t>
      </w:r>
      <w:r>
        <w:rPr>
          <w:b/>
        </w:rPr>
        <w:t xml:space="preserve">Pub date: </w:t>
      </w:r>
      <w:r>
        <w:t>2026-07-08 10:00:00+00:00</w:t>
      </w:r>
      <w:r>
        <w:t xml:space="preserve">    </w:t>
      </w:r>
      <w:r>
        <w:rPr>
          <w:b/>
        </w:rPr>
        <w:t xml:space="preserve">DOI: </w:t>
      </w:r>
      <w:hyperlink r:id="rId1129">
        <w:r>
          <w:rPr>
            <w:color w:val="1155CC"/>
            <w:u w:val="single"/>
          </w:rPr>
          <w:t>10.1103/nhl8-kknn</w:t>
        </w:r>
      </w:hyperlink>
    </w:p>
    <w:p>
      <w:pPr>
        <w:spacing w:before="0" w:after="120"/>
      </w:pPr>
      <w:r>
        <w:rPr>
          <w:b/>
        </w:rPr>
        <w:t xml:space="preserve">Notes: </w:t>
      </w:r>
      <w:r>
        <w:t>abstract_source=rss_description</w:t>
      </w:r>
    </w:p>
    <w:p>
      <w:pPr>
        <w:spacing w:before="0" w:after="80" w:lineRule="auto" w:line="276"/>
      </w:pPr>
      <w:r>
        <w:rPr>
          <w:b/>
        </w:rPr>
        <w:t xml:space="preserve">摘要（ZH）: </w:t>
      </w:r>
      <w:r>
        <w:t>作者：Leonardo Lima da Silva 和 Marcelo Gameiro MunhozJet 对重离子碰撞的修改提供了对夸克-胶子等离子体特性的微观观察。然而，基于传统全局可观测值的传统方法，例如 ${R}_{AA}$，捕获了关于…[Phys. Rev. C 114, 014903] 2026 年 7 月 8 日星期三发布</w:t>
      </w:r>
    </w:p>
    <w:p>
      <w:pPr>
        <w:spacing w:before="0" w:after="200" w:lineRule="auto" w:line="276"/>
      </w:pPr>
      <w:r>
        <w:rPr>
          <w:b/>
        </w:rPr>
        <w:t xml:space="preserve">Abstract (EN): </w:t>
      </w:r>
      <w:r>
        <w:t>Author(s): Leonardo Lima da Silva and Marcelo Gameiro MunhozJet modification in heavy-ion collisions provides microscopic access to the properties of the quark-gluon plasma. However, conventional approaches based on traditional global observables, such as ${R}_{AA}$, capture limited information about the complex dynamics of parton-medium interactions during …[Phys. Rev. C 114, 014903] Published Wed Jul 08, 2026</w:t>
      </w:r>
    </w:p>
    <w:p>
      <w:pPr>
        <w:spacing w:before="120" w:after="120"/>
      </w:pPr>
      <w:r>
        <w:rPr>
          <w:sz w:val="18"/>
        </w:rPr>
        <w:t>——————————————————————————————————————————————————————————————————————</w:t>
      </w:r>
    </w:p>
    <w:p>
      <w:pPr>
        <w:spacing w:before="160" w:after="40" w:line="240" w:lineRule="auto"/>
      </w:pPr>
      <w:r>
        <w:rPr>
          <w:b/>
        </w:rPr>
        <w:t xml:space="preserve">[498] </w:t>
      </w:r>
      <w:hyperlink r:id="rId1130">
        <w:r>
          <w:rPr>
            <w:color w:val="1155CC"/>
            <w:u w:val="single"/>
          </w:rPr>
          <w:t>光子超晶格中解耦子空间引起的平带</w:t>
        </w:r>
      </w:hyperlink>
    </w:p>
    <w:p>
      <w:pPr>
        <w:spacing w:before="0" w:after="80"/>
      </w:pPr>
      <w:r>
        <w:rPr>
          <w:i/>
          <w:sz w:val="20"/>
        </w:rPr>
        <w:t>EN: Decoupled-Subspace-Induced Flat Bands in a Photonic Superlattice</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31">
        <w:r>
          <w:rPr>
            <w:color w:val="1155CC"/>
            <w:u w:val="single"/>
          </w:rPr>
          <w:t>10.1103/9hkk-chws</w:t>
        </w:r>
      </w:hyperlink>
    </w:p>
    <w:p>
      <w:pPr>
        <w:spacing w:before="0" w:after="120"/>
      </w:pPr>
      <w:r>
        <w:rPr>
          <w:b/>
        </w:rPr>
        <w:t xml:space="preserve">Notes: </w:t>
      </w:r>
      <w:r>
        <w:t>abstract_source=rss_description</w:t>
      </w:r>
    </w:p>
    <w:p>
      <w:pPr>
        <w:spacing w:before="0" w:after="80" w:lineRule="auto" w:line="276"/>
      </w:pPr>
      <w:r>
        <w:rPr>
          <w:b/>
        </w:rPr>
        <w:t xml:space="preserve">摘要（ZH）: </w:t>
      </w:r>
      <w:r>
        <w:t>作者：Guoxia Yang、Jiayi 张、Siyan Jiang、Anwen Jiang、Chenying Huang、Yihe Li、Haojie Li、Xiaoran Zhang、Dahe Liu 和 Jinwei Shi 光子系统中的平坦能带能够实现强光限制并增强光与物质的相互作用，但在整个布里渊区 (BZ) 上实现平坦色散仍然很重要。在这里，我们提出了一种通过 $M$ 之间的耦合生成 BZ 跨越平坦带的实用机制......[Phys.莱特牧师。 137, 026902] 2026 年 7 月 8 日星期三发布</w:t>
      </w:r>
    </w:p>
    <w:p>
      <w:pPr>
        <w:spacing w:before="0" w:after="200" w:lineRule="auto" w:line="276"/>
      </w:pPr>
      <w:r>
        <w:rPr>
          <w:b/>
        </w:rPr>
        <w:t xml:space="preserve">Abstract (EN): </w:t>
      </w:r>
      <w:r>
        <w:t>Author(s): Guoxia Yang, Jiayi Zhang, Siyan Jiang, Anwen Jiang, Chenying Huang, Yihe Li, Haojie Li, Xiaoran Zhang, Dahe Liu, and Jinwei ShiFlat bands in photonic systems enable strong light confinement and enhanced light-matter interactions, yet realizing flat dispersion across an entire Brillouin zone (BZ) remains nontrivial. Here, we propose a practical mechanism for generating BZ-spanning flat bands through the coupling between $M$ …[Phys. Rev. Lett. 137, 026902] Published Wed Jul 08, 2026</w:t>
      </w:r>
    </w:p>
    <w:p>
      <w:pPr>
        <w:spacing w:before="120" w:after="120"/>
      </w:pPr>
      <w:r>
        <w:rPr>
          <w:sz w:val="18"/>
        </w:rPr>
        <w:t>——————————————————————————————————————————————————————————————————————</w:t>
      </w:r>
    </w:p>
    <w:p>
      <w:pPr>
        <w:spacing w:before="160" w:after="40" w:line="240" w:lineRule="auto"/>
      </w:pPr>
      <w:r>
        <w:rPr>
          <w:b/>
        </w:rPr>
        <w:t xml:space="preserve">[499] </w:t>
      </w:r>
      <w:hyperlink r:id="rId1132">
        <w:r>
          <w:rPr>
            <w:color w:val="1155CC"/>
            <w:u w:val="single"/>
          </w:rPr>
          <w:t>扩散方程与狭义相对论兼容</w:t>
        </w:r>
      </w:hyperlink>
    </w:p>
    <w:p>
      <w:pPr>
        <w:spacing w:before="0" w:after="80"/>
      </w:pPr>
      <w:r>
        <w:rPr>
          <w:i/>
          <w:sz w:val="20"/>
        </w:rPr>
        <w:t>EN: Diffusion Equation is Compatible with Special Relativity</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33">
        <w:r>
          <w:rPr>
            <w:color w:val="1155CC"/>
            <w:u w:val="single"/>
          </w:rPr>
          <w:t>10.1103/rkz9-xps2</w:t>
        </w:r>
      </w:hyperlink>
    </w:p>
    <w:p>
      <w:pPr>
        <w:spacing w:before="0" w:after="120"/>
      </w:pPr>
      <w:r>
        <w:rPr>
          <w:b/>
        </w:rPr>
        <w:t xml:space="preserve">Notes: </w:t>
      </w:r>
      <w:r>
        <w:t>abstract_source=rss_description</w:t>
      </w:r>
    </w:p>
    <w:p>
      <w:pPr>
        <w:spacing w:before="0" w:after="80" w:lineRule="auto" w:line="276"/>
      </w:pPr>
      <w:r>
        <w:rPr>
          <w:b/>
        </w:rPr>
        <w:t xml:space="preserve">摘要（ZH）: </w:t>
      </w:r>
      <w:r>
        <w:t>作者：L. Gavassino 由于其抛物线特征，扩散方程表现出瞬时空间扩散，并且在洛伦兹增强时变得不稳定。根据传统的解释，这些特征反映了与狭义相对论的根本不相容。在这封信中，我们表明这……[物理。莱特牧师。 137, 022302] 2026 年 7 月 8 日星期三发布</w:t>
      </w:r>
    </w:p>
    <w:p>
      <w:pPr>
        <w:spacing w:before="0" w:after="200" w:lineRule="auto" w:line="276"/>
      </w:pPr>
      <w:r>
        <w:rPr>
          <w:b/>
        </w:rPr>
        <w:t xml:space="preserve">Abstract (EN): </w:t>
      </w:r>
      <w:r>
        <w:t>Author(s): L. GavassinoBecause of its parabolic character, the diffusion equation exhibits instantaneous spatial spreading and becomes unstable when Lorentz boosted. According to the conventional interpretation, these features reflect a fundamental incompatibility with special relativity. In this Letter, we show that this…[Phys. Rev. Lett. 137, 022302] Published Wed Jul 08, 2026</w:t>
      </w:r>
    </w:p>
    <w:p>
      <w:pPr>
        <w:spacing w:before="120" w:after="120"/>
      </w:pPr>
      <w:r>
        <w:rPr>
          <w:sz w:val="18"/>
        </w:rPr>
        <w:t>——————————————————————————————————————————————————————————————————————</w:t>
      </w:r>
    </w:p>
    <w:p>
      <w:pPr>
        <w:spacing w:before="160" w:after="40" w:line="240" w:lineRule="auto"/>
      </w:pPr>
      <w:r>
        <w:rPr>
          <w:b/>
        </w:rPr>
        <w:t xml:space="preserve">[500] </w:t>
      </w:r>
      <w:hyperlink r:id="rId1134">
        <w:r>
          <w:rPr>
            <w:color w:val="1155CC"/>
            <w:u w:val="single"/>
          </w:rPr>
          <w:t>邱等人。回复</w:t>
        </w:r>
      </w:hyperlink>
    </w:p>
    <w:p>
      <w:pPr>
        <w:spacing w:before="0" w:after="80"/>
      </w:pPr>
      <w:r>
        <w:rPr>
          <w:i/>
          <w:sz w:val="20"/>
        </w:rPr>
        <w:t>EN: Qiu et al. Reply</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35">
        <w:r>
          <w:rPr>
            <w:color w:val="1155CC"/>
            <w:u w:val="single"/>
          </w:rPr>
          <w:t>10.1103/q2cc-stbr</w:t>
        </w:r>
      </w:hyperlink>
    </w:p>
    <w:p>
      <w:pPr>
        <w:spacing w:before="0" w:after="120"/>
      </w:pPr>
      <w:r>
        <w:rPr>
          <w:b/>
        </w:rPr>
        <w:t xml:space="preserve">Notes: </w:t>
      </w:r>
      <w:r>
        <w:t>abstract_source=rss_description</w:t>
      </w:r>
    </w:p>
    <w:p>
      <w:pPr>
        <w:spacing w:before="0" w:after="80" w:lineRule="auto" w:line="276"/>
      </w:pPr>
      <w:r>
        <w:rPr>
          <w:b/>
        </w:rPr>
        <w:t xml:space="preserve">摘要（ZH）: </w:t>
      </w:r>
      <w:r>
        <w:t>Author(s): Qingzheng Qiu, Sae Hwan Chun, Jaeku Park, Dogeun Jang, Li Yue, Yeongkwan Kim, Yeojin Ahn, Mingi Jho, Kimoon Han, Xinyi Jiang, Qian Xiao, Tao Dong, Jia-Yi Ji, Nanlin Wang, Jeroen van den Brink, Jasper van Wezel, and Yingying Peng[Phys. Rev. Lett. 137, 029602] Published Wed Jul 08, 2026</w:t>
      </w:r>
    </w:p>
    <w:p>
      <w:pPr>
        <w:spacing w:before="0" w:after="200" w:lineRule="auto" w:line="276"/>
      </w:pPr>
      <w:r>
        <w:rPr>
          <w:b/>
        </w:rPr>
        <w:t xml:space="preserve">Abstract (EN): </w:t>
      </w:r>
      <w:r>
        <w:t>Author(s): Qingzheng Qiu, Sae Hwan Chun, Jaeku Park, Dogeun Jang, Li Yue, Yeongkwan Kim, Yeojin Ahn, Mingi Jho, Kimoon Han, Xinyi Jiang, Qian Xiao, Tao Dong, Jia-Yi Ji, Nanlin Wang, Jeroen van den Brink, Jasper van Wezel, and Yingying Peng[Phys. Rev. Lett. 137, 029602] Published Wed Jul 08, 2026</w:t>
      </w:r>
    </w:p>
    <w:p>
      <w:pPr>
        <w:spacing w:before="120" w:after="120"/>
      </w:pPr>
      <w:r>
        <w:rPr>
          <w:sz w:val="18"/>
        </w:rPr>
        <w:t>——————————————————————————————————————————————————————————————————————</w:t>
      </w:r>
    </w:p>
    <w:p>
      <w:pPr>
        <w:spacing w:before="160" w:after="40" w:line="240" w:lineRule="auto"/>
      </w:pPr>
      <w:r>
        <w:rPr>
          <w:b/>
        </w:rPr>
        <w:t xml:space="preserve">[501] </w:t>
      </w:r>
      <w:hyperlink r:id="rId1136">
        <w:r>
          <w:rPr>
            <w:color w:val="1155CC"/>
            <w:u w:val="single"/>
          </w:rPr>
          <w:t>评论“$1T\text{−}{\mathrm{TiSe}}_{2}$ 中手性电荷密度波的光致动力学和动量分布”</w:t>
        </w:r>
      </w:hyperlink>
    </w:p>
    <w:p>
      <w:pPr>
        <w:spacing w:before="0" w:after="80"/>
      </w:pPr>
      <w:r>
        <w:rPr>
          <w:i/>
          <w:sz w:val="20"/>
        </w:rPr>
        <w:t>EN: Comment on “Photoinduced Dynamics and Momentum Distribution of Chiral Charge Density Waves in $1T\text{−}{\mathrm{TiSe}}_{2}$”</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37">
        <w:r>
          <w:rPr>
            <w:color w:val="1155CC"/>
            <w:u w:val="single"/>
          </w:rPr>
          <w:t>10.1103/p5d8-548h</w:t>
        </w:r>
      </w:hyperlink>
    </w:p>
    <w:p>
      <w:pPr>
        <w:spacing w:before="0" w:after="120"/>
      </w:pPr>
      <w:r>
        <w:rPr>
          <w:b/>
        </w:rPr>
        <w:t xml:space="preserve">Notes: </w:t>
      </w:r>
      <w:r>
        <w:t>abstract_source=rss_description</w:t>
      </w:r>
    </w:p>
    <w:p>
      <w:pPr>
        <w:spacing w:before="0" w:after="80" w:lineRule="auto" w:line="276"/>
      </w:pPr>
      <w:r>
        <w:rPr>
          <w:b/>
        </w:rPr>
        <w:t xml:space="preserve">摘要（ZH）: </w:t>
      </w:r>
      <w:r>
        <w:t>作者：徐晨航、Jackson McClellan、Patrick Liu、Sheng-Chih Lin、Shuaiwei Pan、Henry G. Bell、Patrick L. Kramer、Randy Lemons、Sharon S. Philip、Cameron J. R. Duncan、Brian Kaufman、Mianzhen Mo、Alexander H. Reid、Giulio Cerullo、Alfred Zong 和 Michael W. Zuerch莱特牧师。 137, 029601] 2026 年 7 月 8 日星期三发布</w:t>
      </w:r>
    </w:p>
    <w:p>
      <w:pPr>
        <w:spacing w:before="0" w:after="200" w:lineRule="auto" w:line="276"/>
      </w:pPr>
      <w:r>
        <w:rPr>
          <w:b/>
        </w:rPr>
        <w:t xml:space="preserve">Abstract (EN): </w:t>
      </w:r>
      <w:r>
        <w:t>Author(s): Chenhang Xu, Jackson McClellan, Patrick Liu, Sheng-Chih Lin, Shuaiwei Pan, Henry G. Bell, Patrick L. Kramer, Randy Lemons, Sharon S. Philip, Cameron J. R. Duncan, Brian Kaufman, Mianzhen Mo, Alexander H. Reid, Giulio Cerullo, Alfred Zong, and Michael W. Zuerch[Phys. Rev. Lett. 137, 029601] Published Wed Jul 08, 2026</w:t>
      </w:r>
    </w:p>
    <w:p>
      <w:pPr>
        <w:spacing w:before="120" w:after="120"/>
      </w:pPr>
      <w:r>
        <w:rPr>
          <w:sz w:val="18"/>
        </w:rPr>
        <w:t>——————————————————————————————————————————————————————————————————————</w:t>
      </w:r>
    </w:p>
    <w:p>
      <w:pPr>
        <w:spacing w:before="160" w:after="40" w:line="240" w:lineRule="auto"/>
      </w:pPr>
      <w:r>
        <w:rPr>
          <w:b/>
        </w:rPr>
        <w:t xml:space="preserve">[502] </w:t>
      </w:r>
      <w:hyperlink r:id="rId1138">
        <w:r>
          <w:rPr>
            <w:color w:val="1155CC"/>
            <w:u w:val="single"/>
          </w:rPr>
          <w:t>超出稀释极限的相干和非相干激子时间分辨 ARPES 谱的统一第一性原理公式</w:t>
        </w:r>
      </w:hyperlink>
    </w:p>
    <w:p>
      <w:pPr>
        <w:spacing w:before="0" w:after="80"/>
      </w:pPr>
      <w:r>
        <w:rPr>
          <w:i/>
          <w:sz w:val="20"/>
        </w:rPr>
        <w:t>EN: Unified First-Principles Formula for Time-Resolved ARPES Spectra of Coherent and Incoherent Excitons beyond the Dilute Limit</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39">
        <w:r>
          <w:rPr>
            <w:color w:val="1155CC"/>
            <w:u w:val="single"/>
          </w:rPr>
          <w:t>10.1103/zhs1-rv1k</w:t>
        </w:r>
      </w:hyperlink>
    </w:p>
    <w:p>
      <w:pPr>
        <w:spacing w:before="0" w:after="120"/>
      </w:pPr>
      <w:r>
        <w:rPr>
          <w:b/>
        </w:rPr>
        <w:t xml:space="preserve">Notes: </w:t>
      </w:r>
      <w:r>
        <w:t>abstract_source=rss_description</w:t>
      </w:r>
    </w:p>
    <w:p>
      <w:pPr>
        <w:spacing w:before="0" w:after="80" w:lineRule="auto" w:line="276"/>
      </w:pPr>
      <w:r>
        <w:rPr>
          <w:b/>
        </w:rPr>
        <w:t xml:space="preserve">摘要（ZH）: </w:t>
      </w:r>
      <w:r>
        <w:t>作者：Gianluca Stefanucci 和 Enrico Perfetto 尽管在时间分辨和角度分辨光电子能谱方面取得了重大实验进展，但仍然缺乏用于解释激子引起的电子能带结构变化的定量微观框架（甚至适用于超出低密度极限）。在这里，我们关闭这个……[物理。莱特牧师。 137, 026402] 2026 年 7 月 8 日星期三发布</w:t>
      </w:r>
    </w:p>
    <w:p>
      <w:pPr>
        <w:spacing w:before="0" w:after="200" w:lineRule="auto" w:line="276"/>
      </w:pPr>
      <w:r>
        <w:rPr>
          <w:b/>
        </w:rPr>
        <w:t xml:space="preserve">Abstract (EN): </w:t>
      </w:r>
      <w:r>
        <w:t>Author(s): Gianluca Stefanucci and Enrico PerfettoDespite major experimental progresses in time-resolved and angle-resolved photoemission spectroscopy, a quantitative, microscopic framework for interpreting exciton-induced modifications of electronic band structures—applicable even beyond the low-density limit—is still lacking. Here, we close this …[Phys. Rev. Lett. 137, 026402] Published Wed Jul 08, 2026</w:t>
      </w:r>
    </w:p>
    <w:p>
      <w:pPr>
        <w:spacing w:before="120" w:after="120"/>
      </w:pPr>
      <w:r>
        <w:rPr>
          <w:sz w:val="18"/>
        </w:rPr>
        <w:t>——————————————————————————————————————————————————————————————————————</w:t>
      </w:r>
    </w:p>
    <w:p>
      <w:pPr>
        <w:spacing w:before="160" w:after="40" w:line="240" w:lineRule="auto"/>
      </w:pPr>
      <w:r>
        <w:rPr>
          <w:b/>
        </w:rPr>
        <w:t xml:space="preserve">[503] </w:t>
      </w:r>
      <w:hyperlink r:id="rId1140">
        <w:r>
          <w:rPr>
            <w:color w:val="1155CC"/>
            <w:u w:val="single"/>
          </w:rPr>
          <w:t>${B}^{0}→{K}^{*0}{μ}^{+}{μ}^{−}$衰减综合分析</w:t>
        </w:r>
      </w:hyperlink>
    </w:p>
    <w:p>
      <w:pPr>
        <w:spacing w:before="0" w:after="80"/>
      </w:pPr>
      <w:r>
        <w:rPr>
          <w:i/>
          <w:sz w:val="20"/>
        </w:rPr>
        <w:t>EN: Comprehensive Analysis of the ${B}^{0}→{K}^{*0}{μ}^{+}{μ}^{−}$ Decay</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41">
        <w:r>
          <w:rPr>
            <w:color w:val="1155CC"/>
            <w:u w:val="single"/>
          </w:rPr>
          <w:t>10.1103/24g9-yn9d</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合作）对中性 B 介子罕见衰变的新测量是否预示着新物理学？莱特牧师。 137, 021802] 2026 年 7 月 8 日星期三发布</w:t>
      </w:r>
    </w:p>
    <w:p>
      <w:pPr>
        <w:spacing w:before="0" w:after="200" w:lineRule="auto" w:line="276"/>
      </w:pPr>
      <w:r>
        <w:rPr>
          <w:b/>
        </w:rPr>
        <w:t xml:space="preserve">Abstract (EN): </w:t>
      </w:r>
      <w:r>
        <w:t>Author(s): R. Aaij et al. (LHCb Collaboration)Does a new measurement of a rare decay of the neutral B meson portend new physics?[Phys. Rev. Lett. 137, 021802] Published Wed Jul 08, 2026</w:t>
      </w:r>
    </w:p>
    <w:p>
      <w:pPr>
        <w:spacing w:before="120" w:after="120"/>
      </w:pPr>
      <w:r>
        <w:rPr>
          <w:sz w:val="18"/>
        </w:rPr>
        <w:t>——————————————————————————————————————————————————————————————————————</w:t>
      </w:r>
    </w:p>
    <w:p>
      <w:pPr>
        <w:spacing w:before="160" w:after="40" w:line="240" w:lineRule="auto"/>
      </w:pPr>
      <w:r>
        <w:rPr>
          <w:b/>
        </w:rPr>
        <w:t xml:space="preserve">[504] </w:t>
      </w:r>
      <w:hyperlink r:id="rId1142">
        <w:r>
          <w:rPr>
            <w:color w:val="1155CC"/>
            <w:u w:val="single"/>
          </w:rPr>
          <w:t>光学厚原子系综拉姆齐干涉测量中的指数线宽缩小和灵敏度增强</w:t>
        </w:r>
      </w:hyperlink>
    </w:p>
    <w:p>
      <w:pPr>
        <w:spacing w:before="0" w:after="80"/>
      </w:pPr>
      <w:r>
        <w:rPr>
          <w:i/>
          <w:sz w:val="20"/>
        </w:rPr>
        <w:t>EN: Exponential Linewidth Narrowing and Enhancement of Sensitivity in Ramsey Interferometry with an Optically Thick Ensemble of Atoms</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43">
        <w:r>
          <w:rPr>
            <w:color w:val="1155CC"/>
            <w:u w:val="single"/>
          </w:rPr>
          <w:t>10.1103/bqzh-gy4n</w:t>
        </w:r>
      </w:hyperlink>
    </w:p>
    <w:p>
      <w:pPr>
        <w:spacing w:before="0" w:after="120"/>
      </w:pPr>
      <w:r>
        <w:rPr>
          <w:b/>
        </w:rPr>
        <w:t xml:space="preserve">Notes: </w:t>
      </w:r>
      <w:r>
        <w:t>abstract_source=rss_description</w:t>
      </w:r>
    </w:p>
    <w:p>
      <w:pPr>
        <w:spacing w:before="0" w:after="80" w:lineRule="auto" w:line="276"/>
      </w:pPr>
      <w:r>
        <w:rPr>
          <w:b/>
        </w:rPr>
        <w:t xml:space="preserve">摘要（ZH）: </w:t>
      </w:r>
      <w:r>
        <w:t>作者：S. A. Moiseev、K. I. Gerasimov、M. M. Minnegaliev、I. V. Brekotkin 和 E. S. MoiseevRamsey 共振是一种高分辨率技术，用于光谱学、时间和频率的精确测量以及现代时钟的创建。拉姆齐实验通常在光学稀释的原子样品中进行，以提高均匀性并避免原子对激发脉冲的反作用……[物理。莱特牧师。 137, 023603] 2026 年 7 月 8 日星期三发布</w:t>
      </w:r>
    </w:p>
    <w:p>
      <w:pPr>
        <w:spacing w:before="0" w:after="200" w:lineRule="auto" w:line="276"/>
      </w:pPr>
      <w:r>
        <w:rPr>
          <w:b/>
        </w:rPr>
        <w:t xml:space="preserve">Abstract (EN): </w:t>
      </w:r>
      <w:r>
        <w:t>Author(s): S. A. Moiseev, K. I. Gerasimov, M. M. Minnegaliev, I. V. Brekotkin, and E. S. MoiseevRamsey resonance is a high-resolution technique used in spectroscopy, precise measurement of time and frequency, and the creation of modern clocks. The Ramsey experiments are typically done in optically dilute samples of atoms to improve homogeneity and avoid backaction of atoms on excitation pulses…[Phys. Rev. Lett. 137, 023603] Published Wed Jul 08, 2026</w:t>
      </w:r>
    </w:p>
    <w:p>
      <w:pPr>
        <w:spacing w:before="120" w:after="120"/>
      </w:pPr>
      <w:r>
        <w:rPr>
          <w:sz w:val="18"/>
        </w:rPr>
        <w:t>——————————————————————————————————————————————————————————————————————</w:t>
      </w:r>
    </w:p>
    <w:p>
      <w:pPr>
        <w:spacing w:before="160" w:after="40" w:line="240" w:lineRule="auto"/>
      </w:pPr>
      <w:r>
        <w:rPr>
          <w:b/>
        </w:rPr>
        <w:t xml:space="preserve">[505] </w:t>
      </w:r>
      <w:hyperlink r:id="rId1144">
        <w:r>
          <w:rPr>
            <w:color w:val="1155CC"/>
            <w:u w:val="single"/>
          </w:rPr>
          <w:t>使用 LHCb Run 3 探测器观测双重魅力重子 ${\mathrm{Ξ}}_{cc}^{+}$</w:t>
        </w:r>
      </w:hyperlink>
    </w:p>
    <w:p>
      <w:pPr>
        <w:spacing w:before="0" w:after="80"/>
      </w:pPr>
      <w:r>
        <w:rPr>
          <w:i/>
          <w:sz w:val="20"/>
        </w:rPr>
        <w:t>EN: Observation of the Doubly Charmed Baryon ${\mathrm{Ξ}}_{cc}^{+}$ with the LHCb Run 3 Detector</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45">
        <w:r>
          <w:rPr>
            <w:color w:val="1155CC"/>
            <w:u w:val="single"/>
          </w:rPr>
          <w:t>10.1103/dmv6-7gdv</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合作）对双粲重子 ${\mathrm{Ξ}}_{cc}^{+}$ 的首次观测是通过其衰变到 ${\mathrm{Λ}}_{c}^{+}{K}^{−}{π}^{+}$ 最终状态来报告的，统计显着性超过七个标准差。该观察是利用收集的质子-质子碰撞数据进行的……[物理。莱特牧师。 137, 021902] 2026 年 7 月 8 日星期三发布</w:t>
      </w:r>
    </w:p>
    <w:p>
      <w:pPr>
        <w:spacing w:before="0" w:after="200" w:lineRule="auto" w:line="276"/>
      </w:pPr>
      <w:r>
        <w:rPr>
          <w:b/>
        </w:rPr>
        <w:t xml:space="preserve">Abstract (EN): </w:t>
      </w:r>
      <w:r>
        <w:t>Author(s): R. Aaij et al. (LHCb Collaboration)The first observation of the doubly charmed baryon ${\mathrm{Ξ}}_{cc}^{+}$ is reported through its decay to the ${\mathrm{Λ}}_{c}^{+}{K}^{−}{π}^{+}$ final state, with a statistical significance exceeding seven standard deviations. The observation is made using proton-proton collision data collected …[Phys. Rev. Lett. 137, 021902] Published Wed Jul 08, 2026</w:t>
      </w:r>
    </w:p>
    <w:p>
      <w:pPr>
        <w:spacing w:before="120" w:after="120"/>
      </w:pPr>
      <w:r>
        <w:rPr>
          <w:sz w:val="18"/>
        </w:rPr>
        <w:t>——————————————————————————————————————————————————————————————————————</w:t>
      </w:r>
    </w:p>
    <w:p>
      <w:pPr>
        <w:spacing w:before="160" w:after="40" w:line="240" w:lineRule="auto"/>
      </w:pPr>
      <w:r>
        <w:rPr>
          <w:b/>
        </w:rPr>
        <w:t xml:space="preserve">[506] </w:t>
      </w:r>
      <w:hyperlink r:id="rId1146">
        <w:r>
          <w:rPr>
            <w:color w:val="1155CC"/>
            <w:u w:val="single"/>
          </w:rPr>
          <w:t>矩阵量子力学伴随扇区的雷格轨迹</w:t>
        </w:r>
      </w:hyperlink>
    </w:p>
    <w:p>
      <w:pPr>
        <w:spacing w:before="0" w:after="80"/>
      </w:pPr>
      <w:r>
        <w:rPr>
          <w:i/>
          <w:sz w:val="20"/>
        </w:rPr>
        <w:t>EN: Regge Trajectories from the Adjoint Sector of Matrix Quantum Mechanics</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47">
        <w:r>
          <w:rPr>
            <w:color w:val="1155CC"/>
            <w:u w:val="single"/>
          </w:rPr>
          <w:t>10.1103/mnwt-svrf</w:t>
        </w:r>
      </w:hyperlink>
    </w:p>
    <w:p>
      <w:pPr>
        <w:spacing w:before="0" w:after="120"/>
      </w:pPr>
      <w:r>
        <w:rPr>
          <w:b/>
        </w:rPr>
        <w:t xml:space="preserve">Notes: </w:t>
      </w:r>
      <w:r>
        <w:t>abstract_source=rss_description</w:t>
      </w:r>
    </w:p>
    <w:p>
      <w:pPr>
        <w:spacing w:before="0" w:after="80" w:lineRule="auto" w:line="276"/>
      </w:pPr>
      <w:r>
        <w:rPr>
          <w:b/>
        </w:rPr>
        <w:t xml:space="preserve">摘要（ZH）: </w:t>
      </w:r>
      <w:r>
        <w:t>作者：Igor R. Klebanov、Henry W. Lin 和 Pavel Meshcheriakov 我们重新审视厄米特矩阵 $\mathrm{SU}(N)$ 对称量子力学的大 $N$ 极限，众所周知，厄米特矩阵的单重态扇区可通过自由费米子精确求解。当费米能级接近势能的最大值时，就会出现与弦理论相对应的关键行为……[物理学。莱特牧师。 137, 021603] 2026 年 7 月 8 日星期三发布</w:t>
      </w:r>
    </w:p>
    <w:p>
      <w:pPr>
        <w:spacing w:before="0" w:after="200" w:lineRule="auto" w:line="276"/>
      </w:pPr>
      <w:r>
        <w:rPr>
          <w:b/>
        </w:rPr>
        <w:t xml:space="preserve">Abstract (EN): </w:t>
      </w:r>
      <w:r>
        <w:t>Author(s): Igor R. Klebanov, Henry W. Lin, and Pavel MeshcheriakovWe reexamine the large $N$ limit of $\mathrm{SU}(N)$ symmetric quantum mechanics of a Hermitian matrix whose singlet sector is well known to be exactly solvable via free fermions. When the Fermi level approaches a maximum of the potential, there is critical behavior corresponding to string theory in…[Phys. Rev. Lett. 137, 021603] Published Wed Jul 08, 2026</w:t>
      </w:r>
    </w:p>
    <w:p>
      <w:pPr>
        <w:spacing w:before="120" w:after="120"/>
      </w:pPr>
      <w:r>
        <w:rPr>
          <w:sz w:val="18"/>
        </w:rPr>
        <w:t>——————————————————————————————————————————————————————————————————————</w:t>
      </w:r>
    </w:p>
    <w:p>
      <w:pPr>
        <w:spacing w:before="160" w:after="40" w:line="240" w:lineRule="auto"/>
      </w:pPr>
      <w:r>
        <w:rPr>
          <w:b/>
        </w:rPr>
        <w:t xml:space="preserve">[507] </w:t>
      </w:r>
      <w:hyperlink r:id="rId1148">
        <w:r>
          <w:rPr>
            <w:color w:val="1155CC"/>
            <w:u w:val="single"/>
          </w:rPr>
          <w:t>利用量子传感器进行波状暗物质搜索的量子纠错启发式噪声抑制</w:t>
        </w:r>
      </w:hyperlink>
    </w:p>
    <w:p>
      <w:pPr>
        <w:spacing w:before="0" w:after="80"/>
      </w:pPr>
      <w:r>
        <w:rPr>
          <w:i/>
          <w:sz w:val="20"/>
        </w:rPr>
        <w:t>EN: Quantum-Error-Correction-Inspired Noise Mitigation for Wavelike Dark Matter Searches with Quantum Sensors</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49">
        <w:r>
          <w:rPr>
            <w:color w:val="1155CC"/>
            <w:u w:val="single"/>
          </w:rPr>
          <w:t>10.1103/yxld-zwpq</w:t>
        </w:r>
      </w:hyperlink>
    </w:p>
    <w:p>
      <w:pPr>
        <w:spacing w:before="0" w:after="120"/>
      </w:pPr>
      <w:r>
        <w:rPr>
          <w:b/>
        </w:rPr>
        <w:t xml:space="preserve">Notes: </w:t>
      </w:r>
      <w:r>
        <w:t>abstract_source=rss_description</w:t>
      </w:r>
    </w:p>
    <w:p>
      <w:pPr>
        <w:spacing w:before="0" w:after="80" w:lineRule="auto" w:line="276"/>
      </w:pPr>
      <w:r>
        <w:rPr>
          <w:b/>
        </w:rPr>
        <w:t xml:space="preserve">摘要（ZH）: </w:t>
      </w:r>
      <w:r>
        <w:t>作者：Hajime Fukuda、Takeo Moroi 和 Thanaporn Sichanugrist 我们提出了一种受量子纠错启发的噪声缓解协议，用于增强量子传感器对波状暗物质搜索的灵敏度。我们的协议使用多个传感器来减轻单独影响每个传感器的噪声，从而抑制激励噪声......[Phys。莱特牧师。 137, 021001] 2026 年 7 月 8 日星期三发布</w:t>
      </w:r>
    </w:p>
    <w:p>
      <w:pPr>
        <w:spacing w:before="0" w:after="200" w:lineRule="auto" w:line="276"/>
      </w:pPr>
      <w:r>
        <w:rPr>
          <w:b/>
        </w:rPr>
        <w:t xml:space="preserve">Abstract (EN): </w:t>
      </w:r>
      <w:r>
        <w:t>Author(s): Hajime Fukuda, Takeo Moroi, and Thanaporn SichanugristWe propose a quantum-error-correction-inspired noise mitigation protocol for enhancing the sensitivity of wavelike dark matter searches with quantum sensors. Our protocol uses multiple sensors to mitigate the noise affecting each sensor individually, allowing for the suppression of excitation noise …[Phys. Rev. Lett. 137, 021001] Published Wed Jul 08, 2026</w:t>
      </w:r>
    </w:p>
    <w:p>
      <w:pPr>
        <w:spacing w:before="120" w:after="120"/>
      </w:pPr>
      <w:r>
        <w:rPr>
          <w:sz w:val="18"/>
        </w:rPr>
        <w:t>——————————————————————————————————————————————————————————————————————</w:t>
      </w:r>
    </w:p>
    <w:p>
      <w:pPr>
        <w:spacing w:before="160" w:after="40" w:line="240" w:lineRule="auto"/>
      </w:pPr>
      <w:r>
        <w:rPr>
          <w:b/>
        </w:rPr>
        <w:t xml:space="preserve">[508] </w:t>
      </w:r>
      <w:hyperlink r:id="rId1150">
        <w:r>
          <w:rPr>
            <w:color w:val="1155CC"/>
            <w:u w:val="single"/>
          </w:rPr>
          <w:t>多参数量子估计的最小权衡和最优测量</w:t>
        </w:r>
      </w:hyperlink>
    </w:p>
    <w:p>
      <w:pPr>
        <w:spacing w:before="0" w:after="80"/>
      </w:pPr>
      <w:r>
        <w:rPr>
          <w:i/>
          <w:sz w:val="20"/>
        </w:rPr>
        <w:t>EN: Minimal Trade-Off and Optimal Measurement for Multiparameter Quantum Estimation</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51">
        <w:r>
          <w:rPr>
            <w:color w:val="1155CC"/>
            <w:u w:val="single"/>
          </w:rPr>
          <w:t>10.1103/dvj7-9thf</w:t>
        </w:r>
      </w:hyperlink>
    </w:p>
    <w:p>
      <w:pPr>
        <w:spacing w:before="0" w:after="120"/>
      </w:pPr>
      <w:r>
        <w:rPr>
          <w:b/>
        </w:rPr>
        <w:t xml:space="preserve">Notes: </w:t>
      </w:r>
      <w:r>
        <w:t>abstract_source=rss_description</w:t>
      </w:r>
    </w:p>
    <w:p>
      <w:pPr>
        <w:spacing w:before="0" w:after="80" w:lineRule="auto" w:line="276"/>
      </w:pPr>
      <w:r>
        <w:rPr>
          <w:b/>
        </w:rPr>
        <w:t xml:space="preserve">摘要（ZH）: </w:t>
      </w:r>
      <w:r>
        <w:t>作者：Lingna Wang、Hongzhen Chen 和 Haidong Yuan 多参数量子估计的一个基本挑战源于不同参数的最佳测量的不兼容性，导致复杂的精度权衡，从而模糊了对最终量子极限的理解。在这里，我们提出了一种精确量化 t 的方法……[物理。莱特牧师。 137, 020804] 2026 年 7 月 8 日星期三发布</w:t>
      </w:r>
    </w:p>
    <w:p>
      <w:pPr>
        <w:spacing w:before="0" w:after="200" w:lineRule="auto" w:line="276"/>
      </w:pPr>
      <w:r>
        <w:rPr>
          <w:b/>
        </w:rPr>
        <w:t xml:space="preserve">Abstract (EN): </w:t>
      </w:r>
      <w:r>
        <w:t>Author(s): Lingna Wang, Hongzhen Chen, and Haidong YuanA fundamental challenge in multiparameter quantum estimation arises from the incompatibility of optimal measurements for different parameters, leading to intricate precision trade-offs that obscure the understanding of ultimate quantum limits. Here, we present an approach that precisely quantifies t…[Phys. Rev. Lett. 137, 020804] Published Wed Jul 08, 2026</w:t>
      </w:r>
    </w:p>
    <w:p>
      <w:pPr>
        <w:spacing w:before="120" w:after="120"/>
      </w:pPr>
      <w:r>
        <w:rPr>
          <w:sz w:val="18"/>
        </w:rPr>
        <w:t>——————————————————————————————————————————————————————————————————————</w:t>
      </w:r>
    </w:p>
    <w:p>
      <w:pPr>
        <w:spacing w:before="160" w:after="40" w:line="240" w:lineRule="auto"/>
      </w:pPr>
      <w:r>
        <w:rPr>
          <w:b/>
        </w:rPr>
        <w:t xml:space="preserve">[509] </w:t>
      </w:r>
      <w:hyperlink r:id="rId1152">
        <w:r>
          <w:rPr>
            <w:color w:val="1155CC"/>
            <w:u w:val="single"/>
          </w:rPr>
          <w:t>非线性输运的量子几何涨落-耗散关系</w:t>
        </w:r>
      </w:hyperlink>
    </w:p>
    <w:p>
      <w:pPr>
        <w:spacing w:before="0" w:after="80"/>
      </w:pPr>
      <w:r>
        <w:rPr>
          <w:i/>
          <w:sz w:val="20"/>
        </w:rPr>
        <w:t>EN: Quantum Geometric Fluctuation-Dissipation Relation for Nonlinear Transport</w:t>
      </w:r>
    </w:p>
    <w:p>
      <w:pPr>
        <w:spacing w:before="0" w:after="120"/>
      </w:pPr>
      <w:r>
        <w:rPr>
          <w:b/>
        </w:rPr>
        <w:t xml:space="preserve">Source: </w:t>
      </w:r>
      <w:r>
        <w:t>Recent Articles in Phys. Rev. Lett.</w:t>
      </w:r>
      <w:r>
        <w:t xml:space="preserve">    </w:t>
      </w:r>
      <w:r>
        <w:rPr>
          <w:b/>
        </w:rPr>
        <w:t xml:space="preserve">Pub date: </w:t>
      </w:r>
      <w:r>
        <w:t>2026-07-08 10:00:00+00:00</w:t>
      </w:r>
      <w:r>
        <w:t xml:space="preserve">    </w:t>
      </w:r>
      <w:r>
        <w:rPr>
          <w:b/>
        </w:rPr>
        <w:t xml:space="preserve">DOI: </w:t>
      </w:r>
      <w:hyperlink r:id="rId1153">
        <w:r>
          <w:rPr>
            <w:color w:val="1155CC"/>
            <w:u w:val="single"/>
          </w:rPr>
          <w:t>10.1103/6qcc-wdtx</w:t>
        </w:r>
      </w:hyperlink>
    </w:p>
    <w:p>
      <w:pPr>
        <w:spacing w:before="0" w:after="120"/>
      </w:pPr>
      <w:r>
        <w:rPr>
          <w:b/>
        </w:rPr>
        <w:t xml:space="preserve">Notes: </w:t>
      </w:r>
      <w:r>
        <w:t>abstract_source=rss_description</w:t>
      </w:r>
    </w:p>
    <w:p>
      <w:pPr>
        <w:spacing w:before="0" w:after="80" w:lineRule="auto" w:line="276"/>
      </w:pPr>
      <w:r>
        <w:rPr>
          <w:b/>
        </w:rPr>
        <w:t xml:space="preserve">摘要（ZH）: </w:t>
      </w:r>
      <w:r>
        <w:t>作者：Rui Wang、Xinyue Liu、Fuming Xu、Jun Chen、Lei Zhang 和jian Wang 涨落耗散定理将平衡噪声与线性响应联系起来，并形成了统计和量子物理的基石，但其扩展到几何驱动的非线性输运仍然很大程度上尚未被探索。在这里，我们建立了一个连接直流的几何涨落-耗散关系……[物理。莱特牧师。 137, 026301] 2026 年 7 月 8 日星期三发布</w:t>
      </w:r>
    </w:p>
    <w:p>
      <w:pPr>
        <w:spacing w:before="0" w:after="200" w:lineRule="auto" w:line="276"/>
      </w:pPr>
      <w:r>
        <w:rPr>
          <w:b/>
        </w:rPr>
        <w:t xml:space="preserve">Abstract (EN): </w:t>
      </w:r>
      <w:r>
        <w:t>Author(s): Rui Wang, Xinyue Liu, Fuming Xu, Jun Chen, Lei Zhang, and Jian WangThe fluctuation-dissipation theorem connects equilibrium noise to linear response and forms a cornerstone of statistical and quantum physics, yet its extension to geometry-driven nonlinear transport remains largely unexplored. Here we establish a geometric fluctuation-dissipation relation linking dc…[Phys. Rev. Lett. 137, 026301] Published Wed Jul 08, 2026</w:t>
      </w:r>
    </w:p>
    <w:p>
      <w:pPr>
        <w:spacing w:before="120" w:after="120"/>
      </w:pPr>
      <w:r>
        <w:rPr>
          <w:sz w:val="18"/>
        </w:rPr>
        <w:t>——————————————————————————————————————————————————————————————————————</w:t>
      </w:r>
    </w:p>
    <w:p>
      <w:pPr>
        <w:spacing w:before="160" w:after="40" w:line="240" w:lineRule="auto"/>
      </w:pPr>
      <w:r>
        <w:rPr>
          <w:b/>
        </w:rPr>
        <w:t xml:space="preserve">[510] </w:t>
      </w:r>
      <w:hyperlink r:id="rId1154">
        <w:r>
          <w:rPr>
            <w:color w:val="1155CC"/>
            <w:u w:val="single"/>
          </w:rPr>
          <w:t>利用热状况和连接网络促进珊瑚礁海景的进化适应</w:t>
        </w:r>
      </w:hyperlink>
    </w:p>
    <w:p>
      <w:pPr>
        <w:spacing w:before="0" w:after="80"/>
      </w:pPr>
      <w:r>
        <w:rPr>
          <w:i/>
          <w:sz w:val="20"/>
        </w:rPr>
        <w:t>EN: Leveraging thermal regimes and connectivity networks to promote evolutionary adaptation across coral reef seascapes</w:t>
      </w:r>
    </w:p>
    <w:p>
      <w:pPr>
        <w:spacing w:before="0" w:after="120"/>
      </w:pPr>
      <w:r>
        <w:rPr>
          <w:b/>
        </w:rPr>
        <w:t xml:space="preserve">Source: </w:t>
      </w:r>
      <w:r>
        <w:t>One Earth</w:t>
      </w:r>
      <w:r>
        <w:t xml:space="preserve">    </w:t>
      </w:r>
      <w:r>
        <w:rPr>
          <w:b/>
        </w:rPr>
        <w:t xml:space="preserve">Pub date: </w:t>
      </w:r>
      <w:r>
        <w:t>2026-07-09 00:00:00+00:00</w:t>
      </w:r>
      <w:r>
        <w:t xml:space="preserve">    </w:t>
      </w:r>
      <w:r>
        <w:rPr>
          <w:b/>
        </w:rPr>
        <w:t xml:space="preserve">DOI: </w:t>
      </w:r>
      <w:hyperlink r:id="rId1155">
        <w:r>
          <w:rPr>
            <w:color w:val="1155CC"/>
            <w:u w:val="single"/>
          </w:rPr>
          <w:t>10.1016/j.oneear.2026.101752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1156">
        <w:r>
          <w:rPr>
            <w:color w:val="1155CC"/>
            <w:u w:val="single"/>
          </w:rPr>
          <w:t>中国基础研究新举措</w:t>
        </w:r>
      </w:hyperlink>
    </w:p>
    <w:p>
      <w:pPr>
        <w:spacing w:before="0" w:after="80"/>
      </w:pPr>
      <w:r>
        <w:rPr>
          <w:i/>
          <w:sz w:val="20"/>
        </w:rPr>
        <w:t>EN: China’s new initiative on basic research</w:t>
      </w:r>
    </w:p>
    <w:p>
      <w:pPr>
        <w:spacing w:before="0" w:after="120"/>
      </w:pPr>
      <w:r>
        <w:rPr>
          <w:b/>
        </w:rPr>
        <w:t xml:space="preserve">Source: </w:t>
      </w:r>
      <w:r>
        <w:t>National Science Review Advance Access</w:t>
      </w:r>
      <w:r>
        <w:t xml:space="preserve">    </w:t>
      </w:r>
      <w:r>
        <w:rPr>
          <w:b/>
        </w:rPr>
        <w:t xml:space="preserve">Pub date: </w:t>
      </w:r>
      <w:r>
        <w:t>2026-07-09 00:00:00+00:00</w:t>
      </w:r>
      <w:r>
        <w:t xml:space="preserve">    </w:t>
      </w:r>
      <w:r>
        <w:rPr>
          <w:b/>
        </w:rPr>
        <w:t xml:space="preserve">DOI: </w:t>
      </w:r>
      <w:hyperlink r:id="rId1157">
        <w:r>
          <w:rPr>
            <w:color w:val="1155CC"/>
            <w:u w:val="single"/>
          </w:rPr>
          <w:t>10.1093/nsr/nwag406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[512] </w:t>
      </w:r>
      <w:hyperlink r:id="rId1158">
        <w:r>
          <w:rPr>
            <w:color w:val="1155CC"/>
            <w:u w:val="single"/>
          </w:rPr>
          <w:t>连接宏观趋势和微观动态：用于中期负荷预测的稳健混合频率框架</w:t>
        </w:r>
      </w:hyperlink>
    </w:p>
    <w:p>
      <w:pPr>
        <w:spacing w:before="0" w:after="80"/>
      </w:pPr>
      <w:r>
        <w:rPr>
          <w:i/>
          <w:sz w:val="20"/>
        </w:rPr>
        <w:t>EN: Bridging macro-trend and micro-dynamics: A robust mixed-frequency framework for mid-term load forecasting</w:t>
      </w:r>
    </w:p>
    <w:p>
      <w:pPr>
        <w:spacing w:before="0" w:after="120"/>
      </w:pPr>
      <w:r>
        <w:rPr>
          <w:b/>
        </w:rPr>
        <w:t xml:space="preserve">Source: </w:t>
      </w:r>
      <w:r>
        <w:t>ScienceDirect Publication: Applied Energy</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[513] </w:t>
      </w:r>
      <w:hyperlink r:id="rId1159">
        <w:r>
          <w:rPr>
            <w:color w:val="1155CC"/>
            <w:u w:val="single"/>
          </w:rPr>
          <w:t>基于产消者的配电网络中非凸 P2P 能源交易的两阶段分布式优化</w:t>
        </w:r>
      </w:hyperlink>
    </w:p>
    <w:p>
      <w:pPr>
        <w:spacing w:before="0" w:after="80"/>
      </w:pPr>
      <w:r>
        <w:rPr>
          <w:i/>
          <w:sz w:val="20"/>
        </w:rPr>
        <w:t>EN: A two-stage distributed optimization for non-convex P2P energy trading in prosumer-based distribution networks</w:t>
      </w:r>
    </w:p>
    <w:p>
      <w:pPr>
        <w:spacing w:before="0" w:after="120"/>
      </w:pPr>
      <w:r>
        <w:rPr>
          <w:b/>
        </w:rPr>
        <w:t xml:space="preserve">Source: </w:t>
      </w:r>
      <w:r>
        <w:t>ScienceDirect Publication: Applied Energy</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[514] </w:t>
      </w:r>
      <w:hyperlink r:id="rId1160">
        <w:r>
          <w:rPr>
            <w:color w:val="1155CC"/>
            <w:u w:val="single"/>
          </w:rPr>
          <w:t>在实时事件驱动的电力系统应急控制中迈向值得信赖的人工智能：知识替代引导的深度学习方法</w:t>
        </w:r>
      </w:hyperlink>
    </w:p>
    <w:p>
      <w:pPr>
        <w:spacing w:before="0" w:after="80"/>
      </w:pPr>
      <w:r>
        <w:rPr>
          <w:i/>
          <w:sz w:val="20"/>
        </w:rPr>
        <w:t>EN: Toward trustworthy AI in real-time event-driven power system emergency control: A knowledge-surrogate-guided deep learning approach</w:t>
      </w:r>
    </w:p>
    <w:p>
      <w:pPr>
        <w:spacing w:before="0" w:after="120"/>
      </w:pPr>
      <w:r>
        <w:rPr>
          <w:b/>
        </w:rPr>
        <w:t xml:space="preserve">Source: </w:t>
      </w:r>
      <w:r>
        <w:t>ScienceDirect Publication: Applied Energy</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[515] </w:t>
      </w:r>
      <w:hyperlink r:id="rId1161">
        <w:r>
          <w:rPr>
            <w:color w:val="1155CC"/>
            <w:u w:val="single"/>
          </w:rPr>
          <w:t>地缘政治冲突与企业能源转型：俄罗斯-乌克兰冲突的准自然实验</w:t>
        </w:r>
      </w:hyperlink>
    </w:p>
    <w:p>
      <w:pPr>
        <w:spacing w:before="0" w:after="80"/>
      </w:pPr>
      <w:r>
        <w:rPr>
          <w:i/>
          <w:sz w:val="20"/>
        </w:rPr>
        <w:t>EN: Geopolitical conflict and firms’ energy transition: A quasi-natural experiment from the Russia–Ukraine conflict</w:t>
      </w:r>
    </w:p>
    <w:p>
      <w:pPr>
        <w:spacing w:before="0" w:after="120"/>
      </w:pPr>
      <w:r>
        <w:rPr>
          <w:b/>
        </w:rPr>
        <w:t xml:space="preserve">Source: </w:t>
      </w:r>
      <w:r>
        <w:t>ScienceDirect Publication: Energy Policy</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[516] </w:t>
      </w:r>
      <w:hyperlink r:id="rId1162">
        <w:r>
          <w:rPr>
            <w:color w:val="1155CC"/>
            <w:u w:val="single"/>
          </w:rPr>
          <w:t>权力与平等：从发展中国家性别不平等的角度看待能源贫困</w:t>
        </w:r>
      </w:hyperlink>
    </w:p>
    <w:p>
      <w:pPr>
        <w:spacing w:before="0" w:after="80"/>
      </w:pPr>
      <w:r>
        <w:rPr>
          <w:i/>
          <w:sz w:val="20"/>
        </w:rPr>
        <w:t>EN: Power and parity: Viewing energy poverty from the lens of gender inequality in the developing countries</w:t>
      </w:r>
    </w:p>
    <w:p>
      <w:pPr>
        <w:spacing w:before="0" w:after="120"/>
      </w:pPr>
      <w:r>
        <w:rPr>
          <w:b/>
        </w:rPr>
        <w:t xml:space="preserve">Source: </w:t>
      </w:r>
      <w:r>
        <w:t>ScienceDirect Publication: Energy Policy</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[517] </w:t>
      </w:r>
      <w:hyperlink r:id="rId1163">
        <w:r>
          <w:rPr>
            <w:color w:val="1155CC"/>
            <w:u w:val="single"/>
          </w:rPr>
          <w:t>锍配体调节的结晶界面动力学使近红外钙钛矿发光二极管具有 27% EQE</w:t>
        </w:r>
      </w:hyperlink>
    </w:p>
    <w:p>
      <w:pPr>
        <w:spacing w:before="0" w:after="80"/>
      </w:pPr>
      <w:r>
        <w:rPr>
          <w:i/>
          <w:sz w:val="20"/>
        </w:rPr>
        <w:t>EN: Sulfonium-Ligand-Regulated Crystallization Interfacial Dynamics Enables Near-Infrared Perovskite Light-Emitting Diodes with 27% EQE</w:t>
      </w:r>
    </w:p>
    <w:p>
      <w:pPr>
        <w:spacing w:before="0" w:after="120"/>
      </w:pPr>
      <w:r>
        <w:rPr>
          <w:b/>
        </w:rPr>
        <w:t xml:space="preserve">Source: </w:t>
      </w:r>
      <w:r>
        <w:t>ACS Energy Letters: Latest Articles (ACS Publications)</w:t>
      </w:r>
      <w:r>
        <w:t xml:space="preserve">    </w:t>
      </w:r>
      <w:r>
        <w:rPr>
          <w:b/>
        </w:rPr>
        <w:t xml:space="preserve">Pub date: </w:t>
      </w:r>
      <w:r>
        <w:t>2026-07-09 00:00:00+00:00</w:t>
      </w:r>
      <w:r>
        <w:t xml:space="preserve">    </w:t>
      </w:r>
      <w:r>
        <w:rPr>
          <w:b/>
        </w:rPr>
        <w:t xml:space="preserve">DOI: </w:t>
      </w:r>
      <w:hyperlink r:id="rId1164">
        <w:r>
          <w:rPr>
            <w:color w:val="1155CC"/>
            <w:u w:val="single"/>
          </w:rPr>
          <w:t>10.1021/acsenergylett.6c00963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[518] </w:t>
      </w:r>
      <w:hyperlink r:id="rId1165">
        <w:r>
          <w:rPr>
            <w:color w:val="1155CC"/>
            <w:u w:val="single"/>
          </w:rPr>
          <w:t>具有由大环己基三酰胺配体稳定的线性 CeNCe 核心的氮化二铈 (IV) 络合物</w:t>
        </w:r>
      </w:hyperlink>
    </w:p>
    <w:p>
      <w:pPr>
        <w:spacing w:before="0" w:after="80"/>
      </w:pPr>
      <w:r>
        <w:rPr>
          <w:i/>
          <w:sz w:val="20"/>
        </w:rPr>
        <w:t>EN: A Dicerium(IV) Nitride Complex with a Linear CeNCe Core Stabilized by Bulky Cyclohexyltriamide Ligands</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66">
        <w:r>
          <w:rPr>
            <w:color w:val="1155CC"/>
            <w:u w:val="single"/>
          </w:rPr>
          <w:t>10.1021/jacs.6c11290</w:t>
        </w:r>
      </w:hyperlink>
    </w:p>
    <w:p>
      <w:pPr>
        <w:spacing w:before="0" w:after="120"/>
      </w:pPr>
      <w:r>
        <w:rPr>
          <w:b/>
        </w:rPr>
        <w:t xml:space="preserve">Notes: </w:t>
      </w:r>
      <w:r>
        <w:t>abstract_source=pubmed</w:t>
      </w:r>
    </w:p>
    <w:p>
      <w:pPr>
        <w:spacing w:before="0" w:after="80" w:lineRule="auto" w:line="276"/>
      </w:pPr>
      <w:r>
        <w:rPr>
          <w:b/>
        </w:rPr>
        <w:t xml:space="preserve">摘要（ZH）: </w:t>
      </w:r>
      <w:r>
        <w:t>镧系氮化物仍然很少见，仅限于由两个路易斯酸性锂离子稳定的 CeN(Li2)Ce 核的单一例子。在这里，我们在镧系化学中引入了一种新的环己基三酰胺配体 [TachDMBS]，这使我们能够分离出具有线性 CeNCe 核的镧系氮化物配合物 [{(TachDMBS)Ce}2(μ-N)][Na(12-crown-4)2] (6)，而无需任何碱金属相互作用。配合物 6 的制备方法是，在两当量 12-crown-4 存在下，稀有双核折合式铈(IV)金属环 [{(CH2CHNSiMe2tBu)2(CHNSiMetBu(μ-CH2)Ce}2] (4) 与一当量 NaNH2 在苯中反应，收率 48%。6 中的 Ce-N(氮化物) 键距(2.051(19) Å) 接近迄今为止报道的最短的 Ce-N 键，并且公开了 6 (180.00°) 的线性 Ce-N-Ce 键角，制备了同构含氧类似物 [{(TachDMBS)Ce}2(μ-O)] (7) 用于比较。 6 和 7 的计算分析揭示了由两个组成的 Ce=N 多重键合特征。 6中的2c-2e σ键和两个正交的3c-2e π键，显示出与已知的CeN(Li2)Ce键中类似的成键趋势，但7中的Ce-O为单键，证实了桥接模式中N3-相对于O2-更强的供体能力，并强调了支持配体在稳定无支持的CeNCe核方面的重要性。</w:t>
      </w:r>
    </w:p>
    <w:p>
      <w:pPr>
        <w:spacing w:before="0" w:after="200" w:lineRule="auto" w:line="276"/>
      </w:pPr>
      <w:r>
        <w:rPr>
          <w:b/>
        </w:rPr>
        <w:t xml:space="preserve">Abstract (EN): </w:t>
      </w:r>
      <w:r>
        <w:t>Lanthanide nitrides remain rare, being restricted to the singular example with a CeN(Li2)Ce core stabilized by two Lewis acidic lithium ions. Here, we introduce a new cyclohexyltriamide ligand [TachDMBS] to lanthanide chemistry, which enables us to isolate a lanthanide nitride complex [{(TachDMBS)Ce}2(μ-N)][Na(12-crown-4)2] (6) with a linear CeNCe core without any alkali metal interaction. Complex 6 was prepared by the reaction of a rare dinuclear tuck-in-tuck-over cerium(IV) metallacycle [{(CH2CHNSiMe2tBu)2(CHNSiMetBu(μ-CH2)Ce}2] (4) with one equivalent of NaNH2 in benzene in the presence of two equivalents of 12-crown-4, yielding 48%. The Ce-N(nitride) bond distances in 6 (2.051(19) Å) are close to the shortest Ce-N bonds reported so far, and a linear Ce-N-Ce bond angle in 6 (180.00°) is disclosed. The isostructural oxo analogue [{(TachDMBS)Ce}2(μ-O)] (7) was prepared for comparison. Computational analysis of 6 and 7 reveals Ce═N multiple-bonding character consisting of two 2c-2e σ-bonds and two orthogonal 3c-2e π-bonds in 6, showing a similar bonding trend to that in the known CeN(Li2)Ce linkage, but single bonds for Ce-O in 7, confirming the stronger donating capability of N3- vs O2- in the bridging mode and highlighting the importance of supporting ligands in stabilizing the unsupported CeNCe core.</w:t>
      </w:r>
    </w:p>
    <w:p>
      <w:pPr>
        <w:spacing w:before="120" w:after="120"/>
      </w:pPr>
      <w:r>
        <w:rPr>
          <w:sz w:val="18"/>
        </w:rPr>
        <w:t>——————————————————————————————————————————————————————————————————————</w:t>
      </w:r>
    </w:p>
    <w:p>
      <w:pPr>
        <w:spacing w:before="160" w:after="40" w:line="240" w:lineRule="auto"/>
      </w:pPr>
      <w:r>
        <w:rPr>
          <w:b/>
        </w:rPr>
        <w:t xml:space="preserve">[519] </w:t>
      </w:r>
      <w:hyperlink r:id="rId1167">
        <w:r>
          <w:rPr>
            <w:color w:val="1155CC"/>
            <w:u w:val="single"/>
          </w:rPr>
          <w:t>未受保护的肽中丝氨酸和苏氨酸的位点特异性和可编程编辑</w:t>
        </w:r>
      </w:hyperlink>
    </w:p>
    <w:p>
      <w:pPr>
        <w:spacing w:before="0" w:after="80"/>
      </w:pPr>
      <w:r>
        <w:rPr>
          <w:i/>
          <w:sz w:val="20"/>
        </w:rPr>
        <w:t>EN: Site-Specific and Programmable Editing of Serine and Threonine in Unprotected Peptides</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68">
        <w:r>
          <w:rPr>
            <w:color w:val="1155CC"/>
            <w:u w:val="single"/>
          </w:rPr>
          <w:t>10.1021/jacs.6c09445</w:t>
        </w:r>
      </w:hyperlink>
    </w:p>
    <w:p>
      <w:pPr>
        <w:spacing w:before="0" w:after="120"/>
      </w:pPr>
      <w:r>
        <w:rPr>
          <w:b/>
        </w:rPr>
        <w:t xml:space="preserve">Notes: </w:t>
      </w:r>
      <w:r>
        <w:t>abstract_source=pubmed</w:t>
      </w:r>
    </w:p>
    <w:p>
      <w:pPr>
        <w:spacing w:before="0" w:after="80" w:lineRule="auto" w:line="276"/>
      </w:pPr>
      <w:r>
        <w:rPr>
          <w:b/>
        </w:rPr>
        <w:t xml:space="preserve">摘要（ZH）: </w:t>
      </w:r>
      <w:r>
        <w:t>丝氨酸和苏氨酸残基在自然界中主导着翻译后修饰的调节，但在很大程度上仍然无法进行可编程化学编辑。它们的弱羟基亲核性和蛋白质内多个无法区分的位点的存在阻碍了用于修饰未受保护的多肽的通用位点选择性策略的开发。在这里，我们报道氨氧基丝氨酸或氨氧基苏氨酸可以通过瞬态的1,2,4-恶二嗪中间体在水溶液中介导有效的氨氧基连接（AOL），从而在N端位置实现化学选择性肽连接。此外，AOL 后嵌入的氨氧基官能团随后与酮酸进行化学选择性酯连接 (CEL)，将氨氧基恢复为天然 Ser/Thr 并安装 O-酰化。这种两阶段策略在温和条件下提供位点特异性 Ser/Thr 修饰，允许还原恢复、新糖基化或 O-酰化。应用范围从治疗性肽类似物的后期修饰到带有位点特异性 O-新糖基化和 O-酰化的组蛋白 H2B 的聚合化学合成。总之，这项工作为蛋白质化学合成和工程的丝氨酸和苏氨酸编辑建立了通用化学框架。</w:t>
      </w:r>
    </w:p>
    <w:p>
      <w:pPr>
        <w:spacing w:before="0" w:after="200" w:lineRule="auto" w:line="276"/>
      </w:pPr>
      <w:r>
        <w:rPr>
          <w:b/>
        </w:rPr>
        <w:t xml:space="preserve">Abstract (EN): </w:t>
      </w:r>
      <w:r>
        <w:t>Serine and threonine residues dominate regulatory post-translational modifications in nature, yet remain largely inaccessible to programmable chemical editing. Their weak hydroxyl nucleophilicity and the presence of multiple indistinguishable sites within proteins have prevented the development of general, site-selective strategies for modification in unprotected polypeptides. Here, we report that aminooxy serine or aminooxy threonine can mediate an effective aminooxy ligation (AOL) in aqueous solution through a transient 1,2,4-oxadiazinane intermediate, enabling chemoselective peptide ligation at the N-terminal position. Furthermore, the embedded aminooxy functionality after AOL subsequently undergoes a chemoselective ester ligation (CEL) with keto acids to restore aminooxy into native Ser/Thr and install O-acylation. This two-stage strategy offers site-specific Ser/Thr modification under mild conditions, permitting reductive restoration, neoglycosylation, or O-acylation. Applications range from late-stage modification of therapeutic peptide analogues to the convergent chemical synthesis of histone H2B bearing site-specific O-neoglycosylation and O-acylation. Together, this work establishes a general chemical framework for serine and threonine editing for protein chemical synthesis and engineering.</w:t>
      </w:r>
    </w:p>
    <w:p>
      <w:pPr>
        <w:spacing w:before="120" w:after="120"/>
      </w:pPr>
      <w:r>
        <w:rPr>
          <w:sz w:val="18"/>
        </w:rPr>
        <w:t>——————————————————————————————————————————————————————————————————————</w:t>
      </w:r>
    </w:p>
    <w:p>
      <w:pPr>
        <w:spacing w:before="160" w:after="40" w:line="240" w:lineRule="auto"/>
      </w:pPr>
      <w:r>
        <w:rPr>
          <w:b/>
        </w:rPr>
        <w:t xml:space="preserve">[520] </w:t>
      </w:r>
      <w:hyperlink r:id="rId1169">
        <w:r>
          <w:rPr>
            <w:color w:val="1155CC"/>
            <w:u w:val="single"/>
          </w:rPr>
          <w:t>瞬时过度配位解锁硼基氧化脱氢中的 C-H 键激活</w:t>
        </w:r>
      </w:hyperlink>
    </w:p>
    <w:p>
      <w:pPr>
        <w:spacing w:before="0" w:after="80"/>
      </w:pPr>
      <w:r>
        <w:rPr>
          <w:i/>
          <w:sz w:val="20"/>
        </w:rPr>
        <w:t>EN: Transient Overcoordination Unlocks C–H Bond Activation in Boron-Based Oxidative Dehydrogenation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70">
        <w:r>
          <w:rPr>
            <w:color w:val="1155CC"/>
            <w:u w:val="single"/>
          </w:rPr>
          <w:t>10.1021/jacs.6c06607</w:t>
        </w:r>
      </w:hyperlink>
    </w:p>
    <w:p>
      <w:pPr>
        <w:spacing w:before="0" w:after="120"/>
      </w:pPr>
      <w:r>
        <w:rPr>
          <w:b/>
        </w:rPr>
        <w:t xml:space="preserve">Notes: </w:t>
      </w:r>
      <w:r>
        <w:t>abstract_source=pubmed</w:t>
      </w:r>
    </w:p>
    <w:p>
      <w:pPr>
        <w:spacing w:before="0" w:after="80" w:lineRule="auto" w:line="276"/>
      </w:pPr>
      <w:r>
        <w:rPr>
          <w:b/>
        </w:rPr>
        <w:t xml:space="preserve">摘要（ZH）: </w:t>
      </w:r>
      <w:r>
        <w:t>硼催化丙烷氧化脱氢（ODHP）真正活性位点的识别仍然存在激烈争议。流行的模型试图使用静态、高能 BOx 物种来描述熔融或准熔融的氧化硼相，但它们没有解决一个中心悖论，即解释形式上不可还原的 B(III) 中心如何介导有效的 C-H 活化，同时维持卓越的丙烯选择性。在这里，通过将 9700 BOx/Ni(111) 配置的详尽热力学筛选与增强采样从头分子动力学 (AIMD) 相结合，我们表明活性不是由任何预先存在的结构介导的，而是由连续 [BO3] ⇌ [BO4] 互变产生的瞬时可访问的过度配位 [BO4] 介导的。这种动态的sp2-sp3再杂化提供了关键的配位电荷补偿，充当电子缓冲器，允许严格的+3硼中心激活C-H键而无需局部还原。此外，绘制催化循环图为选择性悖论提供了机制框架。结构适应性硼中心在热力学上有利于气相氧化自由基的吸附，抑制链增长，从而防止深度氧化为COx。最后，跨 N 掺杂、C 掺杂、无金属和 h-BN 衍生的 BOx 系统的 AIMD 轨迹和自由能势垒表明，这种配位流动性机制在此处检查的 BOx 系统中普遍存在，将催化剂设计从识别单个“活性位点”转变为设计热力学通路</w:t>
      </w:r>
    </w:p>
    <w:p>
      <w:pPr>
        <w:spacing w:before="0" w:after="200" w:lineRule="auto" w:line="276"/>
      </w:pPr>
      <w:r>
        <w:rPr>
          <w:b/>
        </w:rPr>
        <w:t xml:space="preserve">Abstract (EN): </w:t>
      </w:r>
      <w:r>
        <w:t>The identification of the true active site in boron-catalyzed oxidative dehydrogenation of propane (ODHP) remains deeply contested. Prevailing models attempt to describe a molten or quasi-molten boron oxide phase using static, high-energy BOx species, yet they do not resolve a central paradox that explains how a formally nonreducible B(III) center can mediate efficient C-H activation while sustaining exceptional propylene selectivity. Here, by combining exhaustive thermodynamic screening of 9700 BOx/Ni(111) configurations with enhanced sampling ab initio molecular dynamics (AIMD), we show that activity is mediated not by any pre-existing structure but by transiently accessible overcoordinated [BO4] generated through continuous [BO3] ⇌ [BO4] interconversions. This dynamic sp2-to-sp3 rehybridization provides crucial coordination-charge compensation, acting as an electronic buffer that allows the strictly +3 boron center to activate C-H bonds without localized reduction. Furthermore, mapping the catalytic cycle provides a mechanistic framework for the selectivity paradox. The structurally adaptive boron centers thermodynamically favor the adsorption of gas-phase oxygenated radicals, suppressing chain propagation and thereby preventing deep oxidation to COx. Finally, AIMD trajectories and free-energy barriers across N-doped, C-doped, metal-free, and h-BN-derived BOx systems show that this coordination-fluxionality mechanism is general across the BOx systems examined here, shifting catalyst design from identifying a single "active site" to engineering the thermodynamic accessibility and lifetime of transient coordination states.</w:t>
      </w:r>
    </w:p>
    <w:p>
      <w:pPr>
        <w:spacing w:before="120" w:after="120"/>
      </w:pPr>
      <w:r>
        <w:rPr>
          <w:sz w:val="18"/>
        </w:rPr>
        <w:t>——————————————————————————————————————————————————————————————————————</w:t>
      </w:r>
    </w:p>
    <w:p>
      <w:pPr>
        <w:spacing w:before="160" w:after="40" w:line="240" w:lineRule="auto"/>
      </w:pPr>
      <w:r>
        <w:rPr>
          <w:b/>
        </w:rPr>
        <w:t xml:space="preserve">[521] </w:t>
      </w:r>
      <w:hyperlink r:id="rId1171">
        <w:r>
          <w:rPr>
            <w:color w:val="1155CC"/>
            <w:u w:val="single"/>
          </w:rPr>
          <w:t>一对“超级蓬松”行星比棉花糖还轻</w:t>
        </w:r>
      </w:hyperlink>
    </w:p>
    <w:p>
      <w:pPr>
        <w:spacing w:before="0" w:after="80"/>
      </w:pPr>
      <w:r>
        <w:rPr>
          <w:i/>
          <w:sz w:val="20"/>
        </w:rPr>
        <w:t>EN: Pair of ‘super-puff’ planets are lighter than candy floss</w:t>
      </w:r>
    </w:p>
    <w:p>
      <w:pPr>
        <w:spacing w:before="0" w:after="120"/>
      </w:pPr>
      <w:r>
        <w:rPr>
          <w:b/>
        </w:rPr>
        <w:t xml:space="preserve">Source: </w:t>
      </w:r>
      <w:r>
        <w:t>Nature</w:t>
      </w:r>
      <w:r>
        <w:t xml:space="preserve">    </w:t>
      </w:r>
      <w:r>
        <w:rPr>
          <w:b/>
        </w:rPr>
        <w:t xml:space="preserve">Pub date: </w:t>
      </w:r>
      <w:r>
        <w:t>2026-07-09 00:00:00+00:00</w:t>
      </w:r>
      <w:r>
        <w:t xml:space="preserve">    </w:t>
      </w:r>
      <w:r>
        <w:rPr>
          <w:b/>
        </w:rPr>
        <w:t xml:space="preserve">DOI: </w:t>
      </w:r>
      <w:hyperlink r:id="rId1172">
        <w:r>
          <w:rPr>
            <w:color w:val="1155CC"/>
            <w:u w:val="single"/>
          </w:rPr>
          <w:t>10.1038/d41586-026-02114-2</w:t>
        </w:r>
      </w:hyperlink>
    </w:p>
    <w:p>
      <w:pPr>
        <w:spacing w:before="0" w:after="120"/>
      </w:pPr>
      <w:r>
        <w:rPr>
          <w:b/>
        </w:rPr>
        <w:t xml:space="preserve">Notes: </w:t>
      </w:r>
      <w:r>
        <w:t>abstract_source=nature_html</w:t>
      </w:r>
    </w:p>
    <w:p>
      <w:pPr>
        <w:spacing w:before="0" w:after="80" w:lineRule="auto" w:line="276"/>
      </w:pPr>
      <w:r>
        <w:rPr>
          <w:b/>
        </w:rPr>
        <w:t xml:space="preserve">摘要（ZH）: </w:t>
      </w:r>
      <w:r>
        <w:t>围绕同一恒星运行的两颗气态巨行星是迄今为止发现的密度最小的行星之一。围绕同一恒星运行的两颗气态巨行星是迄今为止发现的密度最小的行星之一。</w:t>
      </w:r>
    </w:p>
    <w:p>
      <w:pPr>
        <w:spacing w:before="0" w:after="200" w:lineRule="auto" w:line="276"/>
      </w:pPr>
      <w:r>
        <w:rPr>
          <w:b/>
        </w:rPr>
        <w:t xml:space="preserve">Abstract (EN): </w:t>
      </w:r>
      <w:r>
        <w:t>Two gas giants circling the same star are among the least dense planets ever found. Two gas giants circling the same star are among the least dense planets ever found.</w:t>
      </w:r>
    </w:p>
    <w:p>
      <w:pPr>
        <w:spacing w:before="120" w:after="120"/>
      </w:pPr>
      <w:r>
        <w:rPr>
          <w:sz w:val="18"/>
        </w:rPr>
        <w:t>——————————————————————————————————————————————————————————————————————</w:t>
      </w:r>
    </w:p>
    <w:p>
      <w:pPr>
        <w:spacing w:before="160" w:after="40" w:line="240" w:lineRule="auto"/>
      </w:pPr>
      <w:r>
        <w:rPr>
          <w:b/>
        </w:rPr>
        <w:t xml:space="preserve">[522] </w:t>
      </w:r>
      <w:hyperlink r:id="rId1173">
        <w:r>
          <w:rPr>
            <w:color w:val="1155CC"/>
            <w:u w:val="single"/>
          </w:rPr>
          <w:t>Opa1 - 敲除 EMSC 衍生的 EV-Mito 赋予功能化 PEEK/LL37 支架以对抗耐药骨感染</w:t>
        </w:r>
      </w:hyperlink>
    </w:p>
    <w:p>
      <w:pPr>
        <w:spacing w:before="0" w:after="80"/>
      </w:pPr>
      <w:r>
        <w:rPr>
          <w:i/>
          <w:sz w:val="20"/>
        </w:rPr>
        <w:t>EN: Opa1 -Knocked out EMSCs-Derived EV-Mito Empower Functionalized PEEK/LL37 Scaffolds to Combat Drug-Resistant Bone Infection</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174">
        <w:r>
          <w:rPr>
            <w:color w:val="1155CC"/>
            <w:u w:val="single"/>
          </w:rPr>
          <w:t>10.1021/acsami.6c09160</w:t>
        </w:r>
      </w:hyperlink>
    </w:p>
    <w:p>
      <w:pPr>
        <w:spacing w:before="0" w:after="120"/>
      </w:pPr>
      <w:r>
        <w:rPr>
          <w:b/>
        </w:rPr>
        <w:t xml:space="preserve">Notes: </w:t>
      </w:r>
      <w:r>
        <w:t>abstract_source=pubmed</w:t>
      </w:r>
    </w:p>
    <w:p>
      <w:pPr>
        <w:spacing w:before="0" w:after="80" w:lineRule="auto" w:line="276"/>
      </w:pPr>
      <w:r>
        <w:rPr>
          <w:b/>
        </w:rPr>
        <w:t xml:space="preserve">摘要（ZH）: </w:t>
      </w:r>
      <w:r>
        <w:t>当耐药细菌占据主导地位时，治疗骨缺损变得尤其具有挑战性。标准抗生素通常无法完全清除这些感染，并且由此产生的炎症环境会积极阻止新骨的形成。为了解决这个问题，我们开发了一种名为 SPMiL 的磺化 PEEK 支架，它携带两种不同的有效负载：人源抗菌肽 LL37 和富含线粒体的囊泡 (EV-Mito)。我们从缺乏 Opa1（线粒体动力学的关键调节因子）的外周充质干细胞 (EMSC) 中产生了这些囊泡。敲除该基因可显着提高囊泡的产生，解决了先前阻碍 EV-Mito 治疗尝试的供应限制。在使用 MRSA 感染的大鼠颅骨缺损的测试中，SPMiL 不断释放 LL37 以消除耐药细菌，同时将功能性线粒体转移到受体细胞中。这些移植的细胞器通过代谢重编程、抗氧化作用和线粒体膜电位的恢复促进成骨分化并抑制破骨细胞活性。这项工作表明，将抗菌防御与线粒体转移相结合，为治疗对传统治疗无效的感染性骨缺损提供了一种可行的方法。</w:t>
      </w:r>
    </w:p>
    <w:p>
      <w:pPr>
        <w:spacing w:before="0" w:after="200" w:lineRule="auto" w:line="276"/>
      </w:pPr>
      <w:r>
        <w:rPr>
          <w:b/>
        </w:rPr>
        <w:t xml:space="preserve">Abstract (EN): </w:t>
      </w:r>
      <w:r>
        <w:t>Treating bone defects becomes particularly challenging when drug-resistant bacteria take hold. Standard antibiotics often fail to clear these infections completely, and the resulting inflammatory environment actively blocks new bone formation. To tackle this problem, we developed a sulfonated-PEEK scaffold called SPMiL that carries two distinct payloads: the human derived antimicrobial peptide LL37 and mitochondria-rich vesicles (EV-Mito). We generated these vesicles from ectomesenchymal stem cells (EMSCs) lacking Opa1, a key regulator of mitochondrial dynamics. Knocking out this gene substantially boosts vesicle production, solving the supply limitations that have hampered previous attempts to use EV-Mito therapeutically. In tests using MRSA-infected rat calvarial defects, SPMiL released LL37 continuously to eliminate the resistant bacteria while simultaneously transferring functional mitochondria into recipient cells. These transplanted organelles promoted osteogenic differentiation and suppressed osteoclast activity through metabolic reprogramming, antioxidant effects, and restoration of mitochondrial membrane potential. This work demonstrates that combining antibacterial defense with mitochondrial transfer offers a viable approach for treating infected bone defects that resist conventional treatment.</w:t>
      </w:r>
    </w:p>
    <w:p>
      <w:pPr>
        <w:spacing w:before="120" w:after="120"/>
      </w:pPr>
      <w:r>
        <w:rPr>
          <w:sz w:val="18"/>
        </w:rPr>
        <w:t>——————————————————————————————————————————————————————————————————————</w:t>
      </w:r>
    </w:p>
    <w:p>
      <w:pPr>
        <w:spacing w:before="160" w:after="40" w:line="240" w:lineRule="auto"/>
      </w:pPr>
      <w:r>
        <w:rPr>
          <w:b/>
        </w:rPr>
        <w:t xml:space="preserve">[523] </w:t>
      </w:r>
      <w:hyperlink r:id="rId1175">
        <w:r>
          <w:rPr>
            <w:color w:val="1155CC"/>
            <w:u w:val="single"/>
          </w:rPr>
          <w:t>基于 VO 2 (B) 纳米墨水的低成本且可扩展的柔性红外探测器：从单器件传感到阵列成像</w:t>
        </w:r>
      </w:hyperlink>
    </w:p>
    <w:p>
      <w:pPr>
        <w:spacing w:before="0" w:after="80"/>
      </w:pPr>
      <w:r>
        <w:rPr>
          <w:i/>
          <w:sz w:val="20"/>
        </w:rPr>
        <w:t>EN: Low-Cost and Scalable Flexible Infrared Detectors Based on VO 2 (B) Nano-Ink: From Single-Device Sensing to Array Imaging</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176">
        <w:r>
          <w:rPr>
            <w:color w:val="1155CC"/>
            <w:u w:val="single"/>
          </w:rPr>
          <w:t>10.1021/acsami.6c07701</w:t>
        </w:r>
      </w:hyperlink>
    </w:p>
    <w:p>
      <w:pPr>
        <w:spacing w:before="0" w:after="120"/>
      </w:pPr>
      <w:r>
        <w:rPr>
          <w:b/>
        </w:rPr>
        <w:t xml:space="preserve">Notes: </w:t>
      </w:r>
      <w:r>
        <w:t>abstract_source=pubmed</w:t>
      </w:r>
    </w:p>
    <w:p>
      <w:pPr>
        <w:spacing w:before="0" w:after="80" w:lineRule="auto" w:line="276"/>
      </w:pPr>
      <w:r>
        <w:rPr>
          <w:b/>
        </w:rPr>
        <w:t xml:space="preserve">摘要（ZH）: </w:t>
      </w:r>
      <w:r>
        <w:t>基于氧化钒 (VOx) 的非制冷红外 (IR) 微测辐射热计由于其紧凑的外形、低功耗和高运行稳定性，已在热传感和成像领域得到商业应用。然而，VOx 化合物本质上较低的电阻温度系数 (TCR) 值、非柔性器件以及昂贵的制造工艺仍然是可穿戴红外器件或其他特定应用的关键瓶颈。在这里，我们通过简单且可扩展的滴铸策略，使用 VO2(B) 纳米片墨水制备了灵活的红外热探测器。由于 VO2(B) 在室温下实现了高达 4.57% K-1 的高 TCR，因此红外器件在室温下表现出 9.84 A/W 的响应度和 3.27 × 108 Jones 的比探测率。这种灵活的红外传感器用于呼吸频率监测，表现出稳定和灵敏的性能。通过集成到 5 × 5 柔性印刷电路阵列中实现了非接触式数字红外成像原型，显示了制造大规模、高像素柔性红外探测器的巨大潜力。我们的工作不仅为灵活的红外热传感建立了低成本且可扩展的材料到设备集成策略，还为基于 VO2(B) 的系统铺平了道路，用于下一代可穿戴和大面积红外成像技术。</w:t>
      </w:r>
    </w:p>
    <w:p>
      <w:pPr>
        <w:spacing w:before="0" w:after="200" w:lineRule="auto" w:line="276"/>
      </w:pPr>
      <w:r>
        <w:rPr>
          <w:b/>
        </w:rPr>
        <w:t xml:space="preserve">Abstract (EN): </w:t>
      </w:r>
      <w:r>
        <w:t>Vanadium oxide (VOx)-based uncooled infrared (IR) microbolometers have been commercially used in thermal sensing and imaging owing to their compact form factor, low power consumption, and high operational stability. However, the intrinsically low temperature coefficient of resistance (TCR) value of VOx compound, nonflexible devices, and costly fabrication processes remain critical bottlenecks for a wearable IR device or other specific applications. Here, we prepare a flexible IR thermal detector with VO2(B) nanosheet ink via a facile and scalable drop-casting strategy. Due to the achieved high TCR of VO2(B) up to 4.57% K-1 at room temperature, the IR device shows the responsivity of 9.84 A/W and a specific detectivity of 3.27 × 108 Jones at room temperature. This flexible IR sensor is utilized for respiratory rate monitoring, which demonstrates stable and sensitive performance. A prototype for noncontact digital IR imaging is realized through integration into a 5 × 5 flexible printed circuit array, showing the great potential for fabricating large-scale and high-pixel flexible IR detectors. Our work not only establishes a low-cost and scalable materials-to-device integration strategy for flexible IR thermal sensing but also paves the way for VO2(B)-based systems for next-generation wearable and large-area infrared imaging technologies.</w:t>
      </w:r>
    </w:p>
    <w:p>
      <w:pPr>
        <w:spacing w:before="120" w:after="120"/>
      </w:pPr>
      <w:r>
        <w:rPr>
          <w:sz w:val="18"/>
        </w:rPr>
        <w:t>——————————————————————————————————————————————————————————————————————</w:t>
      </w:r>
    </w:p>
    <w:p>
      <w:pPr>
        <w:spacing w:before="160" w:after="40" w:line="240" w:lineRule="auto"/>
      </w:pPr>
      <w:r>
        <w:rPr>
          <w:b/>
        </w:rPr>
        <w:t xml:space="preserve">[524] </w:t>
      </w:r>
      <w:hyperlink r:id="rId1177">
        <w:r>
          <w:rPr>
            <w:color w:val="1155CC"/>
            <w:u w:val="single"/>
          </w:rPr>
          <w:t>苯并氧硼杂环是结构独特的真核翻译起始因子 4E 结合剂</w:t>
        </w:r>
      </w:hyperlink>
    </w:p>
    <w:p>
      <w:pPr>
        <w:spacing w:before="0" w:after="80"/>
      </w:pPr>
      <w:r>
        <w:rPr>
          <w:i/>
          <w:sz w:val="20"/>
        </w:rPr>
        <w:t>EN: Benzoxaboroles Are Structurally Unique Binders of Eukaryotic Translation Initiation Factor 4E</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78">
        <w:r>
          <w:rPr>
            <w:color w:val="1155CC"/>
            <w:u w:val="single"/>
          </w:rPr>
          <w:t>10.1021/jacs.6c04291</w:t>
        </w:r>
      </w:hyperlink>
    </w:p>
    <w:p>
      <w:pPr>
        <w:spacing w:before="0" w:after="120"/>
      </w:pPr>
      <w:r>
        <w:rPr>
          <w:b/>
        </w:rPr>
        <w:t xml:space="preserve">Notes: </w:t>
      </w:r>
      <w:r>
        <w:t>abstract_source=pubmed</w:t>
      </w:r>
    </w:p>
    <w:p>
      <w:pPr>
        <w:spacing w:before="0" w:after="80" w:lineRule="auto" w:line="276"/>
      </w:pPr>
      <w:r>
        <w:rPr>
          <w:b/>
        </w:rPr>
        <w:t xml:space="preserve">摘要（ZH）: </w:t>
      </w:r>
      <w:r>
        <w:t>苯并氧杂硼化合物为小分子药物的开发提供了不同寻常的反应性和蛋白质识别能力。尽管有这种潜力，但它们在药物发现或片段筛选库中并不常见。我们合成了一系列结构相关的苯并氧硼杂化合物，其中含有二嗪/炔标签，以实现细胞内光亲和标记实验。该文库的一个子集被发现对真核翻译起始因子 4E (eIF4E) 具有高选择性。发现苯并氧硼杂硼-eIF4E 相互作用本质上是立体选择性的，并且与 mRNA 的 7-甲基鸟苷帽竞争。标记实验位点显示苯并氧硼杂环戊烯片段与 eIF4E 的帽结合袋相互作用。修饰蛋白的计算机模型表明，Trp102 的主链和 Asn155 的侧链分别与苯并氧硼杂硼酸的酰胺羰基和阴离子硼酸盐之间的氢键相互作用，驱动了这种对药物口袋的挑战的亲和力。</w:t>
      </w:r>
    </w:p>
    <w:p>
      <w:pPr>
        <w:spacing w:before="0" w:after="200" w:lineRule="auto" w:line="276"/>
      </w:pPr>
      <w:r>
        <w:rPr>
          <w:b/>
        </w:rPr>
        <w:t xml:space="preserve">Abstract (EN): </w:t>
      </w:r>
      <w:r>
        <w:t>Benzoxaboroles offer unusual reactivity and protein recognition for the development of small molecule drugs. Despite this potential, they are uncommon in drug discovery or in fragment screening libraries. We synthesized a series of structurally related benzoxaboroles containing a diazirine/alkyne tag to enable in-cell photoaffinity labeling experiments. A subset of this library was found to have high selectivity for eukaryotic translation initiation factor 4E (eIF4E). The benzoxaborole-eIF4E interaction was found to be stereoselective in nature and competitive with the 7-methylguanosine cap of mRNA. Site of labeling experiments revealed that the benzoxaborole fragment interacts with the cap binding pocket of eIF4E. In silico modeling of the modified protein suggests that H-bonding interactions between the main chain of Trp102 and the side chain of Asn155 to the amide carbonyl and anionic boronate of the benzoxaborole, respectively, drive affinity for this challenging to drug pocket.</w:t>
      </w:r>
    </w:p>
    <w:p>
      <w:pPr>
        <w:spacing w:before="120" w:after="120"/>
      </w:pPr>
      <w:r>
        <w:rPr>
          <w:sz w:val="18"/>
        </w:rPr>
        <w:t>——————————————————————————————————————————————————————————————————————</w:t>
      </w:r>
    </w:p>
    <w:p>
      <w:pPr>
        <w:spacing w:before="160" w:after="40" w:line="240" w:lineRule="auto"/>
      </w:pPr>
      <w:r>
        <w:rPr>
          <w:b/>
        </w:rPr>
        <w:t xml:space="preserve">[525] </w:t>
      </w:r>
      <w:hyperlink r:id="rId1179">
        <w:r>
          <w:rPr>
            <w:color w:val="1155CC"/>
            <w:u w:val="single"/>
          </w:rPr>
          <w:t>提高微生物电化学系统中四环素的去除率：来自细胞外电子转移和微生物群落合理聚集的见解</w:t>
        </w:r>
      </w:hyperlink>
    </w:p>
    <w:p>
      <w:pPr>
        <w:spacing w:before="0" w:after="80"/>
      </w:pPr>
      <w:r>
        <w:rPr>
          <w:i/>
          <w:sz w:val="20"/>
        </w:rPr>
        <w:t>EN: Elevating Tetracycline Removal in Microbial Electrochemical Systems: Insights from Extracellular Electron Transfer and Rational Aggregation of Microbial Consortia</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180">
        <w:r>
          <w:rPr>
            <w:color w:val="1155CC"/>
            <w:u w:val="single"/>
          </w:rPr>
          <w:t>10.1021/acsami.6c06526</w:t>
        </w:r>
      </w:hyperlink>
    </w:p>
    <w:p>
      <w:pPr>
        <w:spacing w:before="0" w:after="120"/>
      </w:pPr>
      <w:r>
        <w:rPr>
          <w:b/>
        </w:rPr>
        <w:t xml:space="preserve">Notes: </w:t>
      </w:r>
      <w:r>
        <w:t>abstract_source=pubmed</w:t>
      </w:r>
    </w:p>
    <w:p>
      <w:pPr>
        <w:spacing w:before="0" w:after="80" w:lineRule="auto" w:line="276"/>
      </w:pPr>
      <w:r>
        <w:rPr>
          <w:b/>
        </w:rPr>
        <w:t xml:space="preserve">摘要（ZH）: </w:t>
      </w:r>
      <w:r>
        <w:t>在微生物电化学系统（MES）中，阳极电活性生物膜对于减轻四环素（TC）残留（环境中常见的典型广谱抗生素）对公共卫生安全的威胁至关重要。在这项工作中，Co3O4@PEDOT-CC阳极是通过在碳布上生长的聚(3,4-乙撑二氧噻吩)(PEDOT)涂层Co3O4纳米线合理设计和制造的，具有分层结构和优异的导电性和生物相容性的界面特性。 Co3O4@PEDOT-CC的最小电荷转移电阻为6.5 Ω，比裸碳布（CC）低27.3倍，并实现了3.33 W/m2的最大功率密度，显着超过了先前报道的钴基纳米材料修饰阳极。基于Co3O4@PEDOT-CC优异的发电能力，其被创新性地应用于TC处理，揭示了细胞外电子传递过程与功能微生物群落调控相结合有助于TC降解的开创性见解。在 TC 浓度为 4 mg/L 时，含有 Co3O4@PEDOT-CC 的 MES 保持了与没有 TC 时相当的功率输出，并且 TC 去除率达到 80%，而 CC 的功率输出和 TC 去除率均显着下降。对于这一有趣的现象，其根本机制已被揭示：Co3O4@PEDOT-CC 促进了外产电的富集和存活。在双重选择压力下，它能够使外生电与 TC-degr 合理聚集</w:t>
      </w:r>
    </w:p>
    <w:p>
      <w:pPr>
        <w:spacing w:before="0" w:after="200" w:lineRule="auto" w:line="276"/>
      </w:pPr>
      <w:r>
        <w:rPr>
          <w:b/>
        </w:rPr>
        <w:t xml:space="preserve">Abstract (EN): </w:t>
      </w:r>
      <w:r>
        <w:t>In microbial electrochemical systems (MESs), the anode electroactive biofilm is crucial for mitigating the threat of tetracycline (TC) residue, a typical broad-spectrum antibiotic frequently found in the environment, to public health security. In this work, the Co3O4@PEDOT-CC anode was rationally designed and fabricated by poly(3,4-ethylenedioxythiophene) (PEDOT) coating Co3O4 nanowires grown on carbon cloth, featuring it with hierarchical architecture and interfacial properties of excellent conductivity and biocompatibility. The Co3O4@PEDOT-CC exhibited a minimal charge-transfer resistance of 6.5 Ω, which is 27.3 times lower than that of bare carbon cloth (CC) and achieves a maximum power density of 3.33 W/m2, significantly surpassing those of previously reported Co-based nanomaterial-modified anodes. Based on the superior power generation capability of Co3O4@PEDOT-CC, it has been innovatively applied to TC treatment, revealing pioneering insights that the combination of extracellular electron-transfer process and functional microbial consortia regulation contribute to TC degradation. At a TC concentration of 4 mg/L, the MES with Co3O4@PEDOT-CC maintained a power output comparable to that in the absence of TC along with 80% TC removal, whereas the CC exhibited significant declines in both electricity output and TC elimination. For this interesting phenomenon, the underlying mechanism has been uncovered: Co3O4@PEDOT-CC facilitates the enrichment and survival of exoelectrogens. Under dual selective pressures, it enables the rational aggregation of exoelectrogens with TC-degrading bacteria; extracellular-electron-transfer-mediated optimized functional microbial consortia balance the TC-induced reactive oxygen species stress and the power generation capability. This provides wisdom for advancing the design of high-performance anodes purifying water with refractory organic compounds.</w:t>
      </w:r>
    </w:p>
    <w:p>
      <w:pPr>
        <w:spacing w:before="120" w:after="120"/>
      </w:pPr>
      <w:r>
        <w:rPr>
          <w:sz w:val="18"/>
        </w:rPr>
        <w:t>——————————————————————————————————————————————————————————————————————</w:t>
      </w:r>
    </w:p>
    <w:p>
      <w:pPr>
        <w:spacing w:before="160" w:after="40" w:line="240" w:lineRule="auto"/>
      </w:pPr>
      <w:r>
        <w:rPr>
          <w:b/>
        </w:rPr>
        <w:t xml:space="preserve">[526] </w:t>
      </w:r>
      <w:hyperlink r:id="rId1181">
        <w:r>
          <w:rPr>
            <w:color w:val="1155CC"/>
            <w:u w:val="single"/>
          </w:rPr>
          <w:t>用语言模型解码癌症循环转录组特征</w:t>
        </w:r>
      </w:hyperlink>
    </w:p>
    <w:p>
      <w:pPr>
        <w:spacing w:before="0" w:after="80"/>
      </w:pPr>
      <w:r>
        <w:rPr>
          <w:i/>
          <w:sz w:val="20"/>
        </w:rPr>
        <w:t>EN: Decoding cancer circulating transcriptomic signatures with language models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目前使用血浆游离RNA（cfRNA，血液中循环的短RNA片段，可以反映疾病状态）进行多种癌症检测的液体活检方法通常依赖于基因注释，这可能会忽略来自未注释或重复基因组区域的信号。我们提出了 GeneLLM，这是一种基于 Transformer 的模型，可直接处理人类绘制的 cfRNA 读数的核苷酸序列，以识别癌症指示特征。通过绕过基因级量化，该模型保留了来自转录组暗物质的信号。该模型学习潜在的伪生物标记（来自聚合 cfRNA 读取嵌入的原型表示），这些标记充当癌症分类的区分特征，而不是对应于显式基因组序列。在这里，我们表明，在多中心队列中，GeneLLM 在多种癌症中实现了 0.9250 至 0.9962 范围内的 ROC-AUC 值，同时在典型测序深度的六分之一下保持了可比的性能。这些结果表明，血浆 cfRNA 的序列水平建模可以捕获注释依赖方法之外的诊断相关信息，从而实现更具成本效益和可扩展的癌症筛查。</w:t>
      </w:r>
    </w:p>
    <w:p>
      <w:pPr>
        <w:spacing w:before="0" w:after="200" w:lineRule="auto" w:line="276"/>
      </w:pPr>
      <w:r>
        <w:rPr>
          <w:b/>
        </w:rPr>
        <w:t xml:space="preserve">Abstract (EN): </w:t>
      </w:r>
      <w:r>
        <w:t>Current liquid biopsy methods for multi-cancer detection using plasma cell-free RNA (cfRNA, short RNA fragments circulating in blood that can reflect disease states) typically rely on gene annotations, which can overlook signals from unannotated or repetitive genomic regions. We present GeneLLM, a Transformer-based model that directly processes the nucleotide sequences of human-mapped cfRNA reads to identify cancer-indicative signatures. By bypassing gene-level quantification, the model retains signals from transcriptomic dark matter. The model learns latent pseudo-biomarkers (prototype representations from aggregated cfRNA read embeddings) that serve as discriminative features for cancer classification, rather than corresponding to explicit genomic sequences. Here we show that, in a multi-centre cohort, GeneLLM achieves ROC-AUC values ranging from 0.9250 to 0.9962 across several cancers, while maintaining comparable performance at one-sixth of the typical sequencing depth. These results suggest that sequence-level modelling of plasma cfRNA can capture diagnostically relevant information beyond annotation-dependent approaches, enabling more cost-efficient and scalable cancer screening.</w:t>
      </w:r>
    </w:p>
    <w:p>
      <w:pPr>
        <w:spacing w:before="120" w:after="120"/>
      </w:pPr>
      <w:r>
        <w:rPr>
          <w:sz w:val="18"/>
        </w:rPr>
        <w:t>——————————————————————————————————————————————————————————————————————</w:t>
      </w:r>
    </w:p>
    <w:p>
      <w:pPr>
        <w:spacing w:before="160" w:after="40" w:line="240" w:lineRule="auto"/>
      </w:pPr>
      <w:r>
        <w:rPr>
          <w:b/>
        </w:rPr>
        <w:t xml:space="preserve">[527] </w:t>
      </w:r>
      <w:hyperlink r:id="rId1182">
        <w:r>
          <w:rPr>
            <w:color w:val="1155CC"/>
            <w:u w:val="single"/>
          </w:rPr>
          <w:t>在酶兼容环境中组装晶体 COF 用于级联生物传感</w:t>
        </w:r>
      </w:hyperlink>
    </w:p>
    <w:p>
      <w:pPr>
        <w:spacing w:before="0" w:after="80"/>
      </w:pPr>
      <w:r>
        <w:rPr>
          <w:i/>
          <w:sz w:val="20"/>
        </w:rPr>
        <w:t>EN: Crystalline COFs Assembled in an Enzyme-Compatible Milieu for Cascade Biosensing</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183">
        <w:r>
          <w:rPr>
            <w:color w:val="1155CC"/>
            <w:u w:val="single"/>
          </w:rPr>
          <w:t>10.1021/acsami.6c08397</w:t>
        </w:r>
      </w:hyperlink>
    </w:p>
    <w:p>
      <w:pPr>
        <w:spacing w:before="0" w:after="120"/>
      </w:pPr>
      <w:r>
        <w:rPr>
          <w:b/>
        </w:rPr>
        <w:t xml:space="preserve">Notes: </w:t>
      </w:r>
      <w:r>
        <w:t>abstract_source=pubmed</w:t>
      </w:r>
    </w:p>
    <w:p>
      <w:pPr>
        <w:spacing w:before="0" w:after="80" w:lineRule="auto" w:line="276"/>
      </w:pPr>
      <w:r>
        <w:rPr>
          <w:b/>
        </w:rPr>
        <w:t xml:space="preserve">摘要（ZH）: </w:t>
      </w:r>
      <w:r>
        <w:t>在酶兼容介质中组装共价有机框架（COF）是非常理想的，但也具有挑战性。在此，我们提出了一种电子供体-受体（EDA）复合物辅助策略，用于在无添加剂条件下水性环境构建β-酮烯胺COF，同时原位封装酶。 EDA复合物由富电子的2,2'-联吡啶-5,5'-二胺（Bpy）与缺电子的1,3,5-三甲酰基间苯三酚（Tp）形成，以特定方向预先排列单体并显着降低反应活化能，从而增强误差校正并产生高度结晶的TpBpy COF。除了提供保护性支架外，COF 内的 Bpy 单元还充当各种金属离子螯合的锚定位点，以建立仿生酶中心。在此基础上，通过封装天然肌酐脱亚胺酶（CD），然后将仿生漆酶（Bpy-Cu）安装在COF内，设计了空间耦合纳米反应器。封装的 CD 产生的产物激活了相邻孔内的相邻 Bpy-Cu，产生邻近诱导的级联放大，并使整个级联能够对肌酐的关键慢性肾病 (CKD) 生物标志物之一做出特异性反应。构建的检测平台具有较宽的线性范围，检测限低至约7.7 μM。该平台可为肾功能评估提供有价值的支撑信息，有望在早期筛查和疾病治疗中得到应用。</w:t>
      </w:r>
    </w:p>
    <w:p>
      <w:pPr>
        <w:spacing w:before="0" w:after="200" w:lineRule="auto" w:line="276"/>
      </w:pPr>
      <w:r>
        <w:rPr>
          <w:b/>
        </w:rPr>
        <w:t xml:space="preserve">Abstract (EN): </w:t>
      </w:r>
      <w:r>
        <w:t>The assembly of covalent organic frameworks (COFs) in enzyme-compatible media is highly desirable yet challenging. Herein, we proposed an electron donor-acceptor (EDA)-complex-assisted strategy for the aqueous ambient construction of β-ketoenamine COFs under additive-free condition simultaneously with the in situ encapsulation of enzymes. EDA complexes, formed by an electron-rich 2,2'-bipyridine-5,5'-diamine (Bpy) with electron-deficient 1,3,5-triformylphloroglucinol (Tp), prearranged monomers in specific orientation and significantly lowered the reaction activation energy, thus enhancing the error correction and yielding highly crystalline TpBpy COFs. Beyond affording a protective scaffold, the Bpy units within COFs also served as anchoring sites for the chelation of various metallic ions to establish biomimetic enzymatic centers. On this basis, a spatially coupled nanoreactor was designed by encapsulating the natural creatinine deiminase (CD) followed by biomimetic laccase (Bpy-Cu) installation within COFs. The product generated by the encapsulated CD activated the neighboring Bpy-Cu within the adjacent pores, creating a proximity-induced cascade amplification and enabling the entire cascade to respond specifically to one of the key chronic kidney disease (CKD) biomarkers of creatinine. The constructed detection platform exhibits a wide linear range, with a detection limit as low as approximately 7.7 μM. This platform can provide valuable supporting information for the assessment of kidney function and holds promise for applications in the early screening and disease course monitoring of CKD. By simply altering the encapsulated natural enzymes and biomimetic active sites, this modular and generalizable platform is expected to offer a promising tool for early diagnosis of various diseases.</w:t>
      </w:r>
    </w:p>
    <w:p>
      <w:pPr>
        <w:spacing w:before="120" w:after="120"/>
      </w:pPr>
      <w:r>
        <w:rPr>
          <w:sz w:val="18"/>
        </w:rPr>
        <w:t>——————————————————————————————————————————————————————————————————————</w:t>
      </w:r>
    </w:p>
    <w:p>
      <w:pPr>
        <w:spacing w:before="160" w:after="40" w:line="240" w:lineRule="auto"/>
      </w:pPr>
      <w:r>
        <w:rPr>
          <w:b/>
        </w:rPr>
        <w:t xml:space="preserve">[528] </w:t>
      </w:r>
      <w:hyperlink r:id="rId1184">
        <w:r>
          <w:rPr>
            <w:color w:val="1155CC"/>
            <w:u w:val="single"/>
          </w:rPr>
          <w:t>用于智能感知的多模态神经形态感觉装置</w:t>
        </w:r>
      </w:hyperlink>
    </w:p>
    <w:p>
      <w:pPr>
        <w:spacing w:before="0" w:after="80"/>
      </w:pPr>
      <w:r>
        <w:rPr>
          <w:i/>
          <w:sz w:val="20"/>
        </w:rPr>
        <w:t>EN: Multimodal Neuromorphic Sensory Device for Intelligent Perception</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185">
        <w:r>
          <w:rPr>
            <w:color w:val="1155CC"/>
            <w:u w:val="single"/>
          </w:rPr>
          <w:t>10.1021/acsami.6c05694</w:t>
        </w:r>
      </w:hyperlink>
    </w:p>
    <w:p>
      <w:pPr>
        <w:spacing w:before="0" w:after="120"/>
      </w:pPr>
      <w:r>
        <w:rPr>
          <w:b/>
        </w:rPr>
        <w:t xml:space="preserve">Notes: </w:t>
      </w:r>
      <w:r>
        <w:t>abstract_source=pubmed</w:t>
      </w:r>
    </w:p>
    <w:p>
      <w:pPr>
        <w:spacing w:before="0" w:after="80" w:lineRule="auto" w:line="276"/>
      </w:pPr>
      <w:r>
        <w:rPr>
          <w:b/>
        </w:rPr>
        <w:t xml:space="preserve">摘要（ZH）: </w:t>
      </w:r>
      <w:r>
        <w:t>生物系统中的跨模式集成源于物理耦合的神经过程，而不是并行信号融合。在固态硬件中模拟这种关联行为仍然具有挑战性，特别是对于由根本不同的物理领域控制的感觉方式。在这里，我们提出了一种基于不对称 CuO-Cu2O 纳米线薄膜的视觉味觉神经形态装置，该装置本质上将固态光电子学与液相离子耦合。异质结构纳米线网络在固液界面表现出明显的表面光伏效应和自发电荷重新分布，从而能够在水性环境中实现无偏压操作。与化学反应相关的离子吸附形成双电层，动态调节表面能带弯曲和多数载流子密度。这种离子调制本质上与光响应耦合，从而导致电输出的协同放大。耦合的物理机制产生了特征性的时间依赖性光电响应，为多模态集成提供了功能基础。重要的是，配对光学和化学刺激建立了持久的跨模式关联，允许纯粹的视觉输入在调节后唤起味觉特异性反应。这项工作展示了直接从多模态感知设备中产生的设备级跨模态关联学习。</w:t>
      </w:r>
    </w:p>
    <w:p>
      <w:pPr>
        <w:spacing w:before="0" w:after="200" w:lineRule="auto" w:line="276"/>
      </w:pPr>
      <w:r>
        <w:rPr>
          <w:b/>
        </w:rPr>
        <w:t xml:space="preserve">Abstract (EN): </w:t>
      </w:r>
      <w:r>
        <w:t>Cross-modal integration in biological systems arises from physically coupled neural processes rather than from parallel signal fusion. Emulating such associative behavior in solid-state hardware remains challenging, particularly for sensory modalities governed by fundamentally different physical domains. Here, we present a visual-gustatory neuromorphic device based on an asymmetric CuO-Cu2O nanowire film that intrinsically couples solid-state optoelectronics with liquid-phase ionics. The heterostructured nanowire network exhibits a pronounced surface photovoltaic effect and spontaneous charge redistribution at the solid-liquid interface, enabling bias-free operation in aqueous environments. Ionic adsorption associated with the chemical response forms an electric double layer that dynamically modulates surface band bending and the majority carrier density. This ionic modulation is intrinsically coupled to the photoresponse, resulting in synergistic amplification of the electrical output. The coupled physical mechanism gives rise to characteristic time-dependent optoelectronic responses that provide a functional basis for the multimodal integration. Importantly, pairing optical and chemical stimuli establishes a persistent cross-modal association, allowing purely visual inputs to evoke gustatory-specific responses after conditioning. This work demonstrates device-level cross-modal associative learning emerging directly from a multimodal sensory device.</w:t>
      </w:r>
    </w:p>
    <w:p>
      <w:pPr>
        <w:spacing w:before="120" w:after="120"/>
      </w:pPr>
      <w:r>
        <w:rPr>
          <w:sz w:val="18"/>
        </w:rPr>
        <w:t>——————————————————————————————————————————————————————————————————————</w:t>
      </w:r>
    </w:p>
    <w:p>
      <w:pPr>
        <w:spacing w:before="160" w:after="40" w:line="240" w:lineRule="auto"/>
      </w:pPr>
      <w:r>
        <w:rPr>
          <w:b/>
        </w:rPr>
        <w:t xml:space="preserve">[529] </w:t>
      </w:r>
      <w:hyperlink r:id="rId1186">
        <w:r>
          <w:rPr>
            <w:color w:val="1155CC"/>
            <w:u w:val="single"/>
          </w:rPr>
          <w:t>溶酶体自分选纳米降解剂用于肝脏清除致病性血清介质</w:t>
        </w:r>
      </w:hyperlink>
    </w:p>
    <w:p>
      <w:pPr>
        <w:spacing w:before="0" w:after="80"/>
      </w:pPr>
      <w:r>
        <w:rPr>
          <w:i/>
          <w:sz w:val="20"/>
        </w:rPr>
        <w:t>EN: Lysosome self-sorting nanodegraders for hepatic clearance of pathogenic serum mediators</w:t>
      </w:r>
    </w:p>
    <w:p>
      <w:pPr>
        <w:spacing w:before="0" w:after="120"/>
      </w:pPr>
      <w:r>
        <w:rPr>
          <w:b/>
        </w:rPr>
        <w:t xml:space="preserve">Source: </w:t>
      </w:r>
      <w:r>
        <w:t>Nature Nanotechnology</w:t>
      </w:r>
      <w:r>
        <w:t xml:space="preserve">    </w:t>
      </w:r>
      <w:r>
        <w:rPr>
          <w:b/>
        </w:rPr>
        <w:t xml:space="preserve">Pub date: </w:t>
      </w:r>
      <w:r>
        <w:t>2026-07-09 00:00:00+00:00</w:t>
      </w:r>
      <w:r>
        <w:t xml:space="preserve">    </w:t>
      </w:r>
      <w:r>
        <w:rPr>
          <w:b/>
        </w:rPr>
        <w:t xml:space="preserve">DOI: </w:t>
      </w:r>
      <w:hyperlink r:id="rId1187">
        <w:r>
          <w:rPr>
            <w:color w:val="1155CC"/>
            <w:u w:val="single"/>
          </w:rPr>
          <w:t>10.1038/s41565-026-02220-2</w:t>
        </w:r>
      </w:hyperlink>
    </w:p>
    <w:p>
      <w:pPr>
        <w:spacing w:before="0" w:after="120"/>
      </w:pPr>
      <w:r>
        <w:rPr>
          <w:b/>
        </w:rPr>
        <w:t xml:space="preserve">Notes: </w:t>
      </w:r>
      <w:r>
        <w:t>abstract_source=nature_html</w:t>
      </w:r>
    </w:p>
    <w:p>
      <w:pPr>
        <w:spacing w:before="0" w:after="80" w:lineRule="auto" w:line="276"/>
      </w:pPr>
      <w:r>
        <w:rPr>
          <w:b/>
        </w:rPr>
        <w:t xml:space="preserve">摘要（ZH）: </w:t>
      </w:r>
      <w:r>
        <w:t>细胞外靶向蛋白质降解是一种新兴的治疗策略，但很少探索用于清除循环致病介质。在这里，我们报告了用于血清免疫介质的肝溶酶体降解的刚性导向溶酶体自排序纳米降解剂（SOLID）。固体具有刚性半导体聚合物核心，首次揭示了该核心可在不同细胞类型中实现近乎定量的溶酶体积累。表面生物共轭后，SOLID 通过受控的蛋白质电晕形成从血液中捕获感兴趣的免疫介质。由此产生的电晕成分指导生物分布，在肝脏中产生主要积累，并在肝溶酶体中被降解。我们发现，与 IL-6 抗体疗法相比，捕获 IL-6 的 SOLID 可使血清 IL-6 额外降低 70%，并将小鼠脓毒症模型中的 7 天存活率从 0% 提高到 66.7%。在急性肺损伤模型中，与 CpG 中和相比，捕获 CpG 的 SOLID 使肺部免疫细胞浸润减少了 1.7 倍，并抑制了共刺激分子的表达。这项工作将纳米颗粒力学确定为细胞器靶向的关键因素，并提出了一种降解致病性血清生物分子的纳米治疗方法。</w:t>
      </w:r>
    </w:p>
    <w:p>
      <w:pPr>
        <w:spacing w:before="0" w:after="200" w:lineRule="auto" w:line="276"/>
      </w:pPr>
      <w:r>
        <w:rPr>
          <w:b/>
        </w:rPr>
        <w:t xml:space="preserve">Abstract (EN): </w:t>
      </w:r>
      <w:r>
        <w:t>Extracellular targeted protein degradation is an emerging therapeutic strategy but has been rarely explored for clearing circulating pathogenic mediators. Here we report stiffness-oriented lysosome self-sorting nanodegraders (SOLIDs) for hepatic lysosomal degradation of serum immune mediators. SOLIDs feature a rigid semiconducting polymer core that is revealed for the first time to confer near-quantitative lysosomal accumulation across diverse cell types. After surface bioconjugation, SOLIDs capture the immune mediators of interest from blood via controlled protein corona formation. The resulting corona composition directs biodistribution, producing predominant accumulation in the liver, where they get degraded in hepatic lysosomes. We show that IL-6-capturing SOLIDs reduced serum IL-6 by an additional 70% versus IL-6 antibody therapy and increased 7-day survival in a murine sepsis model from 0% to 66.7%. In an acute lung injury model, CpG-capturing SOLIDs reduced pulmonary immune cell infiltration 1.7-fold relative to CpG neutralization and suppressed expression of co-stimulatory molecules. This work identifies nanoparticle mechanics as a critical factor in organelle targeting and proposes a nano-therapeutic approach for the degradation of pathogenic serum biomolecules.</w:t>
      </w:r>
    </w:p>
    <w:p>
      <w:pPr>
        <w:spacing w:before="120" w:after="120"/>
      </w:pPr>
      <w:r>
        <w:rPr>
          <w:sz w:val="18"/>
        </w:rPr>
        <w:t>——————————————————————————————————————————————————————————————————————</w:t>
      </w:r>
    </w:p>
    <w:p>
      <w:pPr>
        <w:spacing w:before="160" w:after="40" w:line="240" w:lineRule="auto"/>
      </w:pPr>
      <w:r>
        <w:rPr>
          <w:b/>
        </w:rPr>
        <w:t xml:space="preserve">[530] </w:t>
      </w:r>
      <w:hyperlink r:id="rId1188">
        <w:r>
          <w:rPr>
            <w:color w:val="1155CC"/>
            <w:u w:val="single"/>
          </w:rPr>
          <w:t>无论文毕业：认识在中国获得“实用”博士学位的人</w:t>
        </w:r>
      </w:hyperlink>
    </w:p>
    <w:p>
      <w:pPr>
        <w:spacing w:before="0" w:after="80"/>
      </w:pPr>
      <w:r>
        <w:rPr>
          <w:i/>
          <w:sz w:val="20"/>
        </w:rPr>
        <w:t>EN: Graduating without a thesis: meet the people getting ‘practical’ PhDs in China</w:t>
      </w:r>
    </w:p>
    <w:p>
      <w:pPr>
        <w:spacing w:before="0" w:after="120"/>
      </w:pPr>
      <w:r>
        <w:rPr>
          <w:b/>
        </w:rPr>
        <w:t xml:space="preserve">Source: </w:t>
      </w:r>
      <w:r>
        <w:t>Nature</w:t>
      </w:r>
      <w:r>
        <w:t xml:space="preserve">    </w:t>
      </w:r>
      <w:r>
        <w:rPr>
          <w:b/>
        </w:rPr>
        <w:t xml:space="preserve">Pub date: </w:t>
      </w:r>
      <w:r>
        <w:t>2026-07-09 00:00:00+00:00</w:t>
      </w:r>
      <w:r>
        <w:t xml:space="preserve">    </w:t>
      </w:r>
      <w:r>
        <w:rPr>
          <w:b/>
        </w:rPr>
        <w:t xml:space="preserve">DOI: </w:t>
      </w:r>
      <w:hyperlink r:id="rId1189">
        <w:r>
          <w:rPr>
            <w:color w:val="1155CC"/>
            <w:u w:val="single"/>
          </w:rPr>
          <w:t>10.1038/d41586-026-01242-z</w:t>
        </w:r>
      </w:hyperlink>
    </w:p>
    <w:p>
      <w:pPr>
        <w:spacing w:before="0" w:after="120"/>
      </w:pPr>
      <w:r>
        <w:rPr>
          <w:b/>
        </w:rPr>
        <w:t xml:space="preserve">Notes: </w:t>
      </w:r>
      <w:r>
        <w:t>abstract_source=nature_html</w:t>
      </w:r>
    </w:p>
    <w:p>
      <w:pPr>
        <w:spacing w:before="0" w:after="80" w:lineRule="auto" w:line="276"/>
      </w:pPr>
      <w:r>
        <w:rPr>
          <w:b/>
        </w:rPr>
        <w:t xml:space="preserve">摘要（ZH）: </w:t>
      </w:r>
      <w:r>
        <w:t>《自然》杂志采访了中国第一批博士生中的三名学生，他们毕业时可以带产品而不是论文。 《自然》杂志采访了中国第一批博士生中的三名学生，他们毕业时可以带产品而不是论文。</w:t>
      </w:r>
    </w:p>
    <w:p>
      <w:pPr>
        <w:spacing w:before="0" w:after="200" w:lineRule="auto" w:line="276"/>
      </w:pPr>
      <w:r>
        <w:rPr>
          <w:b/>
        </w:rPr>
        <w:t xml:space="preserve">Abstract (EN): </w:t>
      </w:r>
      <w:r>
        <w:t>Nature spoke to three students from China’s first cohort of PhD candidates who are allowed to graduate with products instead of papers. Nature spoke to three students from China’s first cohort of PhD candidates who are allowed to graduate with products instead of papers.</w:t>
      </w:r>
    </w:p>
    <w:p>
      <w:pPr>
        <w:spacing w:before="120" w:after="120"/>
      </w:pPr>
      <w:r>
        <w:rPr>
          <w:sz w:val="18"/>
        </w:rPr>
        <w:t>——————————————————————————————————————————————————————————————————————</w:t>
      </w:r>
    </w:p>
    <w:p>
      <w:pPr>
        <w:spacing w:before="160" w:after="40" w:line="240" w:lineRule="auto"/>
      </w:pPr>
      <w:r>
        <w:rPr>
          <w:b/>
        </w:rPr>
        <w:t xml:space="preserve">[531] </w:t>
      </w:r>
      <w:hyperlink r:id="rId1190">
        <w:r>
          <w:rPr>
            <w:color w:val="1155CC"/>
            <w:u w:val="single"/>
          </w:rPr>
          <w:t>铁电诱导的几纳米厚的石墨烯膜能够实现分子滑动以实现超快速分离</w:t>
        </w:r>
      </w:hyperlink>
    </w:p>
    <w:p>
      <w:pPr>
        <w:spacing w:before="0" w:after="80"/>
      </w:pPr>
      <w:r>
        <w:rPr>
          <w:i/>
          <w:sz w:val="20"/>
        </w:rPr>
        <w:t>EN: A ferroelectric-induced few-nm-thick graphene membrane enables molecular sliding for ultra-fast separation</w:t>
      </w:r>
    </w:p>
    <w:p>
      <w:pPr>
        <w:spacing w:before="0" w:after="120"/>
      </w:pPr>
      <w:r>
        <w:rPr>
          <w:b/>
        </w:rPr>
        <w:t xml:space="preserve">Source: </w:t>
      </w:r>
      <w:r>
        <w:t>National Science Review Advance Access</w:t>
      </w:r>
      <w:r>
        <w:t xml:space="preserve">    </w:t>
      </w:r>
      <w:r>
        <w:rPr>
          <w:b/>
        </w:rPr>
        <w:t xml:space="preserve">Pub date: </w:t>
      </w:r>
      <w:r>
        <w:t>2026-07-09 00:00:00+00:00</w:t>
      </w:r>
      <w:r>
        <w:t xml:space="preserve">    </w:t>
      </w:r>
      <w:r>
        <w:rPr>
          <w:b/>
        </w:rPr>
        <w:t xml:space="preserve">DOI: </w:t>
      </w:r>
      <w:hyperlink r:id="rId1191">
        <w:r>
          <w:rPr>
            <w:color w:val="1155CC"/>
            <w:u w:val="single"/>
          </w:rPr>
          <w:t>10.1093/nsr/nwag419</w:t>
        </w:r>
      </w:hyperlink>
    </w:p>
    <w:p>
      <w:pPr>
        <w:spacing w:before="0" w:after="120"/>
      </w:pPr>
      <w:r>
        <w:rPr>
          <w:b/>
        </w:rPr>
        <w:t xml:space="preserve">Notes: </w:t>
      </w:r>
      <w:r>
        <w:t>abstract_source=rss_oup</w:t>
      </w:r>
    </w:p>
    <w:p>
      <w:pPr>
        <w:spacing w:before="0" w:after="80" w:lineRule="auto" w:line="276"/>
      </w:pPr>
      <w:r>
        <w:rPr>
          <w:b/>
        </w:rPr>
        <w:t xml:space="preserve">摘要（ZH）: </w:t>
      </w:r>
      <w:r>
        <w:t>石墨烯的原子级光滑表面为实现超润滑性提供了一个有前途的平台，不仅在固态接触中而且在质量传输中。虽然其最小化界面摩擦的能力已在微机电系统、发动机和生物医学植入物中得到广泛探索，但利用这一特性实现近乎无摩擦的分子流以实现超快渗透仍然是一个基本挑战。主要限制在于制造具有暴露表面的无缺陷石墨烯膜，用于探测内在分子摩擦和相关的传输现象。在这里，我们展示了一种铁电极化辅助策略，用于制造 3.5 nm 厚的石墨烯皮膜，以实现超快速和选择性分离。这是通过静电纺丝氧化石墨烯（GO）-聚偏二氟乙烯（PVDF）混合物，然后进行热还原来实现的。关键步骤涉及电场诱导 PVDF 从顺电 (α) 相转变为铁电 (β) 相，从而促进有序链堆积并降低聚合物对 GO 的亲和力，从而驱动 GO 自发偏析到 PVDF 纳米纤维表面。由此产生的石墨烯表面最大限度地减少了与渗透分子的界面相互作用，将分子流动摩擦系数降低了 2-3 个数量级。该膜既可以作为选择性层，也可以作为支撑体，对水和有机溶剂具有超快的渗透能力，超越了当前最先进的水和溶剂纯化膜。例如，水 f</w:t>
      </w:r>
    </w:p>
    <w:p>
      <w:pPr>
        <w:spacing w:before="0" w:after="200" w:lineRule="auto" w:line="276"/>
      </w:pPr>
      <w:r>
        <w:rPr>
          <w:b/>
        </w:rPr>
        <w:t xml:space="preserve">Abstract (EN): </w:t>
      </w:r>
      <w:r>
        <w:t>Graphene’s atomically smooth surface offers a promising platform for achieving superlubricity, not only in solid-state contacts but also in mass transport. While its ability to minimize interfacial friction has been extensively explored in microelectromechanical systems, engines, and biomedical implants, harnessing this property for near-frictionless molecular flow to enable ultra-fast permeation remains a fundamental challenge. The principal limitation lies in the fabrication of defect-free graphene membranes with an exposed surface for probing intrinsic molecular friction and the associated transport phenomena. Here, we demonstrate a ferroelectric-polarization-assisted strategy for fabricating a 3.5 nm-thick graphene skin membrane for ultra-fast and selective separation. This is achieved by electrospinning a graphene oxide (GO)-poly(vinylidene fluoride) (PVDF) mixture, followed by thermal reduction. The crucial step involves the electric-field-induced transition of PVDF from the paraelectric (α) to the ferroelectric (β) phase, which promotes ordered chain packing and reduces the polymer’s affinity for GO, thereby driving the spontaneous segregation of GO to the PVDF nanofiber surface. The resulting graphene surface minimizes interfacial interactions with permeating molecules, reducing the molecular flow friction coefficient by 2–3 orders of magnitude. Acting either a selective layer or a support, the membrane exhibits ultra-fast permeation of water and organic solvents, surpassing current state-of-the-art membranes for water and solvent purification. For instance, water flux up to 105.1 L m-2 h-1, salt rejection of &gt; 99.99% and long-term stability of 1000 h are achieved for desalination of hypersaline with salt concentration &gt;150 g L-1. This work establishes a new paradigm for realizing ultra-fast molecular transport and provides a versatile platform for investigating nanoscale fluidics at material interfaces.</w:t>
      </w:r>
    </w:p>
    <w:p>
      <w:pPr>
        <w:spacing w:before="120" w:after="120"/>
      </w:pPr>
      <w:r>
        <w:rPr>
          <w:sz w:val="18"/>
        </w:rPr>
        <w:t>——————————————————————————————————————————————————————————————————————</w:t>
      </w:r>
    </w:p>
    <w:p>
      <w:pPr>
        <w:spacing w:before="160" w:after="40" w:line="240" w:lineRule="auto"/>
      </w:pPr>
      <w:r>
        <w:rPr>
          <w:b/>
        </w:rPr>
        <w:t xml:space="preserve">[532] </w:t>
      </w:r>
      <w:hyperlink r:id="rId1192">
        <w:r>
          <w:rPr>
            <w:color w:val="1155CC"/>
            <w:u w:val="single"/>
          </w:rPr>
          <w:t>苏氨酸磷酸化是胶原三螺旋中脯氨酸羟基化的生物可逆替代物</w:t>
        </w:r>
      </w:hyperlink>
    </w:p>
    <w:p>
      <w:pPr>
        <w:spacing w:before="0" w:after="80"/>
      </w:pPr>
      <w:r>
        <w:rPr>
          <w:i/>
          <w:sz w:val="20"/>
        </w:rPr>
        <w:t>EN: Threonine Phosphorylation Is a Bioreversible Surrogate of Proline Hydroxylation in a Collagen Triple Helix</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93">
        <w:r>
          <w:rPr>
            <w:color w:val="1155CC"/>
            <w:u w:val="single"/>
          </w:rPr>
          <w:t>10.1021/jacs.5c19090</w:t>
        </w:r>
      </w:hyperlink>
    </w:p>
    <w:p>
      <w:pPr>
        <w:spacing w:before="0" w:after="120"/>
      </w:pPr>
      <w:r>
        <w:rPr>
          <w:b/>
        </w:rPr>
        <w:t xml:space="preserve">Notes: </w:t>
      </w:r>
      <w:r>
        <w:t>abstract_source=pubmed</w:t>
      </w:r>
    </w:p>
    <w:p>
      <w:pPr>
        <w:spacing w:before="0" w:after="80" w:lineRule="auto" w:line="276"/>
      </w:pPr>
      <w:r>
        <w:rPr>
          <w:b/>
        </w:rPr>
        <w:t xml:space="preserve">摘要（ZH）: </w:t>
      </w:r>
      <w:r>
        <w:t>胶原蛋白是人体内最丰富的蛋白质，也是结缔组织的结构基础，其卓越的稳定性源自富含 (2S)-脯氨酸 (Pro) 和 (2S,4R)-4-羟脯氨酸 (Hyp)（翻译后修饰产物）的重复 (Xaa-Yaa-Gly)n 序列。在这里，我们证明了另一种这样的修饰，磷酸化，产生了 Hyp 的生物可逆模拟物。使用合成的胶原模拟肽，我们用 (2S)-丝氨酸 (Ser)、(2S,3R)-苏氨酸 (Thr) 或其 O-磷酸化衍生物 pSer 或 pThr 取代中心 Pro-Hyp-Gly 三联体的 Xaa 或 Yaa 位置。所有取代都不稳定——除了Yaa位置的pThr，它保留了Hyp赋予的三螺旋稳定性。此外，胶原蛋白三螺旋内的 pThr 是哺乳动物分泌性磷酸酶的底物。值得注意的是，Thr 在哺乳动物纤维状胶原蛋白的 Yaa 位置富集，这与 pThr 作为细胞外基质中胶原蛋白重塑的关键相一致。因此，苏氨酸的磷酸化（生物可逆）模仿脯氨酸的羟基化（生物可逆），从而能够在发育和疾病中动态调节胶原蛋白结构。</w:t>
      </w:r>
    </w:p>
    <w:p>
      <w:pPr>
        <w:spacing w:before="0" w:after="200" w:lineRule="auto" w:line="276"/>
      </w:pPr>
      <w:r>
        <w:rPr>
          <w:b/>
        </w:rPr>
        <w:t xml:space="preserve">Abstract (EN): </w:t>
      </w:r>
      <w:r>
        <w:t>Collagen, the most abundant protein in the human body and structural foundation of connective tissue, derives its remarkable stability from repeating (Xaa-Yaa-Gly)n sequences rich in (2S)-proline (Pro) and (2S,4R)-4-hydroxyproline (Hyp), the product of a post-translational modification. Here, we demonstrate that another such modification, phosphorylation, yields a bioreversible mimic of Hyp. Using synthetic collagen-mimetic peptides, we substituted the Xaa or Yaa position of a central Pro-Hyp-Gly triplet with (2S)-serine (Ser), (2S,3R)-threonine (Thr), or their O-phosphorylated derivatives, pSer or pThr. All substitutions were destabilizing─except pThr in the Yaa position, which preserved the triple-helical stability conferred by Hyp. Moreover, pThr within a collagen triple helix is a substrate for a mammalian secretory phosphatase. Notably, Thr is enriched at the Yaa position in mammalian fibrillar collagens, consistent with pThr being a linchpin of collagen remodeling in the extracellular matrix. Thus, the phosphorylation of threonine (which is bioreversible) mimics the hydroxylation of proline (which is not), enabling dynamic modulation of collagen architecture in development and disease.</w:t>
      </w:r>
    </w:p>
    <w:p>
      <w:pPr>
        <w:spacing w:before="120" w:after="120"/>
      </w:pPr>
      <w:r>
        <w:rPr>
          <w:sz w:val="18"/>
        </w:rPr>
        <w:t>——————————————————————————————————————————————————————————————————————</w:t>
      </w:r>
    </w:p>
    <w:p>
      <w:pPr>
        <w:spacing w:before="160" w:after="40" w:line="240" w:lineRule="auto"/>
      </w:pPr>
      <w:r>
        <w:rPr>
          <w:b/>
        </w:rPr>
        <w:t xml:space="preserve">[533] </w:t>
      </w:r>
      <w:hyperlink r:id="rId1194">
        <w:r>
          <w:rPr>
            <w:color w:val="1155CC"/>
            <w:u w:val="single"/>
          </w:rPr>
          <w:t>通过光化学转化和亲和捕获对水性 N-亚硝基二甲胺进行荧光检测</w:t>
        </w:r>
      </w:hyperlink>
    </w:p>
    <w:p>
      <w:pPr>
        <w:spacing w:before="0" w:after="80"/>
      </w:pPr>
      <w:r>
        <w:rPr>
          <w:i/>
          <w:sz w:val="20"/>
        </w:rPr>
        <w:t>EN: Fluorescent Detection of Aqueous N -Nitrosodimethylamine via Photochemical Transformation and Affinity Capture</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95">
        <w:r>
          <w:rPr>
            <w:color w:val="1155CC"/>
            <w:u w:val="single"/>
          </w:rPr>
          <w:t>10.1021/jacs.6c06695</w:t>
        </w:r>
      </w:hyperlink>
    </w:p>
    <w:p>
      <w:pPr>
        <w:spacing w:before="0" w:after="120"/>
      </w:pPr>
      <w:r>
        <w:rPr>
          <w:b/>
        </w:rPr>
        <w:t xml:space="preserve">Notes: </w:t>
      </w:r>
      <w:r>
        <w:t>abstract_source=pubmed</w:t>
      </w:r>
    </w:p>
    <w:p>
      <w:pPr>
        <w:spacing w:before="0" w:after="80" w:lineRule="auto" w:line="276"/>
      </w:pPr>
      <w:r>
        <w:rPr>
          <w:b/>
        </w:rPr>
        <w:t xml:space="preserve">摘要（ZH）: </w:t>
      </w:r>
      <w:r>
        <w:t>N-亚硝基二甲胺 (NDMA) 是一种水溶性致癌物，通常使用质谱法结合色谱分离进行定量，这需要大量的样品制备和复杂的仪器。在这里，我们报告了一种基于荧光的水介质中 NDMA 检测策略，该策略用亲和捕获取代了基于柱的分离。 NDMA 进行光化学转化，然后与生物素化聚合物试剂反应，生成生物素标记的荧光产物，该产物可以通过链霉亲和素-生物素相互作用选择性富集，从而能够有效地将分析信号与背景分离。该测定完全在水中进行，无需样品预处理、预浓缩或溶剂交换。在优化条件下，仅使用 100 μL 样品以基于板的形式实现定量检测，检测限为 235 ppb。化学转化在 22 分钟内完成，然后通过链霉亲和素包被的琼脂糖珠或板进行快速亲和捕获。该方法经过光谱表征、选择性捕获实验和定量分析的严格验证，并在加标的商业水样中表现出一致的性能。这些结果建立了一个化学定义的平台，用于独立于色谱的光学 NDMA 检测，并为进一步开发基于链霉亲和素功能化固相的可扩展传感格式奠定了基础。</w:t>
      </w:r>
    </w:p>
    <w:p>
      <w:pPr>
        <w:spacing w:before="0" w:after="200" w:lineRule="auto" w:line="276"/>
      </w:pPr>
      <w:r>
        <w:rPr>
          <w:b/>
        </w:rPr>
        <w:t xml:space="preserve">Abstract (EN): </w:t>
      </w:r>
      <w:r>
        <w:t>N-Nitrosodimethylamine (NDMA) is a water-soluble carcinogen typically quantified using mass spectrometry coupled with chromatographic separation, which requires extensive sample preparation and sophisticated instrumentation. Here, we report a fluorescence-based detection strategy for NDMA in aqueous media that replaces column-based separation with affinity capture. Photochemical transformation of NDMA, followed by reaction with a biotinylated polymeric reagent, generates a biotin-labeled fluorescent product that can be selectively enriched through streptavidin-biotin interaction, enabling effective separation of the analytical signal from background. The assay is performed entirely in water without sample pretreatment, preconcentration, or solvent exchange. Under optimized conditions, quantitative detection is achieved in a plate-based format using only 100 μL samples, affording a limit of detection of 235 ppb. The chemical transformation is completed within 22 min, followed by rapid affinity capture via streptavidin-coated agarose beads or plates. The method is rigorously validated through spectroscopic characterization, selective capture experiments, and quantitative analysis, and demonstrates consistent performance in spiked commercial water samples. These results establish a chemically defined platform for chromatography-independent optical NDMA detection and provide a basis for further development toward scalable sensing formats built on streptavidin-functionalized solid phases.</w:t>
      </w:r>
    </w:p>
    <w:p>
      <w:pPr>
        <w:spacing w:before="120" w:after="120"/>
      </w:pPr>
      <w:r>
        <w:rPr>
          <w:sz w:val="18"/>
        </w:rPr>
        <w:t>——————————————————————————————————————————————————————————————————————</w:t>
      </w:r>
    </w:p>
    <w:p>
      <w:pPr>
        <w:spacing w:before="160" w:after="40" w:line="240" w:lineRule="auto"/>
      </w:pPr>
      <w:r>
        <w:rPr>
          <w:b/>
        </w:rPr>
        <w:t xml:space="preserve">[534] </w:t>
      </w:r>
      <w:hyperlink r:id="rId1196">
        <w:r>
          <w:rPr>
            <w:color w:val="1155CC"/>
            <w:u w:val="single"/>
          </w:rPr>
          <w:t>发现：造成海洋灾难的有毒杀手</w:t>
        </w:r>
      </w:hyperlink>
    </w:p>
    <w:p>
      <w:pPr>
        <w:spacing w:before="0" w:after="80"/>
      </w:pPr>
      <w:r>
        <w:rPr>
          <w:i/>
          <w:sz w:val="20"/>
        </w:rPr>
        <w:t>EN: Found: the toxic killer that caused an ocean catastrophe</w:t>
      </w:r>
    </w:p>
    <w:p>
      <w:pPr>
        <w:spacing w:before="0" w:after="120"/>
      </w:pPr>
      <w:r>
        <w:rPr>
          <w:b/>
        </w:rPr>
        <w:t xml:space="preserve">Source: </w:t>
      </w:r>
      <w:r>
        <w:t>Nature</w:t>
      </w:r>
      <w:r>
        <w:t xml:space="preserve">    </w:t>
      </w:r>
      <w:r>
        <w:rPr>
          <w:b/>
        </w:rPr>
        <w:t xml:space="preserve">Pub date: </w:t>
      </w:r>
      <w:r>
        <w:t>2026-07-09 00:00:00+00:00</w:t>
      </w:r>
      <w:r>
        <w:t xml:space="preserve">    </w:t>
      </w:r>
      <w:r>
        <w:rPr>
          <w:b/>
        </w:rPr>
        <w:t xml:space="preserve">DOI: </w:t>
      </w:r>
      <w:hyperlink r:id="rId1197">
        <w:r>
          <w:rPr>
            <w:color w:val="1155CC"/>
            <w:u w:val="single"/>
          </w:rPr>
          <w:t>10.1038/d41586-026-02112-4</w:t>
        </w:r>
      </w:hyperlink>
    </w:p>
    <w:p>
      <w:pPr>
        <w:spacing w:before="0" w:after="120"/>
      </w:pPr>
      <w:r>
        <w:rPr>
          <w:b/>
        </w:rPr>
        <w:t xml:space="preserve">Notes: </w:t>
      </w:r>
      <w:r>
        <w:t>abstract_source=nature_html</w:t>
      </w:r>
    </w:p>
    <w:p>
      <w:pPr>
        <w:spacing w:before="0" w:after="80" w:lineRule="auto" w:line="276"/>
      </w:pPr>
      <w:r>
        <w:rPr>
          <w:b/>
        </w:rPr>
        <w:t xml:space="preserve">摘要（ZH）: </w:t>
      </w:r>
      <w:r>
        <w:t>科学家确定一种藻类是导致超过一百万海洋动物死亡的罪魁祸首。科学家确定一种藻类是导致超过一百万海洋动物死亡的罪魁祸首。</w:t>
      </w:r>
    </w:p>
    <w:p>
      <w:pPr>
        <w:spacing w:before="0" w:after="200" w:lineRule="auto" w:line="276"/>
      </w:pPr>
      <w:r>
        <w:rPr>
          <w:b/>
        </w:rPr>
        <w:t xml:space="preserve">Abstract (EN): </w:t>
      </w:r>
      <w:r>
        <w:t>Scientists identify an alga species as the culprit behind the deaths of more than one million marine animals. Scientists identify an alga species as the culprit behind the deaths of more than one million marine animals.</w:t>
      </w:r>
    </w:p>
    <w:p>
      <w:pPr>
        <w:spacing w:before="120" w:after="120"/>
      </w:pPr>
      <w:r>
        <w:rPr>
          <w:sz w:val="18"/>
        </w:rPr>
        <w:t>——————————————————————————————————————————————————————————————————————</w:t>
      </w:r>
    </w:p>
    <w:p>
      <w:pPr>
        <w:spacing w:before="160" w:after="40" w:line="240" w:lineRule="auto"/>
      </w:pPr>
      <w:r>
        <w:rPr>
          <w:b/>
        </w:rPr>
        <w:t xml:space="preserve">[535] </w:t>
      </w:r>
      <w:hyperlink r:id="rId1198">
        <w:r>
          <w:rPr>
            <w:color w:val="1155CC"/>
            <w:u w:val="single"/>
          </w:rPr>
          <w:t>撤回“用于线粒体靶向声动力疗法和抗肿瘤免疫的纳米级供体-受体共价有机框架”</w:t>
        </w:r>
      </w:hyperlink>
    </w:p>
    <w:p>
      <w:pPr>
        <w:spacing w:before="0" w:after="80"/>
      </w:pPr>
      <w:r>
        <w:rPr>
          <w:i/>
          <w:sz w:val="20"/>
        </w:rPr>
        <w:t>EN: Retraction of “Nanoscale Donor–Acceptor Covalent Organic Frameworks for Mitochondria-Targeted Sonodynamic Therapy and Antitumor Immunity”</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199">
        <w:r>
          <w:rPr>
            <w:color w:val="1155CC"/>
            <w:u w:val="single"/>
          </w:rPr>
          <w:t>10.1021/jacs.6c07374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1200">
        <w:r>
          <w:rPr>
            <w:color w:val="1155CC"/>
            <w:u w:val="single"/>
          </w:rPr>
          <w:t>弱键，强响应：呋喃/丙烯酰胺机械载体的完全激活和有效的货物释放</w:t>
        </w:r>
      </w:hyperlink>
    </w:p>
    <w:p>
      <w:pPr>
        <w:spacing w:before="0" w:after="80"/>
      </w:pPr>
      <w:r>
        <w:rPr>
          <w:i/>
          <w:sz w:val="20"/>
        </w:rPr>
        <w:t>EN: Weak Bond, Strong Response: Complete Activation and Efficient Cargo Release with a Furan/Acrylamide Mechanophore</w:t>
      </w:r>
    </w:p>
    <w:p>
      <w:pPr>
        <w:spacing w:before="0" w:after="120"/>
      </w:pPr>
      <w:r>
        <w:rPr>
          <w:b/>
        </w:rPr>
        <w:t xml:space="preserve">Source: </w:t>
      </w:r>
      <w:r>
        <w:t>Journal of the American Chemical Society: Latest Articles (ACS Publications)</w:t>
      </w:r>
      <w:r>
        <w:t xml:space="preserve">    </w:t>
      </w:r>
      <w:r>
        <w:rPr>
          <w:b/>
        </w:rPr>
        <w:t xml:space="preserve">Pub date: </w:t>
      </w:r>
      <w:r>
        <w:t>2026-07-09 00:00:00+00:00</w:t>
      </w:r>
      <w:r>
        <w:t xml:space="preserve">    </w:t>
      </w:r>
      <w:r>
        <w:rPr>
          <w:b/>
        </w:rPr>
        <w:t xml:space="preserve">DOI: </w:t>
      </w:r>
      <w:hyperlink r:id="rId1201">
        <w:r>
          <w:rPr>
            <w:color w:val="1155CC"/>
            <w:u w:val="single"/>
          </w:rPr>
          <w:t>10.1021/jacs.6c07877</w:t>
        </w:r>
      </w:hyperlink>
    </w:p>
    <w:p>
      <w:pPr>
        <w:spacing w:before="0" w:after="120"/>
      </w:pPr>
      <w:r>
        <w:rPr>
          <w:b/>
        </w:rPr>
        <w:t xml:space="preserve">Notes: </w:t>
      </w:r>
      <w:r>
        <w:t>abstract_source=pubmed</w:t>
      </w:r>
    </w:p>
    <w:p>
      <w:pPr>
        <w:spacing w:before="0" w:after="80" w:lineRule="auto" w:line="276"/>
      </w:pPr>
      <w:r>
        <w:rPr>
          <w:b/>
        </w:rPr>
        <w:t xml:space="preserve">摘要（ZH）: </w:t>
      </w:r>
      <w:r>
        <w:t>机械载体是力敏感分子，可以在驱动聚合物的帮助下在伸长时被激活。机械载体被设计用于各种应用，包括力传感、催化和功能分子的受控释放。然而，大多数这些机械载体在相对较高的力下被激活，有时接近致动聚合物的断裂力，这限制了它们在需要高效率和选择性激活的应用中的适用性，例如控制释放。在这里，我们提出了一种可以在低力（FCOGEF = 3.0 nN）下激活的呋喃/丙烯酰胺机械载体，从而使其在溶液中完全且选择性地激活。在标准超声波浴中实现完全激活，无需专门的高强度超声波探头。通过以定量效率控制溶液中活性分子的释放，证明了这种机械载体的弱点和多功能性。</w:t>
      </w:r>
    </w:p>
    <w:p>
      <w:pPr>
        <w:spacing w:before="0" w:after="200" w:lineRule="auto" w:line="276"/>
      </w:pPr>
      <w:r>
        <w:rPr>
          <w:b/>
        </w:rPr>
        <w:t xml:space="preserve">Abstract (EN): </w:t>
      </w:r>
      <w:r>
        <w:t>Mechanophores are force-sensitive molecules that can be activated upon elongation with the help of actuating polymers. Mechanophores have been designed for various applications including force-sensing, catalysis, and the controlled release of functional molecules. However, most of these mechanophores are activated at relatively high forces, sometimes close to the rupture force of the actuating polymers, which limits their applicability in applications requiring a high efficiency and selectivity of activation, such as controlled release. Here, we present a furan/acrylamide mechanophore that can be activated at low force (FCOGEF = 3.0 nN), leading to its complete and selective activation in solution. Complete activation is achieved in a standard sonication bath, eliminating the need for specialized, high-intensity ultrasonic probes. The weakness and versatility of this mechanophore were demonstrated through the controlled release of active molecules in solution with a quantitative efficiency.</w:t>
      </w:r>
    </w:p>
    <w:p>
      <w:pPr>
        <w:spacing w:before="120" w:after="120"/>
      </w:pPr>
      <w:r>
        <w:rPr>
          <w:sz w:val="18"/>
        </w:rPr>
        <w:t>——————————————————————————————————————————————————————————————————————</w:t>
      </w:r>
    </w:p>
    <w:p>
      <w:pPr>
        <w:spacing w:before="160" w:after="40" w:line="240" w:lineRule="auto"/>
      </w:pPr>
      <w:r>
        <w:rPr>
          <w:b/>
        </w:rPr>
        <w:t xml:space="preserve">[537] </w:t>
      </w:r>
      <w:hyperlink r:id="rId1202">
        <w:r>
          <w:rPr>
            <w:color w:val="1155CC"/>
            <w:u w:val="single"/>
          </w:rPr>
          <w:t>3R 堆积富集 NaCl 辅助 WS 2 中残留驱动的降解及其稳定性</w:t>
        </w:r>
      </w:hyperlink>
    </w:p>
    <w:p>
      <w:pPr>
        <w:spacing w:before="0" w:after="80"/>
      </w:pPr>
      <w:r>
        <w:rPr>
          <w:i/>
          <w:sz w:val="20"/>
        </w:rPr>
        <w:t>EN: Residue-Driven Degradation and Its Stabilization in NaCl-Assisted WS 2 with 3R Stacking Enrichment</w:t>
      </w:r>
    </w:p>
    <w:p>
      <w:pPr>
        <w:spacing w:before="0" w:after="120"/>
      </w:pPr>
      <w:r>
        <w:rPr>
          <w:b/>
        </w:rPr>
        <w:t xml:space="preserve">Source: </w:t>
      </w:r>
      <w:r>
        <w:t>ACS Applied Materials &amp; Interfaces: Latest Articles (ACS Publications)</w:t>
      </w:r>
      <w:r>
        <w:t xml:space="preserve">    </w:t>
      </w:r>
      <w:r>
        <w:rPr>
          <w:b/>
        </w:rPr>
        <w:t xml:space="preserve">Pub date: </w:t>
      </w:r>
      <w:r>
        <w:t>2026-07-09 00:00:00+00:00</w:t>
      </w:r>
      <w:r>
        <w:t xml:space="preserve">    </w:t>
      </w:r>
      <w:r>
        <w:rPr>
          <w:b/>
        </w:rPr>
        <w:t xml:space="preserve">DOI: </w:t>
      </w:r>
      <w:hyperlink r:id="rId1203">
        <w:r>
          <w:rPr>
            <w:color w:val="1155CC"/>
            <w:u w:val="single"/>
          </w:rPr>
          <w:t>10.1021/acsami.6c07675</w:t>
        </w:r>
      </w:hyperlink>
    </w:p>
    <w:p>
      <w:pPr>
        <w:spacing w:before="0" w:after="120"/>
      </w:pPr>
      <w:r>
        <w:rPr>
          <w:b/>
        </w:rPr>
        <w:t xml:space="preserve">Notes: </w:t>
      </w:r>
      <w:r>
        <w:t>abstract_source=pubmed</w:t>
      </w:r>
    </w:p>
    <w:p>
      <w:pPr>
        <w:spacing w:before="0" w:after="80" w:lineRule="auto" w:line="276"/>
      </w:pPr>
      <w:r>
        <w:rPr>
          <w:b/>
        </w:rPr>
        <w:t xml:space="preserve">摘要（ZH）: </w:t>
      </w:r>
      <w:r>
        <w:t>盐辅助化学气相沉积（CVD）能够实现二维过渡金属二硫属化物的大晶粒合成，但生长界面处的残留盐仍然是环境稳定性的关键瓶颈。在这里，我们研究了 WS2 的 NaCl 辅助金属有机 CVD 生长，并揭示了由含 Na 和 W 的非晶态残留物驱动的耦合物理化学降解机制。暴露在空气中后，这些残留物会结晶并机械破坏 WS2 层，同时形成吸湿且富含钠的环境，从而驱动 W-S 键的氧化分解。动力学分析建立了热激活降解过程，表观激活能为~0.22 eV，与水分驱动的残留物结晶一致。我们证明，生长后退火（PGA）可以消除这些残留物，并在一个月规模的环境储存中保持形态完整性和光学发射特性。除了消除残留物之外，PGA 还可以促进多层过度生长区域中显着的 3R 堆积富集。第一性原理计算表明，层间 Na+ 在热力学上有利于 3R 注册，因此在退火的早期富 Na 阶段会选择 3R，并在 Na+ 被去除后进行动力学锁定。这些结果将残留物管理确立为盐辅助二维材料合成的中心设计原则。</w:t>
      </w:r>
    </w:p>
    <w:p>
      <w:pPr>
        <w:spacing w:before="0" w:after="200" w:lineRule="auto" w:line="276"/>
      </w:pPr>
      <w:r>
        <w:rPr>
          <w:b/>
        </w:rPr>
        <w:t xml:space="preserve">Abstract (EN): </w:t>
      </w:r>
      <w:r>
        <w:t>Salt-assisted chemical vapor deposition (CVD) enables large-grain synthesis of 2D transition-metal dichalcogenides, yet residual salts at the growth interface remain a critical bottleneck for ambient stability. Here, we investigate NaCl-assisted metal-organic CVD growth of WS2 and reveal a coupled physical-chemical degradation mechanism driven by Na- and W-containing amorphous residues. Upon air exposure, these residues crystallize and mechanically disrupt the WS2 layer while fostering a hygroscopic, Na-rich environment that drives oxidative breakdown of W-S bonds. Kinetic analysis establishes a thermally activated degradation process with an apparent activation energy of ∼0.22 eV, consistent with moisture-driven residue crystallization. We demonstrate that post-growth annealing (PGA) eliminates these residues and preserves the morphological integrity and optical emission characteristics over month-scale ambient storage. Beyond residue elimination, PGA also drives a pronounced 3R stacking enrichment in multilayer overgrowth regions. First-principles calculations reveal that interlayer Na+ thermodynamically favors the 3R registry, so that 3R is selected during the early, Na-rich stage of annealing and kinetically locked once Na+ is removed. These results establish residue management as a central design principle in salt-assisted 2D material synthesis.</w:t>
      </w:r>
    </w:p>
    <w:p>
      <w:pPr>
        <w:spacing w:before="120" w:after="120"/>
      </w:pPr>
      <w:r>
        <w:rPr>
          <w:sz w:val="18"/>
        </w:rPr>
        <w:t>——————————————————————————————————————————————————————————————————————</w:t>
      </w:r>
    </w:p>
    <w:p>
      <w:pPr>
        <w:spacing w:before="160" w:after="40" w:line="240" w:lineRule="auto"/>
      </w:pPr>
      <w:r>
        <w:rPr>
          <w:b/>
        </w:rPr>
        <w:t xml:space="preserve">[538] </w:t>
      </w:r>
      <w:hyperlink r:id="rId1204">
        <w:r>
          <w:rPr>
            <w:color w:val="1155CC"/>
            <w:u w:val="single"/>
          </w:rPr>
          <w:t>哎呀！大多数 arXiv 论文包含从未打算共享的信息</w:t>
        </w:r>
      </w:hyperlink>
    </w:p>
    <w:p>
      <w:pPr>
        <w:spacing w:before="0" w:after="80"/>
      </w:pPr>
      <w:r>
        <w:rPr>
          <w:i/>
          <w:sz w:val="20"/>
        </w:rPr>
        <w:t>EN: Whoops! Most arXiv papers contain information never meant to be shared</w:t>
      </w:r>
    </w:p>
    <w:p>
      <w:pPr>
        <w:spacing w:before="0" w:after="120"/>
      </w:pPr>
      <w:r>
        <w:rPr>
          <w:b/>
        </w:rPr>
        <w:t xml:space="preserve">Source: </w:t>
      </w:r>
      <w:r>
        <w:t>Nature</w:t>
      </w:r>
      <w:r>
        <w:t xml:space="preserve">    </w:t>
      </w:r>
      <w:r>
        <w:rPr>
          <w:b/>
        </w:rPr>
        <w:t xml:space="preserve">Pub date: </w:t>
      </w:r>
      <w:r>
        <w:t>2026-07-09 00:00:00+00:00</w:t>
      </w:r>
      <w:r>
        <w:t xml:space="preserve">    </w:t>
      </w:r>
      <w:r>
        <w:rPr>
          <w:b/>
        </w:rPr>
        <w:t xml:space="preserve">DOI: </w:t>
      </w:r>
      <w:hyperlink r:id="rId1205">
        <w:r>
          <w:rPr>
            <w:color w:val="1155CC"/>
            <w:u w:val="single"/>
          </w:rPr>
          <w:t>10.1038/d41586-026-02057-8</w:t>
        </w:r>
      </w:hyperlink>
    </w:p>
    <w:p>
      <w:pPr>
        <w:spacing w:before="0" w:after="120"/>
      </w:pPr>
      <w:r>
        <w:rPr>
          <w:b/>
        </w:rPr>
        <w:t xml:space="preserve">Notes: </w:t>
      </w:r>
      <w:r>
        <w:t>abstract_source=nature_html</w:t>
      </w:r>
    </w:p>
    <w:p>
      <w:pPr>
        <w:spacing w:before="0" w:after="80" w:lineRule="auto" w:line="276"/>
      </w:pPr>
      <w:r>
        <w:rPr>
          <w:b/>
        </w:rPr>
        <w:t xml:space="preserve">摘要（ZH）: </w:t>
      </w:r>
      <w:r>
        <w:t>密码、GPS 坐标和私人对话都可以在数百万份预印本提交的元数据和源文件中找到。密码、GPS 坐标和私人对话都可以在数百万份预印本提交的元数据和源文件中找到。</w:t>
      </w:r>
    </w:p>
    <w:p>
      <w:pPr>
        <w:spacing w:before="0" w:after="200" w:lineRule="auto" w:line="276"/>
      </w:pPr>
      <w:r>
        <w:rPr>
          <w:b/>
        </w:rPr>
        <w:t xml:space="preserve">Abstract (EN): </w:t>
      </w:r>
      <w:r>
        <w:t>Passwords, GPS coordinates and private conversations have all been found in the metadata and source files of millions of preprint submissions. Passwords, GPS coordinates and private conversations have all been found in the metadata and source files of millions of preprint submissions.</w:t>
      </w:r>
    </w:p>
    <w:p>
      <w:pPr>
        <w:spacing w:before="120" w:after="120"/>
      </w:pPr>
      <w:r>
        <w:rPr>
          <w:sz w:val="18"/>
        </w:rPr>
        <w:t>——————————————————————————————————————————————————————————————————————</w:t>
      </w:r>
    </w:p>
    <w:p>
      <w:pPr>
        <w:spacing w:before="160" w:after="40" w:line="240" w:lineRule="auto"/>
      </w:pPr>
      <w:r>
        <w:rPr>
          <w:b/>
        </w:rPr>
        <w:t xml:space="preserve">[539] </w:t>
      </w:r>
      <w:hyperlink r:id="rId1206">
        <w:r>
          <w:rPr>
            <w:color w:val="1155CC"/>
            <w:u w:val="single"/>
          </w:rPr>
          <w:t>自然听觉音调序列的时间前向预测的神经机制</w:t>
        </w:r>
      </w:hyperlink>
    </w:p>
    <w:p>
      <w:pPr>
        <w:spacing w:before="0" w:after="80"/>
      </w:pPr>
      <w:r>
        <w:rPr>
          <w:i/>
          <w:sz w:val="20"/>
        </w:rPr>
        <w:t>EN: Neural mechanisms of time-forward predictions for naturalistic auditory tone sequences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对未来事件的预测对于指导动态环境中的有效行动至关重要。对时间向前预测的神经机制的研究通常使用具有相对简单的统计规律的刺激。在这里，我们使用包含类似于自然听觉刺激中发现的统计规律的刺激来研究时间向前预测。使用神经外科患者的颅内脑电图记录，我们发现预测信号主要由广泛皮质区域的低频活动携带，包括感觉、顶叶和额叶区域。在低频和高频活动中都发现了预测误差（PE）信号，其中高频成分主要集中在感觉区域。与之前的假设相反，预测和 PE 信号没有显示出明显的空间或光谱分离。随着可预测性的增加，大脑区域之间的定向连接随着刺激序列的过程而减少，除了源自顶叶皮层的通路之外。这些结果揭示了综合和分布式预测处理，并强调了时间向前预测中的背侧听觉通路。</w:t>
      </w:r>
    </w:p>
    <w:p>
      <w:pPr>
        <w:spacing w:before="0" w:after="200" w:lineRule="auto" w:line="276"/>
      </w:pPr>
      <w:r>
        <w:rPr>
          <w:b/>
        </w:rPr>
        <w:t xml:space="preserve">Abstract (EN): </w:t>
      </w:r>
      <w:r>
        <w:t>Prediction of future events is essential for guiding effective actions in dynamic environments. Studies on the neural mechanisms for time-forward predictions have typically used stimuli with relatively simple statistical regularities. Here, we investigated time-forward predictions using stimuli containing statistical regularities similar to those found in natural auditory stimuli. Using intracranial EEG recordings in neurosurgical patients, we found that prediction signals were primarily carried by low-frequency activity across widespread cortical regions, including sensory, parietal, and frontal areas. Prediction-error (PE) signals were found in both low- and high-frequency activity, with high-frequency components localized mainly to sensory areas. Contrary to previous hypotheses, prediction and PE signals did not show a clear spatial or spectral segregation. Directed connectivity between brain regions decreased over the course of the stimulus sequence as predictability increased, except for pathways originating from the parietal cortex. These results reveal integrative and distributed predictive processing and highlight the dorsal auditory pathway in time-forward prediction.</w:t>
      </w:r>
    </w:p>
    <w:p>
      <w:pPr>
        <w:spacing w:before="120" w:after="120"/>
      </w:pPr>
      <w:r>
        <w:rPr>
          <w:sz w:val="18"/>
        </w:rPr>
        <w:t>——————————————————————————————————————————————————————————————————————</w:t>
      </w:r>
    </w:p>
    <w:p>
      <w:pPr>
        <w:spacing w:before="160" w:after="40" w:line="240" w:lineRule="auto"/>
      </w:pPr>
      <w:r>
        <w:rPr>
          <w:b/>
        </w:rPr>
        <w:t xml:space="preserve">[540] </w:t>
      </w:r>
      <w:hyperlink r:id="rId1207">
        <w:r>
          <w:rPr>
            <w:color w:val="1155CC"/>
            <w:u w:val="single"/>
          </w:rPr>
          <w:t>作者更正：通过扫描量子点显微镜量化金属表面原子纳米结构的静电势</w:t>
        </w:r>
      </w:hyperlink>
    </w:p>
    <w:p>
      <w:pPr>
        <w:spacing w:before="0" w:after="80"/>
      </w:pPr>
      <w:r>
        <w:rPr>
          <w:i/>
          <w:sz w:val="20"/>
        </w:rPr>
        <w:t>EN: Author Correction: Electrostatic potentials of atomic nanostructures at metal surfaces quantified by scanning quantum dot microscopy</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[541] </w:t>
      </w:r>
      <w:hyperlink r:id="rId1208">
        <w:r>
          <w:rPr>
            <w:color w:val="1155CC"/>
            <w:u w:val="single"/>
          </w:rPr>
          <w:t>致密金属合金中液体和玻璃多晶型之间的直接对应关系</w:t>
        </w:r>
      </w:hyperlink>
    </w:p>
    <w:p>
      <w:pPr>
        <w:spacing w:before="0" w:after="80"/>
      </w:pPr>
      <w:r>
        <w:rPr>
          <w:i/>
          <w:sz w:val="20"/>
        </w:rPr>
        <w:t>EN: Direct correspondence between liquid and glass polymorphism in densely packed metallic alloys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液体和玻璃是两种密切相关的无序物质状态。每种物质是否可以表现出两种或多种结构上不同但化学上相同的形式已经争论了几十年，平衡液体中的多晶型与非平衡玻璃中的多晶型之间的关系仍然难以捉摸。在这里，我们利用金刚石砧池中的原位高压高温同步加速器 X 射线衍射技术解决了两种原型玻璃形成金属合金中长期存在的问题。我们识别出高于其熔化温度的不同液体以及在不同压力下熔融淬火时形成的相应玻璃，如多个衍射衍生的结构描述符中可再现的不连续变化所证明的那样。全面的结构和成分表征一致表明，回收的样品是完全无定形且化学均匀的玻璃。通过使用原位结构探针持续监测形成和转变途径，我们的研究为密集金属合金系统中更普遍存在液体和玻璃多晶型现象提供了令人信服的实验证据。</w:t>
      </w:r>
    </w:p>
    <w:p>
      <w:pPr>
        <w:spacing w:before="0" w:after="200" w:lineRule="auto" w:line="276"/>
      </w:pPr>
      <w:r>
        <w:rPr>
          <w:b/>
        </w:rPr>
        <w:t xml:space="preserve">Abstract (EN): </w:t>
      </w:r>
      <w:r>
        <w:t>Liquid and glass are two closely related disordered states of matter. Whether each can exhibit two or more structurally distinct yet chemically identical forms have been debated for decades and the relationship between polymorphism in equilibrium liquids and that in non-equilibrium glasses remains elusive. Here, we address these long-standing issues in two prototype glass-forming metallic alloys using in situ high-pressure high-temperature synchrotron X-ray diffraction in diamond anvil cells. We identify distinct liquids above their melting temperatures and corresponding glasses formed upon melt quenching at different pressures, as evidenced by reproducible discontinuous changes in multiple diffraction-derived structural descriptors. Comprehensive structural and compositional characterizations consistently demonstrate that the recovered samples are fully amorphous and chemically homogeneous glasses. By continuously monitoring the formation and transformation pathways with in situ structural probes, our study provides compelling experimental evidence for the more general existence of liquid and glass polymorphism in densely packed metallic alloy systems.</w:t>
      </w:r>
    </w:p>
    <w:p>
      <w:pPr>
        <w:spacing w:before="120" w:after="120"/>
      </w:pPr>
      <w:r>
        <w:rPr>
          <w:sz w:val="18"/>
        </w:rPr>
        <w:t>——————————————————————————————————————————————————————————————————————</w:t>
      </w:r>
    </w:p>
    <w:p>
      <w:pPr>
        <w:spacing w:before="160" w:after="40" w:line="240" w:lineRule="auto"/>
      </w:pPr>
      <w:r>
        <w:rPr>
          <w:b/>
        </w:rPr>
        <w:t xml:space="preserve">[542] </w:t>
      </w:r>
      <w:hyperlink r:id="rId1209">
        <w:r>
          <w:rPr>
            <w:color w:val="1155CC"/>
            <w:u w:val="single"/>
          </w:rPr>
          <w:t>用横向力显微镜揭示 MoS2 中的表面和次表面原子空位</w:t>
        </w:r>
      </w:hyperlink>
    </w:p>
    <w:p>
      <w:pPr>
        <w:spacing w:before="0" w:after="80"/>
      </w:pPr>
      <w:r>
        <w:rPr>
          <w:i/>
          <w:sz w:val="20"/>
        </w:rPr>
        <w:t>EN: Unveiling surface and subsurface atomic vacancies in MoS2 with lateral force microscopy</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原子尺度的缺陷控制着材料的特性，其影响在低维系统中被放大。因此，了解和控制这些缺陷对于基础科学和技术应用都至关重要。然而，精确的缺陷识别和定位仍然是主要挑战。横向力显微镜 (LFM) 是一种通过悬臂横向扭转测量摩擦力的原子力显微镜模式，是探测表面特性的一种颇具吸引力的技术。然而，传统上它被认为对最顶层原子层下方的结构特征不敏感。在本研究中，我们通过证明 LFM 不仅可以检测而且可以根据深度对 MoS2 中的原子空位进行分类，从而推翻了这一范式。通过将实验与分子动力学和 Prandtl-Tomlinson (PT) 模型相结合，我们确定了与每种缺陷类型相关的独特摩擦指纹：表面空位产生特征性的“下降和上升”特征，而地下空位则产生明显的出口势垒，而没有入口下降。虽然分子动力学验证了这些特定的 MoS2 特征，但 PT 模型揭示了一种通用的几何晶格破坏机制，将我们研究结果的有效性扩展到 MoS2 之外。此外，我们应用这些发现来比较通过化学气相沉积 (CVD) 和机械剥离获得的 MoS2 薄片中的缺陷密度和缺陷类型。</w:t>
      </w:r>
    </w:p>
    <w:p>
      <w:pPr>
        <w:spacing w:before="0" w:after="200" w:lineRule="auto" w:line="276"/>
      </w:pPr>
      <w:r>
        <w:rPr>
          <w:b/>
        </w:rPr>
        <w:t xml:space="preserve">Abstract (EN): </w:t>
      </w:r>
      <w:r>
        <w:t>Atomic-scale defects govern materials properties, with their influence amplified in low-dimensional systems. Understanding and controlling such defects is therefore essential for both fundamental science and technological applications. However, precise defect identification and localization remain major challenges. Lateral force microscopy (LFM), an atomic force microscopy mode that measures friction forces through the lateral torsion of the cantilever, is an appealing technique for probing surface properties. Nevertheless, it has conventionally been regarded as insensitive to structural features beneath the topmost atomic layer. In this study, we overturn this paradigm by demonstrating that LFM can not only detect but also classify atomic vacancies in MoS2 according to their depth. By combining experiments with molecular dynamics and Prandtl-Tomlinson (PT) modeling, we identify unique frictional fingerprints associated with each defect type: surface vacancies produce a characteristic ’drop-and-rise’ signature, whereas subsurface vacancies generate a pronounced exit barrier without an entry drop. While molecular dynamics validates these specific MoS2 signatures, the PT model reveals a generic, geometric lattice-disruption mechanism, extending the validity of our findings beyond MoS2. Furthermore, we apply these findings to compare the defect density and defect types in MoS2 flakes obtained via chemical vapor deposition (CVD) and mechanical exfoliation.</w:t>
      </w:r>
    </w:p>
    <w:p>
      <w:pPr>
        <w:spacing w:before="120" w:after="120"/>
      </w:pPr>
      <w:r>
        <w:rPr>
          <w:sz w:val="18"/>
        </w:rPr>
        <w:t>——————————————————————————————————————————————————————————————————————</w:t>
      </w:r>
    </w:p>
    <w:p>
      <w:pPr>
        <w:spacing w:before="160" w:after="40" w:line="240" w:lineRule="auto"/>
      </w:pPr>
      <w:r>
        <w:rPr>
          <w:b/>
        </w:rPr>
        <w:t xml:space="preserve">[543] </w:t>
      </w:r>
      <w:hyperlink r:id="rId1210">
        <w:r>
          <w:rPr>
            <w:color w:val="1155CC"/>
            <w:u w:val="single"/>
          </w:rPr>
          <w:t>脉冲星 1A 0535+262 中吸积柱的快速准周期重构</w:t>
        </w:r>
      </w:hyperlink>
    </w:p>
    <w:p>
      <w:pPr>
        <w:spacing w:before="0" w:after="80"/>
      </w:pPr>
      <w:r>
        <w:rPr>
          <w:i/>
          <w:sz w:val="20"/>
        </w:rPr>
        <w:t>EN: Rapid quasi-periodic reconfiguration of the accretion column in pulsar 1A 0535+262</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强磁化中子星上的吸积通常使用准稳态模型来解释，其中吸积柱结构平滑地调整到质量流入速率。 X射线光谱中的回旋加速器线，其质心能量追踪磁场强度，从而追踪线形成区域的高度，提供了对该结构的关键诊断。这种简单的准稳态描述在短动态时间尺度上是否仍然有效仍然不确定。在这里，我们表明，在 X 射线脉冲星 1A 0535+262 的巨大爆发期间，准周期硬 X 射线通量变化伴随着回旋加速器线能量的同步振荡，其幅度超出了简单吸积率波动所预期的幅度。回旋加速器能量和表观通量之间的反相关性为线形成区域的快速变化提供了直接的光谱定时证据，我们将其解释为吸积柱的几何重新配置​​。变化性出现在光度范围内，其中辐射压变得动态重要。这些结果揭示了对该源的简单准稳态解释的局限性，并表明辐射支持的柱可以在高光度吸积脉冲星中进入本质动态状态。</w:t>
      </w:r>
    </w:p>
    <w:p>
      <w:pPr>
        <w:spacing w:before="0" w:after="200" w:lineRule="auto" w:line="276"/>
      </w:pPr>
      <w:r>
        <w:rPr>
          <w:b/>
        </w:rPr>
        <w:t xml:space="preserve">Abstract (EN): </w:t>
      </w:r>
      <w:r>
        <w:t>Accretion onto strongly magnetised neutron stars is commonly interpreted using quasi-steady models, in which the accretion-column structure adjusts smoothly to the mass inflow rate. The cyclotron line in the X-ray spectrum, whose centroid energy traces the magnetic field strength and thus the height of the line-forming region, provides a key diagnostic of this structure. Whether this simple quasi-steady description remains valid on short dynamical timescales has remained uncertain. Here we show that, during a giant outburst of the X-ray pulsar 1A 0535+262, quasi-periodic hard X-ray flux variations are accompanied by synchronised oscillations of the cyclotron line energy, with amplitudes exceeding those expected from simple accretion-rate fluctuations. The anti-correlation between cyclotron energy and apparent flux provides direct spectral-timing evidence for rapid changes in the line-forming region, which we interpret as geometric reconfiguration of the accretion column. The variability emerges in the luminosity regime where radiation pressure becomes dynamically important. These results reveal limitations of a simple quasi-steady interpretation for this source and suggest that radiation-supported columns can enter intrinsically dynamical states in high-luminosity accreting pulsars.</w:t>
      </w:r>
    </w:p>
    <w:p>
      <w:pPr>
        <w:spacing w:before="120" w:after="120"/>
      </w:pPr>
      <w:r>
        <w:rPr>
          <w:sz w:val="18"/>
        </w:rPr>
        <w:t>——————————————————————————————————————————————————————————————————————</w:t>
      </w:r>
    </w:p>
    <w:p>
      <w:pPr>
        <w:spacing w:before="160" w:after="40" w:line="240" w:lineRule="auto"/>
      </w:pPr>
      <w:r>
        <w:rPr>
          <w:b/>
        </w:rPr>
        <w:t xml:space="preserve">[544] </w:t>
      </w:r>
      <w:hyperlink r:id="rId1211">
        <w:r>
          <w:rPr>
            <w:color w:val="1155CC"/>
            <w:u w:val="single"/>
          </w:rPr>
          <w:t>明亮压缩真空光驱动的高次谐波产生介质中的传播效应</w:t>
        </w:r>
      </w:hyperlink>
    </w:p>
    <w:p>
      <w:pPr>
        <w:spacing w:before="0" w:after="80"/>
      </w:pPr>
      <w:r>
        <w:rPr>
          <w:i/>
          <w:sz w:val="20"/>
        </w:rPr>
        <w:t>EN: Propagation effects in high harmonic generation media driven by bright squeezed vacuum light</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量子光工程的最新发展使得红外亮压缩真空（BSV）飞秒脉冲能够在非线性光学中使用，包括强场物理和高次谐波产生。然而，理论集中于单原子相互作用，忽略了光通过介质传播的关键宏观方面。这就提出了一个关键问题：BSV 如何在非线性介质中传播，以及这如何影响非线性信号和辐射的量子性？我们通过一个完全量化的框架来解决这个问题，该框架用于在发生高次谐波产生的气体介质中传播。我们发现电离和相关的光子损失会导致退相干，从而限制传播长度，降低辐射的量子性，并减少发射的谐波。然而，这些影响并不是有害的。我们确定了最小化传播引起的退相干的条件，同时通过超泊松光子统计保留可检测的谐波。我们的结果为在所有物质状态下探索非线性光学、强场量子光学和超快科学中的 BSV 奠定了完全量化的基础。</w:t>
      </w:r>
    </w:p>
    <w:p>
      <w:pPr>
        <w:spacing w:before="0" w:after="200" w:lineRule="auto" w:line="276"/>
      </w:pPr>
      <w:r>
        <w:rPr>
          <w:b/>
        </w:rPr>
        <w:t xml:space="preserve">Abstract (EN): </w:t>
      </w:r>
      <w:r>
        <w:t>Recent developments in quantum light engineering have enabled the use of infrared bright squeezed vacuum (BSV) femtosecond pulses in nonlinear optics, including strong-field physics and high-harmonic generation. However, theory has focused on single-atom interactions, neglecting the crucial macroscopic aspect of light propagation through media. This raises a key question: How does BSV propagate in nonlinear media, and how this affects the nonlinear signals and the radiation’s quantumness? We address this with a fully quantized framework for propagation in gas media undergoing high-harmonic generation. We find that ionization and the associated photon losses cause decoherence, which limits the propagation length, degrades radiation’s quantumness, and reduces the emitted harmonics. However, these effects are not detrimental. We identify conditions that minimize propagation-induced decoherence while preserving detectable harmonics with super-Poissonian photon statistics. Our results establish fully quantized basis for exploring BSV in nonlinear optics, strong-field-quantum optics, and ultrafast science in all states of matter.</w:t>
      </w:r>
    </w:p>
    <w:p>
      <w:pPr>
        <w:spacing w:before="120" w:after="120"/>
      </w:pPr>
      <w:r>
        <w:rPr>
          <w:sz w:val="18"/>
        </w:rPr>
        <w:t>——————————————————————————————————————————————————————————————————————</w:t>
      </w:r>
    </w:p>
    <w:p>
      <w:pPr>
        <w:spacing w:before="160" w:after="40" w:line="240" w:lineRule="auto"/>
      </w:pPr>
      <w:r>
        <w:rPr>
          <w:b/>
        </w:rPr>
        <w:t xml:space="preserve">[545] </w:t>
      </w:r>
      <w:hyperlink r:id="rId1212">
        <w:r>
          <w:rPr>
            <w:color w:val="1155CC"/>
            <w:u w:val="single"/>
          </w:rPr>
          <w:t>作者更正：光热效应控制碳化钛 MXene 中的超快电荷传输</w:t>
        </w:r>
      </w:hyperlink>
    </w:p>
    <w:p>
      <w:pPr>
        <w:spacing w:before="0" w:after="80"/>
      </w:pPr>
      <w:r>
        <w:rPr>
          <w:i/>
          <w:sz w:val="20"/>
        </w:rPr>
        <w:t>EN: Author Correction: Photothermal effects control ultrafast charge transport in titanium carbide MXenes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[546] </w:t>
      </w:r>
      <w:hyperlink r:id="rId1213">
        <w:r>
          <w:rPr>
            <w:color w:val="1155CC"/>
            <w:u w:val="single"/>
          </w:rPr>
          <w:t>可逆堆叠单片 3D 集成电路</w:t>
        </w:r>
      </w:hyperlink>
    </w:p>
    <w:p>
      <w:pPr>
        <w:spacing w:before="0" w:after="80"/>
      </w:pPr>
      <w:r>
        <w:rPr>
          <w:i/>
          <w:sz w:val="20"/>
        </w:rPr>
        <w:t>EN: Reversibly Stacked Monolithic 3D Integrated Circuits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单片三维集成可实现具有细间距互连的器件的密集垂直堆叠，为实现高密度、节能逻辑和存储系统提供了一条有前途的途径。然而，其实施受到后端工艺热预算的限制，后端工艺必须保持在 400°C 以下，以避免降低底层电路的性能。尽管已经探索了各种低温半导体，但由于高温生长或转移要求，当前的演示仍然局限于固定的堆叠顺序。在这里，我们展示了使用低温沉积的 n 型 In2O3 和 p 型 Te 半导体的 M3D 互补场效应晶体管架构。该平台解决了现有的热限制，展示了反转 n 型和 p 型序列的设计自由度。此功能可实现 CMOS 反相器、多层逻辑堆栈和功能齐全的 3D SRAM 存储单元的集成，所有这些均在 300 °C 以下制造。该可扩展平台为构建具有内在互连的垂直集成互补逻辑提供了实用途径，为下一代 3D 片上系统技术铺平了道路。</w:t>
      </w:r>
    </w:p>
    <w:p>
      <w:pPr>
        <w:spacing w:before="0" w:after="200" w:lineRule="auto" w:line="276"/>
      </w:pPr>
      <w:r>
        <w:rPr>
          <w:b/>
        </w:rPr>
        <w:t xml:space="preserve">Abstract (EN): </w:t>
      </w:r>
      <w:r>
        <w:t>Monolithic three-dimensional integration enables dense vertical stacking of devices with fine-pitch interconnects, offering a promising route toward high-density, energy-efficient logic and memory systems. However, its implementation is constrained by the thermal budget of back-end-of-line processes, which must remain below 400 °C to avoid degrading underlying circuitry. While various low-temperature semiconductors have been explored, current demonstrations remain confined to fixed stacking sequences due to high-temperature growth or transfer requirements. Here, we demonstrate a M3D complementary field-effect transistor architecture using low-temperature-deposited n-type In2O3 and p-type Te semiconductors. This platform resolves existing thermal constraints, demonstrating the design freedom to reverse n- and p-type sequences. This capability enables the integration of CMOS inverters, multilayer logic stacks, and a fully functional 3D SRAM storage cell, all fabricated below 300 °C. This scalable platform provides a practical pathway for constructing vertically integrated complementary logic with intrinsic interconnects, paving the way for next-generation 3D system-on-chip technologies.</w:t>
      </w:r>
    </w:p>
    <w:p>
      <w:pPr>
        <w:spacing w:before="120" w:after="120"/>
      </w:pPr>
      <w:r>
        <w:rPr>
          <w:sz w:val="18"/>
        </w:rPr>
        <w:t>——————————————————————————————————————————————————————————————————————</w:t>
      </w:r>
    </w:p>
    <w:p>
      <w:pPr>
        <w:spacing w:before="160" w:after="40" w:line="240" w:lineRule="auto"/>
      </w:pPr>
      <w:r>
        <w:rPr>
          <w:b/>
        </w:rPr>
        <w:t xml:space="preserve">[547] </w:t>
      </w:r>
      <w:hyperlink r:id="rId1214">
        <w:r>
          <w:rPr>
            <w:color w:val="1155CC"/>
            <w:u w:val="single"/>
          </w:rPr>
          <w:t>掺杂电荷转移绝缘体中的束缚态</w:t>
        </w:r>
      </w:hyperlink>
    </w:p>
    <w:p>
      <w:pPr>
        <w:spacing w:before="0" w:after="80"/>
      </w:pPr>
      <w:r>
        <w:rPr>
          <w:i/>
          <w:sz w:val="20"/>
        </w:rPr>
        <w:t>EN: Bound states in doped charge transfer insulators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了解掺杂电荷转移绝缘体的物理原理是高温超导中最重要的问题。在这项工作中，我们证明了带隙内束缚态从掺杂电荷转移绝缘体的局域空穴中出现。我们提出了一种基于局部张赖斯单线态和尼尔态的近似基态波函数。通过计算在基态上添加和去除一个空穴的激发态，我们成功地识别了电荷转移间隙内束缚态的存在。基于 4 × 4 CuO2 晶胞系统的矩阵积态 (MPS) 的 Lanczos 计算进一步证实了这一特性。进一步讨论了这些束缚态如何演化成金属态。我们的研究结果确定了轻掺杂 Ca2CuO2Cl2 近期 STM 结果的关键组成部分，并提供了对空穴掺杂电荷转移绝缘体的新认识。</w:t>
      </w:r>
    </w:p>
    <w:p>
      <w:pPr>
        <w:spacing w:before="0" w:after="200" w:lineRule="auto" w:line="276"/>
      </w:pPr>
      <w:r>
        <w:rPr>
          <w:b/>
        </w:rPr>
        <w:t xml:space="preserve">Abstract (EN): </w:t>
      </w:r>
      <w:r>
        <w:t>Understanding the physics of doped charge transfer insulators is the most important problem in high-temperature superconductivity. In this work, we show that an in-gap bound state emerges from the localized hole of the doped charge transfer insulator. We propose an approximate ground state wavefunction based on one localized Zhang-Rice singlet and the Néel state. By calculating the excitation states with one hole added and removed from this ground state, we successfully identify the existence of bound states inside the charge transfer gap. This feature is further confirmed by a Lanczos calculation based on matrix product states (MPS) for a system of 4 × 4 CuO2 unit cells. How these bound states evolve into metallic states is further discussed. Our findings identify the key component of recent STM results on lightly doped Ca2CuO2Cl2 and provide a new understanding of hole-doped charge transfer insulators.</w:t>
      </w:r>
    </w:p>
    <w:p>
      <w:pPr>
        <w:spacing w:before="120" w:after="120"/>
      </w:pPr>
      <w:r>
        <w:rPr>
          <w:sz w:val="18"/>
        </w:rPr>
        <w:t>——————————————————————————————————————————————————————————————————————</w:t>
      </w:r>
    </w:p>
    <w:p>
      <w:pPr>
        <w:spacing w:before="160" w:after="40" w:line="240" w:lineRule="auto"/>
      </w:pPr>
      <w:r>
        <w:rPr>
          <w:b/>
        </w:rPr>
        <w:t xml:space="preserve">[548] </w:t>
      </w:r>
      <w:hyperlink r:id="rId1215">
        <w:r>
          <w:rPr>
            <w:color w:val="1155CC"/>
            <w:u w:val="single"/>
          </w:rPr>
          <w:t>分形层次结构可以实现拓扑边界状态的指数缩放</w:t>
        </w:r>
      </w:hyperlink>
    </w:p>
    <w:p>
      <w:pPr>
        <w:spacing w:before="0" w:after="80"/>
      </w:pPr>
      <w:r>
        <w:rPr>
          <w:i/>
          <w:sz w:val="20"/>
        </w:rPr>
        <w:t>EN: Fractal hierarchy enables exponential scaling of topological boundary states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指数增长描述了数学中以及不同的物理、生物和技术系统中普遍存在的极其快速的过程。在这里，我们引入了一类受分形启发的晶格，它将长程周期顺序与自相似层次结构相结合，建立了一个能够实现拓扑边界状态指数缩放的结构基序。我们在（i）由科赫曲线晶胞构成的准一维晶格链和（ii）由谢尔宾斯基垫片晶胞构成的二维周期性平铺晶格中证明了这种现象。我们发现，对于合适的耦合参数，拓扑边界态的数量 Nℓ" role="presentation"&gt;Nℓ{N}_{{\ell}} 和拓扑小间隙的数量 Mℓ" role="presentation"&gt;Mℓ{M}_{{\ell}} 随着分形生成指数 ℓ" role="presentation"&gt;ℓ{\ell} 呈指数增长。我们发现 Nℓ" role="presentation"&gt;Nℓ{N}_{{\ell}} 是 Mℓ" role="presentation"&gt;Mℓ{M}_{{\ell}} 的整数倍，其整数由基础对称性决定。这种分层缩放定律由多拓扑相理论捕获，并在激光写入光子晶格中得到实验证实。我们的结果将分形层次确定为控制边界态多重性的设计原理，揭示了拓扑之间的基本相互作用，更广泛地说，这项工作提出了一条通往合成材料和集成光子平台的途径，在该平台中可以设计大量鲁棒的边界模式。</w:t>
      </w:r>
    </w:p>
    <w:p>
      <w:pPr>
        <w:spacing w:before="0" w:after="200" w:lineRule="auto" w:line="276"/>
      </w:pPr>
      <w:r>
        <w:rPr>
          <w:b/>
        </w:rPr>
        <w:t xml:space="preserve">Abstract (EN): </w:t>
      </w:r>
      <w:r>
        <w:t>Exponential growth describes an extremely rapid process ubiquitous in mathematics and across diverse physical, biological, and technological systems. Here, we introduce a class of fractal-inspired lattices that combine long-range periodic order with self-similar hierarchy, establishing a structural motif that enables exponential scaling of topological boundary states. We demonstrate this phenomenon in (i) a quasi-one-dimensional lattice chain constructed from Koch-curve unit cells and (ii) a two-dimensional periodic tiling lattice composed of Sierpiński-gasket unit cells. We show that, for suitable coupling parameters, both the number of topological boundary states N&amp;#x2113;" role="presentation"&gt;Nℓ{N}_{{\ell}} and the number of topological minigaps M&amp;#x2113;" role="presentation"&gt;Mℓ{M}_{{\ell}} grow exponentially with the fractal generation index &amp;#x2113;" role="presentation"&gt;ℓ{\ell}. We find that N&amp;#x2113;" role="presentation"&gt;Nℓ{N}_{{\ell}} is an integer multiple of M&amp;#x2113;" role="presentation"&gt;Mℓ{M}_{{\ell}}, with the integer determined by the underlying symmetry. This hierarchical scaling law is captured by the multi-topological-phase theory and confirmed experimentally in laser-written photonic lattices. Our results identify fractal hierarchy as a design principle for controlling boundary-state multiplicity, revealing a fundamental interplay between topology, self-similar geometry, and periodic order. More broadly, this work suggests a route toward synthetic materials and integrated photonic platforms in which large numbers of robust boundary modes can be engineered within hierarchically structured architectures.</w:t>
      </w:r>
    </w:p>
    <w:p>
      <w:pPr>
        <w:spacing w:before="120" w:after="120"/>
      </w:pPr>
      <w:r>
        <w:rPr>
          <w:sz w:val="18"/>
        </w:rPr>
        <w:t>——————————————————————————————————————————————————————————————————————</w:t>
      </w:r>
    </w:p>
    <w:p>
      <w:pPr>
        <w:spacing w:before="160" w:after="40" w:line="240" w:lineRule="auto"/>
      </w:pPr>
      <w:r>
        <w:rPr>
          <w:b/>
        </w:rPr>
        <w:t xml:space="preserve">[549] </w:t>
      </w:r>
      <w:hyperlink r:id="rId1216">
        <w:r>
          <w:rPr>
            <w:color w:val="1155CC"/>
            <w:u w:val="single"/>
          </w:rPr>
          <w:t>在单个忆阻器中实现 Bienenstock-Cooper-Munro 规则</w:t>
        </w:r>
      </w:hyperlink>
    </w:p>
    <w:p>
      <w:pPr>
        <w:spacing w:before="0" w:after="80"/>
      </w:pPr>
      <w:r>
        <w:rPr>
          <w:i/>
          <w:sz w:val="20"/>
        </w:rPr>
        <w:t>EN: Realization of the Bienenstock-Cooper-Munro rule in a single memristor</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神经形态计算旨在构建模仿大脑卓越效率和适应性的电子系统。大脑的一个关键特征是稳态可塑性，它可以稳定神经活动。 Bienenstock-Cooper-Munro (BCM) 规则通过根据过去的活动调整神经元的敏感度阈值准确地描述了这一点。然而，在突触装置中实施稳态规则仍然具有挑战性。在这里，我们展示了 CuInP2S₆ 忆阻器自然地实现了完整的 BCM 规则。我们发现，该器件的固有结电容会产生反向尖峰，从而导致尖峰速率相关的电导下降，并与二阶离子动力学相结合来复制关键的 BCM 特征。通过模拟，我们证明添加类似的电容可以在传统忆阻器中普遍实现这种行为。最后，我们基于该策略构建了一个物理油藏计算系统，该系统具有鲁棒、耐噪声的时空处理能力。这项工作为在硬件中部署自适应稳态可塑性提供了一条可行的途径，从而增强了神经形态系统的可靠性。</w:t>
      </w:r>
    </w:p>
    <w:p>
      <w:pPr>
        <w:spacing w:before="0" w:after="200" w:lineRule="auto" w:line="276"/>
      </w:pPr>
      <w:r>
        <w:rPr>
          <w:b/>
        </w:rPr>
        <w:t xml:space="preserve">Abstract (EN): </w:t>
      </w:r>
      <w:r>
        <w:t>Neuromorphic computing aims to build electronic systems that mimic the brain’s remarkable efficiency and adaptability. A key feature of brain is homeostatic plasticity, which stabilizes neural activity; the Bienenstock–Cooper–Munro (BCM) rule accurately describes this by adjusting a neuron’s sensitivity threshold based on past activity. However, implementing the homeostatic rule in synaptic device remains challenging. Here we show that a CuInP₂S₆ memristor naturally realizes the complete BCM rule. We reveal that the device’s intrinsic junction capacitance generates reverse spikes that cause spike-rate-dependent conductance depression, combining with second-order ionic dynamics to replicate key BCM features. Through simulations, we demonstrate that adding a similar capacitance can universally enable this behavior in conventional memristors. Finally, we build a physical reservoir computing system based on this strategy that exhibits robust, noise-tolerant spatiotemporal processing. This work provides a viable path for deploying adaptive homeostatic plasticity in hardware, enhancing the reliability of neuromorphic systems.</w:t>
      </w:r>
    </w:p>
    <w:p>
      <w:pPr>
        <w:spacing w:before="120" w:after="120"/>
      </w:pPr>
      <w:r>
        <w:rPr>
          <w:sz w:val="18"/>
        </w:rPr>
        <w:t>——————————————————————————————————————————————————————————————————————</w:t>
      </w:r>
    </w:p>
    <w:p>
      <w:pPr>
        <w:spacing w:before="160" w:after="40" w:line="240" w:lineRule="auto"/>
      </w:pPr>
      <w:r>
        <w:rPr>
          <w:b/>
        </w:rPr>
        <w:t xml:space="preserve">[550] </w:t>
      </w:r>
      <w:hyperlink r:id="rId1217">
        <w:r>
          <w:rPr>
            <w:color w:val="1155CC"/>
            <w:u w:val="single"/>
          </w:rPr>
          <w:t>深度学习预测不同的 DNA-DNA 结合并设计超连接网络</w:t>
        </w:r>
      </w:hyperlink>
    </w:p>
    <w:p>
      <w:pPr>
        <w:spacing w:before="0" w:after="80"/>
      </w:pPr>
      <w:r>
        <w:rPr>
          <w:i/>
          <w:sz w:val="20"/>
        </w:rPr>
        <w:t>EN: Deep Learning Predicts Dissimilar DNA-DNA Binding and Engineers Hyperconnected Networks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分子生物工程和合成生物学的通用框架侧重于正交性，将弱或非特异性相互作用视为需要避免的问题。这限制了可用的序列空间，限制了可扩展性，并忽略了合成系统必须在高序列多样性的自然背景下运行的场景。利用整个空间很困难，因为缺乏能够准确、快速预测非正交相互作用并根据地面实况数据进行验证的模型。在这里，我们使用 DNA-DNA 相互作用作为测试平台开发 BINND（DNA 结合和相互作用神经网络）。 BINND 将测量数百万次交互的超高吞吐量平台与深度学习模型相结合，准确率达到 80% 以上，可泛化不同的序列，运行速度比当前模型快 50 倍。我们通过虚构故事书中人物的可搜索 DNA 网络展示了它的价值。 BINND 能够准确预测诊断、生物工程和 DNA 折纸，支持向利用完整序列空间的转变。</w:t>
      </w:r>
    </w:p>
    <w:p>
      <w:pPr>
        <w:spacing w:before="0" w:after="200" w:lineRule="auto" w:line="276"/>
      </w:pPr>
      <w:r>
        <w:rPr>
          <w:b/>
        </w:rPr>
        <w:t xml:space="preserve">Abstract (EN): </w:t>
      </w:r>
      <w:r>
        <w:t>Common frameworks in molecular bioengineering and synthetic biology focus on orthogonality, viewing weak or non-specific interactions as problems to avoid. This constrains the usable sequence space, limits scalability, and neglects scenarios where synthetic systems must operate within natural backgrounds of high sequence diversity. Harnessing the full space is difficult because models are lacking that can accurately and quickly predict non-orthogonal interactions and be validated against ground truth data. Here we develop BINND — Binding and Interaction Neural Network for DNA — using DNA-DNA interactions as a testbed. BINND combines an ultra-high throughput platform measuring millions of interactions with a deep learning model attaining accuracies above 80%, generalizing across diverse sequences and running 50 times faster than current models. We demonstrate its value with a searchable DNA network of fictitious storybook characters. BINND enables accurate prediction for diagnostics, bioengineering, and DNA origami, supporting a shift toward exploiting the full sequence space.</w:t>
      </w:r>
    </w:p>
    <w:p>
      <w:pPr>
        <w:spacing w:before="120" w:after="120"/>
      </w:pPr>
      <w:r>
        <w:rPr>
          <w:sz w:val="18"/>
        </w:rPr>
        <w:t>——————————————————————————————————————————————————————————————————————</w:t>
      </w:r>
    </w:p>
    <w:p>
      <w:pPr>
        <w:spacing w:before="160" w:after="40" w:line="240" w:lineRule="auto"/>
      </w:pPr>
      <w:r>
        <w:rPr>
          <w:b/>
        </w:rPr>
        <w:t xml:space="preserve">[551] </w:t>
      </w:r>
      <w:hyperlink r:id="rId1218">
        <w:r>
          <w:rPr>
            <w:color w:val="1155CC"/>
            <w:u w:val="single"/>
          </w:rPr>
          <w:t>基于力的单个单原子磁体的读写</w:t>
        </w:r>
      </w:hyperlink>
    </w:p>
    <w:p>
      <w:pPr>
        <w:spacing w:before="0" w:after="80"/>
      </w:pPr>
      <w:r>
        <w:rPr>
          <w:i/>
          <w:sz w:val="20"/>
        </w:rPr>
        <w:t>EN: Force-based reading and writing of individual single-atom magnets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单原子位的集成可以实现最高数据密度的存储器。通过机械相互作用向这些位读取和写入信息开启了以低热量产生和高密度记录操作磁性设备的可能性。为了实现这一愿景，我们演示了使用磁交换力显微镜来读取和写入 MgO 薄膜上单个钬吸附原子的自旋方向。钬吸附原子的自旋方向通过吸附位点的强单轴各向异性来稳定，并且可以通过测量磁性尖端和原子之间的交换力来读出。自旋方向可以通过使尖端更靠近钬吸附原子来写入。我们通过Ho吸附原子吸附位点的对称性还原来解释这种写入机制。这些发现证明了以最小能量损失存储信息的潜力，并为原子级机械自旋电子学的新领域铺平了道路。</w:t>
      </w:r>
    </w:p>
    <w:p>
      <w:pPr>
        <w:spacing w:before="0" w:after="200" w:lineRule="auto" w:line="276"/>
      </w:pPr>
      <w:r>
        <w:rPr>
          <w:b/>
        </w:rPr>
        <w:t xml:space="preserve">Abstract (EN): </w:t>
      </w:r>
      <w:r>
        <w:t>The integration of single-atom bits enables the realization of the highest data-density memory. Reading and writing information to these bits through mechanical interactions opens the possibility of operating the magnetic devices with low heat generation and high density recording. To achieve this visionary goal, we demonstrate the use of magnetic exchange force microscopy to read and write the spin orientation of individual holmium adatoms on MgO thin films. The spin orientation of the holmium adatom is stabilized by the strong uniaxial anisotropy of the adsorption site and can be read out by measuring the exchange forces between the magnetic tip and the atom. The spin orientation can be written by approaching the tip closer to the holmium adatom. We explain this writing mechanism by the symmetry reduction of the adsorption site of the Ho adatom. These findings demonstrate the potential for information storage with minimal energy loss and pave the way for a new field of atomic-scale mechano-spintronics.</w:t>
      </w:r>
    </w:p>
    <w:p>
      <w:pPr>
        <w:spacing w:before="120" w:after="120"/>
      </w:pPr>
      <w:r>
        <w:rPr>
          <w:sz w:val="18"/>
        </w:rPr>
        <w:t>——————————————————————————————————————————————————————————————————————</w:t>
      </w:r>
    </w:p>
    <w:p>
      <w:pPr>
        <w:spacing w:before="160" w:after="40" w:line="240" w:lineRule="auto"/>
      </w:pPr>
      <w:r>
        <w:rPr>
          <w:b/>
        </w:rPr>
        <w:t xml:space="preserve">[552] </w:t>
      </w:r>
      <w:hyperlink r:id="rId1219">
        <w:r>
          <w:rPr>
            <w:color w:val="1155CC"/>
            <w:u w:val="single"/>
          </w:rPr>
          <w:t>300 mm SiMOS 代工制造器件的八量子位运行</w:t>
        </w:r>
      </w:hyperlink>
    </w:p>
    <w:p>
      <w:pPr>
        <w:spacing w:before="0" w:after="80"/>
      </w:pPr>
      <w:r>
        <w:rPr>
          <w:i/>
          <w:sz w:val="20"/>
        </w:rPr>
        <w:t>EN: Eight-qubit operation of a 300 mm SiMOS foundry-fabricated device</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硅自旋量子位因其高相干性、可控性和 CMOS 可制造性而成为量子计算的一个有前途的平台，但迄今为止可扩展的实现仅限于几个量子位。在这里，为了向更大的量子位系统迈出一步，我们调整并连贯地控制在 300 mm CMOS 兼容铸造工艺中制造的硅自旋量子位的八点线性阵列，建立超越两个量子位体系的操作可扩展性。所有八个量子位都成功调谐并表征为四个双点对，拉姆齐相干时间 T2*" role="presentation"&gt;T2*{T}_{2}^{*} 高达 41(2) μs，哈恩回波相干时间 T2Hahn" role="presentation"&gt;T2Hahn{T}_{2}^{{{{\rm{Hahn}}}}} 高达 1.31(4)女士。中央四个量子位的读出是通过级联电荷传感协议实现的，从而能够在两步过程中对整个多量子位阵列进行高保真测量。此外，我们还演示了具有低相位噪声的相邻量子位之间的双量子位门操作。我们证明，硅自旋量子位阵列可以扩展到 8 个量子位的中型阵列，同时保持系统的一致性。</w:t>
      </w:r>
    </w:p>
    <w:p>
      <w:pPr>
        <w:spacing w:before="0" w:after="200" w:lineRule="auto" w:line="276"/>
      </w:pPr>
      <w:r>
        <w:rPr>
          <w:b/>
        </w:rPr>
        <w:t xml:space="preserve">Abstract (EN): </w:t>
      </w:r>
      <w:r>
        <w:t>Silicon spin qubits are a promising platform for quantum computing due to their high coherence, controllability, and CMOS manufacturability, yet scalable implementations have so far been limited to a few qubits. Here, to take a step towards larger qubit systems, we tune and coherently control an eight-dot linear array of silicon spin qubits fabricated in a 300 mm CMOS-compatible foundry process, establishing operational scalability beyond the two-qubit regime. All eight qubits are successfully tuned and characterized as four double-dot pairs, exhibiting Ramsey dephasing times T2&amp;#x2217;" role="presentation"&gt;T2∗{T}_{2}^{*} up to 41(2) μs and Hahn-echo coherence times T2Hahn" role="presentation"&gt;T2Hahn{T}_{2}^{{{{\rm{Hahn}}}}} up to 1.31(4) ms. Readout of the central four qubits is achieved via a cascaded charge-sensing protocol, enabling high-fidelity measurements of the entire multi-qubit array in a two step process. Additionally, we demonstrate a two-qubit gate operation between adjacent qubits with low phase noise. We show that silicon spin qubit arrays can be scaled to medium-sized arrays of 8 qubits while maintaining system coherence.</w:t>
      </w:r>
    </w:p>
    <w:p>
      <w:pPr>
        <w:spacing w:before="120" w:after="120"/>
      </w:pPr>
      <w:r>
        <w:rPr>
          <w:sz w:val="18"/>
        </w:rPr>
        <w:t>——————————————————————————————————————————————————————————————————————</w:t>
      </w:r>
    </w:p>
    <w:p>
      <w:pPr>
        <w:spacing w:before="160" w:after="40" w:line="240" w:lineRule="auto"/>
      </w:pPr>
      <w:r>
        <w:rPr>
          <w:b/>
        </w:rPr>
        <w:t xml:space="preserve">[553] </w:t>
      </w:r>
      <w:hyperlink r:id="rId1220">
        <w:r>
          <w:rPr>
            <w:color w:val="1155CC"/>
            <w:u w:val="single"/>
          </w:rPr>
          <w:t>自重构模块化机器人船</w:t>
        </w:r>
      </w:hyperlink>
    </w:p>
    <w:p>
      <w:pPr>
        <w:spacing w:before="0" w:after="80"/>
      </w:pPr>
      <w:r>
        <w:rPr>
          <w:i/>
          <w:sz w:val="20"/>
        </w:rPr>
        <w:t>EN: Self-reconfiguring modular robotic boats</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自重构水生机器人为广泛的海洋应用提供了前景，包括建造临时基础设施、远程维护和搜救行动、环境监测和按需运输。然而，由于复杂的非线性流体动力学、自运动和邻近机器人的干扰以及外部环境因素，即使在水面的二维空间中实现自主的水基自重构仍然具有挑战性。在这里，我们展示了 FloatForm 平台，这是一组微型模块化机器人船，能够自组装成物理连接的结构、自重新配置，并通过混合协调框架作为更大的组件集体行驶。每个机器人单元都配备了机载传感、运动控制以及与其邻居协调和物理连接的能力。我们证明了通过混合协调进行水生自我重构的可行性，其中每个机器人上的分布式控制器处理协调任务，例如聚合成所需的形状和避免碰撞，而极简中央规划器则监督每个任务的整体成功并修复最终的缺陷。这项工作推进了水生环境中模块化机器人系统的设计、控制和协调，实现了灵活、稳健和可扩展的水上应用。</w:t>
      </w:r>
    </w:p>
    <w:p>
      <w:pPr>
        <w:spacing w:before="0" w:after="200" w:lineRule="auto" w:line="276"/>
      </w:pPr>
      <w:r>
        <w:rPr>
          <w:b/>
        </w:rPr>
        <w:t xml:space="preserve">Abstract (EN): </w:t>
      </w:r>
      <w:r>
        <w:t>Self-reconfiguring aquatic robots offer promise for a wide range of marine applications, including building temporary infrastructure, remote maintenance and search-and-rescue operations, environmental monitoring, and on-demand transportation. However, achieving autonomous water-based self-reconfiguration, even in two dimensions on the water surface, remains challenging, due to complex nonlinear hydrodynamics, disturbances from self-motion and neighboring robots, as well as external environmental factors. Here, we present the FloatForm platform, a group of miniature modular robotic boats capable of self-assembling into physically connected structures, self-reconfiguring, and collectively traveling as larger assemblies via a hybrid coordination framework. Each robot unit is equipped with onboard sensing, motion control, and the ability to coordinate and physically connect with its neighbors. We demonstrate the feasibility of aquatic self-reconfiguration via hybrid coordination, where distributed controllers on each robot handle coordination tasks such as aggregating into desired shapes and avoiding collisions, while a minimalist central planner oversees the overall success of each task and fixes final imperfections. This work advances the design, control, and coordination of modular robotic systems in aquatic environments, enabling flexible, robust, and scalable applications on the water.</w:t>
      </w:r>
    </w:p>
    <w:p>
      <w:pPr>
        <w:spacing w:before="120" w:after="120"/>
      </w:pPr>
      <w:r>
        <w:rPr>
          <w:sz w:val="18"/>
        </w:rPr>
        <w:t>——————————————————————————————————————————————————————————————————————</w:t>
      </w:r>
    </w:p>
    <w:p>
      <w:pPr>
        <w:spacing w:before="160" w:after="40" w:line="240" w:lineRule="auto"/>
      </w:pPr>
      <w:r>
        <w:rPr>
          <w:b/>
        </w:rPr>
        <w:t xml:space="preserve">[554] </w:t>
      </w:r>
      <w:hyperlink r:id="rId1221">
        <w:r>
          <w:rPr>
            <w:color w:val="1155CC"/>
            <w:u w:val="single"/>
          </w:rPr>
          <w:t>解决人类 α 与 β 细胞命运分配以产生干细胞衍生的胰岛</w:t>
        </w:r>
      </w:hyperlink>
    </w:p>
    <w:p>
      <w:pPr>
        <w:spacing w:before="0" w:after="80"/>
      </w:pPr>
      <w:r>
        <w:rPr>
          <w:i/>
          <w:sz w:val="20"/>
        </w:rPr>
        <w:t>EN: Resolving human α versus β cell fate allocation for the generation of stem cell-derived islets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干细胞衍生的胰高血糖素（α）和胰岛素生成（β）细胞可以在体外设计朗格汉斯岛（控制血糖的微器官）的仿生体；然而，对于人类干细胞衍生的α和β细胞的特定机制仍然存在知识空白。小鼠研究假设 Aristaless 相关同源盒 (Arx) 和配对盒 4 (Pax4) 转录因子在内分泌祖细胞中相互交叉抑制，分别促进 α/β 命运分配。为了在人体中测试这个模型，我们在新生成的 ARXCFP/CFP 中将谱系标记与单细胞多组学分析相结合； PAX4mCherry/mCherry 敲入诱导多能干细胞报告系。谱系追踪、蛋白质组学和基因调控网络分析以及效力测定揭示了人类对 α/β 细胞命运分配的特异性调控。先前提出的药理学扰动会触发α到β的转分化，或由我们的基因调控网络识别出，会导致内分泌诱导增强并定向α/β细胞命运。研究内分泌发生和命运分离的机制可以实现体外胰岛工程，并对细胞替代疗法、疾病建模和药物筛选具有更广泛的影响。</w:t>
      </w:r>
    </w:p>
    <w:p>
      <w:pPr>
        <w:spacing w:before="0" w:after="200" w:lineRule="auto" w:line="276"/>
      </w:pPr>
      <w:r>
        <w:rPr>
          <w:b/>
        </w:rPr>
        <w:t xml:space="preserve">Abstract (EN): </w:t>
      </w:r>
      <w:r>
        <w:t>Stem cell-derived glucagon-(α) and insulin-producing (β) cells allow to engineer in vitro biomimetics of islet of Langerhans, the micro-organ controlling glycemia; however, a knowledge gap in the mechanism by which human stem cell-derived α and β cells are specified persists. Mouse studies postulated that Aristaless Related homeobox (Arx) and Paired box 4 (Pax4) transcription factors cross-inhibit each other in endocrine progenitors to promote α/β fate allocation, respectively. To test this model in human, we combine lineage labelling with single-cell multiomic analysis in our newly generated ARXCFP/CFP; PAX4mCherry/mCherry knock-in induced pluripotent stem cell reporter line. Lineage tracing, proteomic and gene regulatory network analysis and potency assays reveal a human specific regulation of α/β cell fate allocation. Pharmacological perturbations previously proposed to trigger α-to-β transdifferentiation or identified by our gene regulatory network lead to enhanced endocrine induction and directed α/β cell fate. Studying mechanisms of endocrinogenesis and fate segregation enables the engineering of islets in vitro, and has broader implications for cell-replacement therapy, disease modelling and drug screening.</w:t>
      </w:r>
    </w:p>
    <w:p>
      <w:pPr>
        <w:spacing w:before="120" w:after="120"/>
      </w:pPr>
      <w:r>
        <w:rPr>
          <w:sz w:val="18"/>
        </w:rPr>
        <w:t>——————————————————————————————————————————————————————————————————————</w:t>
      </w:r>
    </w:p>
    <w:p>
      <w:pPr>
        <w:spacing w:before="160" w:after="40" w:line="240" w:lineRule="auto"/>
      </w:pPr>
      <w:r>
        <w:rPr>
          <w:b/>
        </w:rPr>
        <w:t xml:space="preserve">[555] </w:t>
      </w:r>
      <w:hyperlink r:id="rId1222">
        <w:r>
          <w:rPr>
            <w:color w:val="1155CC"/>
            <w:u w:val="single"/>
          </w:rPr>
          <w:t>回复“寻找最小曝光时间来理解视觉感知的意义”</w:t>
        </w:r>
      </w:hyperlink>
    </w:p>
    <w:p>
      <w:pPr>
        <w:spacing w:before="0" w:after="80"/>
      </w:pPr>
      <w:r>
        <w:rPr>
          <w:i/>
          <w:sz w:val="20"/>
        </w:rPr>
        <w:t>EN: REPLY TO “The meaningfulness of searching for minimal exposure duration to understand visual perception”</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[556] </w:t>
      </w:r>
      <w:hyperlink r:id="rId1223">
        <w:r>
          <w:rPr>
            <w:color w:val="1155CC"/>
            <w:u w:val="single"/>
          </w:rPr>
          <w:t>用于神经母细胞瘤精准肿瘤学和生物标志物预测的统一视觉语言模型</w:t>
        </w:r>
      </w:hyperlink>
    </w:p>
    <w:p>
      <w:pPr>
        <w:spacing w:before="0" w:after="80"/>
      </w:pPr>
      <w:r>
        <w:rPr>
          <w:i/>
          <w:sz w:val="20"/>
        </w:rPr>
        <w:t>EN: A unified vision-language model for precision oncology and biomarker prediction in neuroblastoma</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神经母细胞瘤是儿童癌症死亡的主要原因，由于其生物异质性和常规实践中分子分析的可及性有限，带来了持续的管理挑战。在这里，我们介绍 NEVA（神经母细胞瘤视觉 - 语言人工智能），这是一种旨在解决这些障碍的多模式基础模型。与依赖冻结编码器和多实例学习的传统方法不同，NEVA 通过端到端优化实现了受病理学家启发的分层工作流程。 NEVA 在多个中心、由 1,238 名患者组成的大型多机构队列中进行开发和评估，在评估的 11 项临床任务的大部分中，其表现优于十种代表性基础模型，包括 TITAN、UNI 和 Virchow。该模型展示了诊断能力，亚型分类的接受者操作特征曲线下面积为 0.916，Shimada 分类为 0.823，风险组分层为 0.806。此外，NEVA 根据常规病理学数据预测关键分子改变，NMYC 扩增的 AUROC 为 0.924，1p36 缺失的 AUROC 为 0.830，同时能够对多个测试队列的无进展生存率和总生存率进行预后分层。通过整合定位组织学相关区域的可解释注意力图，NEVA 为神经母细胞瘤风险分层和临床决策支持建立了可扩展的框架。</w:t>
      </w:r>
    </w:p>
    <w:p>
      <w:pPr>
        <w:spacing w:before="0" w:after="200" w:lineRule="auto" w:line="276"/>
      </w:pPr>
      <w:r>
        <w:rPr>
          <w:b/>
        </w:rPr>
        <w:t xml:space="preserve">Abstract (EN): </w:t>
      </w:r>
      <w:r>
        <w:t>Neuroblastoma is a leading cause of childhood cancer mortality, presenting persistent management challenges due to its biological heterogeneity and the limited accessibility of molecular profiling in routine practice. Here we present NEVA (NEuroblastoma Vision–language AI), a multimodal foundation model designed to address these barriers. Unlike conventional approaches that rely on frozen encoders and multiple instance learning, NEVA implements a pathologist-inspired hierarchical workflow with end-to-end optimization. Developed and evaluated in a large multi-institutional cohort of 1,238 patients across multiple centers, NEVA outperforms ten representative foundation models, including TITAN, UNI, and Virchow, across the majority of the 11 clinical tasks evaluated. The model demonstrates diagnostic capability, achieving Area Under the Receiver Operating Characteristic curves of 0.916 for subtype classification, 0.823 for Shimada classification, and 0.806 for risk group stratification. Furthermore, NEVA predicts key molecular alterations from routinely available pathology data, reaching an AUROC of 0.924 for NMYC amplification and 0.830 for 1p36 deletion, while enabling prognostic stratification for progression-free and overall survival across multiple test cohorts. By integrating interpretable attention maps that localize histologically relevant regions, NEVA establishes a scalable framework for neuroblastoma risk stratification and clinical decision support.</w:t>
      </w:r>
    </w:p>
    <w:p>
      <w:pPr>
        <w:spacing w:before="120" w:after="120"/>
      </w:pPr>
      <w:r>
        <w:rPr>
          <w:sz w:val="18"/>
        </w:rPr>
        <w:t>——————————————————————————————————————————————————————————————————————</w:t>
      </w:r>
    </w:p>
    <w:p>
      <w:pPr>
        <w:spacing w:before="160" w:after="40" w:line="240" w:lineRule="auto"/>
      </w:pPr>
      <w:r>
        <w:rPr>
          <w:b/>
        </w:rPr>
        <w:t xml:space="preserve">[557] </w:t>
      </w:r>
      <w:hyperlink r:id="rId1224">
        <w:r>
          <w:rPr>
            <w:color w:val="1155CC"/>
            <w:u w:val="single"/>
          </w:rPr>
          <w:t>BAM-BepA 复合物在外膜蛋白质量控制中的应用</w:t>
        </w:r>
      </w:hyperlink>
    </w:p>
    <w:p>
      <w:pPr>
        <w:spacing w:before="0" w:after="80"/>
      </w:pPr>
      <w:r>
        <w:rPr>
          <w:i/>
          <w:sz w:val="20"/>
        </w:rPr>
        <w:t>EN: BAM-BepA complexes in outer membrane protein quality control</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β-桶组装机器 (BAM) 正确折叠外膜蛋白 (OMP) 对于维持二皮细菌的外膜 (OM) 屏障功能至关重要。当 OMP 生物发生受到干扰时，β-桶组装增强蛋白酶 A (BepA) 会与 BAM 结合以介导质量控制，但 BepA 如何与 BAM 相互作用并降解底物 OMP 仍不清楚。在这里，BAM 结合的 BepA 的冷冻电镜结构表明，BepA 会诱导 BAM 复合物发生较大的构象变化，使酶能够在 BamA 桶下方的 BAM 周质环内保持其活性位点。 BepA 的盖子是动态的，当 BAM 结合时，它的两个水溶性螺旋会深入嵌入膜双层中，从而为 BepA 准备好对错误折叠的 OMP 进行蛋白水解。 BepA 插头的运动是由 OMP 结合触发的，而不是与 BAM 相互作用，从而激活酶进行裂解。我们发现 BepA 优先识别富含 OMP 序列的 Aromatic-X-Aromatic (Ar-X-Ar) 基序。结果揭示了 OMP 质量控制中 BepA 蛋白水解降解的机制，需要与 BAM、膜及其 OMP 底物相互作用。</w:t>
      </w:r>
    </w:p>
    <w:p>
      <w:pPr>
        <w:spacing w:before="0" w:after="200" w:lineRule="auto" w:line="276"/>
      </w:pPr>
      <w:r>
        <w:rPr>
          <w:b/>
        </w:rPr>
        <w:t xml:space="preserve">Abstract (EN): </w:t>
      </w:r>
      <w:r>
        <w:t>Correct folding of outer membrane proteins (OMPs) by the β-barrel assembly machinery (BAM) is essential for maintaining the outer membrane (OM) barrier function of diderm bacteria. When OMP biogenesis is perturbed, the β-barrel assembly enhancing protease A (BepA) binds to BAM to mediate quality control, but how BepA interacts with BAM and degrades substrate OMPs remains unclear. Here, cryoEM structures of BAM-bound BepA reveals that BepA induces large conformational changes in the BAM complex enabling the enzyme to poise its active site within the periplasmic ring of BAM, beneath the BamA barrel. The lid of BepA is dynamic, embedding two of its water-soluble helices deep into the membrane bilayer when BAM-bound, which readies BepA for proteolysis of misfolding OMPs. Movement of BepA’s plug is triggered by OMP binding rather than interaction with BAM, activating the enzyme for cleavage. We reveal BepA preferentially recognises Aromatic-X-Aromatic (Ar-X-Ar) motifs which are enriched in OMP sequences. The results reveal a mechanism for proteolytic degradation by BepA in OMP quality control which requires interaction with BAM, the membrane, and its OMP substrates.</w:t>
      </w:r>
    </w:p>
    <w:p>
      <w:pPr>
        <w:spacing w:before="120" w:after="120"/>
      </w:pPr>
      <w:r>
        <w:rPr>
          <w:sz w:val="18"/>
        </w:rPr>
        <w:t>——————————————————————————————————————————————————————————————————————</w:t>
      </w:r>
    </w:p>
    <w:p>
      <w:pPr>
        <w:spacing w:before="160" w:after="40" w:line="240" w:lineRule="auto"/>
      </w:pPr>
      <w:r>
        <w:rPr>
          <w:b/>
        </w:rPr>
        <w:t xml:space="preserve">[558] </w:t>
      </w:r>
      <w:hyperlink r:id="rId1225">
        <w:r>
          <w:rPr>
            <w:color w:val="1155CC"/>
            <w:u w:val="single"/>
          </w:rPr>
          <w:t>Phylo-Plex：一种基于系统发育的低成本扩增子测序平台，用于可部署的高分辨率基因组流行病学</w:t>
        </w:r>
      </w:hyperlink>
    </w:p>
    <w:p>
      <w:pPr>
        <w:spacing w:before="0" w:after="80"/>
      </w:pPr>
      <w:r>
        <w:rPr>
          <w:i/>
          <w:sz w:val="20"/>
        </w:rPr>
        <w:t>EN: Phylo-Plex: a phylogenetically informed, low-cost amplicon sequencing platform for deployable high-resolution genomic epidemiology</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基因组病原体监测是公共卫生和研究的有力工具，但在资源匮乏的环境中成本高昂且难以实现。大多数亚基因组分型方法牺牲了分辨率，同时仍然昂贵。我们开发了“Phylo-Plex”，这是一种识别信息丰富的基因组区域的新方法，可以最大限度地提高系统发育信息，同时最大限度地减少区域数量。应用于梅毒螺旋体和淋病奈瑟菌，我们设计了一种高分辨率多重PCR测序方案，用于谱系追踪具有不同极端基因组变异的病原体。对于梅毒螺旋体，我们还通过使用 MinION Flongle 细胞对 72 个临床样本进行测序，在实验室和现场环境中设计和评估了 Phylo-Plex 方案。我们的梅毒螺旋体方案包含 59 个多重扩增子，与使用全基因组定义的亚系相比，实现了对精细亚系的高度区分，并证明 qPCR 检测限≤Ct 32。MinION 扩增子测序的变异调用与 Illumina 全基因组测序高度相关。我们在津巴布韦的一个资源匮乏的实验室成功部署了该方法，成本为</w:t>
      </w:r>
    </w:p>
    <w:p>
      <w:pPr>
        <w:spacing w:before="0" w:after="200" w:lineRule="auto" w:line="276"/>
      </w:pPr>
      <w:r>
        <w:rPr>
          <w:b/>
        </w:rPr>
        <w:t xml:space="preserve">Abstract (EN): </w:t>
      </w:r>
      <w:r>
        <w:t>Genomic pathogen surveillance is a powerful tool for public health and research, but is costly and unachievable in low-resource settings. Most sub-genomic typing methods sacrifice resolution whilst remaining costly. We developed “Phylo-Plex”, a novel approach that identifies information-rich genomic regions to maximise phylogenetic information whilst minimising the number of regions. Applied to Treponema pallidum and Neisseria gonorrhoeae, we designed a high-resolution multiplex PCR sequencing scheme for lineage tracking pathogens with different extremes of genome variation. For Treponema pallidum, we also designed and evaluated the Phylo-Plex scheme in the laboratory and field settings by sequencing 72 clinical samples using MinION Flongle cells. Our T. pallidum scheme comprising 59 multiplex amplicons achieved high discrimination of fine-scale sublineages comparable to those defined using whole genomes, and demonstrating a qPCR detection limit ≤Ct 32. Variant calls from MinION amplicon sequencing were highly correlated with Illumina whole genome sequencing. We successfully deployed the method in a low-resource laboratory in Zimbabwe, costed at</w:t>
      </w:r>
    </w:p>
    <w:p>
      <w:pPr>
        <w:spacing w:before="120" w:after="120"/>
      </w:pPr>
      <w:r>
        <w:rPr>
          <w:sz w:val="18"/>
        </w:rPr>
        <w:t>——————————————————————————————————————————————————————————————————————</w:t>
      </w:r>
    </w:p>
    <w:p>
      <w:pPr>
        <w:spacing w:before="160" w:after="40" w:line="240" w:lineRule="auto"/>
      </w:pPr>
      <w:r>
        <w:rPr>
          <w:b/>
        </w:rPr>
        <w:t xml:space="preserve">[559] </w:t>
      </w:r>
      <w:hyperlink r:id="rId1226">
        <w:r>
          <w:rPr>
            <w:color w:val="1155CC"/>
            <w:u w:val="single"/>
          </w:rPr>
          <w:t>扭曲魔角双层石墨烯中的凯库勒超导</w:t>
        </w:r>
      </w:hyperlink>
    </w:p>
    <w:p>
      <w:pPr>
        <w:spacing w:before="0" w:after="80"/>
      </w:pPr>
      <w:r>
        <w:rPr>
          <w:i/>
          <w:sz w:val="20"/>
        </w:rPr>
        <w:t>EN: Kekulé superconductivity in twisted magic angle bilayer graphene</w:t>
      </w:r>
    </w:p>
    <w:p>
      <w:pPr>
        <w:spacing w:before="0" w:after="120"/>
      </w:pPr>
      <w:r>
        <w:rPr>
          <w:b/>
        </w:rPr>
        <w:t xml:space="preserve">Source: </w:t>
      </w:r>
      <w:r>
        <w:t>Physical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虽然它是过去十年中最重要的新物理发现之一，但扭曲石墨烯家族的超导性质仍然是一个未解决的问题。受最近报告莫尔石墨烯超导体凯库勒有序的扫描隧道实验的启发，我们开发了扭曲双层系统超导性的微观理论。我们发现的配对是谷内有限动量配对密度波（PDW），本质上带有凯库勒调制。这种状态表现出四个显着特征：（i）C3旋转对称性自发破缺，产生向列有序； (ii) 三联体配对； (iii) 随着吸引力的增加，准粒子态密度从 V 形轮廓演变为完全带隙的 U 形谱，同时伴随着 (iv) 温度相关的零偏置电导的系统行为。这些功能与关键的实验特征相一致。我们还发现，只要有适度的相互作用强度，该状态就接近类似 BEC 的相位，这与观察到的极短相干长度一致。综上所述，这些结果表明微观谷内 Kekulé PDW 是扭曲石墨烯家族中非常规超导性的有力候选者。</w:t>
      </w:r>
    </w:p>
    <w:p>
      <w:pPr>
        <w:spacing w:before="0" w:after="200" w:lineRule="auto" w:line="276"/>
      </w:pPr>
      <w:r>
        <w:rPr>
          <w:b/>
        </w:rPr>
        <w:t xml:space="preserve">Abstract (EN): </w:t>
      </w:r>
      <w:r>
        <w:t>While it has been one of the most important new physics discoveries in the last decade, the nature of superconductivity in the twisted graphene family remains an unsolved problem. Motivated by recent scanning tunneling experiments that report Kekulé ordering in moiré graphene superconductors, we develop a microscopic theory of this superconductivity for the twisted bilayer system. The pairing we find is an intra-valley, finite-momentum pair-density wave (PDW) that intrinsically carries a Kekulé modulation. This state exhibits four salient features: (i) spontaneous breaking of C3 rotation symmetry, producing nematic order; (ii) triplet pairing; and (iii) a quasiparticle density of states that evolves from a V-shaped profile to a fully gapped, U-shaped spectrum as the attraction increases, which is accompanied by (iv) systematic behavior of the temperature dependent zero bias conductance. These features align with key experimental signatures. We find, as well, that with only modest interaction strengths, the state is near to a BEC-like phase, consistent with the observed extremely short coherence lengths. Taken together, these results identify a microscopic intra-valley Kekulé PDW as a compelling candidate for unconventional superconductivity in the twisted graphene family.</w:t>
      </w:r>
    </w:p>
    <w:p>
      <w:pPr>
        <w:spacing w:before="120" w:after="120"/>
      </w:pPr>
      <w:r>
        <w:rPr>
          <w:sz w:val="18"/>
        </w:rPr>
        <w:t>——————————————————————————————————————————————————————————————————————</w:t>
      </w:r>
    </w:p>
    <w:p>
      <w:pPr>
        <w:spacing w:before="160" w:after="40" w:line="240" w:lineRule="auto"/>
      </w:pPr>
      <w:r>
        <w:rPr>
          <w:b/>
        </w:rPr>
        <w:t xml:space="preserve">[560] </w:t>
      </w:r>
      <w:hyperlink r:id="rId1227">
        <w:r>
          <w:rPr>
            <w:color w:val="1155CC"/>
            <w:u w:val="single"/>
          </w:rPr>
          <w:t>寻找最小曝光时间来理解视觉感知的意义</w:t>
        </w:r>
      </w:hyperlink>
    </w:p>
    <w:p>
      <w:pPr>
        <w:spacing w:before="0" w:after="80"/>
      </w:pPr>
      <w:r>
        <w:rPr>
          <w:i/>
          <w:sz w:val="20"/>
        </w:rPr>
        <w:t>EN: The meaningfulness of searching for minimal exposure duration to understand visual perception</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[561] </w:t>
      </w:r>
      <w:hyperlink r:id="rId1228">
        <w:r>
          <w:rPr>
            <w:color w:val="1155CC"/>
            <w:u w:val="single"/>
          </w:rPr>
          <w:t>出版商更正：使用 Raman-SIP 捕获的微生物生长速率揭示了由蛇纹石化推动的高度活跃的地下生物圈</w:t>
        </w:r>
      </w:hyperlink>
    </w:p>
    <w:p>
      <w:pPr>
        <w:spacing w:before="0" w:after="80"/>
      </w:pPr>
      <w:r>
        <w:rPr>
          <w:i/>
          <w:sz w:val="20"/>
        </w:rPr>
        <w:t>EN: Publisher Correction: Microbial growth rates captured using Raman-SIP reveal a highly active subsurface biosphere fueled by serpentinization</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[562] </w:t>
      </w:r>
      <w:hyperlink r:id="rId1229">
        <w:r>
          <w:rPr>
            <w:color w:val="1155CC"/>
            <w:u w:val="single"/>
          </w:rPr>
          <w:t>地球风沙丘的分布</w:t>
        </w:r>
      </w:hyperlink>
    </w:p>
    <w:p>
      <w:pPr>
        <w:spacing w:before="0" w:after="80"/>
      </w:pPr>
      <w:r>
        <w:rPr>
          <w:i/>
          <w:sz w:val="20"/>
        </w:rPr>
        <w:t>EN: The distribution of Earth’s wind-blown sand dunes</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当有沉积物来源和足够的风时，沙丘就会形成。沙丘形态和发生情况可用于推断沉积物来源分布和形成气候条件。当地球、其他行星和过去的直接气候观测具有挑战性时，这非常有用。然而，目前还没有完整、准确的、具有可区分形态的地球沙丘出现的数字地图。在这里，我们展示了该地图并证明，在干旱环境中，沙丘的存在主要是通过汇聚运输和来源接近来解释的，而在潮湿的气候中，风力强度是一个额外的限制。通过限制对从全球可用图像和地形数据中识别的沙丘进行分析，我们生成了一致的数据集，可用于推断地质和气候的各个方面，并提高对风沙景观的理解。我们提供了一个示例，使用新月形沙丘方向来演示沉积物推断和风特征之间的权衡。</w:t>
      </w:r>
    </w:p>
    <w:p>
      <w:pPr>
        <w:spacing w:before="0" w:after="200" w:lineRule="auto" w:line="276"/>
      </w:pPr>
      <w:r>
        <w:rPr>
          <w:b/>
        </w:rPr>
        <w:t xml:space="preserve">Abstract (EN): </w:t>
      </w:r>
      <w:r>
        <w:t>Sand dunes develop when there is a source of sediment and adequate wind. Dune morphology and occurrence can then be used to infer sediment source distribution and formative climate conditions. This is useful where direct climate observation is challenging on Earth, other planets, and the past. However, there has been no complete and accurate digital map of the occurrence of Earth’s sand dunes with distinguishable morphologies. Here we present that map and demonstrate that in arid environments dune presence is mostly explained by convergent transport and source proximity, whereas in wetter climates wind strength is an additional constraint. By limiting analysis to dunes identified from globally available imagery and topographic data, we produce a consistent dataset useful for inferring myriad aspects of geology and climate, and improving understanding of aeolian landscapes. We provide an example, using barchan dune orientations, to demonstrate a trade-off between inference of sediment and wind characteristics.</w:t>
      </w:r>
    </w:p>
    <w:p>
      <w:pPr>
        <w:spacing w:before="120" w:after="120"/>
      </w:pPr>
      <w:r>
        <w:rPr>
          <w:sz w:val="18"/>
        </w:rPr>
        <w:t>——————————————————————————————————————————————————————————————————————</w:t>
      </w:r>
    </w:p>
    <w:p>
      <w:pPr>
        <w:spacing w:before="160" w:after="40" w:line="240" w:lineRule="auto"/>
      </w:pPr>
      <w:r>
        <w:rPr>
          <w:b/>
        </w:rPr>
        <w:t xml:space="preserve">[563] </w:t>
      </w:r>
      <w:hyperlink r:id="rId1230">
        <w:r>
          <w:rPr>
            <w:color w:val="1155CC"/>
            <w:u w:val="single"/>
          </w:rPr>
          <w:t>作者更正：硫硅耦合同位素揭示了太古代大陆的表壳起源</w:t>
        </w:r>
      </w:hyperlink>
    </w:p>
    <w:p>
      <w:pPr>
        <w:spacing w:before="0" w:after="80"/>
      </w:pPr>
      <w:r>
        <w:rPr>
          <w:i/>
          <w:sz w:val="20"/>
        </w:rPr>
        <w:t>EN: Author Correction: Coupled sulfur-silicon isotopes reveal supracrustal origin of Archean continents</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[564] </w:t>
      </w:r>
      <w:hyperlink r:id="rId1231">
        <w:r>
          <w:rPr>
            <w:color w:val="1155CC"/>
            <w:u w:val="single"/>
          </w:rPr>
          <w:t>优先氮滞留是美国湖泊当前富营养化的特征</w:t>
        </w:r>
      </w:hyperlink>
    </w:p>
    <w:p>
      <w:pPr>
        <w:spacing w:before="0" w:after="80"/>
      </w:pPr>
      <w:r>
        <w:rPr>
          <w:i/>
          <w:sz w:val="20"/>
        </w:rPr>
        <w:t>EN: Preferential nitrogen retention characterizes current eutrophication in United States lakes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湖泊中氮（N）和磷（P）的相对保留及其在养分循环中的作用仍然存在争议。尽管美国对湖泊实施了长期的控磷措施，但近二十年来，莫名其妙的富营养化加剧现象仍然反复出现。在这里，我们结合机器学习和贝叶斯分层方法，对美国 121 个湖泊在 2012 年至 2022 年期间的养分保留变化进行地理跟踪和分析。我们发现，2012年70.3%的湖泊对磷的优先保留转移到2017年85.1%的湖泊和2022年92.6%的湖泊对氮的优先保留。四个关键湖泊指标表现出闪烁的动态，这可能有助于识别水生生态系统中的营养代谢紊乱状态。总体而言，我们的结果表明，2012-2022 年美国湖泊的富营养化正在以优先和净养分保留从 P 到 N 的转变、闪烁状动态以及相关的营养物代谢紊乱状态的发生为基础，这些都主要由内部循环而不是外部负荷驱动。这些模式与状态转变的可能性一致，而不是简单的富营养化复发，并提供了与湖泊管理和水质改善策略相关的见解。</w:t>
      </w:r>
    </w:p>
    <w:p>
      <w:pPr>
        <w:spacing w:before="0" w:after="200" w:lineRule="auto" w:line="276"/>
      </w:pPr>
      <w:r>
        <w:rPr>
          <w:b/>
        </w:rPr>
        <w:t xml:space="preserve">Abstract (EN): </w:t>
      </w:r>
      <w:r>
        <w:t>The relative retention of nitrogen (N) and phosphorus (P) in lakes and their roles in nutrient cycling remain debated. Although the United States has implemented long-term P control measures in lakes, inexplicable eutrophication exacerbation still reoccurred over the past two decades. Here we geographically track and analyze the nutrient retention changes of 121 lakes in the USA during 2012-2022 using a combination of machine learning and Bayesian hierarchical methods. We find that the preferential retention of P in 70.3% lakes in 2012 shifted to that of N in 85.1% lakes in 2017, and 92.6% lakes in 2022. Four key lake indicators exhibit flickering-like dynamics, which may help identify the nutrient metabolic disorder-like state in the aquatic ecosystem. Overall, our results show that eutrophication in U.S. lakes during 2012-2022 is advancing on the basis of preferential and net nutrient retention shift from P to N, flickering-like dynamics, and associated occurrence of the nutrient metabolic disorder-like state that are all predominantly driven by internal cycling instead of external loading. These patterns are consistent with the possibility of a regime shift rather than simple eutrophication recurrence, and provide insights relevant to lake management and water quality improvement strategies.</w:t>
      </w:r>
    </w:p>
    <w:p>
      <w:pPr>
        <w:spacing w:before="120" w:after="120"/>
      </w:pPr>
      <w:r>
        <w:rPr>
          <w:sz w:val="18"/>
        </w:rPr>
        <w:t>——————————————————————————————————————————————————————————————————————</w:t>
      </w:r>
    </w:p>
    <w:p>
      <w:pPr>
        <w:spacing w:before="160" w:after="40" w:line="240" w:lineRule="auto"/>
      </w:pPr>
      <w:r>
        <w:rPr>
          <w:b/>
        </w:rPr>
        <w:t xml:space="preserve">[565] </w:t>
      </w:r>
      <w:hyperlink r:id="rId1232">
        <w:r>
          <w:rPr>
            <w:color w:val="1155CC"/>
            <w:u w:val="single"/>
          </w:rPr>
          <w:t>热量限制通过脂联素-神经酰胺轴改善非肥胖男性和女性的血糖控制：CALERIE™ 2 随机对照试验</w:t>
        </w:r>
      </w:hyperlink>
    </w:p>
    <w:p>
      <w:pPr>
        <w:spacing w:before="0" w:after="80"/>
      </w:pPr>
      <w:r>
        <w:rPr>
          <w:i/>
          <w:sz w:val="20"/>
        </w:rPr>
        <w:t>EN: Caloric restriction improves glycemic control via the adiponectin–ceramide axis in non-obese men and women: the CALERIE™ 2 randomized controlled trial</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热量限制（CR）可以改善物种间的代谢健康，但其对人类影响的分子介导因素仍未完全确定。在一项针对 21 至 50 岁非肥胖（BMI 22-27.9 kg/m2）男性和绝经前女性的为期 24 个月的非盲随机对照试验（Clinicaltrial.gov：NCT00427193）中，我们评估了预先设定的结果。参与者被随机分为随意饮食或 CR 饮食。我们发现 CR 与高分子量 (HMW) 脂联素增加和与胰岛素抵抗有关的循环神经酰胺种类减少有关，包括 C16:0、C18:0 和 C24:0。中介分析表明，神经酰胺的减少与 CR 相关的胰岛素分泌、胰岛素敏感性和 IGF-1 信号标记物改善的部分中介作用在统计学上是一致的。这些影响在 12 个月时最为明显，并在 24 个月时减弱，表明随着时间的推移会出现部分代谢适应。总体而言，我们的研究结果与 CR 重塑生物活性脂质谱并可能部分通过脂联素-神经酰胺相关机制增强葡萄糖代谢的模型一致，突出了增强代谢健康的潜在治疗轴。</w:t>
      </w:r>
    </w:p>
    <w:p>
      <w:pPr>
        <w:spacing w:before="0" w:after="200" w:lineRule="auto" w:line="276"/>
      </w:pPr>
      <w:r>
        <w:rPr>
          <w:b/>
        </w:rPr>
        <w:t xml:space="preserve">Abstract (EN): </w:t>
      </w:r>
      <w:r>
        <w:t>Caloric restriction (CR) improves metabolic health across species, but the molecular mediators of its effects in humans remain incompletely defined. In a 24-month non-blinded randomized controlled trial (Clinicaltrial.gov: NCT00427193) of non-obese (BMI 22-27.9 kg/m2) men and premenopausal women aged 21 to 50 years, we assessed prespecified outcomes. Participants were randomized to an ad libitum or CR diet. We found that CR was associated with increased high-molecular-weight (HMW) adiponectin and reduced circulating ceramide species implicated in insulin resistance, including C16:0, C18:0, and C24:0. Mediation analysis indicated that reductions in ceramides were statistically compatible with partial mediation of the CR-associated improvements in insulin secretion, insulin sensitivity, and IGF-1 signaling markers. These effects were most pronounced at 12 months and attenuated by 24 months, suggesting partial metabolic adaptation over time. Overall, our findings are consistent with a model in which CR remodels bioactive lipid profiles and may enhance glucose metabolism in part through an adiponectin-ceramide-linked mechanism, highlighting a potential therapeutic axis for enhancing metabolic health.</w:t>
      </w:r>
    </w:p>
    <w:p>
      <w:pPr>
        <w:spacing w:before="120" w:after="120"/>
      </w:pPr>
      <w:r>
        <w:rPr>
          <w:sz w:val="18"/>
        </w:rPr>
        <w:t>——————————————————————————————————————————————————————————————————————</w:t>
      </w:r>
    </w:p>
    <w:p>
      <w:pPr>
        <w:spacing w:before="160" w:after="40" w:line="240" w:lineRule="auto"/>
      </w:pPr>
      <w:r>
        <w:rPr>
          <w:b/>
        </w:rPr>
        <w:t xml:space="preserve">[566] </w:t>
      </w:r>
      <w:hyperlink r:id="rId1233">
        <w:r>
          <w:rPr>
            <w:color w:val="1155CC"/>
            <w:u w:val="single"/>
          </w:rPr>
          <w:t>海洋内部小规模湍流的气候范围</w:t>
        </w:r>
      </w:hyperlink>
    </w:p>
    <w:p>
      <w:pPr>
        <w:spacing w:before="0" w:after="80"/>
      </w:pPr>
      <w:r>
        <w:rPr>
          <w:i/>
          <w:sz w:val="20"/>
        </w:rPr>
        <w:t>EN: Climatic reach of small-scale turbulence in the ocean interior</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海洋内部的小规模湍流混合对于控制海洋环流和示踪剂分布乃至全球气候至关重要。然而，这种作用的全球范围及其对混合微观物理的依赖性仍然没有得到充分的了解。在这里，我们强调这种内部湍流混合可以塑造气候系统的时空尺度的多样性。除了在百年到千年的时间尺度上促进海洋环流深层分支平衡方面的既定作用外，内部湍流混合还是短至亚年时间尺度上的海洋示踪剂预算的主要决定因素。我们强调了垂直（双重）混合和横向（等重）搅拌的相互依赖性在确定海洋湍流的大规模影响方面的重要性。最后，我们总结了在地球系统模型中充分准确地表示混合的理论、观测和计算瓶颈，并讨论了在这些领域取得进展的新机会。</w:t>
      </w:r>
    </w:p>
    <w:p>
      <w:pPr>
        <w:spacing w:before="0" w:after="200" w:lineRule="auto" w:line="276"/>
      </w:pPr>
      <w:r>
        <w:rPr>
          <w:b/>
        </w:rPr>
        <w:t xml:space="preserve">Abstract (EN): </w:t>
      </w:r>
      <w:r>
        <w:t>Small-scale turbulent mixing in the ocean interior is vital in governing ocean circulation and tracer distributions, and hence global climate. However, the planetary extent of this role and its dependence on the microphysics of mixing remain inadequately understood. Here, we emphasize the variety of spatio-temporal scales on which such interior turbulent mixing can shape the climate system. In addition to its well-established role in facilitating the equilibration of deep branches of ocean circulation on centennial-to-millennial timescales, interior turbulent mixing is a leading determinant of oceanic tracer budgets on timescales as short as sub-annual. We highlight the importance of the co-dependence of vertical (diapycnal) mixing and lateral (isopycnal) stirring in establishing the large-scale impacts of oceanic turbulence. We conclude with a summary of theoretical, observational and computational bottlenecks in the way of a sufficiently accurate representation of mixing in Earth System Models, and discuss emerging opportunities for making progress in these areas.</w:t>
      </w:r>
    </w:p>
    <w:p>
      <w:pPr>
        <w:spacing w:before="120" w:after="120"/>
      </w:pPr>
      <w:r>
        <w:rPr>
          <w:sz w:val="18"/>
        </w:rPr>
        <w:t>——————————————————————————————————————————————————————————————————————</w:t>
      </w:r>
    </w:p>
    <w:p>
      <w:pPr>
        <w:spacing w:before="160" w:after="40" w:line="240" w:lineRule="auto"/>
      </w:pPr>
      <w:r>
        <w:rPr>
          <w:b/>
        </w:rPr>
        <w:t xml:space="preserve">[567] </w:t>
      </w:r>
      <w:hyperlink r:id="rId1234">
        <w:r>
          <w:rPr>
            <w:color w:val="1155CC"/>
            <w:u w:val="single"/>
          </w:rPr>
          <w:t>驱动本质无序蛋白质凝结物形成的相互作用的蛋白质组规模量化</w:t>
        </w:r>
      </w:hyperlink>
    </w:p>
    <w:p>
      <w:pPr>
        <w:spacing w:before="0" w:after="80"/>
      </w:pPr>
      <w:r>
        <w:rPr>
          <w:i/>
          <w:sz w:val="20"/>
        </w:rPr>
        <w:t>EN: Proteome-scale quantification of the interactions driving condensate formation of intrinsically disordered proteins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生物分子凝聚体形式的细胞组织是所有生命形式的基本调节机制。冷凝物的形成依赖于多价相互作用，这些相互作用通常很弱且短暂，这使得它们难以进行实验研究。我们开发了 mRNA-Display 冷凝分配 (CPmD)，用于测量肽和核酸分配自由能到重构冷凝中的相互作用。 CPmD 将实验通量提高了几个数量级，我们应用它来揭示驱动本质无序蛋白质的凝聚物形成的相互作用。我们表明，来自无序蛋白质组的约十万个肽进入模型凝聚物的分配自由能直接反映了它们形成凝聚物的内在倾向。我们发现，与疏水性相关的氨基酸含量是相行为的主要决定因素。此外，CPmD 独特地解决了可以编码特异性的微妙序列依赖性贡献。因此，CPmD 提供了一个强大的工具来破译蛋白质和 RNA 之间的弱相互作用如何通过冷凝物形成来调节生物功能。</w:t>
      </w:r>
    </w:p>
    <w:p>
      <w:pPr>
        <w:spacing w:before="0" w:after="200" w:lineRule="auto" w:line="276"/>
      </w:pPr>
      <w:r>
        <w:rPr>
          <w:b/>
        </w:rPr>
        <w:t xml:space="preserve">Abstract (EN): </w:t>
      </w:r>
      <w:r>
        <w:t>Cellular organization in the form of biomolecular condensates is a fundamental regulatory mechanism across all forms of life. Formation of condensates relies on multivalent interactions that are often weak and transient, making them challenging to study experimentally. We have developed Condensate Partitioning by mRNA-Display (CPmD) to measure these interactions from the partition free energies of peptides and nucleic acids into reconstituted condensates. CPmD increases experimental throughput by several orders of magnitude, and we apply it to reveal the interactions driving condensate formation of intrinsically disordered proteins. We show that the partition free energies of about one hundred thousand peptides derived from the disordered proteome into a model condensate directly reflect their intrinsic propensity to form condensates. We reveal that amino acid content, linked to hydrophobicity, is the primary determinant of phase behavior. Additionally, CPmD uniquely resolves subtle sequence-dependent contributions that can encode specificity. CPmD thus provides a powerful tool to decipher how weak interactions between protein and RNA regulate biological function through condensate formation.</w:t>
      </w:r>
    </w:p>
    <w:p>
      <w:pPr>
        <w:spacing w:before="120" w:after="120"/>
      </w:pPr>
      <w:r>
        <w:rPr>
          <w:sz w:val="18"/>
        </w:rPr>
        <w:t>——————————————————————————————————————————————————————————————————————</w:t>
      </w:r>
    </w:p>
    <w:p>
      <w:pPr>
        <w:spacing w:before="160" w:after="40" w:line="240" w:lineRule="auto"/>
      </w:pPr>
      <w:r>
        <w:rPr>
          <w:b/>
        </w:rPr>
        <w:t xml:space="preserve">[568] </w:t>
      </w:r>
      <w:hyperlink r:id="rId1235">
        <w:r>
          <w:rPr>
            <w:color w:val="1155CC"/>
            <w:u w:val="single"/>
          </w:rPr>
          <w:t>解决意义不确定的 TSC2 变体的集成、规模化方法</w:t>
        </w:r>
      </w:hyperlink>
    </w:p>
    <w:p>
      <w:pPr>
        <w:spacing w:before="0" w:after="80"/>
      </w:pPr>
      <w:r>
        <w:rPr>
          <w:i/>
          <w:sz w:val="20"/>
        </w:rPr>
        <w:t>EN: An integrated, scaled approach to resolve TSC2 variants of uncertain significance</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获得精确的遗传性结节性硬化症诊断是一项挑战，因为许多错义 TSC2 变异是意义不确定的变异。 TSC2 中意义不确定的变体已通过一次性功能测定解决，但这些测定无法扩展到迄今为止观察到的 3634 个意义不确定的 TSC2 错义变体。为了应对这一挑战，我们使用大规模并行测序来测量近 9000 个 TSC2 错义变体的稳态丰度，并使用基因组编辑和细胞分选开发 mTOR 通路活性测定，以生成 391 个错义变体的活性评分。我们观察到，检测的 8864 个错义变体中有 1256 个（14.17%）改变了 TSC2 丰度，检测的 391 个错义变体中有 69 个（17.65%）改变了 mTOR 通路活性。将这些数据校准并整合到临床队列中识别的变异分类中，推测重新分类了 276 个 (76.8%) TSC2 意义不确定的 TSC2 错义变异中的 212 个。这些数据集将改进结节性硬化症的基因诊断，对患者及其家人的临床管理产生潜在的积极影响。</w:t>
      </w:r>
    </w:p>
    <w:p>
      <w:pPr>
        <w:spacing w:before="0" w:after="200" w:lineRule="auto" w:line="276"/>
      </w:pPr>
      <w:r>
        <w:rPr>
          <w:b/>
        </w:rPr>
        <w:t xml:space="preserve">Abstract (EN): </w:t>
      </w:r>
      <w:r>
        <w:t>Obtaining a precise genetic tuberous sclerosis complex diagnosis is a challenge as many missense TSC2 variants are variants of uncertain significance. Variants of uncertain significance in TSC2 have been resolved by one-at-a-time functional assays, but these assays cannot scale to the 3634 TSC2 missense variants of uncertain significance observed so far. To address this challenge, we use massively parallel sequencing to measure the steady-state abundance of almost 9000 TSC2 missense variants and develop an mTOR pathway activity assay using genome editing and cell sorting to generate activity scores for 391 missense variants. We observe that 1256 of 8864 (14.17%) missense variants assayed have altered TSC2 abundance, and 69 of 391 (17.65%) missense variants assayed have altered mTOR pathway activity. Calibration and integration of these data into classification of variants identified in a clinical cohort putatively reclassifies 212 of 276 (76.8%) TSC2 missense variants of uncertain significance. These datasets will lead to improved genetic diagnosis of tuberous sclerosis complex with potential positive impacts on the clinical management of patients and their families.</w:t>
      </w:r>
    </w:p>
    <w:p>
      <w:pPr>
        <w:spacing w:before="120" w:after="120"/>
      </w:pPr>
      <w:r>
        <w:rPr>
          <w:sz w:val="18"/>
        </w:rPr>
        <w:t>——————————————————————————————————————————————————————————————————————</w:t>
      </w:r>
    </w:p>
    <w:p>
      <w:pPr>
        <w:spacing w:before="160" w:after="40" w:line="240" w:lineRule="auto"/>
      </w:pPr>
      <w:r>
        <w:rPr>
          <w:b/>
        </w:rPr>
        <w:t xml:space="preserve">[569] </w:t>
      </w:r>
      <w:hyperlink r:id="rId1236">
        <w:r>
          <w:rPr>
            <w:color w:val="1155CC"/>
            <w:u w:val="single"/>
          </w:rPr>
          <w:t>“这一次，情况正好相反”：印度尼西亚如何重塑人类历史科学</w:t>
        </w:r>
      </w:hyperlink>
    </w:p>
    <w:p>
      <w:pPr>
        <w:spacing w:before="0" w:after="80"/>
      </w:pPr>
      <w:r>
        <w:rPr>
          <w:i/>
          <w:sz w:val="20"/>
        </w:rPr>
        <w:t>EN: ‘This time, it’s the other way around’: how Indonesia is reclaiming the science of human history</w:t>
      </w:r>
    </w:p>
    <w:p>
      <w:pPr>
        <w:spacing w:before="0" w:after="120"/>
      </w:pPr>
      <w:r>
        <w:rPr>
          <w:b/>
        </w:rPr>
        <w:t xml:space="preserve">Source: </w:t>
      </w:r>
      <w:r>
        <w:t>Nature</w:t>
      </w:r>
      <w:r>
        <w:t xml:space="preserve">    </w:t>
      </w:r>
      <w:r>
        <w:rPr>
          <w:b/>
        </w:rPr>
        <w:t xml:space="preserve">Pub date: </w:t>
      </w:r>
      <w:r>
        <w:t>2026-07-09 00:00:00+00:00</w:t>
      </w:r>
      <w:r>
        <w:t xml:space="preserve">    </w:t>
      </w:r>
      <w:r>
        <w:rPr>
          <w:b/>
        </w:rPr>
        <w:t xml:space="preserve">DOI: </w:t>
      </w:r>
      <w:hyperlink r:id="rId1237">
        <w:r>
          <w:rPr>
            <w:color w:val="1155CC"/>
            <w:u w:val="single"/>
          </w:rPr>
          <w:t>10.1038/d41586-026-01357-3</w:t>
        </w:r>
      </w:hyperlink>
    </w:p>
    <w:p>
      <w:pPr>
        <w:spacing w:before="0" w:after="120"/>
      </w:pPr>
      <w:r>
        <w:rPr>
          <w:b/>
        </w:rPr>
        <w:t xml:space="preserve">Notes: </w:t>
      </w:r>
      <w:r>
        <w:t>abstract_source=nature_html</w:t>
      </w:r>
    </w:p>
    <w:p>
      <w:pPr>
        <w:spacing w:before="0" w:after="80" w:lineRule="auto" w:line="276"/>
      </w:pPr>
      <w:r>
        <w:rPr>
          <w:b/>
        </w:rPr>
        <w:t xml:space="preserve">摘要（ZH）: </w:t>
      </w:r>
      <w:r>
        <w:t>在对其研究生态系统进行大规模重组之后，印度尼西亚正在引领自己的古生物学研究。在对其研究生态系统进行大规模重组之后，印度尼西亚正在引领自己的古生物学研究。</w:t>
      </w:r>
    </w:p>
    <w:p>
      <w:pPr>
        <w:spacing w:before="0" w:after="200" w:lineRule="auto" w:line="276"/>
      </w:pPr>
      <w:r>
        <w:rPr>
          <w:b/>
        </w:rPr>
        <w:t xml:space="preserve">Abstract (EN): </w:t>
      </w:r>
      <w:r>
        <w:t>After a massive restructuring of its research ecosystem, Indonesia is taking the lead on its own palaeontological research. After a massive restructuring of its research ecosystem, Indonesia is taking the lead on its own palaeontological research.</w:t>
      </w:r>
    </w:p>
    <w:p>
      <w:pPr>
        <w:spacing w:before="120" w:after="120"/>
      </w:pPr>
      <w:r>
        <w:rPr>
          <w:sz w:val="18"/>
        </w:rPr>
        <w:t>——————————————————————————————————————————————————————————————————————</w:t>
      </w:r>
    </w:p>
    <w:p>
      <w:pPr>
        <w:spacing w:before="160" w:after="40" w:line="240" w:lineRule="auto"/>
      </w:pPr>
      <w:r>
        <w:rPr>
          <w:b/>
        </w:rPr>
        <w:t xml:space="preserve">[570] </w:t>
      </w:r>
      <w:hyperlink r:id="rId1238">
        <w:r>
          <w:rPr>
            <w:color w:val="1155CC"/>
            <w:u w:val="single"/>
          </w:rPr>
          <w:t>人为强迫下土壤水分干旱遗产的不对称温度响应</w:t>
        </w:r>
      </w:hyperlink>
    </w:p>
    <w:p>
      <w:pPr>
        <w:spacing w:before="0" w:after="80"/>
      </w:pPr>
      <w:r>
        <w:rPr>
          <w:i/>
          <w:sz w:val="20"/>
        </w:rPr>
        <w:t>EN: Asymmetric temperature responses to soil moisture drought legacies under anthropogenic forcing</w:t>
      </w:r>
    </w:p>
    <w:p>
      <w:pPr>
        <w:spacing w:before="0" w:after="120"/>
      </w:pPr>
      <w:r>
        <w:rPr>
          <w:b/>
        </w:rPr>
        <w:t xml:space="preserve">Source: </w:t>
      </w:r>
      <w:r>
        <w:t>Earth and environmental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随着人为强迫的加剧，许多地区土壤水分干旱已变得普遍。土壤湿度异常可以通过调节能量和碳通量来影响近地表空气温度。然而，土壤水分干旱后一年的温度对土壤水分异常的响应仍不清楚。在这里，我们表明，土壤水分干旱后一年的年度土壤水流失比等量增水带来的年度降温产生更大的年度变暖效应。这种不对称反应只有在考虑了人为温室气体强迫的影响时才会出现，即土壤水分干旱后植被受到的抑制比土壤水分增加后植被的增强更强，从而导致蒸腾和碳吸收减少，从而共同加剧变暖。全球超过 60% 的陆地面积表现出不对称性。我们的研究结果表明，过去的极端气候可能会损害植被调节生物物理和生物地球化学过程的能力，从而加速未来的变暖。</w:t>
      </w:r>
    </w:p>
    <w:p>
      <w:pPr>
        <w:spacing w:before="0" w:after="200" w:lineRule="auto" w:line="276"/>
      </w:pPr>
      <w:r>
        <w:rPr>
          <w:b/>
        </w:rPr>
        <w:t xml:space="preserve">Abstract (EN): </w:t>
      </w:r>
      <w:r>
        <w:t>As anthropogenic forcing intensifies, soil moisture droughts have become prevalent across many regions. Soil moisture anomalies can influence near-surface air temperature by modulating both energy and carbon fluxes. However, the annual temperature response to soil moisture anomalies in the year following a soil moisture drought remains unclear. Here, we show that annual soil water loss in the year after soil moisture droughts induces a larger annual warming effect than the annual cooling from an equivalent water gain. This asymmetric response arises only when the effects of anthropogenic greenhouse gas forcing are included, where vegetation is more strongly suppressed after soil moisture drought than enhanced after soil moisture gaining, contributing to reduced transpiration and carbon uptake that collectively amplify warming. More than 60% of global land areas exhibit the asymmetry. Our findings suggest that past climate extremes may accelerate future warming by impairing vegetation’s capacity to regulate biophysical and biogeochemical processes.</w:t>
      </w:r>
    </w:p>
    <w:p>
      <w:pPr>
        <w:spacing w:before="120" w:after="120"/>
      </w:pPr>
      <w:r>
        <w:rPr>
          <w:sz w:val="18"/>
        </w:rPr>
        <w:t>——————————————————————————————————————————————————————————————————————</w:t>
      </w:r>
    </w:p>
    <w:p>
      <w:pPr>
        <w:spacing w:before="160" w:after="40" w:line="240" w:lineRule="auto"/>
      </w:pPr>
      <w:r>
        <w:rPr>
          <w:b/>
        </w:rPr>
        <w:t xml:space="preserve">[571] </w:t>
      </w:r>
      <w:hyperlink r:id="rId1239">
        <w:r>
          <w:rPr>
            <w:color w:val="1155CC"/>
            <w:u w:val="single"/>
          </w:rPr>
          <w:t>作者更正：线粒体β-氧化酶HADHA通过促进β-羟基丁酸的产生来抑制肝胰高血糖素反应</w:t>
        </w:r>
      </w:hyperlink>
    </w:p>
    <w:p>
      <w:pPr>
        <w:spacing w:before="0" w:after="80"/>
      </w:pPr>
      <w:r>
        <w:rPr>
          <w:i/>
          <w:sz w:val="20"/>
        </w:rPr>
        <w:t>EN: Author Correction: The mitochondrial β-oxidation enzyme HADHA restrains hepatic glucagon response by promoting β-hydroxybutyrate production</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[572] </w:t>
      </w:r>
      <w:hyperlink r:id="rId1240">
        <w:r>
          <w:rPr>
            <w:color w:val="1155CC"/>
            <w:u w:val="single"/>
          </w:rPr>
          <w:t>用于精确靶向脑转移的工程两性离子纳米递送</w:t>
        </w:r>
      </w:hyperlink>
    </w:p>
    <w:p>
      <w:pPr>
        <w:spacing w:before="0" w:after="80"/>
      </w:pPr>
      <w:r>
        <w:rPr>
          <w:i/>
          <w:sz w:val="20"/>
        </w:rPr>
        <w:t>EN: Engineered zwitterion-nanodelivery for precision targeting of brain metastases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中枢神经系统是癌症转移的关键储存库，这凸显了迫切需要有效的靶向药物输送策略，以最大限度地减少全身副作用。在这里，我们提出了一种两性离子聚羧基甜菜碱（PCB），旨在实现脑转移瘤血管系统内的选择性积累，从而促进临床前模型中治疗药物的快速释放，而不依赖于外部刺激。 PCB 选择性地靶向血脑肿瘤屏障 (BBTB) 处的甜菜碱-γ-氨基丁酸转运蛋白 1 (BGT1)，从而实现肿瘤脉管系统内纳米颗粒的局部富集。 PCB 固有的机械灵活性激活内皮细胞中的 Piezo1 离子通道，导致钙离子流入并增强钙蛋白酶活性，共同促进 VE-钙粘蛋白的降解。爆发释放机制改善了血管通透性并损害了肿瘤血管屏障的完整性，从而允许封装的治疗药物快速释放并促进药物在肿瘤微环境中的广泛分布。值得注意的是，封装奥希替尼或顺铂的 PCB 在疾病模型中表现出治疗功效、瘤内靶向性和良好的生物安全性。这些发现表明，这种两性离子功能化平台有效克服了 BBTB 带来的挑战，支持改善脑转移瘤的药物输送和治疗效果。</w:t>
      </w:r>
    </w:p>
    <w:p>
      <w:pPr>
        <w:spacing w:before="0" w:after="200" w:lineRule="auto" w:line="276"/>
      </w:pPr>
      <w:r>
        <w:rPr>
          <w:b/>
        </w:rPr>
        <w:t xml:space="preserve">Abstract (EN): </w:t>
      </w:r>
      <w:r>
        <w:t>The central nervous system is a critical reservoir for cancer metastasis, underscoring the urgent need for effective strategies for targeted drug delivery that minimize systemic side effects. Here, we present a zwitterionic polycarboxybetaine (PCB) designed to achieve selective accumulation within the tumor vasculature of brain metastases, thereby facilitating the rapid release of therapeutics without relying on external stimuli in preclinical models. PCB selectively targets the betaine-γ-aminobutyric acid transporter 1 (BGT1) at the blood-brain-tumor barrier (BBTB), enabling localized enrichment of nanoparticles within the tumor vasculature. The intrinsic mechanical flexibility of PCB activates the Piezo1 ion channel in endothelial cells, resulting in calcium ion influx and enhanced calpain activity, which together facilitate the degradation of VE-cadherin. The burst-release mechanism improves vascular permeability and compromises the integrity of the tumor vascular barrier, allowing for the swift release of encapsulated therapeutics and promoting extensive drug distribution within the tumor microenvironment. Notably, PCB encapsulating either osimertinib or cisplatin demonstrates therapeutic efficacy, intratumoral targeting, and favorable biological safety in disease models. These findings indicate that this zwitterion-functionalized platform effectively surmounts the challenges posed by the BBTB, supporting improved drug delivery and therapeutic efficacy in brain metastases.</w:t>
      </w:r>
    </w:p>
    <w:p>
      <w:pPr>
        <w:spacing w:before="120" w:after="120"/>
      </w:pPr>
      <w:r>
        <w:rPr>
          <w:sz w:val="18"/>
        </w:rPr>
        <w:t>——————————————————————————————————————————————————————————————————————</w:t>
      </w:r>
    </w:p>
    <w:p>
      <w:pPr>
        <w:spacing w:before="160" w:after="40" w:line="240" w:lineRule="auto"/>
      </w:pPr>
      <w:r>
        <w:rPr>
          <w:b/>
        </w:rPr>
        <w:t xml:space="preserve">[573] </w:t>
      </w:r>
      <w:hyperlink r:id="rId1241">
        <w:r>
          <w:rPr>
            <w:color w:val="1155CC"/>
            <w:u w:val="single"/>
          </w:rPr>
          <w:t>2022-2023 年，SARS-CoV-2 Delta 变种在美国养殖水貂和自由放养的白尾鹿中重新出现</w:t>
        </w:r>
      </w:hyperlink>
    </w:p>
    <w:p>
      <w:pPr>
        <w:spacing w:before="0" w:after="80"/>
      </w:pPr>
      <w:r>
        <w:rPr>
          <w:i/>
          <w:sz w:val="20"/>
        </w:rPr>
        <w:t>EN: SARS-CoV-2 Delta variant re-emerges in US farmed mink and free-ranging white-tailed deer in 2022–2023</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美国水貂 (Neogale vison) 对 SARS-CoV-2 易感，但自 2021 年以来，人们对水貂中的病毒传播知之甚少。在美国对看似健康的养殖水貂中进行的首次 SARS-CoV-2 主动监测研究中，我们发现在 6 个州的 18 个农场采集的鼻拭子中，RT-PCR 阳性率约为 0.9% (760/85,656)。 2022–2023。对 293 个病毒基因组序列的系统发育分析表明，适应人类的 SARS-CoV-2 变体（例如 Omicron）反复蔓延到水貂身上。令人惊讶的是，在同一州的一个水貂养殖场中最后一次在人类中检测到 Delta 谱系病毒 (AY.39) 的四个月后，该病毒的检测表明存在长期的未采样传播。适应水貂的 AY.39 病毒从水貂养殖场传播到邻近的自由放养的白尾鹿，这是 SARS-CoV-2 在牲畜和野生动物之间传播的罕见实例。这些发现证明了主动监测对于识别人类、水貂和野生动物之间的亚临床感染和种间传播的价值。</w:t>
      </w:r>
    </w:p>
    <w:p>
      <w:pPr>
        <w:spacing w:before="0" w:after="200" w:lineRule="auto" w:line="276"/>
      </w:pPr>
      <w:r>
        <w:rPr>
          <w:b/>
        </w:rPr>
        <w:t xml:space="preserve">Abstract (EN): </w:t>
      </w:r>
      <w:r>
        <w:t>American mink (Neogale vison) are susceptible to SARS-CoV-2, but little is known about virus circulation in mink since 2021. Here, in the first active surveillance study of SARS-CoV-2 in apparently healthy farmed mink in the United States, we find a ~0.9% (760/85,656) RT-PCR positivity rate among nasal swabs collected in 18 farms across six states during 2022–2023. Phylogenetic analysis of 293 viral genome sequences shows that human-adapted SARS-CoV-2 variants (e.g., Omicron) repeatedly spill over into mink. Surprisingly, the detection of a Delta lineage virus (AY.39) on a mink farm four months after its last detection in humans within the same state suggests prolonged unsampled transmission. The spread of mink-adapted AY.39 viruses from a mink farm to neighboring free-ranging white-tailed deer represents a rare instance of SARS-CoV-2 transmission between livestock and wildlife. These findings demonstrate the value of active surveillance for identifying subclinical infections and interspecies transmission between humans, mink, and wildlife.</w:t>
      </w:r>
    </w:p>
    <w:p>
      <w:pPr>
        <w:spacing w:before="120" w:after="120"/>
      </w:pPr>
      <w:r>
        <w:rPr>
          <w:sz w:val="18"/>
        </w:rPr>
        <w:t>——————————————————————————————————————————————————————————————————————</w:t>
      </w:r>
    </w:p>
    <w:p>
      <w:pPr>
        <w:spacing w:before="160" w:after="40" w:line="240" w:lineRule="auto"/>
      </w:pPr>
      <w:r>
        <w:rPr>
          <w:b/>
        </w:rPr>
        <w:t xml:space="preserve">[574] </w:t>
      </w:r>
      <w:hyperlink r:id="rId1242">
        <w:r>
          <w:rPr>
            <w:color w:val="1155CC"/>
            <w:u w:val="single"/>
          </w:rPr>
          <w:t>组织驻留中性粒细胞在胚胎中发挥稳态和免疫功能</w:t>
        </w:r>
      </w:hyperlink>
    </w:p>
    <w:p>
      <w:pPr>
        <w:spacing w:before="0" w:after="80"/>
      </w:pPr>
      <w:r>
        <w:rPr>
          <w:i/>
          <w:sz w:val="20"/>
        </w:rPr>
        <w:t>EN: Tissue-resident neutrophils serve homeostatic and immunological functions in embryos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成人中性粒细胞在骨髓中的发育及其在一线防御中的关键作用已得到充分了解，但对胎儿中性粒细胞的了解却少之又少。在这里，我们分析了小鼠胚胎发育过程中中性粒细胞的产生、分布和功能。我们发现多个非造血稳态器官含有大量未成熟和成熟的中性粒细胞，其中许多位于血管系统之外的组织实质中。通过单细胞转录组分析，我们揭示了胎儿和新生小鼠血液中甚至非造血组织中中性粒细胞祖细胞和前体细胞的存在。胚胎组织驻留的中性粒细胞在转录上与胚胎血源性中性粒细胞和成体中性粒细胞不同。通过功能分析，我们证明胚胎中性粒细胞增殖活跃，具有较高的糖酵解能力，并具有部分昼夜节律性。胚胎中性粒细胞表现出谱系特异性的先天免疫效应功能，并对母体免疫刺激和免疫抑制有反应。使用遗传胚胎中性粒细胞耗竭模型，我们发现中性粒细胞可能影响睾丸的稳态过程。总的来说，我们的数据提供了胎儿中性粒细胞景观的跨组织图谱，并评估了它们在稳态下的反应。</w:t>
      </w:r>
    </w:p>
    <w:p>
      <w:pPr>
        <w:spacing w:before="0" w:after="200" w:lineRule="auto" w:line="276"/>
      </w:pPr>
      <w:r>
        <w:rPr>
          <w:b/>
        </w:rPr>
        <w:t xml:space="preserve">Abstract (EN): </w:t>
      </w:r>
      <w:r>
        <w:t>Development of neutrophils in the bone marrow and their crucial role in first-line defense are well understood in adults, but remarkably little is known about fetal neutrophils. Here, we analyze the production, distribution, and functions of neutrophils during embryonic development in the mouse. We discover that multiple non-hematopoietic steady-state organs harbor substantial numbers of immature and mature neutrophils, many of which are localized in the tissue parenchyma outside the blood vasculature. Using single-cell transcriptomic analyses, we reveal the presence of neutrophil progenitors and precursor cells in the blood and even in non-hematopoietic tissues in fetal and newborn mice. Embryonic tissue-resident neutrophils are transcriptionally different from embryonic blood-borne neutrophils and adult neutrophils. We demonstrate, through functional analyses, that embryonic neutrophils proliferate actively, have a high glycolytic capacity, and undergo partial diurnal rhythmicity. Embryonic neutrophils display lineage-specific innate immune effector functions and are responsive to maternal immunostimulation and immunosuppression. Using a genetic embryonic neutrophil depletion model, we discover that neutrophils may impact homeostatic processes in the testis. Collectively, our data provides a cross-tissue atlas of the fetal neutrophil landscape and assesses their responses in steady-state.</w:t>
      </w:r>
    </w:p>
    <w:p>
      <w:pPr>
        <w:spacing w:before="120" w:after="120"/>
      </w:pPr>
      <w:r>
        <w:rPr>
          <w:sz w:val="18"/>
        </w:rPr>
        <w:t>——————————————————————————————————————————————————————————————————————</w:t>
      </w:r>
    </w:p>
    <w:p>
      <w:pPr>
        <w:spacing w:before="160" w:after="40" w:line="240" w:lineRule="auto"/>
      </w:pPr>
      <w:r>
        <w:rPr>
          <w:b/>
        </w:rPr>
        <w:t xml:space="preserve">[575] </w:t>
      </w:r>
      <w:hyperlink r:id="rId1243">
        <w:r>
          <w:rPr>
            <w:color w:val="1155CC"/>
            <w:u w:val="single"/>
          </w:rPr>
          <w:t>Silphium种间杂种基因组的组装为该属的系统发育组学、生态基因组学和分子育种打开了大门</w:t>
        </w:r>
      </w:hyperlink>
    </w:p>
    <w:p>
      <w:pPr>
        <w:spacing w:before="0" w:after="80"/>
      </w:pPr>
      <w:r>
        <w:rPr>
          <w:i/>
          <w:sz w:val="20"/>
        </w:rPr>
        <w:t>EN: Assembly of Silphium interspecific hybrid genomes opens the genus to phylogenomics, ecogenomics, and molecular breeding</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野生多年生植物可以被驯化，使农业更加多样化和有弹性，但许多植物的基因组很大，难以分析。在这里，我们报告了 Silphium integrifolium Michx 的分阶段基因组组装。和 S. perfoliatum L.，这两个物种原产于北美，正在驯化，并证明了使用种间杂交进行基因组组装的三重组合的实用性。这些基因组的染色体达到 1.8 Gb，并在间期保留螺旋结构，环周长为 43 Mb。基于基因组的低覆盖度和目标测序策略能够细化属系统发育，揭示自然种群的空间分布和结构，并识别与环境和驯化性状相关的 81 个基因座。 MATE 转运蛋白、α/β 水解酶和拟南芥 ACT 结构域重复 (ACR4) 蛋白的直向同源物的变异解释了花结构的显着差异。基因组组装和基因分型方面的这些进步可以扩大作物从头驯化的候选范围。</w:t>
      </w:r>
    </w:p>
    <w:p>
      <w:pPr>
        <w:spacing w:before="0" w:after="200" w:lineRule="auto" w:line="276"/>
      </w:pPr>
      <w:r>
        <w:rPr>
          <w:b/>
        </w:rPr>
        <w:t xml:space="preserve">Abstract (EN): </w:t>
      </w:r>
      <w:r>
        <w:t>Wild perennial plants can be domesticated to make agriculture more diverse and resilient, but many have large genomes that have been recalcitrant to analysis. Here, we report phased genome assemblies for Silphium integrifolium Michx. and S. perfoliatum L., two species native to North America under domestication, and demonstrate the utility of trio-binning for genome assembly using an interspecific hybrid. These genomes have chromosomes reaching 1.8 Gb and a helical structure preserved during interphase with a loop circumference of 43 Mb. A genome-informed low coverage and target sequencing strategy enables the refinement of the genus phylogeny, reveals the spatial distribution and structure of natural populations, and identifies 81 loci associated with environmental and domestication traits. Variants in a MATE transporter, α/β hydrolase, and ortholog of Arabidopsis ACT Domain Repeat (ACR4) protein explain significant variance in floral architecture. These advances in genome assembly and genotyping could expand the range of candidates for de novo crop domestication.</w:t>
      </w:r>
    </w:p>
    <w:p>
      <w:pPr>
        <w:spacing w:before="120" w:after="120"/>
      </w:pPr>
      <w:r>
        <w:rPr>
          <w:sz w:val="18"/>
        </w:rPr>
        <w:t>——————————————————————————————————————————————————————————————————————</w:t>
      </w:r>
    </w:p>
    <w:p>
      <w:pPr>
        <w:spacing w:before="160" w:after="40" w:line="240" w:lineRule="auto"/>
      </w:pPr>
      <w:r>
        <w:rPr>
          <w:b/>
        </w:rPr>
        <w:t xml:space="preserve">[576] </w:t>
      </w:r>
      <w:hyperlink r:id="rId1244">
        <w:r>
          <w:rPr>
            <w:color w:val="1155CC"/>
            <w:u w:val="single"/>
          </w:rPr>
          <w:t>丘脑中 FcγR 和 CD9 依赖性突触吞噬小胶质细胞在小鼠皮质脑损伤后导致认知障碍</w:t>
        </w:r>
      </w:hyperlink>
    </w:p>
    <w:p>
      <w:pPr>
        <w:spacing w:before="0" w:after="80"/>
      </w:pPr>
      <w:r>
        <w:rPr>
          <w:i/>
          <w:sz w:val="20"/>
        </w:rPr>
        <w:t>EN: FcγR- and CD9-dependent synapse-engulfing microglia in the thalamus drive cognitive impairment following cortical brain damage in mice</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120"/>
      </w:pPr>
      <w:r>
        <w:rPr>
          <w:b/>
        </w:rPr>
        <w:t xml:space="preserve">Notes: </w:t>
      </w:r>
      <w:r>
        <w:t>abstract_source=nature_html</w:t>
      </w:r>
    </w:p>
    <w:p>
      <w:pPr>
        <w:spacing w:before="0" w:after="80" w:lineRule="auto" w:line="276"/>
      </w:pPr>
      <w:r>
        <w:rPr>
          <w:b/>
        </w:rPr>
        <w:t xml:space="preserve">摘要（ZH）: </w:t>
      </w:r>
      <w:r>
        <w:t>慢性神经炎症会导致大脑中不同的小胶质细胞状态，但区域特异性小胶质细胞重塑如何导致认知功能障碍仍不清楚。在这里，我们报告说，丘脑中吞噬突触的小胶质细胞在小鼠皮质脑损伤后导致认知障碍，主要在雌性小鼠中进行研究。慢性期小胶质细胞的区域特异性操作表明，丘脑中的小胶质细胞的反应性变化（而不是海马体中的）会损害识别记忆。单细胞 RNA 测序揭示了丘脑中突触吞噬 CD9hi 小胶质细胞的富集。基于抗体的丘脑 CD9 阻断以及小胶质细胞选择性 CD9 破坏可以挽救丘脑突触损失，恢复神经元活动并改善识别记忆。进一步分析表明，血脑屏障破坏和随后的 γ-免疫球蛋白 (IgG) 外渗促进了 CD9hi 小胶质细胞以 Fcγ 受体 III 依赖性方式产生。这些发现表明，IgG/FcγRIII 信号传导在丘脑中诱导突触吞噬 CD9hi 小胶质细胞会导致皮质损伤后的识别记忆缺陷。</w:t>
      </w:r>
    </w:p>
    <w:p>
      <w:pPr>
        <w:spacing w:before="0" w:after="200" w:lineRule="auto" w:line="276"/>
      </w:pPr>
      <w:r>
        <w:rPr>
          <w:b/>
        </w:rPr>
        <w:t xml:space="preserve">Abstract (EN): </w:t>
      </w:r>
      <w:r>
        <w:t>Chronic neuroinflammation gives rise to diverse microglial states across the brain, yet how region-specific microglial remodeling contributes to cognitive dysfunction remains unclear. Here we report that synapse-engulfing microglia in the thalamus drive cognitive impairment after cortical brain damage in mice, primarily studied in females. Region-specific manipulations of microglia during the chronic phase show that reactive microglial changes in the thalamus, but not in the hippocampus, impair recognition memory. Single-cell RNA sequencing reveals an enrichment of synapse-engulfing CD9hi microglia in the thalamus. Antibody-based CD9 blockade in the thalamus, as well as microglia-selective CD9 disruption, rescues thalamic synaptic loss, restores neuronal activity, and improves recognition memory. Further analysis shows that the blood-brain barrier disruption and subsequent γ-immunoglobulin (IgG) extravasation facilitate the generation of CD9hi microglia in an Fcγ receptor III-dependent manner. These findings demonstrate that the induction of synapse-engulfing CD9hi microglia in the thalamus by IgG/FcγRIII signaling drives recognition memory deficits following cortical damage.</w:t>
      </w:r>
    </w:p>
    <w:p>
      <w:pPr>
        <w:spacing w:before="120" w:after="120"/>
      </w:pPr>
      <w:r>
        <w:rPr>
          <w:sz w:val="18"/>
        </w:rPr>
        <w:t>——————————————————————————————————————————————————————————————————————</w:t>
      </w:r>
    </w:p>
    <w:p>
      <w:pPr>
        <w:spacing w:before="160" w:after="40" w:line="240" w:lineRule="auto"/>
      </w:pPr>
      <w:r>
        <w:rPr>
          <w:b/>
        </w:rPr>
        <w:t xml:space="preserve">[577] </w:t>
      </w:r>
      <w:hyperlink r:id="rId1245">
        <w:r>
          <w:rPr>
            <w:color w:val="1155CC"/>
            <w:u w:val="single"/>
          </w:rPr>
          <w:t>作者更正：卵黄蛋白原受体介导青蟹和斑马鱼卵母细胞发育的热适应性</w:t>
        </w:r>
      </w:hyperlink>
    </w:p>
    <w:p>
      <w:pPr>
        <w:spacing w:before="0" w:after="80"/>
      </w:pPr>
      <w:r>
        <w:rPr>
          <w:i/>
          <w:sz w:val="20"/>
        </w:rPr>
        <w:t>EN: Author Correction: Vitellogenin receptor mediates heat adaptability of oocyte development in mud crabs and zebrafish</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[578] </w:t>
      </w:r>
      <w:hyperlink r:id="rId1246">
        <w:r>
          <w:rPr>
            <w:color w:val="1155CC"/>
            <w:u w:val="single"/>
          </w:rPr>
          <w:t>作者更正：线粒体适配器 TRAK2 激活并在功能上连接相反的驱动蛋白和动力蛋白马达</w:t>
        </w:r>
      </w:hyperlink>
    </w:p>
    <w:p>
      <w:pPr>
        <w:spacing w:before="0" w:after="80"/>
      </w:pPr>
      <w:r>
        <w:rPr>
          <w:i/>
          <w:sz w:val="20"/>
        </w:rPr>
        <w:t>EN: Author Correction: Mitochondrial adaptor TRAK2 activates and functionally links opposing kinesin and dynein motors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[579] </w:t>
      </w:r>
      <w:hyperlink r:id="rId1247">
        <w:r>
          <w:rPr>
            <w:color w:val="1155CC"/>
            <w:u w:val="single"/>
          </w:rPr>
          <w:t>作者更正：一种编程蛋白酶响应构象抑制人工转录因子的通用方法</w:t>
        </w:r>
      </w:hyperlink>
    </w:p>
    <w:p>
      <w:pPr>
        <w:spacing w:before="0" w:after="80"/>
      </w:pPr>
      <w:r>
        <w:rPr>
          <w:i/>
          <w:sz w:val="20"/>
        </w:rPr>
        <w:t>EN: Author Correction: A generalizable approach for programming protease-responsive conformationally inhibited artificial transcriptional factors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[580] </w:t>
      </w:r>
      <w:hyperlink r:id="rId1248">
        <w:r>
          <w:rPr>
            <w:color w:val="1155CC"/>
            <w:u w:val="single"/>
          </w:rPr>
          <w:t>作者更正：表观转录组 RNA 编辑解决了 Mus81 DNA 修复在耐热性和减数分裂方面的权衡</w:t>
        </w:r>
      </w:hyperlink>
    </w:p>
    <w:p>
      <w:pPr>
        <w:spacing w:before="0" w:after="80"/>
      </w:pPr>
      <w:r>
        <w:rPr>
          <w:i/>
          <w:sz w:val="20"/>
        </w:rPr>
        <w:t>EN: Author Correction: Epitranscriptomic RNA editing resolves Mus81 DNA repair tradeoffs in heat tolerance and meiosis</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[581] </w:t>
      </w:r>
      <w:hyperlink r:id="rId1249">
        <w:r>
          <w:rPr>
            <w:color w:val="1155CC"/>
            <w:u w:val="single"/>
          </w:rPr>
          <w:t>作者更正：阅读障碍视觉词形区稳定性与可塑性的平衡</w:t>
        </w:r>
      </w:hyperlink>
    </w:p>
    <w:p>
      <w:pPr>
        <w:spacing w:before="0" w:after="80"/>
      </w:pPr>
      <w:r>
        <w:rPr>
          <w:i/>
          <w:sz w:val="20"/>
        </w:rPr>
        <w:t>EN: Author Correction: The balance between stability and plasticity of the visual word form area in dyslexia</w:t>
      </w:r>
    </w:p>
    <w:p>
      <w:pPr>
        <w:spacing w:before="0" w:after="120"/>
      </w:pPr>
      <w:r>
        <w:rPr>
          <w:b/>
        </w:rPr>
        <w:t xml:space="preserve">Source: </w:t>
      </w:r>
      <w:r>
        <w:t>Biological sciences : Nature Communications subject feeds</w:t>
      </w:r>
      <w:r>
        <w:t xml:space="preserve">    </w:t>
      </w:r>
      <w:r>
        <w:rPr>
          <w:b/>
        </w:rPr>
        <w:t xml:space="preserve">Pub date: </w:t>
      </w:r>
      <w:r>
        <w:t>2026-07-09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[582] </w:t>
      </w:r>
      <w:hyperlink r:id="rId1250">
        <w:r>
          <w:rPr>
            <w:color w:val="1155CC"/>
            <w:u w:val="single"/>
          </w:rPr>
          <w:t>由于禽流感的威胁，新西兰为濒临灭绝的鸟类接种疫苗</w:t>
        </w:r>
      </w:hyperlink>
    </w:p>
    <w:p>
      <w:pPr>
        <w:spacing w:before="0" w:after="80"/>
      </w:pPr>
      <w:r>
        <w:rPr>
          <w:i/>
          <w:sz w:val="20"/>
        </w:rPr>
        <w:t>EN: As bird flu threatens, New Zealand vaccinates endangered birds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51">
        <w:r>
          <w:rPr>
            <w:color w:val="1155CC"/>
            <w:u w:val="single"/>
          </w:rPr>
          <w:t>10.1126/science.aek3889</w:t>
        </w:r>
      </w:hyperlink>
    </w:p>
    <w:p>
      <w:pPr>
        <w:spacing w:before="0" w:after="120"/>
      </w:pPr>
      <w:r>
        <w:rPr>
          <w:b/>
        </w:rPr>
        <w:t xml:space="preserve">Notes: </w:t>
      </w:r>
      <w:r>
        <w:t>abstract_source=crossref</w:t>
      </w:r>
    </w:p>
    <w:p>
      <w:pPr>
        <w:spacing w:before="0" w:after="80" w:lineRule="auto" w:line="276"/>
      </w:pPr>
      <w:r>
        <w:rPr>
          <w:b/>
        </w:rPr>
        <w:t xml:space="preserve">摘要（ZH）: </w:t>
      </w:r>
      <w:r>
        <w:t>H5N1病毒抵达澳大利亚大陆引发雄心勃勃的疫苗接种计划</w:t>
      </w:r>
    </w:p>
    <w:p>
      <w:pPr>
        <w:spacing w:before="0" w:after="200" w:lineRule="auto" w:line="276"/>
      </w:pPr>
      <w:r>
        <w:rPr>
          <w:b/>
        </w:rPr>
        <w:t xml:space="preserve">Abstract (EN): </w:t>
      </w:r>
      <w:r>
        <w:t>Arrival of H5N1 virus on Australian mainland triggers ambitious vaccination program</w:t>
      </w:r>
    </w:p>
    <w:p>
      <w:pPr>
        <w:spacing w:before="120" w:after="120"/>
      </w:pPr>
      <w:r>
        <w:rPr>
          <w:sz w:val="18"/>
        </w:rPr>
        <w:t>——————————————————————————————————————————————————————————————————————</w:t>
      </w:r>
    </w:p>
    <w:p>
      <w:pPr>
        <w:spacing w:before="160" w:after="40" w:line="240" w:lineRule="auto"/>
      </w:pPr>
      <w:r>
        <w:rPr>
          <w:b/>
        </w:rPr>
        <w:t xml:space="preserve">[583] </w:t>
      </w:r>
      <w:hyperlink r:id="rId1252">
        <w:r>
          <w:rPr>
            <w:color w:val="1155CC"/>
            <w:u w:val="single"/>
          </w:rPr>
          <w:t>美国农业部加快关闭其旗舰科学园区的计划</w:t>
        </w:r>
      </w:hyperlink>
    </w:p>
    <w:p>
      <w:pPr>
        <w:spacing w:before="0" w:after="80"/>
      </w:pPr>
      <w:r>
        <w:rPr>
          <w:i/>
          <w:sz w:val="20"/>
        </w:rPr>
        <w:t>EN: USDA accelerates plan to close its flagship scientific campus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53">
        <w:r>
          <w:rPr>
            <w:color w:val="1155CC"/>
            <w:u w:val="single"/>
          </w:rPr>
          <w:t>10.1126/science.aek3893</w:t>
        </w:r>
      </w:hyperlink>
    </w:p>
    <w:p>
      <w:pPr>
        <w:spacing w:before="0" w:after="120"/>
      </w:pPr>
      <w:r>
        <w:rPr>
          <w:b/>
        </w:rPr>
        <w:t xml:space="preserve">Notes: </w:t>
      </w:r>
      <w:r>
        <w:t>abstract_source=crossref</w:t>
      </w:r>
    </w:p>
    <w:p>
      <w:pPr>
        <w:spacing w:before="0" w:after="80" w:lineRule="auto" w:line="276"/>
      </w:pPr>
      <w:r>
        <w:rPr>
          <w:b/>
        </w:rPr>
        <w:t xml:space="preserve">摘要（ZH）: </w:t>
      </w:r>
      <w:r>
        <w:t>该机构表示关闭研究中心将提高效率，但怀疑论者认为这将削弱对农民至关重要的研究</w:t>
      </w:r>
    </w:p>
    <w:p>
      <w:pPr>
        <w:spacing w:before="0" w:after="200" w:lineRule="auto" w:line="276"/>
      </w:pPr>
      <w:r>
        <w:rPr>
          <w:b/>
        </w:rPr>
        <w:t xml:space="preserve">Abstract (EN): </w:t>
      </w:r>
      <w:r>
        <w:t>Agency says closing the research center will improve efficiency, but skeptics argue it will undercut research critical to farmers</w:t>
      </w:r>
    </w:p>
    <w:p>
      <w:pPr>
        <w:spacing w:before="120" w:after="120"/>
      </w:pPr>
      <w:r>
        <w:rPr>
          <w:sz w:val="18"/>
        </w:rPr>
        <w:t>——————————————————————————————————————————————————————————————————————</w:t>
      </w:r>
    </w:p>
    <w:p>
      <w:pPr>
        <w:spacing w:before="160" w:after="40" w:line="240" w:lineRule="auto"/>
      </w:pPr>
      <w:r>
        <w:rPr>
          <w:b/>
        </w:rPr>
        <w:t xml:space="preserve">[584] </w:t>
      </w:r>
      <w:hyperlink r:id="rId1254">
        <w:r>
          <w:rPr>
            <w:color w:val="1155CC"/>
            <w:u w:val="single"/>
          </w:rPr>
          <w:t>猫头鹰战争</w:t>
        </w:r>
      </w:hyperlink>
    </w:p>
    <w:p>
      <w:pPr>
        <w:spacing w:before="0" w:after="80"/>
      </w:pPr>
      <w:r>
        <w:rPr>
          <w:i/>
          <w:sz w:val="20"/>
        </w:rPr>
        <w:t>EN: The owl wars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55">
        <w:r>
          <w:rPr>
            <w:color w:val="1155CC"/>
            <w:u w:val="single"/>
          </w:rPr>
          <w:t>10.1126/science.aek3877</w:t>
        </w:r>
      </w:hyperlink>
    </w:p>
    <w:p>
      <w:pPr>
        <w:spacing w:before="0" w:after="120"/>
      </w:pPr>
      <w:r>
        <w:rPr>
          <w:b/>
        </w:rPr>
        <w:t xml:space="preserve">Notes: </w:t>
      </w:r>
      <w:r>
        <w:t>abstract_source=crossref</w:t>
      </w:r>
    </w:p>
    <w:p>
      <w:pPr>
        <w:spacing w:before="0" w:after="80" w:lineRule="auto" w:line="276"/>
      </w:pPr>
      <w:r>
        <w:rPr>
          <w:b/>
        </w:rPr>
        <w:t xml:space="preserve">摘要（ZH）: </w:t>
      </w:r>
      <w:r>
        <w:t>北方斑点猫头鹰免于伐木。现在，科学家们正在做最后的努力，以拯救他们免受新的威胁</w:t>
      </w:r>
    </w:p>
    <w:p>
      <w:pPr>
        <w:spacing w:before="0" w:after="200" w:lineRule="auto" w:line="276"/>
      </w:pPr>
      <w:r>
        <w:rPr>
          <w:b/>
        </w:rPr>
        <w:t xml:space="preserve">Abstract (EN): </w:t>
      </w:r>
      <w:r>
        <w:t>Northern spotted owls were spared from logging. Now, scientists are making a last stand to save them from a new threat</w:t>
      </w:r>
    </w:p>
    <w:p>
      <w:pPr>
        <w:spacing w:before="120" w:after="120"/>
      </w:pPr>
      <w:r>
        <w:rPr>
          <w:sz w:val="18"/>
        </w:rPr>
        <w:t>——————————————————————————————————————————————————————————————————————</w:t>
      </w:r>
    </w:p>
    <w:p>
      <w:pPr>
        <w:spacing w:before="160" w:after="40" w:line="240" w:lineRule="auto"/>
      </w:pPr>
      <w:r>
        <w:rPr>
          <w:b/>
        </w:rPr>
        <w:t xml:space="preserve">[585] </w:t>
      </w:r>
      <w:hyperlink r:id="rId1256">
        <w:r>
          <w:rPr>
            <w:color w:val="1155CC"/>
            <w:u w:val="single"/>
          </w:rPr>
          <w:t>天王星和海王星可能毕竟不是“冰巨星”</w:t>
        </w:r>
      </w:hyperlink>
    </w:p>
    <w:p>
      <w:pPr>
        <w:spacing w:before="0" w:after="80"/>
      </w:pPr>
      <w:r>
        <w:rPr>
          <w:i/>
          <w:sz w:val="20"/>
        </w:rPr>
        <w:t>EN: Uranus and Neptune may not be ‘ice giants’ after all</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57">
        <w:r>
          <w:rPr>
            <w:color w:val="1155CC"/>
            <w:u w:val="single"/>
          </w:rPr>
          <w:t>10.1126/science.aek3892</w:t>
        </w:r>
      </w:hyperlink>
    </w:p>
    <w:p>
      <w:pPr>
        <w:spacing w:before="0" w:after="120"/>
      </w:pPr>
      <w:r>
        <w:rPr>
          <w:b/>
        </w:rPr>
        <w:t xml:space="preserve">Notes: </w:t>
      </w:r>
      <w:r>
        <w:t>abstract_source=crossref</w:t>
      </w:r>
    </w:p>
    <w:p>
      <w:pPr>
        <w:spacing w:before="0" w:after="80" w:lineRule="auto" w:line="276"/>
      </w:pPr>
      <w:r>
        <w:rPr>
          <w:b/>
        </w:rPr>
        <w:t xml:space="preserve">摘要（ZH）: </w:t>
      </w:r>
      <w:r>
        <w:t>越来越多的理论认为天王星和海王星是岩石世界</w:t>
      </w:r>
    </w:p>
    <w:p>
      <w:pPr>
        <w:spacing w:before="0" w:after="200" w:lineRule="auto" w:line="276"/>
      </w:pPr>
      <w:r>
        <w:rPr>
          <w:b/>
        </w:rPr>
        <w:t xml:space="preserve">Abstract (EN): </w:t>
      </w:r>
      <w:r>
        <w:t>A growing number of theories propose Uranus and Neptune are rocky worlds</w:t>
      </w:r>
    </w:p>
    <w:p>
      <w:pPr>
        <w:spacing w:before="120" w:after="120"/>
      </w:pPr>
      <w:r>
        <w:rPr>
          <w:sz w:val="18"/>
        </w:rPr>
        <w:t>——————————————————————————————————————————————————————————————————————</w:t>
      </w:r>
    </w:p>
    <w:p>
      <w:pPr>
        <w:spacing w:before="160" w:after="40" w:line="240" w:lineRule="auto"/>
      </w:pPr>
      <w:r>
        <w:rPr>
          <w:b/>
        </w:rPr>
        <w:t xml:space="preserve">[586] </w:t>
      </w:r>
      <w:hyperlink r:id="rId1258">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59">
        <w:r>
          <w:rPr>
            <w:color w:val="1155CC"/>
            <w:u w:val="single"/>
          </w:rPr>
          <w:t>10.1126/science.aek3449</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[587] </w:t>
      </w:r>
      <w:hyperlink r:id="rId1260">
        <w:r>
          <w:rPr>
            <w:color w:val="1155CC"/>
            <w:u w:val="single"/>
          </w:rPr>
          <w:t>情感的隐藏逻辑</w:t>
        </w:r>
      </w:hyperlink>
    </w:p>
    <w:p>
      <w:pPr>
        <w:spacing w:before="0" w:after="80"/>
      </w:pPr>
      <w:r>
        <w:rPr>
          <w:i/>
          <w:sz w:val="20"/>
        </w:rPr>
        <w:t>EN: The hidden logic of emotion</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61">
        <w:r>
          <w:rPr>
            <w:color w:val="1155CC"/>
            <w:u w:val="single"/>
          </w:rPr>
          <w:t>10.1126/science.aeh1665</w:t>
        </w:r>
      </w:hyperlink>
    </w:p>
    <w:p>
      <w:pPr>
        <w:spacing w:before="0" w:after="120"/>
      </w:pPr>
      <w:r>
        <w:rPr>
          <w:b/>
        </w:rPr>
        <w:t xml:space="preserve">Notes: </w:t>
      </w:r>
      <w:r>
        <w:t>abstract_source=crossref</w:t>
      </w:r>
    </w:p>
    <w:p>
      <w:pPr>
        <w:spacing w:before="0" w:after="80" w:lineRule="auto" w:line="276"/>
      </w:pPr>
      <w:r>
        <w:rPr>
          <w:b/>
        </w:rPr>
        <w:t xml:space="preserve">摘要（ZH）: </w:t>
      </w:r>
      <w:r>
        <w:t>内部情绪模型统一了跨物种的研究，并激发了治疗焦虑和创伤的新想法</w:t>
      </w:r>
    </w:p>
    <w:p>
      <w:pPr>
        <w:spacing w:before="0" w:after="200" w:lineRule="auto" w:line="276"/>
      </w:pPr>
      <w:r>
        <w:rPr>
          <w:b/>
        </w:rPr>
        <w:t xml:space="preserve">Abstract (EN): </w:t>
      </w:r>
      <w:r>
        <w:t>Internal emotion models unify research across species and spark fresh ideas for treating anxiety and trauma</w:t>
      </w:r>
    </w:p>
    <w:p>
      <w:pPr>
        <w:spacing w:before="120" w:after="120"/>
      </w:pPr>
      <w:r>
        <w:rPr>
          <w:sz w:val="18"/>
        </w:rPr>
        <w:t>——————————————————————————————————————————————————————————————————————</w:t>
      </w:r>
    </w:p>
    <w:p>
      <w:pPr>
        <w:spacing w:before="160" w:after="40" w:line="240" w:lineRule="auto"/>
      </w:pPr>
      <w:r>
        <w:rPr>
          <w:b/>
        </w:rPr>
        <w:t xml:space="preserve">[588] </w:t>
      </w:r>
      <w:hyperlink r:id="rId1262">
        <w:r>
          <w:rPr>
            <w:color w:val="1155CC"/>
            <w:u w:val="single"/>
          </w:rPr>
          <w:t>冰作为地球化学反应器</w:t>
        </w:r>
      </w:hyperlink>
    </w:p>
    <w:p>
      <w:pPr>
        <w:spacing w:before="0" w:after="80"/>
      </w:pPr>
      <w:r>
        <w:rPr>
          <w:i/>
          <w:sz w:val="20"/>
        </w:rPr>
        <w:t>EN: Ice as a geochemical reactor</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63">
        <w:r>
          <w:rPr>
            <w:color w:val="1155CC"/>
            <w:u w:val="single"/>
          </w:rPr>
          <w:t>10.1126/science.aej2248</w:t>
        </w:r>
      </w:hyperlink>
    </w:p>
    <w:p>
      <w:pPr>
        <w:spacing w:before="0" w:after="120"/>
      </w:pPr>
      <w:r>
        <w:rPr>
          <w:b/>
        </w:rPr>
        <w:t xml:space="preserve">Notes: </w:t>
      </w:r>
      <w:r>
        <w:t>abstract_source=crossref</w:t>
      </w:r>
    </w:p>
    <w:p>
      <w:pPr>
        <w:spacing w:before="0" w:after="80" w:lineRule="auto" w:line="276"/>
      </w:pPr>
      <w:r>
        <w:rPr>
          <w:b/>
        </w:rPr>
        <w:t xml:space="preserve">摘要（ZH）: </w:t>
      </w:r>
      <w:r>
        <w:t>冰冻改变了地球冰冻圈中铁的命运</w:t>
      </w:r>
    </w:p>
    <w:p>
      <w:pPr>
        <w:spacing w:before="0" w:after="200" w:lineRule="auto" w:line="276"/>
      </w:pPr>
      <w:r>
        <w:rPr>
          <w:b/>
        </w:rPr>
        <w:t xml:space="preserve">Abstract (EN): </w:t>
      </w:r>
      <w:r>
        <w:t>Freezing redirects the fate of iron in Earth’s cryosphere</w:t>
      </w:r>
    </w:p>
    <w:p>
      <w:pPr>
        <w:spacing w:before="120" w:after="120"/>
      </w:pPr>
      <w:r>
        <w:rPr>
          <w:sz w:val="18"/>
        </w:rPr>
        <w:t>——————————————————————————————————————————————————————————————————————</w:t>
      </w:r>
    </w:p>
    <w:p>
      <w:pPr>
        <w:spacing w:before="160" w:after="40" w:line="240" w:lineRule="auto"/>
      </w:pPr>
      <w:r>
        <w:rPr>
          <w:b/>
        </w:rPr>
        <w:t xml:space="preserve">[589] </w:t>
      </w:r>
      <w:hyperlink r:id="rId1264">
        <w:r>
          <w:rPr>
            <w:color w:val="1155CC"/>
            <w:u w:val="single"/>
          </w:rPr>
          <w:t>抗体塑造成人大脑回路</w:t>
        </w:r>
      </w:hyperlink>
    </w:p>
    <w:p>
      <w:pPr>
        <w:spacing w:before="0" w:after="80"/>
      </w:pPr>
      <w:r>
        <w:rPr>
          <w:i/>
          <w:sz w:val="20"/>
        </w:rPr>
        <w:t>EN: Antibodies sculpt adult brain circuits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65">
        <w:r>
          <w:rPr>
            <w:color w:val="1155CC"/>
            <w:u w:val="single"/>
          </w:rPr>
          <w:t>10.1126/science.aei8076</w:t>
        </w:r>
      </w:hyperlink>
    </w:p>
    <w:p>
      <w:pPr>
        <w:spacing w:before="0" w:after="120"/>
      </w:pPr>
      <w:r>
        <w:rPr>
          <w:b/>
        </w:rPr>
        <w:t xml:space="preserve">Notes: </w:t>
      </w:r>
      <w:r>
        <w:t>abstract_source=crossref</w:t>
      </w:r>
    </w:p>
    <w:p>
      <w:pPr>
        <w:spacing w:before="0" w:after="80" w:lineRule="auto" w:line="276"/>
      </w:pPr>
      <w:r>
        <w:rPr>
          <w:b/>
        </w:rPr>
        <w:t xml:space="preserve">摘要（ZH）: </w:t>
      </w:r>
      <w:r>
        <w:t>免疫细胞瞄准过度活跃的神经元以消除突触连接</w:t>
      </w:r>
    </w:p>
    <w:p>
      <w:pPr>
        <w:spacing w:before="0" w:after="200" w:lineRule="auto" w:line="276"/>
      </w:pPr>
      <w:r>
        <w:rPr>
          <w:b/>
        </w:rPr>
        <w:t xml:space="preserve">Abstract (EN): </w:t>
      </w:r>
      <w:r>
        <w:t>Immune cells target hyperactive neurons to eliminate synaptic connections</w:t>
      </w:r>
    </w:p>
    <w:p>
      <w:pPr>
        <w:spacing w:before="120" w:after="120"/>
      </w:pPr>
      <w:r>
        <w:rPr>
          <w:sz w:val="18"/>
        </w:rPr>
        <w:t>——————————————————————————————————————————————————————————————————————</w:t>
      </w:r>
    </w:p>
    <w:p>
      <w:pPr>
        <w:spacing w:before="160" w:after="40" w:line="240" w:lineRule="auto"/>
      </w:pPr>
      <w:r>
        <w:rPr>
          <w:b/>
        </w:rPr>
        <w:t xml:space="preserve">[590] </w:t>
      </w:r>
      <w:hyperlink r:id="rId1266">
        <w:r>
          <w:rPr>
            <w:color w:val="1155CC"/>
            <w:u w:val="single"/>
          </w:rPr>
          <w:t>优先考虑重要河流的恢复</w:t>
        </w:r>
      </w:hyperlink>
    </w:p>
    <w:p>
      <w:pPr>
        <w:spacing w:before="0" w:after="80"/>
      </w:pPr>
      <w:r>
        <w:rPr>
          <w:i/>
          <w:sz w:val="20"/>
        </w:rPr>
        <w:t>EN: Prioritizing a vital river’s restoration</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67">
        <w:r>
          <w:rPr>
            <w:color w:val="1155CC"/>
            <w:u w:val="single"/>
          </w:rPr>
          <w:t>10.1126/science.aei3599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[591] </w:t>
      </w:r>
      <w:hyperlink r:id="rId1268">
        <w:r>
          <w:rPr>
            <w:color w:val="1155CC"/>
            <w:u w:val="single"/>
          </w:rPr>
          <w:t>吃饭还是呼吸？</w:t>
        </w:r>
      </w:hyperlink>
    </w:p>
    <w:p>
      <w:pPr>
        <w:spacing w:before="0" w:after="80"/>
      </w:pPr>
      <w:r>
        <w:rPr>
          <w:i/>
          <w:sz w:val="20"/>
        </w:rPr>
        <w:t>EN: To eat or to breathe?</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69">
        <w:r>
          <w:rPr>
            <w:color w:val="1155CC"/>
            <w:u w:val="single"/>
          </w:rPr>
          <w:t>10.1126/science.aei7713</w:t>
        </w:r>
      </w:hyperlink>
    </w:p>
    <w:p>
      <w:pPr>
        <w:spacing w:before="0" w:after="120"/>
      </w:pPr>
      <w:r>
        <w:rPr>
          <w:b/>
        </w:rPr>
        <w:t xml:space="preserve">Notes: </w:t>
      </w:r>
      <w:r>
        <w:t>abstract_source=crossref</w:t>
      </w:r>
    </w:p>
    <w:p>
      <w:pPr>
        <w:spacing w:before="0" w:after="80" w:lineRule="auto" w:line="276"/>
      </w:pPr>
      <w:r>
        <w:rPr>
          <w:b/>
        </w:rPr>
        <w:t xml:space="preserve">摘要（ZH）: </w:t>
      </w:r>
      <w:r>
        <w:t>在高地小鼠中，对低氧和毒素的反应争夺共享的分子调节剂</w:t>
      </w:r>
    </w:p>
    <w:p>
      <w:pPr>
        <w:spacing w:before="0" w:after="200" w:lineRule="auto" w:line="276"/>
      </w:pPr>
      <w:r>
        <w:rPr>
          <w:b/>
        </w:rPr>
        <w:t xml:space="preserve">Abstract (EN): </w:t>
      </w:r>
      <w:r>
        <w:t>In highland mice, the responses to low oxygen and toxins compete for a shared molecular regulator</w:t>
      </w:r>
    </w:p>
    <w:p>
      <w:pPr>
        <w:spacing w:before="120" w:after="120"/>
      </w:pPr>
      <w:r>
        <w:rPr>
          <w:sz w:val="18"/>
        </w:rPr>
        <w:t>——————————————————————————————————————————————————————————————————————</w:t>
      </w:r>
    </w:p>
    <w:p>
      <w:pPr>
        <w:spacing w:before="160" w:after="40" w:line="240" w:lineRule="auto"/>
      </w:pPr>
      <w:r>
        <w:rPr>
          <w:b/>
        </w:rPr>
        <w:t xml:space="preserve">[592] </w:t>
      </w:r>
      <w:hyperlink r:id="rId1270">
        <w:r>
          <w:rPr>
            <w:color w:val="1155CC"/>
            <w:u w:val="single"/>
          </w:rPr>
          <w:t>欧盟马立法损害了生态系统恢复工作</w:t>
        </w:r>
      </w:hyperlink>
    </w:p>
    <w:p>
      <w:pPr>
        <w:spacing w:before="0" w:after="80"/>
      </w:pPr>
      <w:r>
        <w:rPr>
          <w:i/>
          <w:sz w:val="20"/>
        </w:rPr>
        <w:t>EN: EU horse legislation compromises ecosystem restoration efforts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71">
        <w:r>
          <w:rPr>
            <w:color w:val="1155CC"/>
            <w:u w:val="single"/>
          </w:rPr>
          <w:t>10.1126/science.aei6076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[593] </w:t>
      </w:r>
      <w:hyperlink r:id="rId1272">
        <w:r>
          <w:rPr>
            <w:color w:val="1155CC"/>
            <w:u w:val="single"/>
          </w:rPr>
          <w:t>英国“第一舰队”将天花带到澳大利亚</w:t>
        </w:r>
      </w:hyperlink>
    </w:p>
    <w:p>
      <w:pPr>
        <w:spacing w:before="0" w:after="80"/>
      </w:pPr>
      <w:r>
        <w:rPr>
          <w:i/>
          <w:sz w:val="20"/>
        </w:rPr>
        <w:t>EN: British ‘First Fleet’ brought smallpox to Australia</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73">
        <w:r>
          <w:rPr>
            <w:color w:val="1155CC"/>
            <w:u w:val="single"/>
          </w:rPr>
          <w:t>10.1126/science.aek3890</w:t>
        </w:r>
      </w:hyperlink>
    </w:p>
    <w:p>
      <w:pPr>
        <w:spacing w:before="0" w:after="120"/>
      </w:pPr>
      <w:r>
        <w:rPr>
          <w:b/>
        </w:rPr>
        <w:t xml:space="preserve">Notes: </w:t>
      </w:r>
      <w:r>
        <w:t>abstract_source=crossref</w:t>
      </w:r>
    </w:p>
    <w:p>
      <w:pPr>
        <w:spacing w:before="0" w:after="80" w:lineRule="auto" w:line="276"/>
      </w:pPr>
      <w:r>
        <w:rPr>
          <w:b/>
        </w:rPr>
        <w:t xml:space="preserve">摘要（ZH）: </w:t>
      </w:r>
      <w:r>
        <w:t>殖民者可能将这种疾病引入了比许多人想象的人口更多的大陆</w:t>
      </w:r>
    </w:p>
    <w:p>
      <w:pPr>
        <w:spacing w:before="0" w:after="200" w:lineRule="auto" w:line="276"/>
      </w:pPr>
      <w:r>
        <w:rPr>
          <w:b/>
        </w:rPr>
        <w:t xml:space="preserve">Abstract (EN): </w:t>
      </w:r>
      <w:r>
        <w:t>Colonists likely introduced the disease to a more populous continent than many imagined</w:t>
      </w:r>
    </w:p>
    <w:p>
      <w:pPr>
        <w:spacing w:before="120" w:after="120"/>
      </w:pPr>
      <w:r>
        <w:rPr>
          <w:sz w:val="18"/>
        </w:rPr>
        <w:t>——————————————————————————————————————————————————————————————————————</w:t>
      </w:r>
    </w:p>
    <w:p>
      <w:pPr>
        <w:spacing w:before="160" w:after="40" w:line="240" w:lineRule="auto"/>
      </w:pPr>
      <w:r>
        <w:rPr>
          <w:b/>
        </w:rPr>
        <w:t xml:space="preserve">[594] </w:t>
      </w:r>
      <w:hyperlink r:id="rId1274">
        <w:r>
          <w:rPr>
            <w:color w:val="1155CC"/>
            <w:u w:val="single"/>
          </w:rPr>
          <w:t>KAT2A 独立于降解决定子的招募扩大了 CRBN 分子胶的靶空间</w:t>
        </w:r>
      </w:hyperlink>
    </w:p>
    <w:p>
      <w:pPr>
        <w:spacing w:before="0" w:after="80"/>
      </w:pPr>
      <w:r>
        <w:rPr>
          <w:i/>
          <w:sz w:val="20"/>
        </w:rPr>
        <w:t>EN: Degron-independent recruitment of KAT2A expands the target space of CRBN molecular glues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75">
        <w:r>
          <w:rPr>
            <w:color w:val="1155CC"/>
            <w:u w:val="single"/>
          </w:rPr>
          <w:t>10.1126/science.aef5391</w:t>
        </w:r>
      </w:hyperlink>
    </w:p>
    <w:p>
      <w:pPr>
        <w:spacing w:before="0" w:after="120"/>
      </w:pPr>
      <w:r>
        <w:rPr>
          <w:b/>
        </w:rPr>
        <w:t xml:space="preserve">Notes: </w:t>
      </w:r>
      <w:r>
        <w:t>abstract_source=crossref</w:t>
      </w:r>
    </w:p>
    <w:p>
      <w:pPr>
        <w:spacing w:before="0" w:after="80" w:lineRule="auto" w:line="276"/>
      </w:pPr>
      <w:r>
        <w:rPr>
          <w:b/>
        </w:rPr>
        <w:t xml:space="preserve">摘要（ZH）: </w:t>
      </w:r>
      <w:r>
        <w:t>赖氨酸乙酰转移酶 (KAT) 与 c-Myc、雌激素受体和赖氨酸甲基转移酶 2A (KMT2A) 融合等癌基因合作维持恶性程序。 KAT 蛋白靶向已显示出临床疗效；然而，实现大多数 KAT 的同系物选择性仍然是一个重大挑战。通过将基于 cereblon (CRBN) 的分子胶扩展到规范降解子空间之外，我们开发了一种 KAT2A 的精细选择性降解剂。冷冻电镜显示 CRBN 独立于降解决定子招募 KAT2A；相反，分子胶与表面暴露的酪氨酸结合，模仿抗体样分子识别。选择性 KAT2A 降解导致组蛋白 H3 赖氨酸 9 乙酰化 (H3K9Ac) 的有效消除，对急性髓性白血病细胞系具有抗增殖作用，以及在患者来源的异种移植模型中的体内功效，从而确立了 KAT2A 作为治疗多种恶性肿瘤的可靶向脆弱性。更一般地说，不依赖降解决定子的招募扩展了 CRBN 靶向蛋白质组。</w:t>
      </w:r>
    </w:p>
    <w:p>
      <w:pPr>
        <w:spacing w:before="0" w:after="200" w:lineRule="auto" w:line="276"/>
      </w:pPr>
      <w:r>
        <w:rPr>
          <w:b/>
        </w:rPr>
        <w:t xml:space="preserve">Abstract (EN): </w:t>
      </w:r>
      <w:r>
        <w:t>Lysine acetyltransferases (KATs) cooperate with oncogenes such as c-Myc, estrogen receptor, and lysine methyltransferase 2A (KMT2A) fusions to sustain malignant programs. Targeting of KAT proteins has shown clinical efficacy; however, achieving homolog selectivity for most KATs remains a major challenge. By extending cereblon (CRBN)–based molecular glues beyond the canonical degron space, we developed an exquisitely selective degrader of KAT2A. Cryo–electron microscopy revealed that CRBN recruits KAT2A independently of a degron; instead, the molecular glue engages a surface-exposed tyrosine, mimicking antibody-like molecular recognition. Selective KAT2A degradation leads to potent ablation of histone H3 lysine 9 acetylation (H3K9Ac), antiproliferative effects in acute myeloid leukemia cell lines, and in vivo efficacy in a patient-derived xenograft model, establishing KAT2A as a targetable vulnerability to treat a wide range of malignancies. More generally, degron-independent recruitment extends the CRBN-targetable proteome.</w:t>
      </w:r>
    </w:p>
    <w:p>
      <w:pPr>
        <w:spacing w:before="120" w:after="120"/>
      </w:pPr>
      <w:r>
        <w:rPr>
          <w:sz w:val="18"/>
        </w:rPr>
        <w:t>——————————————————————————————————————————————————————————————————————</w:t>
      </w:r>
    </w:p>
    <w:p>
      <w:pPr>
        <w:spacing w:before="160" w:after="40" w:line="240" w:lineRule="auto"/>
      </w:pPr>
      <w:r>
        <w:rPr>
          <w:b/>
        </w:rPr>
        <w:t xml:space="preserve">[595] </w:t>
      </w:r>
      <w:hyperlink r:id="rId1276">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77">
        <w:r>
          <w:rPr>
            <w:color w:val="1155CC"/>
            <w:u w:val="single"/>
          </w:rPr>
          <w:t>10.1126/science.aek3448</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[596] </w:t>
      </w:r>
      <w:hyperlink r:id="rId1278">
        <w:r>
          <w:rPr>
            <w:color w:val="1155CC"/>
            <w:u w:val="single"/>
          </w:rPr>
          <w:t>CBi− 分子离子中经典三键的相对论塌缩</w:t>
        </w:r>
      </w:hyperlink>
    </w:p>
    <w:p>
      <w:pPr>
        <w:spacing w:before="0" w:after="80"/>
      </w:pPr>
      <w:r>
        <w:rPr>
          <w:i/>
          <w:sz w:val="20"/>
        </w:rPr>
        <w:t>EN: Relativistic collapse of the classical triple bond in the CBi− molecular ion</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79">
        <w:r>
          <w:rPr>
            <w:color w:val="1155CC"/>
            <w:u w:val="single"/>
          </w:rPr>
          <w:t>10.1126/science.aei1285</w:t>
        </w:r>
      </w:hyperlink>
    </w:p>
    <w:p>
      <w:pPr>
        <w:spacing w:before="0" w:after="120"/>
      </w:pPr>
      <w:r>
        <w:rPr>
          <w:b/>
        </w:rPr>
        <w:t xml:space="preserve">Notes: </w:t>
      </w:r>
      <w:r>
        <w:t>abstract_source=crossref</w:t>
      </w:r>
    </w:p>
    <w:p>
      <w:pPr>
        <w:spacing w:before="0" w:after="80" w:lineRule="auto" w:line="276"/>
      </w:pPr>
      <w:r>
        <w:rPr>
          <w:b/>
        </w:rPr>
        <w:t xml:space="preserve">摘要（ZH）: </w:t>
      </w:r>
      <w:r>
        <w:t>主族元素之间化学键合的传统框架涉及单独的 σ 和 π 轨道来描述多重键。然而，相对论效应通过自旋轨道耦合将这些轨道混合在含有重元素的分子中，使总角动量投影（ω）成为唯一好的量子数。相对论效应改变 σ-π 键合框架的直接实验证据仍然难以捉摸。在这里，我们探测 CBi 中的碳-铋三键</w:t>
      </w:r>
      <w:r>
        <w:t xml:space="preserve"> </w:t>
      </w:r>
      <w:r>
        <w:t>-</w:t>
      </w:r>
      <w:r>
        <w:t>使用高分辨率低温光电子能谱分析阴离子，并结合相对论四分量狄拉克-库仑耦合团簇计算。尽管 CBI</w:t>
      </w:r>
      <w:r>
        <w:t xml:space="preserve"> </w:t>
      </w:r>
      <w:r>
        <w:t>-</w:t>
      </w:r>
      <w:r>
        <w:t>阴离子与众所周知的 CN 等价</w:t>
      </w:r>
      <w:r>
        <w:t xml:space="preserve"> </w:t>
      </w:r>
      <w:r>
        <w:t>-</w:t>
      </w:r>
      <w:r>
        <w:t>物种，我们证明了传统的 σ + 2π 三键图塌陷为纯 π 类 |ω| = 3/2 和两个|ω| = 1/2 Kramers 对包含大量 σ/π 混合。</w:t>
      </w:r>
    </w:p>
    <w:p>
      <w:pPr>
        <w:spacing w:before="0" w:after="200" w:lineRule="auto" w:line="276"/>
      </w:pPr>
      <w:r>
        <w:rPr>
          <w:b/>
        </w:rPr>
        <w:t xml:space="preserve">Abstract (EN): </w:t>
      </w:r>
      <w:r>
        <w:t>The conventional framework for chemical bonding between main-group elements involves separate σ and π orbitals to describe multiple bonds. However, relativistic effects mix these orbitals in molecules containing heavy elements through spin–orbit coupling, leaving the total angular-momentum projection (ω) as the only good quantum number. Direct experimental evidence that relativistic effects change the σ-π bonding framework has remained elusive. Here, we probe the carbon-bismuth triple bond in the CBi</w:t>
      </w:r>
      <w:r>
        <w:t xml:space="preserve"> </w:t>
      </w:r>
      <w:r>
        <w:t>−</w:t>
      </w:r>
      <w:r>
        <w:t>anion using high-resolution cryogenic photoelectron spectroscopy, coupled with relativistic four-component Dirac-Coulomb coupled-cluster calculations. Even though the CBi</w:t>
      </w:r>
      <w:r>
        <w:t xml:space="preserve"> </w:t>
      </w:r>
      <w:r>
        <w:t>−</w:t>
      </w:r>
      <w:r>
        <w:t>anion is isovalent to the well-known CN</w:t>
      </w:r>
      <w:r>
        <w:t xml:space="preserve"> </w:t>
      </w:r>
      <w:r>
        <w:t>−</w:t>
      </w:r>
      <w:r>
        <w:t>species, we demonstrate that the traditional σ + 2π triple-bond picture collapses into a pure π-like |ω| = 3/2 and two |ω| = 1/2 Kramers pairs containing substantial σ/π mixing.</w:t>
      </w:r>
    </w:p>
    <w:p>
      <w:pPr>
        <w:spacing w:before="120" w:after="120"/>
      </w:pPr>
      <w:r>
        <w:rPr>
          <w:sz w:val="18"/>
        </w:rPr>
        <w:t>——————————————————————————————————————————————————————————————————————</w:t>
      </w:r>
    </w:p>
    <w:p>
      <w:pPr>
        <w:spacing w:before="160" w:after="40" w:line="240" w:lineRule="auto"/>
      </w:pPr>
      <w:r>
        <w:rPr>
          <w:b/>
        </w:rPr>
        <w:t xml:space="preserve">[597] </w:t>
      </w:r>
      <w:hyperlink r:id="rId1280">
        <w:r>
          <w:rPr>
            <w:color w:val="1155CC"/>
            <w:u w:val="single"/>
          </w:rPr>
          <w:t>是人工智能为我们工作，还是我们为人工智能工作？</w:t>
        </w:r>
      </w:hyperlink>
    </w:p>
    <w:p>
      <w:pPr>
        <w:spacing w:before="0" w:after="80"/>
      </w:pPr>
      <w:r>
        <w:rPr>
          <w:i/>
          <w:sz w:val="20"/>
        </w:rPr>
        <w:t>EN: Does AI work for us, or do we work for AI?</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81">
        <w:r>
          <w:rPr>
            <w:color w:val="1155CC"/>
            <w:u w:val="single"/>
          </w:rPr>
          <w:t>10.1126/science.aei9754</w:t>
        </w:r>
      </w:hyperlink>
    </w:p>
    <w:p>
      <w:pPr>
        <w:spacing w:before="0" w:after="120"/>
      </w:pPr>
      <w:r>
        <w:rPr>
          <w:b/>
        </w:rPr>
        <w:t xml:space="preserve">Notes: </w:t>
      </w:r>
      <w:r>
        <w:t>abstract_source=crossref</w:t>
      </w:r>
    </w:p>
    <w:p>
      <w:pPr>
        <w:spacing w:before="0" w:after="80" w:lineRule="auto" w:line="276"/>
      </w:pPr>
      <w:r>
        <w:rPr>
          <w:b/>
        </w:rPr>
        <w:t xml:space="preserve">摘要（ZH）: </w:t>
      </w:r>
      <w:r>
        <w:t>一位评论家认为，人们对将人类用户变成“反向半人马”的技术缺乏热情</w:t>
      </w:r>
    </w:p>
    <w:p>
      <w:pPr>
        <w:spacing w:before="0" w:after="200" w:lineRule="auto" w:line="276"/>
      </w:pPr>
      <w:r>
        <w:rPr>
          <w:b/>
        </w:rPr>
        <w:t xml:space="preserve">Abstract (EN): </w:t>
      </w:r>
      <w:r>
        <w:t>There is little enthusiasm for a technology that turns human users into “reverse centaurs,” argues a critic</w:t>
      </w:r>
    </w:p>
    <w:p>
      <w:pPr>
        <w:spacing w:before="120" w:after="120"/>
      </w:pPr>
      <w:r>
        <w:rPr>
          <w:sz w:val="18"/>
        </w:rPr>
        <w:t>——————————————————————————————————————————————————————————————————————</w:t>
      </w:r>
    </w:p>
    <w:p>
      <w:pPr>
        <w:spacing w:before="160" w:after="40" w:line="240" w:lineRule="auto"/>
      </w:pPr>
      <w:r>
        <w:rPr>
          <w:b/>
        </w:rPr>
        <w:t xml:space="preserve">[598] </w:t>
      </w:r>
      <w:hyperlink r:id="rId1282">
        <w:r>
          <w:rPr>
            <w:color w:val="1155CC"/>
            <w:u w:val="single"/>
          </w:rPr>
          <w:t>我们对性了解多少？</w:t>
        </w:r>
      </w:hyperlink>
    </w:p>
    <w:p>
      <w:pPr>
        <w:spacing w:before="0" w:after="80"/>
      </w:pPr>
      <w:r>
        <w:rPr>
          <w:i/>
          <w:sz w:val="20"/>
        </w:rPr>
        <w:t>EN: What do we know about sex?</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83">
        <w:r>
          <w:rPr>
            <w:color w:val="1155CC"/>
            <w:u w:val="single"/>
          </w:rPr>
          <w:t>10.1126/science.aeg8740</w:t>
        </w:r>
      </w:hyperlink>
    </w:p>
    <w:p>
      <w:pPr>
        <w:spacing w:before="0" w:after="120"/>
      </w:pPr>
      <w:r>
        <w:rPr>
          <w:b/>
        </w:rPr>
        <w:t xml:space="preserve">Notes: </w:t>
      </w:r>
      <w:r>
        <w:t>abstract_source=crossref</w:t>
      </w:r>
    </w:p>
    <w:p>
      <w:pPr>
        <w:spacing w:before="0" w:after="80" w:lineRule="auto" w:line="276"/>
      </w:pPr>
      <w:r>
        <w:rPr>
          <w:b/>
        </w:rPr>
        <w:t xml:space="preserve">摘要（ZH）: </w:t>
      </w:r>
      <w:r>
        <w:t>这取决于你问谁</w:t>
      </w:r>
    </w:p>
    <w:p>
      <w:pPr>
        <w:spacing w:before="0" w:after="200" w:lineRule="auto" w:line="276"/>
      </w:pPr>
      <w:r>
        <w:rPr>
          <w:b/>
        </w:rPr>
        <w:t xml:space="preserve">Abstract (EN): </w:t>
      </w:r>
      <w:r>
        <w:t>It depends on whom you ask</w:t>
      </w:r>
    </w:p>
    <w:p>
      <w:pPr>
        <w:spacing w:before="120" w:after="120"/>
      </w:pPr>
      <w:r>
        <w:rPr>
          <w:sz w:val="18"/>
        </w:rPr>
        <w:t>——————————————————————————————————————————————————————————————————————</w:t>
      </w:r>
    </w:p>
    <w:p>
      <w:pPr>
        <w:spacing w:before="160" w:after="40" w:line="240" w:lineRule="auto"/>
      </w:pPr>
      <w:r>
        <w:rPr>
          <w:b/>
        </w:rPr>
        <w:t xml:space="preserve">[599] </w:t>
      </w:r>
      <w:hyperlink r:id="rId1284">
        <w:r>
          <w:rPr>
            <w:color w:val="1155CC"/>
            <w:u w:val="single"/>
          </w:rPr>
          <w:t>单一冷冻循环可改变铁矿物转化方向</w:t>
        </w:r>
      </w:hyperlink>
    </w:p>
    <w:p>
      <w:pPr>
        <w:spacing w:before="0" w:after="80"/>
      </w:pPr>
      <w:r>
        <w:rPr>
          <w:i/>
          <w:sz w:val="20"/>
        </w:rPr>
        <w:t>EN: A single freeze cycle redirects iron mineral transformation</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85">
        <w:r>
          <w:rPr>
            <w:color w:val="1155CC"/>
            <w:u w:val="single"/>
          </w:rPr>
          <w:t>10.1126/science.aee9519</w:t>
        </w:r>
      </w:hyperlink>
    </w:p>
    <w:p>
      <w:pPr>
        <w:spacing w:before="0" w:after="120"/>
      </w:pPr>
      <w:r>
        <w:rPr>
          <w:b/>
        </w:rPr>
        <w:t xml:space="preserve">Notes: </w:t>
      </w:r>
      <w:r>
        <w:t>abstract_source=crossref</w:t>
      </w:r>
    </w:p>
    <w:p>
      <w:pPr>
        <w:spacing w:before="0" w:after="80" w:lineRule="auto" w:line="276"/>
      </w:pPr>
      <w:r>
        <w:rPr>
          <w:b/>
        </w:rPr>
        <w:t xml:space="preserve">摘要（ZH）: </w:t>
      </w:r>
      <w:r>
        <w:t>多晶冰的形成将矿物纳米颗粒集中到生长的冰晶之间的液体边界中。在这里，我们表明，冻结的分钟数决定了随后几个月的水老化中铁矿物的命运。一次冻融循环通过聚合的物理和化学机制不可逆地聚集水铁矿。冷冻浓缩会破坏静电屏障，而冷冻抽吸会剥离水合层并将纳米颗粒压缩成微米级的平面聚集体。化学证据表明界面（氢）氧桥联以及氢键可以抵抗解聚。这些机制将纳米粒子锁定为类中晶组合体，保留其纳米级特性，但抑制溶解再沉淀为针铁矿，而是有利于固态转变为赤铁矿。因此，冰的形成充当地球化学反应器，驱动聚集和界面结合，从而改变铁形态，对整个冰冻圈的营养循环和碳保存具有广泛的影响。</w:t>
      </w:r>
    </w:p>
    <w:p>
      <w:pPr>
        <w:spacing w:before="0" w:after="200" w:lineRule="auto" w:line="276"/>
      </w:pPr>
      <w:r>
        <w:rPr>
          <w:b/>
        </w:rPr>
        <w:t xml:space="preserve">Abstract (EN): </w:t>
      </w:r>
      <w:r>
        <w:t>Polycrystalline ice formation concentrates mineral nanoparticles into liquid boundaries between growing ice crystals. Here we show that minutes of freezing dictate iron mineral fate over subsequent months of aqueous aging. A single freeze–thaw cycle irreversibly aggregates ferrihydrite through converging physical and chemical mechanisms. Freeze concentration collapses electrostatic barriers while cryosuction strips hydration layers and compresses nanoparticles into micrometer-scale planar aggregates. Chemical evidence points to interfacial (hydr)oxo bridging, alongside hydrogen bonding, that resists disaggregation. These mechanisms lock nanoparticles into mesocrystal-like assemblages that retain their nanoscale identity but inhibit dissolution–reprecipitation to goethite, instead favoring solid-state transformation to hematite. Ice formation thus acts as a geochemical reactor, driving aggregation and interfacial bonding that redirect iron speciation, with broad implications for nutrient cycling and carbon preservation across the cryosphere.</w:t>
      </w:r>
    </w:p>
    <w:p>
      <w:pPr>
        <w:spacing w:before="120" w:after="120"/>
      </w:pPr>
      <w:r>
        <w:rPr>
          <w:sz w:val="18"/>
        </w:rPr>
        <w:t>——————————————————————————————————————————————————————————————————————</w:t>
      </w:r>
    </w:p>
    <w:p>
      <w:pPr>
        <w:spacing w:before="160" w:after="40" w:line="240" w:lineRule="auto"/>
      </w:pPr>
      <w:r>
        <w:rPr>
          <w:b/>
        </w:rPr>
        <w:t xml:space="preserve">[600] </w:t>
      </w:r>
      <w:hyperlink r:id="rId1286">
        <w:r>
          <w:rPr>
            <w:color w:val="1155CC"/>
            <w:u w:val="single"/>
          </w:rPr>
          <w:t>Neil Shubin 希望 NAS 保持重要地位</w:t>
        </w:r>
      </w:hyperlink>
    </w:p>
    <w:p>
      <w:pPr>
        <w:spacing w:before="0" w:after="80"/>
      </w:pPr>
      <w:r>
        <w:rPr>
          <w:i/>
          <w:sz w:val="20"/>
        </w:rPr>
        <w:t>EN: Neil Shubin wants NAS to stay relevant</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87">
        <w:r>
          <w:rPr>
            <w:color w:val="1155CC"/>
            <w:u w:val="single"/>
          </w:rPr>
          <w:t>10.1126/science.aek3891</w:t>
        </w:r>
      </w:hyperlink>
    </w:p>
    <w:p>
      <w:pPr>
        <w:spacing w:before="0" w:after="120"/>
      </w:pPr>
      <w:r>
        <w:rPr>
          <w:b/>
        </w:rPr>
        <w:t xml:space="preserve">Notes: </w:t>
      </w:r>
      <w:r>
        <w:t>abstract_source=crossref</w:t>
      </w:r>
    </w:p>
    <w:p>
      <w:pPr>
        <w:spacing w:before="0" w:after="80" w:lineRule="auto" w:line="276"/>
      </w:pPr>
      <w:r>
        <w:rPr>
          <w:b/>
        </w:rPr>
        <w:t xml:space="preserve">摘要（ZH）: </w:t>
      </w:r>
      <w:r>
        <w:t>陷入困境的国家科学院新任院长讨论了其未来以及特朗普领导下的美国科学的不稳定状况</w:t>
      </w:r>
    </w:p>
    <w:p>
      <w:pPr>
        <w:spacing w:before="0" w:after="200" w:lineRule="auto" w:line="276"/>
      </w:pPr>
      <w:r>
        <w:rPr>
          <w:b/>
        </w:rPr>
        <w:t xml:space="preserve">Abstract (EN): </w:t>
      </w:r>
      <w:r>
        <w:t>New president of the beleaguered National Academy of Sciences discusses its future and the precarious state of U.S. science under Trump</w:t>
      </w:r>
    </w:p>
    <w:p>
      <w:pPr>
        <w:spacing w:before="120" w:after="120"/>
      </w:pPr>
      <w:r>
        <w:rPr>
          <w:sz w:val="18"/>
        </w:rPr>
        <w:t>——————————————————————————————————————————————————————————————————————</w:t>
      </w:r>
    </w:p>
    <w:p>
      <w:pPr>
        <w:spacing w:before="160" w:after="40" w:line="240" w:lineRule="auto"/>
      </w:pPr>
      <w:r>
        <w:rPr>
          <w:b/>
        </w:rPr>
        <w:t xml:space="preserve">[601] </w:t>
      </w:r>
      <w:hyperlink r:id="rId1288">
        <w:r>
          <w:rPr>
            <w:color w:val="1155CC"/>
            <w:u w:val="single"/>
          </w:rPr>
          <w:t>给年轻时的自己的一封信</w:t>
        </w:r>
      </w:hyperlink>
    </w:p>
    <w:p>
      <w:pPr>
        <w:spacing w:before="0" w:after="80"/>
      </w:pPr>
      <w:r>
        <w:rPr>
          <w:i/>
          <w:sz w:val="20"/>
        </w:rPr>
        <w:t>EN: A note to my younger self</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89">
        <w:r>
          <w:rPr>
            <w:color w:val="1155CC"/>
            <w:u w:val="single"/>
          </w:rPr>
          <w:t>10.1126/science.aek3445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[602] </w:t>
      </w:r>
      <w:hyperlink r:id="rId1290">
        <w:r>
          <w:rPr>
            <w:color w:val="1155CC"/>
            <w:u w:val="single"/>
          </w:rPr>
          <w:t>为什么城市无法学习</w:t>
        </w:r>
      </w:hyperlink>
    </w:p>
    <w:p>
      <w:pPr>
        <w:spacing w:before="0" w:after="80"/>
      </w:pPr>
      <w:r>
        <w:rPr>
          <w:i/>
          <w:sz w:val="20"/>
        </w:rPr>
        <w:t>EN: Why cities cannot learn</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91">
        <w:r>
          <w:rPr>
            <w:color w:val="1155CC"/>
            <w:u w:val="single"/>
          </w:rPr>
          <w:t>10.1126/science.aeh8677</w:t>
        </w:r>
      </w:hyperlink>
    </w:p>
    <w:p>
      <w:pPr>
        <w:spacing w:before="0" w:after="120"/>
      </w:pPr>
      <w:r>
        <w:rPr>
          <w:b/>
        </w:rPr>
        <w:t xml:space="preserve">Notes: </w:t>
      </w:r>
      <w:r>
        <w:t>abstract_source=crossref</w:t>
      </w:r>
    </w:p>
    <w:p>
      <w:pPr>
        <w:spacing w:before="0" w:after="80" w:lineRule="auto" w:line="276"/>
      </w:pPr>
      <w:r>
        <w:rPr>
          <w:b/>
        </w:rPr>
        <w:t xml:space="preserve">摘要（ZH）: </w:t>
      </w:r>
      <w:r>
        <w:t>对于世界上大多数城市历史来说，政策和灾害应对措施的变化都在一定的时间范围内进行，使得适应成为可能，无论速度多么缓慢或存在政治争议。 1666 年伦敦大火在毁灭性大火发生后的两年内制定了建筑法规。 20 世纪末，莱茵河和多瑙河沿岸反复发生的洪水事件催生了分区规则和灾害图绘制，这些规则和灾害图现已成为欧洲城市规划系统的标准。推动这些改进的是一个普遍途径，在这个途径中，破坏产生证据，证据产生压力，压力迫使负责管理城市福祉的机构进行修改。然而，这一进程在每个有人居住的大陆上都在恶化。取而代之的是不稳定的城市化，威胁着恢复力。</w:t>
      </w:r>
    </w:p>
    <w:p>
      <w:pPr>
        <w:spacing w:before="0" w:after="200" w:lineRule="auto" w:line="276"/>
      </w:pPr>
      <w:r>
        <w:rPr>
          <w:b/>
        </w:rPr>
        <w:t xml:space="preserve">Abstract (EN): </w:t>
      </w:r>
      <w:r>
        <w:t>For most of the world’s urban history, changes in policies and responses to hazards have proceeded on a timescale that made adaptation possible, however slow or politically contested. The Great Fire of London in 1666 produced building regulations within 2 years of the devastating blaze. Repeated flooding events along the Rhine and Danube Rivers through the late 20th century spurred zoning rules and hazard mapping that are now standard across Europe’s urban planning systems. What drove these improvements was a general pathway in which disruption produced evidence, evidence generated pressure, and pressure forced modifications by agencies responsible for governing a city’s well-being. However, that process has been degrading across every inhabited continent. What has emerged in its place is a volatile urbanism that is threatening resilience.</w:t>
      </w:r>
    </w:p>
    <w:p>
      <w:pPr>
        <w:spacing w:before="120" w:after="120"/>
      </w:pPr>
      <w:r>
        <w:rPr>
          <w:sz w:val="18"/>
        </w:rPr>
        <w:t>——————————————————————————————————————————————————————————————————————</w:t>
      </w:r>
    </w:p>
    <w:p>
      <w:pPr>
        <w:spacing w:before="160" w:after="40" w:line="240" w:lineRule="auto"/>
      </w:pPr>
      <w:r>
        <w:rPr>
          <w:b/>
        </w:rPr>
        <w:t xml:space="preserve">[603] </w:t>
      </w:r>
      <w:hyperlink r:id="rId1292">
        <w:r>
          <w:rPr>
            <w:color w:val="1155CC"/>
            <w:u w:val="single"/>
          </w:rPr>
          <w:t>量子气体相显微镜</w:t>
        </w:r>
      </w:hyperlink>
    </w:p>
    <w:p>
      <w:pPr>
        <w:spacing w:before="0" w:after="80"/>
      </w:pPr>
      <w:r>
        <w:rPr>
          <w:i/>
          <w:sz w:val="20"/>
        </w:rPr>
        <w:t>EN: A phase microscope for quantum gases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93">
        <w:r>
          <w:rPr>
            <w:color w:val="1155CC"/>
            <w:u w:val="single"/>
          </w:rPr>
          <w:t>10.1126/science.adt1712</w:t>
        </w:r>
      </w:hyperlink>
    </w:p>
    <w:p>
      <w:pPr>
        <w:spacing w:before="0" w:after="120"/>
      </w:pPr>
      <w:r>
        <w:rPr>
          <w:b/>
        </w:rPr>
        <w:t xml:space="preserve">Notes: </w:t>
      </w:r>
      <w:r>
        <w:t>abstract_source=crossref</w:t>
      </w:r>
    </w:p>
    <w:p>
      <w:pPr>
        <w:spacing w:before="0" w:after="80" w:lineRule="auto" w:line="276"/>
      </w:pPr>
      <w:r>
        <w:rPr>
          <w:b/>
        </w:rPr>
        <w:t xml:space="preserve">摘要（ZH）: </w:t>
      </w:r>
      <w:r>
        <w:t>相干性是量子系统的核心，也是超导等现象的核心。在这项工作中，我们研究了二维光学晶格中超冷玻色气体在热相变过程中的相干特性。为了推断相位相干性和相位涨落分布，我们使用了更高塔尔伯特复兴的直接物质波成像，并引入了基于物质波成像期间相位涨落到密度涨落的位点分辨映射的相位显微镜。我们观察到超流体相中相位相关性的代数衰减和指数的线性温度增加。这些技术可以使研究具有全空间分辨率的强相关量子系统的相干特性成为可能。</w:t>
      </w:r>
    </w:p>
    <w:p>
      <w:pPr>
        <w:spacing w:before="0" w:after="200" w:lineRule="auto" w:line="276"/>
      </w:pPr>
      <w:r>
        <w:rPr>
          <w:b/>
        </w:rPr>
        <w:t xml:space="preserve">Abstract (EN): </w:t>
      </w:r>
      <w:r>
        <w:t>Coherence properties are central to quantum systems and are at the heart of phenomena such as superconductivity. In this work, we studied coherence properties of an ultracold Bose gas in a two-dimensional optical lattice across the thermal phase transition. To infer the phase coherence and phase fluctuation profiles, we used direct matter-wave imaging of higher Talbot revivals and introduced a phase microscope based on a site-resolved mapping of phase fluctuations to density fluctuations during matter-wave imaging. We observed the algebraic decay of the phase correlations in the superfluid phase and a linear temperature increase of the exponent. These techniques may enable studying coherence properties in strongly correlated quantum systems with full spatial resolution.</w:t>
      </w:r>
    </w:p>
    <w:p>
      <w:pPr>
        <w:spacing w:before="120" w:after="120"/>
      </w:pPr>
      <w:r>
        <w:rPr>
          <w:sz w:val="18"/>
        </w:rPr>
        <w:t>——————————————————————————————————————————————————————————————————————</w:t>
      </w:r>
    </w:p>
    <w:p>
      <w:pPr>
        <w:spacing w:before="160" w:after="40" w:line="240" w:lineRule="auto"/>
      </w:pPr>
      <w:r>
        <w:rPr>
          <w:b/>
        </w:rPr>
        <w:t xml:space="preserve">[604] </w:t>
      </w:r>
      <w:hyperlink r:id="rId1294">
        <w:r>
          <w:rPr>
            <w:color w:val="1155CC"/>
            <w:u w:val="single"/>
          </w:rPr>
          <w:t>跃出水面：扑动翅膀的空中-水中运动</w:t>
        </w:r>
      </w:hyperlink>
    </w:p>
    <w:p>
      <w:pPr>
        <w:spacing w:before="0" w:after="80"/>
      </w:pPr>
      <w:r>
        <w:rPr>
          <w:i/>
          <w:sz w:val="20"/>
        </w:rPr>
        <w:t>EN: Leaping out of the water: Aerial-aquatic locomotion with flapping wings</w:t>
      </w:r>
    </w:p>
    <w:p>
      <w:pPr>
        <w:spacing w:before="0" w:after="120"/>
      </w:pPr>
      <w:r>
        <w:rPr>
          <w:b/>
        </w:rPr>
        <w:t xml:space="preserve">Source: </w:t>
      </w:r>
      <w:r>
        <w:t>AAAS: Science: Table of Contents</w:t>
      </w:r>
      <w:r>
        <w:t xml:space="preserve">    </w:t>
      </w:r>
      <w:r>
        <w:rPr>
          <w:b/>
        </w:rPr>
        <w:t xml:space="preserve">Pub date: </w:t>
      </w:r>
      <w:r>
        <w:t>2026-07-09 06:00:05+00:00</w:t>
      </w:r>
      <w:r>
        <w:t xml:space="preserve">    </w:t>
      </w:r>
      <w:r>
        <w:rPr>
          <w:b/>
        </w:rPr>
        <w:t xml:space="preserve">DOI: </w:t>
      </w:r>
      <w:hyperlink r:id="rId1295">
        <w:r>
          <w:rPr>
            <w:color w:val="1155CC"/>
            <w:u w:val="single"/>
          </w:rPr>
          <w:t>10.1126/science.aeb6744</w:t>
        </w:r>
      </w:hyperlink>
    </w:p>
    <w:p>
      <w:pPr>
        <w:spacing w:before="0" w:after="120"/>
      </w:pPr>
      <w:r>
        <w:rPr>
          <w:b/>
        </w:rPr>
        <w:t xml:space="preserve">Notes: </w:t>
      </w:r>
      <w:r>
        <w:t>abstract_source=crossref</w:t>
      </w:r>
    </w:p>
    <w:p>
      <w:pPr>
        <w:spacing w:before="0" w:after="80" w:lineRule="auto" w:line="276"/>
      </w:pPr>
      <w:r>
        <w:rPr>
          <w:b/>
        </w:rPr>
        <w:t xml:space="preserve">摘要（ZH）: </w:t>
      </w:r>
      <w:r>
        <w:t>用翅膀驱动的潜水鸟拍动翅膀在空气和水中移动，但由于现场数据收集困难，导致这种行为的翅膀形态和运动学仍然知之甚少。扑动频率、机翼尺寸和刚度对两种介质中的运动以及两种介质之间的过渡的影响仍然未知。我们将潜水鸟类的数据与使用能够飞行、游泳、跳水和离开水面的扑翼机器人的实验进行了比较。我们表明，频率适应、灵活的机翼和强大的驱动可以实现无缝过渡，而无需折叠机翼或腿，大机翼可以增强飞行而不显着降低水下效率，尾体距离和出口角度会影响出水。这些结果阐明了鸟类（和机器人）如何平衡多流体运动约束。</w:t>
      </w:r>
    </w:p>
    <w:p>
      <w:pPr>
        <w:spacing w:before="0" w:after="200" w:lineRule="auto" w:line="276"/>
      </w:pPr>
      <w:r>
        <w:rPr>
          <w:b/>
        </w:rPr>
        <w:t xml:space="preserve">Abstract (EN): </w:t>
      </w:r>
      <w:r>
        <w:t>Wing-propelled diving birds flap their wings to move through air and water, yet the wing morphology and kinematics that enable this behavior remain poorly understood because of the difficulty of collecting in situ data. The impact of flapping frequency, wing size, and stiffness on locomotion in—and transition between—the two media are still unknown. We compared data from diving birds against experiments using a flapping-wing robot capable of flying, swimming, plunge diving, and exiting the water. We show that frequency adaptation, flexible wings, and powerful actuation enable seamless transitions without folding wings or legs, that large wings enhance flight without substantially reducing underwater efficiency, and that tail-body distance and egress angle affect water exit. These results clarify how birds (and robots) balance multifluid locomotion constraints.</w:t>
      </w:r>
    </w:p>
    <w:p>
      <w:pPr>
        <w:spacing w:before="120" w:after="120"/>
      </w:pPr>
      <w:r>
        <w:rPr>
          <w:sz w:val="18"/>
        </w:rPr>
        <w:t>——————————————————————————————————————————————————————————————————————</w:t>
      </w:r>
    </w:p>
    <w:p>
      <w:pPr>
        <w:spacing w:before="160" w:after="40" w:line="240" w:lineRule="auto"/>
      </w:pPr>
      <w:r>
        <w:rPr>
          <w:b/>
        </w:rPr>
        <w:t xml:space="preserve">[605] </w:t>
      </w:r>
      <w:hyperlink r:id="rId1296">
        <w:r>
          <w:rPr>
            <w:color w:val="1155CC"/>
            <w:u w:val="single"/>
          </w:rPr>
          <w:t>社会记忆中价态更新的神经回路</w:t>
        </w:r>
      </w:hyperlink>
    </w:p>
    <w:p>
      <w:pPr>
        <w:spacing w:before="0" w:after="80"/>
      </w:pPr>
      <w:r>
        <w:rPr>
          <w:i/>
          <w:sz w:val="20"/>
        </w:rPr>
        <w:t>EN: Neural circuits for valence updating in social memory</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297">
        <w:r>
          <w:rPr>
            <w:color w:val="1155CC"/>
            <w:u w:val="single"/>
          </w:rPr>
          <w:t>10.1126/science.adx8231</w:t>
        </w:r>
      </w:hyperlink>
    </w:p>
    <w:p>
      <w:pPr>
        <w:spacing w:before="0" w:after="120"/>
      </w:pPr>
      <w:r>
        <w:rPr>
          <w:b/>
        </w:rPr>
        <w:t xml:space="preserve">Notes: </w:t>
      </w:r>
      <w:r>
        <w:t>abstract_source=crossref</w:t>
      </w:r>
    </w:p>
    <w:p>
      <w:pPr>
        <w:spacing w:before="0" w:after="80" w:lineRule="auto" w:line="276"/>
      </w:pPr>
      <w:r>
        <w:rPr>
          <w:b/>
        </w:rPr>
        <w:t xml:space="preserve">摘要（ZH）: </w:t>
      </w:r>
      <w:r>
        <w:t>群居动物会识别熟悉的同类，并有选择地避开有害的同类。随着社会关系的变化，社会效价的持续更新至关重要，但潜在的神经机制仍不清楚。在这里，通过人为地将先前的中性同种转变为攻击性同种，我们表明效价更新取决于海马腹侧 CA1 (vCA1)-基底外侧杏仁核 (BLA)-伏隔核 (NAc) 回路内增强的突触连接和生理变化。失败后，vCA1 中的社会记忆印迹神经元加强了与携带负价的 BLA 神经元的联系。 vCA1–BLA–NAc 神经回路灵活调节适应性社交行为。</w:t>
      </w:r>
    </w:p>
    <w:p>
      <w:pPr>
        <w:spacing w:before="0" w:after="200" w:lineRule="auto" w:line="276"/>
      </w:pPr>
      <w:r>
        <w:rPr>
          <w:b/>
        </w:rPr>
        <w:t xml:space="preserve">Abstract (EN): </w:t>
      </w:r>
      <w:r>
        <w:t>Social animals recognize familiar conspecifics and selectively avoid harmful ones. As social relationships shift, continuous updating of social valence is essential, yet the underlying neural mechanisms remain unclear. Here, by artificially transforming a previously neutral conspecific into an aggressive one, we show that valence updating depends on enhanced synaptic connectivity and physiological changes within the hippocampal ventral CA1 (vCA1)–basolateral amygdala (BLA)–nucleus accumbens (NAc) circuit. Following defeat, social memory engram neurons in the vCA1 strengthened their connections with BLA neurons carrying negative valence. The vCA1–BLA–NAc neural circuit flexibly regulates adaptive social behaviors.</w:t>
      </w:r>
    </w:p>
    <w:p>
      <w:pPr>
        <w:spacing w:before="120" w:after="120"/>
      </w:pPr>
      <w:r>
        <w:rPr>
          <w:sz w:val="18"/>
        </w:rPr>
        <w:t>——————————————————————————————————————————————————————————————————————</w:t>
      </w:r>
    </w:p>
    <w:p>
      <w:pPr>
        <w:spacing w:before="160" w:after="40" w:line="240" w:lineRule="auto"/>
      </w:pPr>
      <w:r>
        <w:rPr>
          <w:b/>
        </w:rPr>
        <w:t xml:space="preserve">[606] </w:t>
      </w:r>
      <w:hyperlink r:id="rId1298">
        <w:r>
          <w:rPr>
            <w:color w:val="1155CC"/>
            <w:u w:val="single"/>
          </w:rPr>
          <w:t>通过结构光实现伯姆画笔的拓扑扩展</w:t>
        </w:r>
      </w:hyperlink>
    </w:p>
    <w:p>
      <w:pPr>
        <w:spacing w:before="0" w:after="80"/>
      </w:pPr>
      <w:r>
        <w:rPr>
          <w:i/>
          <w:sz w:val="20"/>
        </w:rPr>
        <w:t>EN: Topological expansion of Boehm’s brushes via structured light</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299">
        <w:r>
          <w:rPr>
            <w:color w:val="1155CC"/>
            <w:u w:val="single"/>
          </w:rPr>
          <w:t>10.1073/pnas.2532243123</w:t>
        </w:r>
      </w:hyperlink>
    </w:p>
    <w:p>
      <w:pPr>
        <w:spacing w:before="0" w:after="120"/>
      </w:pPr>
      <w:r>
        <w:rPr>
          <w:b/>
        </w:rPr>
        <w:t xml:space="preserve">Notes: </w:t>
      </w:r>
      <w:r>
        <w:t>abstract_source=crossref</w:t>
      </w:r>
    </w:p>
    <w:p>
      <w:pPr>
        <w:spacing w:before="0" w:after="80" w:lineRule="auto" w:line="276"/>
      </w:pPr>
      <w:r>
        <w:rPr>
          <w:b/>
        </w:rPr>
        <w:t xml:space="preserve">摘要（ZH）: </w:t>
      </w:r>
      <w:r>
        <w:t>我们报告了一种内视现象，其中经典的两瓣伯姆刷通过将自旋轨道耦合光投射到人类视网膜上而转变为多瓣结构。这些结构化光束由圆偏振和轨道角动量的不可分离叠加组成，通过视网膜中偏振相关的散射产生方位调制的内视图案。与由黄斑中的二向色吸收产生的海丁格刷不同，观察到的效果是由散射强度相对于局部偏振方向的角度变化驱动的。在散射中心表现出会聚到公共点的偏振方向的区域中，它们的综合贡献相互增强，产生更亮、更清晰的内视叶，其数量和方向随着自旋轨道刺激的拓扑而系统地变化。视网膜偏心率从 0.5 起的心理物理测量</w:t>
      </w:r>
      <w:r>
        <w:t xml:space="preserve"> </w:t>
      </w:r>
      <w:r>
        <w:t>°</w:t>
      </w:r>
      <w:r>
        <w:t xml:space="preserve"> </w:t>
      </w:r>
      <w:r>
        <w:t>至 4</w:t>
      </w:r>
      <w:r>
        <w:t xml:space="preserve"> </w:t>
      </w:r>
      <w:r>
        <w:t>°</w:t>
      </w:r>
      <w:r>
        <w:t xml:space="preserve"> </w:t>
      </w:r>
      <w:r>
        <w:t>十一名参与者透露，对比度检测阈值随着偏心度呈指数下降，这与非中心凹视网膜区域各向同性结构的偏振敏感散射一致。根据心理物理拟合，内视模式达到 50% 阈值时的平均偏心率为</w:t>
      </w:r>
      <w:r>
        <w:t xml:space="preserve"> </w:t>
      </w:r>
      <w:r>
        <w:t>r</w:t>
      </w:r>
      <w:r>
        <w:rPr>
          <w:vertAlign w:val="subscript"/>
        </w:rPr>
        <w:t>50</w:t>
      </w:r>
    </w:p>
    <w:p>
      <w:pPr>
        <w:spacing w:before="0" w:after="200" w:lineRule="auto" w:line="276"/>
      </w:pPr>
      <w:r>
        <w:rPr>
          <w:b/>
        </w:rPr>
        <w:t xml:space="preserve">Abstract (EN): </w:t>
      </w:r>
      <w:r>
        <w:t>We report an entoptic phenomenon in which the classical two-lobed Boehm’s brushes are transformed into a multilobed structure by projecting spin–orbit-coupled light onto the human retina. These structured beams, composed of nonseparable superpositions of circular polarization and orbital angular momentum, produce azimuthally modulated entoptic patterns through polarization-dependent scattering in the retina. Unlike Haidinger’s brushes, which arise from dichroic absorption in the macula, the observed effect is driven by angular variations in scattering strength relative to the local polarization direction. In regions where scattering centers exhibit polarization orientations that converge toward a common point, their combined contributions reinforce one another, producing brighter and more sharply defined entoptic lobes whose number and orientation vary systematically with the topology of the spin–orbit stimulus. Psychophysical measurements across retinal eccentricities from 0.5</w:t>
      </w:r>
      <w:r>
        <w:t xml:space="preserve"> </w:t>
      </w:r>
      <w:r>
        <w:t>°</w:t>
      </w:r>
      <w:r>
        <w:t xml:space="preserve"> </w:t>
      </w:r>
      <w:r>
        <w:t>to 4</w:t>
      </w:r>
      <w:r>
        <w:t xml:space="preserve"> </w:t>
      </w:r>
      <w:r>
        <w:t>°</w:t>
      </w:r>
      <w:r>
        <w:t xml:space="preserve"> </w:t>
      </w:r>
      <w:r>
        <w:t>in eleven participants revealed that contrast detection thresholds decreased exponentially with eccentricity, consistent with polarization-sensitive scattering by isotropic structures in the nonfoveal retinal regions. From the psychophysical fits, the mean eccentricity at which the entoptic pattern reached a 50% threshold was</w:t>
      </w:r>
      <w:r>
        <w:t xml:space="preserve"> </w:t>
      </w:r>
      <w:r>
        <w:t>r</w:t>
      </w:r>
      <w:r>
        <w:rPr>
          <w:vertAlign w:val="subscript"/>
        </w:rPr>
        <w:t>50</w:t>
      </w:r>
      <w:r>
        <w:t xml:space="preserve"> </w:t>
      </w:r>
      <w:r>
        <w:t>=</w:t>
      </w:r>
      <w:r>
        <w:rPr>
          <w:vertAlign w:val="subscript"/>
        </w:rPr>
        <w:t>1</w:t>
      </w:r>
      <w:r>
        <w:t>.</w:t>
      </w:r>
      <w:r>
        <w:t xml:space="preserve"> </w:t>
      </w:r>
      <w:r>
        <w:rPr>
          <w:vertAlign w:val="subscript"/>
        </w:rPr>
        <w:t>03</w:t>
      </w:r>
      <w:r>
        <w:t>°</w:t>
      </w:r>
      <w:r>
        <w:t xml:space="preserve"> </w:t>
      </w:r>
      <w:r>
        <w:t>with a 95% CI of [0.72, 1.34]</w:t>
      </w:r>
      <w:r>
        <w:t xml:space="preserve"> </w:t>
      </w:r>
      <w:r>
        <w:t>°</w:t>
      </w:r>
      <w:r>
        <w:t xml:space="preserve"> </w:t>
      </w:r>
      <w:r>
        <w:t>, indicating that the spin–orbit-induced entoptic structure becomes perceptually robust at approximately 1</w:t>
      </w:r>
      <w:r>
        <w:t xml:space="preserve"> </w:t>
      </w:r>
      <w:r>
        <w:t>°</w:t>
      </w:r>
      <w:r>
        <w:t xml:space="preserve"> </w:t>
      </w:r>
      <w:r>
        <w:t>retinal eccentricity and that perception improves with increasing retinal eccentricity. Together, these findings demonstrate that spin–orbit light modulates scattering-based visual phenomena in previously unrecognized ways, enabling approaches for probing retinal structure and visual processing using topological features of light.</w:t>
      </w:r>
    </w:p>
    <w:p>
      <w:pPr>
        <w:spacing w:before="120" w:after="120"/>
      </w:pPr>
      <w:r>
        <w:rPr>
          <w:sz w:val="18"/>
        </w:rPr>
        <w:t>——————————————————————————————————————————————————————————————————————</w:t>
      </w:r>
    </w:p>
    <w:p>
      <w:pPr>
        <w:spacing w:before="160" w:after="40" w:line="240" w:lineRule="auto"/>
      </w:pPr>
      <w:r>
        <w:rPr>
          <w:b/>
        </w:rPr>
        <w:t xml:space="preserve">[607] </w:t>
      </w:r>
      <w:hyperlink r:id="rId1300">
        <w:r>
          <w:rPr>
            <w:color w:val="1155CC"/>
            <w:u w:val="single"/>
          </w:rPr>
          <w:t>Z. Zhou 等人的研究文章“来自细胞毒性淋巴细胞的颗粒酶 A 裂解 GSDMB 以触发靶细胞焦亡”的勘误。</w:t>
        </w:r>
      </w:hyperlink>
    </w:p>
    <w:p>
      <w:pPr>
        <w:spacing w:before="0" w:after="80"/>
      </w:pPr>
      <w:r>
        <w:rPr>
          <w:i/>
          <w:sz w:val="20"/>
        </w:rPr>
        <w:t>EN: Erratum for the Research Article “Granzyme A from cytotoxic lymphocytes cleaves GSDMB to trigger pyroptosis in target cells” by Z. Zhou et al.</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01">
        <w:r>
          <w:rPr>
            <w:color w:val="1155CC"/>
            <w:u w:val="single"/>
          </w:rPr>
          <w:t>10.1126/science.aej7549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[608] </w:t>
      </w:r>
      <w:hyperlink r:id="rId1302">
        <w:r>
          <w:rPr>
            <w:color w:val="1155CC"/>
            <w:u w:val="single"/>
          </w:rPr>
          <w:t>研究文章“清醒海马尖波波纹支持空间记忆”的勘误</w:t>
        </w:r>
      </w:hyperlink>
    </w:p>
    <w:p>
      <w:pPr>
        <w:spacing w:before="0" w:after="80"/>
      </w:pPr>
      <w:r>
        <w:rPr>
          <w:i/>
          <w:sz w:val="20"/>
        </w:rPr>
        <w:t>EN: Erratum for the Research Article “Awake Hippocampal Sharp-Wave Ripples Support Spatial Memory”</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03">
        <w:r>
          <w:rPr>
            <w:color w:val="1155CC"/>
            <w:u w:val="single"/>
          </w:rPr>
          <w:t>10.1126/science.aek1745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[609] </w:t>
      </w:r>
      <w:hyperlink r:id="rId1304">
        <w:r>
          <w:rPr>
            <w:color w:val="1155CC"/>
            <w:u w:val="single"/>
          </w:rPr>
          <w:t>细胞周期的相位振荡器模型揭示了分支真菌网络中的核密度控制</w:t>
        </w:r>
      </w:hyperlink>
    </w:p>
    <w:p>
      <w:pPr>
        <w:spacing w:before="0" w:after="80"/>
      </w:pPr>
      <w:r>
        <w:rPr>
          <w:i/>
          <w:sz w:val="20"/>
        </w:rPr>
        <w:t>EN: A phase oscillator model of cell cycles reveals nuclear density control in a branched fungal network</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05">
        <w:r>
          <w:rPr>
            <w:color w:val="1155CC"/>
            <w:u w:val="single"/>
          </w:rPr>
          <w:t>10.1073/pnas.2534542123</w:t>
        </w:r>
      </w:hyperlink>
    </w:p>
    <w:p>
      <w:pPr>
        <w:spacing w:before="0" w:after="120"/>
      </w:pPr>
      <w:r>
        <w:rPr>
          <w:b/>
        </w:rPr>
        <w:t xml:space="preserve">Notes: </w:t>
      </w:r>
      <w:r>
        <w:t>abstract_source=crossref</w:t>
      </w:r>
    </w:p>
    <w:p>
      <w:pPr>
        <w:spacing w:before="0" w:after="80" w:lineRule="auto" w:line="276"/>
      </w:pPr>
      <w:r>
        <w:rPr>
          <w:b/>
        </w:rPr>
        <w:t xml:space="preserve">摘要（ZH）: </w:t>
      </w:r>
      <w:r>
        <w:t>维持适当的核质比对于各种细胞类型的生理功能至关重要，并且大小控制机制已在单核细胞中得到广泛研究。对于许多细胞核共享共同细胞质的细胞如何实现可比较的控制知之甚少，这种细胞质在许多情况下都可见，包括肌肉、胎盘和丝状真菌。丝状真菌</w:t>
      </w:r>
      <w:r>
        <w:t xml:space="preserve"> </w:t>
      </w:r>
      <w:r>
        <w:t>棉阿什比亚</w:t>
      </w:r>
      <w:r>
        <w:t xml:space="preserve"> </w:t>
      </w:r>
      <w:r>
        <w:t>形成一个分支菌丝体网络，其中各个细胞核异步分裂，而每个细胞体积的细胞核数量（核密度）受到严格控制。核密度的全局调节如何与局部细胞周期异步共存仍不清楚。为了解决这个问题，我们将原子核建模为分支细胞网络中相位振荡器的分裂群体，并通过测量参数化模型</w:t>
      </w:r>
      <w:r>
        <w:t xml:space="preserve"> </w:t>
      </w:r>
      <w:r>
        <w:t>阿什比亚</w:t>
      </w:r>
      <w:r>
        <w:t xml:space="preserve"> </w:t>
      </w:r>
      <w:r>
        <w:t>细胞。该模型表明，需要异步来防止同步分裂导致的大密度波动，并且如果它是密度控制的唯一机制，则在细胞周期中引入核密度检查点会导致同步。我们发现，将分支形成与核密度耦合既可以稳定核密度，又可以防止同步循环的出现。支持这些预测的是，我们证明具有分支缺陷和细胞周期同步性增加的突变体在核密度方面表现出更大的变异性。我们的结果表明，异步核循环一起</w:t>
      </w:r>
    </w:p>
    <w:p>
      <w:pPr>
        <w:spacing w:before="0" w:after="200" w:lineRule="auto" w:line="276"/>
      </w:pPr>
      <w:r>
        <w:rPr>
          <w:b/>
        </w:rPr>
        <w:t xml:space="preserve">Abstract (EN): </w:t>
      </w:r>
      <w:r>
        <w:t>Maintaining an appropriate nuclear-to-cytoplasmic ratio is essential across cell types for physiological function, and mechanisms of size control have been extensively studied in mononucleate cells. Much less is known about how comparable control is achieved in cells where many nuclei share a common cytoplasm, which are seen in many contexts including muscle, placenta, and filamentous fungi. The filamentous fungus</w:t>
      </w:r>
      <w:r>
        <w:t xml:space="preserve"> </w:t>
      </w:r>
      <w:r>
        <w:t>Ashbya gossypii</w:t>
      </w:r>
      <w:r>
        <w:t xml:space="preserve"> </w:t>
      </w:r>
      <w:r>
        <w:t>forms a branching mycelial network in which individual nuclei divide asynchronously, while the number of nuclei per cell volume (the nuclear density) is tightly controlled. How global regulation of nuclear density coexists with local cell cycle asynchrony remains unclear. To address this we model nuclei as a dividing population of phase oscillators within a branching cell network and parameterize the model with measurements from</w:t>
      </w:r>
      <w:r>
        <w:t xml:space="preserve"> </w:t>
      </w:r>
      <w:r>
        <w:t>Ashbya</w:t>
      </w:r>
      <w:r>
        <w:t xml:space="preserve"> </w:t>
      </w:r>
      <w:r>
        <w:t>cells. The model demonstrates that asynchrony is required to prevent large density fluctuations that would result from synchronous division, and that introducing a nuclear density checkpoint to the cell cycles leads to synchrony if it is the only mechanism of density control. We find that coupling branch formation to nuclear density both stabilizes nuclear density and prevents the emergence of synchronous cycles. Supporting these predictions, we demonstrate that mutants with branching defects and increased cell cycle synchrony display greater variability in nuclear density. Our results indicate that asynchronous nuclear cycles together with density-responsive branching maintain a constant nuclear density, revealing a strategy for regulating the nuclear-to-cytoplasmic ratio in large multinucleate cells.</w:t>
      </w:r>
    </w:p>
    <w:p>
      <w:pPr>
        <w:spacing w:before="120" w:after="120"/>
      </w:pPr>
      <w:r>
        <w:rPr>
          <w:sz w:val="18"/>
        </w:rPr>
        <w:t>——————————————————————————————————————————————————————————————————————</w:t>
      </w:r>
    </w:p>
    <w:p>
      <w:pPr>
        <w:spacing w:before="160" w:after="40" w:line="240" w:lineRule="auto"/>
      </w:pPr>
      <w:r>
        <w:rPr>
          <w:b/>
        </w:rPr>
        <w:t xml:space="preserve">[610] </w:t>
      </w:r>
      <w:hyperlink r:id="rId1306">
        <w:r>
          <w:rPr>
            <w:color w:val="1155CC"/>
            <w:u w:val="single"/>
          </w:rPr>
          <w:t>安第斯叶耳鼠（世界上居住地最高的哺乳动物）对极端海拔梯度的适应</w:t>
        </w:r>
      </w:hyperlink>
    </w:p>
    <w:p>
      <w:pPr>
        <w:spacing w:before="0" w:after="80"/>
      </w:pPr>
      <w:r>
        <w:rPr>
          <w:i/>
          <w:sz w:val="20"/>
        </w:rPr>
        <w:t>EN: Adaptation across an extreme elevational gradient in Andean leaf-eared mice, the world’s highest-dwelling mammal</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07">
        <w:r>
          <w:rPr>
            <w:color w:val="1155CC"/>
            <w:u w:val="single"/>
          </w:rPr>
          <w:t>10.1126/science.aec8347</w:t>
        </w:r>
      </w:hyperlink>
    </w:p>
    <w:p>
      <w:pPr>
        <w:spacing w:before="0" w:after="120"/>
      </w:pPr>
      <w:r>
        <w:rPr>
          <w:b/>
        </w:rPr>
        <w:t xml:space="preserve">Notes: </w:t>
      </w:r>
      <w:r>
        <w:t>abstract_source=crossref</w:t>
      </w:r>
    </w:p>
    <w:p>
      <w:pPr>
        <w:spacing w:before="0" w:after="80" w:lineRule="auto" w:line="276"/>
      </w:pPr>
      <w:r>
        <w:rPr>
          <w:b/>
        </w:rPr>
        <w:t xml:space="preserve">摘要（ZH）: </w:t>
      </w:r>
      <w:r>
        <w:t>安第斯叶耳鼠（</w:t>
      </w:r>
      <w:r>
        <w:t xml:space="preserve"> </w:t>
      </w:r>
      <w:r>
        <w:t>毛叶杨</w:t>
      </w:r>
      <w:r>
        <w:t xml:space="preserve"> </w:t>
      </w:r>
      <w:r>
        <w:t>）生活在所有哺乳动物中海拔最高的地方，而且它们的海拔范围也最广，从海平面到山峰&gt;6700米。相对于低地同种，高地种群在缺氧条件下进化出了增强的生热能力，这种生理性能的改善与骨骼肌中线粒体呼吸能力的增强有关。群体基因组分析确定了缺氧适应机制，并揭示了环境适应的意想不到的维度</w:t>
      </w:r>
      <w:r>
        <w:t xml:space="preserve"> </w:t>
      </w:r>
      <w:r>
        <w:t>真空假单胞菌</w:t>
      </w:r>
      <w:r>
        <w:t xml:space="preserve"> </w:t>
      </w:r>
      <w:r>
        <w:t>因为生物转化途径的选择表明进化出代谢植物源膳食毒素的能力。世界上栖息地最高的哺乳动物已经适应了其范围内的低海拔和高海拔限制的栖息地，并且许多与海拔相关的选择与以前不被重视的摄食生态方面有关。</w:t>
      </w:r>
    </w:p>
    <w:p>
      <w:pPr>
        <w:spacing w:before="0" w:after="200" w:lineRule="auto" w:line="276"/>
      </w:pPr>
      <w:r>
        <w:rPr>
          <w:b/>
        </w:rPr>
        <w:t xml:space="preserve">Abstract (EN): </w:t>
      </w:r>
      <w:r>
        <w:t>Andean leaf-eared mice (</w:t>
      </w:r>
      <w:r>
        <w:t xml:space="preserve"> </w:t>
      </w:r>
      <w:r>
        <w:t>Phyllotis vaccarum</w:t>
      </w:r>
      <w:r>
        <w:t xml:space="preserve"> </w:t>
      </w:r>
      <w:r>
        <w:t>) live at the highest elevations of any mammal, and they also have the broadest elevational range, from sea level to mountain summits of &amp;gt;6700 meters. Highland populations have evolved an enhanced thermogenic capacity in hypoxia relative to lowland conspecifics, and this improved physiological performance is associated with an increased mitochondrial respiratory capacity in skeletal muscle. Population genomic analyses identified mechanisms of hypoxia adaptation and revealed an unanticipated dimension of environmental adaptation in</w:t>
      </w:r>
      <w:r>
        <w:t xml:space="preserve"> </w:t>
      </w:r>
      <w:r>
        <w:t>P. vaccarum</w:t>
      </w:r>
      <w:r>
        <w:t xml:space="preserve"> </w:t>
      </w:r>
      <w:r>
        <w:t>because selection on biotransformation pathways suggests an evolved capacity to metabolize plant-derived dietary toxins. The world’s highest-dwelling mammal has adapted to habitats at both the low- and high-elevation limits of its range, and much of the elevation-related selection relates to previously unappreciated aspects of feeding ecology.</w:t>
      </w:r>
    </w:p>
    <w:p>
      <w:pPr>
        <w:spacing w:before="120" w:after="120"/>
      </w:pPr>
      <w:r>
        <w:rPr>
          <w:sz w:val="18"/>
        </w:rPr>
        <w:t>——————————————————————————————————————————————————————————————————————</w:t>
      </w:r>
    </w:p>
    <w:p>
      <w:pPr>
        <w:spacing w:before="160" w:after="40" w:line="240" w:lineRule="auto"/>
      </w:pPr>
      <w:r>
        <w:rPr>
          <w:b/>
        </w:rPr>
        <w:t xml:space="preserve">[611] </w:t>
      </w:r>
      <w:hyperlink r:id="rId1308">
        <w:r>
          <w:rPr>
            <w:color w:val="1155CC"/>
            <w:u w:val="single"/>
          </w:rPr>
          <w:t>个性化干预措施益处的统计检验</w:t>
        </w:r>
      </w:hyperlink>
    </w:p>
    <w:p>
      <w:pPr>
        <w:spacing w:before="0" w:after="80"/>
      </w:pPr>
      <w:r>
        <w:rPr>
          <w:i/>
          <w:sz w:val="20"/>
        </w:rPr>
        <w:t>EN: A statistical test for the benefits of personalizing interventions</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09">
        <w:r>
          <w:rPr>
            <w:color w:val="1155CC"/>
            <w:u w:val="single"/>
          </w:rPr>
          <w:t>10.1126/science.aeb9506</w:t>
        </w:r>
      </w:hyperlink>
    </w:p>
    <w:p>
      <w:pPr>
        <w:spacing w:before="0" w:after="120"/>
      </w:pPr>
      <w:r>
        <w:rPr>
          <w:b/>
        </w:rPr>
        <w:t xml:space="preserve">Notes: </w:t>
      </w:r>
      <w:r>
        <w:t>abstract_source=crossref</w:t>
      </w:r>
    </w:p>
    <w:p>
      <w:pPr>
        <w:spacing w:before="0" w:after="80" w:lineRule="auto" w:line="276"/>
      </w:pPr>
      <w:r>
        <w:rPr>
          <w:b/>
        </w:rPr>
        <w:t xml:space="preserve">摘要（ZH）: </w:t>
      </w:r>
      <w:r>
        <w:t>从医学到市场营销再到社会科学，针对个人量身定制干预措施的前景是不可否认的。然而，实际应用迫使我们权衡个性化的潜在好处及其可能增加的成本和脆弱性。我们引入了统计假设检验，根据历史数据评估个性化干预政策的绩效将超过部署最佳单一干预措施的证据。该检验保持严格的 I 类误差控制，同时在指定条件下以最小可能方差实现渐近正态性。来自职业培训、抑郁症治疗、教育和推荐系统的不同数据集的结果证明了该测试的多功能性及其优于其他测试的性能。该测试可以通过对个性化的潜在好处提供简单而有力的量化，为整个干预科学领域的决策者提供支持。</w:t>
      </w:r>
    </w:p>
    <w:p>
      <w:pPr>
        <w:spacing w:before="0" w:after="200" w:lineRule="auto" w:line="276"/>
      </w:pPr>
      <w:r>
        <w:rPr>
          <w:b/>
        </w:rPr>
        <w:t xml:space="preserve">Abstract (EN): </w:t>
      </w:r>
      <w:r>
        <w:t>From medicine to marketing to social sciences, the promise of tailoring interventions to individuals is undeniable. However, practical applications force weighing personalization’s potential benefits with its possible increased cost and fragility. We introduce a statistical hypothesis test that evaluates, given historical data, evidence that a personalized intervention policy’s performance will surpass deploying the best single intervention. The test maintains strict Type I error control while achieving asymptotic normality with the minimal possible variance under specified conditions. Results on diverse datasets from job training, depression treatment, education, and recommendation systems demonstrate the test’s versatility and its superior performance over alternatives. This test can support decision-makers throughout the intervention sciences by providing a simple and powerful quantification of the potential benefits of personalization.</w:t>
      </w:r>
    </w:p>
    <w:p>
      <w:pPr>
        <w:spacing w:before="120" w:after="120"/>
      </w:pPr>
      <w:r>
        <w:rPr>
          <w:sz w:val="18"/>
        </w:rPr>
        <w:t>——————————————————————————————————————————————————————————————————————</w:t>
      </w:r>
    </w:p>
    <w:p>
      <w:pPr>
        <w:spacing w:before="160" w:after="40" w:line="240" w:lineRule="auto"/>
      </w:pPr>
      <w:r>
        <w:rPr>
          <w:b/>
        </w:rPr>
        <w:t xml:space="preserve">[612] </w:t>
      </w:r>
      <w:hyperlink r:id="rId1310">
        <w:r>
          <w:rPr>
            <w:color w:val="1155CC"/>
            <w:u w:val="single"/>
          </w:rPr>
          <w:t>CARM1表观遗传酶抑制癌症免疫中交叉呈递树突状细胞功能</w:t>
        </w:r>
      </w:hyperlink>
    </w:p>
    <w:p>
      <w:pPr>
        <w:spacing w:before="0" w:after="80"/>
      </w:pPr>
      <w:r>
        <w:rPr>
          <w:i/>
          <w:sz w:val="20"/>
        </w:rPr>
        <w:t>EN: The CARM1 epigenetic enzyme inhibits cross-presenting dendritic cell function in cancer immunity</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11">
        <w:r>
          <w:rPr>
            <w:color w:val="1155CC"/>
            <w:u w:val="single"/>
          </w:rPr>
          <w:t>10.1126/science.aea1200</w:t>
        </w:r>
      </w:hyperlink>
    </w:p>
    <w:p>
      <w:pPr>
        <w:spacing w:before="0" w:after="120"/>
      </w:pPr>
      <w:r>
        <w:rPr>
          <w:b/>
        </w:rPr>
        <w:t xml:space="preserve">Notes: </w:t>
      </w:r>
      <w:r>
        <w:t>abstract_source=crossref</w:t>
      </w:r>
    </w:p>
    <w:p>
      <w:pPr>
        <w:spacing w:before="0" w:after="80" w:lineRule="auto" w:line="276"/>
      </w:pPr>
      <w:r>
        <w:rPr>
          <w:b/>
        </w:rPr>
        <w:t xml:space="preserve">摘要（ZH）: </w:t>
      </w:r>
      <w:r>
        <w:t>癌症免疫周期需要交叉呈递 I 型常规树突状细胞 (cDC1) 来诱导 T 细胞介导的免疫，但目前增强瘤内 cDC1 功能的治疗策略还不够。我们发现表观遗传酶 CARM1（共激活剂相关精氨酸甲基转移酶 1）是 cDC1 而非 cDC2 呈递癌症抗原的选择性负调节因子。失活</w:t>
      </w:r>
      <w:r>
        <w:t xml:space="preserve"> </w:t>
      </w:r>
      <w:r>
        <w:t>卡姆1</w:t>
      </w:r>
      <w:r>
        <w:t xml:space="preserve"> </w:t>
      </w:r>
      <w:r>
        <w:t>基因促进 cDC1 抗原在肿瘤中交叉呈递、激活和积累，CARM1 抑制剂通过癌症新抗原疫苗增强了 cDC1 介导的 T 细胞启动。 CARM1 抑制增加了 BATF3-Jun 和 RelA 位点的染色质可及性，这对 cDC1 功能和激活至关重要。转化生长因子-β调节</w:t>
      </w:r>
      <w:r>
        <w:t xml:space="preserve"> </w:t>
      </w:r>
      <w:r>
        <w:t>卡姆1</w:t>
      </w:r>
      <w:r>
        <w:t xml:space="preserve"> </w:t>
      </w:r>
      <w:r>
        <w:t>表达，这表明 CARM1 失活增强了瘤内 cDC1 功能，而不改变 cDC1 稳态。这些研究将 CARM1 确定为增强小鼠和人类 cDC1 抗肿瘤功能的潜在治疗靶点。</w:t>
      </w:r>
    </w:p>
    <w:p>
      <w:pPr>
        <w:spacing w:before="0" w:after="200" w:lineRule="auto" w:line="276"/>
      </w:pPr>
      <w:r>
        <w:rPr>
          <w:b/>
        </w:rPr>
        <w:t xml:space="preserve">Abstract (EN): </w:t>
      </w:r>
      <w:r>
        <w:t>The cancer-immunity cycle requires cross-presenting type I conventional dendritic cells (cDC1s) that induce T cell–mediated immunity, but therapeutic strategies for enhancing intratumoral cDC1 function are currently inadequate. We found the epigenetic enzyme CARM1 (coactivator-associated arginine methyltransferase 1) to be a selective negative regulator of cancer antigen presentation by cDC1s but not cDC2s. Inactivation of the</w:t>
      </w:r>
      <w:r>
        <w:t xml:space="preserve"> </w:t>
      </w:r>
      <w:r>
        <w:t>Carm1</w:t>
      </w:r>
      <w:r>
        <w:t xml:space="preserve"> </w:t>
      </w:r>
      <w:r>
        <w:t>gene promoted cDC1 antigen cross-presentation, activation, and accumulation in tumors, and a CARM1 inhibitor enhanced cDC1-mediated priming of T cells by means of a cancer neoantigen vaccine. CARM1 inhibition increased chromatin accessibility at BATF3-Jun and RelA sites that are critical for cDC1 function and activation. Transforming growth factor–β regulated</w:t>
      </w:r>
      <w:r>
        <w:t xml:space="preserve"> </w:t>
      </w:r>
      <w:r>
        <w:t>Carm1</w:t>
      </w:r>
      <w:r>
        <w:t xml:space="preserve"> </w:t>
      </w:r>
      <w:r>
        <w:t>expression, which suggests that CARM1 inactivation enhanced intratumoral cDC1 function without altering cDC1 homeostasis. These studies identify CARM1 as a potential therapeutic target for enhancing the antitumor function of mouse and human cDC1s.</w:t>
      </w:r>
    </w:p>
    <w:p>
      <w:pPr>
        <w:spacing w:before="120" w:after="120"/>
      </w:pPr>
      <w:r>
        <w:rPr>
          <w:sz w:val="18"/>
        </w:rPr>
        <w:t>——————————————————————————————————————————————————————————————————————</w:t>
      </w:r>
    </w:p>
    <w:p>
      <w:pPr>
        <w:spacing w:before="160" w:after="40" w:line="240" w:lineRule="auto"/>
      </w:pPr>
      <w:r>
        <w:rPr>
          <w:b/>
        </w:rPr>
        <w:t xml:space="preserve">[613] </w:t>
      </w:r>
      <w:hyperlink r:id="rId1312">
        <w:r>
          <w:rPr>
            <w:color w:val="1155CC"/>
            <w:u w:val="single"/>
          </w:rPr>
          <w:t>非洲入侵城市疟疾蚊子的起源、历史和抵抗结构</w:t>
        </w:r>
      </w:hyperlink>
    </w:p>
    <w:p>
      <w:pPr>
        <w:spacing w:before="0" w:after="80"/>
      </w:pPr>
      <w:r>
        <w:rPr>
          <w:i/>
          <w:sz w:val="20"/>
        </w:rPr>
        <w:t>EN: The origin, history, and resistance architecture of an invasive urban malaria mosquito in Africa</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13">
        <w:r>
          <w:rPr>
            <w:color w:val="1155CC"/>
            <w:u w:val="single"/>
          </w:rPr>
          <w:t>10.1126/science.adx6925</w:t>
        </w:r>
      </w:hyperlink>
    </w:p>
    <w:p>
      <w:pPr>
        <w:spacing w:before="0" w:after="120"/>
      </w:pPr>
      <w:r>
        <w:rPr>
          <w:b/>
        </w:rPr>
        <w:t xml:space="preserve">Notes: </w:t>
      </w:r>
      <w:r>
        <w:t>abstract_source=crossref</w:t>
      </w:r>
    </w:p>
    <w:p>
      <w:pPr>
        <w:spacing w:before="0" w:after="80" w:lineRule="auto" w:line="276"/>
      </w:pPr>
      <w:r>
        <w:rPr>
          <w:b/>
        </w:rPr>
        <w:t xml:space="preserve">摘要（ZH）: </w:t>
      </w:r>
      <w:r>
        <w:t>侵袭性城市疟疾媒介</w:t>
      </w:r>
      <w:r>
        <w:t xml:space="preserve"> </w:t>
      </w:r>
      <w:r>
        <w:t>史氏按蚊</w:t>
      </w:r>
      <w:r>
        <w:t xml:space="preserve"> </w:t>
      </w:r>
      <w:r>
        <w:t>威胁着非洲 1.26 亿城市居民。控制</w:t>
      </w:r>
      <w:r>
        <w:t xml:space="preserve"> </w:t>
      </w:r>
      <w:r>
        <w:t>安.斯蒂芬西</w:t>
      </w:r>
      <w:r>
        <w:t xml:space="preserve"> </w:t>
      </w:r>
      <w:r>
        <w:t>需要更好地了解其起源、入侵动态和杀虫剂抗性机制。对非洲、中东和亚洲采样的 645 个全基因组的分析支持了一种入侵情景，其中最初的南亚引入在吉布提建立了桥头堡种群，从而在苏丹、埃塞俄比亚/肯尼亚和也门播下了不同的入侵前线。这些入侵表现出不同的速率和由景观拓扑形成的传播路线。杀虫剂抗性主要由代谢解毒基因介导，抗性单倍型和拷贝数扩增从南亚引入。这些发现与伴随基因组资源一起，使得基因组监测成为可能</w:t>
      </w:r>
      <w:r>
        <w:t xml:space="preserve"> </w:t>
      </w:r>
      <w:r>
        <w:t>安.斯蒂芬西</w:t>
      </w:r>
      <w:r>
        <w:t xml:space="preserve"> </w:t>
      </w:r>
      <w:r>
        <w:t>传播和对援助控制策略的抵制。</w:t>
      </w:r>
    </w:p>
    <w:p>
      <w:pPr>
        <w:spacing w:before="0" w:after="200" w:lineRule="auto" w:line="276"/>
      </w:pPr>
      <w:r>
        <w:rPr>
          <w:b/>
        </w:rPr>
        <w:t xml:space="preserve">Abstract (EN): </w:t>
      </w:r>
      <w:r>
        <w:t>The invasive urban malaria vector</w:t>
      </w:r>
      <w:r>
        <w:t xml:space="preserve"> </w:t>
      </w:r>
      <w:r>
        <w:t>Anopheles stephensi</w:t>
      </w:r>
      <w:r>
        <w:t xml:space="preserve"> </w:t>
      </w:r>
      <w:r>
        <w:t>threatens 126 million city dwellers in Africa. Controlling</w:t>
      </w:r>
      <w:r>
        <w:t xml:space="preserve"> </w:t>
      </w:r>
      <w:r>
        <w:t>An. stephensi</w:t>
      </w:r>
      <w:r>
        <w:t xml:space="preserve"> </w:t>
      </w:r>
      <w:r>
        <w:t>requires greater understanding of its origin, invasion dynamics, and insecticide resistance mechanisms. Analysis of 645 whole genomes sampled across Africa, the Middle East, and Asia supports an invasion scenario in which an initial South Asian introduction established a bridgehead population in Djibouti, which seeded distinct invasion fronts in Sudan, Ethiopia/Kenya, and Yemen. These incursions show contrasting rates and routes of spread shaped by landscape topology. Insecticide resistance is predominantly mediated by metabolic detoxification genes, with resistance haplotypes and copy-number amplifications introduced from South Asia. These findings, alongside a companion genomic resource, enable genomic surveillance of</w:t>
      </w:r>
      <w:r>
        <w:t xml:space="preserve"> </w:t>
      </w:r>
      <w:r>
        <w:t>An. stephensi</w:t>
      </w:r>
      <w:r>
        <w:t xml:space="preserve"> </w:t>
      </w:r>
      <w:r>
        <w:t>spread and resistance to aid control strategies.</w:t>
      </w:r>
    </w:p>
    <w:p>
      <w:pPr>
        <w:spacing w:before="120" w:after="120"/>
      </w:pPr>
      <w:r>
        <w:rPr>
          <w:sz w:val="18"/>
        </w:rPr>
        <w:t>——————————————————————————————————————————————————————————————————————</w:t>
      </w:r>
    </w:p>
    <w:p>
      <w:pPr>
        <w:spacing w:before="160" w:after="40" w:line="240" w:lineRule="auto"/>
      </w:pPr>
      <w:r>
        <w:rPr>
          <w:b/>
        </w:rPr>
        <w:t xml:space="preserve">[614] </w:t>
      </w:r>
      <w:hyperlink r:id="rId1314">
        <w:r>
          <w:rPr>
            <w:color w:val="1155CC"/>
            <w:u w:val="single"/>
          </w:rPr>
          <w:t>修正 Hong 等人，实验草地共存、生产力和稳定性之间的机制联系</w:t>
        </w:r>
      </w:hyperlink>
    </w:p>
    <w:p>
      <w:pPr>
        <w:spacing w:before="0" w:after="80"/>
      </w:pPr>
      <w:r>
        <w:rPr>
          <w:i/>
          <w:sz w:val="20"/>
        </w:rPr>
        <w:t>EN: Correction for Hong et al., Mechanistic links between coexistence, productivity, and stability in experimental grasslands</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15">
        <w:r>
          <w:rPr>
            <w:color w:val="1155CC"/>
            <w:u w:val="single"/>
          </w:rPr>
          <w:t>10.1073/pnas.2621071123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[615] </w:t>
      </w:r>
      <w:hyperlink r:id="rId1316">
        <w:r>
          <w:rPr>
            <w:color w:val="1155CC"/>
            <w:u w:val="single"/>
          </w:rPr>
          <w:t>根部通过感知局部 pH 梯度在腐烂区域周围导航</w:t>
        </w:r>
      </w:hyperlink>
    </w:p>
    <w:p>
      <w:pPr>
        <w:spacing w:before="0" w:after="80"/>
      </w:pPr>
      <w:r>
        <w:rPr>
          <w:i/>
          <w:sz w:val="20"/>
        </w:rPr>
        <w:t>EN: Roots navigate around decay regions by sensing local pH gradients</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17">
        <w:r>
          <w:rPr>
            <w:color w:val="1155CC"/>
            <w:u w:val="single"/>
          </w:rPr>
          <w:t>10.1126/science.adw6568</w:t>
        </w:r>
      </w:hyperlink>
    </w:p>
    <w:p>
      <w:pPr>
        <w:spacing w:before="0" w:after="120"/>
      </w:pPr>
      <w:r>
        <w:rPr>
          <w:b/>
        </w:rPr>
        <w:t xml:space="preserve">Notes: </w:t>
      </w:r>
      <w:r>
        <w:t>abstract_source=crossref</w:t>
      </w:r>
    </w:p>
    <w:p>
      <w:pPr>
        <w:spacing w:before="0" w:after="80" w:lineRule="auto" w:line="276"/>
      </w:pPr>
      <w:r>
        <w:rPr>
          <w:b/>
        </w:rPr>
        <w:t xml:space="preserve">摘要（ZH）: </w:t>
      </w:r>
      <w:r>
        <w:t>植物向性使根能够通过响应定向环境线索来适应复杂的土壤。生物腐烂虽然对养分循环至关重要，但也会产生微生物活跃和潜在的敌对生态位。在这项工作中，我们发现了“腐向性”，这是一种以前未被识别的生长反应，它使根部能够主动弯曲远离腐烂的植物来源的物质。真菌驱动的微生物分解释放出有机酸，并在周围土壤中形成稳定的 pH 梯度，使根部能够在不直接接触的情况下精确定位腐烂情况。根表皮细胞通过根分生组织生长因子肽受体模块感知这种酸性梯度，将外部 pH 不对称转化为不对称脱落酸 (ABA) 分布。 ABA 不对称性驱动微管重组，这被解码为避免腐烂的根部弯曲。总之，这些发现建立了微生物腐烂衍生的化学梯度作为根系导航的指导信号，并扩展了微生物-土壤-植物通讯的框架。</w:t>
      </w:r>
    </w:p>
    <w:p>
      <w:pPr>
        <w:spacing w:before="0" w:after="200" w:lineRule="auto" w:line="276"/>
      </w:pPr>
      <w:r>
        <w:rPr>
          <w:b/>
        </w:rPr>
        <w:t xml:space="preserve">Abstract (EN): </w:t>
      </w:r>
      <w:r>
        <w:t>Plant tropisms enable roots to navigate complex soils by responding to directional environmental cues. Biological decay, although central to nutrient cycling, also creates microbially active and potentially hostile niches. In this work, we identified “saprotropism,” a previously unrecognized growth response that enables roots to actively bend away from decaying plant-derived matter. Fungal-driven microbial decomposition released organic acids and formed stable pH gradients in surrounding soil, allowing roots to pinpoint decay without direct contact. Root epidermal cells sensed this acidic gradient through the root meristem growth factor peptide-receptor module, converting external pH asymmetry into asymmetric abscisic acid (ABA) distribution. ABA asymmetry drove microtubule reorganization, which was decoded into decay-avoidant root bending. Together, these findings establish microbial decay–derived chemical gradients as an instructive signal for root navigation and expand the framework of microbe-soil-plant communication.</w:t>
      </w:r>
    </w:p>
    <w:p>
      <w:pPr>
        <w:spacing w:before="120" w:after="120"/>
      </w:pPr>
      <w:r>
        <w:rPr>
          <w:sz w:val="18"/>
        </w:rPr>
        <w:t>——————————————————————————————————————————————————————————————————————</w:t>
      </w:r>
    </w:p>
    <w:p>
      <w:pPr>
        <w:spacing w:before="160" w:after="40" w:line="240" w:lineRule="auto"/>
      </w:pPr>
      <w:r>
        <w:rPr>
          <w:b/>
        </w:rPr>
        <w:t xml:space="preserve">[616] </w:t>
      </w:r>
      <w:hyperlink r:id="rId1318">
        <w:r>
          <w:rPr>
            <w:color w:val="1155CC"/>
            <w:u w:val="single"/>
          </w:rPr>
          <w:t>cDC2 中的 IL-13 信号传导是全身过敏反应所必需的</w:t>
        </w:r>
      </w:hyperlink>
    </w:p>
    <w:p>
      <w:pPr>
        <w:spacing w:before="0" w:after="80"/>
      </w:pPr>
      <w:r>
        <w:rPr>
          <w:i/>
          <w:sz w:val="20"/>
        </w:rPr>
        <w:t>EN: IL-13 signaling in cDC2 is required for systemic anaphylactic responses</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19">
        <w:r>
          <w:rPr>
            <w:color w:val="1155CC"/>
            <w:u w:val="single"/>
          </w:rPr>
          <w:t>10.1073/pnas.2608478123</w:t>
        </w:r>
      </w:hyperlink>
    </w:p>
    <w:p>
      <w:pPr>
        <w:spacing w:before="0" w:after="120"/>
      </w:pPr>
      <w:r>
        <w:rPr>
          <w:b/>
        </w:rPr>
        <w:t xml:space="preserve">Notes: </w:t>
      </w:r>
      <w:r>
        <w:t>abstract_source=crossref</w:t>
      </w:r>
    </w:p>
    <w:p>
      <w:pPr>
        <w:spacing w:before="0" w:after="80" w:lineRule="auto" w:line="276"/>
      </w:pPr>
      <w:r>
        <w:rPr>
          <w:b/>
        </w:rPr>
        <w:t xml:space="preserve">摘要（ZH）: </w:t>
      </w:r>
      <w:r>
        <w:t>皮肤过敏原致敏（CAS）是特应性皮炎（AD）的主要驱动因素，也是“特应性行军”的关键引发者，“特应性行军”可导致食物过敏和过敏反应等全身性疾病。 2 型细胞因子白细胞介素 13 (IL-13) 是高亲和力 IgE 抗体的重要调节因子，但其协调全身过敏反应的精确细胞靶点和机制仍不完全清楚。在这里，我们评估了 IL-13 在小鼠 CAS 模型中的作用，该模型将皮肤炎症与全身过敏反应联系起来。使用 IL-13 受体 α1 亚基的细胞特异性缺失（</w:t>
      </w:r>
      <w:r>
        <w:t xml:space="preserve"> </w:t>
      </w:r>
      <w:r>
        <w:t>伊尔13ra1</w:t>
      </w:r>
      <w:r>
        <w:t xml:space="preserve"> </w:t>
      </w:r>
      <w:r>
        <w:t>），我们确定传统树突状细胞 (cDC)，而不是 T 或 B 细胞，作为 IL-13 产生高亲和力 IgE 的基本靶标。单细胞转录组学揭示 IL-13 信号传导在以 CX3CR1、Clec10a (CD301a) 和 CD301b (Mgl2) 高表达为特征的 cDC2 亚群中特异性发挥作用。 IL-13 的许可赋予这些 cDC2 卓越的抗原呈递能力，其特征是 MHC II 类和共刺激分子（包括 CD301a、CD301b 和 ICOSL）的上调。这些成熟的 cDC2 通过 CX3CR1 依赖性机制从外周动员到脾脏，在那里它们具有独特的能力来诱导产生 IL-13 的 T 滤泡辅助细胞（T</w:t>
      </w:r>
      <w:r>
        <w:t xml:space="preserve"> </w:t>
      </w:r>
      <w:r>
        <w:t>跳频</w:t>
      </w:r>
      <w:r>
        <w:t xml:space="preserve"> </w:t>
      </w:r>
      <w:r>
        <w:t>13）细胞。该级联导致强烈的生发中心反应并产生致病性、高亲和力 IgE。我们的研究结果定义了 IL-13–cDC2 轴，其功能相当于 cr</w:t>
      </w:r>
    </w:p>
    <w:p>
      <w:pPr>
        <w:spacing w:before="0" w:after="200" w:lineRule="auto" w:line="276"/>
      </w:pPr>
      <w:r>
        <w:rPr>
          <w:b/>
        </w:rPr>
        <w:t xml:space="preserve">Abstract (EN): </w:t>
      </w:r>
      <w:r>
        <w:t>Cutaneous allergen sensitization (CAS) is a primary driver of atopic dermatitis (AD) and a key initiator of the “atopic march”, which can lead to systemic conditions such as food allergy and anaphylaxis. The type 2 cytokine interleukin-13 (IL-13) is an important regulator of high-affinity IgE antibodies, yet the precise cellular targets and mechanisms by which it orchestrates systemic allergic responses remain incompletely understood. Here, we evaluated the role of IL-13 in a murine CAS model that links skin inflammation to systemic anaphylaxis. Using cell-specific deletions of the IL-13 receptor α1 subunit (</w:t>
      </w:r>
      <w:r>
        <w:t xml:space="preserve"> </w:t>
      </w:r>
      <w:r>
        <w:t>Il13ra1</w:t>
      </w:r>
      <w:r>
        <w:t xml:space="preserve"> </w:t>
      </w:r>
      <w:r>
        <w:t>), we identify conventional dendritic cells (cDCs), and not T or B cells, as the essential targets of IL-13 for generating high-affinity IgE. Single-cell transcriptomics reveal that IL-13 signaling acts specifically in a cDC2 subset characterized by high expression of CX3CR1, Clec10a (CD301a), and CD301b (Mgl2). Licensing by IL-13 endows these cDC2 with superior antigen-presenting capacity, characterized by the upregulation of MHC class II and costimulatory molecules, including CD301a, CD301b, and ICOSL. These mature cDC2s are mobilized from the periphery to the spleen by a CX3CR1-dependent mechanism, where they are uniquely equipped to induce the differentiation of IL-13-producing T follicular helper (T</w:t>
      </w:r>
      <w:r>
        <w:t xml:space="preserve"> </w:t>
      </w:r>
      <w:r>
        <w:t>FH</w:t>
      </w:r>
      <w:r>
        <w:t xml:space="preserve"> </w:t>
      </w:r>
      <w:r>
        <w:t>13) cells. This cascade results in robust germinal center reactions and production of pathogenic, high-affinity IgE. Our findings define an IL-13–cDC2 axis that functions as a critical regulator of the atopic march, providing a mechanistic rationale for the clinical efficacy of IL-13-targeted therapies in allergic diseases.</w:t>
      </w:r>
    </w:p>
    <w:p>
      <w:pPr>
        <w:spacing w:before="120" w:after="120"/>
      </w:pPr>
      <w:r>
        <w:rPr>
          <w:sz w:val="18"/>
        </w:rPr>
        <w:t>——————————————————————————————————————————————————————————————————————</w:t>
      </w:r>
    </w:p>
    <w:p>
      <w:pPr>
        <w:spacing w:before="160" w:after="40" w:line="240" w:lineRule="auto"/>
      </w:pPr>
      <w:r>
        <w:rPr>
          <w:b/>
        </w:rPr>
        <w:t xml:space="preserve">[617] </w:t>
      </w:r>
      <w:hyperlink r:id="rId1320">
        <w:r>
          <w:rPr>
            <w:color w:val="1155CC"/>
            <w:u w:val="single"/>
          </w:rPr>
          <w:t>SpyCEP 通过紊乱驱动的趋化因子重塑和 GAG 靶向来破坏中性粒细胞免疫</w:t>
        </w:r>
      </w:hyperlink>
    </w:p>
    <w:p>
      <w:pPr>
        <w:spacing w:before="0" w:after="80"/>
      </w:pPr>
      <w:r>
        <w:rPr>
          <w:i/>
          <w:sz w:val="20"/>
        </w:rPr>
        <w:t>EN: SpyCEP dismantles neutrophil immunity via disorder-driven chemokine remodeling and GAG targeting</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21">
        <w:r>
          <w:rPr>
            <w:color w:val="1155CC"/>
            <w:u w:val="single"/>
          </w:rPr>
          <w:t>10.1073/pnas.2520164123</w:t>
        </w:r>
      </w:hyperlink>
    </w:p>
    <w:p>
      <w:pPr>
        <w:spacing w:before="0" w:after="120"/>
      </w:pPr>
      <w:r>
        <w:rPr>
          <w:b/>
        </w:rPr>
        <w:t xml:space="preserve">Notes: </w:t>
      </w:r>
      <w:r>
        <w:t>abstract_source=crossref</w:t>
      </w:r>
    </w:p>
    <w:p>
      <w:pPr>
        <w:spacing w:before="0" w:after="80" w:lineRule="auto" w:line="276"/>
      </w:pPr>
      <w:r>
        <w:rPr>
          <w:b/>
        </w:rPr>
        <w:t xml:space="preserve">摘要（ZH）: </w:t>
      </w:r>
      <w:r>
        <w:t>化脓性链球菌</w:t>
      </w:r>
      <w:r>
        <w:t xml:space="preserve"> </w:t>
      </w:r>
      <w:r>
        <w:t>（A组</w:t>
      </w:r>
      <w:r>
        <w:t xml:space="preserve"> </w:t>
      </w:r>
      <w:r>
        <w:t>链球菌属</w:t>
      </w:r>
      <w:r>
        <w:t xml:space="preserve"> </w:t>
      </w:r>
      <w:r>
        <w:t>）采用复杂的毒力策略来逃避人类免疫，包括分泌细胞包膜蛋白酶 SpyCEP，它可以裂解并灭活关键的中性粒细胞吸引趋化因子，例如 CXCL8。在这里，我们整合了冷冻电子显微镜、核磁共振波谱和天然质谱来研究 SpyCEP 如何破坏 CXCL8 功能。我们证明 SpyCEP 的裂解自催化成熟环 (CAML) 内的无序芳香族和酸性区域模拟受体 N 结构域并结合 CXCL8 上的变构位点。由此产生的相互作用形成动态模糊复合物，并与二聚体解离耦合，这与增强对切割位点的接近一致。这种紊乱介导的底物接合不同于依赖于刚性识别界面的经典蛋白酶机制。此外，聚糖微阵列和 NMR 分析表明，CAML 区域介导糖胺聚糖 (GAG) 结合，这表明 SpyCEP 可以最大限度地与富含 GAG 的 CXCL8 储库相遇。总之，这些发现提供了一个结构和生物物理框架，用于理解 SpyCEP 如何将底物结合与 GAG 靶向结合起来，以消除趋化因子梯度并抑制中性粒细胞募集。更广泛地说，这项工作强调了内在紊乱在蛋白酶识别中的作用，并提出了针对 SpyCEP 的抗毒力治疗和疫苗策略的途径。</w:t>
      </w:r>
    </w:p>
    <w:p>
      <w:pPr>
        <w:spacing w:before="0" w:after="200" w:lineRule="auto" w:line="276"/>
      </w:pPr>
      <w:r>
        <w:rPr>
          <w:b/>
        </w:rPr>
        <w:t xml:space="preserve">Abstract (EN): </w:t>
      </w:r>
      <w:r>
        <w:t>Streptococcus pyogenes</w:t>
      </w:r>
      <w:r>
        <w:t xml:space="preserve"> </w:t>
      </w:r>
      <w:r>
        <w:t>(Group A</w:t>
      </w:r>
      <w:r>
        <w:t xml:space="preserve"> </w:t>
      </w:r>
      <w:r>
        <w:t>Streptococcus</w:t>
      </w:r>
      <w:r>
        <w:t xml:space="preserve"> </w:t>
      </w:r>
      <w:r>
        <w:t>) employs sophisticated virulence strategies to evade human immunity, including secretion of the cell envelope protease SpyCEP, which cleaves and inactivates key neutrophil-attracting chemokines such as CXCL8. Here, we integrate cryo-electron microscopy, NMR spectroscopy, and native mass spectrometry to investigate how SpyCEP disrupts CXCL8 function. We demonstrate that a disordered aromatic and acidic region within the cleaved autocatalytic maturation loop (CAML) of SpyCEP mimics receptor N-domains and binds an allosteric site on CXCL8. The resulting interaction forms a dynamic fuzzy complex and is coupled to dimer dissociation, consistent with enhanced access to the cleavage site. This disorder-mediated substrate engagement differs from classical protease mechanisms that rely on rigid recognition interfaces. Additionally, glycan microarray and NMR analyses show that the CAML region mediates glycosaminoglycan (GAG) binding, suggesting a means for SpyCEP to maximize encounters with GAG-enriched CXCL8 reservoirs. Together, these findings provide a structural and biophysical framework for understanding how SpyCEP combines substrate engagement with GAG targeting to dismantle chemokine gradients and inhibit neutrophil recruitment. More broadly, this work highlights the role of intrinsic disorder in protease recognition and suggests avenues for anti-virulence therapies and vaccine strategies targeting SpyCEP.</w:t>
      </w:r>
    </w:p>
    <w:p>
      <w:pPr>
        <w:spacing w:before="120" w:after="120"/>
      </w:pPr>
      <w:r>
        <w:rPr>
          <w:sz w:val="18"/>
        </w:rPr>
        <w:t>——————————————————————————————————————————————————————————————————————</w:t>
      </w:r>
    </w:p>
    <w:p>
      <w:pPr>
        <w:spacing w:before="160" w:after="40" w:line="240" w:lineRule="auto"/>
      </w:pPr>
      <w:r>
        <w:rPr>
          <w:b/>
        </w:rPr>
        <w:t xml:space="preserve">[618] </w:t>
      </w:r>
      <w:hyperlink r:id="rId1322">
        <w:r>
          <w:rPr>
            <w:color w:val="1155CC"/>
            <w:u w:val="single"/>
          </w:rPr>
          <w:t>异通道电突触的组合内联蛋白代码控制突触功能并由不同的细胞机制维持</w:t>
        </w:r>
      </w:hyperlink>
    </w:p>
    <w:p>
      <w:pPr>
        <w:spacing w:before="0" w:after="80"/>
      </w:pPr>
      <w:r>
        <w:rPr>
          <w:i/>
          <w:sz w:val="20"/>
        </w:rPr>
        <w:t>EN: The combinatorial innexin code of heterochannel electrical synapses governs synaptic function and is maintained by distinct cellular mechanisms</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23">
        <w:r>
          <w:rPr>
            <w:color w:val="1155CC"/>
            <w:u w:val="single"/>
          </w:rPr>
          <w:t>10.1073/pnas.2602614123</w:t>
        </w:r>
      </w:hyperlink>
    </w:p>
    <w:p>
      <w:pPr>
        <w:spacing w:before="0" w:after="120"/>
      </w:pPr>
      <w:r>
        <w:rPr>
          <w:b/>
        </w:rPr>
        <w:t xml:space="preserve">Notes: </w:t>
      </w:r>
      <w:r>
        <w:t>abstract_source=crossref</w:t>
      </w:r>
    </w:p>
    <w:p>
      <w:pPr>
        <w:spacing w:before="0" w:after="80" w:lineRule="auto" w:line="276"/>
      </w:pPr>
      <w:r>
        <w:rPr>
          <w:b/>
        </w:rPr>
        <w:t xml:space="preserve">摘要（ZH）: </w:t>
      </w:r>
      <w:r>
        <w:t>细胞间间隙连接通道（电突触的功能单位）分子组成的多样性决定了它们的生理特性。然而，神经元协调使用多种共表达间隙连接蛋白（连接蛋白或内联蛋白）以与不同突触伙伴建立选择性连接的机制仍然很大程度上未知。使用后部机械感觉回路</w:t>
      </w:r>
      <w:r>
        <w:t xml:space="preserve"> </w:t>
      </w:r>
      <w:r>
        <w:t>秀丽隐杆线虫，</w:t>
      </w:r>
      <w:r>
        <w:t xml:space="preserve"> </w:t>
      </w:r>
      <w:r>
        <w:t>我们发现，单个电突触可以通过聚集由三种不同的内联蛋白（INX-1、UNC-7 和 UNC-9）组成的分子上不同的间隙连接通道类型来形成。这种以前未表征的组合配置，我们称之为异通道突触，使分子上不同的间隙连接通道类型能够在功能上协作，以调节后触觉感觉行为并增强功能鲁棒性。我们表明，异通道突触内这些分子上不同的通道类型的突触运输受到特定且保守的驱动蛋白马达蛋白的独立调节，而涉及通道类型特异性逆行驱动蛋白的不同分子途径控制其周转。这些独立的、通道特异性的调节机制允许异通道突触的组合内联蛋白代码在个体突触水平上发生改变，以响应改变的环境条件，从而提供了电突触可塑性的机制。最后，我们提出异通道电同步的证据和功能意义</w:t>
      </w:r>
    </w:p>
    <w:p>
      <w:pPr>
        <w:spacing w:before="0" w:after="200" w:lineRule="auto" w:line="276"/>
      </w:pPr>
      <w:r>
        <w:rPr>
          <w:b/>
        </w:rPr>
        <w:t xml:space="preserve">Abstract (EN): </w:t>
      </w:r>
      <w:r>
        <w:t>Diversity in the molecular composition of intercellular gap junction channels, the functional units of electrical synapses, determines their physiological properties. Yet the mechanisms by which neurons coordinate the use of multiple coexpressed gap junction proteins—connexins or innexins—to establish selective connections with distinct synaptic partners remain largely unknown. Using the posterior mechanosensory circuit in</w:t>
      </w:r>
      <w:r>
        <w:t xml:space="preserve"> </w:t>
      </w:r>
      <w:r>
        <w:t>Caenorhabditis elegans,</w:t>
      </w:r>
      <w:r>
        <w:t xml:space="preserve"> </w:t>
      </w:r>
      <w:r>
        <w:t>we found that individual electrical synapses can form by clustering molecularly distinct gap junction channel types composed of three different innexin proteins: INX-1, UNC-7, and UNC-9. This previously uncharacterized combinatorial configuration, which we term heterochannel synapses, enables molecularly distinct gap junction channel types to collaborate functionally to regulate posterior touch sensory behavior and enhance functional robustness. We show that the synaptic trafficking of these molecularly distinct channel types within a heterochannel synapse is independently regulated by specific and conserved kinesin motor proteins, while distinct molecular pathways involving channel type-specific retrograde kinesins control their turnover. These independent, channel-specific regulatory mechanisms allow for individual synapse-level alterations in the combinatorial innexin code of heterochannel synapses in response to altered environmental conditions, providing a mechanism for electrical synapse plasticity. Finally, we present evidence and functional significance of heterochannel electrical synapses in</w:t>
      </w:r>
      <w:r>
        <w:t xml:space="preserve"> </w:t>
      </w:r>
      <w:r>
        <w:t>C. elegans</w:t>
      </w:r>
      <w:r>
        <w:t xml:space="preserve"> </w:t>
      </w:r>
      <w:r>
        <w:t>locomotory circuits. Altogether, our findings demonstrate a combinatorial heterochannel organization of electrical synapses, their functional significance, and the regulatory mechanisms that govern them.</w:t>
      </w:r>
    </w:p>
    <w:p>
      <w:pPr>
        <w:spacing w:before="120" w:after="120"/>
      </w:pPr>
      <w:r>
        <w:rPr>
          <w:sz w:val="18"/>
        </w:rPr>
        <w:t>——————————————————————————————————————————————————————————————————————</w:t>
      </w:r>
    </w:p>
    <w:p>
      <w:pPr>
        <w:spacing w:before="160" w:after="40" w:line="240" w:lineRule="auto"/>
      </w:pPr>
      <w:r>
        <w:rPr>
          <w:b/>
        </w:rPr>
        <w:t xml:space="preserve">[619] </w:t>
      </w:r>
      <w:hyperlink r:id="rId1324">
        <w:r>
          <w:rPr>
            <w:color w:val="1155CC"/>
            <w:u w:val="single"/>
          </w:rPr>
          <w:t>磁场存在下向列环形液滴中的 Helfrich 壁</w:t>
        </w:r>
      </w:hyperlink>
    </w:p>
    <w:p>
      <w:pPr>
        <w:spacing w:before="0" w:after="80"/>
      </w:pPr>
      <w:r>
        <w:rPr>
          <w:i/>
          <w:sz w:val="20"/>
        </w:rPr>
        <w:t>EN: Helfrich walls in nematic toroidal droplets in the presence of magnetic fields</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25">
        <w:r>
          <w:rPr>
            <w:color w:val="1155CC"/>
            <w:u w:val="single"/>
          </w:rPr>
          <w:t>10.1073/pnas.2603043123</w:t>
        </w:r>
      </w:hyperlink>
    </w:p>
    <w:p>
      <w:pPr>
        <w:spacing w:before="0" w:after="120"/>
      </w:pPr>
      <w:r>
        <w:rPr>
          <w:b/>
        </w:rPr>
        <w:t xml:space="preserve">Notes: </w:t>
      </w:r>
      <w:r>
        <w:t>abstract_source=crossref</w:t>
      </w:r>
    </w:p>
    <w:p>
      <w:pPr>
        <w:spacing w:before="0" w:after="80" w:lineRule="auto" w:line="276"/>
      </w:pPr>
      <w:r>
        <w:rPr>
          <w:b/>
        </w:rPr>
        <w:t xml:space="preserve">摘要（ZH）: </w:t>
      </w:r>
      <w:r>
        <w:t>我们观察到向列液晶（NLC）中稳定的磁场诱导的排列反转壁（也称为赫尔弗里希壁）的形成，该向列液晶（NLC）被限制在边界处切向锚定的环形液滴中。与低维缺陷结构相比，由于能量较高，NLC 中的壁很少见。然而，我们发现赫尔弗里希墙在这种非传统的环形环境中自然形成、转变和迁移，由于限制几何形状和外部场的相互作用而产生复杂的导向场配置。有趣的是，环形线圈的零场向列结构中点缺陷的存在和数量会影响所出现的壁的类型。在没有点缺陷的情况下，会出现张开弯曲壁。相比之下，当环形表面上存在点缺陷对时，Helfrich 先前未对壁进行分类，并且涉及扭曲和张开弯曲扭曲、形成和变换。我们的实验和数值模拟能够量化和阐明这些墙结构形成和转变背后的物理原理，扩展了被认为存在于 NLC 中的墙的类别。</w:t>
      </w:r>
    </w:p>
    <w:p>
      <w:pPr>
        <w:spacing w:before="0" w:after="200" w:lineRule="auto" w:line="276"/>
      </w:pPr>
      <w:r>
        <w:rPr>
          <w:b/>
        </w:rPr>
        <w:t xml:space="preserve">Abstract (EN): </w:t>
      </w:r>
      <w:r>
        <w:t>We observe the formation of stable, magnetic field induced, alignment inversion walls, also called Helfrich walls, in nematic liquid crystals (NLCs) confined to a toroidal droplet with tangential anchoring at the boundaries. Walls are rare in NLCs due to their high energy compared to lower-dimensional defect structures. However, we find that Helfrich walls naturally form, transform, and migrate in this unconventional toroidal setting, generating intricate director-field configurations due to the interplay of confining geometry and external fields. Interestingly, the presence and number of point defects in the zero field nematic configuration of the toroid influences the types of walls that arise. In the absence of point defects, splay-bend walls emerge. By contrast, when a point defect pair exists on the toroidal surface, a wall not previously classified by Helfrich, and that involves both twist and splay-bend distortions, forms, and transforms. Our experiments and numerical simulations enable the quantification and elucidation of the physics behind the formation and transformation of these wall structures, extending the class of walls that were believed to occur in NLCs.</w:t>
      </w:r>
    </w:p>
    <w:p>
      <w:pPr>
        <w:spacing w:before="120" w:after="120"/>
      </w:pPr>
      <w:r>
        <w:rPr>
          <w:sz w:val="18"/>
        </w:rPr>
        <w:t>——————————————————————————————————————————————————————————————————————</w:t>
      </w:r>
    </w:p>
    <w:p>
      <w:pPr>
        <w:spacing w:before="160" w:after="40" w:line="240" w:lineRule="auto"/>
      </w:pPr>
      <w:r>
        <w:rPr>
          <w:b/>
        </w:rPr>
        <w:t xml:space="preserve">[620] </w:t>
      </w:r>
      <w:hyperlink r:id="rId1326">
        <w:r>
          <w:rPr>
            <w:color w:val="1155CC"/>
            <w:u w:val="single"/>
          </w:rPr>
          <w:t>溶致向列混合物中的自发相分离和图案形成</w:t>
        </w:r>
      </w:hyperlink>
    </w:p>
    <w:p>
      <w:pPr>
        <w:spacing w:before="0" w:after="80"/>
      </w:pPr>
      <w:r>
        <w:rPr>
          <w:i/>
          <w:sz w:val="20"/>
        </w:rPr>
        <w:t>EN: Spontaneous phase separation and pattern formation in a lyotropic nematic mixture</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27">
        <w:r>
          <w:rPr>
            <w:color w:val="1155CC"/>
            <w:u w:val="single"/>
          </w:rPr>
          <w:t>10.1073/pnas.2604649123</w:t>
        </w:r>
      </w:hyperlink>
    </w:p>
    <w:p>
      <w:pPr>
        <w:spacing w:before="0" w:after="120"/>
      </w:pPr>
      <w:r>
        <w:rPr>
          <w:b/>
        </w:rPr>
        <w:t xml:space="preserve">Notes: </w:t>
      </w:r>
      <w:r>
        <w:t>abstract_source=crossref</w:t>
      </w:r>
    </w:p>
    <w:p>
      <w:pPr>
        <w:spacing w:before="0" w:after="80" w:lineRule="auto" w:line="276"/>
      </w:pPr>
      <w:r>
        <w:rPr>
          <w:b/>
        </w:rPr>
        <w:t xml:space="preserve">摘要（ZH）: </w:t>
      </w:r>
      <w:r>
        <w:t>溶致液晶可以表现出丰富的相行为和自组织，但其自组装成大规模图案的物理原理仍未得到充分研究。在这里，我们结合了日落黄-水发色混合物的理论、模拟和实验，表明即使不假设分子物种之间存在任何潜在的微观吸引力，此类材料也会自发相分离。在我们的最小模型中，分层仅取决于局部线虫密度和方向顺序之间的 Onsager 式耦合。如果这种耦合足够强，则向列缺陷会触发各向同性液滴的成核，然后由于弹性或界面张力而合并。我们进一步表明，界面处导向场的强锚定阻止了这种粗化过程，从而产生稳定的微相分离层状图案。这种自组装层状相具有显着且不寻常的特征，包括自发波动、异质层间距、长寿命玻璃状缺陷图案和层状洋葱状。我们的结果确定取向密度耦合和弹性毛细管作用是引导溶致液晶和发色液晶自组装的基本机制。</w:t>
      </w:r>
    </w:p>
    <w:p>
      <w:pPr>
        <w:spacing w:before="0" w:after="200" w:lineRule="auto" w:line="276"/>
      </w:pPr>
      <w:r>
        <w:rPr>
          <w:b/>
        </w:rPr>
        <w:t xml:space="preserve">Abstract (EN): </w:t>
      </w:r>
      <w:r>
        <w:t>Lyotropic liquid crystals can display rich phase behavior and self-organization, yet the physical principles underlying their self-assembly into large scale patterns remains understudied. Here, we combine theory, simulations, and experiments on Sunset Yellow-water chromonic mixtures to show that such materials spontaneously phase separate, even without assuming any underlying microscopic attraction between the molecular species. In our minimal model, demixing depends solely on the Onsager-like coupling between local nematogen density and orientational order. If such a coupling is sufficiently strong, nematic defects trigger the nucleation of isotropic droplets, which then coalesce due to elastic or interfacial tensions. We further show that strong anchoring of the director field at the interface arrests this coarsening process, resulting in a stable microphase-separated lamellar pattern. This self-assembled lamellar phase has striking and unusual features, including spontaneous undulations, heterogeneous layer spacing, long-lived glassy defect patterns and lamellar onions. Our results identify orientational-density coupling and elastocapillarity as fundamental mechanisms to guide self-assembly in lyotropic and chromonic liquid crystals.</w:t>
      </w:r>
    </w:p>
    <w:p>
      <w:pPr>
        <w:spacing w:before="120" w:after="120"/>
      </w:pPr>
      <w:r>
        <w:rPr>
          <w:sz w:val="18"/>
        </w:rPr>
        <w:t>——————————————————————————————————————————————————————————————————————</w:t>
      </w:r>
    </w:p>
    <w:p>
      <w:pPr>
        <w:spacing w:before="160" w:after="40" w:line="240" w:lineRule="auto"/>
      </w:pPr>
      <w:r>
        <w:rPr>
          <w:b/>
        </w:rPr>
        <w:t xml:space="preserve">[621] </w:t>
      </w:r>
      <w:hyperlink r:id="rId1328">
        <w:r>
          <w:rPr>
            <w:color w:val="1155CC"/>
            <w:u w:val="single"/>
          </w:rPr>
          <w:t>DNA 断裂 5mC 循环激活拟南芥中的转座元件</w:t>
        </w:r>
      </w:hyperlink>
    </w:p>
    <w:p>
      <w:pPr>
        <w:spacing w:before="0" w:after="80"/>
      </w:pPr>
      <w:r>
        <w:rPr>
          <w:i/>
          <w:sz w:val="20"/>
        </w:rPr>
        <w:t>EN: A DNA break-5mC cycle activates transposable elements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2026-07-09 07:00:00+00:00</w:t>
      </w:r>
      <w:r>
        <w:t xml:space="preserve">    </w:t>
      </w:r>
      <w:r>
        <w:rPr>
          <w:b/>
        </w:rPr>
        <w:t xml:space="preserve">DOI: </w:t>
      </w:r>
      <w:hyperlink r:id="rId1329">
        <w:r>
          <w:rPr>
            <w:color w:val="1155CC"/>
            <w:u w:val="single"/>
          </w:rPr>
          <w:t>10.1073/pnas.2529943123</w:t>
        </w:r>
      </w:hyperlink>
    </w:p>
    <w:p>
      <w:pPr>
        <w:spacing w:before="0" w:after="120"/>
      </w:pPr>
      <w:r>
        <w:rPr>
          <w:b/>
        </w:rPr>
        <w:t xml:space="preserve">Notes: </w:t>
      </w:r>
      <w:r>
        <w:t>abstract_source=crossref</w:t>
      </w:r>
    </w:p>
    <w:p>
      <w:pPr>
        <w:spacing w:before="0" w:after="80" w:lineRule="auto" w:line="276"/>
      </w:pPr>
      <w:r>
        <w:rPr>
          <w:b/>
        </w:rPr>
        <w:t xml:space="preserve">摘要（ZH）: </w:t>
      </w:r>
      <w:r>
        <w:t>植物基因组和表观基因组的完整性永远受到外源和内源 DNA 损伤的威胁。然而，DNA 损伤、DNA 甲基化 (5mC) 和转座元件 (TE) 活性之间的相互作用仍然知之甚少。在这里，我们证明缺陷性单链断裂（SSB）修复可作为全基因组 TE 去抑制和广泛的从头 DNA 甲基化的有效触发因素。</w:t>
      </w:r>
      <w:r>
        <w:t xml:space="preserve"> </w:t>
      </w:r>
      <w:r>
        <w:t>拟南芥</w:t>
      </w:r>
      <w:r>
        <w:t xml:space="preserve"> </w:t>
      </w:r>
      <w:r>
        <w:t>。 ZDP/APE2 编码保守的 DNA 3' 端修复酶，其突变会损害碱基切除修复产生的 3' 阻断的 SSB 的修复，最终导致广泛的 TE 激活。同时，低效的 SSB 修复会激活 ATR–SOG1 介导的 DNA 损伤反应，从而增强 RNA 指导的 DNA 甲基化 (RdDM) 途径，通过沉积 5mC 来抵消 TE 激活。矛盾的是，由此产生的甲基化被 DNA 去甲基化酶 ROS1 切除，该过程本身会产生需要 ZDP/APE2 解析的 3' 封闭 SSB。在</w:t>
      </w:r>
      <w:r>
        <w:t xml:space="preserve"> </w:t>
      </w:r>
      <w:r>
        <w:t>zdp 猿2</w:t>
      </w:r>
      <w:r>
        <w:t xml:space="preserve"> </w:t>
      </w:r>
      <w:r>
        <w:t>在突变体中，ROS1 介导的 5mC 切除会产生额外的 SSB，进而重新激活 RdDM。这建立了一个自我维持的 SSB-5mC 循环，使 DNA 损伤永久化并驱动突变体中的大量 TE 激活。我们的研究结果揭示了 SSB 修复、DNA 甲基化动力学和 TE 去抑制之间的关键机制联系，将有缺陷的 SSB 修复定位为表观基因组不稳定的主要诱因。</w:t>
      </w:r>
    </w:p>
    <w:p>
      <w:pPr>
        <w:spacing w:before="0" w:after="200" w:lineRule="auto" w:line="276"/>
      </w:pPr>
      <w:r>
        <w:rPr>
          <w:b/>
        </w:rPr>
        <w:t xml:space="preserve">Abstract (EN): </w:t>
      </w:r>
      <w:r>
        <w:t>Plant genomic and epigenomic integrity are perpetually threatened by exogenous and endogenous DNA damage. However, the interplay between DNA damage, DNA methylation (5mC), and transposable element (TE) activity remains poorly understood. Here, we demonstrate that defective single-strand break (SSB) repair acts as a potent trigger for genome-wide TE derepression and extensive de novo DNA methylation in</w:t>
      </w:r>
      <w:r>
        <w:t xml:space="preserve"> </w:t>
      </w:r>
      <w:r>
        <w:t>Arabidopsis</w:t>
      </w:r>
      <w:r>
        <w:t xml:space="preserve"> </w:t>
      </w:r>
      <w:r>
        <w:t>. Mutations in ZDP/APE2, which encode conserved DNA 3’-end repair enzymes, impair the repair of 3’-blocked SSBs arising from base excision repair, ultimately leading to widespread TE activation. Concurrently, inefficient SSB repair activates the ATR–SOG1-mediated DNA damage response, which enhances the RNA-directed DNA methylation (RdDM) pathway to counteract TE activation by depositing 5mC. Paradoxically, the resulting methylation is excised by the DNA demethylase ROS1—a process that itself generates 3’-blocked SSBs requiring resolution by ZDP/APE2. In</w:t>
      </w:r>
      <w:r>
        <w:t xml:space="preserve"> </w:t>
      </w:r>
      <w:r>
        <w:t>zdp ape2</w:t>
      </w:r>
      <w:r>
        <w:t xml:space="preserve"> </w:t>
      </w:r>
      <w:r>
        <w:t>mutants, ROS1-mediated 5mC excision produces additional SSBs, which in turn reactivate RdDM. This establishes a self-sustaining SSB–5mC cycle that perpetuates DNA damage and drives massive TE activation in the mutant. Our findings reveal a critical mechanistic link between SSB repair, DNA methylation dynamics, and TE derepression, positioning defective SSB repair as a major inducer of epigenomic instability.</w:t>
      </w:r>
    </w:p>
    <w:p>
      <w:pPr>
        <w:spacing w:before="120" w:after="120"/>
      </w:pPr>
      <w:r>
        <w:rPr>
          <w:sz w:val="18"/>
        </w:rPr>
        <w:t>——————————————————————————————————————————————————————————————————————</w:t>
      </w:r>
    </w:p>
    <w:p>
      <w:pPr>
        <w:spacing w:before="160" w:after="40" w:line="240" w:lineRule="auto"/>
      </w:pPr>
      <w:r>
        <w:rPr>
          <w:b/>
        </w:rPr>
        <w:t xml:space="preserve">[622] </w:t>
      </w:r>
      <w:hyperlink r:id="rId1330">
        <w:r>
          <w:rPr>
            <w:color w:val="1155CC"/>
            <w:u w:val="single"/>
          </w:rPr>
          <w:t>出狱是成瘾研究的一个机会</w:t>
        </w:r>
      </w:hyperlink>
    </w:p>
    <w:p>
      <w:pPr>
        <w:spacing w:before="0" w:after="80"/>
      </w:pPr>
      <w:r>
        <w:rPr>
          <w:i/>
          <w:sz w:val="20"/>
        </w:rPr>
        <w:t>EN: Prison release is an opportunity for addiction research</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31">
        <w:r>
          <w:rPr>
            <w:color w:val="1155CC"/>
            <w:u w:val="single"/>
          </w:rPr>
          <w:t>10.1126/science.aei0499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[623] </w:t>
      </w:r>
      <w:hyperlink r:id="rId1332">
        <w:r>
          <w:rPr>
            <w:color w:val="1155CC"/>
            <w:u w:val="single"/>
          </w:rPr>
          <w:t>C1q 和免疫球蛋白介导成人大脑中活动依赖性突触损失</w:t>
        </w:r>
      </w:hyperlink>
    </w:p>
    <w:p>
      <w:pPr>
        <w:spacing w:before="0" w:after="80"/>
      </w:pPr>
      <w:r>
        <w:rPr>
          <w:i/>
          <w:sz w:val="20"/>
        </w:rPr>
        <w:t>EN: C1q and immunoglobulins mediate activity-dependent synapse loss in the adult brain</w:t>
      </w:r>
    </w:p>
    <w:p>
      <w:pPr>
        <w:spacing w:before="0" w:after="120"/>
      </w:pPr>
      <w:r>
        <w:rPr>
          <w:b/>
        </w:rPr>
        <w:t xml:space="preserve">Source: </w:t>
      </w:r>
      <w:r>
        <w:t>AAAS: Science: Table of Contents</w:t>
      </w:r>
      <w:r>
        <w:t xml:space="preserve">    </w:t>
      </w:r>
      <w:r>
        <w:rPr>
          <w:b/>
        </w:rPr>
        <w:t xml:space="preserve">Pub date: </w:t>
      </w:r>
      <w:r>
        <w:t>2026-07-09 07:00:00+00:00</w:t>
      </w:r>
      <w:r>
        <w:t xml:space="preserve">    </w:t>
      </w:r>
      <w:r>
        <w:rPr>
          <w:b/>
        </w:rPr>
        <w:t xml:space="preserve">DOI: </w:t>
      </w:r>
      <w:hyperlink r:id="rId1333">
        <w:r>
          <w:rPr>
            <w:color w:val="1155CC"/>
            <w:u w:val="single"/>
          </w:rPr>
          <w:t>10.1126/science.adv1219</w:t>
        </w:r>
      </w:hyperlink>
    </w:p>
    <w:p>
      <w:pPr>
        <w:spacing w:before="0" w:after="120"/>
      </w:pPr>
      <w:r>
        <w:rPr>
          <w:b/>
        </w:rPr>
        <w:t xml:space="preserve">Notes: </w:t>
      </w:r>
      <w:r>
        <w:t>abstract_source=crossref</w:t>
      </w:r>
    </w:p>
    <w:p>
      <w:pPr>
        <w:spacing w:before="0" w:after="80" w:lineRule="auto" w:line="276"/>
      </w:pPr>
      <w:r>
        <w:rPr>
          <w:b/>
        </w:rPr>
        <w:t xml:space="preserve">摘要（ZH）: </w:t>
      </w:r>
      <w:r>
        <w:t>补体成分 1q (C1q) 是经典补体级联的启动子，介导发育和疾病过程中的突触消除，但其沉积在突触上的触发因素仍不清楚。利用体内化学遗传学，我们证明神经元过度活跃会导致成年海马区域特异性、C1q 依赖性突触损失。在阿尔茨海默氏病小鼠模型中，抑制穿通通路的过度活跃可减少局部淀粉样蛋白-β 的含量和 C1q 沉积，并部分挽救突触损失。结合空间转录组学、活细胞追踪和超分辨率显微镜，我们确定了成年海马中抗体分泌 B 谱系细胞与生理条件下活动依赖性、C1q 介导的突触损失之间的关联。总之，这些发现将神经元过度活跃与成人大脑中 C1q 介导的突触损失联系起来，并表明免疫球蛋白在这一过程中发挥着重要作用。</w:t>
      </w:r>
    </w:p>
    <w:p>
      <w:pPr>
        <w:spacing w:before="0" w:after="200" w:lineRule="auto" w:line="276"/>
      </w:pPr>
      <w:r>
        <w:rPr>
          <w:b/>
        </w:rPr>
        <w:t xml:space="preserve">Abstract (EN): </w:t>
      </w:r>
      <w:r>
        <w:t>Complement component 1q (C1q), the initiator of the classical complement cascade, mediates synaptic elimination in development and disease, yet the triggers for its deposition on synapses remain unclear. Using in vivo chemogenetics, we demonstrate that neuronal hyperactivity induces region-specific, C1q-dependent synapse loss in the adult hippocampus. Suppressing perforant pathway hyperactivity in a mouse model of Alzheimer’s disease reduced local amyloid-β amounts and C1q deposition and partially rescued synapse loss. Combining spatial transcriptomics, live cell tracking, and super-resolution microscopy, we identified association of antibody-secreting B-lineage cells in the adult hippocampus with activity-dependent, C1q-mediated synapse loss under physiological conditions. Together, these findings link neuronal hyperactivity to C1q-mediated synapse loss in the adult brain and implicate immunoglobulins as players in this process.</w:t>
      </w:r>
    </w:p>
    <w:p>
      <w:pPr>
        <w:spacing w:before="120" w:after="120"/>
      </w:pPr>
      <w:r>
        <w:rPr>
          <w:sz w:val="18"/>
        </w:rPr>
        <w:t>——————————————————————————————————————————————————————————————————————</w:t>
      </w:r>
    </w:p>
    <w:p>
      <w:pPr>
        <w:spacing w:before="160" w:after="40" w:line="240" w:lineRule="auto"/>
      </w:pPr>
      <w:r>
        <w:rPr>
          <w:b/>
        </w:rPr>
        <w:t xml:space="preserve">[624] </w:t>
      </w:r>
      <w:hyperlink r:id="rId1334">
        <w:r>
          <w:rPr>
            <w:color w:val="1155CC"/>
            <w:u w:val="single"/>
          </w:rPr>
          <w:t>$^{162}\mathrm{Lu}$中的低洼层结构</w:t>
        </w:r>
      </w:hyperlink>
    </w:p>
    <w:p>
      <w:pPr>
        <w:spacing w:before="0" w:after="80"/>
      </w:pPr>
      <w:r>
        <w:rPr>
          <w:i/>
          <w:sz w:val="20"/>
        </w:rPr>
        <w:t>EN: Low-lying level structures in $^{162}\mathrm{Lu}$</w:t>
      </w:r>
    </w:p>
    <w:p>
      <w:pPr>
        <w:spacing w:before="0" w:after="120"/>
      </w:pPr>
      <w:r>
        <w:rPr>
          <w:b/>
        </w:rPr>
        <w:t xml:space="preserve">Source: </w:t>
      </w:r>
      <w:r>
        <w:t>Recent Articles in Phys. Rev. C</w:t>
      </w:r>
      <w:r>
        <w:t xml:space="preserve">    </w:t>
      </w:r>
      <w:r>
        <w:rPr>
          <w:b/>
        </w:rPr>
        <w:t xml:space="preserve">Pub date: </w:t>
      </w:r>
      <w:r>
        <w:t>2026-07-09 10:00:00+00:00</w:t>
      </w:r>
      <w:r>
        <w:t xml:space="preserve">    </w:t>
      </w:r>
      <w:r>
        <w:rPr>
          <w:b/>
        </w:rPr>
        <w:t xml:space="preserve">DOI: </w:t>
      </w:r>
      <w:hyperlink r:id="rId1335">
        <w:r>
          <w:rPr>
            <w:color w:val="1155CC"/>
            <w:u w:val="single"/>
          </w:rPr>
          <w:t>10.1103/nds2-c8v9</w:t>
        </w:r>
      </w:hyperlink>
    </w:p>
    <w:p>
      <w:pPr>
        <w:spacing w:before="0" w:after="120"/>
      </w:pPr>
      <w:r>
        <w:rPr>
          <w:b/>
        </w:rPr>
        <w:t xml:space="preserve">Notes: </w:t>
      </w:r>
      <w:r>
        <w:t>abstract_source=rss_description</w:t>
      </w:r>
    </w:p>
    <w:p>
      <w:pPr>
        <w:spacing w:before="0" w:after="80" w:lineRule="auto" w:line="276"/>
      </w:pPr>
      <w:r>
        <w:rPr>
          <w:b/>
        </w:rPr>
        <w:t xml:space="preserve">摘要（ZH）: </w:t>
      </w:r>
      <w:r>
        <w:t>作者：N. Susshma、Deepa Seetharaman、K. Vijay Sai 和 R. Gowrishankar 背景：由于反应截面产率低、半衰期短以及缺乏专门研究，远离稳定区域的变形奇奇核的低位能级结构的特征很少。一个这样有趣的例子是奇奇稀土轻质量isoto……[物理。 Rev. C 114, 014309] 于 2026 年 7 月 9 日星期四发布</w:t>
      </w:r>
    </w:p>
    <w:p>
      <w:pPr>
        <w:spacing w:before="0" w:after="200" w:lineRule="auto" w:line="276"/>
      </w:pPr>
      <w:r>
        <w:rPr>
          <w:b/>
        </w:rPr>
        <w:t xml:space="preserve">Abstract (EN): </w:t>
      </w:r>
      <w:r>
        <w:t>Author(s): N. Susshma, Deepa Seetharaman, K. Vijay Sai, and R. GowrishankarBackground: The low-lying level structures of deformed odd-odd nuclei away from the region of stability have been sparsely characterized due to low cross-section yields in reactions, short half-lives, and lack of dedicated studies. One such interesting case is the odd-odd rare-earth light-mass isoto…[Phys. Rev. C 114, 014309] Published Thu Jul 09, 2026</w:t>
      </w:r>
    </w:p>
    <w:p>
      <w:pPr>
        <w:spacing w:before="120" w:after="120"/>
      </w:pPr>
      <w:r>
        <w:rPr>
          <w:sz w:val="18"/>
        </w:rPr>
        <w:t>——————————————————————————————————————————————————————————————————————</w:t>
      </w:r>
    </w:p>
    <w:p>
      <w:pPr>
        <w:spacing w:before="160" w:after="40" w:line="240" w:lineRule="auto"/>
      </w:pPr>
      <w:r>
        <w:rPr>
          <w:b/>
        </w:rPr>
        <w:t xml:space="preserve">[625] </w:t>
      </w:r>
      <w:hyperlink r:id="rId1336">
        <w:r>
          <w:rPr>
            <w:color w:val="1155CC"/>
            <w:u w:val="single"/>
          </w:rPr>
          <w:t>用 Ca、Ti、V 和 Cr 射弹合成 $Z=119$ 超重核的理论估计：反应 $Q$ 值和质量模型依赖性的影响</w:t>
        </w:r>
      </w:hyperlink>
    </w:p>
    <w:p>
      <w:pPr>
        <w:spacing w:before="0" w:after="80"/>
      </w:pPr>
      <w:r>
        <w:rPr>
          <w:i/>
          <w:sz w:val="20"/>
        </w:rPr>
        <w:t>EN: Theoretical estimates for the synthesis of $Z=119$ superheavy nuclei with Ca, Ti, V, and Cr projectiles: Effects of reaction $Q$ values and mass-model dependence</w:t>
      </w:r>
    </w:p>
    <w:p>
      <w:pPr>
        <w:spacing w:before="0" w:after="120"/>
      </w:pPr>
      <w:r>
        <w:rPr>
          <w:b/>
        </w:rPr>
        <w:t xml:space="preserve">Source: </w:t>
      </w:r>
      <w:r>
        <w:t>Recent Articles in Phys. Rev. C</w:t>
      </w:r>
      <w:r>
        <w:t xml:space="preserve">    </w:t>
      </w:r>
      <w:r>
        <w:rPr>
          <w:b/>
        </w:rPr>
        <w:t xml:space="preserve">Pub date: </w:t>
      </w:r>
      <w:r>
        <w:t>2026-07-09 10:00:00+00:00</w:t>
      </w:r>
      <w:r>
        <w:t xml:space="preserve">    </w:t>
      </w:r>
      <w:r>
        <w:rPr>
          <w:b/>
        </w:rPr>
        <w:t xml:space="preserve">DOI: </w:t>
      </w:r>
      <w:hyperlink r:id="rId1337">
        <w:r>
          <w:rPr>
            <w:color w:val="1155CC"/>
            <w:u w:val="single"/>
          </w:rPr>
          <w:t>10.1103/pjw1-1c5k</w:t>
        </w:r>
      </w:hyperlink>
    </w:p>
    <w:p>
      <w:pPr>
        <w:spacing w:before="0" w:after="120"/>
      </w:pPr>
      <w:r>
        <w:rPr>
          <w:b/>
        </w:rPr>
        <w:t xml:space="preserve">Notes: </w:t>
      </w:r>
      <w:r>
        <w:t>abstract_source=rss_description</w:t>
      </w:r>
    </w:p>
    <w:p>
      <w:pPr>
        <w:spacing w:before="0" w:after="80" w:lineRule="auto" w:line="276"/>
      </w:pPr>
      <w:r>
        <w:rPr>
          <w:b/>
        </w:rPr>
        <w:t xml:space="preserve">摘要（ZH）: </w:t>
      </w:r>
      <w:r>
        <w:t>作者：K. Kawai、Y. Aritomo、K. Nakajima、S. Takagi 和 N. Nishimura 背景：新元素的合成、扩展周期表仍然是现代科学的核心挑战之一，需要在核反应中产生超重核。然而，超重核的产生涉及高度复杂的反应机制，理论上……[物理。 Rev. C 114, 014612] 于 2026 年 7 月 9 日星期四发布</w:t>
      </w:r>
    </w:p>
    <w:p>
      <w:pPr>
        <w:spacing w:before="0" w:after="200" w:lineRule="auto" w:line="276"/>
      </w:pPr>
      <w:r>
        <w:rPr>
          <w:b/>
        </w:rPr>
        <w:t xml:space="preserve">Abstract (EN): </w:t>
      </w:r>
      <w:r>
        <w:t>Author(s): K. Kawai (川井幸亮), Y. Aritomo (有友嘉浩), K. Nakajima (中島滉太), S. Takagi (髙木慎弥), and N. Nishimura (西村信哉)Background: The synthesis of new elements, extending the periodic table, remains one of the central challenges in modern science and requires the production of superheavy nuclei in nuclear reactions. However, the production of superheavy nuclei involves highly complex reaction mechanisms, and theore…[Phys. Rev. C 114, 014612] Published Thu Jul 09, 2026</w:t>
      </w:r>
    </w:p>
    <w:p>
      <w:pPr>
        <w:spacing w:before="120" w:after="120"/>
      </w:pPr>
      <w:r>
        <w:rPr>
          <w:sz w:val="18"/>
        </w:rPr>
        <w:t>——————————————————————————————————————————————————————————————————————</w:t>
      </w:r>
    </w:p>
    <w:p>
      <w:pPr>
        <w:spacing w:before="160" w:after="40" w:line="240" w:lineRule="auto"/>
      </w:pPr>
      <w:r>
        <w:rPr>
          <w:b/>
        </w:rPr>
        <w:t xml:space="preserve">[626] </w:t>
      </w:r>
      <w:hyperlink r:id="rId1338">
        <w:r>
          <w:rPr>
            <w:color w:val="1155CC"/>
            <w:u w:val="single"/>
          </w:rPr>
          <w:t>CLAS $γp→{π}^{0}p$ 反应中的偏振可观测量 $T$ 和 $F$</w:t>
        </w:r>
      </w:hyperlink>
    </w:p>
    <w:p>
      <w:pPr>
        <w:spacing w:before="0" w:after="80"/>
      </w:pPr>
      <w:r>
        <w:rPr>
          <w:i/>
          <w:sz w:val="20"/>
        </w:rPr>
        <w:t>EN: Polarization observables $T$ and $F$ in the $γp→{π}^{0}p$ reaction at CLAS</w:t>
      </w:r>
    </w:p>
    <w:p>
      <w:pPr>
        <w:spacing w:before="0" w:after="120"/>
      </w:pPr>
      <w:r>
        <w:rPr>
          <w:b/>
        </w:rPr>
        <w:t xml:space="preserve">Source: </w:t>
      </w:r>
      <w:r>
        <w:t>Recent Articles in Phys. Rev. C</w:t>
      </w:r>
      <w:r>
        <w:t xml:space="preserve">    </w:t>
      </w:r>
      <w:r>
        <w:rPr>
          <w:b/>
        </w:rPr>
        <w:t xml:space="preserve">Pub date: </w:t>
      </w:r>
      <w:r>
        <w:t>2026-07-09 10:00:00+00:00</w:t>
      </w:r>
      <w:r>
        <w:t xml:space="preserve">    </w:t>
      </w:r>
      <w:r>
        <w:rPr>
          <w:b/>
        </w:rPr>
        <w:t xml:space="preserve">DOI: </w:t>
      </w:r>
      <w:hyperlink r:id="rId1339">
        <w:r>
          <w:rPr>
            <w:color w:val="1155CC"/>
            <w:u w:val="single"/>
          </w:rPr>
          <w:t>10.1103/ml3y-pmb8</w:t>
        </w:r>
      </w:hyperlink>
    </w:p>
    <w:p>
      <w:pPr>
        <w:spacing w:before="0" w:after="120"/>
      </w:pPr>
      <w:r>
        <w:rPr>
          <w:b/>
        </w:rPr>
        <w:t xml:space="preserve">Notes: </w:t>
      </w:r>
      <w:r>
        <w:t>abstract_source=rss_description</w:t>
      </w:r>
    </w:p>
    <w:p>
      <w:pPr>
        <w:spacing w:before="0" w:after="80" w:lineRule="auto" w:line="276"/>
      </w:pPr>
      <w:r>
        <w:rPr>
          <w:b/>
        </w:rPr>
        <w:t xml:space="preserve">摘要（ZH）: </w:t>
      </w:r>
      <w:r>
        <w:t>作者：H. Jiang 等（CLAS 合作）$\stackrel{⃗}{γ}\stackrel{⃗}{p}→{π}^{0}p$ 反应中的 Pion 光生成已在托马斯·杰斐逊国家加速器设施的冷冻旋转目标 (FROST) 实验中进行了测量。在这个实验中，能量高达 3.082 GeV 的圆偏振光子撞击横向……[Phys. Rev. C 114, 015203] 于 2026 年 7 月 9 日星期四发布</w:t>
      </w:r>
    </w:p>
    <w:p>
      <w:pPr>
        <w:spacing w:before="0" w:after="200" w:lineRule="auto" w:line="276"/>
      </w:pPr>
      <w:r>
        <w:rPr>
          <w:b/>
        </w:rPr>
        <w:t xml:space="preserve">Abstract (EN): </w:t>
      </w:r>
      <w:r>
        <w:t>Author(s): H. Jiang et al. (CLAS Collaboration)Pion photoproduction in the $\stackrel{⃗}{γ}\stackrel{⃗}{p}→{π}^{0}p$ reaction has been measured in the FROzen Spin Target (FROST) experiment at the Thomas Jefferson National Accelerator Facility. In this experiment, circularly polarized photons with energies up to 3.082 GeV impinged on a transverse…[Phys. Rev. C 114, 015203] Published Thu Jul 09, 2026</w:t>
      </w:r>
    </w:p>
    <w:p>
      <w:pPr>
        <w:spacing w:before="120" w:after="120"/>
      </w:pPr>
      <w:r>
        <w:rPr>
          <w:sz w:val="18"/>
        </w:rPr>
        <w:t>——————————————————————————————————————————————————————————————————————</w:t>
      </w:r>
    </w:p>
    <w:p>
      <w:pPr>
        <w:spacing w:before="160" w:after="40" w:line="240" w:lineRule="auto"/>
      </w:pPr>
      <w:r>
        <w:rPr>
          <w:b/>
        </w:rPr>
        <w:t xml:space="preserve">[627] </w:t>
      </w:r>
      <w:hyperlink r:id="rId1340">
        <w:r>
          <w:rPr>
            <w:color w:val="1155CC"/>
            <w:u w:val="single"/>
          </w:rPr>
          <w:t>近似用于求解 Marchenko 方程的 $S$ 矩阵。二.不同阈值通道的情况</w:t>
        </w:r>
      </w:hyperlink>
    </w:p>
    <w:p>
      <w:pPr>
        <w:spacing w:before="0" w:after="80"/>
      </w:pPr>
      <w:r>
        <w:rPr>
          <w:i/>
          <w:sz w:val="20"/>
        </w:rPr>
        <w:t>EN: Approximating the $S$ matrix for solving the Marchenko equation. II. The case of channels with different thresholds</w:t>
      </w:r>
    </w:p>
    <w:p>
      <w:pPr>
        <w:spacing w:before="0" w:after="120"/>
      </w:pPr>
      <w:r>
        <w:rPr>
          <w:b/>
        </w:rPr>
        <w:t xml:space="preserve">Source: </w:t>
      </w:r>
      <w:r>
        <w:t>Recent Articles in Phys. Rev. C</w:t>
      </w:r>
      <w:r>
        <w:t xml:space="preserve">    </w:t>
      </w:r>
      <w:r>
        <w:rPr>
          <w:b/>
        </w:rPr>
        <w:t xml:space="preserve">Pub date: </w:t>
      </w:r>
      <w:r>
        <w:t>2026-07-09 10:00:00+00:00</w:t>
      </w:r>
      <w:r>
        <w:t xml:space="preserve">    </w:t>
      </w:r>
      <w:r>
        <w:rPr>
          <w:b/>
        </w:rPr>
        <w:t xml:space="preserve">DOI: </w:t>
      </w:r>
      <w:hyperlink r:id="rId1341">
        <w:r>
          <w:rPr>
            <w:color w:val="1155CC"/>
            <w:u w:val="single"/>
          </w:rPr>
          <w:t>10.1103/zv3d-3h9x</w:t>
        </w:r>
      </w:hyperlink>
    </w:p>
    <w:p>
      <w:pPr>
        <w:spacing w:before="0" w:after="120"/>
      </w:pPr>
      <w:r>
        <w:rPr>
          <w:b/>
        </w:rPr>
        <w:t xml:space="preserve">Notes: </w:t>
      </w:r>
      <w:r>
        <w:t>abstract_source=rss_description</w:t>
      </w:r>
    </w:p>
    <w:p>
      <w:pPr>
        <w:spacing w:before="0" w:after="80" w:lineRule="auto" w:line="276"/>
      </w:pPr>
      <w:r>
        <w:rPr>
          <w:b/>
        </w:rPr>
        <w:t xml:space="preserve">摘要（ZH）: </w:t>
      </w:r>
      <w:r>
        <w:t>作者：N. A. Khokhlov 这项工作在 Marchenko 理论（固定 $l$ 反演）框架内扩展了先前关于逆散射问题的结果。特别是，我将 $n$ 通道 $S$ 矩阵近似为第一通道动量 $q$ 的函数，通过有理项和每个通道的截断 sinc 级数之和…[Phys. Rev. C 114, 014001] 2026 年 7 月 9 日星期四发布</w:t>
      </w:r>
    </w:p>
    <w:p>
      <w:pPr>
        <w:spacing w:before="0" w:after="200" w:lineRule="auto" w:line="276"/>
      </w:pPr>
      <w:r>
        <w:rPr>
          <w:b/>
        </w:rPr>
        <w:t xml:space="preserve">Abstract (EN): </w:t>
      </w:r>
      <w:r>
        <w:t>Author(s): N. A. KhokhlovThis work extends previous results on the inverse scattering problem within the framework of Marchenko theory (fixed-$l$ inversion). In particular, I approximate an $n$-channel $S$ matrix as a function of the first-channel momentum $q$ by a sum of a rational term and a truncated sinc series for each…[Phys. Rev. C 114, 014001] Published Thu Jul 09, 2026</w:t>
      </w:r>
    </w:p>
    <w:p>
      <w:pPr>
        <w:spacing w:before="120" w:after="120"/>
      </w:pPr>
      <w:r>
        <w:rPr>
          <w:sz w:val="18"/>
        </w:rPr>
        <w:t>——————————————————————————————————————————————————————————————————————</w:t>
      </w:r>
    </w:p>
    <w:p>
      <w:pPr>
        <w:spacing w:before="160" w:after="40" w:line="240" w:lineRule="auto"/>
      </w:pPr>
      <w:r>
        <w:rPr>
          <w:b/>
        </w:rPr>
        <w:t xml:space="preserve">[628] </w:t>
      </w:r>
      <w:hyperlink r:id="rId1342">
        <w:r>
          <w:rPr>
            <w:color w:val="1155CC"/>
            <w:u w:val="single"/>
          </w:rPr>
          <w:t>月球引力波层析成像：用校准引力波约束月球结构</w:t>
        </w:r>
      </w:hyperlink>
    </w:p>
    <w:p>
      <w:pPr>
        <w:spacing w:before="0" w:after="80"/>
      </w:pPr>
      <w:r>
        <w:rPr>
          <w:i/>
          <w:sz w:val="20"/>
        </w:rPr>
        <w:t>EN: Gravitational-Wave Tomography of the Moon: Constraining Lunar Structure with Calibrated Gravitational Waves</w:t>
      </w:r>
    </w:p>
    <w:p>
      <w:pPr>
        <w:spacing w:before="0" w:after="120"/>
      </w:pPr>
      <w:r>
        <w:rPr>
          <w:b/>
        </w:rPr>
        <w:t xml:space="preserve">Source: </w:t>
      </w:r>
      <w:r>
        <w:t>Recent Articles in Phys. Rev. Lett.</w:t>
      </w:r>
      <w:r>
        <w:t xml:space="preserve">    </w:t>
      </w:r>
      <w:r>
        <w:rPr>
          <w:b/>
        </w:rPr>
        <w:t xml:space="preserve">Pub date: </w:t>
      </w:r>
      <w:r>
        <w:t>2026-07-09 14:00:00+00:00</w:t>
      </w:r>
      <w:r>
        <w:t xml:space="preserve">    </w:t>
      </w:r>
      <w:r>
        <w:rPr>
          <w:b/>
        </w:rPr>
        <w:t xml:space="preserve">DOI: </w:t>
      </w:r>
      <w:hyperlink r:id="rId1343">
        <w:r>
          <w:rPr>
            <w:color w:val="1155CC"/>
            <w:u w:val="single"/>
          </w:rPr>
          <w:t>10.1103/3tcp-hqf9</w:t>
        </w:r>
      </w:hyperlink>
    </w:p>
    <w:p>
      <w:pPr>
        <w:spacing w:before="0" w:after="120"/>
      </w:pPr>
      <w:r>
        <w:rPr>
          <w:b/>
        </w:rPr>
        <w:t xml:space="preserve">Notes: </w:t>
      </w:r>
      <w:r>
        <w:t>abstract_source=rss_description</w:t>
      </w:r>
    </w:p>
    <w:p>
      <w:pPr>
        <w:spacing w:before="0" w:after="80" w:lineRule="auto" w:line="276"/>
      </w:pPr>
      <w:r>
        <w:rPr>
          <w:b/>
        </w:rPr>
        <w:t xml:space="preserve">摘要（ZH）: </w:t>
      </w:r>
      <w:r>
        <w:t>作者：Han Yan 和 Jan Harms 得益于地质学，拟议的月球引力波观测站可能会收集到比之前想象的更多的信息。莱特牧师。 137, 021409] 发布于 2026 年 7 月 9 日星期四</w:t>
      </w:r>
    </w:p>
    <w:p>
      <w:pPr>
        <w:spacing w:before="0" w:after="200" w:lineRule="auto" w:line="276"/>
      </w:pPr>
      <w:r>
        <w:rPr>
          <w:b/>
        </w:rPr>
        <w:t xml:space="preserve">Abstract (EN): </w:t>
      </w:r>
      <w:r>
        <w:t>Author(s): Han Yan and Jan HarmsA proposed gravitational-wave observatory on the Moon might gather more information than previously thought, thanks to geology.[Phys. Rev. Lett. 137, 021409] Published Thu Jul 09, 2026</w:t>
      </w:r>
    </w:p>
    <w:p>
      <w:pPr>
        <w:spacing w:before="120" w:after="120"/>
      </w:pPr>
      <w:r>
        <w:rPr>
          <w:sz w:val="18"/>
        </w:rPr>
        <w:t>——————————————————————————————————————————————————————————————————————</w:t>
      </w:r>
    </w:p>
    <w:p>
      <w:pPr>
        <w:spacing w:before="160" w:after="40" w:line="240" w:lineRule="auto"/>
      </w:pPr>
      <w:r>
        <w:rPr>
          <w:b/>
        </w:rPr>
        <w:t xml:space="preserve">[629] </w:t>
      </w:r>
      <w:hyperlink r:id="rId1344">
        <w:r>
          <w:rPr>
            <w:color w:val="1155CC"/>
            <w:u w:val="single"/>
          </w:rPr>
          <w:t>厚厚的月壳放大了十分之一赫兹的引力波信号</w:t>
        </w:r>
      </w:hyperlink>
    </w:p>
    <w:p>
      <w:pPr>
        <w:spacing w:before="0" w:after="80"/>
      </w:pPr>
      <w:r>
        <w:rPr>
          <w:i/>
          <w:sz w:val="20"/>
        </w:rPr>
        <w:t>EN: Thick Lunar Crust Amplifies Deci-Hertz Gravitational-Wave Signals</w:t>
      </w:r>
    </w:p>
    <w:p>
      <w:pPr>
        <w:spacing w:before="0" w:after="120"/>
      </w:pPr>
      <w:r>
        <w:rPr>
          <w:b/>
        </w:rPr>
        <w:t xml:space="preserve">Source: </w:t>
      </w:r>
      <w:r>
        <w:t>Recent Articles in Phys. Rev. Lett.</w:t>
      </w:r>
      <w:r>
        <w:t xml:space="preserve">    </w:t>
      </w:r>
      <w:r>
        <w:rPr>
          <w:b/>
        </w:rPr>
        <w:t xml:space="preserve">Pub date: </w:t>
      </w:r>
      <w:r>
        <w:t>2026-07-09 14:00:00+00:00</w:t>
      </w:r>
      <w:r>
        <w:t xml:space="preserve">    </w:t>
      </w:r>
      <w:r>
        <w:rPr>
          <w:b/>
        </w:rPr>
        <w:t xml:space="preserve">DOI: </w:t>
      </w:r>
      <w:hyperlink r:id="rId1345">
        <w:r>
          <w:rPr>
            <w:color w:val="1155CC"/>
            <w:u w:val="single"/>
          </w:rPr>
          <w:t>10.1103/d9jf-gxk5</w:t>
        </w:r>
      </w:hyperlink>
    </w:p>
    <w:p>
      <w:pPr>
        <w:spacing w:before="0" w:after="120"/>
      </w:pPr>
      <w:r>
        <w:rPr>
          <w:b/>
        </w:rPr>
        <w:t xml:space="preserve">Notes: </w:t>
      </w:r>
      <w:r>
        <w:t>abstract_source=rss_description</w:t>
      </w:r>
    </w:p>
    <w:p>
      <w:pPr>
        <w:spacing w:before="0" w:after="80" w:lineRule="auto" w:line="276"/>
      </w:pPr>
      <w:r>
        <w:rPr>
          <w:b/>
        </w:rPr>
        <w:t xml:space="preserve">摘要（ZH）: </w:t>
      </w:r>
      <w:r>
        <w:t>作者：张雷、严寒、陈贤和张金海 得益于地质学，拟建的月球引力波观测站可能会收集到比之前想象的更多的信息。莱特牧师。 137, 021408] 发布于 2026 年 7 月 9 日星期四</w:t>
      </w:r>
    </w:p>
    <w:p>
      <w:pPr>
        <w:spacing w:before="0" w:after="200" w:lineRule="auto" w:line="276"/>
      </w:pPr>
      <w:r>
        <w:rPr>
          <w:b/>
        </w:rPr>
        <w:t xml:space="preserve">Abstract (EN): </w:t>
      </w:r>
      <w:r>
        <w:t>Author(s): Lei Zhang, Han Yan, Xian Chen, and Jinhai ZhangA proposed gravitational-wave observatory on the Moon might gather more information than previously thought, thanks to geology.[Phys. Rev. Lett. 137, 021408] Published Thu Jul 09,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9207?dgcid=rss_sd_all" TargetMode="External"/><Relationship Id="rId10" Type="http://schemas.openxmlformats.org/officeDocument/2006/relationships/hyperlink" Target="https://www.sciencedirect.com/science/article/pii/S0306261926008640?dgcid=rss_sd_all" TargetMode="External"/><Relationship Id="rId11" Type="http://schemas.openxmlformats.org/officeDocument/2006/relationships/hyperlink" Target="https://www.sciencedirect.com/science/article/pii/S0306261926008822?dgcid=rss_sd_all" TargetMode="External"/><Relationship Id="rId12" Type="http://schemas.openxmlformats.org/officeDocument/2006/relationships/hyperlink" Target="https://www.sciencedirect.com/science/article/pii/S0306261926009347?dgcid=rss_sd_all" TargetMode="External"/><Relationship Id="rId13" Type="http://schemas.openxmlformats.org/officeDocument/2006/relationships/hyperlink" Target="https://pubs.acs.org/doi/10.1021/acsami.6c06836" TargetMode="External"/><Relationship Id="rId14" Type="http://schemas.openxmlformats.org/officeDocument/2006/relationships/hyperlink" Target="https://doi.org/10.1021/acsami.6c06836" TargetMode="External"/><Relationship Id="rId15" Type="http://schemas.openxmlformats.org/officeDocument/2006/relationships/hyperlink" Target="https://pubs.acs.org/doi/10.1021/acsenergylett.6c01826" TargetMode="External"/><Relationship Id="rId16" Type="http://schemas.openxmlformats.org/officeDocument/2006/relationships/hyperlink" Target="https://doi.org/10.1021/acsenergylett.6c01826" TargetMode="External"/><Relationship Id="rId17" Type="http://schemas.openxmlformats.org/officeDocument/2006/relationships/hyperlink" Target="https://pubs.acs.org/doi/10.1021/jacs.6c06671" TargetMode="External"/><Relationship Id="rId18" Type="http://schemas.openxmlformats.org/officeDocument/2006/relationships/hyperlink" Target="https://doi.org/10.1021/jacs.6c06671" TargetMode="External"/><Relationship Id="rId19" Type="http://schemas.openxmlformats.org/officeDocument/2006/relationships/hyperlink" Target="https://pubs.acs.org/doi/10.1021/acsami.6c02800" TargetMode="External"/><Relationship Id="rId20" Type="http://schemas.openxmlformats.org/officeDocument/2006/relationships/hyperlink" Target="https://doi.org/10.1021/acsami.6c02800" TargetMode="External"/><Relationship Id="rId21" Type="http://schemas.openxmlformats.org/officeDocument/2006/relationships/hyperlink" Target="https://pubs.acs.org/doi/10.1021/acsami.6c05521" TargetMode="External"/><Relationship Id="rId22" Type="http://schemas.openxmlformats.org/officeDocument/2006/relationships/hyperlink" Target="https://doi.org/10.1021/acsami.6c05521" TargetMode="External"/><Relationship Id="rId23" Type="http://schemas.openxmlformats.org/officeDocument/2006/relationships/hyperlink" Target="https://pubs.acs.org/doi/10.1021/acsami.6c03810" TargetMode="External"/><Relationship Id="rId24" Type="http://schemas.openxmlformats.org/officeDocument/2006/relationships/hyperlink" Target="https://doi.org/10.1021/acsami.6c03810" TargetMode="External"/><Relationship Id="rId25" Type="http://schemas.openxmlformats.org/officeDocument/2006/relationships/hyperlink" Target="https://www.cell.com/joule/fulltext/S2542-4351(26)00263-1?rss=yes" TargetMode="External"/><Relationship Id="rId26" Type="http://schemas.openxmlformats.org/officeDocument/2006/relationships/hyperlink" Target="https://doi.org/10.1016/j.joule.2026.102579" TargetMode="External"/><Relationship Id="rId27" Type="http://schemas.openxmlformats.org/officeDocument/2006/relationships/hyperlink" Target="https://www.cell.com/joule/fulltext/S2542-4351(26)00230-8?rss=yes" TargetMode="External"/><Relationship Id="rId28" Type="http://schemas.openxmlformats.org/officeDocument/2006/relationships/hyperlink" Target="https://doi.org/10.1016/j.joule.2026.102546" TargetMode="External"/><Relationship Id="rId29" Type="http://schemas.openxmlformats.org/officeDocument/2006/relationships/hyperlink" Target="https://pubs.acs.org/doi/10.1021/acsenergylett.6c01418" TargetMode="External"/><Relationship Id="rId30" Type="http://schemas.openxmlformats.org/officeDocument/2006/relationships/hyperlink" Target="https://doi.org/10.1021/acsenergylett.6c01418" TargetMode="External"/><Relationship Id="rId31" Type="http://schemas.openxmlformats.org/officeDocument/2006/relationships/hyperlink" Target="https://pubs.acs.org/doi/10.1021/acsenergylett.6c01335" TargetMode="External"/><Relationship Id="rId32" Type="http://schemas.openxmlformats.org/officeDocument/2006/relationships/hyperlink" Target="https://doi.org/10.1021/acsenergylett.6c01335" TargetMode="External"/><Relationship Id="rId33" Type="http://schemas.openxmlformats.org/officeDocument/2006/relationships/hyperlink" Target="https://pubs.acs.org/doi/10.1021/acsenergylett.6c01471" TargetMode="External"/><Relationship Id="rId34" Type="http://schemas.openxmlformats.org/officeDocument/2006/relationships/hyperlink" Target="https://doi.org/10.1021/acsenergylett.6c01471" TargetMode="External"/><Relationship Id="rId35" Type="http://schemas.openxmlformats.org/officeDocument/2006/relationships/hyperlink" Target="https://pubs.acs.org/doi/10.1021/acsenergylett.6c01113" TargetMode="External"/><Relationship Id="rId36" Type="http://schemas.openxmlformats.org/officeDocument/2006/relationships/hyperlink" Target="https://doi.org/10.1021/acsenergylett.6c01113" TargetMode="External"/><Relationship Id="rId37" Type="http://schemas.openxmlformats.org/officeDocument/2006/relationships/hyperlink" Target="https://pubs.acs.org/doi/10.1021/acsami.6c06661" TargetMode="External"/><Relationship Id="rId38" Type="http://schemas.openxmlformats.org/officeDocument/2006/relationships/hyperlink" Target="https://doi.org/10.1021/acsami.6c06661" TargetMode="External"/><Relationship Id="rId39" Type="http://schemas.openxmlformats.org/officeDocument/2006/relationships/hyperlink" Target="https://pubs.acs.org/doi/10.1021/jacs.6c07032" TargetMode="External"/><Relationship Id="rId40" Type="http://schemas.openxmlformats.org/officeDocument/2006/relationships/hyperlink" Target="https://doi.org/10.1021/jacs.6c07032" TargetMode="External"/><Relationship Id="rId41" Type="http://schemas.openxmlformats.org/officeDocument/2006/relationships/hyperlink" Target="https://pubs.acs.org/doi/10.1021/acsenergylett.6c01361" TargetMode="External"/><Relationship Id="rId42" Type="http://schemas.openxmlformats.org/officeDocument/2006/relationships/hyperlink" Target="https://doi.org/10.1021/acsenergylett.6c01361" TargetMode="External"/><Relationship Id="rId43" Type="http://schemas.openxmlformats.org/officeDocument/2006/relationships/hyperlink" Target="https://www.sciencedirect.com/science/article/pii/S0301421526004155?dgcid=rss_sd_all" TargetMode="External"/><Relationship Id="rId44" Type="http://schemas.openxmlformats.org/officeDocument/2006/relationships/hyperlink" Target="https://www.sciencedirect.com/science/article/pii/S0306261926009864?dgcid=rss_sd_all" TargetMode="External"/><Relationship Id="rId45" Type="http://schemas.openxmlformats.org/officeDocument/2006/relationships/hyperlink" Target="https://www.sciencedirect.com/science/article/pii/S0306261926009542?dgcid=rss_sd_all" TargetMode="External"/><Relationship Id="rId46" Type="http://schemas.openxmlformats.org/officeDocument/2006/relationships/hyperlink" Target="https://www.cell.com/matter/fulltext/S2590-2385(26)00278-X?rss=yes" TargetMode="External"/><Relationship Id="rId47" Type="http://schemas.openxmlformats.org/officeDocument/2006/relationships/hyperlink" Target="https://doi.org/10.1016/j.matt.2026.102915" TargetMode="External"/><Relationship Id="rId48" Type="http://schemas.openxmlformats.org/officeDocument/2006/relationships/hyperlink" Target="https://pubs.acs.org/doi/10.1021/jacs.6c05316" TargetMode="External"/><Relationship Id="rId49" Type="http://schemas.openxmlformats.org/officeDocument/2006/relationships/hyperlink" Target="https://doi.org/10.1021/jacs.6c05316" TargetMode="External"/><Relationship Id="rId50" Type="http://schemas.openxmlformats.org/officeDocument/2006/relationships/hyperlink" Target="https://pubs.acs.org/doi/10.1021/acsami.6c03509" TargetMode="External"/><Relationship Id="rId51" Type="http://schemas.openxmlformats.org/officeDocument/2006/relationships/hyperlink" Target="https://doi.org/10.1021/acsami.6c03509" TargetMode="External"/><Relationship Id="rId52" Type="http://schemas.openxmlformats.org/officeDocument/2006/relationships/hyperlink" Target="https://pubs.acs.org/doi/10.1021/acsami.6c07524" TargetMode="External"/><Relationship Id="rId53" Type="http://schemas.openxmlformats.org/officeDocument/2006/relationships/hyperlink" Target="https://doi.org/10.1021/acsami.6c07524" TargetMode="External"/><Relationship Id="rId54" Type="http://schemas.openxmlformats.org/officeDocument/2006/relationships/hyperlink" Target="https://www.nature.com/articles/s41560-026-02103-9" TargetMode="External"/><Relationship Id="rId55" Type="http://schemas.openxmlformats.org/officeDocument/2006/relationships/hyperlink" Target="https://doi.org/10.1038/s41560-026-02103-9" TargetMode="External"/><Relationship Id="rId56" Type="http://schemas.openxmlformats.org/officeDocument/2006/relationships/hyperlink" Target="https://www.nature.com/articles/s41560-026-02104-8" TargetMode="External"/><Relationship Id="rId57" Type="http://schemas.openxmlformats.org/officeDocument/2006/relationships/hyperlink" Target="https://doi.org/10.1038/s41560-026-02104-8" TargetMode="External"/><Relationship Id="rId58" Type="http://schemas.openxmlformats.org/officeDocument/2006/relationships/hyperlink" Target="https://pubs.acs.org/doi/10.1021/acsenergylett.6c01202" TargetMode="External"/><Relationship Id="rId59" Type="http://schemas.openxmlformats.org/officeDocument/2006/relationships/hyperlink" Target="https://doi.org/10.1021/acsenergylett.6c01202" TargetMode="External"/><Relationship Id="rId60" Type="http://schemas.openxmlformats.org/officeDocument/2006/relationships/hyperlink" Target="https://www.cell.com/joule/fulltext/S2542-4351(26)00259-X?rss=yes" TargetMode="External"/><Relationship Id="rId61" Type="http://schemas.openxmlformats.org/officeDocument/2006/relationships/hyperlink" Target="https://doi.org/10.1016/j.joule.2026.102575" TargetMode="External"/><Relationship Id="rId62" Type="http://schemas.openxmlformats.org/officeDocument/2006/relationships/hyperlink" Target="https://www.cell.com/joule/fulltext/S2542-4351(26)00260-6?rss=yes" TargetMode="External"/><Relationship Id="rId63" Type="http://schemas.openxmlformats.org/officeDocument/2006/relationships/hyperlink" Target="https://doi.org/10.1016/j.joule.2026.102576" TargetMode="External"/><Relationship Id="rId64" Type="http://schemas.openxmlformats.org/officeDocument/2006/relationships/hyperlink" Target="https://pubs.acs.org/doi/10.1021/acsenergylett.6c01375" TargetMode="External"/><Relationship Id="rId65" Type="http://schemas.openxmlformats.org/officeDocument/2006/relationships/hyperlink" Target="https://doi.org/10.1021/acsenergylett.6c01375" TargetMode="External"/><Relationship Id="rId66" Type="http://schemas.openxmlformats.org/officeDocument/2006/relationships/hyperlink" Target="https://pubs.acs.org/doi/10.1021/acsami.6c06453" TargetMode="External"/><Relationship Id="rId67" Type="http://schemas.openxmlformats.org/officeDocument/2006/relationships/hyperlink" Target="https://doi.org/10.1021/acsami.6c06453" TargetMode="External"/><Relationship Id="rId68" Type="http://schemas.openxmlformats.org/officeDocument/2006/relationships/hyperlink" Target="https://pubs.acs.org/doi/10.1021/jacs.6c06642" TargetMode="External"/><Relationship Id="rId69" Type="http://schemas.openxmlformats.org/officeDocument/2006/relationships/hyperlink" Target="https://doi.org/10.1021/jacs.6c06642" TargetMode="External"/><Relationship Id="rId70" Type="http://schemas.openxmlformats.org/officeDocument/2006/relationships/hyperlink" Target="https://pubs.acs.org/doi/10.1021/acsenergylett.6c01357" TargetMode="External"/><Relationship Id="rId71" Type="http://schemas.openxmlformats.org/officeDocument/2006/relationships/hyperlink" Target="https://doi.org/10.1021/acsenergylett.6c01357" TargetMode="External"/><Relationship Id="rId72" Type="http://schemas.openxmlformats.org/officeDocument/2006/relationships/hyperlink" Target="https://pubs.acs.org/doi/10.1021/acsami.6c06813" TargetMode="External"/><Relationship Id="rId73" Type="http://schemas.openxmlformats.org/officeDocument/2006/relationships/hyperlink" Target="https://doi.org/10.1021/acsami.6c06813" TargetMode="External"/><Relationship Id="rId74" Type="http://schemas.openxmlformats.org/officeDocument/2006/relationships/hyperlink" Target="https://pubs.acs.org/doi/10.1021/acsami.6c05198" TargetMode="External"/><Relationship Id="rId75" Type="http://schemas.openxmlformats.org/officeDocument/2006/relationships/hyperlink" Target="https://doi.org/10.1021/acsami.6c05198" TargetMode="External"/><Relationship Id="rId76" Type="http://schemas.openxmlformats.org/officeDocument/2006/relationships/hyperlink" Target="https://pubs.acs.org/doi/10.1021/acsami.6c04859" TargetMode="External"/><Relationship Id="rId77" Type="http://schemas.openxmlformats.org/officeDocument/2006/relationships/hyperlink" Target="https://doi.org/10.1021/acsami.6c04859" TargetMode="External"/><Relationship Id="rId78" Type="http://schemas.openxmlformats.org/officeDocument/2006/relationships/hyperlink" Target="https://pubs.acs.org/doi/10.1021/jacs.6c09589" TargetMode="External"/><Relationship Id="rId79" Type="http://schemas.openxmlformats.org/officeDocument/2006/relationships/hyperlink" Target="https://doi.org/10.1021/jacs.6c09589" TargetMode="External"/><Relationship Id="rId80" Type="http://schemas.openxmlformats.org/officeDocument/2006/relationships/hyperlink" Target="https://www.nature.com/articles/s41563-026-02666-8" TargetMode="External"/><Relationship Id="rId81" Type="http://schemas.openxmlformats.org/officeDocument/2006/relationships/hyperlink" Target="https://doi.org/10.1038/s41563-026-02666-8" TargetMode="External"/><Relationship Id="rId82" Type="http://schemas.openxmlformats.org/officeDocument/2006/relationships/hyperlink" Target="https://www.cell.com/chem/fulltext/S2451-9294(26)00195-6?rss=yes" TargetMode="External"/><Relationship Id="rId83" Type="http://schemas.openxmlformats.org/officeDocument/2006/relationships/hyperlink" Target="https://doi.org/10.1016/j.chempr.2026.103129" TargetMode="External"/><Relationship Id="rId84" Type="http://schemas.openxmlformats.org/officeDocument/2006/relationships/hyperlink" Target="https://pubs.acs.org/doi/10.1021/acsami.6c06688" TargetMode="External"/><Relationship Id="rId85" Type="http://schemas.openxmlformats.org/officeDocument/2006/relationships/hyperlink" Target="https://doi.org/10.1021/acsami.6c06688" TargetMode="External"/><Relationship Id="rId86" Type="http://schemas.openxmlformats.org/officeDocument/2006/relationships/hyperlink" Target="https://pubs.acs.org/doi/10.1021/jacs.6c05735" TargetMode="External"/><Relationship Id="rId87" Type="http://schemas.openxmlformats.org/officeDocument/2006/relationships/hyperlink" Target="https://doi.org/10.1021/jacs.6c05735" TargetMode="External"/><Relationship Id="rId88" Type="http://schemas.openxmlformats.org/officeDocument/2006/relationships/hyperlink" Target="https://pubs.acs.org/doi/10.1021/acsami.6c07160" TargetMode="External"/><Relationship Id="rId89" Type="http://schemas.openxmlformats.org/officeDocument/2006/relationships/hyperlink" Target="https://doi.org/10.1021/acsami.6c07160" TargetMode="External"/><Relationship Id="rId90" Type="http://schemas.openxmlformats.org/officeDocument/2006/relationships/hyperlink" Target="https://pubs.acs.org/doi/10.1021/acsami.6c05944" TargetMode="External"/><Relationship Id="rId91" Type="http://schemas.openxmlformats.org/officeDocument/2006/relationships/hyperlink" Target="https://doi.org/10.1021/acsami.6c05944" TargetMode="External"/><Relationship Id="rId92" Type="http://schemas.openxmlformats.org/officeDocument/2006/relationships/hyperlink" Target="https://www.nature.com/articles/s41565-026-02206-0" TargetMode="External"/><Relationship Id="rId93" Type="http://schemas.openxmlformats.org/officeDocument/2006/relationships/hyperlink" Target="https://doi.org/10.1038/s41565-026-02206-0" TargetMode="External"/><Relationship Id="rId94" Type="http://schemas.openxmlformats.org/officeDocument/2006/relationships/hyperlink" Target="https://pubs.acs.org/doi/10.1021/acsami.6c05262" TargetMode="External"/><Relationship Id="rId95" Type="http://schemas.openxmlformats.org/officeDocument/2006/relationships/hyperlink" Target="https://doi.org/10.1021/acsami.6c05262" TargetMode="External"/><Relationship Id="rId96" Type="http://schemas.openxmlformats.org/officeDocument/2006/relationships/hyperlink" Target="https://www.nature.com/articles/s41565-026-02212-2" TargetMode="External"/><Relationship Id="rId97" Type="http://schemas.openxmlformats.org/officeDocument/2006/relationships/hyperlink" Target="https://doi.org/10.1038/s41565-026-02212-2" TargetMode="External"/><Relationship Id="rId98" Type="http://schemas.openxmlformats.org/officeDocument/2006/relationships/hyperlink" Target="https://www.pnas.org/doi/abs/10.1073/pnas.2605867123?mi=eymic2&amp;af=R&amp;access=on&amp;content=articlesChapters&amp;publication=pnas&amp;sortBy=Earliest&amp;target=default" TargetMode="External"/><Relationship Id="rId99" Type="http://schemas.openxmlformats.org/officeDocument/2006/relationships/hyperlink" Target="https://doi.org/10.1073/pnas.2605867123" TargetMode="External"/><Relationship Id="rId100" Type="http://schemas.openxmlformats.org/officeDocument/2006/relationships/hyperlink" Target="https://www.nature.com/articles/s41586-026-10732-z" TargetMode="External"/><Relationship Id="rId101" Type="http://schemas.openxmlformats.org/officeDocument/2006/relationships/hyperlink" Target="https://doi.org/10.1038/s41586-026-10732-z" TargetMode="External"/><Relationship Id="rId102" Type="http://schemas.openxmlformats.org/officeDocument/2006/relationships/hyperlink" Target="https://pubs.acs.org/doi/10.1021/acsenergylett.6c01582" TargetMode="External"/><Relationship Id="rId103" Type="http://schemas.openxmlformats.org/officeDocument/2006/relationships/hyperlink" Target="https://doi.org/10.1021/acsenergylett.6c01582" TargetMode="External"/><Relationship Id="rId104" Type="http://schemas.openxmlformats.org/officeDocument/2006/relationships/hyperlink" Target="https://www.science.org/doi/abs/10.1126/sciadv.aed3988?af=R" TargetMode="External"/><Relationship Id="rId105" Type="http://schemas.openxmlformats.org/officeDocument/2006/relationships/hyperlink" Target="https://doi.org/10.1126/sciadv.aed3988" TargetMode="External"/><Relationship Id="rId106" Type="http://schemas.openxmlformats.org/officeDocument/2006/relationships/hyperlink" Target="https://www.cell.com/joule/fulltext/S2542-4351(26)00232-1?rss=yes" TargetMode="External"/><Relationship Id="rId107" Type="http://schemas.openxmlformats.org/officeDocument/2006/relationships/hyperlink" Target="https://doi.org/10.1016/j.joule.2026.102548" TargetMode="External"/><Relationship Id="rId108" Type="http://schemas.openxmlformats.org/officeDocument/2006/relationships/hyperlink" Target="https://pubs.acs.org/doi/10.1021/acsami.6c08312" TargetMode="External"/><Relationship Id="rId109" Type="http://schemas.openxmlformats.org/officeDocument/2006/relationships/hyperlink" Target="https://doi.org/10.1021/acsami.6c08312" TargetMode="External"/><Relationship Id="rId110" Type="http://schemas.openxmlformats.org/officeDocument/2006/relationships/hyperlink" Target="https://www.cell.com/joule/fulltext/S2542-4351(26)00231-X?rss=yes" TargetMode="External"/><Relationship Id="rId111" Type="http://schemas.openxmlformats.org/officeDocument/2006/relationships/hyperlink" Target="https://doi.org/10.1016/j.joule.2026.102547" TargetMode="External"/><Relationship Id="rId112" Type="http://schemas.openxmlformats.org/officeDocument/2006/relationships/hyperlink" Target="https://www.sciencedirect.com/science/article/pii/S0306261926008263?dgcid=rss_sd_all" TargetMode="External"/><Relationship Id="rId113" Type="http://schemas.openxmlformats.org/officeDocument/2006/relationships/hyperlink" Target="https://www.sciencedirect.com/science/article/pii/S0306261926008962?dgcid=rss_sd_all" TargetMode="External"/><Relationship Id="rId114" Type="http://schemas.openxmlformats.org/officeDocument/2006/relationships/hyperlink" Target="https://www.sciencedirect.com/science/article/pii/S0306261926009141?dgcid=rss_sd_all" TargetMode="External"/><Relationship Id="rId115" Type="http://schemas.openxmlformats.org/officeDocument/2006/relationships/hyperlink" Target="https://www.sciencedirect.com/science/article/pii/S0306261926009037?dgcid=rss_sd_all" TargetMode="External"/><Relationship Id="rId116" Type="http://schemas.openxmlformats.org/officeDocument/2006/relationships/hyperlink" Target="https://www.sciencedirect.com/science/article/pii/S030626192600886X?dgcid=rss_sd_all" TargetMode="External"/><Relationship Id="rId117" Type="http://schemas.openxmlformats.org/officeDocument/2006/relationships/hyperlink" Target="https://www.cell.com/matter/fulltext/S2590-2385(26)00273-0?rss=yes" TargetMode="External"/><Relationship Id="rId118" Type="http://schemas.openxmlformats.org/officeDocument/2006/relationships/hyperlink" Target="https://doi.org/10.1016/j.matt.2026.102910" TargetMode="External"/><Relationship Id="rId119" Type="http://schemas.openxmlformats.org/officeDocument/2006/relationships/hyperlink" Target="https://www.nature.com/articles/s41467-026-75055-z" TargetMode="External"/><Relationship Id="rId120" Type="http://schemas.openxmlformats.org/officeDocument/2006/relationships/hyperlink" Target="https://pubs.acs.org/doi/10.1021/acsenergylett.6c01434" TargetMode="External"/><Relationship Id="rId121" Type="http://schemas.openxmlformats.org/officeDocument/2006/relationships/hyperlink" Target="https://doi.org/10.1021/acsenergylett.6c01434" TargetMode="External"/><Relationship Id="rId122" Type="http://schemas.openxmlformats.org/officeDocument/2006/relationships/hyperlink" Target="https://www.nature.com/articles/d41586-026-02100-8" TargetMode="External"/><Relationship Id="rId123" Type="http://schemas.openxmlformats.org/officeDocument/2006/relationships/hyperlink" Target="https://doi.org/10.1038/d41586-026-02100-8" TargetMode="External"/><Relationship Id="rId124" Type="http://schemas.openxmlformats.org/officeDocument/2006/relationships/hyperlink" Target="https://www.sciencedirect.com/science/article/pii/S0306261926010135?dgcid=rss_sd_all" TargetMode="External"/><Relationship Id="rId125" Type="http://schemas.openxmlformats.org/officeDocument/2006/relationships/hyperlink" Target="https://www.nature.com/articles/s41467-026-74951-8" TargetMode="External"/><Relationship Id="rId126" Type="http://schemas.openxmlformats.org/officeDocument/2006/relationships/hyperlink" Target="https://www.sciencedirect.com/science/article/pii/S0301421526003848?dgcid=rss_sd_all" TargetMode="External"/><Relationship Id="rId127" Type="http://schemas.openxmlformats.org/officeDocument/2006/relationships/hyperlink" Target="https://www.nature.com/articles/s41467-026-75389-8" TargetMode="External"/><Relationship Id="rId128" Type="http://schemas.openxmlformats.org/officeDocument/2006/relationships/hyperlink" Target="https://pubs.acs.org/doi/10.1021/jacs.6c04438" TargetMode="External"/><Relationship Id="rId129" Type="http://schemas.openxmlformats.org/officeDocument/2006/relationships/hyperlink" Target="https://doi.org/10.1021/jacs.6c04438" TargetMode="External"/><Relationship Id="rId130" Type="http://schemas.openxmlformats.org/officeDocument/2006/relationships/hyperlink" Target="https://www.sciencedirect.com/science/article/pii/S0306261926008986?dgcid=rss_sd_all" TargetMode="External"/><Relationship Id="rId131" Type="http://schemas.openxmlformats.org/officeDocument/2006/relationships/hyperlink" Target="https://pubs.acs.org/doi/10.1021/acsami.6c07569" TargetMode="External"/><Relationship Id="rId132" Type="http://schemas.openxmlformats.org/officeDocument/2006/relationships/hyperlink" Target="https://doi.org/10.1021/acsami.6c07569" TargetMode="External"/><Relationship Id="rId133" Type="http://schemas.openxmlformats.org/officeDocument/2006/relationships/hyperlink" Target="https://pubs.acs.org/doi/10.1021/jacs.6c08499" TargetMode="External"/><Relationship Id="rId134" Type="http://schemas.openxmlformats.org/officeDocument/2006/relationships/hyperlink" Target="https://doi.org/10.1021/jacs.6c08499" TargetMode="External"/><Relationship Id="rId135" Type="http://schemas.openxmlformats.org/officeDocument/2006/relationships/hyperlink" Target="https://www.nature.com/articles/s41467-026-75188-1" TargetMode="External"/><Relationship Id="rId136" Type="http://schemas.openxmlformats.org/officeDocument/2006/relationships/hyperlink" Target="https://pubs.acs.org/doi/10.1021/acsami.6c09357" TargetMode="External"/><Relationship Id="rId137" Type="http://schemas.openxmlformats.org/officeDocument/2006/relationships/hyperlink" Target="https://doi.org/10.1021/acsami.6c09357" TargetMode="External"/><Relationship Id="rId138" Type="http://schemas.openxmlformats.org/officeDocument/2006/relationships/hyperlink" Target="https://www.nature.com/articles/s41467-026-75196-1" TargetMode="External"/><Relationship Id="rId139" Type="http://schemas.openxmlformats.org/officeDocument/2006/relationships/hyperlink" Target="https://www.nature.com/articles/s41467-026-74168-9" TargetMode="External"/><Relationship Id="rId140" Type="http://schemas.openxmlformats.org/officeDocument/2006/relationships/hyperlink" Target="https://www.sciencedirect.com/science/article/pii/S0306261926009591?dgcid=rss_sd_all" TargetMode="External"/><Relationship Id="rId141" Type="http://schemas.openxmlformats.org/officeDocument/2006/relationships/hyperlink" Target="https://www.nature.com/articles/s41467-026-75403-z" TargetMode="External"/><Relationship Id="rId142" Type="http://schemas.openxmlformats.org/officeDocument/2006/relationships/hyperlink" Target="https://www.science.org/doi/abs/10.1126/sciadv.aec5221?af=R" TargetMode="External"/><Relationship Id="rId143" Type="http://schemas.openxmlformats.org/officeDocument/2006/relationships/hyperlink" Target="https://doi.org/10.1126/sciadv.aec5221" TargetMode="External"/><Relationship Id="rId144" Type="http://schemas.openxmlformats.org/officeDocument/2006/relationships/hyperlink" Target="https://www.nature.com/articles/s41467-026-75284-2" TargetMode="External"/><Relationship Id="rId145" Type="http://schemas.openxmlformats.org/officeDocument/2006/relationships/hyperlink" Target="https://www.nature.com/articles/s41467-026-75514-7" TargetMode="External"/><Relationship Id="rId146" Type="http://schemas.openxmlformats.org/officeDocument/2006/relationships/hyperlink" Target="https://www.nature.com/articles/s41467-026-75342-9" TargetMode="External"/><Relationship Id="rId147" Type="http://schemas.openxmlformats.org/officeDocument/2006/relationships/hyperlink" Target="https://pubs.acs.org/doi/10.1021/acsami.6c04640" TargetMode="External"/><Relationship Id="rId148" Type="http://schemas.openxmlformats.org/officeDocument/2006/relationships/hyperlink" Target="https://doi.org/10.1021/acsami.6c04640" TargetMode="External"/><Relationship Id="rId149" Type="http://schemas.openxmlformats.org/officeDocument/2006/relationships/hyperlink" Target="https://www.sciencedirect.com/science/article/pii/S0306261926008779?dgcid=rss_sd_all" TargetMode="External"/><Relationship Id="rId150" Type="http://schemas.openxmlformats.org/officeDocument/2006/relationships/hyperlink" Target="https://pubs.acs.org/doi/10.1021/jacs.6c07093" TargetMode="External"/><Relationship Id="rId151" Type="http://schemas.openxmlformats.org/officeDocument/2006/relationships/hyperlink" Target="https://doi.org/10.1021/jacs.6c07093" TargetMode="External"/><Relationship Id="rId152" Type="http://schemas.openxmlformats.org/officeDocument/2006/relationships/hyperlink" Target="https://pubs.acs.org/doi/10.1021/acsami.6c08787" TargetMode="External"/><Relationship Id="rId153" Type="http://schemas.openxmlformats.org/officeDocument/2006/relationships/hyperlink" Target="https://doi.org/10.1021/acsami.6c08787" TargetMode="External"/><Relationship Id="rId154" Type="http://schemas.openxmlformats.org/officeDocument/2006/relationships/hyperlink" Target="https://pubs.acs.org/doi/10.1021/acsami.6c07795" TargetMode="External"/><Relationship Id="rId155" Type="http://schemas.openxmlformats.org/officeDocument/2006/relationships/hyperlink" Target="https://doi.org/10.1021/acsami.6c07795" TargetMode="External"/><Relationship Id="rId156" Type="http://schemas.openxmlformats.org/officeDocument/2006/relationships/hyperlink" Target="https://www.nature.com/articles/s41467-026-74854-8" TargetMode="External"/><Relationship Id="rId157" Type="http://schemas.openxmlformats.org/officeDocument/2006/relationships/hyperlink" Target="https://www.sciencedirect.com/science/article/pii/S0306261926009463?dgcid=rss_sd_all" TargetMode="External"/><Relationship Id="rId158" Type="http://schemas.openxmlformats.org/officeDocument/2006/relationships/hyperlink" Target="https://www.sciencedirect.com/science/article/pii/S0306261926009773?dgcid=rss_sd_all" TargetMode="External"/><Relationship Id="rId159" Type="http://schemas.openxmlformats.org/officeDocument/2006/relationships/hyperlink" Target="https://www.cell.com/matter/fulltext/S2590-2385(26)00244-4?rss=yes" TargetMode="External"/><Relationship Id="rId160" Type="http://schemas.openxmlformats.org/officeDocument/2006/relationships/hyperlink" Target="https://doi.org/10.1016/j.matt.2026.102881" TargetMode="External"/><Relationship Id="rId161" Type="http://schemas.openxmlformats.org/officeDocument/2006/relationships/hyperlink" Target="https://www.sciencedirect.com/science/article/pii/S0306261926010032?dgcid=rss_sd_all" TargetMode="External"/><Relationship Id="rId162" Type="http://schemas.openxmlformats.org/officeDocument/2006/relationships/hyperlink" Target="https://pubs.acs.org/doi/10.1021/jacs.6c04205" TargetMode="External"/><Relationship Id="rId163" Type="http://schemas.openxmlformats.org/officeDocument/2006/relationships/hyperlink" Target="https://doi.org/10.1021/jacs.6c04205" TargetMode="External"/><Relationship Id="rId164" Type="http://schemas.openxmlformats.org/officeDocument/2006/relationships/hyperlink" Target="https://pubs.acs.org/doi/10.1021/jacs.6c10915" TargetMode="External"/><Relationship Id="rId165" Type="http://schemas.openxmlformats.org/officeDocument/2006/relationships/hyperlink" Target="https://doi.org/10.1021/jacs.6c10915" TargetMode="External"/><Relationship Id="rId166" Type="http://schemas.openxmlformats.org/officeDocument/2006/relationships/hyperlink" Target="https://www.sciencedirect.com/science/article/pii/S0306261926009062?dgcid=rss_sd_all" TargetMode="External"/><Relationship Id="rId167" Type="http://schemas.openxmlformats.org/officeDocument/2006/relationships/hyperlink" Target="http://link.aps.org/doi/10.1103/152b-b874" TargetMode="External"/><Relationship Id="rId168" Type="http://schemas.openxmlformats.org/officeDocument/2006/relationships/hyperlink" Target="https://doi.org/10.1103/152b-b874" TargetMode="External"/><Relationship Id="rId169" Type="http://schemas.openxmlformats.org/officeDocument/2006/relationships/hyperlink" Target="http://link.aps.org/doi/10.1103/w7z1-l32n" TargetMode="External"/><Relationship Id="rId170" Type="http://schemas.openxmlformats.org/officeDocument/2006/relationships/hyperlink" Target="https://doi.org/10.1103/w7z1-l32n" TargetMode="External"/><Relationship Id="rId171" Type="http://schemas.openxmlformats.org/officeDocument/2006/relationships/hyperlink" Target="http://link.aps.org/doi/10.1103/h1jk-ngck" TargetMode="External"/><Relationship Id="rId172" Type="http://schemas.openxmlformats.org/officeDocument/2006/relationships/hyperlink" Target="https://doi.org/10.1103/h1jk-ngck" TargetMode="External"/><Relationship Id="rId173" Type="http://schemas.openxmlformats.org/officeDocument/2006/relationships/hyperlink" Target="https://pubs.acs.org/doi/10.1021/jacs.6c06683" TargetMode="External"/><Relationship Id="rId174" Type="http://schemas.openxmlformats.org/officeDocument/2006/relationships/hyperlink" Target="https://doi.org/10.1021/jacs.6c06683" TargetMode="External"/><Relationship Id="rId175" Type="http://schemas.openxmlformats.org/officeDocument/2006/relationships/hyperlink" Target="http://link.aps.org/doi/10.1103/zy3h-hs82" TargetMode="External"/><Relationship Id="rId176" Type="http://schemas.openxmlformats.org/officeDocument/2006/relationships/hyperlink" Target="https://doi.org/10.1103/zy3h-hs82" TargetMode="External"/><Relationship Id="rId177" Type="http://schemas.openxmlformats.org/officeDocument/2006/relationships/hyperlink" Target="https://pubs.acs.org/doi/10.1021/jacs.6c01781" TargetMode="External"/><Relationship Id="rId178" Type="http://schemas.openxmlformats.org/officeDocument/2006/relationships/hyperlink" Target="https://doi.org/10.1021/jacs.6c01781" TargetMode="External"/><Relationship Id="rId179" Type="http://schemas.openxmlformats.org/officeDocument/2006/relationships/hyperlink" Target="https://www.sciencedirect.com/science/article/pii/S030626192600872X?dgcid=rss_sd_all" TargetMode="External"/><Relationship Id="rId180" Type="http://schemas.openxmlformats.org/officeDocument/2006/relationships/hyperlink" Target="https://www.sciencedirect.com/science/article/pii/S0306261926008755?dgcid=rss_sd_all" TargetMode="External"/><Relationship Id="rId181" Type="http://schemas.openxmlformats.org/officeDocument/2006/relationships/hyperlink" Target="https://www.sciencedirect.com/science/article/pii/S0306261926009128?dgcid=rss_sd_all" TargetMode="External"/><Relationship Id="rId182" Type="http://schemas.openxmlformats.org/officeDocument/2006/relationships/hyperlink" Target="https://www.sciencedirect.com/science/article/pii/S030626192600749X?dgcid=rss_sd_all" TargetMode="External"/><Relationship Id="rId183" Type="http://schemas.openxmlformats.org/officeDocument/2006/relationships/hyperlink" Target="https://www.sciencedirect.com/science/article/pii/S0306261926008561?dgcid=rss_sd_all" TargetMode="External"/><Relationship Id="rId184" Type="http://schemas.openxmlformats.org/officeDocument/2006/relationships/hyperlink" Target="https://www.cell.com/joule/fulltext/S2542-4351(26)00227-8?rss=yes" TargetMode="External"/><Relationship Id="rId185" Type="http://schemas.openxmlformats.org/officeDocument/2006/relationships/hyperlink" Target="https://doi.org/10.1016/j.joule.2026.102543" TargetMode="External"/><Relationship Id="rId186" Type="http://schemas.openxmlformats.org/officeDocument/2006/relationships/hyperlink" Target="https://www.pnas.org/doi/abs/10.1073/pnas.2537552123?mi=eymic2&amp;af=R&amp;access=on&amp;content=articlesChapters&amp;publication=pnas&amp;sortBy=Earliest&amp;target=default" TargetMode="External"/><Relationship Id="rId187" Type="http://schemas.openxmlformats.org/officeDocument/2006/relationships/hyperlink" Target="https://doi.org/10.1073/pnas.2537552123" TargetMode="External"/><Relationship Id="rId188" Type="http://schemas.openxmlformats.org/officeDocument/2006/relationships/hyperlink" Target="https://pubs.acs.org/doi/10.1021/jacs.6c04148" TargetMode="External"/><Relationship Id="rId189" Type="http://schemas.openxmlformats.org/officeDocument/2006/relationships/hyperlink" Target="https://doi.org/10.1021/jacs.6c04148" TargetMode="External"/><Relationship Id="rId190" Type="http://schemas.openxmlformats.org/officeDocument/2006/relationships/hyperlink" Target="https://pubs.acs.org/doi/10.1021/jacs.6c03820" TargetMode="External"/><Relationship Id="rId191" Type="http://schemas.openxmlformats.org/officeDocument/2006/relationships/hyperlink" Target="https://doi.org/10.1021/jacs.6c03820" TargetMode="External"/><Relationship Id="rId192" Type="http://schemas.openxmlformats.org/officeDocument/2006/relationships/hyperlink" Target="https://pubs.acs.org/doi/10.1021/jacs.6c10847" TargetMode="External"/><Relationship Id="rId193" Type="http://schemas.openxmlformats.org/officeDocument/2006/relationships/hyperlink" Target="https://doi.org/10.1021/jacs.6c10847" TargetMode="External"/><Relationship Id="rId194" Type="http://schemas.openxmlformats.org/officeDocument/2006/relationships/hyperlink" Target="https://www.nature.com/articles/s44359-026-00199-6" TargetMode="External"/><Relationship Id="rId195" Type="http://schemas.openxmlformats.org/officeDocument/2006/relationships/hyperlink" Target="https://doi.org/10.1038/s44359-026-00199-6" TargetMode="External"/><Relationship Id="rId196" Type="http://schemas.openxmlformats.org/officeDocument/2006/relationships/hyperlink" Target="https://www.nature.com/articles/s44359-026-00200-2" TargetMode="External"/><Relationship Id="rId197" Type="http://schemas.openxmlformats.org/officeDocument/2006/relationships/hyperlink" Target="https://doi.org/10.1038/s44359-026-00200-2" TargetMode="External"/><Relationship Id="rId198" Type="http://schemas.openxmlformats.org/officeDocument/2006/relationships/hyperlink" Target="https://pubs.acs.org/doi/10.1021/acsami.6c06472" TargetMode="External"/><Relationship Id="rId199" Type="http://schemas.openxmlformats.org/officeDocument/2006/relationships/hyperlink" Target="https://doi.org/10.1021/acsami.6c06472" TargetMode="External"/><Relationship Id="rId200" Type="http://schemas.openxmlformats.org/officeDocument/2006/relationships/hyperlink" Target="https://www.nature.com/articles/s41467-026-75304-1" TargetMode="External"/><Relationship Id="rId201" Type="http://schemas.openxmlformats.org/officeDocument/2006/relationships/hyperlink" Target="https://www.sciencedirect.com/science/article/pii/S0306261926009001?dgcid=rss_sd_all" TargetMode="External"/><Relationship Id="rId202" Type="http://schemas.openxmlformats.org/officeDocument/2006/relationships/hyperlink" Target="https://www.sciencedirect.com/science/article/pii/S0306261926009712?dgcid=rss_sd_all" TargetMode="External"/><Relationship Id="rId203" Type="http://schemas.openxmlformats.org/officeDocument/2006/relationships/hyperlink" Target="https://www.sciencedirect.com/science/article/pii/S0306261926010123?dgcid=rss_sd_all" TargetMode="External"/><Relationship Id="rId204" Type="http://schemas.openxmlformats.org/officeDocument/2006/relationships/hyperlink" Target="https://www.nature.com/articles/s44359-026-00190-1" TargetMode="External"/><Relationship Id="rId205" Type="http://schemas.openxmlformats.org/officeDocument/2006/relationships/hyperlink" Target="https://doi.org/10.1038/s44359-026-00190-1" TargetMode="External"/><Relationship Id="rId206" Type="http://schemas.openxmlformats.org/officeDocument/2006/relationships/hyperlink" Target="https://www.sciencedirect.com/science/article/pii/S0306261926009657?dgcid=rss_sd_all" TargetMode="External"/><Relationship Id="rId207" Type="http://schemas.openxmlformats.org/officeDocument/2006/relationships/hyperlink" Target="https://www.sciencedirect.com/science/article/pii/S0306261926010020?dgcid=rss_sd_all" TargetMode="External"/><Relationship Id="rId208" Type="http://schemas.openxmlformats.org/officeDocument/2006/relationships/hyperlink" Target="https://www.sciencedirect.com/science/article/pii/S0306261926009979?dgcid=rss_sd_all" TargetMode="External"/><Relationship Id="rId209" Type="http://schemas.openxmlformats.org/officeDocument/2006/relationships/hyperlink" Target="https://www.sciencedirect.com/science/article/pii/S0306261926010330?dgcid=rss_sd_all" TargetMode="External"/><Relationship Id="rId210" Type="http://schemas.openxmlformats.org/officeDocument/2006/relationships/hyperlink" Target="https://www.sciencedirect.com/science/article/pii/S0306261926010081?dgcid=rss_sd_all" TargetMode="External"/><Relationship Id="rId211" Type="http://schemas.openxmlformats.org/officeDocument/2006/relationships/hyperlink" Target="https://www.cell.com/matter/fulltext/S2590-2385(26)00277-8?rss=yes" TargetMode="External"/><Relationship Id="rId212" Type="http://schemas.openxmlformats.org/officeDocument/2006/relationships/hyperlink" Target="https://doi.org/10.1016/j.matt.2026.102914" TargetMode="External"/><Relationship Id="rId213" Type="http://schemas.openxmlformats.org/officeDocument/2006/relationships/hyperlink" Target="https://www.sciencedirect.com/science/article/pii/S030626192600992X?dgcid=rss_sd_all" TargetMode="External"/><Relationship Id="rId214" Type="http://schemas.openxmlformats.org/officeDocument/2006/relationships/hyperlink" Target="https://www.sciencedirect.com/science/article/pii/S0306261926009177?dgcid=rss_sd_all" TargetMode="External"/><Relationship Id="rId215" Type="http://schemas.openxmlformats.org/officeDocument/2006/relationships/hyperlink" Target="https://pubs.acs.org/doi/10.1021/acsami.6c08585" TargetMode="External"/><Relationship Id="rId216" Type="http://schemas.openxmlformats.org/officeDocument/2006/relationships/hyperlink" Target="https://doi.org/10.1021/acsami.6c08585" TargetMode="External"/><Relationship Id="rId217" Type="http://schemas.openxmlformats.org/officeDocument/2006/relationships/hyperlink" Target="https://www.nature.com/articles/s41578-026-00937-z" TargetMode="External"/><Relationship Id="rId218" Type="http://schemas.openxmlformats.org/officeDocument/2006/relationships/hyperlink" Target="https://doi.org/10.1038/s41578-026-00937-z" TargetMode="External"/><Relationship Id="rId219" Type="http://schemas.openxmlformats.org/officeDocument/2006/relationships/hyperlink" Target="https://www.sciencedirect.com/science/article/pii/S0301421526003459?dgcid=rss_sd_all" TargetMode="External"/><Relationship Id="rId220" Type="http://schemas.openxmlformats.org/officeDocument/2006/relationships/hyperlink" Target="https://www.nature.com/articles/s41467-026-75110-9" TargetMode="External"/><Relationship Id="rId221" Type="http://schemas.openxmlformats.org/officeDocument/2006/relationships/hyperlink" Target="https://pubs.acs.org/doi/10.1021/acs.chemrev.6c00539" TargetMode="External"/><Relationship Id="rId222" Type="http://schemas.openxmlformats.org/officeDocument/2006/relationships/hyperlink" Target="https://doi.org/10.1021/acs.chemrev.6c00539" TargetMode="External"/><Relationship Id="rId223" Type="http://schemas.openxmlformats.org/officeDocument/2006/relationships/hyperlink" Target="https://www.science.org/doi/abs/10.1126/sciadv.aec8053?af=R" TargetMode="External"/><Relationship Id="rId224" Type="http://schemas.openxmlformats.org/officeDocument/2006/relationships/hyperlink" Target="https://doi.org/10.1126/sciadv.aec8053" TargetMode="External"/><Relationship Id="rId225" Type="http://schemas.openxmlformats.org/officeDocument/2006/relationships/hyperlink" Target="https://academic.oup.com/nsr/advance-article/doi/10.1093/nsr/nwag417/8729103?rss=1" TargetMode="External"/><Relationship Id="rId226" Type="http://schemas.openxmlformats.org/officeDocument/2006/relationships/hyperlink" Target="https://doi.org/10.1093/nsr/nwag417" TargetMode="External"/><Relationship Id="rId227" Type="http://schemas.openxmlformats.org/officeDocument/2006/relationships/hyperlink" Target="https://pubs.acs.org/doi/10.1021/jacs.6c04989" TargetMode="External"/><Relationship Id="rId228" Type="http://schemas.openxmlformats.org/officeDocument/2006/relationships/hyperlink" Target="https://doi.org/10.1021/jacs.6c04989" TargetMode="External"/><Relationship Id="rId229" Type="http://schemas.openxmlformats.org/officeDocument/2006/relationships/hyperlink" Target="https://www.science.org/doi/abs/10.1126/science.aeg2036?af=R" TargetMode="External"/><Relationship Id="rId230" Type="http://schemas.openxmlformats.org/officeDocument/2006/relationships/hyperlink" Target="https://doi.org/10.1126/science.aeg2036" TargetMode="External"/><Relationship Id="rId231" Type="http://schemas.openxmlformats.org/officeDocument/2006/relationships/hyperlink" Target="https://www.sciencedirect.com/science/article/pii/S0301421526003927?dgcid=rss_sd_all" TargetMode="External"/><Relationship Id="rId232" Type="http://schemas.openxmlformats.org/officeDocument/2006/relationships/hyperlink" Target="https://www.sciencedirect.com/science/article/pii/S0301421526003605?dgcid=rss_sd_all" TargetMode="External"/><Relationship Id="rId233" Type="http://schemas.openxmlformats.org/officeDocument/2006/relationships/hyperlink" Target="https://www.sciencedirect.com/science/article/pii/S0301421526003873?dgcid=rss_sd_all" TargetMode="External"/><Relationship Id="rId234" Type="http://schemas.openxmlformats.org/officeDocument/2006/relationships/hyperlink" Target="https://www.sciencedirect.com/science/article/pii/S0306261926008998?dgcid=rss_sd_all" TargetMode="External"/><Relationship Id="rId235" Type="http://schemas.openxmlformats.org/officeDocument/2006/relationships/hyperlink" Target="https://pubs.acs.org/doi/10.1021/jacs.6c04024" TargetMode="External"/><Relationship Id="rId236" Type="http://schemas.openxmlformats.org/officeDocument/2006/relationships/hyperlink" Target="https://doi.org/10.1021/jacs.6c04024" TargetMode="External"/><Relationship Id="rId237" Type="http://schemas.openxmlformats.org/officeDocument/2006/relationships/hyperlink" Target="https://www.sciencedirect.com/science/article/pii/S0306261926008688?dgcid=rss_sd_all" TargetMode="External"/><Relationship Id="rId238" Type="http://schemas.openxmlformats.org/officeDocument/2006/relationships/hyperlink" Target="https://www.sciencedirect.com/science/article/pii/S0306261926009189?dgcid=rss_sd_all" TargetMode="External"/><Relationship Id="rId239" Type="http://schemas.openxmlformats.org/officeDocument/2006/relationships/hyperlink" Target="https://www.nature.com/articles/s41467-026-74394-1" TargetMode="External"/><Relationship Id="rId240" Type="http://schemas.openxmlformats.org/officeDocument/2006/relationships/hyperlink" Target="https://pubs.acs.org/doi/10.1021/jacs.6c09972" TargetMode="External"/><Relationship Id="rId241" Type="http://schemas.openxmlformats.org/officeDocument/2006/relationships/hyperlink" Target="https://doi.org/10.1021/jacs.6c09972" TargetMode="External"/><Relationship Id="rId242" Type="http://schemas.openxmlformats.org/officeDocument/2006/relationships/hyperlink" Target="https://www.nature.com/articles/s41467-026-75160-z" TargetMode="External"/><Relationship Id="rId243" Type="http://schemas.openxmlformats.org/officeDocument/2006/relationships/hyperlink" Target="https://www.sciencedirect.com/science/article/pii/S0306261926009931?dgcid=rss_sd_all" TargetMode="External"/><Relationship Id="rId244" Type="http://schemas.openxmlformats.org/officeDocument/2006/relationships/hyperlink" Target="https://www.sciencedirect.com/science/article/pii/S0306261926009967?dgcid=rss_sd_all" TargetMode="External"/><Relationship Id="rId245" Type="http://schemas.openxmlformats.org/officeDocument/2006/relationships/hyperlink" Target="https://pubs.acs.org/doi/10.1021/jacs.6c09658" TargetMode="External"/><Relationship Id="rId246" Type="http://schemas.openxmlformats.org/officeDocument/2006/relationships/hyperlink" Target="https://doi.org/10.1021/jacs.6c09658" TargetMode="External"/><Relationship Id="rId247" Type="http://schemas.openxmlformats.org/officeDocument/2006/relationships/hyperlink" Target="https://www.science.org/doi/abs/10.1126/sciadv.aeb0754?af=R" TargetMode="External"/><Relationship Id="rId248" Type="http://schemas.openxmlformats.org/officeDocument/2006/relationships/hyperlink" Target="https://doi.org/10.1126/sciadv.aeb0754" TargetMode="External"/><Relationship Id="rId249" Type="http://schemas.openxmlformats.org/officeDocument/2006/relationships/hyperlink" Target="https://www.nature.com/articles/s44359-026-00195-w" TargetMode="External"/><Relationship Id="rId250" Type="http://schemas.openxmlformats.org/officeDocument/2006/relationships/hyperlink" Target="https://doi.org/10.1038/s44359-026-00195-w" TargetMode="External"/><Relationship Id="rId251" Type="http://schemas.openxmlformats.org/officeDocument/2006/relationships/hyperlink" Target="https://www.nature.com/articles/s44286-026-00416-w" TargetMode="External"/><Relationship Id="rId252" Type="http://schemas.openxmlformats.org/officeDocument/2006/relationships/hyperlink" Target="https://doi.org/10.1038/s44286-026-00416-w" TargetMode="External"/><Relationship Id="rId253" Type="http://schemas.openxmlformats.org/officeDocument/2006/relationships/hyperlink" Target="https://www.nature.com/articles/s41467-026-75387-w" TargetMode="External"/><Relationship Id="rId254" Type="http://schemas.openxmlformats.org/officeDocument/2006/relationships/hyperlink" Target="https://www.sciencedirect.com/science/article/pii/S030626192600869X?dgcid=rss_sd_all" TargetMode="External"/><Relationship Id="rId255" Type="http://schemas.openxmlformats.org/officeDocument/2006/relationships/hyperlink" Target="https://pubs.acs.org/doi/10.1021/jacs.6c08611" TargetMode="External"/><Relationship Id="rId256" Type="http://schemas.openxmlformats.org/officeDocument/2006/relationships/hyperlink" Target="https://doi.org/10.1021/jacs.6c08611" TargetMode="External"/><Relationship Id="rId257" Type="http://schemas.openxmlformats.org/officeDocument/2006/relationships/hyperlink" Target="https://pubs.acs.org/doi/10.1021/jacs.6c08703" TargetMode="External"/><Relationship Id="rId258" Type="http://schemas.openxmlformats.org/officeDocument/2006/relationships/hyperlink" Target="https://doi.org/10.1021/jacs.6c08703" TargetMode="External"/><Relationship Id="rId259" Type="http://schemas.openxmlformats.org/officeDocument/2006/relationships/hyperlink" Target="https://www.nature.com/articles/s41467-026-75152-z" TargetMode="External"/><Relationship Id="rId260" Type="http://schemas.openxmlformats.org/officeDocument/2006/relationships/hyperlink" Target="https://www.nature.com/articles/s41467-026-74647-z" TargetMode="External"/><Relationship Id="rId261" Type="http://schemas.openxmlformats.org/officeDocument/2006/relationships/hyperlink" Target="https://www.nature.com/articles/s41586-026-10744-9" TargetMode="External"/><Relationship Id="rId262" Type="http://schemas.openxmlformats.org/officeDocument/2006/relationships/hyperlink" Target="https://doi.org/10.1038/s41586-026-10744-9" TargetMode="External"/><Relationship Id="rId263" Type="http://schemas.openxmlformats.org/officeDocument/2006/relationships/hyperlink" Target="https://pubs.acs.org/doi/10.1021/acsenergylett.6c01395" TargetMode="External"/><Relationship Id="rId264" Type="http://schemas.openxmlformats.org/officeDocument/2006/relationships/hyperlink" Target="https://doi.org/10.1021/acsenergylett.6c01395" TargetMode="External"/><Relationship Id="rId265" Type="http://schemas.openxmlformats.org/officeDocument/2006/relationships/hyperlink" Target="https://www.sciencedirect.com/science/article/pii/S0306261926009992?dgcid=rss_sd_all" TargetMode="External"/><Relationship Id="rId266" Type="http://schemas.openxmlformats.org/officeDocument/2006/relationships/hyperlink" Target="https://pubs.acs.org/doi/10.1021/acsami.6c07060" TargetMode="External"/><Relationship Id="rId267" Type="http://schemas.openxmlformats.org/officeDocument/2006/relationships/hyperlink" Target="https://doi.org/10.1021/acsami.6c07060" TargetMode="External"/><Relationship Id="rId268" Type="http://schemas.openxmlformats.org/officeDocument/2006/relationships/hyperlink" Target="https://pubs.acs.org/doi/10.1021/acsami.6c09893" TargetMode="External"/><Relationship Id="rId269" Type="http://schemas.openxmlformats.org/officeDocument/2006/relationships/hyperlink" Target="https://doi.org/10.1021/acsami.6c09893" TargetMode="External"/><Relationship Id="rId270" Type="http://schemas.openxmlformats.org/officeDocument/2006/relationships/hyperlink" Target="https://www.nature.com/articles/s41467-026-75309-w" TargetMode="External"/><Relationship Id="rId271" Type="http://schemas.openxmlformats.org/officeDocument/2006/relationships/hyperlink" Target="https://www.science.org/doi/abs/10.1126/sciadv.aec6721?af=R" TargetMode="External"/><Relationship Id="rId272" Type="http://schemas.openxmlformats.org/officeDocument/2006/relationships/hyperlink" Target="https://doi.org/10.1126/sciadv.aec6721" TargetMode="External"/><Relationship Id="rId273" Type="http://schemas.openxmlformats.org/officeDocument/2006/relationships/hyperlink" Target="https://pubs.acs.org/doi/10.1021/jacs.6c07615" TargetMode="External"/><Relationship Id="rId274" Type="http://schemas.openxmlformats.org/officeDocument/2006/relationships/hyperlink" Target="https://doi.org/10.1021/jacs.6c07615" TargetMode="External"/><Relationship Id="rId275" Type="http://schemas.openxmlformats.org/officeDocument/2006/relationships/hyperlink" Target="https://pubs.acs.org/doi/10.1021/acsami.6c07232" TargetMode="External"/><Relationship Id="rId276" Type="http://schemas.openxmlformats.org/officeDocument/2006/relationships/hyperlink" Target="https://doi.org/10.1021/acsami.6c07232" TargetMode="External"/><Relationship Id="rId277" Type="http://schemas.openxmlformats.org/officeDocument/2006/relationships/hyperlink" Target="https://pubs.acs.org/doi/10.1021/acsami.6c10075" TargetMode="External"/><Relationship Id="rId278" Type="http://schemas.openxmlformats.org/officeDocument/2006/relationships/hyperlink" Target="https://doi.org/10.1021/acsami.6c10075" TargetMode="External"/><Relationship Id="rId279" Type="http://schemas.openxmlformats.org/officeDocument/2006/relationships/hyperlink" Target="https://www.science.org/doi/abs/10.1126/science.aej1451?af=R" TargetMode="External"/><Relationship Id="rId280" Type="http://schemas.openxmlformats.org/officeDocument/2006/relationships/hyperlink" Target="https://doi.org/10.1126/science.aej1451" TargetMode="External"/><Relationship Id="rId281" Type="http://schemas.openxmlformats.org/officeDocument/2006/relationships/hyperlink" Target="https://pubs.acs.org/doi/10.1021/jacs.6c05182" TargetMode="External"/><Relationship Id="rId282" Type="http://schemas.openxmlformats.org/officeDocument/2006/relationships/hyperlink" Target="https://doi.org/10.1021/jacs.6c05182" TargetMode="External"/><Relationship Id="rId283" Type="http://schemas.openxmlformats.org/officeDocument/2006/relationships/hyperlink" Target="https://pubs.acs.org/doi/10.1021/jacs.6c08814" TargetMode="External"/><Relationship Id="rId284" Type="http://schemas.openxmlformats.org/officeDocument/2006/relationships/hyperlink" Target="https://doi.org/10.1021/jacs.6c08814" TargetMode="External"/><Relationship Id="rId285" Type="http://schemas.openxmlformats.org/officeDocument/2006/relationships/hyperlink" Target="https://www.cell.com/chem/fulltext/S2451-9294(26)00211-1?rss=yes" TargetMode="External"/><Relationship Id="rId286" Type="http://schemas.openxmlformats.org/officeDocument/2006/relationships/hyperlink" Target="https://doi.org/10.1016/j.chempr.2026.103145" TargetMode="External"/><Relationship Id="rId287" Type="http://schemas.openxmlformats.org/officeDocument/2006/relationships/hyperlink" Target="https://www.cell.com/chem/fulltext/S2451-9294(26)00206-8?rss=yes" TargetMode="External"/><Relationship Id="rId288" Type="http://schemas.openxmlformats.org/officeDocument/2006/relationships/hyperlink" Target="https://doi.org/10.1016/j.chempr.2026.103140" TargetMode="External"/><Relationship Id="rId289" Type="http://schemas.openxmlformats.org/officeDocument/2006/relationships/hyperlink" Target="https://pubs.acs.org/doi/10.1021/acsami.6c08713" TargetMode="External"/><Relationship Id="rId290" Type="http://schemas.openxmlformats.org/officeDocument/2006/relationships/hyperlink" Target="https://doi.org/10.1021/acsami.6c08713" TargetMode="External"/><Relationship Id="rId291" Type="http://schemas.openxmlformats.org/officeDocument/2006/relationships/hyperlink" Target="https://www.science.org/doi/abs/10.1126/science.aea6562?af=R" TargetMode="External"/><Relationship Id="rId292" Type="http://schemas.openxmlformats.org/officeDocument/2006/relationships/hyperlink" Target="https://doi.org/10.1126/science.aea6562" TargetMode="External"/><Relationship Id="rId293" Type="http://schemas.openxmlformats.org/officeDocument/2006/relationships/hyperlink" Target="https://www.nature.com/articles/s41467-026-75271-7" TargetMode="External"/><Relationship Id="rId294" Type="http://schemas.openxmlformats.org/officeDocument/2006/relationships/hyperlink" Target="https://pubs.acs.org/doi/10.1021/jacs.6c04407" TargetMode="External"/><Relationship Id="rId295" Type="http://schemas.openxmlformats.org/officeDocument/2006/relationships/hyperlink" Target="https://doi.org/10.1021/jacs.6c04407" TargetMode="External"/><Relationship Id="rId296" Type="http://schemas.openxmlformats.org/officeDocument/2006/relationships/hyperlink" Target="https://pubs.acs.org/doi/10.1021/jacs.6c11029" TargetMode="External"/><Relationship Id="rId297" Type="http://schemas.openxmlformats.org/officeDocument/2006/relationships/hyperlink" Target="https://doi.org/10.1021/jacs.6c11029" TargetMode="External"/><Relationship Id="rId298" Type="http://schemas.openxmlformats.org/officeDocument/2006/relationships/hyperlink" Target="https://pubs.acs.org/doi/10.1021/jacs.6c08452" TargetMode="External"/><Relationship Id="rId299" Type="http://schemas.openxmlformats.org/officeDocument/2006/relationships/hyperlink" Target="https://doi.org/10.1021/jacs.6c08452" TargetMode="External"/><Relationship Id="rId300" Type="http://schemas.openxmlformats.org/officeDocument/2006/relationships/hyperlink" Target="https://www.sciencedirect.com/science/article/pii/S0306261926008810?dgcid=rss_sd_all" TargetMode="External"/><Relationship Id="rId301" Type="http://schemas.openxmlformats.org/officeDocument/2006/relationships/hyperlink" Target="https://pubs.acs.org/doi/10.1021/jacs.6c07820" TargetMode="External"/><Relationship Id="rId302" Type="http://schemas.openxmlformats.org/officeDocument/2006/relationships/hyperlink" Target="https://doi.org/10.1021/jacs.6c07820" TargetMode="External"/><Relationship Id="rId303" Type="http://schemas.openxmlformats.org/officeDocument/2006/relationships/hyperlink" Target="https://pubs.acs.org/doi/10.1021/acsami.6c07546" TargetMode="External"/><Relationship Id="rId304" Type="http://schemas.openxmlformats.org/officeDocument/2006/relationships/hyperlink" Target="https://doi.org/10.1021/acsami.6c07546" TargetMode="External"/><Relationship Id="rId305" Type="http://schemas.openxmlformats.org/officeDocument/2006/relationships/hyperlink" Target="https://pubs.acs.org/doi/10.1021/acsami.6c10068" TargetMode="External"/><Relationship Id="rId306" Type="http://schemas.openxmlformats.org/officeDocument/2006/relationships/hyperlink" Target="https://doi.org/10.1021/acsami.6c10068" TargetMode="External"/><Relationship Id="rId307" Type="http://schemas.openxmlformats.org/officeDocument/2006/relationships/hyperlink" Target="https://pubs.acs.org/doi/10.1021/acsami.6c06016" TargetMode="External"/><Relationship Id="rId308" Type="http://schemas.openxmlformats.org/officeDocument/2006/relationships/hyperlink" Target="https://doi.org/10.1021/acsami.6c06016" TargetMode="External"/><Relationship Id="rId309" Type="http://schemas.openxmlformats.org/officeDocument/2006/relationships/hyperlink" Target="https://pubs.acs.org/doi/10.1021/acsami.6c07815" TargetMode="External"/><Relationship Id="rId310" Type="http://schemas.openxmlformats.org/officeDocument/2006/relationships/hyperlink" Target="https://doi.org/10.1021/acsami.6c07815" TargetMode="External"/><Relationship Id="rId311" Type="http://schemas.openxmlformats.org/officeDocument/2006/relationships/hyperlink" Target="https://www.nature.com/articles/s41467-026-75203-5" TargetMode="External"/><Relationship Id="rId312" Type="http://schemas.openxmlformats.org/officeDocument/2006/relationships/hyperlink" Target="https://www.sciencedirect.com/science/article/pii/S030142152600385X?dgcid=rss_sd_all" TargetMode="External"/><Relationship Id="rId313" Type="http://schemas.openxmlformats.org/officeDocument/2006/relationships/hyperlink" Target="https://www.sciencedirect.com/science/article/pii/S0306261926009153?dgcid=rss_sd_all" TargetMode="External"/><Relationship Id="rId314" Type="http://schemas.openxmlformats.org/officeDocument/2006/relationships/hyperlink" Target="https://www.sciencedirect.com/science/article/pii/S0306261926009049?dgcid=rss_sd_all" TargetMode="External"/><Relationship Id="rId315" Type="http://schemas.openxmlformats.org/officeDocument/2006/relationships/hyperlink" Target="https://www.sciencedirect.com/science/article/pii/S0306261926008901?dgcid=rss_sd_all" TargetMode="External"/><Relationship Id="rId316" Type="http://schemas.openxmlformats.org/officeDocument/2006/relationships/hyperlink" Target="https://www.sciencedirect.com/science/article/pii/S0301421526003691?dgcid=rss_sd_all" TargetMode="External"/><Relationship Id="rId317" Type="http://schemas.openxmlformats.org/officeDocument/2006/relationships/hyperlink" Target="https://pubs.acs.org/doi/10.1021/jacs.6c10600" TargetMode="External"/><Relationship Id="rId318" Type="http://schemas.openxmlformats.org/officeDocument/2006/relationships/hyperlink" Target="https://doi.org/10.1021/jacs.6c10600" TargetMode="External"/><Relationship Id="rId319" Type="http://schemas.openxmlformats.org/officeDocument/2006/relationships/hyperlink" Target="https://www.nature.com/articles/s41467-026-75127-0" TargetMode="External"/><Relationship Id="rId320" Type="http://schemas.openxmlformats.org/officeDocument/2006/relationships/hyperlink" Target="https://www.nature.com/articles/s41467-026-74934-9" TargetMode="External"/><Relationship Id="rId321" Type="http://schemas.openxmlformats.org/officeDocument/2006/relationships/hyperlink" Target="https://www.nature.com/articles/s41467-026-74931-y" TargetMode="External"/><Relationship Id="rId322" Type="http://schemas.openxmlformats.org/officeDocument/2006/relationships/hyperlink" Target="https://www.nature.com/articles/s41467-026-74957-2" TargetMode="External"/><Relationship Id="rId323" Type="http://schemas.openxmlformats.org/officeDocument/2006/relationships/hyperlink" Target="https://www.nature.com/articles/s41467-026-75144-z" TargetMode="External"/><Relationship Id="rId324" Type="http://schemas.openxmlformats.org/officeDocument/2006/relationships/hyperlink" Target="https://www.nature.com/articles/s41467-026-75208-0" TargetMode="External"/><Relationship Id="rId325" Type="http://schemas.openxmlformats.org/officeDocument/2006/relationships/hyperlink" Target="https://www.nature.com/articles/s41467-026-75067-9" TargetMode="External"/><Relationship Id="rId326" Type="http://schemas.openxmlformats.org/officeDocument/2006/relationships/hyperlink" Target="https://www.sciencedirect.com/science/article/pii/S0306261926007580?dgcid=rss_sd_all" TargetMode="External"/><Relationship Id="rId327" Type="http://schemas.openxmlformats.org/officeDocument/2006/relationships/hyperlink" Target="https://www.nature.com/articles/s41467-026-75154-x" TargetMode="External"/><Relationship Id="rId328" Type="http://schemas.openxmlformats.org/officeDocument/2006/relationships/hyperlink" Target="https://www.nature.com/articles/s41467-026-75031-7" TargetMode="External"/><Relationship Id="rId329" Type="http://schemas.openxmlformats.org/officeDocument/2006/relationships/hyperlink" Target="https://www.nature.com/articles/s41467-026-74594-9" TargetMode="External"/><Relationship Id="rId330" Type="http://schemas.openxmlformats.org/officeDocument/2006/relationships/hyperlink" Target="https://www.nature.com/articles/s41467-026-75278-0" TargetMode="External"/><Relationship Id="rId331" Type="http://schemas.openxmlformats.org/officeDocument/2006/relationships/hyperlink" Target="https://www.nature.com/articles/s41467-026-74791-6" TargetMode="External"/><Relationship Id="rId332" Type="http://schemas.openxmlformats.org/officeDocument/2006/relationships/hyperlink" Target="https://www.nature.com/articles/s41467-026-74807-1" TargetMode="External"/><Relationship Id="rId333" Type="http://schemas.openxmlformats.org/officeDocument/2006/relationships/hyperlink" Target="https://www.nature.com/articles/s41467-026-75263-7" TargetMode="External"/><Relationship Id="rId334" Type="http://schemas.openxmlformats.org/officeDocument/2006/relationships/hyperlink" Target="https://www.nature.com/articles/s41467-026-74822-2" TargetMode="External"/><Relationship Id="rId335" Type="http://schemas.openxmlformats.org/officeDocument/2006/relationships/hyperlink" Target="https://www.nature.com/articles/s41467-026-75168-5" TargetMode="External"/><Relationship Id="rId336" Type="http://schemas.openxmlformats.org/officeDocument/2006/relationships/hyperlink" Target="https://www.sciencedirect.com/science/article/pii/S0306261926009256?dgcid=rss_sd_all" TargetMode="External"/><Relationship Id="rId337" Type="http://schemas.openxmlformats.org/officeDocument/2006/relationships/hyperlink" Target="https://www.sciencedirect.com/science/article/pii/S0306261926009098?dgcid=rss_sd_all" TargetMode="External"/><Relationship Id="rId338" Type="http://schemas.openxmlformats.org/officeDocument/2006/relationships/hyperlink" Target="https://pubs.acs.org/doi/10.1021/jacs.6c09845" TargetMode="External"/><Relationship Id="rId339" Type="http://schemas.openxmlformats.org/officeDocument/2006/relationships/hyperlink" Target="https://doi.org/10.1021/jacs.6c09845" TargetMode="External"/><Relationship Id="rId340" Type="http://schemas.openxmlformats.org/officeDocument/2006/relationships/hyperlink" Target="https://www.nature.com/articles/s41467-026-75220-4" TargetMode="External"/><Relationship Id="rId341" Type="http://schemas.openxmlformats.org/officeDocument/2006/relationships/hyperlink" Target="https://www.nature.com/articles/s41467-026-74939-4" TargetMode="External"/><Relationship Id="rId342" Type="http://schemas.openxmlformats.org/officeDocument/2006/relationships/hyperlink" Target="https://www.nature.com/articles/s41467-026-75265-5" TargetMode="External"/><Relationship Id="rId343" Type="http://schemas.openxmlformats.org/officeDocument/2006/relationships/hyperlink" Target="https://www.nature.com/articles/s41467-026-75102-9" TargetMode="External"/><Relationship Id="rId344" Type="http://schemas.openxmlformats.org/officeDocument/2006/relationships/hyperlink" Target="https://www.nature.com/articles/s41467-026-75199-y" TargetMode="External"/><Relationship Id="rId345" Type="http://schemas.openxmlformats.org/officeDocument/2006/relationships/hyperlink" Target="https://www.sciencedirect.com/science/article/pii/S0306261926008731?dgcid=rss_sd_all" TargetMode="External"/><Relationship Id="rId346" Type="http://schemas.openxmlformats.org/officeDocument/2006/relationships/hyperlink" Target="https://www.sciencedirect.com/science/article/pii/S030142152600368X?dgcid=rss_sd_all" TargetMode="External"/><Relationship Id="rId347" Type="http://schemas.openxmlformats.org/officeDocument/2006/relationships/hyperlink" Target="https://www.sciencedirect.com/science/article/pii/S0301421526003824?dgcid=rss_sd_all" TargetMode="External"/><Relationship Id="rId348" Type="http://schemas.openxmlformats.org/officeDocument/2006/relationships/hyperlink" Target="https://pubs.acs.org/doi/10.1021/acsami.6c10290" TargetMode="External"/><Relationship Id="rId349" Type="http://schemas.openxmlformats.org/officeDocument/2006/relationships/hyperlink" Target="https://doi.org/10.1021/acsami.6c10290" TargetMode="External"/><Relationship Id="rId350" Type="http://schemas.openxmlformats.org/officeDocument/2006/relationships/hyperlink" Target="https://pubs.acs.org/doi/10.1021/acsami.6c06343" TargetMode="External"/><Relationship Id="rId351" Type="http://schemas.openxmlformats.org/officeDocument/2006/relationships/hyperlink" Target="https://doi.org/10.1021/acsami.6c06343" TargetMode="External"/><Relationship Id="rId352" Type="http://schemas.openxmlformats.org/officeDocument/2006/relationships/hyperlink" Target="https://pubs.acs.org/doi/10.1021/acsami.6c09275" TargetMode="External"/><Relationship Id="rId353" Type="http://schemas.openxmlformats.org/officeDocument/2006/relationships/hyperlink" Target="https://doi.org/10.1021/acsami.6c09275" TargetMode="External"/><Relationship Id="rId354" Type="http://schemas.openxmlformats.org/officeDocument/2006/relationships/hyperlink" Target="https://pubs.acs.org/doi/10.1021/jacs.6c10089" TargetMode="External"/><Relationship Id="rId355" Type="http://schemas.openxmlformats.org/officeDocument/2006/relationships/hyperlink" Target="https://doi.org/10.1021/jacs.6c10089" TargetMode="External"/><Relationship Id="rId356" Type="http://schemas.openxmlformats.org/officeDocument/2006/relationships/hyperlink" Target="https://pubs.acs.org/doi/10.1021/jacs.6c02471" TargetMode="External"/><Relationship Id="rId357" Type="http://schemas.openxmlformats.org/officeDocument/2006/relationships/hyperlink" Target="https://doi.org/10.1021/jacs.6c02471" TargetMode="External"/><Relationship Id="rId358" Type="http://schemas.openxmlformats.org/officeDocument/2006/relationships/hyperlink" Target="https://pubs.acs.org/doi/10.1021/jacs.6c03240" TargetMode="External"/><Relationship Id="rId359" Type="http://schemas.openxmlformats.org/officeDocument/2006/relationships/hyperlink" Target="https://doi.org/10.1021/jacs.6c03240" TargetMode="External"/><Relationship Id="rId360" Type="http://schemas.openxmlformats.org/officeDocument/2006/relationships/hyperlink" Target="https://pubs.acs.org/doi/10.1021/jacs.6c05171" TargetMode="External"/><Relationship Id="rId361" Type="http://schemas.openxmlformats.org/officeDocument/2006/relationships/hyperlink" Target="https://doi.org/10.1021/jacs.6c05171" TargetMode="External"/><Relationship Id="rId362" Type="http://schemas.openxmlformats.org/officeDocument/2006/relationships/hyperlink" Target="https://www.sciencedirect.com/science/article/pii/S030626192600855X?dgcid=rss_sd_all" TargetMode="External"/><Relationship Id="rId363" Type="http://schemas.openxmlformats.org/officeDocument/2006/relationships/hyperlink" Target="https://pubs.acs.org/doi/10.1021/jacs.6c05989" TargetMode="External"/><Relationship Id="rId364" Type="http://schemas.openxmlformats.org/officeDocument/2006/relationships/hyperlink" Target="https://doi.org/10.1021/jacs.6c05989" TargetMode="External"/><Relationship Id="rId365" Type="http://schemas.openxmlformats.org/officeDocument/2006/relationships/hyperlink" Target="https://www.cell.com/one-earth/fulltext/S2590-3322(26)00154-5?rss=yes" TargetMode="External"/><Relationship Id="rId366" Type="http://schemas.openxmlformats.org/officeDocument/2006/relationships/hyperlink" Target="https://doi.org/10.1016/j.oneear.2026.101753" TargetMode="External"/><Relationship Id="rId367" Type="http://schemas.openxmlformats.org/officeDocument/2006/relationships/hyperlink" Target="https://www.nature.com/articles/s41563-026-02651-1" TargetMode="External"/><Relationship Id="rId368" Type="http://schemas.openxmlformats.org/officeDocument/2006/relationships/hyperlink" Target="https://doi.org/10.1038/s41563-026-02651-1" TargetMode="External"/><Relationship Id="rId369" Type="http://schemas.openxmlformats.org/officeDocument/2006/relationships/hyperlink" Target="https://academic.oup.com/nsr/advance-article/doi/10.1093/nsr/nwag410/8725478?rss=1" TargetMode="External"/><Relationship Id="rId370" Type="http://schemas.openxmlformats.org/officeDocument/2006/relationships/hyperlink" Target="https://doi.org/10.1093/nsr/nwag410" TargetMode="External"/><Relationship Id="rId371" Type="http://schemas.openxmlformats.org/officeDocument/2006/relationships/hyperlink" Target="https://www.nature.com/articles/s41565-026-02205-1" TargetMode="External"/><Relationship Id="rId372" Type="http://schemas.openxmlformats.org/officeDocument/2006/relationships/hyperlink" Target="https://doi.org/10.1038/s41565-026-02205-1" TargetMode="External"/><Relationship Id="rId373" Type="http://schemas.openxmlformats.org/officeDocument/2006/relationships/hyperlink" Target="https://www.nature.com/articles/s41565-026-02210-4" TargetMode="External"/><Relationship Id="rId374" Type="http://schemas.openxmlformats.org/officeDocument/2006/relationships/hyperlink" Target="https://doi.org/10.1038/s41565-026-02210-4" TargetMode="External"/><Relationship Id="rId375" Type="http://schemas.openxmlformats.org/officeDocument/2006/relationships/hyperlink" Target="https://www.nature.com/articles/s41565-026-02218-w" TargetMode="External"/><Relationship Id="rId376" Type="http://schemas.openxmlformats.org/officeDocument/2006/relationships/hyperlink" Target="https://doi.org/10.1038/s41565-026-02218-w" TargetMode="External"/><Relationship Id="rId377" Type="http://schemas.openxmlformats.org/officeDocument/2006/relationships/hyperlink" Target="https://www.nature.com/articles/s41565-026-02211-3" TargetMode="External"/><Relationship Id="rId378" Type="http://schemas.openxmlformats.org/officeDocument/2006/relationships/hyperlink" Target="https://doi.org/10.1038/s41565-026-02211-3" TargetMode="External"/><Relationship Id="rId379" Type="http://schemas.openxmlformats.org/officeDocument/2006/relationships/hyperlink" Target="https://www.nature.com/articles/s41563-026-02667-7" TargetMode="External"/><Relationship Id="rId380" Type="http://schemas.openxmlformats.org/officeDocument/2006/relationships/hyperlink" Target="https://doi.org/10.1038/s41563-026-02667-7" TargetMode="External"/><Relationship Id="rId381" Type="http://schemas.openxmlformats.org/officeDocument/2006/relationships/hyperlink" Target="https://www.nature.com/articles/d41586-026-02099-y" TargetMode="External"/><Relationship Id="rId382" Type="http://schemas.openxmlformats.org/officeDocument/2006/relationships/hyperlink" Target="https://doi.org/10.1038/d41586-026-02099-y" TargetMode="External"/><Relationship Id="rId383" Type="http://schemas.openxmlformats.org/officeDocument/2006/relationships/hyperlink" Target="https://www.cell.com/chem/fulltext/S2451-9294(26)00193-2?rss=yes" TargetMode="External"/><Relationship Id="rId384" Type="http://schemas.openxmlformats.org/officeDocument/2006/relationships/hyperlink" Target="https://doi.org/10.1016/j.chempr.2026.103127" TargetMode="External"/><Relationship Id="rId385" Type="http://schemas.openxmlformats.org/officeDocument/2006/relationships/hyperlink" Target="https://www.nature.com/articles/d41586-026-02096-1" TargetMode="External"/><Relationship Id="rId386" Type="http://schemas.openxmlformats.org/officeDocument/2006/relationships/hyperlink" Target="https://doi.org/10.1038/d41586-026-02096-1" TargetMode="External"/><Relationship Id="rId387" Type="http://schemas.openxmlformats.org/officeDocument/2006/relationships/hyperlink" Target="https://www.nature.com/articles/d41586-026-01358-2" TargetMode="External"/><Relationship Id="rId388" Type="http://schemas.openxmlformats.org/officeDocument/2006/relationships/hyperlink" Target="https://doi.org/10.1038/d41586-026-01358-2" TargetMode="External"/><Relationship Id="rId389" Type="http://schemas.openxmlformats.org/officeDocument/2006/relationships/hyperlink" Target="https://www.nature.com/articles/d41586-026-02087-2" TargetMode="External"/><Relationship Id="rId390" Type="http://schemas.openxmlformats.org/officeDocument/2006/relationships/hyperlink" Target="https://doi.org/10.1038/d41586-026-02087-2" TargetMode="External"/><Relationship Id="rId391" Type="http://schemas.openxmlformats.org/officeDocument/2006/relationships/hyperlink" Target="https://www.nature.com/articles/s41467-026-74707-4" TargetMode="External"/><Relationship Id="rId392" Type="http://schemas.openxmlformats.org/officeDocument/2006/relationships/hyperlink" Target="https://www.nature.com/articles/d41586-026-02097-0" TargetMode="External"/><Relationship Id="rId393" Type="http://schemas.openxmlformats.org/officeDocument/2006/relationships/hyperlink" Target="https://doi.org/10.1038/d41586-026-02097-0" TargetMode="External"/><Relationship Id="rId394" Type="http://schemas.openxmlformats.org/officeDocument/2006/relationships/hyperlink" Target="https://academic.oup.com/nsr/advance-article/doi/10.1093/nsr/nwag407/8725485?rss=1" TargetMode="External"/><Relationship Id="rId395" Type="http://schemas.openxmlformats.org/officeDocument/2006/relationships/hyperlink" Target="https://doi.org/10.1093/nsr/nwag407" TargetMode="External"/><Relationship Id="rId396" Type="http://schemas.openxmlformats.org/officeDocument/2006/relationships/hyperlink" Target="https://academic.oup.com/nsr/advance-article/doi/10.1093/nsr/nwag412/8725483?rss=1" TargetMode="External"/><Relationship Id="rId397" Type="http://schemas.openxmlformats.org/officeDocument/2006/relationships/hyperlink" Target="https://doi.org/10.1093/nsr/nwag412" TargetMode="External"/><Relationship Id="rId398" Type="http://schemas.openxmlformats.org/officeDocument/2006/relationships/hyperlink" Target="https://academic.oup.com/nsr/advance-article/doi/10.1093/nsr/nwag388/8725481?rss=1" TargetMode="External"/><Relationship Id="rId399" Type="http://schemas.openxmlformats.org/officeDocument/2006/relationships/hyperlink" Target="https://doi.org/10.1093/nsr/nwag388" TargetMode="External"/><Relationship Id="rId400" Type="http://schemas.openxmlformats.org/officeDocument/2006/relationships/hyperlink" Target="https://www.nature.com/articles/s41563-026-02648-w" TargetMode="External"/><Relationship Id="rId401" Type="http://schemas.openxmlformats.org/officeDocument/2006/relationships/hyperlink" Target="https://doi.org/10.1038/s41563-026-02648-w" TargetMode="External"/><Relationship Id="rId402" Type="http://schemas.openxmlformats.org/officeDocument/2006/relationships/hyperlink" Target="https://pubs.acs.org/doi/10.1021/jacs.6c06402" TargetMode="External"/><Relationship Id="rId403" Type="http://schemas.openxmlformats.org/officeDocument/2006/relationships/hyperlink" Target="https://doi.org/10.1021/jacs.6c06402" TargetMode="External"/><Relationship Id="rId404" Type="http://schemas.openxmlformats.org/officeDocument/2006/relationships/hyperlink" Target="https://www.nature.com/articles/s41928-026-01665-6" TargetMode="External"/><Relationship Id="rId405" Type="http://schemas.openxmlformats.org/officeDocument/2006/relationships/hyperlink" Target="https://doi.org/10.1038/s41928-026-01665-6" TargetMode="External"/><Relationship Id="rId406" Type="http://schemas.openxmlformats.org/officeDocument/2006/relationships/hyperlink" Target="https://pubs.acs.org/doi/10.1021/acsami.6c04810" TargetMode="External"/><Relationship Id="rId407" Type="http://schemas.openxmlformats.org/officeDocument/2006/relationships/hyperlink" Target="https://doi.org/10.1021/acsami.6c04810" TargetMode="External"/><Relationship Id="rId408" Type="http://schemas.openxmlformats.org/officeDocument/2006/relationships/hyperlink" Target="https://pubs.acs.org/doi/10.1021/jacs.6c08942" TargetMode="External"/><Relationship Id="rId409" Type="http://schemas.openxmlformats.org/officeDocument/2006/relationships/hyperlink" Target="https://doi.org/10.1021/jacs.6c08942" TargetMode="External"/><Relationship Id="rId410" Type="http://schemas.openxmlformats.org/officeDocument/2006/relationships/hyperlink" Target="https://pubs.acs.org/doi/10.1021/jacs.6c06496" TargetMode="External"/><Relationship Id="rId411" Type="http://schemas.openxmlformats.org/officeDocument/2006/relationships/hyperlink" Target="https://doi.org/10.1021/jacs.6c06496" TargetMode="External"/><Relationship Id="rId412" Type="http://schemas.openxmlformats.org/officeDocument/2006/relationships/hyperlink" Target="https://pubs.acs.org/doi/10.1021/jacs.6c04025" TargetMode="External"/><Relationship Id="rId413" Type="http://schemas.openxmlformats.org/officeDocument/2006/relationships/hyperlink" Target="https://doi.org/10.1021/jacs.6c04025" TargetMode="External"/><Relationship Id="rId414" Type="http://schemas.openxmlformats.org/officeDocument/2006/relationships/hyperlink" Target="https://pubs.acs.org/doi/10.1021/jacs.6c09099" TargetMode="External"/><Relationship Id="rId415" Type="http://schemas.openxmlformats.org/officeDocument/2006/relationships/hyperlink" Target="https://doi.org/10.1021/jacs.6c09099" TargetMode="External"/><Relationship Id="rId416" Type="http://schemas.openxmlformats.org/officeDocument/2006/relationships/hyperlink" Target="https://pubs.acs.org/doi/10.1021/jacs.6c05412" TargetMode="External"/><Relationship Id="rId417" Type="http://schemas.openxmlformats.org/officeDocument/2006/relationships/hyperlink" Target="https://doi.org/10.1021/jacs.6c05412" TargetMode="External"/><Relationship Id="rId418" Type="http://schemas.openxmlformats.org/officeDocument/2006/relationships/hyperlink" Target="https://pubs.acs.org/doi/10.1021/jacs.6c04469" TargetMode="External"/><Relationship Id="rId419" Type="http://schemas.openxmlformats.org/officeDocument/2006/relationships/hyperlink" Target="https://doi.org/10.1021/jacs.6c04469" TargetMode="External"/><Relationship Id="rId420" Type="http://schemas.openxmlformats.org/officeDocument/2006/relationships/hyperlink" Target="https://pubs.acs.org/doi/10.1021/jacs.5c21118" TargetMode="External"/><Relationship Id="rId421" Type="http://schemas.openxmlformats.org/officeDocument/2006/relationships/hyperlink" Target="https://doi.org/10.1021/jacs.5c21118" TargetMode="External"/><Relationship Id="rId422" Type="http://schemas.openxmlformats.org/officeDocument/2006/relationships/hyperlink" Target="https://pubs.acs.org/doi/10.1021/jacs.6c12281" TargetMode="External"/><Relationship Id="rId423" Type="http://schemas.openxmlformats.org/officeDocument/2006/relationships/hyperlink" Target="https://doi.org/10.1021/jacs.6c12281" TargetMode="External"/><Relationship Id="rId424" Type="http://schemas.openxmlformats.org/officeDocument/2006/relationships/hyperlink" Target="https://pubs.acs.org/doi/10.1021/jacs.6c06612" TargetMode="External"/><Relationship Id="rId425" Type="http://schemas.openxmlformats.org/officeDocument/2006/relationships/hyperlink" Target="https://doi.org/10.1021/jacs.6c06612" TargetMode="External"/><Relationship Id="rId426" Type="http://schemas.openxmlformats.org/officeDocument/2006/relationships/hyperlink" Target="https://pubs.acs.org/doi/10.1021/jacs.6c06120" TargetMode="External"/><Relationship Id="rId427" Type="http://schemas.openxmlformats.org/officeDocument/2006/relationships/hyperlink" Target="https://doi.org/10.1021/jacs.6c06120" TargetMode="External"/><Relationship Id="rId428" Type="http://schemas.openxmlformats.org/officeDocument/2006/relationships/hyperlink" Target="https://pubs.acs.org/doi/10.1021/jacs.6c04705" TargetMode="External"/><Relationship Id="rId429" Type="http://schemas.openxmlformats.org/officeDocument/2006/relationships/hyperlink" Target="https://doi.org/10.1021/jacs.6c04705" TargetMode="External"/><Relationship Id="rId430" Type="http://schemas.openxmlformats.org/officeDocument/2006/relationships/hyperlink" Target="https://pubs.acs.org/doi/10.1021/jacs.6c06164" TargetMode="External"/><Relationship Id="rId431" Type="http://schemas.openxmlformats.org/officeDocument/2006/relationships/hyperlink" Target="https://doi.org/10.1021/jacs.6c06164" TargetMode="External"/><Relationship Id="rId432" Type="http://schemas.openxmlformats.org/officeDocument/2006/relationships/hyperlink" Target="https://pubs.acs.org/doi/10.1021/jacs.6c10647" TargetMode="External"/><Relationship Id="rId433" Type="http://schemas.openxmlformats.org/officeDocument/2006/relationships/hyperlink" Target="https://doi.org/10.1021/jacs.6c10647" TargetMode="External"/><Relationship Id="rId434" Type="http://schemas.openxmlformats.org/officeDocument/2006/relationships/hyperlink" Target="https://pubs.acs.org/doi/10.1021/jacs.6c08223" TargetMode="External"/><Relationship Id="rId435" Type="http://schemas.openxmlformats.org/officeDocument/2006/relationships/hyperlink" Target="https://doi.org/10.1021/jacs.6c08223" TargetMode="External"/><Relationship Id="rId436" Type="http://schemas.openxmlformats.org/officeDocument/2006/relationships/hyperlink" Target="https://pubs.acs.org/doi/10.1021/jacs.6c04487" TargetMode="External"/><Relationship Id="rId437" Type="http://schemas.openxmlformats.org/officeDocument/2006/relationships/hyperlink" Target="https://doi.org/10.1021/jacs.6c04487" TargetMode="External"/><Relationship Id="rId438" Type="http://schemas.openxmlformats.org/officeDocument/2006/relationships/hyperlink" Target="https://www.cell.com/one-earth/fulltext/S2590-3322(26)00148-X?rss=yes" TargetMode="External"/><Relationship Id="rId439" Type="http://schemas.openxmlformats.org/officeDocument/2006/relationships/hyperlink" Target="https://doi.org/10.1016/j.oneear.2026.101747" TargetMode="External"/><Relationship Id="rId440" Type="http://schemas.openxmlformats.org/officeDocument/2006/relationships/hyperlink" Target="https://pubs.acs.org/doi/10.1021/acsami.6c13026" TargetMode="External"/><Relationship Id="rId441" Type="http://schemas.openxmlformats.org/officeDocument/2006/relationships/hyperlink" Target="https://doi.org/10.1021/acsami.6c13026" TargetMode="External"/><Relationship Id="rId442" Type="http://schemas.openxmlformats.org/officeDocument/2006/relationships/hyperlink" Target="https://www.nature.com/articles/s41467-026-74683-9" TargetMode="External"/><Relationship Id="rId443" Type="http://schemas.openxmlformats.org/officeDocument/2006/relationships/hyperlink" Target="https://www.nature.com/articles/s41467-026-74889-x" TargetMode="External"/><Relationship Id="rId444" Type="http://schemas.openxmlformats.org/officeDocument/2006/relationships/hyperlink" Target="https://www.nature.com/articles/s41467-026-75253-9" TargetMode="External"/><Relationship Id="rId445" Type="http://schemas.openxmlformats.org/officeDocument/2006/relationships/hyperlink" Target="https://www.nature.com/articles/s41467-026-74972-3" TargetMode="External"/><Relationship Id="rId446" Type="http://schemas.openxmlformats.org/officeDocument/2006/relationships/hyperlink" Target="https://www.nature.com/articles/s41467-026-74740-3" TargetMode="External"/><Relationship Id="rId447" Type="http://schemas.openxmlformats.org/officeDocument/2006/relationships/hyperlink" Target="https://www.nature.com/articles/s41467-026-75028-2" TargetMode="External"/><Relationship Id="rId448" Type="http://schemas.openxmlformats.org/officeDocument/2006/relationships/hyperlink" Target="https://www.nature.com/articles/s41467-026-74991-0" TargetMode="External"/><Relationship Id="rId449" Type="http://schemas.openxmlformats.org/officeDocument/2006/relationships/hyperlink" Target="https://www.nature.com/articles/s41467-026-75276-2" TargetMode="External"/><Relationship Id="rId450" Type="http://schemas.openxmlformats.org/officeDocument/2006/relationships/hyperlink" Target="https://www.nature.com/articles/s41467-026-75054-0" TargetMode="External"/><Relationship Id="rId451" Type="http://schemas.openxmlformats.org/officeDocument/2006/relationships/hyperlink" Target="https://www.nature.com/articles/s41467-026-75249-5" TargetMode="External"/><Relationship Id="rId452" Type="http://schemas.openxmlformats.org/officeDocument/2006/relationships/hyperlink" Target="https://www.nature.com/articles/s41467-026-75281-5" TargetMode="External"/><Relationship Id="rId453" Type="http://schemas.openxmlformats.org/officeDocument/2006/relationships/hyperlink" Target="https://pubs.acs.org/doi/10.1021/acsami.6c07103" TargetMode="External"/><Relationship Id="rId454" Type="http://schemas.openxmlformats.org/officeDocument/2006/relationships/hyperlink" Target="https://doi.org/10.1021/acsami.6c07103" TargetMode="External"/><Relationship Id="rId455" Type="http://schemas.openxmlformats.org/officeDocument/2006/relationships/hyperlink" Target="https://pubs.acs.org/doi/10.1021/acsami.6c05865" TargetMode="External"/><Relationship Id="rId456" Type="http://schemas.openxmlformats.org/officeDocument/2006/relationships/hyperlink" Target="https://doi.org/10.1021/acsami.6c05865" TargetMode="External"/><Relationship Id="rId457" Type="http://schemas.openxmlformats.org/officeDocument/2006/relationships/hyperlink" Target="https://pubs.acs.org/doi/10.1021/acsami.6c06099" TargetMode="External"/><Relationship Id="rId458" Type="http://schemas.openxmlformats.org/officeDocument/2006/relationships/hyperlink" Target="https://doi.org/10.1021/acsami.6c06099" TargetMode="External"/><Relationship Id="rId459" Type="http://schemas.openxmlformats.org/officeDocument/2006/relationships/hyperlink" Target="https://www.nature.com/articles/s41467-026-74739-w" TargetMode="External"/><Relationship Id="rId460" Type="http://schemas.openxmlformats.org/officeDocument/2006/relationships/hyperlink" Target="https://www.nature.com/articles/s41565-026-02239-5" TargetMode="External"/><Relationship Id="rId461" Type="http://schemas.openxmlformats.org/officeDocument/2006/relationships/hyperlink" Target="https://doi.org/10.1038/s41565-026-02239-5" TargetMode="External"/><Relationship Id="rId462" Type="http://schemas.openxmlformats.org/officeDocument/2006/relationships/hyperlink" Target="https://www.nature.com/articles/s41467-026-74856-6" TargetMode="External"/><Relationship Id="rId463" Type="http://schemas.openxmlformats.org/officeDocument/2006/relationships/hyperlink" Target="https://www.nature.com/articles/s41467-026-75095-5" TargetMode="External"/><Relationship Id="rId464" Type="http://schemas.openxmlformats.org/officeDocument/2006/relationships/hyperlink" Target="https://www.nature.com/articles/s41467-026-74869-1" TargetMode="External"/><Relationship Id="rId465" Type="http://schemas.openxmlformats.org/officeDocument/2006/relationships/hyperlink" Target="https://www.nature.com/articles/s41467-026-74942-9" TargetMode="External"/><Relationship Id="rId466" Type="http://schemas.openxmlformats.org/officeDocument/2006/relationships/hyperlink" Target="https://www.nature.com/articles/s41467-026-75077-7" TargetMode="External"/><Relationship Id="rId467" Type="http://schemas.openxmlformats.org/officeDocument/2006/relationships/hyperlink" Target="https://www.nature.com/articles/s41467-026-75091-9" TargetMode="External"/><Relationship Id="rId468" Type="http://schemas.openxmlformats.org/officeDocument/2006/relationships/hyperlink" Target="https://www.nature.com/articles/s41467-026-74753-y" TargetMode="External"/><Relationship Id="rId469" Type="http://schemas.openxmlformats.org/officeDocument/2006/relationships/hyperlink" Target="https://www.nature.com/articles/s41467-026-75191-6" TargetMode="External"/><Relationship Id="rId470" Type="http://schemas.openxmlformats.org/officeDocument/2006/relationships/hyperlink" Target="https://pubs.acs.org/doi/10.1021/acsami.6c09322" TargetMode="External"/><Relationship Id="rId471" Type="http://schemas.openxmlformats.org/officeDocument/2006/relationships/hyperlink" Target="https://doi.org/10.1021/acsami.6c09322" TargetMode="External"/><Relationship Id="rId472" Type="http://schemas.openxmlformats.org/officeDocument/2006/relationships/hyperlink" Target="https://www.nature.com/articles/s41467-026-75241-z" TargetMode="External"/><Relationship Id="rId473" Type="http://schemas.openxmlformats.org/officeDocument/2006/relationships/hyperlink" Target="https://pubs.acs.org/doi/10.1021/acsami.6c03640" TargetMode="External"/><Relationship Id="rId474" Type="http://schemas.openxmlformats.org/officeDocument/2006/relationships/hyperlink" Target="https://doi.org/10.1021/acsami.6c03640" TargetMode="External"/><Relationship Id="rId475" Type="http://schemas.openxmlformats.org/officeDocument/2006/relationships/hyperlink" Target="https://pubs.acs.org/doi/10.1021/acsami.6c08528" TargetMode="External"/><Relationship Id="rId476" Type="http://schemas.openxmlformats.org/officeDocument/2006/relationships/hyperlink" Target="https://doi.org/10.1021/acsami.6c08528" TargetMode="External"/><Relationship Id="rId477" Type="http://schemas.openxmlformats.org/officeDocument/2006/relationships/hyperlink" Target="https://www.nature.com/articles/s41467-026-74940-x" TargetMode="External"/><Relationship Id="rId478" Type="http://schemas.openxmlformats.org/officeDocument/2006/relationships/hyperlink" Target="https://www.nature.com/articles/s41467-026-75004-w" TargetMode="External"/><Relationship Id="rId479" Type="http://schemas.openxmlformats.org/officeDocument/2006/relationships/hyperlink" Target="https://www.nature.com/articles/s41467-026-74130-9" TargetMode="External"/><Relationship Id="rId480" Type="http://schemas.openxmlformats.org/officeDocument/2006/relationships/hyperlink" Target="https://www.nature.com/articles/s41467-026-75311-2" TargetMode="External"/><Relationship Id="rId481" Type="http://schemas.openxmlformats.org/officeDocument/2006/relationships/hyperlink" Target="https://pubs.acs.org/doi/10.1021/acsami.6c05873" TargetMode="External"/><Relationship Id="rId482" Type="http://schemas.openxmlformats.org/officeDocument/2006/relationships/hyperlink" Target="https://doi.org/10.1021/acsami.6c05873" TargetMode="External"/><Relationship Id="rId483" Type="http://schemas.openxmlformats.org/officeDocument/2006/relationships/hyperlink" Target="https://www.cell.com/matter/fulltext/S2590-2385(26)00274-2?rss=yes" TargetMode="External"/><Relationship Id="rId484" Type="http://schemas.openxmlformats.org/officeDocument/2006/relationships/hyperlink" Target="https://doi.org/10.1016/j.matt.2026.102911" TargetMode="External"/><Relationship Id="rId485" Type="http://schemas.openxmlformats.org/officeDocument/2006/relationships/hyperlink" Target="https://pubs.acs.org/doi/10.1021/acsami.6c04789" TargetMode="External"/><Relationship Id="rId486" Type="http://schemas.openxmlformats.org/officeDocument/2006/relationships/hyperlink" Target="https://doi.org/10.1021/acsami.6c04789" TargetMode="External"/><Relationship Id="rId487" Type="http://schemas.openxmlformats.org/officeDocument/2006/relationships/hyperlink" Target="https://www.pnas.org/doi/abs/10.1073/pnas.2609061123?mi=eymic2&amp;af=R&amp;access=on&amp;content=articlesChapters&amp;publication=pnas&amp;sortBy=Earliest&amp;target=default" TargetMode="External"/><Relationship Id="rId488" Type="http://schemas.openxmlformats.org/officeDocument/2006/relationships/hyperlink" Target="https://doi.org/10.1073/pnas.2609061123" TargetMode="External"/><Relationship Id="rId489" Type="http://schemas.openxmlformats.org/officeDocument/2006/relationships/hyperlink" Target="https://www.pnas.org/doi/abs/10.1073/pnas.2531623123?mi=eymic2&amp;af=R&amp;access=on&amp;content=articlesChapters&amp;publication=pnas&amp;sortBy=Earliest&amp;target=default" TargetMode="External"/><Relationship Id="rId490" Type="http://schemas.openxmlformats.org/officeDocument/2006/relationships/hyperlink" Target="https://doi.org/10.1073/pnas.2531623123" TargetMode="External"/><Relationship Id="rId491" Type="http://schemas.openxmlformats.org/officeDocument/2006/relationships/hyperlink" Target="https://www.pnas.org/doi/abs/10.1073/pnas.2531232123?mi=eymic2&amp;af=R&amp;access=on&amp;content=articlesChapters&amp;publication=pnas&amp;sortBy=Earliest&amp;target=default" TargetMode="External"/><Relationship Id="rId492" Type="http://schemas.openxmlformats.org/officeDocument/2006/relationships/hyperlink" Target="https://doi.org/10.1073/pnas.2531232123" TargetMode="External"/><Relationship Id="rId493" Type="http://schemas.openxmlformats.org/officeDocument/2006/relationships/hyperlink" Target="https://www.pnas.org/doi/abs/10.1073/pnas.2602650123?mi=eymic2&amp;af=R&amp;access=on&amp;content=articlesChapters&amp;publication=pnas&amp;sortBy=Earliest&amp;target=default" TargetMode="External"/><Relationship Id="rId494" Type="http://schemas.openxmlformats.org/officeDocument/2006/relationships/hyperlink" Target="https://doi.org/10.1073/pnas.2602650123" TargetMode="External"/><Relationship Id="rId495" Type="http://schemas.openxmlformats.org/officeDocument/2006/relationships/hyperlink" Target="https://www.pnas.org/doi/abs/10.1073/pnas.2529114123?mi=eymic2&amp;af=R&amp;access=on&amp;content=articlesChapters&amp;publication=pnas&amp;sortBy=Earliest&amp;target=default" TargetMode="External"/><Relationship Id="rId496" Type="http://schemas.openxmlformats.org/officeDocument/2006/relationships/hyperlink" Target="https://doi.org/10.1073/pnas.2529114123" TargetMode="External"/><Relationship Id="rId497" Type="http://schemas.openxmlformats.org/officeDocument/2006/relationships/hyperlink" Target="https://www.pnas.org/doi/abs/10.1073/pnas.2608196123?mi=eymic2&amp;af=R&amp;access=on&amp;content=articlesChapters&amp;publication=pnas&amp;sortBy=Earliest&amp;target=default" TargetMode="External"/><Relationship Id="rId498" Type="http://schemas.openxmlformats.org/officeDocument/2006/relationships/hyperlink" Target="https://doi.org/10.1073/pnas.2608196123" TargetMode="External"/><Relationship Id="rId499" Type="http://schemas.openxmlformats.org/officeDocument/2006/relationships/hyperlink" Target="https://www.pnas.org/doi/abs/10.1073/pnas.2612764123?mi=eymic2&amp;af=R&amp;access=on&amp;content=articlesChapters&amp;publication=pnas&amp;sortBy=Earliest&amp;target=default" TargetMode="External"/><Relationship Id="rId500" Type="http://schemas.openxmlformats.org/officeDocument/2006/relationships/hyperlink" Target="https://doi.org/10.1073/pnas.2612764123" TargetMode="External"/><Relationship Id="rId501" Type="http://schemas.openxmlformats.org/officeDocument/2006/relationships/hyperlink" Target="https://www.pnas.org/doi/abs/10.1073/pnas.2618836123?mi=eymic2&amp;af=R&amp;access=on&amp;content=articlesChapters&amp;publication=pnas&amp;sortBy=Earliest&amp;target=default" TargetMode="External"/><Relationship Id="rId502" Type="http://schemas.openxmlformats.org/officeDocument/2006/relationships/hyperlink" Target="https://doi.org/10.1073/pnas.2618836123" TargetMode="External"/><Relationship Id="rId503" Type="http://schemas.openxmlformats.org/officeDocument/2006/relationships/hyperlink" Target="https://www.pnas.org/doi/abs/10.1073/pnas.2616704123?mi=eymic2&amp;af=R&amp;access=on&amp;content=articlesChapters&amp;publication=pnas&amp;sortBy=Earliest&amp;target=default" TargetMode="External"/><Relationship Id="rId504" Type="http://schemas.openxmlformats.org/officeDocument/2006/relationships/hyperlink" Target="https://doi.org/10.1073/pnas.2616704123" TargetMode="External"/><Relationship Id="rId505" Type="http://schemas.openxmlformats.org/officeDocument/2006/relationships/hyperlink" Target="https://www.pnas.org/doi/abs/10.1073/pnas.2617174123?mi=eymic2&amp;af=R&amp;access=on&amp;content=articlesChapters&amp;publication=pnas&amp;sortBy=Earliest&amp;target=default" TargetMode="External"/><Relationship Id="rId506" Type="http://schemas.openxmlformats.org/officeDocument/2006/relationships/hyperlink" Target="https://doi.org/10.1073/pnas.2617174123" TargetMode="External"/><Relationship Id="rId507" Type="http://schemas.openxmlformats.org/officeDocument/2006/relationships/hyperlink" Target="https://www.pnas.org/doi/abs/10.1073/pnas.2618568123?mi=eymic2&amp;af=R&amp;access=on&amp;content=articlesChapters&amp;publication=pnas&amp;sortBy=Earliest&amp;target=default" TargetMode="External"/><Relationship Id="rId508" Type="http://schemas.openxmlformats.org/officeDocument/2006/relationships/hyperlink" Target="https://doi.org/10.1073/pnas.2618568123" TargetMode="External"/><Relationship Id="rId509" Type="http://schemas.openxmlformats.org/officeDocument/2006/relationships/hyperlink" Target="https://www.pnas.org/doi/abs/10.1073/pnas.2605739123?mi=eymic2&amp;af=R&amp;access=on&amp;content=articlesChapters&amp;publication=pnas&amp;sortBy=Earliest&amp;target=default" TargetMode="External"/><Relationship Id="rId510" Type="http://schemas.openxmlformats.org/officeDocument/2006/relationships/hyperlink" Target="https://doi.org/10.1073/pnas.2605739123" TargetMode="External"/><Relationship Id="rId511" Type="http://schemas.openxmlformats.org/officeDocument/2006/relationships/hyperlink" Target="https://www.pnas.org/doi/abs/10.1073/pnas.2603048123?mi=eymic2&amp;af=R&amp;access=on&amp;content=articlesChapters&amp;publication=pnas&amp;sortBy=Earliest&amp;target=default" TargetMode="External"/><Relationship Id="rId512" Type="http://schemas.openxmlformats.org/officeDocument/2006/relationships/hyperlink" Target="https://doi.org/10.1073/pnas.2603048123" TargetMode="External"/><Relationship Id="rId513" Type="http://schemas.openxmlformats.org/officeDocument/2006/relationships/hyperlink" Target="https://www.pnas.org/doi/abs/10.1073/pnas.2533086123?mi=eymic2&amp;af=R&amp;access=on&amp;content=articlesChapters&amp;publication=pnas&amp;sortBy=Earliest&amp;target=default" TargetMode="External"/><Relationship Id="rId514" Type="http://schemas.openxmlformats.org/officeDocument/2006/relationships/hyperlink" Target="https://doi.org/10.1073/pnas.2533086123" TargetMode="External"/><Relationship Id="rId515" Type="http://schemas.openxmlformats.org/officeDocument/2006/relationships/hyperlink" Target="https://www.pnas.org/doi/abs/10.1073/pnas.2614198123?mi=eymic2&amp;af=R&amp;access=on&amp;content=articlesChapters&amp;publication=pnas&amp;sortBy=Earliest&amp;target=default" TargetMode="External"/><Relationship Id="rId516" Type="http://schemas.openxmlformats.org/officeDocument/2006/relationships/hyperlink" Target="https://doi.org/10.1073/pnas.2614198123" TargetMode="External"/><Relationship Id="rId517" Type="http://schemas.openxmlformats.org/officeDocument/2006/relationships/hyperlink" Target="https://www.pnas.org/doi/abs/10.1073/pnas.2533990123?mi=eymic2&amp;af=R&amp;access=on&amp;content=articlesChapters&amp;publication=pnas&amp;sortBy=Earliest&amp;target=default" TargetMode="External"/><Relationship Id="rId518" Type="http://schemas.openxmlformats.org/officeDocument/2006/relationships/hyperlink" Target="https://doi.org/10.1073/pnas.2533990123" TargetMode="External"/><Relationship Id="rId519" Type="http://schemas.openxmlformats.org/officeDocument/2006/relationships/hyperlink" Target="https://www.pnas.org/doi/abs/10.1073/pnas.2535216123?mi=eymic2&amp;af=R&amp;access=on&amp;content=articlesChapters&amp;publication=pnas&amp;sortBy=Earliest&amp;target=default" TargetMode="External"/><Relationship Id="rId520" Type="http://schemas.openxmlformats.org/officeDocument/2006/relationships/hyperlink" Target="https://doi.org/10.1073/pnas.2535216123" TargetMode="External"/><Relationship Id="rId521" Type="http://schemas.openxmlformats.org/officeDocument/2006/relationships/hyperlink" Target="https://www.pnas.org/doi/abs/10.1073/pnas.2536089123?mi=eymic2&amp;af=R&amp;access=on&amp;content=articlesChapters&amp;publication=pnas&amp;sortBy=Earliest&amp;target=default" TargetMode="External"/><Relationship Id="rId522" Type="http://schemas.openxmlformats.org/officeDocument/2006/relationships/hyperlink" Target="https://doi.org/10.1073/pnas.2536089123" TargetMode="External"/><Relationship Id="rId523" Type="http://schemas.openxmlformats.org/officeDocument/2006/relationships/hyperlink" Target="https://www.pnas.org/doi/abs/10.1073/pnas.2525993123?mi=eymic2&amp;af=R&amp;access=on&amp;content=articlesChapters&amp;publication=pnas&amp;sortBy=Earliest&amp;target=default" TargetMode="External"/><Relationship Id="rId524" Type="http://schemas.openxmlformats.org/officeDocument/2006/relationships/hyperlink" Target="https://doi.org/10.1073/pnas.2525993123" TargetMode="External"/><Relationship Id="rId525" Type="http://schemas.openxmlformats.org/officeDocument/2006/relationships/hyperlink" Target="https://www.pnas.org/doi/abs/10.1073/pnas.2525995123?mi=eymic2&amp;af=R&amp;access=on&amp;content=articlesChapters&amp;publication=pnas&amp;sortBy=Earliest&amp;target=default" TargetMode="External"/><Relationship Id="rId526" Type="http://schemas.openxmlformats.org/officeDocument/2006/relationships/hyperlink" Target="https://doi.org/10.1073/pnas.2525995123" TargetMode="External"/><Relationship Id="rId527" Type="http://schemas.openxmlformats.org/officeDocument/2006/relationships/hyperlink" Target="https://www.pnas.org/doi/abs/10.1073/pnas.2525990123?mi=eymic2&amp;af=R&amp;access=on&amp;content=articlesChapters&amp;publication=pnas&amp;sortBy=Earliest&amp;target=default" TargetMode="External"/><Relationship Id="rId528" Type="http://schemas.openxmlformats.org/officeDocument/2006/relationships/hyperlink" Target="https://doi.org/10.1073/pnas.2525990123" TargetMode="External"/><Relationship Id="rId529" Type="http://schemas.openxmlformats.org/officeDocument/2006/relationships/hyperlink" Target="https://www.pnas.org/doi/abs/10.1073/pnas.2621051123?mi=eymic2&amp;af=R&amp;access=on&amp;content=articlesChapters&amp;publication=pnas&amp;sortBy=Earliest&amp;target=default" TargetMode="External"/><Relationship Id="rId530" Type="http://schemas.openxmlformats.org/officeDocument/2006/relationships/hyperlink" Target="https://doi.org/10.1073/pnas.2621051123" TargetMode="External"/><Relationship Id="rId531" Type="http://schemas.openxmlformats.org/officeDocument/2006/relationships/hyperlink" Target="https://www.pnas.org/doi/abs/10.1073/pnas.2520095123?mi=eymic2&amp;af=R&amp;access=on&amp;content=articlesChapters&amp;publication=pnas&amp;sortBy=Earliest&amp;target=default" TargetMode="External"/><Relationship Id="rId532" Type="http://schemas.openxmlformats.org/officeDocument/2006/relationships/hyperlink" Target="https://doi.org/10.1073/pnas.2520095123" TargetMode="External"/><Relationship Id="rId533" Type="http://schemas.openxmlformats.org/officeDocument/2006/relationships/hyperlink" Target="https://www.pnas.org/doi/abs/10.1073/pnas.2512303123?mi=eymic2&amp;af=R&amp;access=on&amp;content=articlesChapters&amp;publication=pnas&amp;sortBy=Earliest&amp;target=default" TargetMode="External"/><Relationship Id="rId534" Type="http://schemas.openxmlformats.org/officeDocument/2006/relationships/hyperlink" Target="https://doi.org/10.1073/pnas.2512303123" TargetMode="External"/><Relationship Id="rId535" Type="http://schemas.openxmlformats.org/officeDocument/2006/relationships/hyperlink" Target="https://www.pnas.org/doi/abs/10.1073/pnas.2511442123?mi=eymic2&amp;af=R&amp;access=on&amp;content=articlesChapters&amp;publication=pnas&amp;sortBy=Earliest&amp;target=default" TargetMode="External"/><Relationship Id="rId536" Type="http://schemas.openxmlformats.org/officeDocument/2006/relationships/hyperlink" Target="https://doi.org/10.1073/pnas.2511442123" TargetMode="External"/><Relationship Id="rId537" Type="http://schemas.openxmlformats.org/officeDocument/2006/relationships/hyperlink" Target="https://www.pnas.org/doi/abs/10.1073/pnas.2528622123?mi=eymic2&amp;af=R&amp;access=on&amp;content=articlesChapters&amp;publication=pnas&amp;sortBy=Earliest&amp;target=default" TargetMode="External"/><Relationship Id="rId538" Type="http://schemas.openxmlformats.org/officeDocument/2006/relationships/hyperlink" Target="https://doi.org/10.1073/pnas.2528622123" TargetMode="External"/><Relationship Id="rId539" Type="http://schemas.openxmlformats.org/officeDocument/2006/relationships/hyperlink" Target="https://www.pnas.org/doi/abs/10.1073/pnas.2525996123?mi=eymic2&amp;af=R&amp;access=on&amp;content=articlesChapters&amp;publication=pnas&amp;sortBy=Earliest&amp;target=default" TargetMode="External"/><Relationship Id="rId540" Type="http://schemas.openxmlformats.org/officeDocument/2006/relationships/hyperlink" Target="https://doi.org/10.1073/pnas.2525996123" TargetMode="External"/><Relationship Id="rId541" Type="http://schemas.openxmlformats.org/officeDocument/2006/relationships/hyperlink" Target="https://www.pnas.org/doi/abs/10.1073/pnas.2621866123?mi=eymic2&amp;af=R&amp;access=on&amp;content=articlesChapters&amp;publication=pnas&amp;sortBy=Earliest&amp;target=default" TargetMode="External"/><Relationship Id="rId542" Type="http://schemas.openxmlformats.org/officeDocument/2006/relationships/hyperlink" Target="https://doi.org/10.1073/pnas.2621866123" TargetMode="External"/><Relationship Id="rId543" Type="http://schemas.openxmlformats.org/officeDocument/2006/relationships/hyperlink" Target="https://www.pnas.org/doi/abs/10.1073/pnas.2532667123?mi=eymic2&amp;af=R&amp;access=on&amp;content=articlesChapters&amp;publication=pnas&amp;sortBy=Earliest&amp;target=default" TargetMode="External"/><Relationship Id="rId544" Type="http://schemas.openxmlformats.org/officeDocument/2006/relationships/hyperlink" Target="https://doi.org/10.1073/pnas.2532667123" TargetMode="External"/><Relationship Id="rId545" Type="http://schemas.openxmlformats.org/officeDocument/2006/relationships/hyperlink" Target="https://www.pnas.org/doi/abs/10.1073/pnas.2601529123?mi=eymic2&amp;af=R&amp;access=on&amp;content=articlesChapters&amp;publication=pnas&amp;sortBy=Earliest&amp;target=default" TargetMode="External"/><Relationship Id="rId546" Type="http://schemas.openxmlformats.org/officeDocument/2006/relationships/hyperlink" Target="https://doi.org/10.1073/pnas.2601529123" TargetMode="External"/><Relationship Id="rId547" Type="http://schemas.openxmlformats.org/officeDocument/2006/relationships/hyperlink" Target="https://www.pnas.org/doi/abs/10.1073/pnas.2600524123?mi=eymic2&amp;af=R&amp;access=on&amp;content=articlesChapters&amp;publication=pnas&amp;sortBy=Earliest&amp;target=default" TargetMode="External"/><Relationship Id="rId548" Type="http://schemas.openxmlformats.org/officeDocument/2006/relationships/hyperlink" Target="https://doi.org/10.1073/pnas.2600524123" TargetMode="External"/><Relationship Id="rId549" Type="http://schemas.openxmlformats.org/officeDocument/2006/relationships/hyperlink" Target="https://www.pnas.org/doi/abs/10.1073/pnas.2600233123?mi=eymic2&amp;af=R&amp;access=on&amp;content=articlesChapters&amp;publication=pnas&amp;sortBy=Earliest&amp;target=default" TargetMode="External"/><Relationship Id="rId550" Type="http://schemas.openxmlformats.org/officeDocument/2006/relationships/hyperlink" Target="https://doi.org/10.1073/pnas.2600233123" TargetMode="External"/><Relationship Id="rId551" Type="http://schemas.openxmlformats.org/officeDocument/2006/relationships/hyperlink" Target="https://www.pnas.org/doi/abs/10.1073/pnas.2538093123?mi=eymic2&amp;af=R&amp;access=on&amp;content=articlesChapters&amp;publication=pnas&amp;sortBy=Earliest&amp;target=default" TargetMode="External"/><Relationship Id="rId552" Type="http://schemas.openxmlformats.org/officeDocument/2006/relationships/hyperlink" Target="https://doi.org/10.1073/pnas.2538093123" TargetMode="External"/><Relationship Id="rId553" Type="http://schemas.openxmlformats.org/officeDocument/2006/relationships/hyperlink" Target="https://www.pnas.org/doi/abs/10.1073/pnas.2603875123?mi=eymic2&amp;af=R&amp;access=on&amp;content=articlesChapters&amp;publication=pnas&amp;sortBy=Earliest&amp;target=default" TargetMode="External"/><Relationship Id="rId554" Type="http://schemas.openxmlformats.org/officeDocument/2006/relationships/hyperlink" Target="https://doi.org/10.1073/pnas.2603875123" TargetMode="External"/><Relationship Id="rId555" Type="http://schemas.openxmlformats.org/officeDocument/2006/relationships/hyperlink" Target="https://www.pnas.org/doi/abs/10.1073/pnas.2524855123?mi=eymic2&amp;af=R&amp;access=on&amp;content=articlesChapters&amp;publication=pnas&amp;sortBy=Earliest&amp;target=default" TargetMode="External"/><Relationship Id="rId556" Type="http://schemas.openxmlformats.org/officeDocument/2006/relationships/hyperlink" Target="https://doi.org/10.1073/pnas.2524855123" TargetMode="External"/><Relationship Id="rId557" Type="http://schemas.openxmlformats.org/officeDocument/2006/relationships/hyperlink" Target="http://link.aps.org/doi/10.1103/cnhq-bt6c" TargetMode="External"/><Relationship Id="rId558" Type="http://schemas.openxmlformats.org/officeDocument/2006/relationships/hyperlink" Target="https://doi.org/10.1103/cnhq-bt6c" TargetMode="External"/><Relationship Id="rId559" Type="http://schemas.openxmlformats.org/officeDocument/2006/relationships/hyperlink" Target="http://link.aps.org/doi/10.1103/gbbj-hpqk" TargetMode="External"/><Relationship Id="rId560" Type="http://schemas.openxmlformats.org/officeDocument/2006/relationships/hyperlink" Target="https://doi.org/10.1103/gbbj-hpqk" TargetMode="External"/><Relationship Id="rId561" Type="http://schemas.openxmlformats.org/officeDocument/2006/relationships/hyperlink" Target="http://link.aps.org/doi/10.1103/tv26-7r8g" TargetMode="External"/><Relationship Id="rId562" Type="http://schemas.openxmlformats.org/officeDocument/2006/relationships/hyperlink" Target="https://doi.org/10.1103/tv26-7r8g" TargetMode="External"/><Relationship Id="rId563" Type="http://schemas.openxmlformats.org/officeDocument/2006/relationships/hyperlink" Target="http://link.aps.org/doi/10.1103/zjcp-ssrw" TargetMode="External"/><Relationship Id="rId564" Type="http://schemas.openxmlformats.org/officeDocument/2006/relationships/hyperlink" Target="https://doi.org/10.1103/zjcp-ssrw" TargetMode="External"/><Relationship Id="rId565" Type="http://schemas.openxmlformats.org/officeDocument/2006/relationships/hyperlink" Target="http://link.aps.org/doi/10.1103/npcv-sl9y" TargetMode="External"/><Relationship Id="rId566" Type="http://schemas.openxmlformats.org/officeDocument/2006/relationships/hyperlink" Target="https://doi.org/10.1103/npcv-sl9y" TargetMode="External"/><Relationship Id="rId567" Type="http://schemas.openxmlformats.org/officeDocument/2006/relationships/hyperlink" Target="http://link.aps.org/doi/10.1103/24g1-k5p2" TargetMode="External"/><Relationship Id="rId568" Type="http://schemas.openxmlformats.org/officeDocument/2006/relationships/hyperlink" Target="https://doi.org/10.1103/24g1-k5p2" TargetMode="External"/><Relationship Id="rId569" Type="http://schemas.openxmlformats.org/officeDocument/2006/relationships/hyperlink" Target="http://link.aps.org/doi/10.1103/m7ds-n1cf" TargetMode="External"/><Relationship Id="rId570" Type="http://schemas.openxmlformats.org/officeDocument/2006/relationships/hyperlink" Target="https://doi.org/10.1103/m7ds-n1cf" TargetMode="External"/><Relationship Id="rId571" Type="http://schemas.openxmlformats.org/officeDocument/2006/relationships/hyperlink" Target="http://link.aps.org/doi/10.1103/54vv-lgc7" TargetMode="External"/><Relationship Id="rId572" Type="http://schemas.openxmlformats.org/officeDocument/2006/relationships/hyperlink" Target="https://doi.org/10.1103/54vv-lgc7" TargetMode="External"/><Relationship Id="rId573" Type="http://schemas.openxmlformats.org/officeDocument/2006/relationships/hyperlink" Target="http://link.aps.org/doi/10.1103/59dq-sl3m" TargetMode="External"/><Relationship Id="rId574" Type="http://schemas.openxmlformats.org/officeDocument/2006/relationships/hyperlink" Target="https://doi.org/10.1103/59dq-sl3m" TargetMode="External"/><Relationship Id="rId575" Type="http://schemas.openxmlformats.org/officeDocument/2006/relationships/hyperlink" Target="http://link.aps.org/doi/10.1103/n6p4-ftgq" TargetMode="External"/><Relationship Id="rId576" Type="http://schemas.openxmlformats.org/officeDocument/2006/relationships/hyperlink" Target="https://doi.org/10.1103/n6p4-ftgq" TargetMode="External"/><Relationship Id="rId577" Type="http://schemas.openxmlformats.org/officeDocument/2006/relationships/hyperlink" Target="http://link.aps.org/doi/10.1103/zh7y-81zc" TargetMode="External"/><Relationship Id="rId578" Type="http://schemas.openxmlformats.org/officeDocument/2006/relationships/hyperlink" Target="https://doi.org/10.1103/zh7y-81zc" TargetMode="External"/><Relationship Id="rId579" Type="http://schemas.openxmlformats.org/officeDocument/2006/relationships/hyperlink" Target="http://link.aps.org/doi/10.1103/blyb-lqv6" TargetMode="External"/><Relationship Id="rId580" Type="http://schemas.openxmlformats.org/officeDocument/2006/relationships/hyperlink" Target="https://doi.org/10.1103/blyb-lqv6" TargetMode="External"/><Relationship Id="rId581" Type="http://schemas.openxmlformats.org/officeDocument/2006/relationships/hyperlink" Target="http://link.aps.org/doi/10.1103/21ts-5d39" TargetMode="External"/><Relationship Id="rId582" Type="http://schemas.openxmlformats.org/officeDocument/2006/relationships/hyperlink" Target="https://doi.org/10.1103/21ts-5d39" TargetMode="External"/><Relationship Id="rId583" Type="http://schemas.openxmlformats.org/officeDocument/2006/relationships/hyperlink" Target="http://link.aps.org/doi/10.1103/2hrd-vv2q" TargetMode="External"/><Relationship Id="rId584" Type="http://schemas.openxmlformats.org/officeDocument/2006/relationships/hyperlink" Target="https://doi.org/10.1103/2hrd-vv2q" TargetMode="External"/><Relationship Id="rId585" Type="http://schemas.openxmlformats.org/officeDocument/2006/relationships/hyperlink" Target="http://link.aps.org/doi/10.1103/5ykl-ddjx" TargetMode="External"/><Relationship Id="rId586" Type="http://schemas.openxmlformats.org/officeDocument/2006/relationships/hyperlink" Target="https://doi.org/10.1103/5ykl-ddjx" TargetMode="External"/><Relationship Id="rId587" Type="http://schemas.openxmlformats.org/officeDocument/2006/relationships/hyperlink" Target="http://link.aps.org/doi/10.1103/4yg6-fy4m" TargetMode="External"/><Relationship Id="rId588" Type="http://schemas.openxmlformats.org/officeDocument/2006/relationships/hyperlink" Target="https://doi.org/10.1103/4yg6-fy4m" TargetMode="External"/><Relationship Id="rId589" Type="http://schemas.openxmlformats.org/officeDocument/2006/relationships/hyperlink" Target="http://link.aps.org/doi/10.1103/v5mk-9pb4" TargetMode="External"/><Relationship Id="rId590" Type="http://schemas.openxmlformats.org/officeDocument/2006/relationships/hyperlink" Target="https://doi.org/10.1103/v5mk-9pb4" TargetMode="External"/><Relationship Id="rId591" Type="http://schemas.openxmlformats.org/officeDocument/2006/relationships/hyperlink" Target="http://link.aps.org/doi/10.1103/d46g-bhkd" TargetMode="External"/><Relationship Id="rId592" Type="http://schemas.openxmlformats.org/officeDocument/2006/relationships/hyperlink" Target="https://doi.org/10.1103/d46g-bhkd" TargetMode="External"/><Relationship Id="rId593" Type="http://schemas.openxmlformats.org/officeDocument/2006/relationships/hyperlink" Target="http://link.aps.org/doi/10.1103/lss3-jym7" TargetMode="External"/><Relationship Id="rId594" Type="http://schemas.openxmlformats.org/officeDocument/2006/relationships/hyperlink" Target="https://doi.org/10.1103/lss3-jym7" TargetMode="External"/><Relationship Id="rId595" Type="http://schemas.openxmlformats.org/officeDocument/2006/relationships/hyperlink" Target="http://link.aps.org/doi/10.1103/c479-5cxt" TargetMode="External"/><Relationship Id="rId596" Type="http://schemas.openxmlformats.org/officeDocument/2006/relationships/hyperlink" Target="https://doi.org/10.1103/c479-5cxt" TargetMode="External"/><Relationship Id="rId597" Type="http://schemas.openxmlformats.org/officeDocument/2006/relationships/hyperlink" Target="http://link.aps.org/doi/10.1103/dtht-11lp" TargetMode="External"/><Relationship Id="rId598" Type="http://schemas.openxmlformats.org/officeDocument/2006/relationships/hyperlink" Target="https://doi.org/10.1103/dtht-11lp" TargetMode="External"/><Relationship Id="rId599" Type="http://schemas.openxmlformats.org/officeDocument/2006/relationships/hyperlink" Target="http://link.aps.org/doi/10.1103/8ff2-58j6" TargetMode="External"/><Relationship Id="rId600" Type="http://schemas.openxmlformats.org/officeDocument/2006/relationships/hyperlink" Target="https://doi.org/10.1103/8ff2-58j6" TargetMode="External"/><Relationship Id="rId601" Type="http://schemas.openxmlformats.org/officeDocument/2006/relationships/hyperlink" Target="http://link.aps.org/doi/10.1103/qxzl-rzz1" TargetMode="External"/><Relationship Id="rId602" Type="http://schemas.openxmlformats.org/officeDocument/2006/relationships/hyperlink" Target="https://doi.org/10.1103/qxzl-rzz1" TargetMode="External"/><Relationship Id="rId603" Type="http://schemas.openxmlformats.org/officeDocument/2006/relationships/hyperlink" Target="http://link.aps.org/doi/10.1103/8tmd-pskb" TargetMode="External"/><Relationship Id="rId604" Type="http://schemas.openxmlformats.org/officeDocument/2006/relationships/hyperlink" Target="https://doi.org/10.1103/8tmd-pskb" TargetMode="External"/><Relationship Id="rId605" Type="http://schemas.openxmlformats.org/officeDocument/2006/relationships/hyperlink" Target="https://pubs.acs.org/doi/10.1021/jacs.6c11269" TargetMode="External"/><Relationship Id="rId606" Type="http://schemas.openxmlformats.org/officeDocument/2006/relationships/hyperlink" Target="https://doi.org/10.1021/jacs.6c11269" TargetMode="External"/><Relationship Id="rId607" Type="http://schemas.openxmlformats.org/officeDocument/2006/relationships/hyperlink" Target="https://www.nature.com/articles/s41928-026-01663-8" TargetMode="External"/><Relationship Id="rId608" Type="http://schemas.openxmlformats.org/officeDocument/2006/relationships/hyperlink" Target="https://doi.org/10.1038/s41928-026-01663-8" TargetMode="External"/><Relationship Id="rId609" Type="http://schemas.openxmlformats.org/officeDocument/2006/relationships/hyperlink" Target="https://pubs.acs.org/doi/10.1021/jacs.6c08250" TargetMode="External"/><Relationship Id="rId610" Type="http://schemas.openxmlformats.org/officeDocument/2006/relationships/hyperlink" Target="https://doi.org/10.1021/jacs.6c08250" TargetMode="External"/><Relationship Id="rId611" Type="http://schemas.openxmlformats.org/officeDocument/2006/relationships/hyperlink" Target="https://pubs.acs.org/doi/10.1021/jacs.6c06437" TargetMode="External"/><Relationship Id="rId612" Type="http://schemas.openxmlformats.org/officeDocument/2006/relationships/hyperlink" Target="https://doi.org/10.1021/jacs.6c06437" TargetMode="External"/><Relationship Id="rId613" Type="http://schemas.openxmlformats.org/officeDocument/2006/relationships/hyperlink" Target="https://pubs.acs.org/doi/10.1021/jacs.6c07942" TargetMode="External"/><Relationship Id="rId614" Type="http://schemas.openxmlformats.org/officeDocument/2006/relationships/hyperlink" Target="https://doi.org/10.1021/jacs.6c07942" TargetMode="External"/><Relationship Id="rId615" Type="http://schemas.openxmlformats.org/officeDocument/2006/relationships/hyperlink" Target="https://pubs.acs.org/doi/10.1021/jacs.6c08726" TargetMode="External"/><Relationship Id="rId616" Type="http://schemas.openxmlformats.org/officeDocument/2006/relationships/hyperlink" Target="https://doi.org/10.1021/jacs.6c08726" TargetMode="External"/><Relationship Id="rId617" Type="http://schemas.openxmlformats.org/officeDocument/2006/relationships/hyperlink" Target="https://www.cell.com/matter/fulltext/S2590-2385(26)00282-1?rss=yes" TargetMode="External"/><Relationship Id="rId618" Type="http://schemas.openxmlformats.org/officeDocument/2006/relationships/hyperlink" Target="https://doi.org/10.1016/j.matt.2026.102919" TargetMode="External"/><Relationship Id="rId619" Type="http://schemas.openxmlformats.org/officeDocument/2006/relationships/hyperlink" Target="https://www.cell.com/matter/fulltext/S2590-2385(26)00266-3?rss=yes" TargetMode="External"/><Relationship Id="rId620" Type="http://schemas.openxmlformats.org/officeDocument/2006/relationships/hyperlink" Target="https://doi.org/10.1016/j.matt.2026.102903" TargetMode="External"/><Relationship Id="rId621" Type="http://schemas.openxmlformats.org/officeDocument/2006/relationships/hyperlink" Target="https://www.cell.com/matter/fulltext/S2590-2385(26)00276-6?rss=yes" TargetMode="External"/><Relationship Id="rId622" Type="http://schemas.openxmlformats.org/officeDocument/2006/relationships/hyperlink" Target="https://doi.org/10.1016/j.matt.2026.102913" TargetMode="External"/><Relationship Id="rId623" Type="http://schemas.openxmlformats.org/officeDocument/2006/relationships/hyperlink" Target="https://pubs.acs.org/doi/10.1021/jacs.6c07591" TargetMode="External"/><Relationship Id="rId624" Type="http://schemas.openxmlformats.org/officeDocument/2006/relationships/hyperlink" Target="https://doi.org/10.1021/jacs.6c07591" TargetMode="External"/><Relationship Id="rId625" Type="http://schemas.openxmlformats.org/officeDocument/2006/relationships/hyperlink" Target="https://www.nature.com/articles/s41467-026-74756-9" TargetMode="External"/><Relationship Id="rId626" Type="http://schemas.openxmlformats.org/officeDocument/2006/relationships/hyperlink" Target="https://www.nature.com/articles/s41467-026-74460-8" TargetMode="External"/><Relationship Id="rId627" Type="http://schemas.openxmlformats.org/officeDocument/2006/relationships/hyperlink" Target="https://pubs.acs.org/doi/10.1021/jacs.6c03748" TargetMode="External"/><Relationship Id="rId628" Type="http://schemas.openxmlformats.org/officeDocument/2006/relationships/hyperlink" Target="https://doi.org/10.1021/jacs.6c03748" TargetMode="External"/><Relationship Id="rId629" Type="http://schemas.openxmlformats.org/officeDocument/2006/relationships/hyperlink" Target="https://www.nature.com/articles/s41467-026-75189-0" TargetMode="External"/><Relationship Id="rId630" Type="http://schemas.openxmlformats.org/officeDocument/2006/relationships/hyperlink" Target="https://www.nature.com/articles/d41586-026-02109-z" TargetMode="External"/><Relationship Id="rId631" Type="http://schemas.openxmlformats.org/officeDocument/2006/relationships/hyperlink" Target="https://doi.org/10.1038/d41586-026-02109-z" TargetMode="External"/><Relationship Id="rId632" Type="http://schemas.openxmlformats.org/officeDocument/2006/relationships/hyperlink" Target="https://www.nature.com/articles/s41467-026-74788-1" TargetMode="External"/><Relationship Id="rId633" Type="http://schemas.openxmlformats.org/officeDocument/2006/relationships/hyperlink" Target="https://www.nature.com/articles/s41467-026-75157-8" TargetMode="External"/><Relationship Id="rId634" Type="http://schemas.openxmlformats.org/officeDocument/2006/relationships/hyperlink" Target="https://www.nature.com/articles/s41467-026-74432-y" TargetMode="External"/><Relationship Id="rId635" Type="http://schemas.openxmlformats.org/officeDocument/2006/relationships/hyperlink" Target="https://www.nature.com/articles/s41467-026-74653-1" TargetMode="External"/><Relationship Id="rId636" Type="http://schemas.openxmlformats.org/officeDocument/2006/relationships/hyperlink" Target="https://pubs.acs.org/doi/10.1021/jacs.6c04886" TargetMode="External"/><Relationship Id="rId637" Type="http://schemas.openxmlformats.org/officeDocument/2006/relationships/hyperlink" Target="https://doi.org/10.1021/jacs.6c04886" TargetMode="External"/><Relationship Id="rId638" Type="http://schemas.openxmlformats.org/officeDocument/2006/relationships/hyperlink" Target="https://www.nature.com/articles/d41586-026-02136-w" TargetMode="External"/><Relationship Id="rId639" Type="http://schemas.openxmlformats.org/officeDocument/2006/relationships/hyperlink" Target="https://doi.org/10.1038/d41586-026-02136-w" TargetMode="External"/><Relationship Id="rId640" Type="http://schemas.openxmlformats.org/officeDocument/2006/relationships/hyperlink" Target="https://www.nature.com/articles/d41586-026-02101-7" TargetMode="External"/><Relationship Id="rId641" Type="http://schemas.openxmlformats.org/officeDocument/2006/relationships/hyperlink" Target="https://doi.org/10.1038/d41586-026-02101-7" TargetMode="External"/><Relationship Id="rId642" Type="http://schemas.openxmlformats.org/officeDocument/2006/relationships/hyperlink" Target="https://www.nature.com/articles/d41586-026-02110-6" TargetMode="External"/><Relationship Id="rId643" Type="http://schemas.openxmlformats.org/officeDocument/2006/relationships/hyperlink" Target="https://doi.org/10.1038/d41586-026-02110-6" TargetMode="External"/><Relationship Id="rId644" Type="http://schemas.openxmlformats.org/officeDocument/2006/relationships/hyperlink" Target="https://www.nature.com/articles/d41586-026-02098-z" TargetMode="External"/><Relationship Id="rId645" Type="http://schemas.openxmlformats.org/officeDocument/2006/relationships/hyperlink" Target="https://doi.org/10.1038/d41586-026-02098-z" TargetMode="External"/><Relationship Id="rId646" Type="http://schemas.openxmlformats.org/officeDocument/2006/relationships/hyperlink" Target="https://www.nature.com/articles/d41586-026-02095-2" TargetMode="External"/><Relationship Id="rId647" Type="http://schemas.openxmlformats.org/officeDocument/2006/relationships/hyperlink" Target="https://doi.org/10.1038/d41586-026-02095-2" TargetMode="External"/><Relationship Id="rId648" Type="http://schemas.openxmlformats.org/officeDocument/2006/relationships/hyperlink" Target="https://www.nature.com/articles/d41586-026-02000-x" TargetMode="External"/><Relationship Id="rId649" Type="http://schemas.openxmlformats.org/officeDocument/2006/relationships/hyperlink" Target="https://doi.org/10.1038/d41586-026-02000-x" TargetMode="External"/><Relationship Id="rId650" Type="http://schemas.openxmlformats.org/officeDocument/2006/relationships/hyperlink" Target="https://www.nature.com/articles/d41586-026-02040-3" TargetMode="External"/><Relationship Id="rId651" Type="http://schemas.openxmlformats.org/officeDocument/2006/relationships/hyperlink" Target="https://doi.org/10.1038/d41586-026-02040-3" TargetMode="External"/><Relationship Id="rId652" Type="http://schemas.openxmlformats.org/officeDocument/2006/relationships/hyperlink" Target="https://www.nature.com/articles/d41586-026-02105-3" TargetMode="External"/><Relationship Id="rId653" Type="http://schemas.openxmlformats.org/officeDocument/2006/relationships/hyperlink" Target="https://doi.org/10.1038/d41586-026-02105-3" TargetMode="External"/><Relationship Id="rId654" Type="http://schemas.openxmlformats.org/officeDocument/2006/relationships/hyperlink" Target="https://www.nature.com/articles/s41586-026-10882-0" TargetMode="External"/><Relationship Id="rId655" Type="http://schemas.openxmlformats.org/officeDocument/2006/relationships/hyperlink" Target="https://doi.org/10.1038/s41586-026-10882-0" TargetMode="External"/><Relationship Id="rId656" Type="http://schemas.openxmlformats.org/officeDocument/2006/relationships/hyperlink" Target="https://www.nature.com/articles/d41586-026-02111-5" TargetMode="External"/><Relationship Id="rId657" Type="http://schemas.openxmlformats.org/officeDocument/2006/relationships/hyperlink" Target="https://doi.org/10.1038/d41586-026-02111-5" TargetMode="External"/><Relationship Id="rId658" Type="http://schemas.openxmlformats.org/officeDocument/2006/relationships/hyperlink" Target="https://www.nature.com/articles/s41467-026-75366-1" TargetMode="External"/><Relationship Id="rId659" Type="http://schemas.openxmlformats.org/officeDocument/2006/relationships/hyperlink" Target="https://www.nature.com/articles/s41467-026-75012-w" TargetMode="External"/><Relationship Id="rId660" Type="http://schemas.openxmlformats.org/officeDocument/2006/relationships/hyperlink" Target="https://www.nature.com/articles/s41467-026-75308-x" TargetMode="External"/><Relationship Id="rId661" Type="http://schemas.openxmlformats.org/officeDocument/2006/relationships/hyperlink" Target="https://www.nature.com/articles/s41467-026-75009-5" TargetMode="External"/><Relationship Id="rId662" Type="http://schemas.openxmlformats.org/officeDocument/2006/relationships/hyperlink" Target="https://www.nature.com/articles/s41467-026-74104-x" TargetMode="External"/><Relationship Id="rId663" Type="http://schemas.openxmlformats.org/officeDocument/2006/relationships/hyperlink" Target="https://www.nature.com/articles/s41467-026-75047-z" TargetMode="External"/><Relationship Id="rId664" Type="http://schemas.openxmlformats.org/officeDocument/2006/relationships/hyperlink" Target="https://www.nature.com/articles/s41467-026-74782-7" TargetMode="External"/><Relationship Id="rId665" Type="http://schemas.openxmlformats.org/officeDocument/2006/relationships/hyperlink" Target="https://www.nature.com/articles/s41467-026-75129-y" TargetMode="External"/><Relationship Id="rId666" Type="http://schemas.openxmlformats.org/officeDocument/2006/relationships/hyperlink" Target="https://www.nature.com/articles/s41467-026-75185-4" TargetMode="External"/><Relationship Id="rId667" Type="http://schemas.openxmlformats.org/officeDocument/2006/relationships/hyperlink" Target="https://www.nature.com/articles/s41467-026-74824-0" TargetMode="External"/><Relationship Id="rId668" Type="http://schemas.openxmlformats.org/officeDocument/2006/relationships/hyperlink" Target="https://pubs.acs.org/doi/10.1021/acsami.6c07168" TargetMode="External"/><Relationship Id="rId669" Type="http://schemas.openxmlformats.org/officeDocument/2006/relationships/hyperlink" Target="https://doi.org/10.1021/acsami.6c07168" TargetMode="External"/><Relationship Id="rId670" Type="http://schemas.openxmlformats.org/officeDocument/2006/relationships/hyperlink" Target="https://pubs.acs.org/doi/10.1021/acsami.6c10772" TargetMode="External"/><Relationship Id="rId671" Type="http://schemas.openxmlformats.org/officeDocument/2006/relationships/hyperlink" Target="https://doi.org/10.1021/acsami.6c10772" TargetMode="External"/><Relationship Id="rId672" Type="http://schemas.openxmlformats.org/officeDocument/2006/relationships/hyperlink" Target="https://pubs.acs.org/doi/10.1021/acsami.6c10117" TargetMode="External"/><Relationship Id="rId673" Type="http://schemas.openxmlformats.org/officeDocument/2006/relationships/hyperlink" Target="https://doi.org/10.1021/acsami.6c10117" TargetMode="External"/><Relationship Id="rId674" Type="http://schemas.openxmlformats.org/officeDocument/2006/relationships/hyperlink" Target="https://pubs.acs.org/doi/10.1021/acsami.6c08698" TargetMode="External"/><Relationship Id="rId675" Type="http://schemas.openxmlformats.org/officeDocument/2006/relationships/hyperlink" Target="https://doi.org/10.1021/acsami.6c08698" TargetMode="External"/><Relationship Id="rId676" Type="http://schemas.openxmlformats.org/officeDocument/2006/relationships/hyperlink" Target="https://pubs.acs.org/doi/10.1021/acsami.6c08073" TargetMode="External"/><Relationship Id="rId677" Type="http://schemas.openxmlformats.org/officeDocument/2006/relationships/hyperlink" Target="https://doi.org/10.1021/acsami.6c08073" TargetMode="External"/><Relationship Id="rId678" Type="http://schemas.openxmlformats.org/officeDocument/2006/relationships/hyperlink" Target="https://www.nature.com/articles/s41467-026-75231-1" TargetMode="External"/><Relationship Id="rId679" Type="http://schemas.openxmlformats.org/officeDocument/2006/relationships/hyperlink" Target="https://pubs.acs.org/doi/10.1021/acsami.5c23772" TargetMode="External"/><Relationship Id="rId680" Type="http://schemas.openxmlformats.org/officeDocument/2006/relationships/hyperlink" Target="https://doi.org/10.1021/acsami.5c23772" TargetMode="External"/><Relationship Id="rId681" Type="http://schemas.openxmlformats.org/officeDocument/2006/relationships/hyperlink" Target="https://pubs.acs.org/doi/10.1021/acsami.6c06235" TargetMode="External"/><Relationship Id="rId682" Type="http://schemas.openxmlformats.org/officeDocument/2006/relationships/hyperlink" Target="https://doi.org/10.1021/acsami.6c06235" TargetMode="External"/><Relationship Id="rId683" Type="http://schemas.openxmlformats.org/officeDocument/2006/relationships/hyperlink" Target="https://pubs.acs.org/doi/10.1021/acsami.6c05125" TargetMode="External"/><Relationship Id="rId684" Type="http://schemas.openxmlformats.org/officeDocument/2006/relationships/hyperlink" Target="https://doi.org/10.1021/acsami.6c05125" TargetMode="External"/><Relationship Id="rId685" Type="http://schemas.openxmlformats.org/officeDocument/2006/relationships/hyperlink" Target="https://pubs.acs.org/doi/10.1021/acsami.6c10450" TargetMode="External"/><Relationship Id="rId686" Type="http://schemas.openxmlformats.org/officeDocument/2006/relationships/hyperlink" Target="https://doi.org/10.1021/acsami.6c10450" TargetMode="External"/><Relationship Id="rId687" Type="http://schemas.openxmlformats.org/officeDocument/2006/relationships/hyperlink" Target="https://pubs.acs.org/doi/10.1021/acsami.6c03656" TargetMode="External"/><Relationship Id="rId688" Type="http://schemas.openxmlformats.org/officeDocument/2006/relationships/hyperlink" Target="https://doi.org/10.1021/acsami.6c03656" TargetMode="External"/><Relationship Id="rId689" Type="http://schemas.openxmlformats.org/officeDocument/2006/relationships/hyperlink" Target="https://pubs.acs.org/doi/10.1021/acsami.6c06251" TargetMode="External"/><Relationship Id="rId690" Type="http://schemas.openxmlformats.org/officeDocument/2006/relationships/hyperlink" Target="https://doi.org/10.1021/acsami.6c06251" TargetMode="External"/><Relationship Id="rId691" Type="http://schemas.openxmlformats.org/officeDocument/2006/relationships/hyperlink" Target="https://www.nature.com/articles/s41467-026-74501-2" TargetMode="External"/><Relationship Id="rId692" Type="http://schemas.openxmlformats.org/officeDocument/2006/relationships/hyperlink" Target="https://www.nature.com/articles/s41467-026-75321-0" TargetMode="External"/><Relationship Id="rId693" Type="http://schemas.openxmlformats.org/officeDocument/2006/relationships/hyperlink" Target="https://www.nature.com/articles/s41467-026-75300-5" TargetMode="External"/><Relationship Id="rId694" Type="http://schemas.openxmlformats.org/officeDocument/2006/relationships/hyperlink" Target="https://www.nature.com/articles/s41467-026-75139-w" TargetMode="External"/><Relationship Id="rId695" Type="http://schemas.openxmlformats.org/officeDocument/2006/relationships/hyperlink" Target="https://www.nature.com/articles/s41467-026-75306-z" TargetMode="External"/><Relationship Id="rId696" Type="http://schemas.openxmlformats.org/officeDocument/2006/relationships/hyperlink" Target="https://www.nature.com/articles/s41467-026-75179-2" TargetMode="External"/><Relationship Id="rId697" Type="http://schemas.openxmlformats.org/officeDocument/2006/relationships/hyperlink" Target="https://www.nature.com/articles/s41467-026-75279-z" TargetMode="External"/><Relationship Id="rId698" Type="http://schemas.openxmlformats.org/officeDocument/2006/relationships/hyperlink" Target="https://www.nature.com/articles/s41467-026-74558-z" TargetMode="External"/><Relationship Id="rId699" Type="http://schemas.openxmlformats.org/officeDocument/2006/relationships/hyperlink" Target="https://www.nature.com/articles/s41467-026-71916-9" TargetMode="External"/><Relationship Id="rId700" Type="http://schemas.openxmlformats.org/officeDocument/2006/relationships/hyperlink" Target="https://www.nature.com/articles/s41467-026-75358-1" TargetMode="External"/><Relationship Id="rId701" Type="http://schemas.openxmlformats.org/officeDocument/2006/relationships/hyperlink" Target="https://www.nature.com/articles/s41467-026-75108-3" TargetMode="External"/><Relationship Id="rId702" Type="http://schemas.openxmlformats.org/officeDocument/2006/relationships/hyperlink" Target="https://www.nature.com/articles/s41467-026-75346-5" TargetMode="External"/><Relationship Id="rId703" Type="http://schemas.openxmlformats.org/officeDocument/2006/relationships/hyperlink" Target="https://www.nature.com/articles/s41467-026-75268-2" TargetMode="External"/><Relationship Id="rId704" Type="http://schemas.openxmlformats.org/officeDocument/2006/relationships/hyperlink" Target="https://www.nature.com/articles/s41467-026-75187-2" TargetMode="External"/><Relationship Id="rId705" Type="http://schemas.openxmlformats.org/officeDocument/2006/relationships/hyperlink" Target="https://www.nature.com/articles/s41467-026-75369-y" TargetMode="External"/><Relationship Id="rId706" Type="http://schemas.openxmlformats.org/officeDocument/2006/relationships/hyperlink" Target="https://www.nature.com/articles/s41467-026-75314-z" TargetMode="External"/><Relationship Id="rId707" Type="http://schemas.openxmlformats.org/officeDocument/2006/relationships/hyperlink" Target="https://www.nature.com/articles/s41467-026-74792-5" TargetMode="External"/><Relationship Id="rId708" Type="http://schemas.openxmlformats.org/officeDocument/2006/relationships/hyperlink" Target="https://www.nature.com/articles/s41467-026-75381-2" TargetMode="External"/><Relationship Id="rId709" Type="http://schemas.openxmlformats.org/officeDocument/2006/relationships/hyperlink" Target="https://www.nature.com/articles/s41467-026-75217-z" TargetMode="External"/><Relationship Id="rId710" Type="http://schemas.openxmlformats.org/officeDocument/2006/relationships/hyperlink" Target="https://www.nature.com/articles/s41467-026-75335-8" TargetMode="External"/><Relationship Id="rId711" Type="http://schemas.openxmlformats.org/officeDocument/2006/relationships/hyperlink" Target="https://www.pnas.org/doi/abs/10.1073/pnas.2534919123?mi=eymic2&amp;af=R&amp;access=on&amp;content=articlesChapters&amp;publication=pnas&amp;sortBy=Earliest&amp;target=default" TargetMode="External"/><Relationship Id="rId712" Type="http://schemas.openxmlformats.org/officeDocument/2006/relationships/hyperlink" Target="https://doi.org/10.1073/pnas.2534919123" TargetMode="External"/><Relationship Id="rId713" Type="http://schemas.openxmlformats.org/officeDocument/2006/relationships/hyperlink" Target="https://www.pnas.org/doi/abs/10.1073/pnas.2602311123?mi=eymic2&amp;af=R&amp;access=on&amp;content=articlesChapters&amp;publication=pnas&amp;sortBy=Earliest&amp;target=default" TargetMode="External"/><Relationship Id="rId714" Type="http://schemas.openxmlformats.org/officeDocument/2006/relationships/hyperlink" Target="https://doi.org/10.1073/pnas.2602311123" TargetMode="External"/><Relationship Id="rId715" Type="http://schemas.openxmlformats.org/officeDocument/2006/relationships/hyperlink" Target="https://www.pnas.org/doi/abs/10.1073/pnas.2535111123?mi=eymic2&amp;af=R&amp;access=on&amp;content=articlesChapters&amp;publication=pnas&amp;sortBy=Earliest&amp;target=default" TargetMode="External"/><Relationship Id="rId716" Type="http://schemas.openxmlformats.org/officeDocument/2006/relationships/hyperlink" Target="https://doi.org/10.1073/pnas.2535111123" TargetMode="External"/><Relationship Id="rId717" Type="http://schemas.openxmlformats.org/officeDocument/2006/relationships/hyperlink" Target="https://www.pnas.org/doi/abs/10.1073/pnas.2533845123?mi=eymic2&amp;af=R&amp;access=on&amp;content=articlesChapters&amp;publication=pnas&amp;sortBy=Earliest&amp;target=default" TargetMode="External"/><Relationship Id="rId718" Type="http://schemas.openxmlformats.org/officeDocument/2006/relationships/hyperlink" Target="https://doi.org/10.1073/pnas.2533845123" TargetMode="External"/><Relationship Id="rId719" Type="http://schemas.openxmlformats.org/officeDocument/2006/relationships/hyperlink" Target="https://www.pnas.org/doi/abs/10.1073/pnas.2537437123?mi=eymic2&amp;af=R&amp;access=on&amp;content=articlesChapters&amp;publication=pnas&amp;sortBy=Earliest&amp;target=default" TargetMode="External"/><Relationship Id="rId720" Type="http://schemas.openxmlformats.org/officeDocument/2006/relationships/hyperlink" Target="https://doi.org/10.1073/pnas.2537437123" TargetMode="External"/><Relationship Id="rId721" Type="http://schemas.openxmlformats.org/officeDocument/2006/relationships/hyperlink" Target="https://www.pnas.org/doi/abs/10.1073/pnas.2602111123?mi=eymic2&amp;af=R&amp;access=on&amp;content=articlesChapters&amp;publication=pnas&amp;sortBy=Earliest&amp;target=default" TargetMode="External"/><Relationship Id="rId722" Type="http://schemas.openxmlformats.org/officeDocument/2006/relationships/hyperlink" Target="https://doi.org/10.1073/pnas.2602111123" TargetMode="External"/><Relationship Id="rId723" Type="http://schemas.openxmlformats.org/officeDocument/2006/relationships/hyperlink" Target="https://www.pnas.org/doi/abs/10.1073/pnas.2535544123?mi=eymic2&amp;af=R&amp;access=on&amp;content=articlesChapters&amp;publication=pnas&amp;sortBy=Earliest&amp;target=default" TargetMode="External"/><Relationship Id="rId724" Type="http://schemas.openxmlformats.org/officeDocument/2006/relationships/hyperlink" Target="https://doi.org/10.1073/pnas.2535544123" TargetMode="External"/><Relationship Id="rId725" Type="http://schemas.openxmlformats.org/officeDocument/2006/relationships/hyperlink" Target="https://www.pnas.org/doi/abs/10.1073/pnas.2533168123?mi=eymic2&amp;af=R&amp;access=on&amp;content=articlesChapters&amp;publication=pnas&amp;sortBy=Earliest&amp;target=default" TargetMode="External"/><Relationship Id="rId726" Type="http://schemas.openxmlformats.org/officeDocument/2006/relationships/hyperlink" Target="https://doi.org/10.1073/pnas.2533168123" TargetMode="External"/><Relationship Id="rId727" Type="http://schemas.openxmlformats.org/officeDocument/2006/relationships/hyperlink" Target="https://www.pnas.org/doi/abs/10.1073/pnas.2615120123?mi=eymic2&amp;af=R&amp;access=on&amp;content=articlesChapters&amp;publication=pnas&amp;sortBy=Earliest&amp;target=default" TargetMode="External"/><Relationship Id="rId728" Type="http://schemas.openxmlformats.org/officeDocument/2006/relationships/hyperlink" Target="https://doi.org/10.1073/pnas.2615120123" TargetMode="External"/><Relationship Id="rId729" Type="http://schemas.openxmlformats.org/officeDocument/2006/relationships/hyperlink" Target="https://www.pnas.org/doi/abs/10.1073/pnas.2532666123?mi=eymic2&amp;af=R&amp;access=on&amp;content=articlesChapters&amp;publication=pnas&amp;sortBy=Earliest&amp;target=default" TargetMode="External"/><Relationship Id="rId730" Type="http://schemas.openxmlformats.org/officeDocument/2006/relationships/hyperlink" Target="https://doi.org/10.1073/pnas.2532666123" TargetMode="External"/><Relationship Id="rId731" Type="http://schemas.openxmlformats.org/officeDocument/2006/relationships/hyperlink" Target="https://www.pnas.org/doi/abs/10.1073/pnas.2605127123?mi=eymic2&amp;af=R&amp;access=on&amp;content=articlesChapters&amp;publication=pnas&amp;sortBy=Earliest&amp;target=default" TargetMode="External"/><Relationship Id="rId732" Type="http://schemas.openxmlformats.org/officeDocument/2006/relationships/hyperlink" Target="https://doi.org/10.1073/pnas.2605127123" TargetMode="External"/><Relationship Id="rId733" Type="http://schemas.openxmlformats.org/officeDocument/2006/relationships/hyperlink" Target="https://www.pnas.org/doi/abs/10.1073/pnas.2605066123?mi=eymic2&amp;af=R&amp;access=on&amp;content=articlesChapters&amp;publication=pnas&amp;sortBy=Earliest&amp;target=default" TargetMode="External"/><Relationship Id="rId734" Type="http://schemas.openxmlformats.org/officeDocument/2006/relationships/hyperlink" Target="https://doi.org/10.1073/pnas.2605066123" TargetMode="External"/><Relationship Id="rId735" Type="http://schemas.openxmlformats.org/officeDocument/2006/relationships/hyperlink" Target="https://www.pnas.org/doi/abs/10.1073/pnas.2604811123?mi=eymic2&amp;af=R&amp;access=on&amp;content=articlesChapters&amp;publication=pnas&amp;sortBy=Earliest&amp;target=default" TargetMode="External"/><Relationship Id="rId736" Type="http://schemas.openxmlformats.org/officeDocument/2006/relationships/hyperlink" Target="https://doi.org/10.1073/pnas.2604811123" TargetMode="External"/><Relationship Id="rId737" Type="http://schemas.openxmlformats.org/officeDocument/2006/relationships/hyperlink" Target="https://www.pnas.org/doi/abs/10.1073/pnas.2533100123?mi=eymic2&amp;af=R&amp;access=on&amp;content=articlesChapters&amp;publication=pnas&amp;sortBy=Earliest&amp;target=default" TargetMode="External"/><Relationship Id="rId738" Type="http://schemas.openxmlformats.org/officeDocument/2006/relationships/hyperlink" Target="https://doi.org/10.1073/pnas.2533100123" TargetMode="External"/><Relationship Id="rId739" Type="http://schemas.openxmlformats.org/officeDocument/2006/relationships/hyperlink" Target="https://www.pnas.org/doi/abs/10.1073/pnas.2536065123?mi=eymic2&amp;af=R&amp;access=on&amp;content=articlesChapters&amp;publication=pnas&amp;sortBy=Earliest&amp;target=default" TargetMode="External"/><Relationship Id="rId740" Type="http://schemas.openxmlformats.org/officeDocument/2006/relationships/hyperlink" Target="https://doi.org/10.1073/pnas.2536065123" TargetMode="External"/><Relationship Id="rId741" Type="http://schemas.openxmlformats.org/officeDocument/2006/relationships/hyperlink" Target="https://www.pnas.org/doi/abs/10.1073/pnas.2604205123?mi=eymic2&amp;af=R&amp;access=on&amp;content=articlesChapters&amp;publication=pnas&amp;sortBy=Earliest&amp;target=default" TargetMode="External"/><Relationship Id="rId742" Type="http://schemas.openxmlformats.org/officeDocument/2006/relationships/hyperlink" Target="https://doi.org/10.1073/pnas.2604205123" TargetMode="External"/><Relationship Id="rId743" Type="http://schemas.openxmlformats.org/officeDocument/2006/relationships/hyperlink" Target="https://www.pnas.org/doi/abs/10.1073/pnas.2530677123?mi=eymic2&amp;af=R&amp;access=on&amp;content=articlesChapters&amp;publication=pnas&amp;sortBy=Earliest&amp;target=default" TargetMode="External"/><Relationship Id="rId744" Type="http://schemas.openxmlformats.org/officeDocument/2006/relationships/hyperlink" Target="https://doi.org/10.1073/pnas.2530677123" TargetMode="External"/><Relationship Id="rId745" Type="http://schemas.openxmlformats.org/officeDocument/2006/relationships/hyperlink" Target="https://www.pnas.org/doi/abs/10.1073/iti2726123?mi=eymic2&amp;af=R&amp;access=on&amp;content=articlesChapters&amp;publication=pnas&amp;sortBy=Earliest&amp;target=default" TargetMode="External"/><Relationship Id="rId746" Type="http://schemas.openxmlformats.org/officeDocument/2006/relationships/hyperlink" Target="https://doi.org/10.1073/iti2726123" TargetMode="External"/><Relationship Id="rId747" Type="http://schemas.openxmlformats.org/officeDocument/2006/relationships/hyperlink" Target="https://www.pnas.org/doi/abs/10.1073/pnas.2521542123?mi=eymic2&amp;af=R&amp;access=on&amp;content=articlesChapters&amp;publication=pnas&amp;sortBy=Earliest&amp;target=default" TargetMode="External"/><Relationship Id="rId748" Type="http://schemas.openxmlformats.org/officeDocument/2006/relationships/hyperlink" Target="https://doi.org/10.1073/pnas.2521542123" TargetMode="External"/><Relationship Id="rId749" Type="http://schemas.openxmlformats.org/officeDocument/2006/relationships/hyperlink" Target="https://www.pnas.org/doi/abs/10.1073/pnas.2523217123?mi=eymic2&amp;af=R&amp;access=on&amp;content=articlesChapters&amp;publication=pnas&amp;sortBy=Earliest&amp;target=default" TargetMode="External"/><Relationship Id="rId750" Type="http://schemas.openxmlformats.org/officeDocument/2006/relationships/hyperlink" Target="https://doi.org/10.1073/pnas.2523217123" TargetMode="External"/><Relationship Id="rId751" Type="http://schemas.openxmlformats.org/officeDocument/2006/relationships/hyperlink" Target="https://www.pnas.org/doi/abs/10.1073/pnas.2523832123?mi=eymic2&amp;af=R&amp;access=on&amp;content=articlesChapters&amp;publication=pnas&amp;sortBy=Earliest&amp;target=default" TargetMode="External"/><Relationship Id="rId752" Type="http://schemas.openxmlformats.org/officeDocument/2006/relationships/hyperlink" Target="https://doi.org/10.1073/pnas.2523832123" TargetMode="External"/><Relationship Id="rId753" Type="http://schemas.openxmlformats.org/officeDocument/2006/relationships/hyperlink" Target="https://www.pnas.org/doi/abs/10.1073/pnas.2529208123?mi=eymic2&amp;af=R&amp;access=on&amp;content=articlesChapters&amp;publication=pnas&amp;sortBy=Earliest&amp;target=default" TargetMode="External"/><Relationship Id="rId754" Type="http://schemas.openxmlformats.org/officeDocument/2006/relationships/hyperlink" Target="https://doi.org/10.1073/pnas.2529208123" TargetMode="External"/><Relationship Id="rId755" Type="http://schemas.openxmlformats.org/officeDocument/2006/relationships/hyperlink" Target="https://www.pnas.org/doi/abs/10.1073/pnas.2601817123?mi=eymic2&amp;af=R&amp;access=on&amp;content=articlesChapters&amp;publication=pnas&amp;sortBy=Earliest&amp;target=default" TargetMode="External"/><Relationship Id="rId756" Type="http://schemas.openxmlformats.org/officeDocument/2006/relationships/hyperlink" Target="https://doi.org/10.1073/pnas.2601817123" TargetMode="External"/><Relationship Id="rId757" Type="http://schemas.openxmlformats.org/officeDocument/2006/relationships/hyperlink" Target="http://link.aps.org/doi/10.1103/pqcz-cvsv" TargetMode="External"/><Relationship Id="rId758" Type="http://schemas.openxmlformats.org/officeDocument/2006/relationships/hyperlink" Target="https://doi.org/10.1103/pqcz-cvsv" TargetMode="External"/><Relationship Id="rId759" Type="http://schemas.openxmlformats.org/officeDocument/2006/relationships/hyperlink" Target="http://link.aps.org/doi/10.1103/hvp6-ydbq" TargetMode="External"/><Relationship Id="rId760" Type="http://schemas.openxmlformats.org/officeDocument/2006/relationships/hyperlink" Target="https://doi.org/10.1103/hvp6-ydbq" TargetMode="External"/><Relationship Id="rId761" Type="http://schemas.openxmlformats.org/officeDocument/2006/relationships/hyperlink" Target="http://link.aps.org/doi/10.1103/qyfv-wkv1" TargetMode="External"/><Relationship Id="rId762" Type="http://schemas.openxmlformats.org/officeDocument/2006/relationships/hyperlink" Target="https://doi.org/10.1103/qyfv-wkv1" TargetMode="External"/><Relationship Id="rId763" Type="http://schemas.openxmlformats.org/officeDocument/2006/relationships/hyperlink" Target="http://link.aps.org/doi/10.1103/bplf-h1vx" TargetMode="External"/><Relationship Id="rId764" Type="http://schemas.openxmlformats.org/officeDocument/2006/relationships/hyperlink" Target="https://doi.org/10.1103/bplf-h1vx" TargetMode="External"/><Relationship Id="rId765" Type="http://schemas.openxmlformats.org/officeDocument/2006/relationships/hyperlink" Target="http://link.aps.org/doi/10.1103/5myp-jksn" TargetMode="External"/><Relationship Id="rId766" Type="http://schemas.openxmlformats.org/officeDocument/2006/relationships/hyperlink" Target="https://doi.org/10.1103/5myp-jksn" TargetMode="External"/><Relationship Id="rId767" Type="http://schemas.openxmlformats.org/officeDocument/2006/relationships/hyperlink" Target="http://link.aps.org/doi/10.1103/d2xr-rj7g" TargetMode="External"/><Relationship Id="rId768" Type="http://schemas.openxmlformats.org/officeDocument/2006/relationships/hyperlink" Target="https://doi.org/10.1103/d2xr-rj7g" TargetMode="External"/><Relationship Id="rId769" Type="http://schemas.openxmlformats.org/officeDocument/2006/relationships/hyperlink" Target="http://link.aps.org/doi/10.1103/xsdn-srjd" TargetMode="External"/><Relationship Id="rId770" Type="http://schemas.openxmlformats.org/officeDocument/2006/relationships/hyperlink" Target="https://doi.org/10.1103/xsdn-srjd" TargetMode="External"/><Relationship Id="rId771" Type="http://schemas.openxmlformats.org/officeDocument/2006/relationships/hyperlink" Target="http://link.aps.org/doi/10.1103/mkfh-1yj9" TargetMode="External"/><Relationship Id="rId772" Type="http://schemas.openxmlformats.org/officeDocument/2006/relationships/hyperlink" Target="https://doi.org/10.1103/mkfh-1yj9" TargetMode="External"/><Relationship Id="rId773" Type="http://schemas.openxmlformats.org/officeDocument/2006/relationships/hyperlink" Target="http://link.aps.org/doi/10.1103/9h14-sc8t" TargetMode="External"/><Relationship Id="rId774" Type="http://schemas.openxmlformats.org/officeDocument/2006/relationships/hyperlink" Target="https://doi.org/10.1103/9h14-sc8t" TargetMode="External"/><Relationship Id="rId775" Type="http://schemas.openxmlformats.org/officeDocument/2006/relationships/hyperlink" Target="http://link.aps.org/doi/10.1103/dtd2-4vpn" TargetMode="External"/><Relationship Id="rId776" Type="http://schemas.openxmlformats.org/officeDocument/2006/relationships/hyperlink" Target="https://doi.org/10.1103/dtd2-4vpn" TargetMode="External"/><Relationship Id="rId777" Type="http://schemas.openxmlformats.org/officeDocument/2006/relationships/hyperlink" Target="http://link.aps.org/doi/10.1103/2f9y-d3dy" TargetMode="External"/><Relationship Id="rId778" Type="http://schemas.openxmlformats.org/officeDocument/2006/relationships/hyperlink" Target="https://doi.org/10.1103/2f9y-d3dy" TargetMode="External"/><Relationship Id="rId779" Type="http://schemas.openxmlformats.org/officeDocument/2006/relationships/hyperlink" Target="http://link.aps.org/doi/10.1103/fznx-bhp9" TargetMode="External"/><Relationship Id="rId780" Type="http://schemas.openxmlformats.org/officeDocument/2006/relationships/hyperlink" Target="https://doi.org/10.1103/fznx-bhp9" TargetMode="External"/><Relationship Id="rId781" Type="http://schemas.openxmlformats.org/officeDocument/2006/relationships/hyperlink" Target="http://link.aps.org/doi/10.1103/f1ll-d5hh" TargetMode="External"/><Relationship Id="rId782" Type="http://schemas.openxmlformats.org/officeDocument/2006/relationships/hyperlink" Target="https://doi.org/10.1103/f1ll-d5hh" TargetMode="External"/><Relationship Id="rId783" Type="http://schemas.openxmlformats.org/officeDocument/2006/relationships/hyperlink" Target="http://link.aps.org/doi/10.1103/mj27-xrtf" TargetMode="External"/><Relationship Id="rId784" Type="http://schemas.openxmlformats.org/officeDocument/2006/relationships/hyperlink" Target="https://doi.org/10.1103/mj27-xrtf" TargetMode="External"/><Relationship Id="rId785" Type="http://schemas.openxmlformats.org/officeDocument/2006/relationships/hyperlink" Target="http://link.aps.org/doi/10.1103/8csp-nw9h" TargetMode="External"/><Relationship Id="rId786" Type="http://schemas.openxmlformats.org/officeDocument/2006/relationships/hyperlink" Target="https://doi.org/10.1103/8csp-nw9h" TargetMode="External"/><Relationship Id="rId787" Type="http://schemas.openxmlformats.org/officeDocument/2006/relationships/hyperlink" Target="http://link.aps.org/doi/10.1103/9mjc-nhxx" TargetMode="External"/><Relationship Id="rId788" Type="http://schemas.openxmlformats.org/officeDocument/2006/relationships/hyperlink" Target="https://doi.org/10.1103/9mjc-nhxx" TargetMode="External"/><Relationship Id="rId789" Type="http://schemas.openxmlformats.org/officeDocument/2006/relationships/hyperlink" Target="http://link.aps.org/doi/10.1103/j8gx-58hf" TargetMode="External"/><Relationship Id="rId790" Type="http://schemas.openxmlformats.org/officeDocument/2006/relationships/hyperlink" Target="https://doi.org/10.1103/j8gx-58hf" TargetMode="External"/><Relationship Id="rId791" Type="http://schemas.openxmlformats.org/officeDocument/2006/relationships/hyperlink" Target="http://link.aps.org/doi/10.1103/d3fz-5755" TargetMode="External"/><Relationship Id="rId792" Type="http://schemas.openxmlformats.org/officeDocument/2006/relationships/hyperlink" Target="https://doi.org/10.1103/d3fz-5755" TargetMode="External"/><Relationship Id="rId793" Type="http://schemas.openxmlformats.org/officeDocument/2006/relationships/hyperlink" Target="http://link.aps.org/doi/10.1103/q7dh-ccch" TargetMode="External"/><Relationship Id="rId794" Type="http://schemas.openxmlformats.org/officeDocument/2006/relationships/hyperlink" Target="https://doi.org/10.1103/q7dh-ccch" TargetMode="External"/><Relationship Id="rId795" Type="http://schemas.openxmlformats.org/officeDocument/2006/relationships/hyperlink" Target="http://link.aps.org/doi/10.1103/xdcg-6df5" TargetMode="External"/><Relationship Id="rId796" Type="http://schemas.openxmlformats.org/officeDocument/2006/relationships/hyperlink" Target="https://doi.org/10.1103/xdcg-6df5" TargetMode="External"/><Relationship Id="rId797" Type="http://schemas.openxmlformats.org/officeDocument/2006/relationships/hyperlink" Target="http://link.aps.org/doi/10.1103/9ymq-y8qc" TargetMode="External"/><Relationship Id="rId798" Type="http://schemas.openxmlformats.org/officeDocument/2006/relationships/hyperlink" Target="https://doi.org/10.1103/9ymq-y8qc" TargetMode="External"/><Relationship Id="rId799" Type="http://schemas.openxmlformats.org/officeDocument/2006/relationships/hyperlink" Target="http://link.aps.org/doi/10.1103/xqxt-fmh8" TargetMode="External"/><Relationship Id="rId800" Type="http://schemas.openxmlformats.org/officeDocument/2006/relationships/hyperlink" Target="https://doi.org/10.1103/xqxt-fmh8" TargetMode="External"/><Relationship Id="rId801" Type="http://schemas.openxmlformats.org/officeDocument/2006/relationships/hyperlink" Target="http://link.aps.org/doi/10.1103/v4ky-6v45" TargetMode="External"/><Relationship Id="rId802" Type="http://schemas.openxmlformats.org/officeDocument/2006/relationships/hyperlink" Target="https://doi.org/10.1103/v4ky-6v45" TargetMode="External"/><Relationship Id="rId803" Type="http://schemas.openxmlformats.org/officeDocument/2006/relationships/hyperlink" Target="http://link.aps.org/doi/10.1103/zxtq-d3mk" TargetMode="External"/><Relationship Id="rId804" Type="http://schemas.openxmlformats.org/officeDocument/2006/relationships/hyperlink" Target="https://doi.org/10.1103/zxtq-d3mk" TargetMode="External"/><Relationship Id="rId805" Type="http://schemas.openxmlformats.org/officeDocument/2006/relationships/hyperlink" Target="http://link.aps.org/doi/10.1103/7cpd-mv33" TargetMode="External"/><Relationship Id="rId806" Type="http://schemas.openxmlformats.org/officeDocument/2006/relationships/hyperlink" Target="https://doi.org/10.1103/7cpd-mv33" TargetMode="External"/><Relationship Id="rId807" Type="http://schemas.openxmlformats.org/officeDocument/2006/relationships/hyperlink" Target="http://link.aps.org/doi/10.1103/fj29-8l44" TargetMode="External"/><Relationship Id="rId808" Type="http://schemas.openxmlformats.org/officeDocument/2006/relationships/hyperlink" Target="https://doi.org/10.1103/fj29-8l44" TargetMode="External"/><Relationship Id="rId809" Type="http://schemas.openxmlformats.org/officeDocument/2006/relationships/hyperlink" Target="http://link.aps.org/doi/10.1103/bd1f-jdvh" TargetMode="External"/><Relationship Id="rId810" Type="http://schemas.openxmlformats.org/officeDocument/2006/relationships/hyperlink" Target="https://doi.org/10.1103/bd1f-jdvh" TargetMode="External"/><Relationship Id="rId811" Type="http://schemas.openxmlformats.org/officeDocument/2006/relationships/hyperlink" Target="http://link.aps.org/doi/10.1103/5m4c-5cwx" TargetMode="External"/><Relationship Id="rId812" Type="http://schemas.openxmlformats.org/officeDocument/2006/relationships/hyperlink" Target="https://doi.org/10.1103/5m4c-5cwx" TargetMode="External"/><Relationship Id="rId813" Type="http://schemas.openxmlformats.org/officeDocument/2006/relationships/hyperlink" Target="http://link.aps.org/doi/10.1103/zxsb-7cj3" TargetMode="External"/><Relationship Id="rId814" Type="http://schemas.openxmlformats.org/officeDocument/2006/relationships/hyperlink" Target="https://doi.org/10.1103/zxsb-7cj3" TargetMode="External"/><Relationship Id="rId815" Type="http://schemas.openxmlformats.org/officeDocument/2006/relationships/hyperlink" Target="http://link.aps.org/doi/10.1103/dcn2-lc8k" TargetMode="External"/><Relationship Id="rId816" Type="http://schemas.openxmlformats.org/officeDocument/2006/relationships/hyperlink" Target="https://doi.org/10.1103/dcn2-lc8k" TargetMode="External"/><Relationship Id="rId817" Type="http://schemas.openxmlformats.org/officeDocument/2006/relationships/hyperlink" Target="http://link.aps.org/doi/10.1103/3ck1-gzzf" TargetMode="External"/><Relationship Id="rId818" Type="http://schemas.openxmlformats.org/officeDocument/2006/relationships/hyperlink" Target="https://doi.org/10.1103/3ck1-gzzf" TargetMode="External"/><Relationship Id="rId819" Type="http://schemas.openxmlformats.org/officeDocument/2006/relationships/hyperlink" Target="http://link.aps.org/doi/10.1103/spsr-xr47" TargetMode="External"/><Relationship Id="rId820" Type="http://schemas.openxmlformats.org/officeDocument/2006/relationships/hyperlink" Target="https://doi.org/10.1103/spsr-xr47" TargetMode="External"/><Relationship Id="rId821" Type="http://schemas.openxmlformats.org/officeDocument/2006/relationships/hyperlink" Target="http://link.aps.org/doi/10.1103/xkh7-gdqm" TargetMode="External"/><Relationship Id="rId822" Type="http://schemas.openxmlformats.org/officeDocument/2006/relationships/hyperlink" Target="https://doi.org/10.1103/xkh7-gdqm" TargetMode="External"/><Relationship Id="rId823" Type="http://schemas.openxmlformats.org/officeDocument/2006/relationships/hyperlink" Target="http://link.aps.org/doi/10.1103/v8x8-ft81" TargetMode="External"/><Relationship Id="rId824" Type="http://schemas.openxmlformats.org/officeDocument/2006/relationships/hyperlink" Target="https://doi.org/10.1103/v8x8-ft81" TargetMode="External"/><Relationship Id="rId825" Type="http://schemas.openxmlformats.org/officeDocument/2006/relationships/hyperlink" Target="http://link.aps.org/doi/10.1103/7wtv-p9l5" TargetMode="External"/><Relationship Id="rId826" Type="http://schemas.openxmlformats.org/officeDocument/2006/relationships/hyperlink" Target="https://doi.org/10.1103/7wtv-p9l5" TargetMode="External"/><Relationship Id="rId827" Type="http://schemas.openxmlformats.org/officeDocument/2006/relationships/hyperlink" Target="http://link.aps.org/doi/10.1103/6gn2-2v9b" TargetMode="External"/><Relationship Id="rId828" Type="http://schemas.openxmlformats.org/officeDocument/2006/relationships/hyperlink" Target="https://doi.org/10.1103/6gn2-2v9b" TargetMode="External"/><Relationship Id="rId829" Type="http://schemas.openxmlformats.org/officeDocument/2006/relationships/hyperlink" Target="http://link.aps.org/doi/10.1103/b16v-hwp2" TargetMode="External"/><Relationship Id="rId830" Type="http://schemas.openxmlformats.org/officeDocument/2006/relationships/hyperlink" Target="https://doi.org/10.1103/b16v-hwp2" TargetMode="External"/><Relationship Id="rId831" Type="http://schemas.openxmlformats.org/officeDocument/2006/relationships/hyperlink" Target="http://link.aps.org/doi/10.1103/jn9y-yfcw" TargetMode="External"/><Relationship Id="rId832" Type="http://schemas.openxmlformats.org/officeDocument/2006/relationships/hyperlink" Target="https://doi.org/10.1103/jn9y-yfcw" TargetMode="External"/><Relationship Id="rId833" Type="http://schemas.openxmlformats.org/officeDocument/2006/relationships/hyperlink" Target="http://link.aps.org/doi/10.1103/s2zc-6lxs" TargetMode="External"/><Relationship Id="rId834" Type="http://schemas.openxmlformats.org/officeDocument/2006/relationships/hyperlink" Target="https://doi.org/10.1103/s2zc-6lxs" TargetMode="External"/><Relationship Id="rId835" Type="http://schemas.openxmlformats.org/officeDocument/2006/relationships/hyperlink" Target="http://link.aps.org/doi/10.1103/qprk-k7wn" TargetMode="External"/><Relationship Id="rId836" Type="http://schemas.openxmlformats.org/officeDocument/2006/relationships/hyperlink" Target="https://doi.org/10.1103/qprk-k7wn" TargetMode="External"/><Relationship Id="rId837" Type="http://schemas.openxmlformats.org/officeDocument/2006/relationships/hyperlink" Target="http://link.aps.org/doi/10.1103/dj1t-tvw6" TargetMode="External"/><Relationship Id="rId838" Type="http://schemas.openxmlformats.org/officeDocument/2006/relationships/hyperlink" Target="https://doi.org/10.1103/dj1t-tvw6" TargetMode="External"/><Relationship Id="rId839" Type="http://schemas.openxmlformats.org/officeDocument/2006/relationships/hyperlink" Target="http://link.aps.org/doi/10.1103/vjtv-2prg" TargetMode="External"/><Relationship Id="rId840" Type="http://schemas.openxmlformats.org/officeDocument/2006/relationships/hyperlink" Target="https://doi.org/10.1103/vjtv-2prg" TargetMode="External"/><Relationship Id="rId841" Type="http://schemas.openxmlformats.org/officeDocument/2006/relationships/hyperlink" Target="https://www.nature.com/articles/s41586-026-10759-2" TargetMode="External"/><Relationship Id="rId842" Type="http://schemas.openxmlformats.org/officeDocument/2006/relationships/hyperlink" Target="https://doi.org/10.1038/s41586-026-10759-2" TargetMode="External"/><Relationship Id="rId843" Type="http://schemas.openxmlformats.org/officeDocument/2006/relationships/hyperlink" Target="https://www.nature.com/articles/s41586-026-10712-3" TargetMode="External"/><Relationship Id="rId844" Type="http://schemas.openxmlformats.org/officeDocument/2006/relationships/hyperlink" Target="https://doi.org/10.1038/s41586-026-10712-3" TargetMode="External"/><Relationship Id="rId845" Type="http://schemas.openxmlformats.org/officeDocument/2006/relationships/hyperlink" Target="https://www.nature.com/articles/s41586-026-10742-x" TargetMode="External"/><Relationship Id="rId846" Type="http://schemas.openxmlformats.org/officeDocument/2006/relationships/hyperlink" Target="https://doi.org/10.1038/s41586-026-10742-x" TargetMode="External"/><Relationship Id="rId847" Type="http://schemas.openxmlformats.org/officeDocument/2006/relationships/hyperlink" Target="https://www.nature.com/articles/s41586-026-10747-6" TargetMode="External"/><Relationship Id="rId848" Type="http://schemas.openxmlformats.org/officeDocument/2006/relationships/hyperlink" Target="https://doi.org/10.1038/s41586-026-10747-6" TargetMode="External"/><Relationship Id="rId849" Type="http://schemas.openxmlformats.org/officeDocument/2006/relationships/hyperlink" Target="https://www.nature.com/articles/s41586-026-10785-0" TargetMode="External"/><Relationship Id="rId850" Type="http://schemas.openxmlformats.org/officeDocument/2006/relationships/hyperlink" Target="https://doi.org/10.1038/s41586-026-10785-0" TargetMode="External"/><Relationship Id="rId851" Type="http://schemas.openxmlformats.org/officeDocument/2006/relationships/hyperlink" Target="https://www.nature.com/articles/s41586-026-10622-4" TargetMode="External"/><Relationship Id="rId852" Type="http://schemas.openxmlformats.org/officeDocument/2006/relationships/hyperlink" Target="https://doi.org/10.1038/s41586-026-10622-4" TargetMode="External"/><Relationship Id="rId853" Type="http://schemas.openxmlformats.org/officeDocument/2006/relationships/hyperlink" Target="https://www.nature.com/articles/s41586-026-10761-8" TargetMode="External"/><Relationship Id="rId854" Type="http://schemas.openxmlformats.org/officeDocument/2006/relationships/hyperlink" Target="https://doi.org/10.1038/s41586-026-10761-8" TargetMode="External"/><Relationship Id="rId855" Type="http://schemas.openxmlformats.org/officeDocument/2006/relationships/hyperlink" Target="https://www.nature.com/articles/s41586-026-10783-2" TargetMode="External"/><Relationship Id="rId856" Type="http://schemas.openxmlformats.org/officeDocument/2006/relationships/hyperlink" Target="https://doi.org/10.1038/s41586-026-10783-2" TargetMode="External"/><Relationship Id="rId857" Type="http://schemas.openxmlformats.org/officeDocument/2006/relationships/hyperlink" Target="https://pubs.acs.org/doi/10.1021/jacs.6c01388" TargetMode="External"/><Relationship Id="rId858" Type="http://schemas.openxmlformats.org/officeDocument/2006/relationships/hyperlink" Target="https://doi.org/10.1021/jacs.6c01388" TargetMode="External"/><Relationship Id="rId859" Type="http://schemas.openxmlformats.org/officeDocument/2006/relationships/hyperlink" Target="https://www.nature.com/articles/s41586-026-10689-z" TargetMode="External"/><Relationship Id="rId860" Type="http://schemas.openxmlformats.org/officeDocument/2006/relationships/hyperlink" Target="https://doi.org/10.1038/s41586-026-10689-z" TargetMode="External"/><Relationship Id="rId861" Type="http://schemas.openxmlformats.org/officeDocument/2006/relationships/hyperlink" Target="https://www.sciencedirect.com/science/article/pii/S0306261926009827?dgcid=rss_sd_all" TargetMode="External"/><Relationship Id="rId862" Type="http://schemas.openxmlformats.org/officeDocument/2006/relationships/hyperlink" Target="https://www.sciencedirect.com/science/article/pii/S030626192600958X?dgcid=rss_sd_all" TargetMode="External"/><Relationship Id="rId863" Type="http://schemas.openxmlformats.org/officeDocument/2006/relationships/hyperlink" Target="https://www.sciencedirect.com/science/article/pii/S0306261926010056?dgcid=rss_sd_all" TargetMode="External"/><Relationship Id="rId864" Type="http://schemas.openxmlformats.org/officeDocument/2006/relationships/hyperlink" Target="https://www.nature.com/articles/s41586-026-10752-9" TargetMode="External"/><Relationship Id="rId865" Type="http://schemas.openxmlformats.org/officeDocument/2006/relationships/hyperlink" Target="https://doi.org/10.1038/s41586-026-10752-9" TargetMode="External"/><Relationship Id="rId866" Type="http://schemas.openxmlformats.org/officeDocument/2006/relationships/hyperlink" Target="https://www.nature.com/articles/s41586-026-10737-8" TargetMode="External"/><Relationship Id="rId867" Type="http://schemas.openxmlformats.org/officeDocument/2006/relationships/hyperlink" Target="https://doi.org/10.1038/s41586-026-10737-8" TargetMode="External"/><Relationship Id="rId868" Type="http://schemas.openxmlformats.org/officeDocument/2006/relationships/hyperlink" Target="https://www.nature.com/articles/s41586-026-10703-4" TargetMode="External"/><Relationship Id="rId869" Type="http://schemas.openxmlformats.org/officeDocument/2006/relationships/hyperlink" Target="https://doi.org/10.1038/s41586-026-10703-4" TargetMode="External"/><Relationship Id="rId870" Type="http://schemas.openxmlformats.org/officeDocument/2006/relationships/hyperlink" Target="https://pubs.acs.org/doi/10.1021/jacs.6c09177" TargetMode="External"/><Relationship Id="rId871" Type="http://schemas.openxmlformats.org/officeDocument/2006/relationships/hyperlink" Target="https://doi.org/10.1021/jacs.6c09177" TargetMode="External"/><Relationship Id="rId872" Type="http://schemas.openxmlformats.org/officeDocument/2006/relationships/hyperlink" Target="https://www.nature.com/articles/s41578-026-00944-0" TargetMode="External"/><Relationship Id="rId873" Type="http://schemas.openxmlformats.org/officeDocument/2006/relationships/hyperlink" Target="https://doi.org/10.1038/s41578-026-00944-0" TargetMode="External"/><Relationship Id="rId874" Type="http://schemas.openxmlformats.org/officeDocument/2006/relationships/hyperlink" Target="https://pubs.acs.org/doi/10.1021/jacs.6c09941" TargetMode="External"/><Relationship Id="rId875" Type="http://schemas.openxmlformats.org/officeDocument/2006/relationships/hyperlink" Target="https://doi.org/10.1021/jacs.6c09941" TargetMode="External"/><Relationship Id="rId876" Type="http://schemas.openxmlformats.org/officeDocument/2006/relationships/hyperlink" Target="https://www.nature.com/articles/s41586-026-10750-x" TargetMode="External"/><Relationship Id="rId877" Type="http://schemas.openxmlformats.org/officeDocument/2006/relationships/hyperlink" Target="https://doi.org/10.1038/s41586-026-10750-x" TargetMode="External"/><Relationship Id="rId878" Type="http://schemas.openxmlformats.org/officeDocument/2006/relationships/hyperlink" Target="https://www.nature.com/articles/s41586-026-10715-0" TargetMode="External"/><Relationship Id="rId879" Type="http://schemas.openxmlformats.org/officeDocument/2006/relationships/hyperlink" Target="https://doi.org/10.1038/s41586-026-10715-0" TargetMode="External"/><Relationship Id="rId880" Type="http://schemas.openxmlformats.org/officeDocument/2006/relationships/hyperlink" Target="https://pubs.acs.org/doi/10.1021/acs.chemrev.6c00122" TargetMode="External"/><Relationship Id="rId881" Type="http://schemas.openxmlformats.org/officeDocument/2006/relationships/hyperlink" Target="https://doi.org/10.1021/acs.chemrev.6c00122" TargetMode="External"/><Relationship Id="rId882" Type="http://schemas.openxmlformats.org/officeDocument/2006/relationships/hyperlink" Target="https://www.nature.com/articles/s41565-026-02176-3" TargetMode="External"/><Relationship Id="rId883" Type="http://schemas.openxmlformats.org/officeDocument/2006/relationships/hyperlink" Target="https://doi.org/10.1038/s41565-026-02176-3" TargetMode="External"/><Relationship Id="rId884" Type="http://schemas.openxmlformats.org/officeDocument/2006/relationships/hyperlink" Target="https://www.nature.com/articles/s41893-026-01890-z" TargetMode="External"/><Relationship Id="rId885" Type="http://schemas.openxmlformats.org/officeDocument/2006/relationships/hyperlink" Target="https://doi.org/10.1038/s41893-026-01890-z" TargetMode="External"/><Relationship Id="rId886" Type="http://schemas.openxmlformats.org/officeDocument/2006/relationships/hyperlink" Target="https://www.nature.com/articles/s41563-026-02692-6" TargetMode="External"/><Relationship Id="rId887" Type="http://schemas.openxmlformats.org/officeDocument/2006/relationships/hyperlink" Target="https://doi.org/10.1038/s41563-026-02692-6" TargetMode="External"/><Relationship Id="rId888" Type="http://schemas.openxmlformats.org/officeDocument/2006/relationships/hyperlink" Target="https://www.nature.com/articles/s41563-026-02669-5" TargetMode="External"/><Relationship Id="rId889" Type="http://schemas.openxmlformats.org/officeDocument/2006/relationships/hyperlink" Target="https://doi.org/10.1038/s41563-026-02669-5" TargetMode="External"/><Relationship Id="rId890" Type="http://schemas.openxmlformats.org/officeDocument/2006/relationships/hyperlink" Target="https://www.nature.com/articles/d41586-026-02141-z" TargetMode="External"/><Relationship Id="rId891" Type="http://schemas.openxmlformats.org/officeDocument/2006/relationships/hyperlink" Target="https://doi.org/10.1038/d41586-026-02141-z" TargetMode="External"/><Relationship Id="rId892" Type="http://schemas.openxmlformats.org/officeDocument/2006/relationships/hyperlink" Target="https://www.nature.com/articles/s41586-026-10725-y" TargetMode="External"/><Relationship Id="rId893" Type="http://schemas.openxmlformats.org/officeDocument/2006/relationships/hyperlink" Target="https://doi.org/10.1038/s41586-026-10725-y" TargetMode="External"/><Relationship Id="rId894" Type="http://schemas.openxmlformats.org/officeDocument/2006/relationships/hyperlink" Target="https://www.nature.com/articles/s41586-026-10796-x" TargetMode="External"/><Relationship Id="rId895" Type="http://schemas.openxmlformats.org/officeDocument/2006/relationships/hyperlink" Target="https://doi.org/10.1038/s41586-026-10796-x" TargetMode="External"/><Relationship Id="rId896" Type="http://schemas.openxmlformats.org/officeDocument/2006/relationships/hyperlink" Target="https://www.sciencedirect.com/science/article/pii/S030626192600989X?dgcid=rss_sd_all" TargetMode="External"/><Relationship Id="rId897" Type="http://schemas.openxmlformats.org/officeDocument/2006/relationships/hyperlink" Target="https://www.sciencedirect.com/science/article/pii/S0306261926009815?dgcid=rss_sd_all" TargetMode="External"/><Relationship Id="rId898" Type="http://schemas.openxmlformats.org/officeDocument/2006/relationships/hyperlink" Target="https://pubs.acs.org/doi/10.1021/jacs.6c08818" TargetMode="External"/><Relationship Id="rId899" Type="http://schemas.openxmlformats.org/officeDocument/2006/relationships/hyperlink" Target="https://doi.org/10.1021/jacs.6c08818" TargetMode="External"/><Relationship Id="rId900" Type="http://schemas.openxmlformats.org/officeDocument/2006/relationships/hyperlink" Target="https://pubs.acs.org/doi/10.1021/jacs.6c09478" TargetMode="External"/><Relationship Id="rId901" Type="http://schemas.openxmlformats.org/officeDocument/2006/relationships/hyperlink" Target="https://doi.org/10.1021/jacs.6c09478" TargetMode="External"/><Relationship Id="rId902" Type="http://schemas.openxmlformats.org/officeDocument/2006/relationships/hyperlink" Target="https://pubs.acs.org/doi/10.1021/jacs.6c09909" TargetMode="External"/><Relationship Id="rId903" Type="http://schemas.openxmlformats.org/officeDocument/2006/relationships/hyperlink" Target="https://doi.org/10.1021/jacs.6c09909" TargetMode="External"/><Relationship Id="rId904" Type="http://schemas.openxmlformats.org/officeDocument/2006/relationships/hyperlink" Target="https://www.sciencedirect.com/science/article/pii/S030142152600412X?dgcid=rss_sd_all" TargetMode="External"/><Relationship Id="rId905" Type="http://schemas.openxmlformats.org/officeDocument/2006/relationships/hyperlink" Target="https://pubs.acs.org/doi/10.1021/jacs.6c08436" TargetMode="External"/><Relationship Id="rId906" Type="http://schemas.openxmlformats.org/officeDocument/2006/relationships/hyperlink" Target="https://doi.org/10.1021/jacs.6c08436" TargetMode="External"/><Relationship Id="rId907" Type="http://schemas.openxmlformats.org/officeDocument/2006/relationships/hyperlink" Target="https://www.sciencedirect.com/science/article/pii/S030626192600944X?dgcid=rss_sd_all" TargetMode="External"/><Relationship Id="rId908" Type="http://schemas.openxmlformats.org/officeDocument/2006/relationships/hyperlink" Target="https://www.sciencedirect.com/science/article/pii/S0306261926010044?dgcid=rss_sd_all" TargetMode="External"/><Relationship Id="rId909" Type="http://schemas.openxmlformats.org/officeDocument/2006/relationships/hyperlink" Target="https://www.sciencedirect.com/science/article/pii/S0301421526004143?dgcid=rss_sd_all" TargetMode="External"/><Relationship Id="rId910" Type="http://schemas.openxmlformats.org/officeDocument/2006/relationships/hyperlink" Target="https://pubs.acs.org/doi/10.1021/jacs.6c10706" TargetMode="External"/><Relationship Id="rId911" Type="http://schemas.openxmlformats.org/officeDocument/2006/relationships/hyperlink" Target="https://doi.org/10.1021/jacs.6c10706" TargetMode="External"/><Relationship Id="rId912" Type="http://schemas.openxmlformats.org/officeDocument/2006/relationships/hyperlink" Target="https://pubs.acs.org/doi/10.1021/jacs.6c03259" TargetMode="External"/><Relationship Id="rId913" Type="http://schemas.openxmlformats.org/officeDocument/2006/relationships/hyperlink" Target="https://doi.org/10.1021/jacs.6c03259" TargetMode="External"/><Relationship Id="rId914" Type="http://schemas.openxmlformats.org/officeDocument/2006/relationships/hyperlink" Target="https://pubs.acs.org/doi/10.1021/jacs.6c06565" TargetMode="External"/><Relationship Id="rId915" Type="http://schemas.openxmlformats.org/officeDocument/2006/relationships/hyperlink" Target="https://doi.org/10.1021/jacs.6c06565" TargetMode="External"/><Relationship Id="rId916" Type="http://schemas.openxmlformats.org/officeDocument/2006/relationships/hyperlink" Target="https://www.sciencedirect.com/science/article/pii/S0306261926009669?dgcid=rss_sd_all" TargetMode="External"/><Relationship Id="rId917" Type="http://schemas.openxmlformats.org/officeDocument/2006/relationships/hyperlink" Target="https://www.sciencedirect.com/science/article/pii/S0306261926009785?dgcid=rss_sd_all" TargetMode="External"/><Relationship Id="rId918" Type="http://schemas.openxmlformats.org/officeDocument/2006/relationships/hyperlink" Target="https://www.sciencedirect.com/science/article/pii/S0306261926010147?dgcid=rss_sd_all" TargetMode="External"/><Relationship Id="rId919" Type="http://schemas.openxmlformats.org/officeDocument/2006/relationships/hyperlink" Target="https://www.sciencedirect.com/science/article/pii/S0306261926010159?dgcid=rss_sd_all" TargetMode="External"/><Relationship Id="rId920" Type="http://schemas.openxmlformats.org/officeDocument/2006/relationships/hyperlink" Target="https://pubs.acs.org/doi/10.1021/jacs.6c07143" TargetMode="External"/><Relationship Id="rId921" Type="http://schemas.openxmlformats.org/officeDocument/2006/relationships/hyperlink" Target="https://doi.org/10.1021/jacs.6c07143" TargetMode="External"/><Relationship Id="rId922" Type="http://schemas.openxmlformats.org/officeDocument/2006/relationships/hyperlink" Target="https://pubs.acs.org/doi/10.1021/jacs.6c04285" TargetMode="External"/><Relationship Id="rId923" Type="http://schemas.openxmlformats.org/officeDocument/2006/relationships/hyperlink" Target="https://doi.org/10.1021/jacs.6c04285" TargetMode="External"/><Relationship Id="rId924" Type="http://schemas.openxmlformats.org/officeDocument/2006/relationships/hyperlink" Target="https://pubs.acs.org/doi/10.1021/jacs.6c05405" TargetMode="External"/><Relationship Id="rId925" Type="http://schemas.openxmlformats.org/officeDocument/2006/relationships/hyperlink" Target="https://doi.org/10.1021/jacs.6c05405" TargetMode="External"/><Relationship Id="rId926" Type="http://schemas.openxmlformats.org/officeDocument/2006/relationships/hyperlink" Target="https://www.nature.com/articles/s41467-026-75324-x" TargetMode="External"/><Relationship Id="rId927" Type="http://schemas.openxmlformats.org/officeDocument/2006/relationships/hyperlink" Target="https://www.nature.com/articles/s41467-026-75307-y" TargetMode="External"/><Relationship Id="rId928" Type="http://schemas.openxmlformats.org/officeDocument/2006/relationships/hyperlink" Target="https://www.nature.com/articles/s41467-026-75413-x" TargetMode="External"/><Relationship Id="rId929" Type="http://schemas.openxmlformats.org/officeDocument/2006/relationships/hyperlink" Target="https://www.nature.com/articles/s41467-026-75239-7" TargetMode="External"/><Relationship Id="rId930" Type="http://schemas.openxmlformats.org/officeDocument/2006/relationships/hyperlink" Target="https://www.nature.com/articles/s41467-026-74581-0" TargetMode="External"/><Relationship Id="rId931" Type="http://schemas.openxmlformats.org/officeDocument/2006/relationships/hyperlink" Target="https://pubs.acs.org/doi/10.1021/jacs.6c07892" TargetMode="External"/><Relationship Id="rId932" Type="http://schemas.openxmlformats.org/officeDocument/2006/relationships/hyperlink" Target="https://doi.org/10.1021/jacs.6c07892" TargetMode="External"/><Relationship Id="rId933" Type="http://schemas.openxmlformats.org/officeDocument/2006/relationships/hyperlink" Target="https://www.nature.com/articles/s41467-026-75186-3" TargetMode="External"/><Relationship Id="rId934" Type="http://schemas.openxmlformats.org/officeDocument/2006/relationships/hyperlink" Target="https://www.nature.com/articles/s41467-026-75076-8" TargetMode="External"/><Relationship Id="rId935" Type="http://schemas.openxmlformats.org/officeDocument/2006/relationships/hyperlink" Target="https://www.nature.com/articles/s41467-026-75257-5" TargetMode="External"/><Relationship Id="rId936" Type="http://schemas.openxmlformats.org/officeDocument/2006/relationships/hyperlink" Target="https://pubs.acs.org/doi/10.1021/acsami.6c09897" TargetMode="External"/><Relationship Id="rId937" Type="http://schemas.openxmlformats.org/officeDocument/2006/relationships/hyperlink" Target="https://doi.org/10.1021/acsami.6c09897" TargetMode="External"/><Relationship Id="rId938" Type="http://schemas.openxmlformats.org/officeDocument/2006/relationships/hyperlink" Target="https://pubs.acs.org/doi/10.1021/acsami.6c09115" TargetMode="External"/><Relationship Id="rId939" Type="http://schemas.openxmlformats.org/officeDocument/2006/relationships/hyperlink" Target="https://doi.org/10.1021/acsami.6c09115" TargetMode="External"/><Relationship Id="rId940" Type="http://schemas.openxmlformats.org/officeDocument/2006/relationships/hyperlink" Target="https://pubs.acs.org/doi/10.1021/acsami.6c07928" TargetMode="External"/><Relationship Id="rId941" Type="http://schemas.openxmlformats.org/officeDocument/2006/relationships/hyperlink" Target="https://doi.org/10.1021/acsami.6c07928" TargetMode="External"/><Relationship Id="rId942" Type="http://schemas.openxmlformats.org/officeDocument/2006/relationships/hyperlink" Target="https://pubs.acs.org/doi/10.1021/acsami.6c08634" TargetMode="External"/><Relationship Id="rId943" Type="http://schemas.openxmlformats.org/officeDocument/2006/relationships/hyperlink" Target="https://doi.org/10.1021/acsami.6c08634" TargetMode="External"/><Relationship Id="rId944" Type="http://schemas.openxmlformats.org/officeDocument/2006/relationships/hyperlink" Target="https://www.nature.com/articles/s41467-026-75385-y" TargetMode="External"/><Relationship Id="rId945" Type="http://schemas.openxmlformats.org/officeDocument/2006/relationships/hyperlink" Target="https://www.nature.com/articles/s41467-026-74840-0" TargetMode="External"/><Relationship Id="rId946" Type="http://schemas.openxmlformats.org/officeDocument/2006/relationships/hyperlink" Target="https://www.nature.com/articles/s41467-026-75319-8" TargetMode="External"/><Relationship Id="rId947" Type="http://schemas.openxmlformats.org/officeDocument/2006/relationships/hyperlink" Target="https://www.nature.com/articles/s41467-026-75266-4" TargetMode="External"/><Relationship Id="rId948" Type="http://schemas.openxmlformats.org/officeDocument/2006/relationships/hyperlink" Target="https://www.nature.com/articles/s41467-026-75112-7" TargetMode="External"/><Relationship Id="rId949" Type="http://schemas.openxmlformats.org/officeDocument/2006/relationships/hyperlink" Target="https://www.nature.com/articles/s41467-026-75032-6" TargetMode="External"/><Relationship Id="rId950" Type="http://schemas.openxmlformats.org/officeDocument/2006/relationships/hyperlink" Target="https://www.nature.com/articles/s41467-026-74593-w" TargetMode="External"/><Relationship Id="rId951" Type="http://schemas.openxmlformats.org/officeDocument/2006/relationships/hyperlink" Target="https://www.nature.com/articles/s41467-026-75135-0" TargetMode="External"/><Relationship Id="rId952" Type="http://schemas.openxmlformats.org/officeDocument/2006/relationships/hyperlink" Target="https://www.nature.com/articles/s41467-026-75243-x" TargetMode="External"/><Relationship Id="rId953" Type="http://schemas.openxmlformats.org/officeDocument/2006/relationships/hyperlink" Target="https://www.nature.com/articles/s41467-026-74255-x" TargetMode="External"/><Relationship Id="rId954" Type="http://schemas.openxmlformats.org/officeDocument/2006/relationships/hyperlink" Target="https://www.nature.com/articles/s41467-026-74816-0" TargetMode="External"/><Relationship Id="rId955" Type="http://schemas.openxmlformats.org/officeDocument/2006/relationships/hyperlink" Target="https://www.nature.com/articles/s41467-026-75408-8" TargetMode="External"/><Relationship Id="rId956" Type="http://schemas.openxmlformats.org/officeDocument/2006/relationships/hyperlink" Target="https://www.nature.com/articles/s41467-026-75362-5" TargetMode="External"/><Relationship Id="rId957" Type="http://schemas.openxmlformats.org/officeDocument/2006/relationships/hyperlink" Target="https://www.nature.com/articles/s41467-026-75117-2" TargetMode="External"/><Relationship Id="rId958" Type="http://schemas.openxmlformats.org/officeDocument/2006/relationships/hyperlink" Target="https://www.nature.com/articles/s41467-026-75328-7" TargetMode="External"/><Relationship Id="rId959" Type="http://schemas.openxmlformats.org/officeDocument/2006/relationships/hyperlink" Target="https://www.nature.com/articles/s41467-026-75457-z" TargetMode="External"/><Relationship Id="rId960" Type="http://schemas.openxmlformats.org/officeDocument/2006/relationships/hyperlink" Target="https://www.nature.com/articles/s41467-026-75354-5" TargetMode="External"/><Relationship Id="rId961" Type="http://schemas.openxmlformats.org/officeDocument/2006/relationships/hyperlink" Target="https://www.nature.com/articles/s41467-026-75147-w" TargetMode="External"/><Relationship Id="rId962" Type="http://schemas.openxmlformats.org/officeDocument/2006/relationships/hyperlink" Target="https://www.nature.com/articles/s41467-026-75349-2" TargetMode="External"/><Relationship Id="rId963" Type="http://schemas.openxmlformats.org/officeDocument/2006/relationships/hyperlink" Target="https://www.nature.com/articles/s41467-026-75330-z" TargetMode="External"/><Relationship Id="rId964" Type="http://schemas.openxmlformats.org/officeDocument/2006/relationships/hyperlink" Target="https://www.nature.com/articles/s41467-026-73683-z" TargetMode="External"/><Relationship Id="rId965" Type="http://schemas.openxmlformats.org/officeDocument/2006/relationships/hyperlink" Target="https://www.nature.com/articles/s41467-026-73969-2" TargetMode="External"/><Relationship Id="rId966" Type="http://schemas.openxmlformats.org/officeDocument/2006/relationships/hyperlink" Target="https://www.nature.com/articles/d41586-026-01874-1" TargetMode="External"/><Relationship Id="rId967" Type="http://schemas.openxmlformats.org/officeDocument/2006/relationships/hyperlink" Target="https://doi.org/10.1038/d41586-026-01874-1" TargetMode="External"/><Relationship Id="rId968" Type="http://schemas.openxmlformats.org/officeDocument/2006/relationships/hyperlink" Target="https://www.nature.com/articles/d41586-026-02143-x" TargetMode="External"/><Relationship Id="rId969" Type="http://schemas.openxmlformats.org/officeDocument/2006/relationships/hyperlink" Target="https://doi.org/10.1038/d41586-026-02143-x" TargetMode="External"/><Relationship Id="rId970" Type="http://schemas.openxmlformats.org/officeDocument/2006/relationships/hyperlink" Target="https://www.nature.com/articles/d41586-026-02011-8" TargetMode="External"/><Relationship Id="rId971" Type="http://schemas.openxmlformats.org/officeDocument/2006/relationships/hyperlink" Target="https://doi.org/10.1038/d41586-026-02011-8" TargetMode="External"/><Relationship Id="rId972" Type="http://schemas.openxmlformats.org/officeDocument/2006/relationships/hyperlink" Target="https://www.nature.com/articles/d41586-026-01933-7" TargetMode="External"/><Relationship Id="rId973" Type="http://schemas.openxmlformats.org/officeDocument/2006/relationships/hyperlink" Target="https://doi.org/10.1038/d41586-026-01933-7" TargetMode="External"/><Relationship Id="rId974" Type="http://schemas.openxmlformats.org/officeDocument/2006/relationships/hyperlink" Target="https://www.nature.com/articles/d41586-026-02139-7" TargetMode="External"/><Relationship Id="rId975" Type="http://schemas.openxmlformats.org/officeDocument/2006/relationships/hyperlink" Target="https://doi.org/10.1038/d41586-026-02139-7" TargetMode="External"/><Relationship Id="rId976" Type="http://schemas.openxmlformats.org/officeDocument/2006/relationships/hyperlink" Target="https://www.nature.com/articles/d41586-026-02014-5" TargetMode="External"/><Relationship Id="rId977" Type="http://schemas.openxmlformats.org/officeDocument/2006/relationships/hyperlink" Target="https://doi.org/10.1038/d41586-026-02014-5" TargetMode="External"/><Relationship Id="rId978" Type="http://schemas.openxmlformats.org/officeDocument/2006/relationships/hyperlink" Target="https://www.nature.com/articles/d41586-026-01875-0" TargetMode="External"/><Relationship Id="rId979" Type="http://schemas.openxmlformats.org/officeDocument/2006/relationships/hyperlink" Target="https://doi.org/10.1038/d41586-026-01875-0" TargetMode="External"/><Relationship Id="rId980" Type="http://schemas.openxmlformats.org/officeDocument/2006/relationships/hyperlink" Target="https://www.nature.com/articles/d41586-026-01943-5" TargetMode="External"/><Relationship Id="rId981" Type="http://schemas.openxmlformats.org/officeDocument/2006/relationships/hyperlink" Target="https://doi.org/10.1038/d41586-026-01943-5" TargetMode="External"/><Relationship Id="rId982" Type="http://schemas.openxmlformats.org/officeDocument/2006/relationships/hyperlink" Target="https://www.nature.com/articles/d41586-026-02090-7" TargetMode="External"/><Relationship Id="rId983" Type="http://schemas.openxmlformats.org/officeDocument/2006/relationships/hyperlink" Target="https://doi.org/10.1038/d41586-026-02090-7" TargetMode="External"/><Relationship Id="rId984" Type="http://schemas.openxmlformats.org/officeDocument/2006/relationships/hyperlink" Target="https://www.nature.com/articles/s41586-026-10736-9" TargetMode="External"/><Relationship Id="rId985" Type="http://schemas.openxmlformats.org/officeDocument/2006/relationships/hyperlink" Target="https://doi.org/10.1038/s41586-026-10736-9" TargetMode="External"/><Relationship Id="rId986" Type="http://schemas.openxmlformats.org/officeDocument/2006/relationships/hyperlink" Target="https://www.nature.com/articles/d41586-026-01944-4" TargetMode="External"/><Relationship Id="rId987" Type="http://schemas.openxmlformats.org/officeDocument/2006/relationships/hyperlink" Target="https://doi.org/10.1038/d41586-026-01944-4" TargetMode="External"/><Relationship Id="rId988" Type="http://schemas.openxmlformats.org/officeDocument/2006/relationships/hyperlink" Target="https://www.nature.com/articles/s41467-026-75513-8" TargetMode="External"/><Relationship Id="rId989" Type="http://schemas.openxmlformats.org/officeDocument/2006/relationships/hyperlink" Target="https://www.nature.com/articles/s41557-026-02195-6" TargetMode="External"/><Relationship Id="rId990" Type="http://schemas.openxmlformats.org/officeDocument/2006/relationships/hyperlink" Target="https://doi.org/10.1038/s41557-026-02195-6" TargetMode="External"/><Relationship Id="rId991" Type="http://schemas.openxmlformats.org/officeDocument/2006/relationships/hyperlink" Target="https://pubs.acs.org/doi/10.1021/jacs.6c08426" TargetMode="External"/><Relationship Id="rId992" Type="http://schemas.openxmlformats.org/officeDocument/2006/relationships/hyperlink" Target="https://doi.org/10.1021/jacs.6c08426" TargetMode="External"/><Relationship Id="rId993" Type="http://schemas.openxmlformats.org/officeDocument/2006/relationships/hyperlink" Target="https://pubs.acs.org/doi/10.1021/jacs.6c08170" TargetMode="External"/><Relationship Id="rId994" Type="http://schemas.openxmlformats.org/officeDocument/2006/relationships/hyperlink" Target="https://doi.org/10.1021/jacs.6c08170" TargetMode="External"/><Relationship Id="rId995" Type="http://schemas.openxmlformats.org/officeDocument/2006/relationships/hyperlink" Target="https://www.nature.com/articles/d41586-026-01673-8" TargetMode="External"/><Relationship Id="rId996" Type="http://schemas.openxmlformats.org/officeDocument/2006/relationships/hyperlink" Target="https://doi.org/10.1038/d41586-026-01673-8" TargetMode="External"/><Relationship Id="rId997" Type="http://schemas.openxmlformats.org/officeDocument/2006/relationships/hyperlink" Target="https://www.nature.com/articles/s41586-026-10741-y" TargetMode="External"/><Relationship Id="rId998" Type="http://schemas.openxmlformats.org/officeDocument/2006/relationships/hyperlink" Target="https://doi.org/10.1038/s41586-026-10741-y" TargetMode="External"/><Relationship Id="rId999" Type="http://schemas.openxmlformats.org/officeDocument/2006/relationships/hyperlink" Target="https://academic.oup.com/nsr/advance-article/doi/10.1093/nsr/nwag415/8728727?rss=1" TargetMode="External"/><Relationship Id="rId1000" Type="http://schemas.openxmlformats.org/officeDocument/2006/relationships/hyperlink" Target="https://doi.org/10.1093/nsr/nwag415" TargetMode="External"/><Relationship Id="rId1001" Type="http://schemas.openxmlformats.org/officeDocument/2006/relationships/hyperlink" Target="https://www.sciencedirect.com/science/article/pii/S0301421526004167?dgcid=rss_sd_all" TargetMode="External"/><Relationship Id="rId1002" Type="http://schemas.openxmlformats.org/officeDocument/2006/relationships/hyperlink" Target="https://www.nature.com/articles/s41586-026-10755-6" TargetMode="External"/><Relationship Id="rId1003" Type="http://schemas.openxmlformats.org/officeDocument/2006/relationships/hyperlink" Target="https://doi.org/10.1038/s41586-026-10755-6" TargetMode="External"/><Relationship Id="rId1004" Type="http://schemas.openxmlformats.org/officeDocument/2006/relationships/hyperlink" Target="https://pubs.acs.org/doi/10.1021/acsami.6c06430" TargetMode="External"/><Relationship Id="rId1005" Type="http://schemas.openxmlformats.org/officeDocument/2006/relationships/hyperlink" Target="https://doi.org/10.1021/acsami.6c06430" TargetMode="External"/><Relationship Id="rId1006" Type="http://schemas.openxmlformats.org/officeDocument/2006/relationships/hyperlink" Target="https://www.nature.com/articles/s41467-026-75084-8" TargetMode="External"/><Relationship Id="rId1007" Type="http://schemas.openxmlformats.org/officeDocument/2006/relationships/hyperlink" Target="https://www.nature.com/articles/s41467-026-75274-4" TargetMode="External"/><Relationship Id="rId1008" Type="http://schemas.openxmlformats.org/officeDocument/2006/relationships/hyperlink" Target="https://www.nature.com/articles/s41467-026-75338-5" TargetMode="External"/><Relationship Id="rId1009" Type="http://schemas.openxmlformats.org/officeDocument/2006/relationships/hyperlink" Target="https://www.nature.com/articles/s41467-026-75329-6" TargetMode="External"/><Relationship Id="rId1010" Type="http://schemas.openxmlformats.org/officeDocument/2006/relationships/hyperlink" Target="https://www.nature.com/articles/s41467-026-75247-7" TargetMode="External"/><Relationship Id="rId1011" Type="http://schemas.openxmlformats.org/officeDocument/2006/relationships/hyperlink" Target="https://www.nature.com/articles/s41467-026-75356-3" TargetMode="External"/><Relationship Id="rId1012" Type="http://schemas.openxmlformats.org/officeDocument/2006/relationships/hyperlink" Target="https://www.nature.com/articles/s41467-026-75233-z" TargetMode="External"/><Relationship Id="rId1013" Type="http://schemas.openxmlformats.org/officeDocument/2006/relationships/hyperlink" Target="https://www.nature.com/articles/s41467-026-75298-w" TargetMode="External"/><Relationship Id="rId1014" Type="http://schemas.openxmlformats.org/officeDocument/2006/relationships/hyperlink" Target="https://www.nature.com/articles/s41467-026-75093-7" TargetMode="External"/><Relationship Id="rId1015" Type="http://schemas.openxmlformats.org/officeDocument/2006/relationships/hyperlink" Target="https://www.nature.com/articles/s41467-026-75169-4" TargetMode="External"/><Relationship Id="rId1016" Type="http://schemas.openxmlformats.org/officeDocument/2006/relationships/hyperlink" Target="https://www.nature.com/articles/s41467-026-75051-3" TargetMode="External"/><Relationship Id="rId1017" Type="http://schemas.openxmlformats.org/officeDocument/2006/relationships/hyperlink" Target="https://www.nature.com/articles/s41467-026-75134-1" TargetMode="External"/><Relationship Id="rId1018" Type="http://schemas.openxmlformats.org/officeDocument/2006/relationships/hyperlink" Target="https://www.pnas.org/doi/abs/10.1073/pnas.2617634123?mi=eymic2&amp;af=R&amp;access=on&amp;content=articlesChapters&amp;publication=pnas&amp;sortBy=Earliest&amp;target=default" TargetMode="External"/><Relationship Id="rId1019" Type="http://schemas.openxmlformats.org/officeDocument/2006/relationships/hyperlink" Target="https://doi.org/10.1073/pnas.2617634123" TargetMode="External"/><Relationship Id="rId1020" Type="http://schemas.openxmlformats.org/officeDocument/2006/relationships/hyperlink" Target="https://www.pnas.org/doi/abs/10.1073/pnas.2614459123?mi=eymic2&amp;af=R&amp;access=on&amp;content=articlesChapters&amp;publication=pnas&amp;sortBy=Earliest&amp;target=default" TargetMode="External"/><Relationship Id="rId1021" Type="http://schemas.openxmlformats.org/officeDocument/2006/relationships/hyperlink" Target="https://doi.org/10.1073/pnas.2614459123" TargetMode="External"/><Relationship Id="rId1022" Type="http://schemas.openxmlformats.org/officeDocument/2006/relationships/hyperlink" Target="https://www.science.org/doi/abs/10.1126/sciadv.aed0407?af=R" TargetMode="External"/><Relationship Id="rId1023" Type="http://schemas.openxmlformats.org/officeDocument/2006/relationships/hyperlink" Target="https://doi.org/10.1126/sciadv.aed0407" TargetMode="External"/><Relationship Id="rId1024" Type="http://schemas.openxmlformats.org/officeDocument/2006/relationships/hyperlink" Target="https://www.pnas.org/doi/abs/10.1073/pnas.2609861123?mi=eymic2&amp;af=R&amp;access=on&amp;content=articlesChapters&amp;publication=pnas&amp;sortBy=Earliest&amp;target=default" TargetMode="External"/><Relationship Id="rId1025" Type="http://schemas.openxmlformats.org/officeDocument/2006/relationships/hyperlink" Target="https://doi.org/10.1073/pnas.2609861123" TargetMode="External"/><Relationship Id="rId1026" Type="http://schemas.openxmlformats.org/officeDocument/2006/relationships/hyperlink" Target="https://www.pnas.org/doi/abs/10.1073/pnas.2606113123?mi=eymic2&amp;af=R&amp;access=on&amp;content=articlesChapters&amp;publication=pnas&amp;sortBy=Earliest&amp;target=default" TargetMode="External"/><Relationship Id="rId1027" Type="http://schemas.openxmlformats.org/officeDocument/2006/relationships/hyperlink" Target="https://doi.org/10.1073/pnas.2606113123" TargetMode="External"/><Relationship Id="rId1028" Type="http://schemas.openxmlformats.org/officeDocument/2006/relationships/hyperlink" Target="https://www.science.org/doi/abs/10.1126/sciadv.aee5201?af=R" TargetMode="External"/><Relationship Id="rId1029" Type="http://schemas.openxmlformats.org/officeDocument/2006/relationships/hyperlink" Target="https://doi.org/10.1126/sciadv.aee5201" TargetMode="External"/><Relationship Id="rId1030" Type="http://schemas.openxmlformats.org/officeDocument/2006/relationships/hyperlink" Target="https://www.science.org/doi/abs/10.1126/sciadv.aef3784?af=R" TargetMode="External"/><Relationship Id="rId1031" Type="http://schemas.openxmlformats.org/officeDocument/2006/relationships/hyperlink" Target="https://doi.org/10.1126/sciadv.aef3784" TargetMode="External"/><Relationship Id="rId1032" Type="http://schemas.openxmlformats.org/officeDocument/2006/relationships/hyperlink" Target="https://www.science.org/doi/abs/10.1126/sciadv.aej6847?af=R" TargetMode="External"/><Relationship Id="rId1033" Type="http://schemas.openxmlformats.org/officeDocument/2006/relationships/hyperlink" Target="https://doi.org/10.1126/sciadv.aej6847" TargetMode="External"/><Relationship Id="rId1034" Type="http://schemas.openxmlformats.org/officeDocument/2006/relationships/hyperlink" Target="https://www.science.org/doi/abs/10.1126/sciadv.aec5395?af=R" TargetMode="External"/><Relationship Id="rId1035" Type="http://schemas.openxmlformats.org/officeDocument/2006/relationships/hyperlink" Target="https://doi.org/10.1126/sciadv.aec5395" TargetMode="External"/><Relationship Id="rId1036" Type="http://schemas.openxmlformats.org/officeDocument/2006/relationships/hyperlink" Target="https://www.pnas.org/doi/abs/10.1073/pnas.2605060123?mi=eymic2&amp;af=R&amp;access=on&amp;content=articlesChapters&amp;publication=pnas&amp;sortBy=Earliest&amp;target=default" TargetMode="External"/><Relationship Id="rId1037" Type="http://schemas.openxmlformats.org/officeDocument/2006/relationships/hyperlink" Target="https://doi.org/10.1073/pnas.2605060123" TargetMode="External"/><Relationship Id="rId1038" Type="http://schemas.openxmlformats.org/officeDocument/2006/relationships/hyperlink" Target="https://www.pnas.org/doi/abs/10.1073/pnas.2621353123?mi=eymic2&amp;af=R&amp;access=on&amp;content=articlesChapters&amp;publication=pnas&amp;sortBy=Earliest&amp;target=default" TargetMode="External"/><Relationship Id="rId1039" Type="http://schemas.openxmlformats.org/officeDocument/2006/relationships/hyperlink" Target="https://doi.org/10.1073/pnas.2621353123" TargetMode="External"/><Relationship Id="rId1040" Type="http://schemas.openxmlformats.org/officeDocument/2006/relationships/hyperlink" Target="https://www.science.org/doi/abs/10.1126/sciadv.aee2207?af=R" TargetMode="External"/><Relationship Id="rId1041" Type="http://schemas.openxmlformats.org/officeDocument/2006/relationships/hyperlink" Target="https://doi.org/10.1126/sciadv.aee2207" TargetMode="External"/><Relationship Id="rId1042" Type="http://schemas.openxmlformats.org/officeDocument/2006/relationships/hyperlink" Target="https://www.science.org/doi/abs/10.1126/sciadv.adx3012?af=R" TargetMode="External"/><Relationship Id="rId1043" Type="http://schemas.openxmlformats.org/officeDocument/2006/relationships/hyperlink" Target="https://doi.org/10.1126/sciadv.adx3012" TargetMode="External"/><Relationship Id="rId1044" Type="http://schemas.openxmlformats.org/officeDocument/2006/relationships/hyperlink" Target="https://www.science.org/doi/abs/10.1126/sciadv.aea2067?af=R" TargetMode="External"/><Relationship Id="rId1045" Type="http://schemas.openxmlformats.org/officeDocument/2006/relationships/hyperlink" Target="https://doi.org/10.1126/sciadv.aea2067" TargetMode="External"/><Relationship Id="rId1046" Type="http://schemas.openxmlformats.org/officeDocument/2006/relationships/hyperlink" Target="https://www.pnas.org/doi/abs/10.1073/pnas.2611196123?mi=eymic2&amp;af=R&amp;access=on&amp;content=articlesChapters&amp;publication=pnas&amp;sortBy=Earliest&amp;target=default" TargetMode="External"/><Relationship Id="rId1047" Type="http://schemas.openxmlformats.org/officeDocument/2006/relationships/hyperlink" Target="https://doi.org/10.1073/pnas.2611196123" TargetMode="External"/><Relationship Id="rId1048" Type="http://schemas.openxmlformats.org/officeDocument/2006/relationships/hyperlink" Target="https://www.science.org/doi/abs/10.1126/sciadv.aeb2892?af=R" TargetMode="External"/><Relationship Id="rId1049" Type="http://schemas.openxmlformats.org/officeDocument/2006/relationships/hyperlink" Target="https://doi.org/10.1126/sciadv.aeb2892" TargetMode="External"/><Relationship Id="rId1050" Type="http://schemas.openxmlformats.org/officeDocument/2006/relationships/hyperlink" Target="https://www.science.org/doi/abs/10.1126/sciadv.aec8032?af=R" TargetMode="External"/><Relationship Id="rId1051" Type="http://schemas.openxmlformats.org/officeDocument/2006/relationships/hyperlink" Target="https://doi.org/10.1126/sciadv.aec8032" TargetMode="External"/><Relationship Id="rId1052" Type="http://schemas.openxmlformats.org/officeDocument/2006/relationships/hyperlink" Target="https://www.science.org/doi/abs/10.1126/sciadv.aec5707?af=R" TargetMode="External"/><Relationship Id="rId1053" Type="http://schemas.openxmlformats.org/officeDocument/2006/relationships/hyperlink" Target="https://doi.org/10.1126/sciadv.aec5707" TargetMode="External"/><Relationship Id="rId1054" Type="http://schemas.openxmlformats.org/officeDocument/2006/relationships/hyperlink" Target="https://www.science.org/doi/abs/10.1126/sciadv.aec3544?af=R" TargetMode="External"/><Relationship Id="rId1055" Type="http://schemas.openxmlformats.org/officeDocument/2006/relationships/hyperlink" Target="https://doi.org/10.1126/sciadv.aec3544" TargetMode="External"/><Relationship Id="rId1056" Type="http://schemas.openxmlformats.org/officeDocument/2006/relationships/hyperlink" Target="https://www.science.org/doi/abs/10.1126/sciadv.aeb5193?af=R" TargetMode="External"/><Relationship Id="rId1057" Type="http://schemas.openxmlformats.org/officeDocument/2006/relationships/hyperlink" Target="https://doi.org/10.1126/sciadv.aeb5193" TargetMode="External"/><Relationship Id="rId1058" Type="http://schemas.openxmlformats.org/officeDocument/2006/relationships/hyperlink" Target="https://www.science.org/doi/abs/10.1126/sciadv.aec3522?af=R" TargetMode="External"/><Relationship Id="rId1059" Type="http://schemas.openxmlformats.org/officeDocument/2006/relationships/hyperlink" Target="https://doi.org/10.1126/sciadv.aec3522" TargetMode="External"/><Relationship Id="rId1060" Type="http://schemas.openxmlformats.org/officeDocument/2006/relationships/hyperlink" Target="https://www.science.org/doi/abs/10.1126/sciadv.aee2319?af=R" TargetMode="External"/><Relationship Id="rId1061" Type="http://schemas.openxmlformats.org/officeDocument/2006/relationships/hyperlink" Target="https://doi.org/10.1126/sciadv.aee2319" TargetMode="External"/><Relationship Id="rId1062" Type="http://schemas.openxmlformats.org/officeDocument/2006/relationships/hyperlink" Target="https://www.science.org/doi/abs/10.1126/sciadv.adw9449?af=R" TargetMode="External"/><Relationship Id="rId1063" Type="http://schemas.openxmlformats.org/officeDocument/2006/relationships/hyperlink" Target="https://doi.org/10.1126/sciadv.adw9449" TargetMode="External"/><Relationship Id="rId1064" Type="http://schemas.openxmlformats.org/officeDocument/2006/relationships/hyperlink" Target="https://www.science.org/doi/abs/10.1126/sciadv.aed4545?af=R" TargetMode="External"/><Relationship Id="rId1065" Type="http://schemas.openxmlformats.org/officeDocument/2006/relationships/hyperlink" Target="https://doi.org/10.1126/sciadv.aed4545" TargetMode="External"/><Relationship Id="rId1066" Type="http://schemas.openxmlformats.org/officeDocument/2006/relationships/hyperlink" Target="https://www.science.org/doi/abs/10.1126/sciadv.aee2277?af=R" TargetMode="External"/><Relationship Id="rId1067" Type="http://schemas.openxmlformats.org/officeDocument/2006/relationships/hyperlink" Target="https://doi.org/10.1126/sciadv.aee2277" TargetMode="External"/><Relationship Id="rId1068" Type="http://schemas.openxmlformats.org/officeDocument/2006/relationships/hyperlink" Target="https://www.science.org/doi/abs/10.1126/sciadv.aed2056?af=R" TargetMode="External"/><Relationship Id="rId1069" Type="http://schemas.openxmlformats.org/officeDocument/2006/relationships/hyperlink" Target="https://doi.org/10.1126/sciadv.aed2056" TargetMode="External"/><Relationship Id="rId1070" Type="http://schemas.openxmlformats.org/officeDocument/2006/relationships/hyperlink" Target="https://www.science.org/doi/abs/10.1126/sciadv.aeb0234?af=R" TargetMode="External"/><Relationship Id="rId1071" Type="http://schemas.openxmlformats.org/officeDocument/2006/relationships/hyperlink" Target="https://doi.org/10.1126/sciadv.aeb0234" TargetMode="External"/><Relationship Id="rId1072" Type="http://schemas.openxmlformats.org/officeDocument/2006/relationships/hyperlink" Target="https://www.pnas.org/doi/abs/10.1073/pnas.2600030123?mi=eymic2&amp;af=R&amp;access=on&amp;content=articlesChapters&amp;publication=pnas&amp;sortBy=Earliest&amp;target=default" TargetMode="External"/><Relationship Id="rId1073" Type="http://schemas.openxmlformats.org/officeDocument/2006/relationships/hyperlink" Target="https://doi.org/10.1073/pnas.2600030123" TargetMode="External"/><Relationship Id="rId1074" Type="http://schemas.openxmlformats.org/officeDocument/2006/relationships/hyperlink" Target="https://www.pnas.org/doi/abs/10.1073/pnas.2537622123?mi=eymic2&amp;af=R&amp;access=on&amp;content=articlesChapters&amp;publication=pnas&amp;sortBy=Earliest&amp;target=default" TargetMode="External"/><Relationship Id="rId1075" Type="http://schemas.openxmlformats.org/officeDocument/2006/relationships/hyperlink" Target="https://doi.org/10.1073/pnas.2537622123" TargetMode="External"/><Relationship Id="rId1076" Type="http://schemas.openxmlformats.org/officeDocument/2006/relationships/hyperlink" Target="https://www.pnas.org/doi/abs/10.1073/pnas.2537390123?mi=eymic2&amp;af=R&amp;access=on&amp;content=articlesChapters&amp;publication=pnas&amp;sortBy=Earliest&amp;target=default" TargetMode="External"/><Relationship Id="rId1077" Type="http://schemas.openxmlformats.org/officeDocument/2006/relationships/hyperlink" Target="https://doi.org/10.1073/pnas.2537390123" TargetMode="External"/><Relationship Id="rId1078" Type="http://schemas.openxmlformats.org/officeDocument/2006/relationships/hyperlink" Target="https://www.pnas.org/doi/abs/10.1073/pnas.2536812123?mi=eymic2&amp;af=R&amp;access=on&amp;content=articlesChapters&amp;publication=pnas&amp;sortBy=Earliest&amp;target=default" TargetMode="External"/><Relationship Id="rId1079" Type="http://schemas.openxmlformats.org/officeDocument/2006/relationships/hyperlink" Target="https://doi.org/10.1073/pnas.2536812123" TargetMode="External"/><Relationship Id="rId1080" Type="http://schemas.openxmlformats.org/officeDocument/2006/relationships/hyperlink" Target="https://www.pnas.org/doi/abs/10.1073/pnas.2525718123?mi=eymic2&amp;af=R&amp;access=on&amp;content=articlesChapters&amp;publication=pnas&amp;sortBy=Earliest&amp;target=default" TargetMode="External"/><Relationship Id="rId1081" Type="http://schemas.openxmlformats.org/officeDocument/2006/relationships/hyperlink" Target="https://doi.org/10.1073/pnas.2525718123" TargetMode="External"/><Relationship Id="rId1082" Type="http://schemas.openxmlformats.org/officeDocument/2006/relationships/hyperlink" Target="https://www.pnas.org/doi/abs/10.1073/pnas.2532072123?mi=eymic2&amp;af=R&amp;access=on&amp;content=articlesChapters&amp;publication=pnas&amp;sortBy=Earliest&amp;target=default" TargetMode="External"/><Relationship Id="rId1083" Type="http://schemas.openxmlformats.org/officeDocument/2006/relationships/hyperlink" Target="https://doi.org/10.1073/pnas.2532072123" TargetMode="External"/><Relationship Id="rId1084" Type="http://schemas.openxmlformats.org/officeDocument/2006/relationships/hyperlink" Target="https://www.pnas.org/doi/abs/10.1073/pnas.2530907123?mi=eymic2&amp;af=R&amp;access=on&amp;content=articlesChapters&amp;publication=pnas&amp;sortBy=Earliest&amp;target=default" TargetMode="External"/><Relationship Id="rId1085" Type="http://schemas.openxmlformats.org/officeDocument/2006/relationships/hyperlink" Target="https://doi.org/10.1073/pnas.2530907123" TargetMode="External"/><Relationship Id="rId1086" Type="http://schemas.openxmlformats.org/officeDocument/2006/relationships/hyperlink" Target="https://www.pnas.org/doi/abs/10.1073/pnas.2530131123?mi=eymic2&amp;af=R&amp;access=on&amp;content=articlesChapters&amp;publication=pnas&amp;sortBy=Earliest&amp;target=default" TargetMode="External"/><Relationship Id="rId1087" Type="http://schemas.openxmlformats.org/officeDocument/2006/relationships/hyperlink" Target="https://doi.org/10.1073/pnas.2530131123" TargetMode="External"/><Relationship Id="rId1088" Type="http://schemas.openxmlformats.org/officeDocument/2006/relationships/hyperlink" Target="https://www.pnas.org/doi/abs/10.1073/pnas.2516670123?mi=eymic2&amp;af=R&amp;access=on&amp;content=articlesChapters&amp;publication=pnas&amp;sortBy=Earliest&amp;target=default" TargetMode="External"/><Relationship Id="rId1089" Type="http://schemas.openxmlformats.org/officeDocument/2006/relationships/hyperlink" Target="https://doi.org/10.1073/pnas.2516670123" TargetMode="External"/><Relationship Id="rId1090" Type="http://schemas.openxmlformats.org/officeDocument/2006/relationships/hyperlink" Target="https://www.pnas.org/doi/abs/10.1073/pnas.2535467123?mi=eymic2&amp;af=R&amp;access=on&amp;content=articlesChapters&amp;publication=pnas&amp;sortBy=Earliest&amp;target=default" TargetMode="External"/><Relationship Id="rId1091" Type="http://schemas.openxmlformats.org/officeDocument/2006/relationships/hyperlink" Target="https://doi.org/10.1073/pnas.2535467123" TargetMode="External"/><Relationship Id="rId1092" Type="http://schemas.openxmlformats.org/officeDocument/2006/relationships/hyperlink" Target="https://www.pnas.org/doi/abs/10.1073/pnas.2600746123?mi=eymic2&amp;af=R&amp;access=on&amp;content=articlesChapters&amp;publication=pnas&amp;sortBy=Earliest&amp;target=default" TargetMode="External"/><Relationship Id="rId1093" Type="http://schemas.openxmlformats.org/officeDocument/2006/relationships/hyperlink" Target="https://doi.org/10.1073/pnas.2600746123" TargetMode="External"/><Relationship Id="rId1094" Type="http://schemas.openxmlformats.org/officeDocument/2006/relationships/hyperlink" Target="https://www.pnas.org/doi/abs/10.1073/pnas.2603575123?mi=eymic2&amp;af=R&amp;access=on&amp;content=articlesChapters&amp;publication=pnas&amp;sortBy=Earliest&amp;target=default" TargetMode="External"/><Relationship Id="rId1095" Type="http://schemas.openxmlformats.org/officeDocument/2006/relationships/hyperlink" Target="https://doi.org/10.1073/pnas.2603575123" TargetMode="External"/><Relationship Id="rId1096" Type="http://schemas.openxmlformats.org/officeDocument/2006/relationships/hyperlink" Target="https://www.pnas.org/doi/abs/10.1073/pnas.2601661123?mi=eymic2&amp;af=R&amp;access=on&amp;content=articlesChapters&amp;publication=pnas&amp;sortBy=Earliest&amp;target=default" TargetMode="External"/><Relationship Id="rId1097" Type="http://schemas.openxmlformats.org/officeDocument/2006/relationships/hyperlink" Target="https://doi.org/10.1073/pnas.2601661123" TargetMode="External"/><Relationship Id="rId1098" Type="http://schemas.openxmlformats.org/officeDocument/2006/relationships/hyperlink" Target="https://www.science.org/doi/abs/10.1126/sciadv.aed7827?af=R" TargetMode="External"/><Relationship Id="rId1099" Type="http://schemas.openxmlformats.org/officeDocument/2006/relationships/hyperlink" Target="https://doi.org/10.1126/sciadv.aed7827" TargetMode="External"/><Relationship Id="rId1100" Type="http://schemas.openxmlformats.org/officeDocument/2006/relationships/hyperlink" Target="https://www.science.org/doi/abs/10.1126/sciadv.aeb8052?af=R" TargetMode="External"/><Relationship Id="rId1101" Type="http://schemas.openxmlformats.org/officeDocument/2006/relationships/hyperlink" Target="https://doi.org/10.1126/sciadv.aeb8052" TargetMode="External"/><Relationship Id="rId1102" Type="http://schemas.openxmlformats.org/officeDocument/2006/relationships/hyperlink" Target="https://www.science.org/doi/abs/10.1126/sciadv.aeh4182?af=R" TargetMode="External"/><Relationship Id="rId1103" Type="http://schemas.openxmlformats.org/officeDocument/2006/relationships/hyperlink" Target="https://doi.org/10.1126/sciadv.aeh4182" TargetMode="External"/><Relationship Id="rId1104" Type="http://schemas.openxmlformats.org/officeDocument/2006/relationships/hyperlink" Target="https://www.science.org/doi/abs/10.1126/sciadv.aef9665?af=R" TargetMode="External"/><Relationship Id="rId1105" Type="http://schemas.openxmlformats.org/officeDocument/2006/relationships/hyperlink" Target="https://doi.org/10.1126/sciadv.aef9665" TargetMode="External"/><Relationship Id="rId1106" Type="http://schemas.openxmlformats.org/officeDocument/2006/relationships/hyperlink" Target="https://www.science.org/doi/abs/10.1126/sciadv.aed6477?af=R" TargetMode="External"/><Relationship Id="rId1107" Type="http://schemas.openxmlformats.org/officeDocument/2006/relationships/hyperlink" Target="https://doi.org/10.1126/sciadv.aed6477" TargetMode="External"/><Relationship Id="rId1108" Type="http://schemas.openxmlformats.org/officeDocument/2006/relationships/hyperlink" Target="https://www.science.org/doi/abs/10.1126/sciadv.aef2372?af=R" TargetMode="External"/><Relationship Id="rId1109" Type="http://schemas.openxmlformats.org/officeDocument/2006/relationships/hyperlink" Target="https://doi.org/10.1126/sciadv.aef2372" TargetMode="External"/><Relationship Id="rId1110" Type="http://schemas.openxmlformats.org/officeDocument/2006/relationships/hyperlink" Target="https://www.science.org/doi/abs/10.1126/sciadv.aed6073?af=R" TargetMode="External"/><Relationship Id="rId1111" Type="http://schemas.openxmlformats.org/officeDocument/2006/relationships/hyperlink" Target="https://doi.org/10.1126/sciadv.aed6073" TargetMode="External"/><Relationship Id="rId1112" Type="http://schemas.openxmlformats.org/officeDocument/2006/relationships/hyperlink" Target="https://www.science.org/doi/abs/10.1126/sciadv.aef6631?af=R" TargetMode="External"/><Relationship Id="rId1113" Type="http://schemas.openxmlformats.org/officeDocument/2006/relationships/hyperlink" Target="https://doi.org/10.1126/sciadv.aef6631" TargetMode="External"/><Relationship Id="rId1114" Type="http://schemas.openxmlformats.org/officeDocument/2006/relationships/hyperlink" Target="https://www.science.org/doi/abs/10.1126/sciadv.aef0161?af=R" TargetMode="External"/><Relationship Id="rId1115" Type="http://schemas.openxmlformats.org/officeDocument/2006/relationships/hyperlink" Target="https://doi.org/10.1126/sciadv.aef0161" TargetMode="External"/><Relationship Id="rId1116" Type="http://schemas.openxmlformats.org/officeDocument/2006/relationships/hyperlink" Target="https://www.science.org/doi/abs/10.1126/sciadv.aee9688?af=R" TargetMode="External"/><Relationship Id="rId1117" Type="http://schemas.openxmlformats.org/officeDocument/2006/relationships/hyperlink" Target="https://doi.org/10.1126/sciadv.aee9688" TargetMode="External"/><Relationship Id="rId1118" Type="http://schemas.openxmlformats.org/officeDocument/2006/relationships/hyperlink" Target="https://www.science.org/doi/abs/10.1126/sciadv.aee8616?af=R" TargetMode="External"/><Relationship Id="rId1119" Type="http://schemas.openxmlformats.org/officeDocument/2006/relationships/hyperlink" Target="https://doi.org/10.1126/sciadv.aee8616" TargetMode="External"/><Relationship Id="rId1120" Type="http://schemas.openxmlformats.org/officeDocument/2006/relationships/hyperlink" Target="https://www.pnas.org/doi/abs/10.1073/pnas.2602536123?mi=eymic2&amp;af=R&amp;access=on&amp;content=articlesChapters&amp;publication=pnas&amp;sortBy=Earliest&amp;target=default" TargetMode="External"/><Relationship Id="rId1121" Type="http://schemas.openxmlformats.org/officeDocument/2006/relationships/hyperlink" Target="https://doi.org/10.1073/pnas.2602536123" TargetMode="External"/><Relationship Id="rId1122" Type="http://schemas.openxmlformats.org/officeDocument/2006/relationships/hyperlink" Target="https://www.science.org/doi/abs/10.1126/sciadv.aee4031?af=R" TargetMode="External"/><Relationship Id="rId1123" Type="http://schemas.openxmlformats.org/officeDocument/2006/relationships/hyperlink" Target="https://doi.org/10.1126/sciadv.aee4031" TargetMode="External"/><Relationship Id="rId1124" Type="http://schemas.openxmlformats.org/officeDocument/2006/relationships/hyperlink" Target="https://www.science.org/doi/abs/10.1126/sciadv.aef0558?af=R" TargetMode="External"/><Relationship Id="rId1125" Type="http://schemas.openxmlformats.org/officeDocument/2006/relationships/hyperlink" Target="https://doi.org/10.1126/sciadv.aef0558" TargetMode="External"/><Relationship Id="rId1126" Type="http://schemas.openxmlformats.org/officeDocument/2006/relationships/hyperlink" Target="http://link.aps.org/doi/10.1103/46n3-pryp" TargetMode="External"/><Relationship Id="rId1127" Type="http://schemas.openxmlformats.org/officeDocument/2006/relationships/hyperlink" Target="https://doi.org/10.1103/46n3-pryp" TargetMode="External"/><Relationship Id="rId1128" Type="http://schemas.openxmlformats.org/officeDocument/2006/relationships/hyperlink" Target="http://link.aps.org/doi/10.1103/nhl8-kknn" TargetMode="External"/><Relationship Id="rId1129" Type="http://schemas.openxmlformats.org/officeDocument/2006/relationships/hyperlink" Target="https://doi.org/10.1103/nhl8-kknn" TargetMode="External"/><Relationship Id="rId1130" Type="http://schemas.openxmlformats.org/officeDocument/2006/relationships/hyperlink" Target="http://link.aps.org/doi/10.1103/9hkk-chws" TargetMode="External"/><Relationship Id="rId1131" Type="http://schemas.openxmlformats.org/officeDocument/2006/relationships/hyperlink" Target="https://doi.org/10.1103/9hkk-chws" TargetMode="External"/><Relationship Id="rId1132" Type="http://schemas.openxmlformats.org/officeDocument/2006/relationships/hyperlink" Target="http://link.aps.org/doi/10.1103/rkz9-xps2" TargetMode="External"/><Relationship Id="rId1133" Type="http://schemas.openxmlformats.org/officeDocument/2006/relationships/hyperlink" Target="https://doi.org/10.1103/rkz9-xps2" TargetMode="External"/><Relationship Id="rId1134" Type="http://schemas.openxmlformats.org/officeDocument/2006/relationships/hyperlink" Target="http://link.aps.org/doi/10.1103/q2cc-stbr" TargetMode="External"/><Relationship Id="rId1135" Type="http://schemas.openxmlformats.org/officeDocument/2006/relationships/hyperlink" Target="https://doi.org/10.1103/q2cc-stbr" TargetMode="External"/><Relationship Id="rId1136" Type="http://schemas.openxmlformats.org/officeDocument/2006/relationships/hyperlink" Target="http://link.aps.org/doi/10.1103/p5d8-548h" TargetMode="External"/><Relationship Id="rId1137" Type="http://schemas.openxmlformats.org/officeDocument/2006/relationships/hyperlink" Target="https://doi.org/10.1103/p5d8-548h" TargetMode="External"/><Relationship Id="rId1138" Type="http://schemas.openxmlformats.org/officeDocument/2006/relationships/hyperlink" Target="http://link.aps.org/doi/10.1103/zhs1-rv1k" TargetMode="External"/><Relationship Id="rId1139" Type="http://schemas.openxmlformats.org/officeDocument/2006/relationships/hyperlink" Target="https://doi.org/10.1103/zhs1-rv1k" TargetMode="External"/><Relationship Id="rId1140" Type="http://schemas.openxmlformats.org/officeDocument/2006/relationships/hyperlink" Target="http://link.aps.org/doi/10.1103/24g9-yn9d" TargetMode="External"/><Relationship Id="rId1141" Type="http://schemas.openxmlformats.org/officeDocument/2006/relationships/hyperlink" Target="https://doi.org/10.1103/24g9-yn9d" TargetMode="External"/><Relationship Id="rId1142" Type="http://schemas.openxmlformats.org/officeDocument/2006/relationships/hyperlink" Target="http://link.aps.org/doi/10.1103/bqzh-gy4n" TargetMode="External"/><Relationship Id="rId1143" Type="http://schemas.openxmlformats.org/officeDocument/2006/relationships/hyperlink" Target="https://doi.org/10.1103/bqzh-gy4n" TargetMode="External"/><Relationship Id="rId1144" Type="http://schemas.openxmlformats.org/officeDocument/2006/relationships/hyperlink" Target="http://link.aps.org/doi/10.1103/dmv6-7gdv" TargetMode="External"/><Relationship Id="rId1145" Type="http://schemas.openxmlformats.org/officeDocument/2006/relationships/hyperlink" Target="https://doi.org/10.1103/dmv6-7gdv" TargetMode="External"/><Relationship Id="rId1146" Type="http://schemas.openxmlformats.org/officeDocument/2006/relationships/hyperlink" Target="http://link.aps.org/doi/10.1103/mnwt-svrf" TargetMode="External"/><Relationship Id="rId1147" Type="http://schemas.openxmlformats.org/officeDocument/2006/relationships/hyperlink" Target="https://doi.org/10.1103/mnwt-svrf" TargetMode="External"/><Relationship Id="rId1148" Type="http://schemas.openxmlformats.org/officeDocument/2006/relationships/hyperlink" Target="http://link.aps.org/doi/10.1103/yxld-zwpq" TargetMode="External"/><Relationship Id="rId1149" Type="http://schemas.openxmlformats.org/officeDocument/2006/relationships/hyperlink" Target="https://doi.org/10.1103/yxld-zwpq" TargetMode="External"/><Relationship Id="rId1150" Type="http://schemas.openxmlformats.org/officeDocument/2006/relationships/hyperlink" Target="http://link.aps.org/doi/10.1103/dvj7-9thf" TargetMode="External"/><Relationship Id="rId1151" Type="http://schemas.openxmlformats.org/officeDocument/2006/relationships/hyperlink" Target="https://doi.org/10.1103/dvj7-9thf" TargetMode="External"/><Relationship Id="rId1152" Type="http://schemas.openxmlformats.org/officeDocument/2006/relationships/hyperlink" Target="http://link.aps.org/doi/10.1103/6qcc-wdtx" TargetMode="External"/><Relationship Id="rId1153" Type="http://schemas.openxmlformats.org/officeDocument/2006/relationships/hyperlink" Target="https://doi.org/10.1103/6qcc-wdtx" TargetMode="External"/><Relationship Id="rId1154" Type="http://schemas.openxmlformats.org/officeDocument/2006/relationships/hyperlink" Target="https://www.cell.com/one-earth/fulltext/S2590-3322(26)00153-3?rss=yes" TargetMode="External"/><Relationship Id="rId1155" Type="http://schemas.openxmlformats.org/officeDocument/2006/relationships/hyperlink" Target="https://doi.org/10.1016/j.oneear.2026.101752" TargetMode="External"/><Relationship Id="rId1156" Type="http://schemas.openxmlformats.org/officeDocument/2006/relationships/hyperlink" Target="https://academic.oup.com/nsr/advance-article/doi/10.1093/nsr/nwag406/8729093?rss=1" TargetMode="External"/><Relationship Id="rId1157" Type="http://schemas.openxmlformats.org/officeDocument/2006/relationships/hyperlink" Target="https://doi.org/10.1093/nsr/nwag406" TargetMode="External"/><Relationship Id="rId1158" Type="http://schemas.openxmlformats.org/officeDocument/2006/relationships/hyperlink" Target="https://www.sciencedirect.com/science/article/pii/S0306261926010160?dgcid=rss_sd_all" TargetMode="External"/><Relationship Id="rId1159" Type="http://schemas.openxmlformats.org/officeDocument/2006/relationships/hyperlink" Target="https://www.sciencedirect.com/science/article/pii/S0306261926010184?dgcid=rss_sd_all" TargetMode="External"/><Relationship Id="rId1160" Type="http://schemas.openxmlformats.org/officeDocument/2006/relationships/hyperlink" Target="https://www.sciencedirect.com/science/article/pii/S0306261926010007?dgcid=rss_sd_all" TargetMode="External"/><Relationship Id="rId1161" Type="http://schemas.openxmlformats.org/officeDocument/2006/relationships/hyperlink" Target="https://www.sciencedirect.com/science/article/pii/S0301421526004258?dgcid=rss_sd_all" TargetMode="External"/><Relationship Id="rId1162" Type="http://schemas.openxmlformats.org/officeDocument/2006/relationships/hyperlink" Target="https://www.sciencedirect.com/science/article/pii/S0301421526004209?dgcid=rss_sd_all" TargetMode="External"/><Relationship Id="rId1163" Type="http://schemas.openxmlformats.org/officeDocument/2006/relationships/hyperlink" Target="https://pubs.acs.org/doi/10.1021/acsenergylett.6c00963" TargetMode="External"/><Relationship Id="rId1164" Type="http://schemas.openxmlformats.org/officeDocument/2006/relationships/hyperlink" Target="https://doi.org/10.1021/acsenergylett.6c00963" TargetMode="External"/><Relationship Id="rId1165" Type="http://schemas.openxmlformats.org/officeDocument/2006/relationships/hyperlink" Target="https://pubs.acs.org/doi/10.1021/jacs.6c11290" TargetMode="External"/><Relationship Id="rId1166" Type="http://schemas.openxmlformats.org/officeDocument/2006/relationships/hyperlink" Target="https://doi.org/10.1021/jacs.6c11290" TargetMode="External"/><Relationship Id="rId1167" Type="http://schemas.openxmlformats.org/officeDocument/2006/relationships/hyperlink" Target="https://pubs.acs.org/doi/10.1021/jacs.6c09445" TargetMode="External"/><Relationship Id="rId1168" Type="http://schemas.openxmlformats.org/officeDocument/2006/relationships/hyperlink" Target="https://doi.org/10.1021/jacs.6c09445" TargetMode="External"/><Relationship Id="rId1169" Type="http://schemas.openxmlformats.org/officeDocument/2006/relationships/hyperlink" Target="https://pubs.acs.org/doi/10.1021/jacs.6c06607" TargetMode="External"/><Relationship Id="rId1170" Type="http://schemas.openxmlformats.org/officeDocument/2006/relationships/hyperlink" Target="https://doi.org/10.1021/jacs.6c06607" TargetMode="External"/><Relationship Id="rId1171" Type="http://schemas.openxmlformats.org/officeDocument/2006/relationships/hyperlink" Target="https://www.nature.com/articles/d41586-026-02114-2" TargetMode="External"/><Relationship Id="rId1172" Type="http://schemas.openxmlformats.org/officeDocument/2006/relationships/hyperlink" Target="https://doi.org/10.1038/d41586-026-02114-2" TargetMode="External"/><Relationship Id="rId1173" Type="http://schemas.openxmlformats.org/officeDocument/2006/relationships/hyperlink" Target="https://pubs.acs.org/doi/10.1021/acsami.6c09160" TargetMode="External"/><Relationship Id="rId1174" Type="http://schemas.openxmlformats.org/officeDocument/2006/relationships/hyperlink" Target="https://doi.org/10.1021/acsami.6c09160" TargetMode="External"/><Relationship Id="rId1175" Type="http://schemas.openxmlformats.org/officeDocument/2006/relationships/hyperlink" Target="https://pubs.acs.org/doi/10.1021/acsami.6c07701" TargetMode="External"/><Relationship Id="rId1176" Type="http://schemas.openxmlformats.org/officeDocument/2006/relationships/hyperlink" Target="https://doi.org/10.1021/acsami.6c07701" TargetMode="External"/><Relationship Id="rId1177" Type="http://schemas.openxmlformats.org/officeDocument/2006/relationships/hyperlink" Target="https://pubs.acs.org/doi/10.1021/jacs.6c04291" TargetMode="External"/><Relationship Id="rId1178" Type="http://schemas.openxmlformats.org/officeDocument/2006/relationships/hyperlink" Target="https://doi.org/10.1021/jacs.6c04291" TargetMode="External"/><Relationship Id="rId1179" Type="http://schemas.openxmlformats.org/officeDocument/2006/relationships/hyperlink" Target="https://pubs.acs.org/doi/10.1021/acsami.6c06526" TargetMode="External"/><Relationship Id="rId1180" Type="http://schemas.openxmlformats.org/officeDocument/2006/relationships/hyperlink" Target="https://doi.org/10.1021/acsami.6c06526" TargetMode="External"/><Relationship Id="rId1181" Type="http://schemas.openxmlformats.org/officeDocument/2006/relationships/hyperlink" Target="https://www.nature.com/articles/s41467-026-74411-3" TargetMode="External"/><Relationship Id="rId1182" Type="http://schemas.openxmlformats.org/officeDocument/2006/relationships/hyperlink" Target="https://pubs.acs.org/doi/10.1021/acsami.6c08397" TargetMode="External"/><Relationship Id="rId1183" Type="http://schemas.openxmlformats.org/officeDocument/2006/relationships/hyperlink" Target="https://doi.org/10.1021/acsami.6c08397" TargetMode="External"/><Relationship Id="rId1184" Type="http://schemas.openxmlformats.org/officeDocument/2006/relationships/hyperlink" Target="https://pubs.acs.org/doi/10.1021/acsami.6c05694" TargetMode="External"/><Relationship Id="rId1185" Type="http://schemas.openxmlformats.org/officeDocument/2006/relationships/hyperlink" Target="https://doi.org/10.1021/acsami.6c05694" TargetMode="External"/><Relationship Id="rId1186" Type="http://schemas.openxmlformats.org/officeDocument/2006/relationships/hyperlink" Target="https://www.nature.com/articles/s41565-026-02220-2" TargetMode="External"/><Relationship Id="rId1187" Type="http://schemas.openxmlformats.org/officeDocument/2006/relationships/hyperlink" Target="https://doi.org/10.1038/s41565-026-02220-2" TargetMode="External"/><Relationship Id="rId1188" Type="http://schemas.openxmlformats.org/officeDocument/2006/relationships/hyperlink" Target="https://www.nature.com/articles/d41586-026-01242-z" TargetMode="External"/><Relationship Id="rId1189" Type="http://schemas.openxmlformats.org/officeDocument/2006/relationships/hyperlink" Target="https://doi.org/10.1038/d41586-026-01242-z" TargetMode="External"/><Relationship Id="rId1190" Type="http://schemas.openxmlformats.org/officeDocument/2006/relationships/hyperlink" Target="https://academic.oup.com/nsr/advance-article/doi/10.1093/nsr/nwag419/8729105?rss=1" TargetMode="External"/><Relationship Id="rId1191" Type="http://schemas.openxmlformats.org/officeDocument/2006/relationships/hyperlink" Target="https://doi.org/10.1093/nsr/nwag419" TargetMode="External"/><Relationship Id="rId1192" Type="http://schemas.openxmlformats.org/officeDocument/2006/relationships/hyperlink" Target="https://pubs.acs.org/doi/10.1021/jacs.5c19090" TargetMode="External"/><Relationship Id="rId1193" Type="http://schemas.openxmlformats.org/officeDocument/2006/relationships/hyperlink" Target="https://doi.org/10.1021/jacs.5c19090" TargetMode="External"/><Relationship Id="rId1194" Type="http://schemas.openxmlformats.org/officeDocument/2006/relationships/hyperlink" Target="https://pubs.acs.org/doi/10.1021/jacs.6c06695" TargetMode="External"/><Relationship Id="rId1195" Type="http://schemas.openxmlformats.org/officeDocument/2006/relationships/hyperlink" Target="https://doi.org/10.1021/jacs.6c06695" TargetMode="External"/><Relationship Id="rId1196" Type="http://schemas.openxmlformats.org/officeDocument/2006/relationships/hyperlink" Target="https://www.nature.com/articles/d41586-026-02112-4" TargetMode="External"/><Relationship Id="rId1197" Type="http://schemas.openxmlformats.org/officeDocument/2006/relationships/hyperlink" Target="https://doi.org/10.1038/d41586-026-02112-4" TargetMode="External"/><Relationship Id="rId1198" Type="http://schemas.openxmlformats.org/officeDocument/2006/relationships/hyperlink" Target="https://pubs.acs.org/doi/10.1021/jacs.6c07374" TargetMode="External"/><Relationship Id="rId1199" Type="http://schemas.openxmlformats.org/officeDocument/2006/relationships/hyperlink" Target="https://doi.org/10.1021/jacs.6c07374" TargetMode="External"/><Relationship Id="rId1200" Type="http://schemas.openxmlformats.org/officeDocument/2006/relationships/hyperlink" Target="https://pubs.acs.org/doi/10.1021/jacs.6c07877" TargetMode="External"/><Relationship Id="rId1201" Type="http://schemas.openxmlformats.org/officeDocument/2006/relationships/hyperlink" Target="https://doi.org/10.1021/jacs.6c07877" TargetMode="External"/><Relationship Id="rId1202" Type="http://schemas.openxmlformats.org/officeDocument/2006/relationships/hyperlink" Target="https://pubs.acs.org/doi/10.1021/acsami.6c07675" TargetMode="External"/><Relationship Id="rId1203" Type="http://schemas.openxmlformats.org/officeDocument/2006/relationships/hyperlink" Target="https://doi.org/10.1021/acsami.6c07675" TargetMode="External"/><Relationship Id="rId1204" Type="http://schemas.openxmlformats.org/officeDocument/2006/relationships/hyperlink" Target="https://www.nature.com/articles/d41586-026-02057-8" TargetMode="External"/><Relationship Id="rId1205" Type="http://schemas.openxmlformats.org/officeDocument/2006/relationships/hyperlink" Target="https://doi.org/10.1038/d41586-026-02057-8" TargetMode="External"/><Relationship Id="rId1206" Type="http://schemas.openxmlformats.org/officeDocument/2006/relationships/hyperlink" Target="https://www.nature.com/articles/s41467-026-75359-0" TargetMode="External"/><Relationship Id="rId1207" Type="http://schemas.openxmlformats.org/officeDocument/2006/relationships/hyperlink" Target="https://www.nature.com/articles/s41467-026-75450-6" TargetMode="External"/><Relationship Id="rId1208" Type="http://schemas.openxmlformats.org/officeDocument/2006/relationships/hyperlink" Target="https://www.nature.com/articles/s41467-026-75475-x" TargetMode="External"/><Relationship Id="rId1209" Type="http://schemas.openxmlformats.org/officeDocument/2006/relationships/hyperlink" Target="https://www.nature.com/articles/s41467-026-75151-0" TargetMode="External"/><Relationship Id="rId1210" Type="http://schemas.openxmlformats.org/officeDocument/2006/relationships/hyperlink" Target="https://www.nature.com/articles/s41467-026-75290-4" TargetMode="External"/><Relationship Id="rId1211" Type="http://schemas.openxmlformats.org/officeDocument/2006/relationships/hyperlink" Target="https://www.nature.com/articles/s41467-026-75173-8" TargetMode="External"/><Relationship Id="rId1212" Type="http://schemas.openxmlformats.org/officeDocument/2006/relationships/hyperlink" Target="https://www.nature.com/articles/s41467-026-75343-8" TargetMode="External"/><Relationship Id="rId1213" Type="http://schemas.openxmlformats.org/officeDocument/2006/relationships/hyperlink" Target="https://www.nature.com/articles/s41467-026-75242-y" TargetMode="External"/><Relationship Id="rId1214" Type="http://schemas.openxmlformats.org/officeDocument/2006/relationships/hyperlink" Target="https://www.nature.com/articles/s41467-026-75299-9" TargetMode="External"/><Relationship Id="rId1215" Type="http://schemas.openxmlformats.org/officeDocument/2006/relationships/hyperlink" Target="https://www.nature.com/articles/s41467-026-75412-y" TargetMode="External"/><Relationship Id="rId1216" Type="http://schemas.openxmlformats.org/officeDocument/2006/relationships/hyperlink" Target="https://www.nature.com/articles/s41467-026-75488-6" TargetMode="External"/><Relationship Id="rId1217" Type="http://schemas.openxmlformats.org/officeDocument/2006/relationships/hyperlink" Target="https://www.nature.com/articles/s41467-026-75395-w" TargetMode="External"/><Relationship Id="rId1218" Type="http://schemas.openxmlformats.org/officeDocument/2006/relationships/hyperlink" Target="https://www.nature.com/articles/s41467-026-74922-z" TargetMode="External"/><Relationship Id="rId1219" Type="http://schemas.openxmlformats.org/officeDocument/2006/relationships/hyperlink" Target="https://www.nature.com/articles/s41467-026-74597-6" TargetMode="External"/><Relationship Id="rId1220" Type="http://schemas.openxmlformats.org/officeDocument/2006/relationships/hyperlink" Target="https://www.nature.com/articles/s41467-026-74527-6" TargetMode="External"/><Relationship Id="rId1221" Type="http://schemas.openxmlformats.org/officeDocument/2006/relationships/hyperlink" Target="https://www.nature.com/articles/s41467-026-75255-7" TargetMode="External"/><Relationship Id="rId1222" Type="http://schemas.openxmlformats.org/officeDocument/2006/relationships/hyperlink" Target="https://www.nature.com/articles/s41467-026-75040-6" TargetMode="External"/><Relationship Id="rId1223" Type="http://schemas.openxmlformats.org/officeDocument/2006/relationships/hyperlink" Target="https://www.nature.com/articles/s41467-026-74865-5" TargetMode="External"/><Relationship Id="rId1224" Type="http://schemas.openxmlformats.org/officeDocument/2006/relationships/hyperlink" Target="https://www.nature.com/articles/s41467-026-75227-x" TargetMode="External"/><Relationship Id="rId1225" Type="http://schemas.openxmlformats.org/officeDocument/2006/relationships/hyperlink" Target="https://www.nature.com/articles/s41467-026-75002-y" TargetMode="External"/><Relationship Id="rId1226" Type="http://schemas.openxmlformats.org/officeDocument/2006/relationships/hyperlink" Target="https://www.nature.com/articles/s41467-026-74845-9" TargetMode="External"/><Relationship Id="rId1227" Type="http://schemas.openxmlformats.org/officeDocument/2006/relationships/hyperlink" Target="https://www.nature.com/articles/s41467-026-75041-5" TargetMode="External"/><Relationship Id="rId1228" Type="http://schemas.openxmlformats.org/officeDocument/2006/relationships/hyperlink" Target="https://www.nature.com/articles/s41467-026-75332-x" TargetMode="External"/><Relationship Id="rId1229" Type="http://schemas.openxmlformats.org/officeDocument/2006/relationships/hyperlink" Target="https://www.nature.com/articles/s41467-026-75466-y" TargetMode="External"/><Relationship Id="rId1230" Type="http://schemas.openxmlformats.org/officeDocument/2006/relationships/hyperlink" Target="https://www.nature.com/articles/s41467-026-75460-4" TargetMode="External"/><Relationship Id="rId1231" Type="http://schemas.openxmlformats.org/officeDocument/2006/relationships/hyperlink" Target="https://www.nature.com/articles/s41467-026-75318-9" TargetMode="External"/><Relationship Id="rId1232" Type="http://schemas.openxmlformats.org/officeDocument/2006/relationships/hyperlink" Target="https://www.nature.com/articles/s41467-026-74468-0" TargetMode="External"/><Relationship Id="rId1233" Type="http://schemas.openxmlformats.org/officeDocument/2006/relationships/hyperlink" Target="https://www.nature.com/articles/s41467-026-73809-3" TargetMode="External"/><Relationship Id="rId1234" Type="http://schemas.openxmlformats.org/officeDocument/2006/relationships/hyperlink" Target="https://www.nature.com/articles/s41467-026-74825-z" TargetMode="External"/><Relationship Id="rId1235" Type="http://schemas.openxmlformats.org/officeDocument/2006/relationships/hyperlink" Target="https://www.nature.com/articles/s41467-026-75442-6" TargetMode="External"/><Relationship Id="rId1236" Type="http://schemas.openxmlformats.org/officeDocument/2006/relationships/hyperlink" Target="https://www.nature.com/articles/d41586-026-01357-3" TargetMode="External"/><Relationship Id="rId1237" Type="http://schemas.openxmlformats.org/officeDocument/2006/relationships/hyperlink" Target="https://doi.org/10.1038/d41586-026-01357-3" TargetMode="External"/><Relationship Id="rId1238" Type="http://schemas.openxmlformats.org/officeDocument/2006/relationships/hyperlink" Target="https://www.nature.com/articles/s41467-026-75496-6" TargetMode="External"/><Relationship Id="rId1239" Type="http://schemas.openxmlformats.org/officeDocument/2006/relationships/hyperlink" Target="https://www.nature.com/articles/s41467-026-75461-3" TargetMode="External"/><Relationship Id="rId1240" Type="http://schemas.openxmlformats.org/officeDocument/2006/relationships/hyperlink" Target="https://www.nature.com/articles/s41467-026-74888-y" TargetMode="External"/><Relationship Id="rId1241" Type="http://schemas.openxmlformats.org/officeDocument/2006/relationships/hyperlink" Target="https://www.nature.com/articles/s41467-026-75363-4" TargetMode="External"/><Relationship Id="rId1242" Type="http://schemas.openxmlformats.org/officeDocument/2006/relationships/hyperlink" Target="https://www.nature.com/articles/s41467-026-75410-0" TargetMode="External"/><Relationship Id="rId1243" Type="http://schemas.openxmlformats.org/officeDocument/2006/relationships/hyperlink" Target="https://www.nature.com/articles/s41467-026-75205-3" TargetMode="External"/><Relationship Id="rId1244" Type="http://schemas.openxmlformats.org/officeDocument/2006/relationships/hyperlink" Target="https://www.nature.com/articles/s41467-026-74904-1" TargetMode="External"/><Relationship Id="rId1245" Type="http://schemas.openxmlformats.org/officeDocument/2006/relationships/hyperlink" Target="https://www.nature.com/articles/s41467-026-75334-9" TargetMode="External"/><Relationship Id="rId1246" Type="http://schemas.openxmlformats.org/officeDocument/2006/relationships/hyperlink" Target="https://www.nature.com/articles/s41467-026-75337-6" TargetMode="External"/><Relationship Id="rId1247" Type="http://schemas.openxmlformats.org/officeDocument/2006/relationships/hyperlink" Target="https://www.nature.com/articles/s41467-026-75421-x" TargetMode="External"/><Relationship Id="rId1248" Type="http://schemas.openxmlformats.org/officeDocument/2006/relationships/hyperlink" Target="https://www.nature.com/articles/s41467-026-75448-0" TargetMode="External"/><Relationship Id="rId1249" Type="http://schemas.openxmlformats.org/officeDocument/2006/relationships/hyperlink" Target="https://www.nature.com/articles/s41467-026-75339-4" TargetMode="External"/><Relationship Id="rId1250" Type="http://schemas.openxmlformats.org/officeDocument/2006/relationships/hyperlink" Target="https://www.science.org/doi/abs/10.1126/science.aek3889?af=R" TargetMode="External"/><Relationship Id="rId1251" Type="http://schemas.openxmlformats.org/officeDocument/2006/relationships/hyperlink" Target="https://doi.org/10.1126/science.aek3889" TargetMode="External"/><Relationship Id="rId1252" Type="http://schemas.openxmlformats.org/officeDocument/2006/relationships/hyperlink" Target="https://www.science.org/doi/abs/10.1126/science.aek3893?af=R" TargetMode="External"/><Relationship Id="rId1253" Type="http://schemas.openxmlformats.org/officeDocument/2006/relationships/hyperlink" Target="https://doi.org/10.1126/science.aek3893" TargetMode="External"/><Relationship Id="rId1254" Type="http://schemas.openxmlformats.org/officeDocument/2006/relationships/hyperlink" Target="https://www.science.org/doi/abs/10.1126/science.aek3877?af=R" TargetMode="External"/><Relationship Id="rId1255" Type="http://schemas.openxmlformats.org/officeDocument/2006/relationships/hyperlink" Target="https://doi.org/10.1126/science.aek3877" TargetMode="External"/><Relationship Id="rId1256" Type="http://schemas.openxmlformats.org/officeDocument/2006/relationships/hyperlink" Target="https://www.science.org/doi/abs/10.1126/science.aek3892?af=R" TargetMode="External"/><Relationship Id="rId1257" Type="http://schemas.openxmlformats.org/officeDocument/2006/relationships/hyperlink" Target="https://doi.org/10.1126/science.aek3892" TargetMode="External"/><Relationship Id="rId1258" Type="http://schemas.openxmlformats.org/officeDocument/2006/relationships/hyperlink" Target="https://www.science.org/doi/abs/10.1126/science.aek3449?af=R" TargetMode="External"/><Relationship Id="rId1259" Type="http://schemas.openxmlformats.org/officeDocument/2006/relationships/hyperlink" Target="https://doi.org/10.1126/science.aek3449" TargetMode="External"/><Relationship Id="rId1260" Type="http://schemas.openxmlformats.org/officeDocument/2006/relationships/hyperlink" Target="https://www.science.org/doi/abs/10.1126/science.aeh1665?af=R" TargetMode="External"/><Relationship Id="rId1261" Type="http://schemas.openxmlformats.org/officeDocument/2006/relationships/hyperlink" Target="https://doi.org/10.1126/science.aeh1665" TargetMode="External"/><Relationship Id="rId1262" Type="http://schemas.openxmlformats.org/officeDocument/2006/relationships/hyperlink" Target="https://www.science.org/doi/abs/10.1126/science.aej2248?af=R" TargetMode="External"/><Relationship Id="rId1263" Type="http://schemas.openxmlformats.org/officeDocument/2006/relationships/hyperlink" Target="https://doi.org/10.1126/science.aej2248" TargetMode="External"/><Relationship Id="rId1264" Type="http://schemas.openxmlformats.org/officeDocument/2006/relationships/hyperlink" Target="https://www.science.org/doi/abs/10.1126/science.aei8076?af=R" TargetMode="External"/><Relationship Id="rId1265" Type="http://schemas.openxmlformats.org/officeDocument/2006/relationships/hyperlink" Target="https://doi.org/10.1126/science.aei8076" TargetMode="External"/><Relationship Id="rId1266" Type="http://schemas.openxmlformats.org/officeDocument/2006/relationships/hyperlink" Target="https://www.science.org/doi/abs/10.1126/science.aei3599?af=R" TargetMode="External"/><Relationship Id="rId1267" Type="http://schemas.openxmlformats.org/officeDocument/2006/relationships/hyperlink" Target="https://doi.org/10.1126/science.aei3599" TargetMode="External"/><Relationship Id="rId1268" Type="http://schemas.openxmlformats.org/officeDocument/2006/relationships/hyperlink" Target="https://www.science.org/doi/abs/10.1126/science.aei7713?af=R" TargetMode="External"/><Relationship Id="rId1269" Type="http://schemas.openxmlformats.org/officeDocument/2006/relationships/hyperlink" Target="https://doi.org/10.1126/science.aei7713" TargetMode="External"/><Relationship Id="rId1270" Type="http://schemas.openxmlformats.org/officeDocument/2006/relationships/hyperlink" Target="https://www.science.org/doi/abs/10.1126/science.aei6076?af=R" TargetMode="External"/><Relationship Id="rId1271" Type="http://schemas.openxmlformats.org/officeDocument/2006/relationships/hyperlink" Target="https://doi.org/10.1126/science.aei6076" TargetMode="External"/><Relationship Id="rId1272" Type="http://schemas.openxmlformats.org/officeDocument/2006/relationships/hyperlink" Target="https://www.science.org/doi/abs/10.1126/science.aek3890?af=R" TargetMode="External"/><Relationship Id="rId1273" Type="http://schemas.openxmlformats.org/officeDocument/2006/relationships/hyperlink" Target="https://doi.org/10.1126/science.aek3890" TargetMode="External"/><Relationship Id="rId1274" Type="http://schemas.openxmlformats.org/officeDocument/2006/relationships/hyperlink" Target="https://www.science.org/doi/abs/10.1126/science.aef5391?af=R" TargetMode="External"/><Relationship Id="rId1275" Type="http://schemas.openxmlformats.org/officeDocument/2006/relationships/hyperlink" Target="https://doi.org/10.1126/science.aef5391" TargetMode="External"/><Relationship Id="rId1276" Type="http://schemas.openxmlformats.org/officeDocument/2006/relationships/hyperlink" Target="https://www.science.org/doi/abs/10.1126/science.aek3448?af=R" TargetMode="External"/><Relationship Id="rId1277" Type="http://schemas.openxmlformats.org/officeDocument/2006/relationships/hyperlink" Target="https://doi.org/10.1126/science.aek3448" TargetMode="External"/><Relationship Id="rId1278" Type="http://schemas.openxmlformats.org/officeDocument/2006/relationships/hyperlink" Target="https://www.science.org/doi/abs/10.1126/science.aei1285?af=R" TargetMode="External"/><Relationship Id="rId1279" Type="http://schemas.openxmlformats.org/officeDocument/2006/relationships/hyperlink" Target="https://doi.org/10.1126/science.aei1285" TargetMode="External"/><Relationship Id="rId1280" Type="http://schemas.openxmlformats.org/officeDocument/2006/relationships/hyperlink" Target="https://www.science.org/doi/abs/10.1126/science.aei9754?af=R" TargetMode="External"/><Relationship Id="rId1281" Type="http://schemas.openxmlformats.org/officeDocument/2006/relationships/hyperlink" Target="https://doi.org/10.1126/science.aei9754" TargetMode="External"/><Relationship Id="rId1282" Type="http://schemas.openxmlformats.org/officeDocument/2006/relationships/hyperlink" Target="https://www.science.org/doi/abs/10.1126/science.aeg8740?af=R" TargetMode="External"/><Relationship Id="rId1283" Type="http://schemas.openxmlformats.org/officeDocument/2006/relationships/hyperlink" Target="https://doi.org/10.1126/science.aeg8740" TargetMode="External"/><Relationship Id="rId1284" Type="http://schemas.openxmlformats.org/officeDocument/2006/relationships/hyperlink" Target="https://www.science.org/doi/abs/10.1126/science.aee9519?af=R" TargetMode="External"/><Relationship Id="rId1285" Type="http://schemas.openxmlformats.org/officeDocument/2006/relationships/hyperlink" Target="https://doi.org/10.1126/science.aee9519" TargetMode="External"/><Relationship Id="rId1286" Type="http://schemas.openxmlformats.org/officeDocument/2006/relationships/hyperlink" Target="https://www.science.org/doi/abs/10.1126/science.aek3891?af=R" TargetMode="External"/><Relationship Id="rId1287" Type="http://schemas.openxmlformats.org/officeDocument/2006/relationships/hyperlink" Target="https://doi.org/10.1126/science.aek3891" TargetMode="External"/><Relationship Id="rId1288" Type="http://schemas.openxmlformats.org/officeDocument/2006/relationships/hyperlink" Target="https://www.science.org/doi/abs/10.1126/science.aek3445?af=R" TargetMode="External"/><Relationship Id="rId1289" Type="http://schemas.openxmlformats.org/officeDocument/2006/relationships/hyperlink" Target="https://doi.org/10.1126/science.aek3445" TargetMode="External"/><Relationship Id="rId1290" Type="http://schemas.openxmlformats.org/officeDocument/2006/relationships/hyperlink" Target="https://www.science.org/doi/abs/10.1126/science.aeh8677?af=R" TargetMode="External"/><Relationship Id="rId1291" Type="http://schemas.openxmlformats.org/officeDocument/2006/relationships/hyperlink" Target="https://doi.org/10.1126/science.aeh8677" TargetMode="External"/><Relationship Id="rId1292" Type="http://schemas.openxmlformats.org/officeDocument/2006/relationships/hyperlink" Target="https://www.science.org/doi/abs/10.1126/science.adt1712?af=R" TargetMode="External"/><Relationship Id="rId1293" Type="http://schemas.openxmlformats.org/officeDocument/2006/relationships/hyperlink" Target="https://doi.org/10.1126/science.adt1712" TargetMode="External"/><Relationship Id="rId1294" Type="http://schemas.openxmlformats.org/officeDocument/2006/relationships/hyperlink" Target="https://www.science.org/doi/abs/10.1126/science.aeb6744?af=R" TargetMode="External"/><Relationship Id="rId1295" Type="http://schemas.openxmlformats.org/officeDocument/2006/relationships/hyperlink" Target="https://doi.org/10.1126/science.aeb6744" TargetMode="External"/><Relationship Id="rId1296" Type="http://schemas.openxmlformats.org/officeDocument/2006/relationships/hyperlink" Target="https://www.science.org/doi/abs/10.1126/science.adx8231?af=R" TargetMode="External"/><Relationship Id="rId1297" Type="http://schemas.openxmlformats.org/officeDocument/2006/relationships/hyperlink" Target="https://doi.org/10.1126/science.adx8231" TargetMode="External"/><Relationship Id="rId1298" Type="http://schemas.openxmlformats.org/officeDocument/2006/relationships/hyperlink" Target="https://www.pnas.org/doi/abs/10.1073/pnas.2532243123?mi=eymic2&amp;af=R&amp;access=on&amp;content=articlesChapters&amp;publication=pnas&amp;sortBy=Earliest&amp;target=default" TargetMode="External"/><Relationship Id="rId1299" Type="http://schemas.openxmlformats.org/officeDocument/2006/relationships/hyperlink" Target="https://doi.org/10.1073/pnas.2532243123" TargetMode="External"/><Relationship Id="rId1300" Type="http://schemas.openxmlformats.org/officeDocument/2006/relationships/hyperlink" Target="https://www.science.org/doi/abs/10.1126/science.aej7549?af=R" TargetMode="External"/><Relationship Id="rId1301" Type="http://schemas.openxmlformats.org/officeDocument/2006/relationships/hyperlink" Target="https://doi.org/10.1126/science.aej7549" TargetMode="External"/><Relationship Id="rId1302" Type="http://schemas.openxmlformats.org/officeDocument/2006/relationships/hyperlink" Target="https://www.science.org/doi/abs/10.1126/science.aek1745?af=R" TargetMode="External"/><Relationship Id="rId1303" Type="http://schemas.openxmlformats.org/officeDocument/2006/relationships/hyperlink" Target="https://doi.org/10.1126/science.aek1745" TargetMode="External"/><Relationship Id="rId1304" Type="http://schemas.openxmlformats.org/officeDocument/2006/relationships/hyperlink" Target="https://www.pnas.org/doi/abs/10.1073/pnas.2534542123?mi=eymic2&amp;af=R&amp;access=on&amp;content=articlesChapters&amp;publication=pnas&amp;sortBy=Earliest&amp;target=default" TargetMode="External"/><Relationship Id="rId1305" Type="http://schemas.openxmlformats.org/officeDocument/2006/relationships/hyperlink" Target="https://doi.org/10.1073/pnas.2534542123" TargetMode="External"/><Relationship Id="rId1306" Type="http://schemas.openxmlformats.org/officeDocument/2006/relationships/hyperlink" Target="https://www.science.org/doi/abs/10.1126/science.aec8347?af=R" TargetMode="External"/><Relationship Id="rId1307" Type="http://schemas.openxmlformats.org/officeDocument/2006/relationships/hyperlink" Target="https://doi.org/10.1126/science.aec8347" TargetMode="External"/><Relationship Id="rId1308" Type="http://schemas.openxmlformats.org/officeDocument/2006/relationships/hyperlink" Target="https://www.science.org/doi/abs/10.1126/science.aeb9506?af=R" TargetMode="External"/><Relationship Id="rId1309" Type="http://schemas.openxmlformats.org/officeDocument/2006/relationships/hyperlink" Target="https://doi.org/10.1126/science.aeb9506" TargetMode="External"/><Relationship Id="rId1310" Type="http://schemas.openxmlformats.org/officeDocument/2006/relationships/hyperlink" Target="https://www.science.org/doi/abs/10.1126/science.aea1200?af=R" TargetMode="External"/><Relationship Id="rId1311" Type="http://schemas.openxmlformats.org/officeDocument/2006/relationships/hyperlink" Target="https://doi.org/10.1126/science.aea1200" TargetMode="External"/><Relationship Id="rId1312" Type="http://schemas.openxmlformats.org/officeDocument/2006/relationships/hyperlink" Target="https://www.science.org/doi/abs/10.1126/science.adx6925?af=R" TargetMode="External"/><Relationship Id="rId1313" Type="http://schemas.openxmlformats.org/officeDocument/2006/relationships/hyperlink" Target="https://doi.org/10.1126/science.adx6925" TargetMode="External"/><Relationship Id="rId1314" Type="http://schemas.openxmlformats.org/officeDocument/2006/relationships/hyperlink" Target="https://www.pnas.org/doi/abs/10.1073/pnas.2621071123?mi=eymic2&amp;af=R&amp;access=on&amp;content=articlesChapters&amp;publication=pnas&amp;sortBy=Earliest&amp;target=default" TargetMode="External"/><Relationship Id="rId1315" Type="http://schemas.openxmlformats.org/officeDocument/2006/relationships/hyperlink" Target="https://doi.org/10.1073/pnas.2621071123" TargetMode="External"/><Relationship Id="rId1316" Type="http://schemas.openxmlformats.org/officeDocument/2006/relationships/hyperlink" Target="https://www.science.org/doi/abs/10.1126/science.adw6568?af=R" TargetMode="External"/><Relationship Id="rId1317" Type="http://schemas.openxmlformats.org/officeDocument/2006/relationships/hyperlink" Target="https://doi.org/10.1126/science.adw6568" TargetMode="External"/><Relationship Id="rId1318" Type="http://schemas.openxmlformats.org/officeDocument/2006/relationships/hyperlink" Target="https://www.pnas.org/doi/abs/10.1073/pnas.2608478123?mi=eymic2&amp;af=R&amp;access=on&amp;content=articlesChapters&amp;publication=pnas&amp;sortBy=Earliest&amp;target=default" TargetMode="External"/><Relationship Id="rId1319" Type="http://schemas.openxmlformats.org/officeDocument/2006/relationships/hyperlink" Target="https://doi.org/10.1073/pnas.2608478123" TargetMode="External"/><Relationship Id="rId1320" Type="http://schemas.openxmlformats.org/officeDocument/2006/relationships/hyperlink" Target="https://www.pnas.org/doi/abs/10.1073/pnas.2520164123?mi=eymic2&amp;af=R&amp;access=on&amp;content=articlesChapters&amp;publication=pnas&amp;sortBy=Earliest&amp;target=default" TargetMode="External"/><Relationship Id="rId1321" Type="http://schemas.openxmlformats.org/officeDocument/2006/relationships/hyperlink" Target="https://doi.org/10.1073/pnas.2520164123" TargetMode="External"/><Relationship Id="rId1322" Type="http://schemas.openxmlformats.org/officeDocument/2006/relationships/hyperlink" Target="https://www.pnas.org/doi/abs/10.1073/pnas.2602614123?mi=eymic2&amp;af=R&amp;access=on&amp;content=articlesChapters&amp;publication=pnas&amp;sortBy=Earliest&amp;target=default" TargetMode="External"/><Relationship Id="rId1323" Type="http://schemas.openxmlformats.org/officeDocument/2006/relationships/hyperlink" Target="https://doi.org/10.1073/pnas.2602614123" TargetMode="External"/><Relationship Id="rId1324" Type="http://schemas.openxmlformats.org/officeDocument/2006/relationships/hyperlink" Target="https://www.pnas.org/doi/abs/10.1073/pnas.2603043123?mi=eymic2&amp;af=R&amp;access=on&amp;content=articlesChapters&amp;publication=pnas&amp;sortBy=Earliest&amp;target=default" TargetMode="External"/><Relationship Id="rId1325" Type="http://schemas.openxmlformats.org/officeDocument/2006/relationships/hyperlink" Target="https://doi.org/10.1073/pnas.2603043123" TargetMode="External"/><Relationship Id="rId1326" Type="http://schemas.openxmlformats.org/officeDocument/2006/relationships/hyperlink" Target="https://www.pnas.org/doi/abs/10.1073/pnas.2604649123?mi=eymic2&amp;af=R&amp;access=on&amp;content=articlesChapters&amp;publication=pnas&amp;sortBy=Earliest&amp;target=default" TargetMode="External"/><Relationship Id="rId1327" Type="http://schemas.openxmlformats.org/officeDocument/2006/relationships/hyperlink" Target="https://doi.org/10.1073/pnas.2604649123" TargetMode="External"/><Relationship Id="rId1328" Type="http://schemas.openxmlformats.org/officeDocument/2006/relationships/hyperlink" Target="https://www.pnas.org/doi/abs/10.1073/pnas.2529943123?mi=eymic2&amp;af=R&amp;access=on&amp;content=articlesChapters&amp;publication=pnas&amp;sortBy=Earliest&amp;target=default" TargetMode="External"/><Relationship Id="rId1329" Type="http://schemas.openxmlformats.org/officeDocument/2006/relationships/hyperlink" Target="https://doi.org/10.1073/pnas.2529943123" TargetMode="External"/><Relationship Id="rId1330" Type="http://schemas.openxmlformats.org/officeDocument/2006/relationships/hyperlink" Target="https://www.science.org/doi/abs/10.1126/science.aei0499?af=R" TargetMode="External"/><Relationship Id="rId1331" Type="http://schemas.openxmlformats.org/officeDocument/2006/relationships/hyperlink" Target="https://doi.org/10.1126/science.aei0499" TargetMode="External"/><Relationship Id="rId1332" Type="http://schemas.openxmlformats.org/officeDocument/2006/relationships/hyperlink" Target="https://www.science.org/doi/abs/10.1126/science.adv1219?af=R" TargetMode="External"/><Relationship Id="rId1333" Type="http://schemas.openxmlformats.org/officeDocument/2006/relationships/hyperlink" Target="https://doi.org/10.1126/science.adv1219" TargetMode="External"/><Relationship Id="rId1334" Type="http://schemas.openxmlformats.org/officeDocument/2006/relationships/hyperlink" Target="http://link.aps.org/doi/10.1103/nds2-c8v9" TargetMode="External"/><Relationship Id="rId1335" Type="http://schemas.openxmlformats.org/officeDocument/2006/relationships/hyperlink" Target="https://doi.org/10.1103/nds2-c8v9" TargetMode="External"/><Relationship Id="rId1336" Type="http://schemas.openxmlformats.org/officeDocument/2006/relationships/hyperlink" Target="http://link.aps.org/doi/10.1103/pjw1-1c5k" TargetMode="External"/><Relationship Id="rId1337" Type="http://schemas.openxmlformats.org/officeDocument/2006/relationships/hyperlink" Target="https://doi.org/10.1103/pjw1-1c5k" TargetMode="External"/><Relationship Id="rId1338" Type="http://schemas.openxmlformats.org/officeDocument/2006/relationships/hyperlink" Target="http://link.aps.org/doi/10.1103/ml3y-pmb8" TargetMode="External"/><Relationship Id="rId1339" Type="http://schemas.openxmlformats.org/officeDocument/2006/relationships/hyperlink" Target="https://doi.org/10.1103/ml3y-pmb8" TargetMode="External"/><Relationship Id="rId1340" Type="http://schemas.openxmlformats.org/officeDocument/2006/relationships/hyperlink" Target="http://link.aps.org/doi/10.1103/zv3d-3h9x" TargetMode="External"/><Relationship Id="rId1341" Type="http://schemas.openxmlformats.org/officeDocument/2006/relationships/hyperlink" Target="https://doi.org/10.1103/zv3d-3h9x" TargetMode="External"/><Relationship Id="rId1342" Type="http://schemas.openxmlformats.org/officeDocument/2006/relationships/hyperlink" Target="http://link.aps.org/doi/10.1103/3tcp-hqf9" TargetMode="External"/><Relationship Id="rId1343" Type="http://schemas.openxmlformats.org/officeDocument/2006/relationships/hyperlink" Target="https://doi.org/10.1103/3tcp-hqf9" TargetMode="External"/><Relationship Id="rId1344" Type="http://schemas.openxmlformats.org/officeDocument/2006/relationships/hyperlink" Target="http://link.aps.org/doi/10.1103/d9jf-gxk5" TargetMode="External"/><Relationship Id="rId1345" Type="http://schemas.openxmlformats.org/officeDocument/2006/relationships/hyperlink" Target="https://doi.org/10.1103/d9jf-gxk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