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2026-09-04</w:t>
      </w:r>
    </w:p>
    <w:p>
      <w:pPr>
        <w:spacing w:before="160" w:after="120"/>
      </w:pPr>
      <w:r>
        <w:rPr>
          <w:b/>
          <w:sz w:val="28"/>
        </w:rPr>
        <w:t>【光伏】</w:t>
      </w:r>
    </w:p>
    <w:p>
      <w:pPr>
        <w:spacing w:before="160" w:after="40" w:line="240" w:lineRule="auto"/>
      </w:pPr>
      <w:r>
        <w:rPr>
          <w:b/>
        </w:rPr>
        <w:t xml:space="preserve">[1] </w:t>
      </w:r>
      <w:hyperlink r:id="rId9">
        <w:r>
          <w:rPr>
            <w:color w:val="1155CC"/>
            <w:u w:val="single"/>
          </w:rPr>
          <w:t>新型多吡啶基功能化螺芴作为提升钙钛矿太阳能电池效率与稳定性的前驱体添加剂</w:t>
        </w:r>
      </w:hyperlink>
    </w:p>
    <w:p>
      <w:pPr>
        <w:spacing w:before="0" w:after="80"/>
      </w:pPr>
      <w:r>
        <w:rPr>
          <w:i/>
          <w:sz w:val="20"/>
        </w:rPr>
        <w:t>EN: Novel Multi-Pyridyl-Functionalized Spirobifluorenes as Precursor Additives for Improving Efficient and Stable Perovskite Solar Cells</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9">
        <w:r>
          <w:rPr>
            <w:color w:val="1155CC"/>
            <w:u w:val="single"/>
          </w:rPr>
          <w:t>10.1021/acsami.6c13903</w:t>
        </w:r>
      </w:hyperlink>
    </w:p>
    <w:p>
      <w:pPr>
        <w:spacing w:before="0" w:after="120"/>
      </w:pPr>
      <w:r>
        <w:rPr>
          <w:b/>
        </w:rPr>
        <w:t xml:space="preserve">Notes: </w:t>
      </w:r>
      <w:r>
        <w:t>abstract_source=crossref</w:t>
      </w:r>
    </w:p>
    <w:p>
      <w:pPr>
        <w:spacing w:before="0" w:after="80" w:lineRule="auto" w:line="276"/>
      </w:pPr>
      <w:r>
        <w:rPr>
          <w:b/>
        </w:rPr>
        <w:t xml:space="preserve">摘要（ZH）: </w:t>
      </w:r>
      <w:r>
        <w:t>摘要 添加剂工程的重大进展主要集中于通过调控结晶速率或缺陷钝化来改善钙钛矿薄膜质量，从而实现高效稳定的太阳能电池；然而，目前关于在钙钛矿前驱体溶液中引入功能添加剂以同时实现结晶改善和钙钛矿薄膜缺陷减少的研究仍面临重大挑战。本文通过简便的Suzuki交叉偶联反应获得了两种新型多吡啶基功能化螺二芴添加剂（分别命名为SBF-3-py和SBF-4-py），并首次将其引入钙钛矿前驱体中以制备高质量钙钛矿薄膜。具有螺二芴结构和多个吡啶基团的SBF-3-py或SBF-4-py可与钙钛矿组分形成多位点相互作用，从而改善钙钛矿薄膜结晶，同时钝化VI和PbI缺陷，调节能级排列并促进载流子迁移。因此，经SBF-3-py或SBF-4-py处理的倒置钙钛矿太阳能电池（PSC）获得了20.65%或20.98%的显著高功率转换效率（PCE），且滞后低，明显优于对照PSC（PCE = 18.67%），同时稳定性显著提高。本工作开创了一类新型小分子有机添加剂，可在高效稳定器件中同时实现钙钛矿薄膜的结晶改善和缺陷减少。</w:t>
      </w:r>
    </w:p>
    <w:p>
      <w:pPr>
        <w:spacing w:before="0" w:after="200" w:lineRule="auto" w:line="276"/>
      </w:pPr>
      <w:r>
        <w:rPr>
          <w:b/>
        </w:rPr>
        <w:t xml:space="preserve">Abstract (EN): </w:t>
      </w:r>
      <w:r>
        <w:t>Significant advancement of additive engineering has primarily focused on the improved perovskite film quality by the regulation of crystallization rates or defect passivation, thereby enabling highly efficient and stable solar cells; however, current research on the incorporation of functional additives into perovskite precursor solutions to simultaneously gain crystallization improvement and reduced defects in the perovskite film remains a significant challenge. Herein, two novel multi-pyridyl-functionalized spirobifluorene additives (designated as SBF-3-py and SBF-4-py) achieved by a facile Suzuki cross-coupling reaction are first incorporated into the perovskite precursor for producing high-quality perovskite films. SBF-3-py or SBF-4-py with spirobifluorene and multiple pyridyl groups can form multi-site interactions with perovskite components, thereby improving the perovskite film crystallization, simultaneously passivating VI and PbI defects, modulating energy level alignment, and promoting carrier mobility. Consequently, the inverted perovskite solar cells (PSCs) with SBF-3-py or SBF-4-py treatment acquire a remarkably high power conversion efficiency (PCE) of 20.65 or 20.98% with low hysteresis, distinctly surpassing the control PSC (PCE = 18.67%), along with markedly improved stability. This work pioneers a new class of small organic additives for the simultaneous realization of crystallization improvement and defect reduction of the perovskite film in highly efficient and stable devices.</w:t>
      </w:r>
    </w:p>
    <w:p>
      <w:pPr>
        <w:spacing w:before="120" w:after="120"/>
      </w:pPr>
      <w:r>
        <w:rPr>
          <w:sz w:val="18"/>
        </w:rPr>
        <w:t>——————————————————————————————————————————————————————————————————————</w:t>
      </w:r>
    </w:p>
    <w:p>
      <w:pPr>
        <w:spacing w:before="160" w:after="40" w:line="240" w:lineRule="auto"/>
      </w:pPr>
      <w:r>
        <w:rPr>
          <w:b/>
        </w:rPr>
        <w:t xml:space="preserve">[2] </w:t>
      </w:r>
      <w:hyperlink r:id="rId10">
        <w:r>
          <w:rPr>
            <w:color w:val="1155CC"/>
            <w:u w:val="single"/>
          </w:rPr>
          <w:t>更正：“具有无DMSO溶剂体系和GeCl2-二氧六环添加剂的溶液法制备Ge-Sn (1:1)钙钛矿太阳能电池”</w:t>
        </w:r>
      </w:hyperlink>
    </w:p>
    <w:p>
      <w:pPr>
        <w:spacing w:before="0" w:after="80"/>
      </w:pPr>
      <w:r>
        <w:rPr>
          <w:i/>
          <w:sz w:val="20"/>
        </w:rPr>
        <w:t>EN: Correction to “Solution-Processed Ge-Sn (1:1) Perovskite Solar Cells with a DMSO-Free Solvent System and GeCl2-Dioxane Additives”</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10">
        <w:r>
          <w:rPr>
            <w:color w:val="1155CC"/>
            <w:u w:val="single"/>
          </w:rPr>
          <w:t>10.1021/acsami.6c16956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
        <w:r>
          <w:rPr>
            <w:color w:val="1155CC"/>
            <w:u w:val="single"/>
          </w:rPr>
          <w:t>载流子–晶格耦合驱动锡铅混合卤化物钙钛矿的氧化降解：机器学习结合非绝热分子动力学</w:t>
        </w:r>
      </w:hyperlink>
    </w:p>
    <w:p>
      <w:pPr>
        <w:spacing w:before="0" w:after="80"/>
      </w:pPr>
      <w:r>
        <w:rPr>
          <w:i/>
          <w:sz w:val="20"/>
        </w:rPr>
        <w:t>EN: Carrier–Lattice Coupling Drives Oxidative Degradation in Mixed Tin–Lead Halide Perovskites: Machine Learning Combined with Nonadiabatic Molecular Dynamics</w:t>
      </w:r>
    </w:p>
    <w:p>
      <w:pPr>
        <w:spacing w:before="0" w:after="120"/>
      </w:pPr>
      <w:r>
        <w:rPr>
          <w:b/>
        </w:rPr>
        <w:t xml:space="preserve">Source: </w:t>
      </w:r>
      <w:r>
        <w:t>Journal of the American Chemical Society</w:t>
      </w:r>
      <w:r>
        <w:t xml:space="preserve">    </w:t>
      </w:r>
      <w:r>
        <w:rPr>
          <w:b/>
        </w:rPr>
        <w:t xml:space="preserve">Pub date: </w:t>
      </w:r>
      <w:r>
        <w:t>2026-08-28 00:00:00+00:00</w:t>
      </w:r>
      <w:r>
        <w:t xml:space="preserve">    </w:t>
      </w:r>
      <w:r>
        <w:rPr>
          <w:b/>
        </w:rPr>
        <w:t xml:space="preserve">DOI: </w:t>
      </w:r>
      <w:hyperlink r:id="rId11">
        <w:r>
          <w:rPr>
            <w:color w:val="1155CC"/>
            <w:u w:val="single"/>
          </w:rPr>
          <w:t>10.1021/jacs.6c10222</w:t>
        </w:r>
      </w:hyperlink>
    </w:p>
    <w:p>
      <w:pPr>
        <w:spacing w:before="0" w:after="120"/>
      </w:pPr>
      <w:r>
        <w:rPr>
          <w:b/>
        </w:rPr>
        <w:t xml:space="preserve">Notes: </w:t>
      </w:r>
      <w:r>
        <w:t>abstract_source=crossref</w:t>
      </w:r>
    </w:p>
    <w:p>
      <w:pPr>
        <w:spacing w:before="0" w:after="80" w:lineRule="auto" w:line="276"/>
      </w:pPr>
      <w:r>
        <w:rPr>
          <w:b/>
        </w:rPr>
        <w:t xml:space="preserve">摘要（ZH）: </w:t>
      </w:r>
      <w:r>
        <w:t>摘要 混合Sn–Pb卤化物钙钛矿表现出优异的光电特性，但由于Sn2+极易氧化为Sn4+而遭受快速降解。在此，我们建立了一个多尺度框架，以揭示阳离子有序性、表面缺陷化学、空穴局域化和载流子动力学如何共同驱动FAPb0.5Sn0.5I3（FA = 甲脒）中Sn氧化的引发。图神经网络筛选识别出层状Sn/Pb富集作为一种反复出现的低能基元，其自然产生富Sn、以Sn–I封端的表面。静态计算揭示了两种表面缺陷的对比效应：Sn空位（VSn）产生易于氧化的局域环境，稳定以Sn为中心的空穴局域化和晶格畸变，而顶位碘（Iatop）促进空穴离域，增强表面Sn–I骨架，并抑制类Sn(IV)氧化前驱体的形成。非绝热分子动力学进一步揭示了一个百皮秒量级的时间窗口，其特征是空穴向表面的超快抽取以及慢得多的非辐射复合，在此期间积累的光生空穴可驱动与氧化相关的晶格重组。带有两个过剩空位的从头算分子动力学模拟表明，原始表面保持相对稳定，而VSn强烈稳定局域空穴，并引发显著的局域畸变以及类SnI4的挤出和缺陷生长。这些发现揭示了Sn氧化受载流子–晶格耦合控制，通过其对以Sn为中心的</w:t>
      </w:r>
    </w:p>
    <w:p>
      <w:pPr>
        <w:spacing w:before="0" w:after="200" w:lineRule="auto" w:line="276"/>
      </w:pPr>
      <w:r>
        <w:rPr>
          <w:b/>
        </w:rPr>
        <w:t xml:space="preserve">Abstract (EN): </w:t>
      </w:r>
      <w:r>
        <w:t>Mixed Sn–Pb halide perovskites exhibit excellent optoelectronic properties but suffer rapid degradation due to the facile oxidation of Sn2+ to Sn4+. Here, we establish a multiscale framework to uncover how cation ordering, surface defect chemistry, hole localization, and carrier dynamics collectively drive the initiation of Sn oxidation in FAPb0.5Sn0.5I3 (FA = formamidinium). Graph neural network screening identifies layered Sn/Pb enrichment as a recurring low-energy motif, which naturally yields an Sn-rich, Sn–I-terminated surface. Static calculations reveal contrasting effects of the two surface defects: the Sn vacancy (VSn) creates an oxidation-prone local environment that stabilizes Sn-centered hole localization and lattice distortion, whereas atop iodine (Iatop) promotes hole delocalization, reinforces the surface Sn–I framework, and suppresses the formation of Sn(IV)-like oxidation precursors. Nonadiabatic molecular dynamics further reveal a hundred-picosecond window, defined by ultrafast hole extraction toward the surface and much slower nonradiative recombination, in which accumulated photogenerated holes can drive oxidation-related lattice reorganization. Ab initio molecular dynamics simulations with two excess holes show that the pristine surface remains relatively robust, whereas VSn strongly stabilizes localized holes and triggers pronounced local distortion together with SnI4-like extrusion and defect growth. These findings reveal that Sn oxidation is governed by carrier–lattice coupling through its control over the kinetic accessibility of Sn-centered hole localization, and they identify the suppression of VSn defects and the stabilization of I-rich surface terminations as key design principles for stable Sn–Pb perovskites.</w:t>
      </w:r>
    </w:p>
    <w:p>
      <w:pPr>
        <w:spacing w:before="120" w:after="120"/>
      </w:pPr>
      <w:r>
        <w:rPr>
          <w:sz w:val="18"/>
        </w:rPr>
        <w:t>——————————————————————————————————————————————————————————————————————</w:t>
      </w:r>
    </w:p>
    <w:p>
      <w:pPr>
        <w:spacing w:before="160" w:after="40" w:line="240" w:lineRule="auto"/>
      </w:pPr>
      <w:r>
        <w:rPr>
          <w:b/>
        </w:rPr>
        <w:t xml:space="preserve">[4] </w:t>
      </w:r>
      <w:hyperlink r:id="rId12">
        <w:r>
          <w:rPr>
            <w:color w:val="1155CC"/>
            <w:u w:val="single"/>
          </w:rPr>
          <w:t>Cs3Bi2–xSbxI9中维度多态性与带隙弯曲的映射与调控</w:t>
        </w:r>
      </w:hyperlink>
    </w:p>
    <w:p>
      <w:pPr>
        <w:spacing w:before="0" w:after="80"/>
      </w:pPr>
      <w:r>
        <w:rPr>
          <w:i/>
          <w:sz w:val="20"/>
        </w:rPr>
        <w:t>EN: Mapping and Controlling Dimensional Polymorphism and Bandgap Bowing in Cs3Bi2– x Sb x I9</w:t>
      </w:r>
    </w:p>
    <w:p>
      <w:pPr>
        <w:spacing w:before="0" w:after="120"/>
      </w:pPr>
      <w:r>
        <w:rPr>
          <w:b/>
        </w:rPr>
        <w:t xml:space="preserve">Source: </w:t>
      </w:r>
      <w:r>
        <w:t>Journal of the American Chemical Society</w:t>
      </w:r>
      <w:r>
        <w:t xml:space="preserve">    </w:t>
      </w:r>
      <w:r>
        <w:rPr>
          <w:b/>
        </w:rPr>
        <w:t xml:space="preserve">Pub date: </w:t>
      </w:r>
      <w:r>
        <w:t>2026-08-28 00:00:00+00:00</w:t>
      </w:r>
      <w:r>
        <w:t xml:space="preserve">    </w:t>
      </w:r>
      <w:r>
        <w:rPr>
          <w:b/>
        </w:rPr>
        <w:t xml:space="preserve">DOI: </w:t>
      </w:r>
      <w:hyperlink r:id="rId12">
        <w:r>
          <w:rPr>
            <w:color w:val="1155CC"/>
            <w:u w:val="single"/>
          </w:rPr>
          <w:t>10.1021/jacs.6c08526</w:t>
        </w:r>
      </w:hyperlink>
    </w:p>
    <w:p>
      <w:pPr>
        <w:spacing w:before="0" w:after="120"/>
      </w:pPr>
      <w:r>
        <w:rPr>
          <w:b/>
        </w:rPr>
        <w:t xml:space="preserve">Notes: </w:t>
      </w:r>
      <w:r>
        <w:t>abstract_source=crossref</w:t>
      </w:r>
    </w:p>
    <w:p>
      <w:pPr>
        <w:spacing w:before="0" w:after="80" w:lineRule="auto" w:line="276"/>
      </w:pPr>
      <w:r>
        <w:rPr>
          <w:b/>
        </w:rPr>
        <w:t xml:space="preserve">摘要（ZH）: </w:t>
      </w:r>
      <w:r>
        <w:t>摘要 A3M2X9卤化物（A = Rb、Cs；M = Sb、Bi；X = Cl、Br、I）是一大类无铅、钙钛矿相关半导体，其中多晶型性和维度性为调控电子结构提供了强有力的手段。Cs3Bi2–xSbxI9体现了这一行为，表现出0D（α）和2D（β）多晶型体，其可合成性随组成、温度和密封安瓿条件而强烈变化。在此，我们为Cs3Bi2–xSbxI9多晶型体建立了依赖于方案的可达性图谱（即α/β（或混合相）和CsI的结果作为组成、热方案以及支配SbI3介导的输运/伴随CsI形成的密封安瓿环境的函数）。我们表明，α多晶型体在整个Bi/Sb范围内均可获得，而以β多晶型体为主的生产仅限于室温下富Sb组成（x ≥ 1.42），并在与最小化SbI3蒸气/CsI生成相一致的较低温度条件下受到促进。密度泛函理论表明两种多晶型体均为局域稳定，其中α相能量较低，但随着Sb含量增加α–β能隙逐渐减小，支持富Sb区域中共角β相结构能量可达性的增加。变温粉末X射线衍射直接捕捉到富Bi样品中高温α ↔ β互变。光电测量揭示了α系列中的带隙弯曲效应（Eg = 1.89–2.08 eV；b = 0.11 ± 0.02 eV）以及β系列中Eg随Bi依赖的降低（1.79–1.95 eV），这与</w:t>
      </w:r>
    </w:p>
    <w:p>
      <w:pPr>
        <w:spacing w:before="0" w:after="200" w:lineRule="auto" w:line="276"/>
      </w:pPr>
      <w:r>
        <w:rPr>
          <w:b/>
        </w:rPr>
        <w:t xml:space="preserve">Abstract (EN): </w:t>
      </w:r>
      <w:r>
        <w:t>A3M2X9 halides (A = Rb, Cs; M = Sb, Bi; X = Cl, Br, I) are a major class of lead-free, perovskite-related semiconductors in which polymorphism and dimensionality provide powerful levers for tuning electronic structure. Cs3Bi2–xSbxI9 exemplifies this behavior, exhibiting 0D (α) and 2D (β) polymorphs whose synthetic accessibility varies strongly with composition, temperature, and sealed-ampule conditions. Here, we establish a protocol-dependent accessibility map (i.e., the α/β (or mixed-phase) and CsI outcome as a function of composition, thermal protocol, and the sealed-ampule environment that governs SbI3-mediated transport/concomitant CsI formation) for the Cs3Bi2–xSbxI9 polymorphs. We show that the α-polymorph is accessible across the full Bi/Sb range, whereas the production of predominantly the β-polymorph is restricted to Sb-rich compositions at room temperature (x ≥ 1.42) and is favored under lower-temperature conditions consistent with minimized SbI3 vapor/CsI production. Density functional theory indicates both polymorphs are locally stable, with the α-phase lower in energy but with a diminishing α–β energy gap as Sb content increases, supporting the increased energetic accessibility of the corner-sharing β-phase structures in the Sb-rich regime. Variable-temperature powder X-ray diffraction directly captures high-temperature α ↔ β interconversion in Bi-rich samples. Optoelectronic measurements reveal band gap bowing across the α-series (Eg = 1.89–2.08 eV; b = 0.11 ± 0.02 eV) and a Bi-dependent reduction of Eg in the β-series (1.79–1.95 eV), consistent with calculated band-edge orbital character. The results highlight that vapor-phase halide chemistry and polymorph/phase identity can be decisive hidden variables in composition–property relationships for lead-free perovskite-related semiconductors.</w:t>
      </w:r>
    </w:p>
    <w:p>
      <w:pPr>
        <w:spacing w:before="120" w:after="120"/>
      </w:pPr>
      <w:r>
        <w:rPr>
          <w:sz w:val="18"/>
        </w:rPr>
        <w:t>——————————————————————————————————————————————————————————————————————</w:t>
      </w:r>
    </w:p>
    <w:p>
      <w:pPr>
        <w:spacing w:before="160" w:after="40" w:line="240" w:lineRule="auto"/>
      </w:pPr>
      <w:r>
        <w:rPr>
          <w:b/>
        </w:rPr>
        <w:t xml:space="preserve">[5] </w:t>
      </w:r>
      <w:hyperlink r:id="rId13">
        <w:r>
          <w:rPr>
            <w:color w:val="1155CC"/>
            <w:u w:val="single"/>
          </w:rPr>
          <w:t>光伏组件清洗频率优化进展:积尘形成机制与清洗策略耦合效应综述</w:t>
        </w:r>
      </w:hyperlink>
    </w:p>
    <w:p>
      <w:pPr>
        <w:spacing w:before="0" w:after="80"/>
      </w:pPr>
      <w:r>
        <w:rPr>
          <w:i/>
          <w:sz w:val="20"/>
        </w:rPr>
        <w:t>EN: Progress in optimizing cleaning frequency for photovoltaic modules: a review of the coupled effects of dust formation mechanisms and cleaning strategies</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14">
        <w:r>
          <w:rPr>
            <w:color w:val="1155CC"/>
            <w:u w:val="single"/>
          </w:rPr>
          <w:t>10.1016/j.apenergy.2026.128676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5">
        <w:r>
          <w:rPr>
            <w:color w:val="1155CC"/>
            <w:u w:val="single"/>
          </w:rPr>
          <w:t>层状卤化物钙钛矿纳米片中超空间结构驱动的能量漏斗效应</w:t>
        </w:r>
      </w:hyperlink>
    </w:p>
    <w:p>
      <w:pPr>
        <w:spacing w:before="0" w:after="80"/>
      </w:pPr>
      <w:r>
        <w:rPr>
          <w:i/>
          <w:sz w:val="20"/>
        </w:rPr>
        <w:t>EN: Superspace Architecture‐Driven Energy Funneling in Layered Halide Perovskite Nanoplatelets</w:t>
      </w:r>
    </w:p>
    <w:p>
      <w:pPr>
        <w:spacing w:before="0" w:after="120"/>
      </w:pPr>
      <w:r>
        <w:rPr>
          <w:b/>
        </w:rPr>
        <w:t xml:space="preserve">Source: </w:t>
      </w:r>
      <w:r>
        <w:t>Wiley: Advanced Materials: Table of Contents</w:t>
      </w:r>
      <w:r>
        <w:t xml:space="preserve">    </w:t>
      </w:r>
      <w:r>
        <w:rPr>
          <w:b/>
        </w:rPr>
        <w:t xml:space="preserve">Pub date: </w:t>
      </w:r>
      <w:r>
        <w:t>2026-08-29 03:47:24+00:00</w:t>
      </w:r>
      <w:r>
        <w:t xml:space="preserve">    </w:t>
      </w:r>
      <w:r>
        <w:rPr>
          <w:b/>
        </w:rPr>
        <w:t xml:space="preserve">DOI: </w:t>
      </w:r>
      <w:hyperlink r:id="rId16">
        <w:r>
          <w:rPr>
            <w:color w:val="1155CC"/>
            <w:u w:val="single"/>
          </w:rPr>
          <w:t>10.1002/adma.74826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层状杂化钙钛矿为调控光-物质相互作用提供了多功能平台,其中无机层与有机层的交替堆叠产生了破坏常规晶体对称性的复杂耦合。标准晶体学模型难以描述这些体系中依赖于温度的堆叠无序和多重激子特征。在此,我们引入四维超空间框架,采用唯象原子调制函数,来描述Ruddlesden–Popper L2FAn−1[Sn0.022Pb0.978]nI3n+1(L:油胺,n ≥ 2)纳米片超晶格中的对称性破缺相互作用。温度可调的光谱揭示了类微腔的激子限域,而超快瞬态吸收光谱则揭示了通过调制量子阱的亚皮秒能量漏斗效应,从而在室温下于宽光谱范围内实现可测且稳定的自驱动光响应。负热膨胀与猝灭的罕见共存源于各向异性八面体</w:t>
      </w:r>
    </w:p>
    <w:p>
      <w:pPr>
        <w:spacing w:before="0" w:after="200" w:lineRule="auto" w:line="276"/>
      </w:pPr>
      <w:r>
        <w:rPr>
          <w:b/>
        </w:rPr>
        <w:t xml:space="preserve">Abstract (EN): </w:t>
      </w:r>
      <w:r>
        <w:t>Layered hybrid perovskites offer a versatile platform for tailoring light‐matter interactions, where alternative stacking of inorganic and organic layers creates complex couplings that disrupt the conventional crystal symmetry. Standard crystallographic models fall short of capturing the temperature‐dependent stacking disorder and multiplet excitonic features in these systems. Here, we introduce a four‐dimensional superspace framework, employing a phenomenological atomic modulation function, to describe the symmetry‐breaking interactions in Ruddlesden–Popper L</w:t>
      </w:r>
      <w:r>
        <w:rPr>
          <w:vertAlign w:val="subscript"/>
        </w:rPr>
        <w:t>2</w:t>
      </w:r>
      <w:r>
        <w:t>FA</w:t>
      </w:r>
      <w:r>
        <w:t xml:space="preserve"> </w:t>
      </w:r>
      <w:r>
        <w:t>n</w:t>
      </w:r>
      <w:r>
        <w:t xml:space="preserve"> </w:t>
      </w:r>
      <w:r>
        <w:t>‐1</w:t>
      </w:r>
      <w:r>
        <w:t xml:space="preserve"> </w:t>
      </w:r>
      <w:r>
        <w:t>[Sn</w:t>
      </w:r>
      <w:r>
        <w:t xml:space="preserve"> </w:t>
      </w:r>
      <w:r>
        <w:t>0.022</w:t>
      </w:r>
      <w:r>
        <w:t xml:space="preserve"> </w:t>
      </w:r>
      <w:r>
        <w:t>Pb</w:t>
      </w:r>
      <w:r>
        <w:t xml:space="preserve"> </w:t>
      </w:r>
      <w:r>
        <w:t>0.978</w:t>
      </w:r>
      <w:r>
        <w:t xml:space="preserve"> </w:t>
      </w:r>
      <w:r>
        <w:t>]</w:t>
      </w:r>
      <w:r>
        <w:t xml:space="preserve"> </w:t>
      </w:r>
      <w:r>
        <w:t>n</w:t>
      </w:r>
      <w:r>
        <w:t xml:space="preserve"> </w:t>
      </w:r>
      <w:r>
        <w:t>I</w:t>
      </w:r>
      <w:r>
        <w:rPr>
          <w:vertAlign w:val="subscript"/>
        </w:rPr>
        <w:t>3</w:t>
      </w:r>
      <w:r>
        <w:t xml:space="preserve"> </w:t>
      </w:r>
      <w:r>
        <w:t>n</w:t>
      </w:r>
      <w:r>
        <w:t xml:space="preserve"> </w:t>
      </w:r>
      <w:r>
        <w:t>+1</w:t>
      </w:r>
      <w:r>
        <w:t xml:space="preserve"> </w:t>
      </w:r>
      <w:r>
        <w:t>(L: oleylamine,</w:t>
      </w:r>
      <w:r>
        <w:t xml:space="preserve"> </w:t>
      </w:r>
      <w:r>
        <w:t>n</w:t>
      </w:r>
      <w:r>
        <w:t xml:space="preserve"> </w:t>
      </w:r>
      <w:r>
        <w:t>≥ 2) nanoplatelet superlattices. Temperature‐tunable optical spectra reveal microcavity‐like excitonic confinement, while ultrafast transient absorption spectroscopy uncovers sub‐picosecond energy funneling through modulated quantum wells, facilitating a measurable and stable self‐powered photoresponse across a broad spectral range at room temperature. A rare coexistence of negative thermal expansion and quenching arises from anisotropic octahedral distortions and electron–phonon interactions. These findings establish a new structure‐function paradigm for designing thermally reconfigurable optoelectronic materials via engineered lattice modulation in hybrid perovskite superstructures.</w:t>
      </w:r>
    </w:p>
    <w:p>
      <w:pPr>
        <w:spacing w:before="120" w:after="120"/>
      </w:pPr>
      <w:r>
        <w:rPr>
          <w:sz w:val="18"/>
        </w:rPr>
        <w:t>——————————————————————————————————————————————————————————————————————</w:t>
      </w:r>
    </w:p>
    <w:p>
      <w:pPr>
        <w:spacing w:before="160" w:after="40" w:line="240" w:lineRule="auto"/>
      </w:pPr>
      <w:r>
        <w:rPr>
          <w:b/>
        </w:rPr>
        <w:t xml:space="preserve">[7] </w:t>
      </w:r>
      <w:hyperlink r:id="rId17">
        <w:r>
          <w:rPr>
            <w:color w:val="1155CC"/>
            <w:u w:val="single"/>
          </w:rPr>
          <w:t>激光定义反应拓扑实现可控固态转化用于可扩展钙钛矿光伏</w:t>
        </w:r>
      </w:hyperlink>
    </w:p>
    <w:p>
      <w:pPr>
        <w:spacing w:before="0" w:after="80"/>
      </w:pPr>
      <w:r>
        <w:rPr>
          <w:i/>
          <w:sz w:val="20"/>
        </w:rPr>
        <w:t>EN: Laser‐Defined Reaction Topology Enables Controllable Solid‐State Transformations for Scalable Perovskite Photovoltaics</w:t>
      </w:r>
    </w:p>
    <w:p>
      <w:pPr>
        <w:spacing w:before="0" w:after="120"/>
      </w:pPr>
      <w:r>
        <w:rPr>
          <w:b/>
        </w:rPr>
        <w:t xml:space="preserve">Source: </w:t>
      </w:r>
      <w:r>
        <w:t>Wiley: Advanced Materials: Table of Contents</w:t>
      </w:r>
      <w:r>
        <w:t xml:space="preserve">    </w:t>
      </w:r>
      <w:r>
        <w:rPr>
          <w:b/>
        </w:rPr>
        <w:t xml:space="preserve">Pub date: </w:t>
      </w:r>
      <w:r>
        <w:t>2026-08-29 03:57:15+00:00</w:t>
      </w:r>
      <w:r>
        <w:t xml:space="preserve">    </w:t>
      </w:r>
      <w:r>
        <w:rPr>
          <w:b/>
        </w:rPr>
        <w:t xml:space="preserve">DOI: </w:t>
      </w:r>
      <w:hyperlink r:id="rId18">
        <w:r>
          <w:rPr>
            <w:color w:val="1155CC"/>
            <w:u w:val="single"/>
          </w:rPr>
          <w:t>10.1002/adma.74828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在固体中控制反应路径对于可扩展的半导体制造至关重要，然而由于受限的传质和扩散限制的转化，这在溶液加工体系中仍然存在根本性挑战。在钙钛矿光伏领域，广泛采用的顺序两步沉积法尤其受到致密PbI</w:t>
      </w:r>
      <w:r>
        <w:rPr>
          <w:vertAlign w:val="subscript"/>
        </w:rPr>
        <w:t>2</w:t>
      </w:r>
      <w:r>
        <w:t>前驱体层的限制，该层阻碍离子扩散，导致转化不完全和缺陷形成。本文报道了一种光子策略，通过在PbI</w:t>
      </w:r>
      <w:r>
        <w:rPr>
          <w:vertAlign w:val="subscript"/>
        </w:rPr>
        <w:t>2</w:t>
      </w:r>
      <w:r>
        <w:t>层内构建微米和纳米级通道来空间调控固态反应路径。激光诱导结构作为确定性扩散通道，实现可控的离子传输和有机盐的空间引导渗透，从而将扩散限制过程转变为空间协调的反应。机理研究表明，光子结构化重新分布了局部电子环境并降低了相变的活化能垒，从而加速了转化、提高了结晶度并降低了缺陷密度。所得钙钛矿薄膜表现出改善的载流子动力学。孔径面积为22.95 cm</w:t>
      </w:r>
      <w:r>
        <w:rPr>
          <w:vertAlign w:val="subscript"/>
        </w:rPr>
        <w:t>2</w:t>
      </w:r>
      <w:r>
        <w:t>的钙钛矿太阳能组件实现了创纪录的22.83%的功率转换效率，并在最大功率点跟踪下1500小时后保持其初始性能的90%以上。这项工作确立了对反应的光子控制</w:t>
      </w:r>
    </w:p>
    <w:p>
      <w:pPr>
        <w:spacing w:before="0" w:after="200" w:lineRule="auto" w:line="276"/>
      </w:pPr>
      <w:r>
        <w:rPr>
          <w:b/>
        </w:rPr>
        <w:t xml:space="preserve">Abstract (EN): </w:t>
      </w:r>
      <w:r>
        <w:t>Controlling reaction pathways in solids is critical for scalable semiconductor fabrication, yet remains fundamentally challenging in solution‐processed systems due to constrained mass transport and diffusion‐limited conversion. In perovskite photovoltaics, the widely adopted sequential two‐step deposition method is particularly limited by dense PbI</w:t>
      </w:r>
      <w:r>
        <w:rPr>
          <w:vertAlign w:val="subscript"/>
        </w:rPr>
        <w:t>2</w:t>
      </w:r>
      <w:r>
        <w:t>precursor layers, which impede ion diffusion and lead to incomplete conversion and defect formation. Here we report a photonic strategy to spatially regulate solid‐state reaction pathways by engineering micro‐ and nanoscale channels within PbI</w:t>
      </w:r>
      <w:r>
        <w:rPr>
          <w:vertAlign w:val="subscript"/>
        </w:rPr>
        <w:t>2</w:t>
      </w:r>
      <w:r>
        <w:t>layers. Laser‐induced structures act as deterministic diffusion pathways, enabling controlled ion transport and spatially guided infiltration of organic salts, thereby transforming a diffusion‐limited process into a spatially coordinated reaction. Mechanistic investigations reveal that photonic structuring redistributes the local electronic environment and lowers the activation barrier for phase transformation, resulting in accelerated conversion, enhanced crystallinity, and reduced defect density. The resulting perovskite films exhibit improved carrier dynamics. Perovskite solar modules with an aperture area of 22.95  cm</w:t>
      </w:r>
      <w:r>
        <w:rPr>
          <w:vertAlign w:val="subscript"/>
        </w:rPr>
        <w:t>2</w:t>
      </w:r>
      <w:r>
        <w:t>achieve a record power conversion efficiency of 22.83%, retaining over 90% of their initial performance after 1,500 h under maximum power point tracking. This work establishes photonic control of reaction pathways as a general framework for controlled solid‐state transformations.</w:t>
      </w:r>
    </w:p>
    <w:p>
      <w:pPr>
        <w:spacing w:before="120" w:after="120"/>
      </w:pPr>
      <w:r>
        <w:rPr>
          <w:sz w:val="18"/>
        </w:rPr>
        <w:t>——————————————————————————————————————————————————————————————————————</w:t>
      </w:r>
    </w:p>
    <w:p>
      <w:pPr>
        <w:spacing w:before="160" w:after="40" w:line="240" w:lineRule="auto"/>
      </w:pPr>
      <w:r>
        <w:rPr>
          <w:b/>
        </w:rPr>
        <w:t xml:space="preserve">[8] </w:t>
      </w:r>
      <w:hyperlink r:id="rId19">
        <w:r>
          <w:rPr>
            <w:color w:val="1155CC"/>
            <w:u w:val="single"/>
          </w:rPr>
          <w:t>AI赋能遥感揭示城市屋顶光伏采用的两条路径：家庭屋顶与大屋顶</w:t>
        </w:r>
      </w:hyperlink>
    </w:p>
    <w:p>
      <w:pPr>
        <w:spacing w:before="0" w:after="80"/>
      </w:pPr>
      <w:r>
        <w:rPr>
          <w:i/>
          <w:sz w:val="20"/>
        </w:rPr>
        <w:t>EN: AI-enabled remote sensing reveals two urban rooftop PV adoption pathways: household vs. large-roof</w:t>
      </w:r>
    </w:p>
    <w:p>
      <w:pPr>
        <w:spacing w:before="0" w:after="120"/>
      </w:pPr>
      <w:r>
        <w:rPr>
          <w:b/>
        </w:rPr>
        <w:t xml:space="preserve">Source: </w:t>
      </w:r>
      <w:r>
        <w:t>ScienceDirect Publication: Applied Energy</w:t>
      </w:r>
      <w:r>
        <w:t xml:space="preserve">    </w:t>
      </w:r>
      <w:r>
        <w:rPr>
          <w:b/>
        </w:rPr>
        <w:t xml:space="preserve">Pub date: </w:t>
      </w:r>
      <w:r>
        <w:t>2026-08-30 00:00:00+00:00</w:t>
      </w:r>
      <w:r>
        <w:t xml:space="preserve">    </w:t>
      </w:r>
      <w:r>
        <w:rPr>
          <w:b/>
        </w:rPr>
        <w:t xml:space="preserve">DOI: </w:t>
      </w:r>
      <w:hyperlink r:id="rId20">
        <w:r>
          <w:rPr>
            <w:color w:val="1155CC"/>
            <w:u w:val="single"/>
          </w:rPr>
          <w:t>10.1016/j.apenergy.2026.128766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21">
        <w:r>
          <w:rPr>
            <w:color w:val="1155CC"/>
            <w:u w:val="single"/>
          </w:rPr>
          <w:t>通过挥发性添加剂工程制备高性能钙钛矿光伏用洁净氧化锡</w:t>
        </w:r>
      </w:hyperlink>
    </w:p>
    <w:p>
      <w:pPr>
        <w:spacing w:before="0" w:after="80"/>
      </w:pPr>
      <w:r>
        <w:rPr>
          <w:i/>
          <w:sz w:val="20"/>
        </w:rPr>
        <w:t>EN: Clean Tin Oxide via Volatile Additive Engineering for High‐performance Perovskite Photovoltaics</w:t>
      </w:r>
    </w:p>
    <w:p>
      <w:pPr>
        <w:spacing w:before="0" w:after="120"/>
      </w:pPr>
      <w:r>
        <w:rPr>
          <w:b/>
        </w:rPr>
        <w:t xml:space="preserve">Source: </w:t>
      </w:r>
      <w:r>
        <w:t>Wiley: Advanced Energy Materials: Table of Contents</w:t>
      </w:r>
      <w:r>
        <w:t xml:space="preserve">    </w:t>
      </w:r>
      <w:r>
        <w:rPr>
          <w:b/>
        </w:rPr>
        <w:t xml:space="preserve">Pub date: </w:t>
      </w:r>
      <w:r>
        <w:t>2026-08-30 10:11:23+00:00</w:t>
      </w:r>
      <w:r>
        <w:t xml:space="preserve">    </w:t>
      </w:r>
      <w:r>
        <w:rPr>
          <w:b/>
        </w:rPr>
        <w:t xml:space="preserve">DOI: </w:t>
      </w:r>
      <w:hyperlink r:id="rId22">
        <w:r>
          <w:rPr>
            <w:color w:val="1155CC"/>
            <w:u w:val="single"/>
          </w:rPr>
          <w:t>10.1002/aenm.71514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SnO₂ 是钙钛矿太阳能电池（PSCs）的基准电子传输材料。然而，传统化学浴沉积（CBD）制备的 SnO₂ 薄膜受杂质和缺陷的限制，会加速非辐射复合并损害器件稳定性。在此，我们提出一种挥发性添加剂工程策略，在 SnO₂ 沉积过程中使用丙酮酸（PA）作为双功能成核促进剂和表面调节剂。由于其挥发性（145°C 升华），PA 可在退火过程中被有效去除，从而获得残留基团更少、更洁净的 SnO₂ 表面。同时，SnO₂ 层中与氧相关的缺陷密度也随之降低。这一改善增强了埋底界面处的电荷复合抑制并提高了热稳定性。因此，经 PA 工程化的 PSCs 实现了 26.17% 的功率转换效率，并具有更好的器件稳定性，在连续运行 900 h、65°C 下 1000 h 以及 30% 相对湿度下 30 天后仍保持 &gt;80% 的初始效率。此外，该方法与大面积制备兼容，1 cm² 实验室规模电池的效率为 24.83%，30 cm × 30 cm 工业规模太阳能组件的效率为 20.21%。这些结果表明，控制添加剂挥发</w:t>
      </w:r>
    </w:p>
    <w:p>
      <w:pPr>
        <w:spacing w:before="0" w:after="200" w:lineRule="auto" w:line="276"/>
      </w:pPr>
      <w:r>
        <w:rPr>
          <w:b/>
        </w:rPr>
        <w:t xml:space="preserve">Abstract (EN): </w:t>
      </w:r>
      <w:r>
        <w:t>SnO</w:t>
      </w:r>
      <w:r>
        <w:rPr>
          <w:vertAlign w:val="subscript"/>
        </w:rPr>
        <w:t>2</w:t>
      </w:r>
      <w:r>
        <w:t>is a benchmark electron transport material for perovskite solar cells (PSCs). However, SnO</w:t>
      </w:r>
      <w:r>
        <w:rPr>
          <w:vertAlign w:val="subscript"/>
        </w:rPr>
        <w:t>2</w:t>
      </w:r>
      <w:r>
        <w:t>films from the conventional chemical bath deposition (CBD) are limited by impurities and defects that accelerate non‐radiative recombination and compromise device stability. Here, we present a volatile additive engineering strategy using pyruvic acid (PA) as a dual‐functional nucleation promoter and surface modulator during SnO</w:t>
      </w:r>
      <w:r>
        <w:rPr>
          <w:vertAlign w:val="subscript"/>
        </w:rPr>
        <w:t>2</w:t>
      </w:r>
      <w:r>
        <w:t>deposition. Owing to its volatility (sublimation at 145°C), PA can be effectively removed during annealing, resulting in cleaner SnO</w:t>
      </w:r>
      <w:r>
        <w:rPr>
          <w:vertAlign w:val="subscript"/>
        </w:rPr>
        <w:t>2</w:t>
      </w:r>
      <w:r>
        <w:t>surfaces with reduced residual groups. This is accompanied by a decrease in oxygen‐related defect densities in the SnO</w:t>
      </w:r>
      <w:r>
        <w:rPr>
          <w:vertAlign w:val="subscript"/>
        </w:rPr>
        <w:t>2</w:t>
      </w:r>
      <w:r>
        <w:t>layer. This improvement leads to enhanced charge recombination and improved thermal stability at the buried interface. Consequently, PA‐engineered PSCs achieve a power conversion efficiency of 26.17%, together with improved device stability, retaining &amp;gt;80% of their initial efficiency after 900 h of continuous operation, 1000 h at 65°C, and 30 days under 30% relative humidity. Furthermore, this approach is compatible with large‐area fabrication, yielding efficiencies of 24.83% for 1 cm</w:t>
      </w:r>
      <w:r>
        <w:rPr>
          <w:vertAlign w:val="subscript"/>
        </w:rPr>
        <w:t>2</w:t>
      </w:r>
      <w:r>
        <w:t>lab‐scale cells and 20.21% for 30 cm × 30 cm industrial‐scale solar modules. These results suggest that controlling additive volatility improves CBD‐SnO</w:t>
      </w:r>
      <w:r>
        <w:rPr>
          <w:vertAlign w:val="subscript"/>
        </w:rPr>
        <w:t>2</w:t>
      </w:r>
      <w:r>
        <w:t>quality and offers a promising route for stable, scalable perovskite solar cells.</w:t>
      </w:r>
    </w:p>
    <w:p>
      <w:pPr>
        <w:spacing w:before="120" w:after="120"/>
      </w:pPr>
      <w:r>
        <w:rPr>
          <w:sz w:val="18"/>
        </w:rPr>
        <w:t>——————————————————————————————————————————————————————————————————————</w:t>
      </w:r>
    </w:p>
    <w:p>
      <w:pPr>
        <w:spacing w:before="160" w:after="40" w:line="240" w:lineRule="auto"/>
      </w:pPr>
      <w:r>
        <w:rPr>
          <w:b/>
        </w:rPr>
        <w:t xml:space="preserve">[10] </w:t>
      </w:r>
      <w:hyperlink r:id="rId23">
        <w:r>
          <w:rPr>
            <w:color w:val="1155CC"/>
            <w:u w:val="single"/>
          </w:rPr>
          <w:t>基于低成本多功能食品添加剂的高质量钙钛矿晶体多重钝化用于空气中高性能钙钛矿太阳能电池</w:t>
        </w:r>
      </w:hyperlink>
    </w:p>
    <w:p>
      <w:pPr>
        <w:spacing w:before="0" w:after="80"/>
      </w:pPr>
      <w:r>
        <w:rPr>
          <w:i/>
          <w:sz w:val="20"/>
        </w:rPr>
        <w:t>EN: Multiple Passivation on High-Quality Perovskite Crystals Based on Low-Cost Polyfunctional Food Additive for High-Performance Perovskite Solar Cells in Ambient Air</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23">
        <w:r>
          <w:rPr>
            <w:color w:val="1155CC"/>
            <w:u w:val="single"/>
          </w:rPr>
          <w:t>10.1021/acsami.6c10456</w:t>
        </w:r>
      </w:hyperlink>
    </w:p>
    <w:p>
      <w:pPr>
        <w:spacing w:before="0" w:after="120"/>
      </w:pPr>
      <w:r>
        <w:rPr>
          <w:b/>
        </w:rPr>
        <w:t xml:space="preserve">Notes: </w:t>
      </w:r>
      <w:r>
        <w:t>abstract_source=crossref</w:t>
      </w:r>
    </w:p>
    <w:p>
      <w:pPr>
        <w:spacing w:before="0" w:after="80" w:lineRule="auto" w:line="276"/>
      </w:pPr>
      <w:r>
        <w:rPr>
          <w:b/>
        </w:rPr>
        <w:t xml:space="preserve">摘要（ZH）: </w:t>
      </w:r>
      <w:r>
        <w:t>摘要 FAPbI3钙钛矿薄膜在环境空气中的两步沉积面临多重挑战，如PbI2向钙钛矿转化不完全和湿气诱导降解，导致残余PbI2、晶界缺陷和不稳定的相形成。为解决这些问题，在空气处理的器件制备过程中，向PbI2前驱体中引入了一种低成本多功能的食品级食品添加剂——环己基氨基磺酸钠（SC）。SC与钙钛矿前驱体之间的多重协同相互作用有效抑制了不利缺陷的产生，并极大提高了耐湿性。SC中的磺酸基团（–SO3–）与Pb2+空位配位，而氨基（–NH–）通过氢键钝化I–空位。此外，SC通过形成多孔PbI2中间体促进钙钛矿薄膜的结晶动力学，促进FAI完全渗透并稳定α相以抵御δ相转变。在环境空气中获得了晶粒尺寸增大、陷阱密度降低和相纯度提高的钙钛矿薄膜。因此，冠军器件在环境空气中实现了更高的功率转换效率（PCE）和较高的开路电压（Voc）。在环境条件下，添加SC的未封装器件相比对照器件表现出更优异的长期稳定性。</w:t>
      </w:r>
    </w:p>
    <w:p>
      <w:pPr>
        <w:spacing w:before="0" w:after="200" w:lineRule="auto" w:line="276"/>
      </w:pPr>
      <w:r>
        <w:rPr>
          <w:b/>
        </w:rPr>
        <w:t xml:space="preserve">Abstract (EN): </w:t>
      </w:r>
      <w:r>
        <w:t>The two-step deposition of FAPbI3 perovskite films in ambient air faces multiple challenges, such as incomplete PbI2-to-perovskite conversion and moisture-induced degradation, leading to residual PbI2, grain boundary defects, and unstable phase formation. To solve these issues, a low-cost polyfunctional food-grade food additive, sodium cyclamate (SC), was introduced into the PbI2 precursor for the air-processed device fabrication process. The multiple cooperative interactions between SC and perovskite precursors effectively inhibit the unfavorable defect generation and greatly improve moisture tolerance. The sulfonic acid group (–SO3–) in SC coordinates with Pb2+ vacancies, while the amino group (–NH–) passivates I– vacancies via hydrogen bonding. Additionally, SC facilitates the crystallization kinetics of perovskite films via forming a porous PbI2 intermediate, which promotes the complete FAI penetration and stabilizes the α-phase against δ-phase transition. The perovskite films with enlarged grain size, reduced trap density, and improved phase purity were achieved in ambient air. Consequently, the champion device achieves an improved power conversion efficiency (PCE) with a high open-circuit voltage (Voc) in ambient air. The unencapsulated devices with SC exhibit superior long-term stability compared with the control devices under ambient conditions.</w:t>
      </w:r>
    </w:p>
    <w:p>
      <w:pPr>
        <w:spacing w:before="120" w:after="120"/>
      </w:pPr>
      <w:r>
        <w:rPr>
          <w:sz w:val="18"/>
        </w:rPr>
        <w:t>——————————————————————————————————————————————————————————————————————</w:t>
      </w:r>
    </w:p>
    <w:p>
      <w:pPr>
        <w:spacing w:before="160" w:after="40" w:line="240" w:lineRule="auto"/>
      </w:pPr>
      <w:r>
        <w:rPr>
          <w:b/>
        </w:rPr>
        <w:t xml:space="preserve">[11] </w:t>
      </w:r>
      <w:hyperlink r:id="rId24">
        <w:r>
          <w:rPr>
            <w:color w:val="1155CC"/>
            <w:u w:val="single"/>
          </w:rPr>
          <w:t>硅光伏的功能性碳纳米管接触：从透明导电薄膜到选择性与钝化界面</w:t>
        </w:r>
      </w:hyperlink>
    </w:p>
    <w:p>
      <w:pPr>
        <w:spacing w:before="0" w:after="80"/>
      </w:pPr>
      <w:r>
        <w:rPr>
          <w:i/>
          <w:sz w:val="20"/>
        </w:rPr>
        <w:t>EN: Functional Carbon Nanotube Contacts for Silicon Photovoltaics: From Transparent Conductive Films to Selective and Passivating Interfaces</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24">
        <w:r>
          <w:rPr>
            <w:color w:val="1155CC"/>
            <w:u w:val="single"/>
          </w:rPr>
          <w:t>10.1021/acsami.6c13671</w:t>
        </w:r>
      </w:hyperlink>
    </w:p>
    <w:p>
      <w:pPr>
        <w:spacing w:before="0" w:after="120"/>
      </w:pPr>
      <w:r>
        <w:rPr>
          <w:b/>
        </w:rPr>
        <w:t xml:space="preserve">Notes: </w:t>
      </w:r>
      <w:r>
        <w:t>abstract_source=crossref</w:t>
      </w:r>
    </w:p>
    <w:p>
      <w:pPr>
        <w:spacing w:before="0" w:after="80" w:lineRule="auto" w:line="276"/>
      </w:pPr>
      <w:r>
        <w:rPr>
          <w:b/>
        </w:rPr>
        <w:t xml:space="preserve">摘要（ZH）: </w:t>
      </w:r>
      <w:r>
        <w:t>摘要 碳纳米管/硅 (CNT/Si) 异质结太阳能电池已成为一种有前景的低温光伏平台，兼具 Si 的强光捕获能力与 CNT 基接触的透明性、可加工性和机械柔顺性。近期进展已将实验室规模的效率提升至约 23%，并将器件工作扩展到厘米级面积。这些进展反映了 CNT 接触的功能演进：从早期前结器件中的透明导电薄膜，到化学和结构工程化接触，再到与将光学管理与 CNT 输运限制解耦的架构相结合的选择性/钝化界面。本综述考察了 CNT 组成、掺杂、形貌、Si 吸收层设计、界面钝化和光学管理如何共同调控载流子提取、复合、光子利用和机械形态因子。随后讨论了实际应用的关键障碍，包括 CNT 薄膜均匀性、面积放大、接触稳定性和机械可靠性。通过将器件性能进展与剩余的材料和工程挑战相联系，本综述从材料和界面视角为可扩展、可靠的 CNT/Si 光伏提供了要求参考。</w:t>
      </w:r>
    </w:p>
    <w:p>
      <w:pPr>
        <w:spacing w:before="0" w:after="200" w:lineRule="auto" w:line="276"/>
      </w:pPr>
      <w:r>
        <w:rPr>
          <w:b/>
        </w:rPr>
        <w:t xml:space="preserve">Abstract (EN): </w:t>
      </w:r>
      <w:r>
        <w:t>Carbon nanotube/silicon (CNT/Si) heterojunction solar cells have emerged as a promising low-temperature photovoltaic platform, combining the strong light-harvesting capability of Si with the transparency, processability, and mechanical compliance of CNT-based contacts. Recent advances have pushed laboratory-scale efficiencies to about 23% and extended device operation to centimeter-scale areas. These advances reflect a functional evolution of CNT contacts from transparent conductive films in early front-junction devices to chemically and structurally engineered contacts and further to selective/passivating interfaces integrated with architectures that decouple optical management from CNT transport constraints. This review examines how CNT composition, doping, morphology, Si absorber design, interfacial passivation, and optical management collectively regulate carrier extraction, recombination, photon utilization, and mechanical form factor. It then discusses the key barriers to practical implementation, including CNT film uniformity, area scaling, contact stability, and mechanical reliability. By linking device-performance advances with the remaining materials and engineering challenges, this review provides a materials and interface perspective on the requirements for scalable and reliable CNT/Si photovoltaics.</w:t>
      </w:r>
    </w:p>
    <w:p>
      <w:pPr>
        <w:spacing w:before="120" w:after="120"/>
      </w:pPr>
      <w:r>
        <w:rPr>
          <w:sz w:val="18"/>
        </w:rPr>
        <w:t>——————————————————————————————————————————————————————————————————————</w:t>
      </w:r>
    </w:p>
    <w:p>
      <w:pPr>
        <w:spacing w:before="160" w:after="40" w:line="240" w:lineRule="auto"/>
      </w:pPr>
      <w:r>
        <w:rPr>
          <w:b/>
        </w:rPr>
        <w:t xml:space="preserve">[12] </w:t>
      </w:r>
      <w:hyperlink r:id="rId25">
        <w:r>
          <w:rPr>
            <w:color w:val="1155CC"/>
            <w:u w:val="single"/>
          </w:rPr>
          <w:t>通过分子界面工程解锁全无机碳基CsPbI2Br钙钛矿太阳能电池的三重界面协同效应</w:t>
        </w:r>
      </w:hyperlink>
    </w:p>
    <w:p>
      <w:pPr>
        <w:spacing w:before="0" w:after="80"/>
      </w:pPr>
      <w:r>
        <w:rPr>
          <w:i/>
          <w:sz w:val="20"/>
        </w:rPr>
        <w:t>EN: Unlocking Triple Interfacial Synergy in All-Inorganic Carbon-Based CsPbI2Br Perovskite Solar Cells via Molecular Interface Engineering</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25">
        <w:r>
          <w:rPr>
            <w:color w:val="1155CC"/>
            <w:u w:val="single"/>
          </w:rPr>
          <w:t>10.1021/acsami.6c13768</w:t>
        </w:r>
      </w:hyperlink>
    </w:p>
    <w:p>
      <w:pPr>
        <w:spacing w:before="0" w:after="120"/>
      </w:pPr>
      <w:r>
        <w:rPr>
          <w:b/>
        </w:rPr>
        <w:t xml:space="preserve">Notes: </w:t>
      </w:r>
      <w:r>
        <w:t>abstract_source=crossref</w:t>
      </w:r>
    </w:p>
    <w:p>
      <w:pPr>
        <w:spacing w:before="0" w:after="80" w:lineRule="auto" w:line="276"/>
      </w:pPr>
      <w:r>
        <w:rPr>
          <w:b/>
        </w:rPr>
        <w:t xml:space="preserve">摘要（ZH）: </w:t>
      </w:r>
      <w:r>
        <w:t>摘要 全无机CsPbI2Br钙钛矿太阳能电池在碳基结构中因缺陷介导的复合、不利的界面能级排列以及环境退化而导致效率和稳定性损失。在此，我们报道了一种采用N-甲基-4-溴苄基氯化铵（4-Br-NMBACl）的分子界面工程策略，该策略实现了同时解决这些限制的三重界面协同效应。该分子后处理通过–NH–基团的配位作用和Cl-离子的缺陷补偿效应，分别有效钝化了配位不足的Pb2+缺陷和卤素空位，同时优化了界面能级排列并增强了抗湿性。这些协同效应抑制了非辐射复合，改善了电荷提取，并增强了环境耐受性。因此，器件的功率转换效率（PCE）达到14.22%，而对照器件为12.17%，同时运行稳定性和环境稳定性显著提高。这项工作展示了一种简单而有效的分子策略，可同时调控全无机钙钛矿太阳能电池中的缺陷化学、界面能级和抗湿性。</w:t>
      </w:r>
    </w:p>
    <w:p>
      <w:pPr>
        <w:spacing w:before="0" w:after="200" w:lineRule="auto" w:line="276"/>
      </w:pPr>
      <w:r>
        <w:rPr>
          <w:b/>
        </w:rPr>
        <w:t xml:space="preserve">Abstract (EN): </w:t>
      </w:r>
      <w:r>
        <w:t>All-inorganic CsPbI2Br perovskite solar cells suffer from efficiency and stability losses caused by defect-mediated recombination, unfavorable interfacial energetics, and environmental degradation in carbon-based architectures. Here, we report a molecular interface engineering strategy using N-methyl-4-bromobenzylammonium chloride (4-Br-NMBACl) that enables a triple interfacial synergy addressing these limitations simultaneously. The molecular post-treatment effectively passivates undercoordinated Pb2+ defects and halide vacancies through the coordination interactions of –NH– groups and the defect-compensating effect of Cl- ions, respectively, while simultaneously optimizing interfacial energy-level alignment and enhancing moisture resistance. These synergistic effects suppress non-radiative recombination, improve charge extraction, and enhance environmental resistance. As a result, the devices deliver a power conversion efficiency (PCE) of 14.22%, compared with 12.17% for control devices, together with significantly improved operational and ambient stability. This work demonstrates a simple and effective molecular strategy for simultaneously regulating defect chemistry, interfacial energetics, and moisture resistance in all-inorganic perovskite solar cells.</w:t>
      </w:r>
    </w:p>
    <w:p>
      <w:pPr>
        <w:spacing w:before="120" w:after="120"/>
      </w:pPr>
      <w:r>
        <w:rPr>
          <w:sz w:val="18"/>
        </w:rPr>
        <w:t>——————————————————————————————————————————————————————————————————————</w:t>
      </w:r>
    </w:p>
    <w:p>
      <w:pPr>
        <w:spacing w:before="160" w:after="40" w:line="240" w:lineRule="auto"/>
      </w:pPr>
      <w:r>
        <w:rPr>
          <w:b/>
        </w:rPr>
        <w:t xml:space="preserve">[13] </w:t>
      </w:r>
      <w:hyperlink r:id="rId26">
        <w:r>
          <w:rPr>
            <w:color w:val="1155CC"/>
            <w:u w:val="single"/>
          </w:rPr>
          <w:t>n型共轭聚合物：分子设计、材料性能与器件应用</w:t>
        </w:r>
      </w:hyperlink>
    </w:p>
    <w:p>
      <w:pPr>
        <w:spacing w:before="0" w:after="80"/>
      </w:pPr>
      <w:r>
        <w:rPr>
          <w:i/>
          <w:sz w:val="20"/>
        </w:rPr>
        <w:t>EN: n-Type Conjugated Polymers: Molecular Design, Material Properties, and Device Applications</w:t>
      </w:r>
    </w:p>
    <w:p>
      <w:pPr>
        <w:spacing w:before="0" w:after="120"/>
      </w:pPr>
      <w:r>
        <w:rPr>
          <w:b/>
        </w:rPr>
        <w:t xml:space="preserve">Source: </w:t>
      </w:r>
      <w:r>
        <w:t>Chemical Reviews</w:t>
      </w:r>
      <w:r>
        <w:t xml:space="preserve">    </w:t>
      </w:r>
      <w:r>
        <w:rPr>
          <w:b/>
        </w:rPr>
        <w:t xml:space="preserve">Pub date: </w:t>
      </w:r>
      <w:r>
        <w:t>2026-08-31 00:00:00+00:00</w:t>
      </w:r>
      <w:r>
        <w:t xml:space="preserve">    </w:t>
      </w:r>
      <w:r>
        <w:rPr>
          <w:b/>
        </w:rPr>
        <w:t xml:space="preserve">DOI: </w:t>
      </w:r>
      <w:hyperlink r:id="rId26">
        <w:r>
          <w:rPr>
            <w:color w:val="1155CC"/>
            <w:u w:val="single"/>
          </w:rPr>
          <w:t>10.1021/acs.chemrev.5c00891</w:t>
        </w:r>
      </w:hyperlink>
    </w:p>
    <w:p>
      <w:pPr>
        <w:spacing w:before="0" w:after="120"/>
      </w:pPr>
      <w:r>
        <w:rPr>
          <w:b/>
        </w:rPr>
        <w:t xml:space="preserve">Notes: </w:t>
      </w:r>
      <w:r>
        <w:t>abstract_source=crossref</w:t>
      </w:r>
    </w:p>
    <w:p>
      <w:pPr>
        <w:spacing w:before="0" w:after="80" w:lineRule="auto" w:line="276"/>
      </w:pPr>
      <w:r>
        <w:rPr>
          <w:b/>
        </w:rPr>
        <w:t xml:space="preserve">摘要（ZH）: </w:t>
      </w:r>
      <w:r>
        <w:t>摘要 n型和p型共轭聚合物在聚合物电子学的发展和商业化进程中均发挥着重要作用。得益于该领域科学家和工程师在过去十年中的巨大努力，n型聚合物半导体几乎在各个方面都取得了显著进展。然而，大多数已报道的高性能聚合物半导体仍表现出p型特性。p型与n型聚合物半导体之间的性能差距已成为聚合物电子学的阿喀琉斯之踵，阻碍了逻辑电路等新兴应用的发展。因此，及时而全面地综述n型共轭聚合物在分子设计、材料性质和器件应用方面的最新进展，对于促进高性能n型聚合物材料的发展至关重要。本综述全面概述了n型共轭聚合物的最新进展，重点关注其基本光电性质、战略性分子设计以及新兴器件应用。本文首先介绍基本原理和历史背景，并强调开发高效n型共轭聚合物的重要性与挑战。随后，通过首先概述能级、电荷传输性质、形貌和力学性质等关键特性，并将其与关键的分子设计策略相关联，系统地建立了结构–性质关系。本综述还概述了重要应用</w:t>
      </w:r>
    </w:p>
    <w:p>
      <w:pPr>
        <w:spacing w:before="0" w:after="200" w:lineRule="auto" w:line="276"/>
      </w:pPr>
      <w:r>
        <w:rPr>
          <w:b/>
        </w:rPr>
        <w:t xml:space="preserve">Abstract (EN): </w:t>
      </w:r>
      <w:r>
        <w:t>Both n-type and p-type conjugated polymers play vital roles in the advancement and commercialization of polymer electronics. Through the tremendous efforts of scientists and engineers in this field over the past decade, n-type polymer semiconductors have experienced remarkable progress in nearly every aspect. However, most of the reported high-performance polymer semiconductors still exhibit p-type characteristics. The performance gap between p-type and n-type polymer semiconductors has become the Achilles’ heel of polymer electronics, hindering the development of emerging applications such as logic circuits. Therefore, a timely and comprehensive overview of recent advances in the molecular design, material properties, and device applications of n-type conjugated polymers is essential to facilitate the development of high-performance n-type polymer materials. This review offers a comprehensive overview of recent advancements in n-type conjugated polymers, focusing on their fundamental optoelectronic properties, strategic molecular design, and emerging device applications. It starts by introducing the basic principles and historical background and highlighting both the importance and the challenge of developing effective n-type conjugated polymers. Subsequently, it systematically establishes structure–property relationships by first outlining key characteristics, including energy level, charge transport property, morphology, and mechanical property, and then correlates them with crucial molecular design strategies. This review also outlines the important applications and provides an overview of the critical progress in emerging optoelectrical devices, including organic solar cells and organic field-effect transistors. Finally, the challenges and promising research directions for n-type conjugated polymers are presented, which provide valuable guidance for the design of high-performance n-type polymer semiconductors and the exploration of more advanced applications in the future.</w:t>
      </w:r>
    </w:p>
    <w:p>
      <w:pPr>
        <w:spacing w:before="120" w:after="120"/>
      </w:pPr>
      <w:r>
        <w:rPr>
          <w:sz w:val="18"/>
        </w:rPr>
        <w:t>——————————————————————————————————————————————————————————————————————</w:t>
      </w:r>
    </w:p>
    <w:p>
      <w:pPr>
        <w:spacing w:before="160" w:after="40" w:line="240" w:lineRule="auto"/>
      </w:pPr>
      <w:r>
        <w:rPr>
          <w:b/>
        </w:rPr>
        <w:t xml:space="preserve">[14] </w:t>
      </w:r>
      <w:hyperlink r:id="rId27">
        <w:r>
          <w:rPr>
            <w:color w:val="1155CC"/>
            <w:u w:val="single"/>
          </w:rPr>
          <w:t>通过复合通道离域突破钙钛矿-有机叠层太阳能电池的互连极限</w:t>
        </w:r>
      </w:hyperlink>
    </w:p>
    <w:p>
      <w:pPr>
        <w:spacing w:before="0" w:after="80"/>
      </w:pPr>
      <w:r>
        <w:rPr>
          <w:i/>
          <w:sz w:val="20"/>
        </w:rPr>
        <w:t>EN: Pushing the Interconnection Limit in Perovskite‐Organic Tandem Solar Cells Through Recombination Channels Delocalization</w:t>
      </w:r>
    </w:p>
    <w:p>
      <w:pPr>
        <w:spacing w:before="0" w:after="120"/>
      </w:pPr>
      <w:r>
        <w:rPr>
          <w:b/>
        </w:rPr>
        <w:t xml:space="preserve">Source: </w:t>
      </w:r>
      <w:r>
        <w:t>Wiley: Angewandte Chemie International Edition: Table of Contents</w:t>
      </w:r>
      <w:r>
        <w:t xml:space="preserve">    </w:t>
      </w:r>
      <w:r>
        <w:rPr>
          <w:b/>
        </w:rPr>
        <w:t xml:space="preserve">Pub date: </w:t>
      </w:r>
      <w:r>
        <w:t>2026-08-31 05:05:11+00:00</w:t>
      </w:r>
      <w:r>
        <w:t xml:space="preserve">    </w:t>
      </w:r>
      <w:r>
        <w:rPr>
          <w:b/>
        </w:rPr>
        <w:t xml:space="preserve">DOI: </w:t>
      </w:r>
      <w:hyperlink r:id="rId28">
        <w:r>
          <w:rPr>
            <w:color w:val="1155CC"/>
            <w:u w:val="single"/>
          </w:rPr>
          <w:t>10.1002/anie.6548693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有机叠层太阳能电池(PO‐TSCs)中的超薄金属互连层通常被驱动至尽可能高的覆盖率,以实现高效低损耗的载流子复合,但这不可避免地导致严重的等离激元吸收和光学反射。本文证明,通过调控导电复合路径,仅在Au覆盖率约为∼77.4%时即可实现高效的叠层互连。一种ZnS中间层调控的Au生长策略将孤立的Au团簇转变为横向延伸的平面化畴域,显著增加了低损耗复合路径的比例,同时通过抑制局域表面等离激元共振来减轻光学损耗。因此,优化后的PO‐TSCs实现了27.1%的效率,外推T80寿命超过1400 h。这项工作将金属互连层的性能推向接近理论极限,并加深了对叠层器件中导电复合路径调控的理解。</w:t>
      </w:r>
    </w:p>
    <w:p>
      <w:pPr>
        <w:spacing w:before="0" w:after="200" w:lineRule="auto" w:line="276"/>
      </w:pPr>
      <w:r>
        <w:rPr>
          <w:b/>
        </w:rPr>
        <w:t xml:space="preserve">Abstract (EN): </w:t>
      </w:r>
      <w:r>
        <w:t>Ultrathin metallic interconnections in perovskite‐organic tandem solar cells (PO‐TSCs) are commonly driven toward highest possible coverage to achieve efficient low‐loss carrier recombination, inevitably causing severe plasmonic absorption and optical reflection. Here, we demonstrate that efficient tandem interconnection can be achieved at an Au coverage of only ∼77.4% by regulating conductive recombination pathways. A ZnS interlayer‐regulated Au growth strategy transforms isolated Au clusters into laterally extended planarized domains, substantially increasing the fraction of low‐loss recombination pathways while concurrently mitigating optical dissipation by suppressing localized surface plasmon resonance. As a result, the optimized PO‐TSCs achieve an efficiency of 27.1% with an extrapolated</w:t>
      </w:r>
      <w:r>
        <w:t xml:space="preserve"> </w:t>
      </w:r>
      <w:r>
        <w:t>T</w:t>
      </w:r>
      <w:r>
        <w:rPr>
          <w:vertAlign w:val="subscript"/>
        </w:rPr>
        <w:t>80</w:t>
      </w:r>
      <w:r>
        <w:t>lifetime exceeding 1400 h. This work pushes the limit of metallic interconnections close to the theoretical values and deepens the understanding of conductive recombination pathway regulation in tandem devices.</w:t>
      </w:r>
    </w:p>
    <w:p>
      <w:pPr>
        <w:spacing w:before="120" w:after="120"/>
      </w:pPr>
      <w:r>
        <w:rPr>
          <w:sz w:val="18"/>
        </w:rPr>
        <w:t>——————————————————————————————————————————————————————————————————————</w:t>
      </w:r>
    </w:p>
    <w:p>
      <w:pPr>
        <w:spacing w:before="160" w:after="40" w:line="240" w:lineRule="auto"/>
      </w:pPr>
      <w:r>
        <w:rPr>
          <w:b/>
        </w:rPr>
        <w:t xml:space="preserve">[15] </w:t>
      </w:r>
      <w:hyperlink r:id="rId29">
        <w:r>
          <w:rPr>
            <w:color w:val="1155CC"/>
            <w:u w:val="single"/>
          </w:rPr>
          <w:t>一种基于改进Logistic函数的光伏电源建模方法用于光伏电力应用</w:t>
        </w:r>
      </w:hyperlink>
    </w:p>
    <w:p>
      <w:pPr>
        <w:spacing w:before="0" w:after="80"/>
      </w:pPr>
      <w:r>
        <w:rPr>
          <w:i/>
          <w:sz w:val="20"/>
        </w:rPr>
        <w:t>EN: A Novel Modified Logistic Function Based PV Source Modeling for PV Power Applications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30">
        <w:r>
          <w:rPr>
            <w:color w:val="1155CC"/>
            <w:u w:val="single"/>
          </w:rPr>
          <w:t>10.1109/tec.2026.3703650</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本文提出了一种基于改进逻辑函数的新型显式光伏组件模型，可利用最少的电流-电压（I&lt;inline-formula&gt;&lt;tex-math notation="LaTeX"&gt;$-$&lt;/tex-math&gt;&lt;/inline-formula&gt;V）曲线数据点对光伏组件进行精确建模。所提模型仅需要三个I&lt;inline-formula&gt;&lt;tex-math notation="LaTeX"&gt;$-$&lt;/tex-math&gt;&lt;/inline-formula&gt;V坐标：开路电压、短路电流和制造商提供或通过实验获得的最大功率点。所提模型的形状参数通过基于双曲恒等式新推导的简化表达式进行计算。因此，与传统的基准模型（如光伏组件的隐式单二极管和双二极管模型）相比，所提模型显著降低了计算复杂度。所提模型在不同环境条件下，针对不同电池技术类型的多种光伏组件，以最大功率点的百分比误差为指标进行了验证。该方法消除了复杂计算、对多个光伏参数的依赖以及太阳能组件的实验室分析。</w:t>
      </w:r>
    </w:p>
    <w:p>
      <w:pPr>
        <w:spacing w:before="0" w:after="200" w:lineRule="auto" w:line="276"/>
      </w:pPr>
      <w:r>
        <w:rPr>
          <w:b/>
        </w:rPr>
        <w:t xml:space="preserve">Abstract (EN): </w:t>
      </w:r>
      <w:r>
        <w:t>In this paper, a novel modified logistic function-based explicit model for PV modules is proposed for accurate modeling of PV modules with minimal current-voltage (I&lt;inline-formula&gt;&lt;tex-math notation="LaTeX"&gt;$-$&lt;/tex-math&gt;&lt;/inline-formula&gt;V) curve data points. The proposed model requires only three I&lt;inline-formula&gt;&lt;tex-math notation="LaTeX"&gt;$-$&lt;/tex-math&gt;&lt;/inline-formula&gt;V coordinates: open circuit voltage, short circuit current, and maximum power points provided by the manufacturer or obtained experimentally. The shape parameters of the proposed model are calculated using a newly derived simplified expression based on hyperbolic identities. Therefore, the proposed model significantly reduces the computational complexity compared to the conventional benchmarks, such as implicit single diode and double diode models of PV module. The proposed model is validated for various PV modules of different cell types of technologies under different environmental conditions in terms of % error in maximum power point. The method eliminates the complex calculations, dependence on several PV parameters and the laboratory-based analysis of solar modules.</w:t>
      </w:r>
    </w:p>
    <w:p>
      <w:pPr>
        <w:spacing w:before="120" w:after="120"/>
      </w:pPr>
      <w:r>
        <w:rPr>
          <w:sz w:val="18"/>
        </w:rPr>
        <w:t>——————————————————————————————————————————————————————————————————————</w:t>
      </w:r>
    </w:p>
    <w:p>
      <w:pPr>
        <w:spacing w:before="160" w:after="40" w:line="240" w:lineRule="auto"/>
      </w:pPr>
      <w:r>
        <w:rPr>
          <w:b/>
        </w:rPr>
        <w:t xml:space="preserve">[16] </w:t>
      </w:r>
      <w:hyperlink r:id="rId31">
        <w:r>
          <w:rPr>
            <w:color w:val="1155CC"/>
            <w:u w:val="single"/>
          </w:rPr>
          <w:t>钙钛矿太阳能电池中的热效应</w:t>
        </w:r>
      </w:hyperlink>
    </w:p>
    <w:p>
      <w:pPr>
        <w:spacing w:before="0" w:after="80"/>
      </w:pPr>
      <w:r>
        <w:rPr>
          <w:i/>
          <w:sz w:val="20"/>
        </w:rPr>
        <w:t>EN: Thermal effects in perovskite solar cells</w:t>
      </w:r>
    </w:p>
    <w:p>
      <w:pPr>
        <w:spacing w:before="0" w:after="120"/>
      </w:pPr>
      <w:r>
        <w:rPr>
          <w:b/>
        </w:rPr>
        <w:t xml:space="preserve">Source: </w:t>
      </w:r>
      <w:r>
        <w:t>Joule</w:t>
      </w:r>
      <w:r>
        <w:t xml:space="preserve">    </w:t>
      </w:r>
      <w:r>
        <w:rPr>
          <w:b/>
        </w:rPr>
        <w:t xml:space="preserve">Pub date: </w:t>
      </w:r>
      <w:r>
        <w:t>2026-09-01 00:00:00+00:00</w:t>
      </w:r>
      <w:r>
        <w:t xml:space="preserve">    </w:t>
      </w:r>
      <w:r>
        <w:rPr>
          <w:b/>
        </w:rPr>
        <w:t xml:space="preserve">DOI: </w:t>
      </w:r>
      <w:hyperlink r:id="rId32">
        <w:r>
          <w:rPr>
            <w:color w:val="1155CC"/>
            <w:u w:val="single"/>
          </w:rPr>
          <w:t>10.1016/j.joule.2026.102643</w:t>
        </w:r>
      </w:hyperlink>
    </w:p>
    <w:p>
      <w:pPr>
        <w:spacing w:before="0" w:after="120"/>
      </w:pPr>
      <w:r>
        <w:rPr>
          <w:b/>
        </w:rPr>
        <w:t xml:space="preserve">Notes: </w:t>
      </w:r>
      <w:r>
        <w:t>abstract_source=jina_reader</w:t>
      </w:r>
    </w:p>
    <w:p>
      <w:pPr>
        <w:spacing w:before="0" w:after="80" w:lineRule="auto" w:line="276"/>
      </w:pPr>
      <w:r>
        <w:rPr>
          <w:b/>
        </w:rPr>
        <w:t xml:space="preserve">摘要（ZH）: </w:t>
      </w:r>
      <w:r>
        <w:t>随着金属卤化物钙钛矿光伏电池接近商业化部署，热量积累仍然是其效率和运行稳定性的主要威胁。本展望通过“源头—影响—干预”框架，分析了典型三维钙钛矿光伏电池中的热量产生、后果与缓解措施。我们首先考察了由偏压和器件结构决定的光学与电学损耗所产生的废热，重点讨论了反向偏压热点以及柔软、非简谐晶格固有的低热导率。随后，我们讨论了由载流子复合和二极管特性引起的温度相关性能损失，以及涉及离子迁移、界面反应、电极扩散和电荷传输层中添加剂再分布的耦合降解过程。最后，我们评估了热管理策略，包括导热添加剂、热辐射结构、界面工程、采用导电填料或相变材料的功能性封装，以及在最小光学损耗下增强中红外发射的辐射制冷覆盖层。此外，我们还针对叠层、柔性和建筑一体化钙钛矿光伏电池提出了系统层面的机遇。</w:t>
      </w:r>
    </w:p>
    <w:p>
      <w:pPr>
        <w:spacing w:before="0" w:after="200" w:lineRule="auto" w:line="276"/>
      </w:pPr>
      <w:r>
        <w:rPr>
          <w:b/>
        </w:rPr>
        <w:t xml:space="preserve">Abstract (EN): </w:t>
      </w:r>
      <w:r>
        <w:t>Heat accumulation remains a major threat to efficiency and operational stability as metal-halide perovskite photovoltaics are nearing commercial deployment. This perspective analyzes heat generation, consequences, and mitigation in representative 3D perovskite photovoltaics through a “source-implication-intervention” framework. We first examine waste heat from bias- and architecture-dependent optical and electrical losses, emphasizing reverse-bias hot spots and the intrinsically low thermal conductivity of soft, anharmonic lattices. We then discuss temperature-induced performance losses arising from recombination and diode characteristics, together with coupled degradation involving ion migration, interfacial reactions, electrode diffusion, and additive redistribution in charge-transport layers. Finally, thermal-management strategies are assessed, including thermally conductive additives, heat-radiation structures, interface engineering, functional encapsulation with conductive fillers or phase-change materials, and radiative-cooling covers that enhance mid-infrared emission with minimal optical loss. System-aware opportunities are further identified for tandem, flexible, and building-integrated perovskite photovoltaics.</w:t>
      </w:r>
    </w:p>
    <w:p>
      <w:pPr>
        <w:spacing w:before="120" w:after="120"/>
      </w:pPr>
      <w:r>
        <w:rPr>
          <w:sz w:val="18"/>
        </w:rPr>
        <w:t>——————————————————————————————————————————————————————————————————————</w:t>
      </w:r>
    </w:p>
    <w:p>
      <w:pPr>
        <w:spacing w:before="160" w:after="40" w:line="240" w:lineRule="auto"/>
      </w:pPr>
      <w:r>
        <w:rPr>
          <w:b/>
        </w:rPr>
        <w:t xml:space="preserve">[17] </w:t>
      </w:r>
      <w:hyperlink r:id="rId33">
        <w:r>
          <w:rPr>
            <w:color w:val="1155CC"/>
            <w:u w:val="single"/>
          </w:rPr>
          <w:t>克服金字塔结构界面不均匀性以实现高效钙钛矿/硅叠层太阳能电池</w:t>
        </w:r>
      </w:hyperlink>
    </w:p>
    <w:p>
      <w:pPr>
        <w:spacing w:before="0" w:after="80"/>
      </w:pPr>
      <w:r>
        <w:rPr>
          <w:i/>
          <w:sz w:val="20"/>
        </w:rPr>
        <w:t>EN: Overcoming the interfacial heterogeneity of pyramidal structure for efficient perovskite/silicon tandem solar cells</w:t>
      </w:r>
    </w:p>
    <w:p>
      <w:pPr>
        <w:spacing w:before="0" w:after="120"/>
      </w:pPr>
      <w:r>
        <w:rPr>
          <w:b/>
        </w:rPr>
        <w:t xml:space="preserve">Source: </w:t>
      </w:r>
      <w:r>
        <w:t>Joule</w:t>
      </w:r>
      <w:r>
        <w:t xml:space="preserve">    </w:t>
      </w:r>
      <w:r>
        <w:rPr>
          <w:b/>
        </w:rPr>
        <w:t xml:space="preserve">Pub date: </w:t>
      </w:r>
      <w:r>
        <w:t>2026-09-01 00:00:00+00:00</w:t>
      </w:r>
      <w:r>
        <w:t xml:space="preserve">    </w:t>
      </w:r>
      <w:r>
        <w:rPr>
          <w:b/>
        </w:rPr>
        <w:t xml:space="preserve">DOI: </w:t>
      </w:r>
      <w:hyperlink r:id="rId34">
        <w:r>
          <w:rPr>
            <w:color w:val="1155CC"/>
            <w:u w:val="single"/>
          </w:rPr>
          <w:t>10.1016/j.joule.2026.102580</w:t>
        </w:r>
      </w:hyperlink>
    </w:p>
    <w:p>
      <w:pPr>
        <w:spacing w:before="0" w:after="120"/>
      </w:pPr>
      <w:r>
        <w:rPr>
          <w:b/>
        </w:rPr>
        <w:t xml:space="preserve">Notes: </w:t>
      </w:r>
      <w:r>
        <w:t>abstract_source=rss_cell</w:t>
      </w:r>
    </w:p>
    <w:p>
      <w:pPr>
        <w:spacing w:before="0" w:after="80" w:lineRule="auto" w:line="276"/>
      </w:pPr>
      <w:r>
        <w:rPr>
          <w:b/>
        </w:rPr>
        <w:t xml:space="preserve">摘要（ZH）: </w:t>
      </w:r>
      <w:r>
        <w:t>亚微米织构硅衬底引入了界面异质性，损害了钙钛矿/硅叠层太阳能电池的性能。为解决这一问题，我们提出了一种带有噻吩基团的不对称膦酸基SAM（L30）。该单分子层在亚微米织构的峰谷上提供保形涂层，从而均匀地覆盖织构表面并建立稳定的掩埋界面。这一分子策略有效抑制了非辐射复合和接触损失，使冠军叠层器件的认证稳定效率达到34.15%。</w:t>
      </w:r>
    </w:p>
    <w:p>
      <w:pPr>
        <w:spacing w:before="0" w:after="200" w:lineRule="auto" w:line="276"/>
      </w:pPr>
      <w:r>
        <w:rPr>
          <w:b/>
        </w:rPr>
        <w:t xml:space="preserve">Abstract (EN): </w:t>
      </w:r>
      <w:r>
        <w:t>Submicron-textured silicon substrates introduce interfacial heterogeneity that compromises the performance of perovskite/silicon tandem solar cells. To address this issue, we present an asymmetric phosphonic acid-based SAM (L30) bearing a thiophene group. This monolayer provides a conformal coating on the submicron-textured peaks and valleys, thereby uniformly covering the textured surfaces and establishing a stable buried interface. This molecular strategy effectively suppresses non-radiative recombination and contact losses, achieving a certified stabilized efficiency of 34.15% in the champion tandem device.</w:t>
      </w:r>
    </w:p>
    <w:p>
      <w:pPr>
        <w:spacing w:before="120" w:after="120"/>
      </w:pPr>
      <w:r>
        <w:rPr>
          <w:sz w:val="18"/>
        </w:rPr>
        <w:t>——————————————————————————————————————————————————————————————————————</w:t>
      </w:r>
    </w:p>
    <w:p>
      <w:pPr>
        <w:spacing w:before="160" w:after="40" w:line="240" w:lineRule="auto"/>
      </w:pPr>
      <w:r>
        <w:rPr>
          <w:b/>
        </w:rPr>
        <w:t xml:space="preserve">[18] </w:t>
      </w:r>
      <w:hyperlink r:id="rId35">
        <w:r>
          <w:rPr>
            <w:color w:val="1155CC"/>
            <w:u w:val="single"/>
          </w:rPr>
          <w:t>通过低带隙受体改善近红外吸收实现钙钛矿-有机叠层太阳能电池27.35%的效率</w:t>
        </w:r>
      </w:hyperlink>
    </w:p>
    <w:p>
      <w:pPr>
        <w:spacing w:before="0" w:after="80"/>
      </w:pPr>
      <w:r>
        <w:rPr>
          <w:i/>
          <w:sz w:val="20"/>
        </w:rPr>
        <w:t>EN: Achieving 27.35% efficiency in perovskite-organic tandem solar cells by improving near-infrared absorption with a low-band-gap acceptor</w:t>
      </w:r>
    </w:p>
    <w:p>
      <w:pPr>
        <w:spacing w:before="0" w:after="120"/>
      </w:pPr>
      <w:r>
        <w:rPr>
          <w:b/>
        </w:rPr>
        <w:t xml:space="preserve">Source: </w:t>
      </w:r>
      <w:r>
        <w:t>Joule</w:t>
      </w:r>
      <w:r>
        <w:t xml:space="preserve">    </w:t>
      </w:r>
      <w:r>
        <w:rPr>
          <w:b/>
        </w:rPr>
        <w:t xml:space="preserve">Pub date: </w:t>
      </w:r>
      <w:r>
        <w:t>2026-09-01 00:00:00+00:00</w:t>
      </w:r>
      <w:r>
        <w:t xml:space="preserve">    </w:t>
      </w:r>
      <w:r>
        <w:rPr>
          <w:b/>
        </w:rPr>
        <w:t xml:space="preserve">DOI: </w:t>
      </w:r>
      <w:hyperlink r:id="rId35">
        <w:r>
          <w:rPr>
            <w:color w:val="1155CC"/>
            <w:u w:val="single"/>
          </w:rPr>
          <w:t>10.1016/j.joule.2026.102670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36">
        <w:r>
          <w:rPr>
            <w:color w:val="1155CC"/>
            <w:u w:val="single"/>
          </w:rPr>
          <w:t>具有垂直互锁环状拓扑结构的螺芴核心四聚体受体用于高效稳定的有机太阳能电池</w:t>
        </w:r>
      </w:hyperlink>
    </w:p>
    <w:p>
      <w:pPr>
        <w:spacing w:before="0" w:after="80"/>
      </w:pPr>
      <w:r>
        <w:rPr>
          <w:i/>
          <w:sz w:val="20"/>
        </w:rPr>
        <w:t>EN: Spirobifluorene-Cored Tetrameric Acceptors with a Perpendicular Interlocking Toroidal Topology for Efficient and Stable Organic Solar Cells</w:t>
      </w:r>
    </w:p>
    <w:p>
      <w:pPr>
        <w:spacing w:before="0" w:after="120"/>
      </w:pPr>
      <w:r>
        <w:rPr>
          <w:b/>
        </w:rPr>
        <w:t xml:space="preserve">Source: </w:t>
      </w:r>
      <w:r>
        <w:t>Journal of the American Chemical Society</w:t>
      </w:r>
      <w:r>
        <w:t xml:space="preserve">    </w:t>
      </w:r>
      <w:r>
        <w:rPr>
          <w:b/>
        </w:rPr>
        <w:t xml:space="preserve">Pub date: </w:t>
      </w:r>
      <w:r>
        <w:t>2026-09-01 00:00:00+00:00</w:t>
      </w:r>
      <w:r>
        <w:t xml:space="preserve">    </w:t>
      </w:r>
      <w:r>
        <w:rPr>
          <w:b/>
        </w:rPr>
        <w:t xml:space="preserve">DOI: </w:t>
      </w:r>
      <w:hyperlink r:id="rId36">
        <w:r>
          <w:rPr>
            <w:color w:val="1155CC"/>
            <w:u w:val="single"/>
          </w:rPr>
          <w:t>10.1021/jacs.6c06602</w:t>
        </w:r>
      </w:hyperlink>
    </w:p>
    <w:p>
      <w:pPr>
        <w:spacing w:before="0" w:after="120"/>
      </w:pPr>
      <w:r>
        <w:rPr>
          <w:b/>
        </w:rPr>
        <w:t xml:space="preserve">Notes: </w:t>
      </w:r>
      <w:r>
        <w:t>abstract_source=crossref</w:t>
      </w:r>
    </w:p>
    <w:p>
      <w:pPr>
        <w:spacing w:before="0" w:after="80" w:lineRule="auto" w:line="276"/>
      </w:pPr>
      <w:r>
        <w:rPr>
          <w:b/>
        </w:rPr>
        <w:t xml:space="preserve">摘要（ZH）: </w:t>
      </w:r>
      <w:r>
        <w:t>摘要 小分子稠环电子受体（FREAs）极大地推动了有机太阳能电池（OSCs）效率的提升，但其长期运行稳定性仍是实际应用的关键障碍。将FREA单元共价连接成低聚物是解决这一问题的一种有前景的策略，但此类体系中分子拓扑结构的合理设计仍在很大程度上未被探索。在这项工作中，我们报道了一种具有高玻璃化转变温度（192 °C）的新型三维（3D）低聚受体LT-F，它由正交构型的螺芴核构建。这种独特的3D构型采用垂直互锁的环形拓扑，不仅有效抑制了过度聚集并调节了受体相的结晶度，还促进了更有利的梯度、更均匀的垂直相分布。值得注意的是，LT-F与主体L8-BO受体之间产生强分子间相互作用，显著抑制其热扩散，从而大幅提升运行应力下的形态稳定性。因此，基于PM6:L8-BO:LT-F的三元器件在使用PEDOT:PSS和自组装层作为空穴传输层（HTLs）时，分别实现了19.49%和20.10%的最佳功率转换效率，均优于PM6:L8-BO二元对照器件。此外，采用PEDOT:PSS HTL的三元器件表现出显著改善的长期稳定性，在100 °C热老化1000小时后保持初始效率的90.6%，在1200小时后保持80.1%</w:t>
      </w:r>
    </w:p>
    <w:p>
      <w:pPr>
        <w:spacing w:before="0" w:after="200" w:lineRule="auto" w:line="276"/>
      </w:pPr>
      <w:r>
        <w:rPr>
          <w:b/>
        </w:rPr>
        <w:t xml:space="preserve">Abstract (EN): </w:t>
      </w:r>
      <w:r>
        <w:t>Small-molecule fused-ring electron acceptors (FREAs) have greatly advanced the efficiency of organic solar cells (OSCs), yet their long-term operational stability remains a critical hurdle for practical applications. Covalently linking FREA units into oligomers offers a promising strategy to address this issue, but the rational design of molecular topology in such systems remains largely unexplored. In this work, we report a novel three-dimensional (3D) oligomeric acceptor with a high glass-transition temperature (192 °C), namely LT-F, constructed from an orthogonally configured spirofluorene core. This unique 3D configuration adopts a perpendicularly interlocking toroidal topology, which not only effectively suppresses excessive aggregation and moderates the crystallinity of the acceptor phase but also promotes a more uniform vertical phase distribution with a favorable gradient. Notably, LT-F enables strong intermolecular interactions with the host L8-BO acceptor, significantly inhibiting its thermal diffusion and thus substantially enhancing morphological stability under operational stress. As a result, the ternary device based on PM6:L8-BO:LT-F delivers champion power conversion efficiencies of 19.49% and 20.10% when using PEDOT:PSS and a self-assembly layer as the hole-transporting layers (HTLs), respectively, both outperforming the PM6:L8-BO binary counterparts. Moreover, the ternary device with a PEDOT:PSS HTL exhibits markedly improved long-term stability, retaining 90.6% of its initial efficiency after 1000 h of thermal aging at 100 °C and 80.1% after 1200 h under maximum power point tracking. These results highlight the critical importance of 3D topological design in oligomeric acceptors for simultaneously achieving high efficiency and robust stability, providing valuable guidelines for future molecular engineering in high-performance organic photovoltaics.</w:t>
      </w:r>
    </w:p>
    <w:p>
      <w:pPr>
        <w:spacing w:before="120" w:after="120"/>
      </w:pPr>
      <w:r>
        <w:rPr>
          <w:sz w:val="18"/>
        </w:rPr>
        <w:t>——————————————————————————————————————————————————————————————————————</w:t>
      </w:r>
    </w:p>
    <w:p>
      <w:pPr>
        <w:spacing w:before="160" w:after="40" w:line="240" w:lineRule="auto"/>
      </w:pPr>
      <w:r>
        <w:rPr>
          <w:b/>
        </w:rPr>
        <w:t xml:space="preserve">[20] </w:t>
      </w:r>
      <w:hyperlink r:id="rId37">
        <w:r>
          <w:rPr>
            <w:color w:val="1155CC"/>
            <w:u w:val="single"/>
          </w:rPr>
          <w:t>分子挤出与反溶剂浴相结合：甲氧基数目作为钙钛矿太阳能电池自组装单分子层的关键参数</w:t>
        </w:r>
      </w:hyperlink>
    </w:p>
    <w:p>
      <w:pPr>
        <w:spacing w:before="0" w:after="80"/>
      </w:pPr>
      <w:r>
        <w:rPr>
          <w:i/>
          <w:sz w:val="20"/>
        </w:rPr>
        <w:t>EN: Integrating Molecular Extrusion and Antisolvent Bathing: Methoxy Number as a Key Parameter for Self-Assembled Monolayers in Perovskite Solar Cells</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37">
        <w:r>
          <w:rPr>
            <w:color w:val="1155CC"/>
            <w:u w:val="single"/>
          </w:rPr>
          <w:t>10.1021/acsami.6c11329</w:t>
        </w:r>
      </w:hyperlink>
    </w:p>
    <w:p>
      <w:pPr>
        <w:spacing w:before="0" w:after="120"/>
      </w:pPr>
      <w:r>
        <w:rPr>
          <w:b/>
        </w:rPr>
        <w:t xml:space="preserve">Notes: </w:t>
      </w:r>
      <w:r>
        <w:t>abstract_source=crossref</w:t>
      </w:r>
    </w:p>
    <w:p>
      <w:pPr>
        <w:spacing w:before="0" w:after="80" w:lineRule="auto" w:line="276"/>
      </w:pPr>
      <w:r>
        <w:rPr>
          <w:b/>
        </w:rPr>
        <w:t xml:space="preserve">摘要（ZH）: </w:t>
      </w:r>
      <w:r>
        <w:t>摘要 我们将自组装单分子层（SAM）直接掺入钙钛矿前驱体中。结合反溶剂浴处理，该方法实现了一步法原位分子挤出。通过调节甲氧基数量，我们发现单甲氧基分子 1MeO-4PACz 表现出最佳的能级对齐（HOMO = –5.36 eV）、强界面粘附，并引导钙钛矿有序结晶，在体相缺陷和界面缺陷之间实现了极佳的平衡。一步法制备的器件功率转换效率达 22.35%，并在 N2 中放置 1700 h 后保持初始效率的 90%。相比之下，四甲氧基分子 4MeO-4PACz 由于配位过强，在结晶过程中嵌入体相，导致缺陷密度增加，效率仅为 6.87%。两步法对比揭示了一步法对分子构型的特异性选择。这项工作为面向可扩展制造的 SAM 分子设计提供了新见解。</w:t>
      </w:r>
    </w:p>
    <w:p>
      <w:pPr>
        <w:spacing w:before="0" w:after="200" w:lineRule="auto" w:line="276"/>
      </w:pPr>
      <w:r>
        <w:rPr>
          <w:b/>
        </w:rPr>
        <w:t xml:space="preserve">Abstract (EN): </w:t>
      </w:r>
      <w:r>
        <w:t>We directly incorporate self-assembled monolayers (SAM) into the perovskite precursor. Combined with antisolvent bathing, this approach enables one-step in situ molecular extrusion. By tuning the number of methoxy groups, we find that the mono-methoxy molecule 1MeO-4PACz exhibits optimal energy level alignment (HOMO = –5.36 eV), strong interfacial adhesion, and guides orderly perovskite crystallization, achieving an excellent balance between bulk and interfacial defects. The one-step device yields a power conversion efficiency of 22.35% and retains 90% of its initial efficiency after 1700 h in N2. In contrast, the tetra-methoxy molecule 4MeO-4PACz suffers from excessively strong coordination, becoming embedded in the bulk during crystallization and leading to increased defect density, resulting in a low efficiency of 6.87%. Two-step comparisons reveal the specific selectivity of the one-step process for molecular configuration. This work provides new insights into the design of SAM molecules toward scalable manufacturing.</w:t>
      </w:r>
    </w:p>
    <w:p>
      <w:pPr>
        <w:spacing w:before="120" w:after="120"/>
      </w:pPr>
      <w:r>
        <w:rPr>
          <w:sz w:val="18"/>
        </w:rPr>
        <w:t>——————————————————————————————————————————————————————————————————————</w:t>
      </w:r>
    </w:p>
    <w:p>
      <w:pPr>
        <w:spacing w:before="160" w:after="40" w:line="240" w:lineRule="auto"/>
      </w:pPr>
      <w:r>
        <w:rPr>
          <w:b/>
        </w:rPr>
        <w:t xml:space="preserve">[21] </w:t>
      </w:r>
      <w:hyperlink r:id="rId38">
        <w:r>
          <w:rPr>
            <w:color w:val="1155CC"/>
            <w:u w:val="single"/>
          </w:rPr>
          <w:t>基于二硫富瓦烯的空穴传输材料通过稳健的掺杂-氧化机制实现高效稳定的n‑i‑p钙钛矿太阳能电池</w:t>
        </w:r>
      </w:hyperlink>
    </w:p>
    <w:p>
      <w:pPr>
        <w:spacing w:before="0" w:after="80"/>
      </w:pPr>
      <w:r>
        <w:rPr>
          <w:i/>
          <w:sz w:val="20"/>
        </w:rPr>
        <w:t>EN: Dithiafulvalene‐Based Hole Transport Materials Enabling Efficient and Stable n‑i‑p Perovskite Solar Cells via a Robust Doping‑Oxidation Mechanism</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39">
        <w:r>
          <w:rPr>
            <w:color w:val="1155CC"/>
            <w:u w:val="single"/>
          </w:rPr>
          <w:t>10.1002/anie.1115640</w:t>
        </w:r>
      </w:hyperlink>
    </w:p>
    <w:p>
      <w:pPr>
        <w:spacing w:before="0" w:after="120"/>
      </w:pPr>
      <w:r>
        <w:rPr>
          <w:b/>
        </w:rPr>
        <w:t xml:space="preserve">Notes: </w:t>
      </w:r>
      <w:r>
        <w:t>abstract_source=crossref</w:t>
      </w:r>
    </w:p>
    <w:p>
      <w:pPr>
        <w:spacing w:before="0" w:after="80" w:lineRule="auto" w:line="276"/>
      </w:pPr>
      <w:r>
        <w:rPr>
          <w:b/>
        </w:rPr>
        <w:t xml:space="preserve">摘要（ZH）: </w:t>
      </w:r>
      <w:r>
        <w:t>摘要 传统空穴传输材料（HTMs，如Spiro‑OMeTAD）在n‑i‑p钙钛矿太阳能电池（PSCs）中的稳定性仍是关键挑战，尤其是因为其在p型掺杂氧化过程中产生的不稳定氮中心自由基阳离子（[Ar3N]·+）。本文设计并合成了三种由芴和1,4‐二硫富瓦烯（DTF）单元取代的茚并芴（IF）基HTMs，分别记为IF‑FF、IF‑TF和IF‑TT。DTF单元的引入赋予IF‑TT更好的平面性、优化的能级排列、增强的堆积取向以及有效的界面钝化。更重要的是，通过与Magic Blue和LiTFSI的协同掺杂氧化，IF‑TT生成高度离域、结构稳定的硫中心自由基阳离子（[DTF]·+），大大加速了后氧化过程。值得注意的是，IF‑TT·+与LiTFSI的相互作用强于Spiro‑OMeTAD·+，从而在掺杂时产生浓度更高、更稳定的自由基。因此，IF‑TT表现出优异的掺杂稳定性和电荷传输性能。因此，基于IF‑TT的PSCs实现了25.89%的卓越功率转换效率，优于基于Spiro‑OMeTAD的器件（25.29%）。此外，增强的自由基稳定性和改善的薄膜特性赋予基于IF‑TT的器件出色的运行稳定性。本研究强调，稳定掺杂过程中产生的自由基物种是协同提升PSCs效率和长期稳定性的关键策略。</w:t>
      </w:r>
    </w:p>
    <w:p>
      <w:pPr>
        <w:spacing w:before="0" w:after="200" w:lineRule="auto" w:line="276"/>
      </w:pPr>
      <w:r>
        <w:rPr>
          <w:b/>
        </w:rPr>
        <w:t xml:space="preserve">Abstract (EN): </w:t>
      </w:r>
      <w:r>
        <w:t>The stability of conventional hole transport materials (HTMs, e.g., Spiro‑OMeTAD) in n‑i‑p perovskite solar cells (PSCs) remains a critical challenge, particularly due to the unstable nitrogen‑centered radical cations ([Ar 3 N] ·+ ) generated during their p‑type doping oxidation. Herein, three indenofluorene (IF)‐based HTMs substituted with fluorene and 1,4‐dithiafulvalene (DTF) units were designed and synthesized, denoted IF‑FF, IF‑TF and IF‑TT. The incorporation of the DTF unit endows IF‑TT with improved planarity, optimized energy‑level alignment, enhanced stacking orientation, and effective interfacial passivation. More importantly, through cooperative doping‑oxidation with Magic Blue and LiTFSI, IF‑TT generates highly delocalized, structurally stable sulfur‑centered radical cations ([DTF] ·+ ), which greatly accelerates the post‐oxidation process. Notably, IF‑TT ·+ exhibits stronger interaction with LiTFSI than Spiro‑OMeTAD ·+ , resulting in a higher concentration of more stable radicals upon doping. Consequently, IF‑TT displays superior doping stability and charge‑transport properties. As a result, IF‑TT‑based PSCs achieve a remarkable power conversion efficiency of 25.89%, outperforming Spiro‑OMeTAD‑based devices (25.29%). Furthermore, the enhanced radical stability and improved film characteristics endow IF‑TT‑based devices with exceptional operational stability. This study highlights that stabilizing the radical species generated during doping is a key strategy for synergistically improving both the efficiency and long‑term stability of PSCs.</w:t>
      </w:r>
    </w:p>
    <w:p>
      <w:pPr>
        <w:spacing w:before="120" w:after="120"/>
      </w:pPr>
      <w:r>
        <w:rPr>
          <w:sz w:val="18"/>
        </w:rPr>
        <w:t>——————————————————————————————————————————————————————————————————————</w:t>
      </w:r>
    </w:p>
    <w:p>
      <w:pPr>
        <w:spacing w:before="160" w:after="40" w:line="240" w:lineRule="auto"/>
      </w:pPr>
      <w:r>
        <w:rPr>
          <w:b/>
        </w:rPr>
        <w:t xml:space="preserve">[22] </w:t>
      </w:r>
      <w:hyperlink r:id="rId40">
        <w:r>
          <w:rPr>
            <w:color w:val="1155CC"/>
            <w:u w:val="single"/>
          </w:rPr>
          <w:t>碳中和策略调控空气质量对太阳能发电的影响</w:t>
        </w:r>
      </w:hyperlink>
    </w:p>
    <w:p>
      <w:pPr>
        <w:spacing w:before="0" w:after="80"/>
      </w:pPr>
      <w:r>
        <w:rPr>
          <w:i/>
          <w:sz w:val="20"/>
        </w:rPr>
        <w:t>EN: Carbon neutrality strategies modulate air quality effects on solar power generation</w:t>
      </w:r>
    </w:p>
    <w:p>
      <w:pPr>
        <w:spacing w:before="0" w:after="120"/>
      </w:pPr>
      <w:r>
        <w:rPr>
          <w:b/>
        </w:rPr>
        <w:t xml:space="preserve">Source: </w:t>
      </w:r>
      <w:r>
        <w:t>Earth and environmental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太阳能光伏发电对实现碳中和至关重要，但其出力对未来排放路径下空气质量的变化高度敏感。我们整合了能源-经济、气象-化学耦合以及光伏性能模型，以量化不同的碳中和路径如何通过空气质量变化影响中国的太阳能发电。结果表明，强调可再生能源部署的路径带来最大的空气质量改善，使年光伏发电量相对于一切照旧情景增加57,526 ± 10,314吉瓦时（GWh），到2060年相当于52.6 ± 9.3亿美元（US$5.18 ± 0.93 billion）的经济收益。这些收益主要由气溶胶-云相互作用而非气溶胶-辐射相互作用驱动。相比之下，依赖生物质或碳捕集的路径仅能实现约三分之一的收益。收益最大的地区出现在电力需求最高的中国东部和南部。这些发现凸显了协同优化脱碳与大气污染防治的重要性，以最大化碳中和战略的可再生能源效益。</w:t>
      </w:r>
    </w:p>
    <w:p>
      <w:pPr>
        <w:spacing w:before="0" w:after="200" w:lineRule="auto" w:line="276"/>
      </w:pPr>
      <w:r>
        <w:rPr>
          <w:b/>
        </w:rPr>
        <w:t xml:space="preserve">Abstract (EN): </w:t>
      </w:r>
      <w:r>
        <w:t>Solar photovoltaic power is essential for achieving carbon neutrality, yet its output is highly sensitive to changes in air quality under future emission pathways. We integrate energy–economy, coupled meteorology–chemistry, and photovoltaic performance models to quantify how alternative carbon-neutrality pathways influence solar power generation via air quality changes in China. Here we show that a pathway emphasizing renewable-energy deployment yields the greatest air-quality improvements, boosting annual photovoltaic power generation by 57,526 ± 10,314 gigawatt-hours (GWh) relative to business-as-usual, equivalent to economic gains of US$5.18 ± 0.93 billion by 2060. These gains are driven primarily by aerosol–cloud interactions rather than aerosol–radiation interactions. In contrast, pathways relying on biomass or carbon capture achieve only about one-third of these gains. The largest gains occur in eastern and southern China, where electricity demand is highest. These findings highlight the importance of co-optimizing decarbonization and air-pollution mitigation to maximize the renewable energy benefits of carbon-neutrality strategies.</w:t>
      </w:r>
    </w:p>
    <w:p>
      <w:pPr>
        <w:spacing w:before="120" w:after="120"/>
      </w:pPr>
      <w:r>
        <w:rPr>
          <w:sz w:val="18"/>
        </w:rPr>
        <w:t>——————————————————————————————————————————————————————————————————————</w:t>
      </w:r>
    </w:p>
    <w:p>
      <w:pPr>
        <w:spacing w:before="160" w:after="40" w:line="240" w:lineRule="auto"/>
      </w:pPr>
      <w:r>
        <w:rPr>
          <w:b/>
        </w:rPr>
        <w:t xml:space="preserve">[23] </w:t>
      </w:r>
      <w:hyperlink r:id="rId41">
        <w:r>
          <w:rPr>
            <w:color w:val="1155CC"/>
            <w:u w:val="single"/>
          </w:rPr>
          <w:t>从实验室到产业：全纹理钙钛矿/硅叠层电池的高速率蒸发功能层</w:t>
        </w:r>
      </w:hyperlink>
    </w:p>
    <w:p>
      <w:pPr>
        <w:spacing w:before="0" w:after="80"/>
      </w:pPr>
      <w:r>
        <w:rPr>
          <w:i/>
          <w:sz w:val="20"/>
        </w:rPr>
        <w:t>EN: From Laboratory to Industry: Evaporating Functional Layers at High Rates for Fully Textured Perovskite/Silicon Tandems</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42">
        <w:r>
          <w:rPr>
            <w:color w:val="1155CC"/>
            <w:u w:val="single"/>
          </w:rPr>
          <w:t>10.1002/aenm.71511</w:t>
        </w:r>
      </w:hyperlink>
    </w:p>
    <w:p>
      <w:pPr>
        <w:spacing w:before="0" w:after="120"/>
      </w:pPr>
      <w:r>
        <w:rPr>
          <w:b/>
        </w:rPr>
        <w:t xml:space="preserve">Notes: </w:t>
      </w:r>
      <w:r>
        <w:t>abstract_source=crossref</w:t>
      </w:r>
    </w:p>
    <w:p>
      <w:pPr>
        <w:spacing w:before="0" w:after="80" w:lineRule="auto" w:line="276"/>
      </w:pPr>
      <w:r>
        <w:rPr>
          <w:b/>
        </w:rPr>
        <w:t xml:space="preserve">摘要（ZH）: </w:t>
      </w:r>
      <w:r>
        <w:t>摘要 钙钛矿/硅叠层太阳能电池的商业化不仅需要钙钛矿顶电池的可扩展加工，还需要以足够高的速率沉积各种功能层，以实现高通量生产。在本工作中，我们通过点源蒸发演示了空穴传输材料、无机支架和电子传输材料的沉积，其速率比常规基准高出至少一个数量级，从而弥合了实验室研究与工业需求之间的差距。我们系统研究了加速沉积对薄膜性质、组成和器件性能的影响，以指导行业标准可扩展设备中的高速率加工。通过确立多层高速率蒸发的可行性，本研究为钙钛矿顶电池从实验室规模加工向工业规模制造的过渡提供了切实可行的见解，并强调了未来从实验室设备（通常为点源）转向工业设备（通常为线性源）时需要考虑的方面。通过采用更高的功能层蒸发速率，我们在全绒面叠层电池中实现了约30%的功率转换效率，并通过热蒸发PDAI钝化提升至32.3%。这些发现为推动钙钛矿光伏技术走向高通量和可扩展生产工艺提供了关键见解。</w:t>
      </w:r>
    </w:p>
    <w:p>
      <w:pPr>
        <w:spacing w:before="0" w:after="200" w:lineRule="auto" w:line="276"/>
      </w:pPr>
      <w:r>
        <w:rPr>
          <w:b/>
        </w:rPr>
        <w:t xml:space="preserve">Abstract (EN): </w:t>
      </w:r>
      <w:r>
        <w:t>The commercialization of perovskite/silicon tandem solar cells requires not only scalable processing of the perovskite top cell but also deposition of the different functional layers at rates high enough to enable high‐throughput production. In this work, we bridge the gap between laboratory research and industrial requirements by demonstrating the deposition of hole‐transporting materials, inorganic scaffolds, and electron‐transporting materials at rates at least an order of magnitude higher than conventional baselines using point‐source evaporation. We systematically investigate the impact of accelerated deposition on film properties, composition, and device performance to guide high‐rate processing in industry‐standard scalable tools. By establishing the feasibility of high‐rate evaporation for multiple layers, this study provides realistic insights into the transition from lab‐scale processing of perovskite top cells toward industrial‐scale manufacturing and highlights aspects that have to be considered in the future when switching from laboratory equipment (typically point sources) to industrial equipment (typically linear sources). Through the use of higher evaporation rates for the functional layers, we reached a power conversion efficiency of ~30% in fully textured tandems, increasing to 32.3% with thermally evaporated PDAI passivation. These findings provide crucial insights needed to push perovskite photovoltaic technologies toward high‑throughput and scalable production processes.</w:t>
      </w:r>
    </w:p>
    <w:p>
      <w:pPr>
        <w:spacing w:before="120" w:after="120"/>
      </w:pPr>
      <w:r>
        <w:rPr>
          <w:sz w:val="18"/>
        </w:rPr>
        <w:t>——————————————————————————————————————————————————————————————————————</w:t>
      </w:r>
    </w:p>
    <w:p>
      <w:pPr>
        <w:spacing w:before="160" w:after="40" w:line="240" w:lineRule="auto"/>
      </w:pPr>
      <w:r>
        <w:rPr>
          <w:b/>
        </w:rPr>
        <w:t xml:space="preserve">[24] </w:t>
      </w:r>
      <w:hyperlink r:id="rId43">
        <w:r>
          <w:rPr>
            <w:color w:val="1155CC"/>
            <w:u w:val="single"/>
          </w:rPr>
          <w:t>挥发动力学主导的结晶策略实现适用于近空间环境的高效钙钛矿/硅叠层太阳能电池</w:t>
        </w:r>
      </w:hyperlink>
    </w:p>
    <w:p>
      <w:pPr>
        <w:spacing w:before="0" w:after="80"/>
      </w:pPr>
      <w:r>
        <w:rPr>
          <w:i/>
          <w:sz w:val="20"/>
        </w:rPr>
        <w:t>EN: Volatilization‐Kinetics‐Dictated Crystallization Enabling Efficient Perovskite/Silicon Tandem Solar Cells for Near‐Space Environment</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44">
        <w:r>
          <w:rPr>
            <w:color w:val="1155CC"/>
            <w:u w:val="single"/>
          </w:rPr>
          <w:t>10.1002/aenm.71515</w:t>
        </w:r>
      </w:hyperlink>
    </w:p>
    <w:p>
      <w:pPr>
        <w:spacing w:before="0" w:after="120"/>
      </w:pPr>
      <w:r>
        <w:rPr>
          <w:b/>
        </w:rPr>
        <w:t xml:space="preserve">Notes: </w:t>
      </w:r>
      <w:r>
        <w:t>abstract_source=crossref</w:t>
      </w:r>
    </w:p>
    <w:p>
      <w:pPr>
        <w:spacing w:before="0" w:after="80" w:lineRule="auto" w:line="276"/>
      </w:pPr>
      <w:r>
        <w:rPr>
          <w:b/>
        </w:rPr>
        <w:t xml:space="preserve">摘要（ZH）: </w:t>
      </w:r>
      <w:r>
        <w:t>摘要 金属卤化物钙钛矿太阳能电池（PSCs）的显著进展使钙钛矿/硅叠层结构成为光伏领域的变革性解决方案，其效率超越单结极限，同时在近空间和航空航天等苛刻环境中提供高比功率和抗辐射性能。然而，绒面硅上的宽带隙（WBG）钙钛矿在可控结晶和卤化物相稳定性方面面临障碍，导致复合损失和性能下降。本工作研究了采用具有定制烷基链长度的挥发性烷基氯化铵的添加剂工程，以精细调节挥发动力学。通过策略性地降低挥发速率，该添加剂促进均匀成核并延缓晶粒生长，这对于在绒面硅衬底复杂形貌上实现均匀的钙钛矿覆盖至关重要。优化后的添加剂促进了致密、取向的薄膜并抑制了相分离，最终使叠层太阳能电池实现了31.1%的功率转换效率（PCE）和超过1000小时的稳定性。首次在高达37.29 km海拔的近空间条件下进行了钙钛矿/硅叠层太阳能电池的飞行测试测量和校准。这些进展可能有助于开发适用于各种应用场景的稳健叠层器件。</w:t>
      </w:r>
    </w:p>
    <w:p>
      <w:pPr>
        <w:spacing w:before="0" w:after="200" w:lineRule="auto" w:line="276"/>
      </w:pPr>
      <w:r>
        <w:rPr>
          <w:b/>
        </w:rPr>
        <w:t xml:space="preserve">Abstract (EN): </w:t>
      </w:r>
      <w:r>
        <w:t>The remarkable progress in metal halide perovskite solar cells (PSCs) has propelled perovskite/silicon tandem architectures as a transformative solution in photovoltaics, enabling efficiencies beyond single‐junction limits while offering high specific power and radiation resistance for challenging environments, including near‐space and aerospace applications. Wide‐bandgap (WBG) perovskites on textured silicon, however, encounter hurdles in controlled crystallization and halide phase stability, leading to recombination losses and reduced performance. This work investigates additive engineering using volatile alkylammonium chlorides with tailored alkyl chain lengths to fine‐tune volatilization kinetics. By strategically slowing down the volatilization rate, the additive promotes homogeneous nucleation and retards grain growth, which is critical for achieving uniform perovskite coverage over the intricate topography of textured silicon substrates.​ An optimized additive promotes dense, oriented films with suppressed segregation, culminating in tandem solar cells boasting a power conversion efficiency (PCE) of 31.1% and stability exceeding 1000 h. First‐ever flight test measurements and calibrations of perovskite/silicon tandem solar cells were conducted under near‐space conditions at altitudes reaching 37.29 km. These advancements may contribute to the development of robust tandem devices for various application settings.</w:t>
      </w:r>
    </w:p>
    <w:p>
      <w:pPr>
        <w:spacing w:before="120" w:after="120"/>
      </w:pPr>
      <w:r>
        <w:rPr>
          <w:sz w:val="18"/>
        </w:rPr>
        <w:t>——————————————————————————————————————————————————————————————————————</w:t>
      </w:r>
    </w:p>
    <w:p>
      <w:pPr>
        <w:spacing w:before="160" w:after="40" w:line="240" w:lineRule="auto"/>
      </w:pPr>
      <w:r>
        <w:rPr>
          <w:b/>
        </w:rPr>
        <w:t xml:space="preserve">[25] </w:t>
      </w:r>
      <w:hyperlink r:id="rId45">
        <w:r>
          <w:rPr>
            <w:color w:val="1155CC"/>
            <w:u w:val="single"/>
          </w:rPr>
          <w:t>高性能钙钛矿太阳能电池的给体-受体电荷选择性材料：分子设计、构效关系与器件性能</w:t>
        </w:r>
      </w:hyperlink>
    </w:p>
    <w:p>
      <w:pPr>
        <w:spacing w:before="0" w:after="80"/>
      </w:pPr>
      <w:r>
        <w:rPr>
          <w:i/>
          <w:sz w:val="20"/>
        </w:rPr>
        <w:t>EN: Donor–Acceptor Charge‐Selective Materials for High‐Performance Perovskite Solar Cells: Molecular Design, Structure–Property Correlation and Device Performance</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46">
        <w:r>
          <w:rPr>
            <w:color w:val="1155CC"/>
            <w:u w:val="single"/>
          </w:rPr>
          <w:t>10.1002/aenm.71470</w:t>
        </w:r>
      </w:hyperlink>
    </w:p>
    <w:p>
      <w:pPr>
        <w:spacing w:before="0" w:after="120"/>
      </w:pPr>
      <w:r>
        <w:rPr>
          <w:b/>
        </w:rPr>
        <w:t xml:space="preserve">Notes: </w:t>
      </w:r>
      <w:r>
        <w:t>abstract_source=crossref</w:t>
      </w:r>
    </w:p>
    <w:p>
      <w:pPr>
        <w:spacing w:before="0" w:after="80" w:lineRule="auto" w:line="276"/>
      </w:pPr>
      <w:r>
        <w:rPr>
          <w:b/>
        </w:rPr>
        <w:t xml:space="preserve">摘要（ZH）: </w:t>
      </w:r>
      <w:r>
        <w:t>摘要 钙钛矿太阳能电池（PSCs）作为下一代光伏技术具有重大前景，其认证功率转换效率已超过27%。为进一步提升器件稳定性以满足工业需求，开发高性能电荷选择性材料（CSMs）至关重要，因为其深刻影响界面载流子动力学及界面结构的稳定性。传统有机CSMs通常采用具有单一电子效应的构筑单元（例如，利用给电子单元构建空穴选择性材料（HSMs），利用吸电子基团开发电子选择性材料（ESMs）），这往往面临高电荷传输能力、优异薄膜形貌与强界面功能难以同时实现的困境。相比之下，给体（D）-受体（A）型CSMs可对分子结构、聚集行为、电子特性和界面功能进行更精确的调控，从而为探索高效CSMs提供了理想的设计平台。因此，本综述及时总结了D-A型CSMs（涵盖HSMs和ESMs）的研究进展。具体而言，我们将深入探讨分子结构与材料性能之间的关系，及其对器件性能和稳定性的影响。最后，提出了材料设计的未来研究方向，以推进PSCs的产业化。</w:t>
      </w:r>
    </w:p>
    <w:p>
      <w:pPr>
        <w:spacing w:before="0" w:after="200" w:lineRule="auto" w:line="276"/>
      </w:pPr>
      <w:r>
        <w:rPr>
          <w:b/>
        </w:rPr>
        <w:t xml:space="preserve">Abstract (EN): </w:t>
      </w:r>
      <w:r>
        <w:t>Perovskite solar cells (PSCs) hold significant promise as the next‐generation photovoltaic technology with the certified power conversion efficiency already surpassing 27%. To further enhance device stability to meet industrial demands, it is crucial to develop high‐performance charge‐selective materials (CSMs) as they profoundly affect interfacial charge carrier dynamics and the stability of interface structure. Conventional organic CSMs often employ building blocks with a single electronic effect (e.g., using electron‐donating units to construct hole‐selective materials (HSMs) and electron‐withdrawing groups to develop electron‐selective materials (ESMs)), which usually face the dilemma that high charge transport ability, superior film morphology, and strong interfacial functionality cannot be achieved simultaneously. In contrast, donor(D)–acceptor(A) CSMs allow more precise tuning of molecular structure, aggregation behavior, electronic properties, and interfacial functionalities, thus providing an ideal design platform for exploration of efficient CSMs. Therefore, this review timely summarizes the progress of D–A type CSMs, covering both HSMs and ESMs. Specifically, we will deeply explore the relationships between molecular structures and material properties, as well as their effects on device performance and stability. Finally, future research directions in material design are proposed to advance the industrialization of PSCs.</w:t>
      </w:r>
    </w:p>
    <w:p>
      <w:pPr>
        <w:spacing w:before="120" w:after="120"/>
      </w:pPr>
      <w:r>
        <w:rPr>
          <w:sz w:val="18"/>
        </w:rPr>
        <w:t>——————————————————————————————————————————————————————————————————————</w:t>
      </w:r>
    </w:p>
    <w:p>
      <w:pPr>
        <w:spacing w:before="160" w:after="40" w:line="240" w:lineRule="auto"/>
      </w:pPr>
      <w:r>
        <w:rPr>
          <w:b/>
        </w:rPr>
        <w:t xml:space="preserve">[26] </w:t>
      </w:r>
      <w:hyperlink r:id="rId47">
        <w:r>
          <w:rPr>
            <w:color w:val="1155CC"/>
            <w:u w:val="single"/>
          </w:rPr>
          <w:t>单级太阳能水泵系统的自适应功率跟踪与控制</w:t>
        </w:r>
      </w:hyperlink>
    </w:p>
    <w:p>
      <w:pPr>
        <w:spacing w:before="0" w:after="80"/>
      </w:pPr>
      <w:r>
        <w:rPr>
          <w:i/>
          <w:sz w:val="20"/>
        </w:rPr>
        <w:t>EN: Adaptive Power Tracking and Control for Single-Stage Solar Water Pumping Systems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47">
        <w:r>
          <w:rPr>
            <w:color w:val="1155CC"/>
            <w:u w:val="single"/>
          </w:rPr>
          <w:t>10.1109/tec.2026.3660299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 </w:t>
      </w:r>
      <w:hyperlink r:id="rId39">
        <w:r>
          <w:rPr>
            <w:color w:val="1155CC"/>
            <w:u w:val="single"/>
          </w:rPr>
          <w:t>基于二硫富瓦烯的空穴传输材料通过稳健的掺杂-氧化机制实现高效稳定的n‑i‑p钙钛矿太阳能电池</w:t>
        </w:r>
      </w:hyperlink>
    </w:p>
    <w:p>
      <w:pPr>
        <w:spacing w:before="0" w:after="80"/>
      </w:pPr>
      <w:r>
        <w:rPr>
          <w:i/>
          <w:sz w:val="20"/>
        </w:rPr>
        <w:t>EN: Dithiafulvalene‐Based Hole Transport Materials Enabling Efficient and Stable n‑i‑p Perovskite Solar Cells via a Robust Doping‑Oxidation Mechanism</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39">
        <w:r>
          <w:rPr>
            <w:color w:val="1155CC"/>
            <w:u w:val="single"/>
          </w:rPr>
          <w:t>10.1002/anie.1115640</w:t>
        </w:r>
      </w:hyperlink>
    </w:p>
    <w:p>
      <w:pPr>
        <w:spacing w:before="0" w:after="120"/>
      </w:pPr>
      <w:r>
        <w:rPr>
          <w:b/>
        </w:rPr>
        <w:t xml:space="preserve">Notes: </w:t>
      </w:r>
      <w:r>
        <w:t>abstract_source=crossref</w:t>
      </w:r>
    </w:p>
    <w:p>
      <w:pPr>
        <w:spacing w:before="0" w:after="80" w:lineRule="auto" w:line="276"/>
      </w:pPr>
      <w:r>
        <w:rPr>
          <w:b/>
        </w:rPr>
        <w:t xml:space="preserve">摘要（ZH）: </w:t>
      </w:r>
      <w:r>
        <w:t>摘要 n-i-p钙钛矿太阳能电池（PSCs）中传统空穴传输材料（HTMs，如Spiro-OMeTAD）的稳定性仍是关键挑战，尤其是因为其p型掺杂氧化过程中产生的不稳定氮中心自由基阳离子（[Ar3N]·+）。本文设计并合成了三种以茚并芴（IF）为骨架、用芴和1,4-二硫富瓦烯（DTF）单元取代的HTMs，分别记为IF-FF、IF-TF和IF-TT。DTF单元的引入赋予IF-TT更好的平面性、优化的能级排列、增强的堆叠取向以及有效的界面钝化。更重要的是，通过与Magic Blue和LiTFSI的协同掺杂氧化，IF-TT生成了高度离域、结构稳定的硫中心自由基阳离子（[DTF]·+），极大加速了后氧化过程。值得注意的是，IF-TT·+与LiTFSI的相互作用强于Spiro-OMeTAD·+，因而掺杂后产生浓度更高、更稳定的自由基。因此，IF-TT表现出更优的掺杂稳定性和电荷传输性能。基于此，IF-TT基PSCs实现了25.89%的卓越功率转换效率，优于基于Spiro-OMeTAD的器件（25.29%）。此外，增强的自由基稳定性和改善的薄膜特性赋予IF-TT基器件出色的工作稳定性。本研究强调，稳定掺杂过程中产生的自由基物种是协同提升PSCs效率和长期稳定性的关键策略。</w:t>
      </w:r>
    </w:p>
    <w:p>
      <w:pPr>
        <w:spacing w:before="0" w:after="200" w:lineRule="auto" w:line="276"/>
      </w:pPr>
      <w:r>
        <w:rPr>
          <w:b/>
        </w:rPr>
        <w:t xml:space="preserve">Abstract (EN): </w:t>
      </w:r>
      <w:r>
        <w:t>The stability of conventional hole transport materials (HTMs, e.g., Spiro‑OMeTAD) in n‑i‑p perovskite solar cells (PSCs) remains a critical challenge, particularly due to the unstable nitrogen‑centered radical cations ([Ar 3 N] ·+ ) generated during their p‑type doping oxidation. Herein, three indenofluorene (IF)‐based HTMs substituted with fluorene and 1,4‐dithiafulvalene (DTF) units were designed and synthesized, denoted IF‑FF, IF‑TF and IF‑TT. The incorporation of the DTF unit endows IF‑TT with improved planarity, optimized energy‑level alignment, enhanced stacking orientation, and effective interfacial passivation. More importantly, through cooperative doping‑oxidation with Magic Blue and LiTFSI, IF‑TT generates highly delocalized, structurally stable sulfur‑centered radical cations ([DTF] ·+ ), which greatly accelerates the post‐oxidation process. Notably, IF‑TT ·+ exhibits stronger interaction with LiTFSI than Spiro‑OMeTAD ·+ , resulting in a higher concentration of more stable radicals upon doping. Consequently, IF‑TT displays superior doping stability and charge‑transport properties. As a result, IF‑TT‑based PSCs achieve a remarkable power conversion efficiency of 25.89%, outperforming Spiro‑OMeTAD‑based devices (25.29%). Furthermore, the enhanced radical stability and improved film characteristics endow IF‑TT‑based devices with exceptional operational stability. This study highlights that stabilizing the radical species generated during doping is a key strategy for synergistically improving both the efficiency and long‑term stability of PSCs.</w:t>
      </w:r>
    </w:p>
    <w:p>
      <w:pPr>
        <w:spacing w:before="120" w:after="120"/>
      </w:pPr>
      <w:r>
        <w:rPr>
          <w:sz w:val="18"/>
        </w:rPr>
        <w:t>——————————————————————————————————————————————————————————————————————</w:t>
      </w:r>
    </w:p>
    <w:p>
      <w:pPr>
        <w:spacing w:before="160" w:after="40" w:line="240" w:lineRule="auto"/>
      </w:pPr>
      <w:r>
        <w:rPr>
          <w:b/>
        </w:rPr>
        <w:t xml:space="preserve">[28] </w:t>
      </w:r>
      <w:hyperlink r:id="rId46">
        <w:r>
          <w:rPr>
            <w:color w:val="1155CC"/>
            <w:u w:val="single"/>
          </w:rPr>
          <w:t>用于高性能钙钛矿太阳能电池的给体-受体电荷选择性材料：分子设计、结构-性能关联及器件性能</w:t>
        </w:r>
      </w:hyperlink>
    </w:p>
    <w:p>
      <w:pPr>
        <w:spacing w:before="0" w:after="80"/>
      </w:pPr>
      <w:r>
        <w:rPr>
          <w:i/>
          <w:sz w:val="20"/>
        </w:rPr>
        <w:t>EN: Donor–Acceptor Charge‐Selective Materials for High‐Performance Perovskite Solar Cells: Molecular Design, Structure–Property Correlation and Device Performance</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46">
        <w:r>
          <w:rPr>
            <w:color w:val="1155CC"/>
            <w:u w:val="single"/>
          </w:rPr>
          <w:t>10.1002/aenm.71470</w:t>
        </w:r>
      </w:hyperlink>
    </w:p>
    <w:p>
      <w:pPr>
        <w:spacing w:before="0" w:after="120"/>
      </w:pPr>
      <w:r>
        <w:rPr>
          <w:b/>
        </w:rPr>
        <w:t xml:space="preserve">Notes: </w:t>
      </w:r>
      <w:r>
        <w:t>abstract_source=crossref</w:t>
      </w:r>
    </w:p>
    <w:p>
      <w:pPr>
        <w:spacing w:before="0" w:after="80" w:lineRule="auto" w:line="276"/>
      </w:pPr>
      <w:r>
        <w:rPr>
          <w:b/>
        </w:rPr>
        <w:t xml:space="preserve">摘要（ZH）: </w:t>
      </w:r>
      <w:r>
        <w:t>摘要 钙钛矿太阳能电池（PSCs）作为下一代光伏技术具有重大前景，其认证功率转换效率已超过27%。为进一步提升器件稳定性以满足工业需求，开发高性能电荷选择性材料（CSMs）至关重要，因为它们深刻影响界面载流子动力学及界面结构的稳定性。传统有机CSMs通常采用仅具单一电子效应的构建单元（例如，利用给电子单元构筑空穴选择性材料（HSMs），利用吸电子基团开发电子选择性材料（ESMs）），往往面临高电荷传输能力、优异薄膜形貌与强界面功能性难以同时实现的困境。相比之下，给体（D）-受体（A）型CSMs可对分子结构、聚集行为、电子性质及界面功能进行更精细的调控，因此是探索高效CSMs的理想设计平台。因此，本综述及时总结了D-A型CSMs的进展，涵盖HSMs和ESMs。具体而言，我们将深入探讨分子结构与材料性质之间的关系，及其对器件性能和稳定性的影响。最后，提出了材料设计的未来研究方向，以推动PSCs的产业化。</w:t>
      </w:r>
    </w:p>
    <w:p>
      <w:pPr>
        <w:spacing w:before="0" w:after="200" w:lineRule="auto" w:line="276"/>
      </w:pPr>
      <w:r>
        <w:rPr>
          <w:b/>
        </w:rPr>
        <w:t xml:space="preserve">Abstract (EN): </w:t>
      </w:r>
      <w:r>
        <w:t>Perovskite solar cells (PSCs) hold significant promise as the next‐generation photovoltaic technology with the certified power conversion efficiency already surpassing 27%. To further enhance device stability to meet industrial demands, it is crucial to develop high‐performance charge‐selective materials (CSMs) as they profoundly affect interfacial charge carrier dynamics and the stability of interface structure. Conventional organic CSMs often employ building blocks with a single electronic effect (e.g., using electron‐donating units to construct hole‐selective materials (HSMs) and electron‐withdrawing groups to develop electron‐selective materials (ESMs)), which usually face the dilemma that high charge transport ability, superior film morphology, and strong interfacial functionality cannot be achieved simultaneously. In contrast, donor(D)–acceptor(A) CSMs allow more precise tuning of molecular structure, aggregation behavior, electronic properties, and interfacial functionalities, thus providing an ideal design platform for exploration of efficient CSMs. Therefore, this review timely summarizes the progress of D–A type CSMs, covering both HSMs and ESMs. Specifically, we will deeply explore the relationships between molecular structures and material properties, as well as their effects on device performance and stability. Finally, future research directions in material design are proposed to advance the industrialization of PSCs.</w:t>
      </w:r>
    </w:p>
    <w:p>
      <w:pPr>
        <w:spacing w:before="120" w:after="120"/>
      </w:pPr>
      <w:r>
        <w:rPr>
          <w:sz w:val="18"/>
        </w:rPr>
        <w:t>——————————————————————————————————————————————————————————————————————</w:t>
      </w:r>
    </w:p>
    <w:p>
      <w:pPr>
        <w:spacing w:before="160" w:after="40" w:line="240" w:lineRule="auto"/>
      </w:pPr>
      <w:r>
        <w:rPr>
          <w:b/>
        </w:rPr>
        <w:t xml:space="preserve">[29] </w:t>
      </w:r>
      <w:hyperlink r:id="rId42">
        <w:r>
          <w:rPr>
            <w:color w:val="1155CC"/>
            <w:u w:val="single"/>
          </w:rPr>
          <w:t>从实验室到产业：面向全纹理钙钛矿/硅叠层电池的高速率蒸发功能层</w:t>
        </w:r>
      </w:hyperlink>
    </w:p>
    <w:p>
      <w:pPr>
        <w:spacing w:before="0" w:after="80"/>
      </w:pPr>
      <w:r>
        <w:rPr>
          <w:i/>
          <w:sz w:val="20"/>
        </w:rPr>
        <w:t>EN: From Laboratory to Industry: Evaporating Functional Layers at High Rates for Fully Textured Perovskite/Silicon Tandems</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42">
        <w:r>
          <w:rPr>
            <w:color w:val="1155CC"/>
            <w:u w:val="single"/>
          </w:rPr>
          <w:t>10.1002/aenm.71511</w:t>
        </w:r>
      </w:hyperlink>
    </w:p>
    <w:p>
      <w:pPr>
        <w:spacing w:before="0" w:after="120"/>
      </w:pPr>
      <w:r>
        <w:rPr>
          <w:b/>
        </w:rPr>
        <w:t xml:space="preserve">Notes: </w:t>
      </w:r>
      <w:r>
        <w:t>abstract_source=crossref</w:t>
      </w:r>
    </w:p>
    <w:p>
      <w:pPr>
        <w:spacing w:before="0" w:after="80" w:lineRule="auto" w:line="276"/>
      </w:pPr>
      <w:r>
        <w:rPr>
          <w:b/>
        </w:rPr>
        <w:t xml:space="preserve">摘要（ZH）: </w:t>
      </w:r>
      <w:r>
        <w:t>摘要 钙钛矿/硅叠层太阳能电池的商业化不仅需要钙钛矿顶电池的可规模化加工，还要求各功能层的沉积速率足够高，以实现高通量生产。在本工作中，我们通过点源蒸发技术演示了空穴传输材料、无机支架和电子传输材料的沉积，其速率比常规基准至少高出一个数量级，从而弥合了实验室研究与工业需求之间的差距。我们系统研究了加速沉积对薄膜性质、组成和器件性能的影响，以指导在行业标准可扩展工具中的高速率加工。通过确立多层高速率蒸发的可行性，本研究为钙钛矿顶电池从实验室规模加工向工业规模制造的过渡提供了切合实际的见解，并强调了未来从实验室设备（通常为点源）转向工业设备（通常为线性源）时需要考虑的方面。通过在功能层采用更高的蒸发速率，我们在全绒面叠层电池中实现了约30%的功率转换效率，并借助热蒸发PDAI钝化提升至32.3%。这些发现为推动钙钛矿光伏技术走向高通量、可规模化的生产工艺提供了至关重要的见解。</w:t>
      </w:r>
    </w:p>
    <w:p>
      <w:pPr>
        <w:spacing w:before="0" w:after="200" w:lineRule="auto" w:line="276"/>
      </w:pPr>
      <w:r>
        <w:rPr>
          <w:b/>
        </w:rPr>
        <w:t xml:space="preserve">Abstract (EN): </w:t>
      </w:r>
      <w:r>
        <w:t>The commercialization of perovskite/silicon tandem solar cells requires not only scalable processing of the perovskite top cell but also deposition of the different functional layers at rates high enough to enable high‐throughput production. In this work, we bridge the gap between laboratory research and industrial requirements by demonstrating the deposition of hole‐transporting materials, inorganic scaffolds, and electron‐transporting materials at rates at least an order of magnitude higher than conventional baselines using point‐source evaporation. We systematically investigate the impact of accelerated deposition on film properties, composition, and device performance to guide high‐rate processing in industry‐standard scalable tools. By establishing the feasibility of high‐rate evaporation for multiple layers, this study provides realistic insights into the transition from lab‐scale processing of perovskite top cells toward industrial‐scale manufacturing and highlights aspects that have to be considered in the future when switching from laboratory equipment (typically point sources) to industrial equipment (typically linear sources). Through the use of higher evaporation rates for the functional layers, we reached a power conversion efficiency of ~30% in fully textured tandems, increasing to 32.3% with thermally evaporated PDAI passivation. These findings provide crucial insights needed to push perovskite photovoltaic technologies toward high‑throughput and scalable production processes.</w:t>
      </w:r>
    </w:p>
    <w:p>
      <w:pPr>
        <w:spacing w:before="120" w:after="120"/>
      </w:pPr>
      <w:r>
        <w:rPr>
          <w:sz w:val="18"/>
        </w:rPr>
        <w:t>——————————————————————————————————————————————————————————————————————</w:t>
      </w:r>
    </w:p>
    <w:p>
      <w:pPr>
        <w:spacing w:before="160" w:after="40" w:line="240" w:lineRule="auto"/>
      </w:pPr>
      <w:r>
        <w:rPr>
          <w:b/>
        </w:rPr>
        <w:t xml:space="preserve">[30] </w:t>
      </w:r>
      <w:hyperlink r:id="rId44">
        <w:r>
          <w:rPr>
            <w:color w:val="1155CC"/>
            <w:u w:val="single"/>
          </w:rPr>
          <w:t>挥发动力学主导的结晶实现适用于临近空间环境的高效钙钛矿/硅叠层太阳能电池</w:t>
        </w:r>
      </w:hyperlink>
    </w:p>
    <w:p>
      <w:pPr>
        <w:spacing w:before="0" w:after="80"/>
      </w:pPr>
      <w:r>
        <w:rPr>
          <w:i/>
          <w:sz w:val="20"/>
        </w:rPr>
        <w:t>EN: Volatilization‐Kinetics‐Dictated Crystallization Enabling Efficient Perovskite/Silicon Tandem Solar Cells for Near‐Space Environment</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44">
        <w:r>
          <w:rPr>
            <w:color w:val="1155CC"/>
            <w:u w:val="single"/>
          </w:rPr>
          <w:t>10.1002/aenm.71515</w:t>
        </w:r>
      </w:hyperlink>
    </w:p>
    <w:p>
      <w:pPr>
        <w:spacing w:before="0" w:after="120"/>
      </w:pPr>
      <w:r>
        <w:rPr>
          <w:b/>
        </w:rPr>
        <w:t xml:space="preserve">Notes: </w:t>
      </w:r>
      <w:r>
        <w:t>abstract_source=crossref</w:t>
      </w:r>
    </w:p>
    <w:p>
      <w:pPr>
        <w:spacing w:before="0" w:after="80" w:lineRule="auto" w:line="276"/>
      </w:pPr>
      <w:r>
        <w:rPr>
          <w:b/>
        </w:rPr>
        <w:t xml:space="preserve">摘要（ZH）: </w:t>
      </w:r>
      <w:r>
        <w:t>摘要 金属卤化物钙钛矿太阳能电池（PSCs）的显著进展使钙钛矿/硅叠层结构成为光伏领域的变革性解决方案，其效率超越了单结极限，同时在近太空和航空航天等严苛环境中提供高比功率和抗辐射能力。然而，绒面硅上的宽带隙（WBG）钙钛矿在可控结晶和卤化物相稳定性方面面临障碍，导致复合损失和性能下降。本工作研究了采用具有定制烷基链长度的挥发性烷基铵氯化物进行添加剂工程，以精细调节挥发动力学。通过策略性地减缓挥发速率，该添加剂促进均匀成核并延缓晶粒生长，这对于在绒面硅衬底复杂形貌上实现均匀的钙钛矿覆盖至关重要。优化后的添加剂促进了致密、取向的薄膜并抑制了偏析，最终使叠层太阳能电池实现了31.1%的功率转换效率（PCE）和超过1000小时的稳定性。首次在高达37.29 km高度的近太空条件下进行了钙钛矿/硅叠层太阳能电池的飞行测试测量与校准。这些进步可能有助于开发适用于各种应用场景的 robust 叠层器件。</w:t>
      </w:r>
    </w:p>
    <w:p>
      <w:pPr>
        <w:spacing w:before="0" w:after="200" w:lineRule="auto" w:line="276"/>
      </w:pPr>
      <w:r>
        <w:rPr>
          <w:b/>
        </w:rPr>
        <w:t xml:space="preserve">Abstract (EN): </w:t>
      </w:r>
      <w:r>
        <w:t>The remarkable progress in metal halide perovskite solar cells (PSCs) has propelled perovskite/silicon tandem architectures as a transformative solution in photovoltaics, enabling efficiencies beyond single‐junction limits while offering high specific power and radiation resistance for challenging environments, including near‐space and aerospace applications. Wide‐bandgap (WBG) perovskites on textured silicon, however, encounter hurdles in controlled crystallization and halide phase stability, leading to recombination losses and reduced performance. This work investigates additive engineering using volatile alkylammonium chlorides with tailored alkyl chain lengths to fine‐tune volatilization kinetics. By strategically slowing down the volatilization rate, the additive promotes homogeneous nucleation and retards grain growth, which is critical for achieving uniform perovskite coverage over the intricate topography of textured silicon substrates.​ An optimized additive promotes dense, oriented films with suppressed segregation, culminating in tandem solar cells boasting a power conversion efficiency (PCE) of 31.1% and stability exceeding 1000 h. First‐ever flight test measurements and calibrations of perovskite/silicon tandem solar cells were conducted under near‐space conditions at altitudes reaching 37.29 km. These advancements may contribute to the development of robust tandem devices for various application settings.</w:t>
      </w:r>
    </w:p>
    <w:p>
      <w:pPr>
        <w:spacing w:before="120" w:after="120"/>
      </w:pPr>
      <w:r>
        <w:rPr>
          <w:sz w:val="18"/>
        </w:rPr>
        <w:t>——————————————————————————————————————————————————————————————————————</w:t>
      </w:r>
    </w:p>
    <w:p>
      <w:pPr>
        <w:spacing w:before="160" w:after="40" w:line="240" w:lineRule="auto"/>
      </w:pPr>
      <w:r>
        <w:rPr>
          <w:b/>
        </w:rPr>
        <w:t xml:space="preserve">[31] </w:t>
      </w:r>
      <w:hyperlink r:id="rId48">
        <w:r>
          <w:rPr>
            <w:color w:val="1155CC"/>
            <w:u w:val="single"/>
          </w:rPr>
          <w:t>一种氯化有机阳离子实现稳定的2D/3D碘化锡钙钛矿光伏器件</w:t>
        </w:r>
      </w:hyperlink>
    </w:p>
    <w:p>
      <w:pPr>
        <w:spacing w:before="0" w:after="80"/>
      </w:pPr>
      <w:r>
        <w:rPr>
          <w:i/>
          <w:sz w:val="20"/>
        </w:rPr>
        <w:t>EN: A chlorinated organic cation enables stable 2D/3D tin iodide perovskite photovoltaics</w:t>
      </w:r>
    </w:p>
    <w:p>
      <w:pPr>
        <w:spacing w:before="0" w:after="120"/>
      </w:pPr>
      <w:r>
        <w:rPr>
          <w:b/>
        </w:rPr>
        <w:t xml:space="preserve">Source: </w:t>
      </w:r>
      <w:r>
        <w:t>Nature Materials</w:t>
      </w:r>
      <w:r>
        <w:t xml:space="preserve">    </w:t>
      </w:r>
      <w:r>
        <w:rPr>
          <w:b/>
        </w:rPr>
        <w:t xml:space="preserve">Pub date: </w:t>
      </w:r>
      <w:r>
        <w:t>2026-09-01 00:00:00+00:00</w:t>
      </w:r>
      <w:r>
        <w:t xml:space="preserve">    </w:t>
      </w:r>
      <w:r>
        <w:rPr>
          <w:b/>
        </w:rPr>
        <w:t xml:space="preserve">DOI: </w:t>
      </w:r>
      <w:hyperlink r:id="rId49">
        <w:r>
          <w:rPr>
            <w:color w:val="1155CC"/>
            <w:u w:val="single"/>
          </w:rPr>
          <w:t>10.1038/s41563-026-02726-z</w:t>
        </w:r>
      </w:hyperlink>
    </w:p>
    <w:p>
      <w:pPr>
        <w:spacing w:before="0" w:after="120"/>
      </w:pPr>
      <w:r>
        <w:rPr>
          <w:b/>
        </w:rPr>
        <w:t xml:space="preserve">Notes: </w:t>
      </w:r>
      <w:r>
        <w:t>abstract_source=pubmed</w:t>
      </w:r>
    </w:p>
    <w:p>
      <w:pPr>
        <w:spacing w:before="0" w:after="80" w:lineRule="auto" w:line="276"/>
      </w:pPr>
      <w:r>
        <w:rPr>
          <w:b/>
        </w:rPr>
        <w:t xml:space="preserve">摘要（ZH）: </w:t>
      </w:r>
      <w:r>
        <w:t>锡卤化物钙钛矿（THPs）相比被广泛研究的铅基钙钛矿具有更窄的带隙和更好的环境安全性，但其空气敏感性阻碍了其发展，需要新的材料设计以实现其实际应用。本文报道了基于4-氯苯乙铵（4ClPEA）阳离子的新型超稳定2D和准2D THPs，实现了稳定高效的2D/3D锡钙钛矿太阳能电池。在(4XPEA)2SnI4结构（X = H、F、Cl、Br）中，(4ClPEA)2SnI4更强的π堆积相互作用和更紧密的层间堆积显著阻碍了氧气和水的扩散，使其具有优异的空气和湿度稳定性，并在环境空气中保持持续数月的明亮光致发光。4ClPEA的加入显著改善了2D/3D THP薄膜的结晶性和取向，从而实现了效率达16.2%的2D/3D THP太阳能电池，该电池在55 °C下展现出超过1,000小时的长期储存稳定性和运行稳定性。本研究为设计稳定高效的THPs以实现其实际应用确立了一种新策略。</w:t>
      </w:r>
    </w:p>
    <w:p>
      <w:pPr>
        <w:spacing w:before="0" w:after="200" w:lineRule="auto" w:line="276"/>
      </w:pPr>
      <w:r>
        <w:rPr>
          <w:b/>
        </w:rPr>
        <w:t xml:space="preserve">Abstract (EN): </w:t>
      </w:r>
      <w:r>
        <w:t>Tin halide perovskites (THPs) offer narrower bandgaps and improved environmental safety compared with the widely studied lead-based perovskites, but their air sensitivity has hindered their progress and demands new material design to enable their practical applications. Here we report stable and efficient 2D/3D tin perovskite solar cells enabled by new ultrastable 2D and quasi-2D THPs based on the 4-chloro-phenethylammonium (4ClPEA) cation. The stronger π-stacking interactions and tighter interlayer packing in (4ClPEA)2SnI4 among (4XPEA)2SnI4 structures (X = H, F, Cl, Br) substantially impede oxygen and water diffusion, enabling superior air and moisture stability and bright photoluminescence lasting several months in ambient air. The addition of 4ClPEA markedly improves 2D/3D THP film crystallinity and orientation, leading to 16.2% efficient 2D/3D THP solar cells that show prolonged storage stability and operational stability at 55 °C surpassing 1,000 h. This study establishes a new strategy for designing stable and efficient THPs towards their practical applications.</w:t>
      </w:r>
    </w:p>
    <w:p>
      <w:pPr>
        <w:spacing w:before="120" w:after="120"/>
      </w:pPr>
      <w:r>
        <w:rPr>
          <w:sz w:val="18"/>
        </w:rPr>
        <w:t>——————————————————————————————————————————————————————————————————————</w:t>
      </w:r>
    </w:p>
    <w:p>
      <w:pPr>
        <w:spacing w:before="160" w:after="40" w:line="240" w:lineRule="auto"/>
      </w:pPr>
      <w:r>
        <w:rPr>
          <w:b/>
        </w:rPr>
        <w:t xml:space="preserve">[32] </w:t>
      </w:r>
      <w:hyperlink r:id="rId50">
        <w:r>
          <w:rPr>
            <w:color w:val="1155CC"/>
            <w:u w:val="single"/>
          </w:rPr>
          <w:t>克服金字塔结构的界面异质性以实现高效钙钛矿/硅叠层太阳能电池</w:t>
        </w:r>
      </w:hyperlink>
    </w:p>
    <w:p>
      <w:pPr>
        <w:spacing w:before="0" w:after="80"/>
      </w:pPr>
      <w:r>
        <w:rPr>
          <w:i/>
          <w:sz w:val="20"/>
        </w:rPr>
        <w:t>EN: Overcoming the interfacial heterogeneity of pyramidal structure for efficient perovskite/silicon tandem solar cells</w:t>
      </w:r>
    </w:p>
    <w:p>
      <w:pPr>
        <w:spacing w:before="0" w:after="120"/>
      </w:pPr>
      <w:r>
        <w:rPr>
          <w:b/>
        </w:rPr>
        <w:t xml:space="preserve">Source: </w:t>
      </w:r>
      <w:r>
        <w:t>Joule</w:t>
      </w:r>
      <w:r>
        <w:t xml:space="preserve">    </w:t>
      </w:r>
      <w:r>
        <w:rPr>
          <w:b/>
        </w:rPr>
        <w:t xml:space="preserve">Pub date: </w:t>
      </w:r>
      <w:r>
        <w:t>2026-09-01 00:00:00+00:00</w:t>
      </w:r>
      <w:r>
        <w:t xml:space="preserve">    </w:t>
      </w:r>
      <w:r>
        <w:rPr>
          <w:b/>
        </w:rPr>
        <w:t xml:space="preserve">DOI: </w:t>
      </w:r>
      <w:hyperlink r:id="rId34">
        <w:r>
          <w:rPr>
            <w:color w:val="1155CC"/>
            <w:u w:val="single"/>
          </w:rPr>
          <w:t>10.1016/j.joule.2026.102580</w:t>
        </w:r>
      </w:hyperlink>
    </w:p>
    <w:p>
      <w:pPr>
        <w:spacing w:before="0" w:after="120"/>
      </w:pPr>
      <w:r>
        <w:rPr>
          <w:b/>
        </w:rPr>
        <w:t xml:space="preserve">Notes: </w:t>
      </w:r>
      <w:r>
        <w:t>abstract_source=rss_cell</w:t>
      </w:r>
    </w:p>
    <w:p>
      <w:pPr>
        <w:spacing w:before="0" w:after="80" w:lineRule="auto" w:line="276"/>
      </w:pPr>
      <w:r>
        <w:rPr>
          <w:b/>
        </w:rPr>
        <w:t xml:space="preserve">摘要（ZH）: </w:t>
      </w:r>
      <w:r>
        <w:t>亚微米织构硅衬底引入了界面不均一性，损害了钙钛矿/硅叠层太阳能电池的性能。为解决这一问题，我们提出了一种带有噻吩基团的不对称膦酸基SAM（L30）。该单分子层在亚微米织构的峰和谷上提供保形涂层，从而均匀覆盖织构表面并建立稳定的埋底界面。这一分子策略有效抑制了非辐射复合和接触损耗，在冠军叠层器件中实现了34.15%的认证稳定效率。</w:t>
      </w:r>
    </w:p>
    <w:p>
      <w:pPr>
        <w:spacing w:before="0" w:after="200" w:lineRule="auto" w:line="276"/>
      </w:pPr>
      <w:r>
        <w:rPr>
          <w:b/>
        </w:rPr>
        <w:t xml:space="preserve">Abstract (EN): </w:t>
      </w:r>
      <w:r>
        <w:t>Submicron-textured silicon substrates introduce interfacial heterogeneity that compromises the performance of perovskite/silicon tandem solar cells. To address this issue, we present an asymmetric phosphonic acid-based SAM (L30) bearing a thiophene group. This monolayer provides a conformal coating on the submicron-textured peaks and valleys, thereby uniformly covering the textured surfaces and establishing a stable buried interface. This molecular strategy effectively suppresses non-radiative recombination and contact losses, achieving a certified stabilized efficiency of 34.15% in the champion tandem device.</w:t>
      </w:r>
    </w:p>
    <w:p>
      <w:pPr>
        <w:spacing w:before="120" w:after="120"/>
      </w:pPr>
      <w:r>
        <w:rPr>
          <w:sz w:val="18"/>
        </w:rPr>
        <w:t>——————————————————————————————————————————————————————————————————————</w:t>
      </w:r>
    </w:p>
    <w:p>
      <w:pPr>
        <w:spacing w:before="160" w:after="40" w:line="240" w:lineRule="auto"/>
      </w:pPr>
      <w:r>
        <w:rPr>
          <w:b/>
        </w:rPr>
        <w:t xml:space="preserve">[33] </w:t>
      </w:r>
      <w:hyperlink r:id="rId32">
        <w:r>
          <w:rPr>
            <w:color w:val="1155CC"/>
            <w:u w:val="single"/>
          </w:rPr>
          <w:t>钙钛矿太阳能电池中的热效应</w:t>
        </w:r>
      </w:hyperlink>
    </w:p>
    <w:p>
      <w:pPr>
        <w:spacing w:before="0" w:after="80"/>
      </w:pPr>
      <w:r>
        <w:rPr>
          <w:i/>
          <w:sz w:val="20"/>
        </w:rPr>
        <w:t>EN: Thermal effects in perovskite solar cells</w:t>
      </w:r>
    </w:p>
    <w:p>
      <w:pPr>
        <w:spacing w:before="0" w:after="120"/>
      </w:pPr>
      <w:r>
        <w:rPr>
          <w:b/>
        </w:rPr>
        <w:t xml:space="preserve">Source: </w:t>
      </w:r>
      <w:r>
        <w:t>Joule</w:t>
      </w:r>
      <w:r>
        <w:t xml:space="preserve">    </w:t>
      </w:r>
      <w:r>
        <w:rPr>
          <w:b/>
        </w:rPr>
        <w:t xml:space="preserve">Pub date: </w:t>
      </w:r>
      <w:r>
        <w:t>2026-09-01 00:00:00+00:00</w:t>
      </w:r>
      <w:r>
        <w:t xml:space="preserve">    </w:t>
      </w:r>
      <w:r>
        <w:rPr>
          <w:b/>
        </w:rPr>
        <w:t xml:space="preserve">DOI: </w:t>
      </w:r>
      <w:hyperlink r:id="rId32">
        <w:r>
          <w:rPr>
            <w:color w:val="1155CC"/>
            <w:u w:val="single"/>
          </w:rPr>
          <w:t>10.1016/j.joule.2026.102643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 </w:t>
      </w:r>
      <w:hyperlink r:id="rId51">
        <w:r>
          <w:rPr>
            <w:color w:val="1155CC"/>
            <w:u w:val="single"/>
          </w:rPr>
          <w:t>可持续气体淬火策略实现高效稳定的柔性钙钛矿太阳能电池</w:t>
        </w:r>
      </w:hyperlink>
    </w:p>
    <w:p>
      <w:pPr>
        <w:spacing w:before="0" w:after="80"/>
      </w:pPr>
      <w:r>
        <w:rPr>
          <w:i/>
          <w:sz w:val="20"/>
        </w:rPr>
        <w:t>EN: Sustainable gas-quenching strategy enables high-efficiency and stable, flexible perovskite solar cells</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51">
        <w:r>
          <w:rPr>
            <w:color w:val="1155CC"/>
            <w:u w:val="single"/>
          </w:rPr>
          <w:t>10.1016/j.matt.2026.102823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 </w:t>
      </w:r>
      <w:hyperlink r:id="rId52">
        <w:r>
          <w:rPr>
            <w:color w:val="1155CC"/>
            <w:u w:val="single"/>
          </w:rPr>
          <w:t>金字塔尖选择性钝化实现32.9%效率的钙钛矿/硅叠层太阳能电池</w:t>
        </w:r>
      </w:hyperlink>
    </w:p>
    <w:p>
      <w:pPr>
        <w:spacing w:before="0" w:after="80"/>
      </w:pPr>
      <w:r>
        <w:rPr>
          <w:i/>
          <w:sz w:val="20"/>
        </w:rPr>
        <w:t>EN: Selective passivation of pyramid peaks for 32.9%-efficient perovskite/silicon tandem solar cells</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52">
        <w:r>
          <w:rPr>
            <w:color w:val="1155CC"/>
            <w:u w:val="single"/>
          </w:rPr>
          <w:t>10.1016/j.matt.2026.102824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 </w:t>
      </w:r>
      <w:hyperlink r:id="rId53">
        <w:r>
          <w:rPr>
            <w:color w:val="1155CC"/>
            <w:u w:val="single"/>
          </w:rPr>
          <w:t>双面工程化双层钼用于聚酰亚胺基柔性单片钙钛矿/Cu(In,Ga)Se2叠层太阳能电池</w:t>
        </w:r>
      </w:hyperlink>
    </w:p>
    <w:p>
      <w:pPr>
        <w:spacing w:before="0" w:after="80"/>
      </w:pPr>
      <w:r>
        <w:rPr>
          <w:i/>
          <w:sz w:val="20"/>
        </w:rPr>
        <w:t>EN: Dual-Side Engineered Bilayer Molybdenum for Flexible Monolithic Perovskite/ Cu(In,Ga)Se2 Tandem Solar Cells on Polyimide</w:t>
      </w:r>
    </w:p>
    <w:p>
      <w:pPr>
        <w:spacing w:before="0" w:after="120"/>
      </w:pPr>
      <w:r>
        <w:rPr>
          <w:b/>
        </w:rPr>
        <w:t xml:space="preserve">Source: </w:t>
      </w:r>
      <w:r>
        <w:t>ACS Energy Letters: Latest Articles (ACS Publications)</w:t>
      </w:r>
      <w:r>
        <w:t xml:space="preserve">    </w:t>
      </w:r>
      <w:r>
        <w:rPr>
          <w:b/>
        </w:rPr>
        <w:t xml:space="preserve">Pub date: </w:t>
      </w:r>
      <w:r>
        <w:t>2026-09-02 00:00:00+00:00</w:t>
      </w:r>
      <w:r>
        <w:t xml:space="preserve">    </w:t>
      </w:r>
      <w:r>
        <w:rPr>
          <w:b/>
        </w:rPr>
        <w:t xml:space="preserve">DOI: </w:t>
      </w:r>
      <w:hyperlink r:id="rId54">
        <w:r>
          <w:rPr>
            <w:color w:val="1155CC"/>
            <w:u w:val="single"/>
          </w:rPr>
          <w:t>10.1021/acsenergylett.6c01967</w:t>
        </w:r>
      </w:hyperlink>
    </w:p>
    <w:p>
      <w:pPr>
        <w:spacing w:before="0" w:after="120"/>
      </w:pPr>
      <w:r>
        <w:rPr>
          <w:b/>
        </w:rPr>
        <w:t xml:space="preserve">Notes: </w:t>
      </w:r>
      <w:r>
        <w:t>abstract_source=crossref</w:t>
      </w:r>
    </w:p>
    <w:p>
      <w:pPr>
        <w:spacing w:before="0" w:after="80" w:lineRule="auto" w:line="276"/>
      </w:pPr>
      <w:r>
        <w:rPr>
          <w:b/>
        </w:rPr>
        <w:t xml:space="preserve">摘要（ZH）: </w:t>
      </w:r>
      <w:r>
        <w:t>摘要 柔性单片钙钛矿/Cu(In,Ga)Se2（CIGS）叠层太阳能电池（TSCs）在聚酰亚胺（PI）衬底上受到背接触热限制引起的严重界面分层和CIGS结晶受损的困扰。本文引入双面工程双层钼（DEBM）结构来缓解这些挑战。DEBM的疏松表层增强硒扩散以确保牢固附着，而背面Mo微结构则调控红外反射率以实现高效热管理。这种协同调控改善了CIGS结晶并抑制了缺陷。因此，单结柔性CIGS电池消除了开裂和分层，实现了&gt;20.0%的认证效率。集成单片TSCs实现了27.03%的最佳效率（认证效率26.30%），是迄今报道的基于PI的TSCs最高效率。该器件还表现出卓越的弯曲耐久性，在5 mm弯曲半径下经20,000次弯曲循环后仍保持超过96%的初始性能。该结构为高可靠性柔性叠层光伏提供了一条可行途径。</w:t>
      </w:r>
    </w:p>
    <w:p>
      <w:pPr>
        <w:spacing w:before="0" w:after="200" w:lineRule="auto" w:line="276"/>
      </w:pPr>
      <w:r>
        <w:rPr>
          <w:b/>
        </w:rPr>
        <w:t xml:space="preserve">Abstract (EN): </w:t>
      </w:r>
      <w:r>
        <w:t>Flexible monolithic perovskite/Cu(In,Ga)Se2 (CIGS) tandem solar cells (TSCs) on polyimide (PI) substrates suffer from severe interfacial delamination and compromised CIGS crystallization induced by back-contact thermal limitations. Herein, we introduce a dual-side engineered bilayer molybdenum (DEBM) architecture to mitigate these challenges. The loose surface layer of DEBM enhances selenium diffusion to secure robust adhesion, while the backside Mo microstructure modulates infrared reflectivity for efficient thermal management. This synergistic regulation improves CIGS crystallization and suppresses defects. Consequently, single-junction flexible CIGS cells eliminate cracking and delamination, achieving a &gt; 20.0% certified efficiency. The integrated monolithic TSCs deliver a champion efficiency of 27.03% (certified 26.30%), the highest efficiency reported to date for PI-based TSCs. The device also exhibits outstanding bending durability, retaining over 96% of initial performance after 20,000 bending cycles at a 5 mm radius. This architecture provides a viable pathway for highly reliable, flexible tandem photovoltaics.</w:t>
      </w:r>
    </w:p>
    <w:p>
      <w:pPr>
        <w:spacing w:before="120" w:after="120"/>
      </w:pPr>
      <w:r>
        <w:rPr>
          <w:sz w:val="18"/>
        </w:rPr>
        <w:t>——————————————————————————————————————————————————————————————————————</w:t>
      </w:r>
    </w:p>
    <w:p>
      <w:pPr>
        <w:spacing w:before="160" w:after="40" w:line="240" w:lineRule="auto"/>
      </w:pPr>
      <w:r>
        <w:rPr>
          <w:b/>
        </w:rPr>
        <w:t xml:space="preserve">[37] </w:t>
      </w:r>
      <w:hyperlink r:id="rId55">
        <w:r>
          <w:rPr>
            <w:color w:val="1155CC"/>
            <w:u w:val="single"/>
          </w:rPr>
          <w:t>通过挥发性添加剂瞬态调控结晶以获得高质量钙钛矿薄膜</w:t>
        </w:r>
      </w:hyperlink>
    </w:p>
    <w:p>
      <w:pPr>
        <w:spacing w:before="0" w:after="80"/>
      </w:pPr>
      <w:r>
        <w:rPr>
          <w:i/>
          <w:sz w:val="20"/>
        </w:rPr>
        <w:t>EN: Transient Regulation of Crystallization via Volatile Additives to Obtain High‐Quality Perovskite Films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56">
        <w:r>
          <w:rPr>
            <w:color w:val="1155CC"/>
            <w:u w:val="single"/>
          </w:rPr>
          <w:t>10.1002/anie.7089275</w:t>
        </w:r>
      </w:hyperlink>
    </w:p>
    <w:p>
      <w:pPr>
        <w:spacing w:before="0" w:after="120"/>
      </w:pPr>
      <w:r>
        <w:rPr>
          <w:b/>
        </w:rPr>
        <w:t xml:space="preserve">Notes: </w:t>
      </w:r>
      <w:r>
        <w:t>abstract_source=crossref</w:t>
      </w:r>
    </w:p>
    <w:p>
      <w:pPr>
        <w:spacing w:before="0" w:after="80" w:lineRule="auto" w:line="276"/>
      </w:pPr>
      <w:r>
        <w:rPr>
          <w:b/>
        </w:rPr>
        <w:t xml:space="preserve">摘要（ZH）: </w:t>
      </w:r>
      <w:r>
        <w:t>摘要 精确调控成核与结晶动力学对于制备高性能钙钛矿太阳能电池（PSCs）至关重要。然而，在不引入残留杂质的情况下调控前驱体的快速组装是一项重大难题。我们提出了一种采用全氟甲苯（OCF）的“瞬态动力学调控”策略，以控制甲脒（FA）基钙钛矿的结晶。与关注阳离子或铅中心的传统添加剂不同，OCF利用其缺电子的全氟芳香环与碘离子（I − ）形成稳健的阴离子-π相互作用。该相互作用有效地将碘物种隔离在前驱体溶液中，从动力学上抑制PbI 3 − 中间体的形成，并减少相的无序析出。由此产生的延迟成核和同步晶体生长使钙钛矿薄膜具有显著增大的晶粒尺寸、缓解的晶格应变和降低的缺陷密度。值得注意的是，OCF在退火过程中完全挥发，确保获得纯净、无残留的薄膜。因此，优化后的器件实现了25.44%的最高功率转换效率（PCE）和85.27%的高填充因子，并具有优异的长期稳定性，在环境老化1800小时后仍保持初始PCE的93%。本研究确立了挥发性添加剂调控作为一种有效、非侵入性的结晶管理方法。</w:t>
      </w:r>
    </w:p>
    <w:p>
      <w:pPr>
        <w:spacing w:before="0" w:after="200" w:lineRule="auto" w:line="276"/>
      </w:pPr>
      <w:r>
        <w:rPr>
          <w:b/>
        </w:rPr>
        <w:t xml:space="preserve">Abstract (EN): </w:t>
      </w:r>
      <w:r>
        <w:t>Exact regulation of nucleation and crystallization kinetics is essential for fabricating high‐performance perovskite solar cells (PSCs). However, regulating the fast assembly of precursors without incorporating residual impurities presents a significant difficulty. We present an approach of a “transient kinetic modulation” strategy employing octafluorotoluene (OCF) to control the crystallization of formamidinium (FA)‐based perovskites. Distinct from conventional additives that focus on cations or lead centers, OCF utilizes its electron‐deficient perfluorinated aromatic ring to form robust anion‐π interactions with iodide ions (I − ). This interaction effectively sequesters iodide species in the precursor solution, kinetically inhibiting the formation of PbI 3 − intermediates and reducing the disordered precipitation of phases. The resultant delayed nucleation and synchronized crystal growth provide perovskite films characterized by markedly increased grain size, alleviated lattice strain, and reduced defect density. Significantly, OCF totally volatilizes during annealing, guaranteeing a pure, residue‐free film. Consequently, the optimized devices achieve a champion power conversion efficiency (PCE) of 25.44% with a high fill factor of 85.27%, alongside exceptional long‐term stability, retaining 93% of the initial PCE after 1800 h of ambient aging. This study establishes volatile additive modulation as an effective, non‐invasive method for crystallization management.</w:t>
      </w:r>
    </w:p>
    <w:p>
      <w:pPr>
        <w:spacing w:before="120" w:after="120"/>
      </w:pPr>
      <w:r>
        <w:rPr>
          <w:sz w:val="18"/>
        </w:rPr>
        <w:t>——————————————————————————————————————————————————————————————————————</w:t>
      </w:r>
    </w:p>
    <w:p>
      <w:pPr>
        <w:spacing w:before="160" w:after="40" w:line="240" w:lineRule="auto"/>
      </w:pPr>
      <w:r>
        <w:rPr>
          <w:b/>
        </w:rPr>
        <w:t xml:space="preserve">[38] </w:t>
      </w:r>
      <w:hyperlink r:id="rId54">
        <w:r>
          <w:rPr>
            <w:color w:val="1155CC"/>
            <w:u w:val="single"/>
          </w:rPr>
          <w:t>双面工程化双层钼用于聚酰亚胺柔性单片钙钛矿/Cu(In,Ga)Se2叠层太阳能电池</w:t>
        </w:r>
      </w:hyperlink>
    </w:p>
    <w:p>
      <w:pPr>
        <w:spacing w:before="0" w:after="80"/>
      </w:pPr>
      <w:r>
        <w:rPr>
          <w:i/>
          <w:sz w:val="20"/>
        </w:rPr>
        <w:t>EN: Dual-Side Engineered Bilayer Molybdenum for Flexible Monolithic Perovskite/ Cu(In,Ga)Se2 Tandem Solar Cells on Polyimide</w:t>
      </w:r>
    </w:p>
    <w:p>
      <w:pPr>
        <w:spacing w:before="0" w:after="120"/>
      </w:pPr>
      <w:r>
        <w:rPr>
          <w:b/>
        </w:rPr>
        <w:t xml:space="preserve">Source: </w:t>
      </w:r>
      <w:r>
        <w:t>ACS Energy Letters</w:t>
      </w:r>
      <w:r>
        <w:t xml:space="preserve">    </w:t>
      </w:r>
      <w:r>
        <w:rPr>
          <w:b/>
        </w:rPr>
        <w:t xml:space="preserve">Pub date: </w:t>
      </w:r>
      <w:r>
        <w:t>2026-09-02 00:00:00+00:00</w:t>
      </w:r>
      <w:r>
        <w:t xml:space="preserve">    </w:t>
      </w:r>
      <w:r>
        <w:rPr>
          <w:b/>
        </w:rPr>
        <w:t xml:space="preserve">DOI: </w:t>
      </w:r>
      <w:hyperlink r:id="rId54">
        <w:r>
          <w:rPr>
            <w:color w:val="1155CC"/>
            <w:u w:val="single"/>
          </w:rPr>
          <w:t>10.1021/acsenergylett.6c01967</w:t>
        </w:r>
      </w:hyperlink>
    </w:p>
    <w:p>
      <w:pPr>
        <w:spacing w:before="0" w:after="120"/>
      </w:pPr>
      <w:r>
        <w:rPr>
          <w:b/>
        </w:rPr>
        <w:t xml:space="preserve">Notes: </w:t>
      </w:r>
      <w:r>
        <w:t>abstract_source=crossref</w:t>
      </w:r>
    </w:p>
    <w:p>
      <w:pPr>
        <w:spacing w:before="0" w:after="80" w:lineRule="auto" w:line="276"/>
      </w:pPr>
      <w:r>
        <w:rPr>
          <w:b/>
        </w:rPr>
        <w:t xml:space="preserve">摘要（ZH）: </w:t>
      </w:r>
      <w:r>
        <w:t>摘要 柔性单片钙钛矿/Cu(In,Ga)Se2（CIGS）叠层太阳能电池（TSCs）在聚酰亚胺（PI）衬底上面临严重的界面分层以及由背接触热限制引起的CIGS结晶受损问题。本文引入了一种双面工程化双层钼（DEBM）结构来缓解这些挑战。DEBM的疏松表面层增强了硒扩散以确保牢固附着，而背面Mo微结构则调控红外反射率以实现高效热管理。这种协同调控改善了CIGS结晶并抑制了缺陷。因此，单结柔性CIGS电池消除了开裂和分层现象，实现了超过20.0%的认证效率。集成的单片TSCs实现了27.03%的最高效率（认证效率26.30%），这是迄今报道的基于PI的TSCs的最高效率。该器件还表现出出色的弯曲耐久性，在5 mm弯曲半径下经过20,000次弯曲循环后仍保持超过96%的初始性能。该结构为高可靠性柔性叠层光伏提供了一条可行途径。</w:t>
      </w:r>
    </w:p>
    <w:p>
      <w:pPr>
        <w:spacing w:before="0" w:after="200" w:lineRule="auto" w:line="276"/>
      </w:pPr>
      <w:r>
        <w:rPr>
          <w:b/>
        </w:rPr>
        <w:t xml:space="preserve">Abstract (EN): </w:t>
      </w:r>
      <w:r>
        <w:t>Flexible monolithic perovskite/Cu(In,Ga)Se2 (CIGS) tandem solar cells (TSCs) on polyimide (PI) substrates suffer from severe interfacial delamination and compromised CIGS crystallization induced by back-contact thermal limitations. Herein, we introduce a dual-side engineered bilayer molybdenum (DEBM) architecture to mitigate these challenges. The loose surface layer of DEBM enhances selenium diffusion to secure robust adhesion, while the backside Mo microstructure modulates infrared reflectivity for efficient thermal management. This synergistic regulation improves CIGS crystallization and suppresses defects. Consequently, single-junction flexible CIGS cells eliminate cracking and delamination, achieving a &gt; 20.0% certified efficiency. The integrated monolithic TSCs deliver a champion efficiency of 27.03% (certified 26.30%), the highest efficiency reported to date for PI-based TSCs. The device also exhibits outstanding bending durability, retaining over 96% of initial performance after 20,000 bending cycles at a 5 mm radius. This architecture provides a viable pathway for highly reliable, flexible tandem photovoltaics.</w:t>
      </w:r>
    </w:p>
    <w:p>
      <w:pPr>
        <w:spacing w:before="120" w:after="120"/>
      </w:pPr>
      <w:r>
        <w:rPr>
          <w:sz w:val="18"/>
        </w:rPr>
        <w:t>——————————————————————————————————————————————————————————————————————</w:t>
      </w:r>
    </w:p>
    <w:p>
      <w:pPr>
        <w:spacing w:before="160" w:after="40" w:line="240" w:lineRule="auto"/>
      </w:pPr>
      <w:r>
        <w:rPr>
          <w:b/>
        </w:rPr>
        <w:t xml:space="preserve">[39] </w:t>
      </w:r>
      <w:hyperlink r:id="rId56">
        <w:r>
          <w:rPr>
            <w:color w:val="1155CC"/>
            <w:u w:val="single"/>
          </w:rPr>
          <w:t>通过挥发性添加剂瞬态调控结晶以获得高质量钙钛矿薄膜</w:t>
        </w:r>
      </w:hyperlink>
    </w:p>
    <w:p>
      <w:pPr>
        <w:spacing w:before="0" w:after="80"/>
      </w:pPr>
      <w:r>
        <w:rPr>
          <w:i/>
          <w:sz w:val="20"/>
        </w:rPr>
        <w:t>EN: Transient Regulation of Crystallization via Volatile Additives to Obtain High‐Quality Perovskite Films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56">
        <w:r>
          <w:rPr>
            <w:color w:val="1155CC"/>
            <w:u w:val="single"/>
          </w:rPr>
          <w:t>10.1002/anie.7089275</w:t>
        </w:r>
      </w:hyperlink>
    </w:p>
    <w:p>
      <w:pPr>
        <w:spacing w:before="0" w:after="120"/>
      </w:pPr>
      <w:r>
        <w:rPr>
          <w:b/>
        </w:rPr>
        <w:t xml:space="preserve">Notes: </w:t>
      </w:r>
      <w:r>
        <w:t>abstract_source=crossref</w:t>
      </w:r>
    </w:p>
    <w:p>
      <w:pPr>
        <w:spacing w:before="0" w:after="80" w:lineRule="auto" w:line="276"/>
      </w:pPr>
      <w:r>
        <w:rPr>
          <w:b/>
        </w:rPr>
        <w:t xml:space="preserve">摘要（ZH）: </w:t>
      </w:r>
      <w:r>
        <w:t>摘要 成核和结晶动力学的精确调控对于制备高性能钙钛矿太阳能电池（PSCs）至关重要。然而，在不引入残留杂质的情况下调控前驱体的快速组装是一项重大难题。我们提出了一种采用全氟甲苯（OCF）的“瞬态动力学调控”策略来控制甲脒（FA）基钙钛矿的结晶。与关注阳离子或铅中心的传统添加剂不同，OCF 利用其缺电子的全氟芳环与碘离子（I⁻）形成稳健的阴离子-π 相互作用。这种相互作用有效地捕获前驱体溶液中的碘物种，在动力学上抑制 PbI₃⁻ 中间体的形成，并减少各相的无序沉淀。由此产生的延迟成核和同步晶体生长使钙钛矿薄膜具有显著增大的晶粒尺寸、缓解的晶格应变和降低的缺陷密度。重要的是，OCF 在退火过程中完全挥发，保证了纯净、无残留的薄膜。因此，优化后的器件实现了 25.44% 的冠军功率转换效率（PCE）和 85.27% 的高填充因子，并具有卓越的长期稳定性，在环境老化 1800 h 后仍保持初始 PCE 的 93%。本研究确立了挥发性添加剂调控作为一种有效、非侵入性的结晶管理方法。</w:t>
      </w:r>
    </w:p>
    <w:p>
      <w:pPr>
        <w:spacing w:before="0" w:after="200" w:lineRule="auto" w:line="276"/>
      </w:pPr>
      <w:r>
        <w:rPr>
          <w:b/>
        </w:rPr>
        <w:t xml:space="preserve">Abstract (EN): </w:t>
      </w:r>
      <w:r>
        <w:t>Exact regulation of nucleation and crystallization kinetics is essential for fabricating high‐performance perovskite solar cells (PSCs). However, regulating the fast assembly of precursors without incorporating residual impurities presents a significant difficulty. We present an approach of a “transient kinetic modulation” strategy employing octafluorotoluene (OCF) to control the crystallization of formamidinium (FA)‐based perovskites. Distinct from conventional additives that focus on cations or lead centers, OCF utilizes its electron‐deficient perfluorinated aromatic ring to form robust anion‐π interactions with iodide ions (I − ). This interaction effectively sequesters iodide species in the precursor solution, kinetically inhibiting the formation of PbI 3 − intermediates and reducing the disordered precipitation of phases. The resultant delayed nucleation and synchronized crystal growth provide perovskite films characterized by markedly increased grain size, alleviated lattice strain, and reduced defect density. Significantly, OCF totally volatilizes during annealing, guaranteeing a pure, residue‐free film. Consequently, the optimized devices achieve a champion power conversion efficiency (PCE) of 25.44% with a high fill factor of 85.27%, alongside exceptional long‐term stability, retaining 93% of the initial PCE after 1800 h of ambient aging. This study establishes volatile additive modulation as an effective, non‐invasive method for crystallization management.</w:t>
      </w:r>
    </w:p>
    <w:p>
      <w:pPr>
        <w:spacing w:before="120" w:after="120"/>
      </w:pPr>
      <w:r>
        <w:rPr>
          <w:sz w:val="18"/>
        </w:rPr>
        <w:t>——————————————————————————————————————————————————————————————————————</w:t>
      </w:r>
    </w:p>
    <w:p>
      <w:pPr>
        <w:spacing w:before="160" w:after="40" w:line="240" w:lineRule="auto"/>
      </w:pPr>
      <w:r>
        <w:rPr>
          <w:b/>
        </w:rPr>
        <w:t xml:space="preserve">[40] </w:t>
      </w:r>
      <w:hyperlink r:id="rId57">
        <w:r>
          <w:rPr>
            <w:color w:val="1155CC"/>
            <w:u w:val="single"/>
          </w:rPr>
          <w:t>仿生 EUK-134 协同策略用于钙钛矿太阳能电池的动态循环抗氧化防御与缺陷钝化</w:t>
        </w:r>
      </w:hyperlink>
    </w:p>
    <w:p>
      <w:pPr>
        <w:spacing w:before="0" w:after="80"/>
      </w:pPr>
      <w:r>
        <w:rPr>
          <w:i/>
          <w:sz w:val="20"/>
        </w:rPr>
        <w:t>EN: Biomimetic EUK-134 Synergy Strategy for Dynamic Cyclic Antioxidant Defense and Defect Passivation in Perovskite Solar Cells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58">
        <w:r>
          <w:rPr>
            <w:color w:val="1155CC"/>
            <w:u w:val="single"/>
          </w:rPr>
          <w:t>10.1021/acsami.6c12682</w:t>
        </w:r>
      </w:hyperlink>
    </w:p>
    <w:p>
      <w:pPr>
        <w:spacing w:before="0" w:after="120"/>
      </w:pPr>
      <w:r>
        <w:rPr>
          <w:b/>
        </w:rPr>
        <w:t xml:space="preserve">Notes: </w:t>
      </w:r>
      <w:r>
        <w:t>abstract_source=crossref</w:t>
      </w:r>
    </w:p>
    <w:p>
      <w:pPr>
        <w:spacing w:before="0" w:after="80" w:lineRule="auto" w:line="276"/>
      </w:pPr>
      <w:r>
        <w:rPr>
          <w:b/>
        </w:rPr>
        <w:t xml:space="preserve">摘要（ZH）: </w:t>
      </w:r>
      <w:r>
        <w:t>摘要 有机-无机杂化钙钛矿在光照和氧气暴露下极易发生氧化降解。其主要降解机制涉及光生电子还原吸附的氧，生成高反应性的超氧自由基（O2•–）。这些自由基不仅引发晶格碘化物损失和有机阳离子挥发，还产生歧化副产物过氧化氢（H2O2），进一步加速材料分解并严重损害长期稳定性。在此，我们将仿生酶模拟物EUK-134引入钙钛矿前驱体溶液，其兼具超氧化物歧化酶（SOD）和过氧化氢酶（CAT）双重活性。它能有效清除O2•–并分解H2O2，阻断活性氧（ROS）介导的降解途径。同时，EUK-134中的Cl–离子调控钙钛矿结晶并填充碘空位，而酚氧基团钝化欠配位的Pb2+位点。这种协同效应实现了24.48%的冠军光电转换效率。值得注意的是，未封装器件在氮气中老化2000小时后保持其初始效率的90.39%，并在环境条件下（25 °C，RH ≈ 40–60%，室内光照）1000小时后保持75.45%，显著优于对照器件。这项工作为制造高稳定性、长寿命光伏器件提供了一种可靠而强有力的策略。</w:t>
      </w:r>
    </w:p>
    <w:p>
      <w:pPr>
        <w:spacing w:before="0" w:after="200" w:lineRule="auto" w:line="276"/>
      </w:pPr>
      <w:r>
        <w:rPr>
          <w:b/>
        </w:rPr>
        <w:t xml:space="preserve">Abstract (EN): </w:t>
      </w:r>
      <w:r>
        <w:t>Organic–inorganic hybrid perovskites are highly susceptible to oxidative degradation under illumination and oxygen exposure. The primary degradation mechanism involves photogenerated electrons reducing adsorbed oxygen to form highly reactive superoxide radicals (O2•–). These radicals not only initiate lattice iodide loss and organic cation volatilization but also produce hydrogen peroxide (H2O2) as a dismutation byproduct, which further accelerates material decomposition and severely compromises long-term stability. Here, we introduce the biomimetic enzyme mimetic EUK-134 into the perovskite precursor solution, which possesses dual superoxide dismutase (SOD) and catalase (CAT) activities. It effectively scavenges O2•– and decomposes H2O2, blocking the reactive oxygen species (ROS)-mediated degradation pathway. Concurrently, the Cl– ions from EUK-134 modulate perovskite crystallization and fill iodide vacancies, whereas the phenolic oxygen groups passivate undercoordinated Pb2+ sites. This synergistic effect achieves a champion power conversion efficiency of 24.48%. Notably, the unencapsulated device retains 90.39% of its initial efficiency after 2000 h of aging in nitrogen and maintains 75.45% after 1000 h under ambient conditions (25 °C, RH ≈ 40–60%, room light), significantly outperforming the control device. This work provides a reliable and powerful strategy for fabricating highly stable and long-lived photovoltaic devices.</w:t>
      </w:r>
    </w:p>
    <w:p>
      <w:pPr>
        <w:spacing w:before="120" w:after="120"/>
      </w:pPr>
      <w:r>
        <w:rPr>
          <w:sz w:val="18"/>
        </w:rPr>
        <w:t>——————————————————————————————————————————————————————————————————————</w:t>
      </w:r>
    </w:p>
    <w:p>
      <w:pPr>
        <w:spacing w:before="160" w:after="40" w:line="240" w:lineRule="auto"/>
      </w:pPr>
      <w:r>
        <w:rPr>
          <w:b/>
        </w:rPr>
        <w:t xml:space="preserve">[41] </w:t>
      </w:r>
      <w:hyperlink r:id="rId59">
        <w:r>
          <w:rPr>
            <w:color w:val="1155CC"/>
            <w:u w:val="single"/>
          </w:rPr>
          <w:t>传统有机太阳能电池中PDINN/Ag阴极界面双热失效路径的解耦</w:t>
        </w:r>
      </w:hyperlink>
    </w:p>
    <w:p>
      <w:pPr>
        <w:spacing w:before="0" w:after="80"/>
      </w:pPr>
      <w:r>
        <w:rPr>
          <w:i/>
          <w:sz w:val="20"/>
        </w:rPr>
        <w:t>EN: Decoupling the Dual Thermal Failure Pathways at the PDINN/Ag Cathode Interface in Conventional Organic Solar Cells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60">
        <w:r>
          <w:rPr>
            <w:color w:val="1155CC"/>
            <w:u w:val="single"/>
          </w:rPr>
          <w:t>10.1021/acsami.6c12107</w:t>
        </w:r>
      </w:hyperlink>
    </w:p>
    <w:p>
      <w:pPr>
        <w:spacing w:before="0" w:after="120"/>
      </w:pPr>
      <w:r>
        <w:rPr>
          <w:b/>
        </w:rPr>
        <w:t xml:space="preserve">Notes: </w:t>
      </w:r>
      <w:r>
        <w:t>abstract_source=crossref</w:t>
      </w:r>
    </w:p>
    <w:p>
      <w:pPr>
        <w:spacing w:before="0" w:after="80" w:lineRule="auto" w:line="276"/>
      </w:pPr>
      <w:r>
        <w:rPr>
          <w:b/>
        </w:rPr>
        <w:t xml:space="preserve">摘要（ZH）: </w:t>
      </w:r>
      <w:r>
        <w:t>摘要 有机太阳能电池（OSC）的传统结构虽然可以提高功率转换效率（PCE），但热稳定性较差，这主要是由于对阴极侧界面退化的了解不够。在此，我们系统地研究了具有 PM6:L8-BO/PDINN/Ag 配置的传统 OSC 中广泛使用的电子传输层 PDINN 的热失效机制。我们确定了一个两阶段的降解途径：在初始加热阶段，PDINN 降解会在阴极接触附近的相邻有源层中诱导 n 型掺杂，从而降低短路电流密度 (JSC)。在长时间的热应力下，Ag− 迁移通过 PDINN 夹层，产生深空穴陷阱并改变阴极功函数。由此产生的 PM6:L8-BO/PDINN/Ag 界面处的能级不匹配极大地增加了电子提取势垒，加剧了电荷复合，并导致开路电压 (VOC) 和填充因子 (FF) 显着损失。在这种机理理解的指导下，我们在有源层和 PDINN 之间引入热蒸发的 C60/SnO2 双层作为扩散阻挡中间层。修改后的器件在 85 °C 下连续加热 1000 小时后保留了其初始 PCE 的 80%（初始 PCE：16.96%），与未修改的参考器件（T80）的快速降解形成鲜明对比。</w:t>
      </w:r>
    </w:p>
    <w:p>
      <w:pPr>
        <w:spacing w:before="0" w:after="200" w:lineRule="auto" w:line="276"/>
      </w:pPr>
      <w:r>
        <w:rPr>
          <w:b/>
        </w:rPr>
        <w:t xml:space="preserve">Abstract (EN): </w:t>
      </w:r>
      <w:r>
        <w:t>The conventional architecture of organic solar cells (OSCs) results in power conversion efficiency (PCE) but suffers from poor thermal stability, largely due to insufficiently understood interfacial degradation at the cathode side. Herein, we systematically investigate the thermal failure mechanisms of the widely used electron transport layer PDINN in conventional OSCs with a PM6:L8-BO/PDINN/Ag configuration. We identify a two-stage degradation pathway: In the initial heating phase, PDINN degradation induces n-type doping in the adjacent active layer near the cathode contact, reducing the short-circuit current density (JSC). Upon prolonged thermal stress, Ag− migrates through the PDINN interlayer, generating deep hole traps and shifting the cathode work function. The resulting energy level mismatch at the PM6:L8-BO/PDINN/Ag interface dramatically increases the electron extraction barrier, intensifying charge recombination and causing substantial losses in both open-circuit voltage (VOC) and fill factor (FF). Guided by this mechanistic understanding, we introduce a thermally evaporated C60/SnO2 bilayer between the active layer and PDINN as a diffusion-blocking interlayer. The modified devices retain 80% of their initial PCE (initial PCE: 16.96%) after continuous heating at 85 °C for 1000 h, in stark contrast to the rapid degradation of unmodified reference devices (T80</w:t>
      </w:r>
    </w:p>
    <w:p>
      <w:pPr>
        <w:spacing w:before="120" w:after="120"/>
      </w:pPr>
      <w:r>
        <w:rPr>
          <w:sz w:val="18"/>
        </w:rPr>
        <w:t>——————————————————————————————————————————————————————————————————————</w:t>
      </w:r>
    </w:p>
    <w:p>
      <w:pPr>
        <w:spacing w:before="160" w:after="40" w:line="240" w:lineRule="auto"/>
      </w:pPr>
      <w:r>
        <w:rPr>
          <w:b/>
        </w:rPr>
        <w:t xml:space="preserve">[42] </w:t>
      </w:r>
      <w:hyperlink r:id="rId61">
        <w:r>
          <w:rPr>
            <w:color w:val="1155CC"/>
            <w:u w:val="single"/>
          </w:rPr>
          <w:t>钙钛矿太阳能电池中通过埋底吡啶鎓诱导的可调相互作用实现结晶调控</w:t>
        </w:r>
      </w:hyperlink>
    </w:p>
    <w:p>
      <w:pPr>
        <w:spacing w:before="0" w:after="80"/>
      </w:pPr>
      <w:r>
        <w:rPr>
          <w:i/>
          <w:sz w:val="20"/>
        </w:rPr>
        <w:t>EN: Crystallization Manipulation Through Buried Pyridinium‐Induced Tunable Interactions in Perovskite Solar Cells</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62">
        <w:r>
          <w:rPr>
            <w:color w:val="1155CC"/>
            <w:u w:val="single"/>
          </w:rPr>
          <w:t>10.1002/anie.1360189</w:t>
        </w:r>
      </w:hyperlink>
    </w:p>
    <w:p>
      <w:pPr>
        <w:spacing w:before="0" w:after="120"/>
      </w:pPr>
      <w:r>
        <w:rPr>
          <w:b/>
        </w:rPr>
        <w:t xml:space="preserve">Notes: </w:t>
      </w:r>
      <w:r>
        <w:t>abstract_source=crossref</w:t>
      </w:r>
    </w:p>
    <w:p>
      <w:pPr>
        <w:spacing w:before="0" w:after="80" w:lineRule="auto" w:line="276"/>
      </w:pPr>
      <w:r>
        <w:rPr>
          <w:b/>
        </w:rPr>
        <w:t xml:space="preserve">摘要（ZH）: </w:t>
      </w:r>
      <w:r>
        <w:t>摘要 自组装单层（SAM）的混合成分与钙钛矿前驱体之间的相互作用可以延迟结晶过程，从而产生高质量的钙钛矿薄膜和高效的钙钛矿太阳能电池（PSC）。然而，相互作用的强度会影响结晶速度的更精确控制。在这里，我们引入两种吡啶鎓阳离子物种来比较它们与碘化物相互作用的强度。我们的系统研究表明，更缺电子的基于 1-甲基-4-(三氟甲基)吡啶 (CF 3 Py + ) 的混合 SAM 使 0.06 cm 2 PSC 的冠军功率转换效率 (PCE) 达到 27.07%（认证为 26.8%），超过了基于混合 1-甲基吡啶 (Py + ) 的器件 (26.42%) 和纯器件。 4基于PADCB的设备（25.12%）。令人印象深刻的 PCE 源于通过 CF 3 Py + 和 I - 之间更强烈的相互作用来微调结晶速度。此外，更强的相互作用抑制了碘化物的迁移，从而提高了优化PSC的光稳定性和热稳定性。我们的工作展示了一种通过将吸电子基团纳入芳香核来增强吡啶鎓阳离子和碘化物之间相互作用的有效方法，为钙钛矿薄膜结晶的操纵提供了重要的见解。</w:t>
      </w:r>
    </w:p>
    <w:p>
      <w:pPr>
        <w:spacing w:before="0" w:after="200" w:lineRule="auto" w:line="276"/>
      </w:pPr>
      <w:r>
        <w:rPr>
          <w:b/>
        </w:rPr>
        <w:t xml:space="preserve">Abstract (EN): </w:t>
      </w:r>
      <w:r>
        <w:t>The interaction between the hybrid component of self‐assembled monolayers (SAMs) and the perovskite precursor could delay the crystallization process, resulting in high‐quality perovskite film and highly efficient perovskite solar cells (PSCs). However, the intensity of interaction affects more precise control of crystallization speed. Herein, we introduce two pyridinium cation species to compare the intensity of their interaction with iodide. Our systematic investigation reveals that the more electron deficient 1‐methyl‐4‐(trifluoromethyl)pyridinium (CF 3 Py + )‐based hybrid SAM enables a champion power conversion efficiency (PCE) of 27.07% (certified 26.8%) for a 0.06‐cm 2 PSC, surpassing hybrid 1‐methylpyridinium (Py + )‐based device (26.42%) and pure 4PADCB‐based device (25.12%). The impressive PCE stems from fine‐tuning of crystallization speed through more intensive interaction between CF 3 Py + and I − . Moreover, the stronger interaction inhibits iodide migration, which improves the light and thermal stability of the optimized PSCs. Our work demonstrates an effective approach to strengthening the interaction between pyridinium cations and iodide by incorporating an electron‐withdrawing group into the aromatic core, providing crucial insights into the manipulation of perovskite film crystallization.</w:t>
      </w:r>
    </w:p>
    <w:p>
      <w:pPr>
        <w:spacing w:before="120" w:after="120"/>
      </w:pPr>
      <w:r>
        <w:rPr>
          <w:sz w:val="18"/>
        </w:rPr>
        <w:t>——————————————————————————————————————————————————————————————————————</w:t>
      </w:r>
    </w:p>
    <w:p>
      <w:pPr>
        <w:spacing w:before="160" w:after="40" w:line="240" w:lineRule="auto"/>
      </w:pPr>
      <w:r>
        <w:rPr>
          <w:b/>
        </w:rPr>
        <w:t xml:space="preserve">[43] </w:t>
      </w:r>
      <w:hyperlink r:id="rId63">
        <w:r>
          <w:rPr>
            <w:color w:val="1155CC"/>
            <w:u w:val="single"/>
          </w:rPr>
          <w:t>柔性双向多位点酰肼阳离子稳定晶界助力高性能倒置钙钛矿太阳能电池</w:t>
        </w:r>
      </w:hyperlink>
    </w:p>
    <w:p>
      <w:pPr>
        <w:spacing w:before="0" w:after="80"/>
      </w:pPr>
      <w:r>
        <w:rPr>
          <w:i/>
          <w:sz w:val="20"/>
        </w:rPr>
        <w:t>EN: Stabilizing Grain Boundaries by Flexible Bidirectional Multisite Hydrazide Cations toward High-Performance Inverted Perovskite Solar Cells</w:t>
      </w:r>
    </w:p>
    <w:p>
      <w:pPr>
        <w:spacing w:before="0" w:after="120"/>
      </w:pPr>
      <w:r>
        <w:rPr>
          <w:b/>
        </w:rPr>
        <w:t xml:space="preserve">Source: </w:t>
      </w:r>
      <w:r>
        <w:t>ACS Energy Letters: Latest Articles (ACS Publications)</w:t>
      </w:r>
      <w:r>
        <w:t xml:space="preserve">    </w:t>
      </w:r>
      <w:r>
        <w:rPr>
          <w:b/>
        </w:rPr>
        <w:t xml:space="preserve">Pub date: </w:t>
      </w:r>
      <w:r>
        <w:t>2026-09-03 00:00:00+00:00</w:t>
      </w:r>
      <w:r>
        <w:t xml:space="preserve">    </w:t>
      </w:r>
      <w:r>
        <w:rPr>
          <w:b/>
        </w:rPr>
        <w:t xml:space="preserve">DOI: </w:t>
      </w:r>
      <w:hyperlink r:id="rId64">
        <w:r>
          <w:rPr>
            <w:color w:val="1155CC"/>
            <w:u w:val="single"/>
          </w:rPr>
          <w:t>10.1021/acsenergylett.6c01861</w:t>
        </w:r>
      </w:hyperlink>
    </w:p>
    <w:p>
      <w:pPr>
        <w:spacing w:before="0" w:after="120"/>
      </w:pPr>
      <w:r>
        <w:rPr>
          <w:b/>
        </w:rPr>
        <w:t xml:space="preserve">Notes: </w:t>
      </w:r>
      <w:r>
        <w:t>abstract_source=crossref</w:t>
      </w:r>
    </w:p>
    <w:p>
      <w:pPr>
        <w:spacing w:before="0" w:after="80" w:lineRule="auto" w:line="276"/>
      </w:pPr>
      <w:r>
        <w:rPr>
          <w:b/>
        </w:rPr>
        <w:t xml:space="preserve">摘要（ZH）: </w:t>
      </w:r>
      <w:r>
        <w:t>摘要 缺陷和拉伸应变引起的晶界不稳定性阻碍了高性能倒置钙钛矿太阳能电池（PSC）的实现。在这里，我们提出了一种灵活的双向多位点添加剂策略来稳定钙钛矿。利用具有酰肼阳离子、三个羰基和柔性烷基链的6-(2,5-二氧代-2,5-二氢-1H-吡咯-1-基)己酰肼盐酸盐(PHHCl)来操纵钙钛矿的晶界。PHH+中的多个官能团通过丰富的化学键合模式协同参与钝化各种带电缺陷。官能团的双向分布和分子柔性不仅可以增强钙钛矿的晶界。 PHH+ 的缺陷钝化能力，同时还实现了相邻钙钛矿晶粒之间的化学桥接，PHHCl 调制的 1.55 eV 反向 PSC 实现了 27.0% 的认证功率转换效率 (PCE)，并且在连续最大功率点跟踪下具有 1084 小时的 T90 寿命。此外，PHHCl 调制的 1.78 eV 和 1.68 eV PSC 产量。 PCE 分别为 20.3% 和 23.5%。</w:t>
      </w:r>
    </w:p>
    <w:p>
      <w:pPr>
        <w:spacing w:before="0" w:after="200" w:lineRule="auto" w:line="276"/>
      </w:pPr>
      <w:r>
        <w:rPr>
          <w:b/>
        </w:rPr>
        <w:t xml:space="preserve">Abstract (EN): </w:t>
      </w:r>
      <w:r>
        <w:t>The grain boundary instability induced by defects and tensible strain impedes the realization of high-performance inverted perovskite solar cells (PSCs). Here, we propose a flexible bidirectional multisite additive strategy to stabilize perovskite. (6-(2,5-Dioxo-2,5-dihydro-1H-pyrror-1-yl) hexanehydrazide hydrochloride (PHHCl) with a hydrazide cation, three carbonyl groups, and a flexible alkyl chain is leveraged to manipulate the GBs of perovskite. The multiple functional groups in PHH+ synergistically participate in passivating various charged defects via rich chemical bonding modes. The bidirectional distribution of functional groups and molecular flexibility can not only enhance the defect passivation capability of PHH+ but also realize chemical bridging between neighboring perovskite grains. The PHHCl-modulated 1.55 eV inverted PSC accomplishes a certified power conversion efficiency (PCE) of 27.0%, accompanied by exceptional operational stability with a T90 lifetime of 1084 h under continuous maximum power point tracking. Moreover, the PHHCl-modified 1.78 eV and 1.68 eV PSCs yield PCEs of 20.3% and 23.5%, respectively.</w:t>
      </w:r>
    </w:p>
    <w:p>
      <w:pPr>
        <w:spacing w:before="120" w:after="120"/>
      </w:pPr>
      <w:r>
        <w:rPr>
          <w:sz w:val="18"/>
        </w:rPr>
        <w:t>——————————————————————————————————————————————————————————————————————</w:t>
      </w:r>
    </w:p>
    <w:p>
      <w:pPr>
        <w:spacing w:before="160" w:after="40" w:line="240" w:lineRule="auto"/>
      </w:pPr>
      <w:r>
        <w:rPr>
          <w:b/>
        </w:rPr>
        <w:t xml:space="preserve">[44] </w:t>
      </w:r>
      <w:hyperlink r:id="rId65">
        <w:r>
          <w:rPr>
            <w:color w:val="1155CC"/>
            <w:u w:val="single"/>
          </w:rPr>
          <w:t>利用定制的2D/1D堆叠层稳定钙钛矿/电极界面</w:t>
        </w:r>
      </w:hyperlink>
    </w:p>
    <w:p>
      <w:pPr>
        <w:spacing w:before="0" w:after="80"/>
      </w:pPr>
      <w:r>
        <w:rPr>
          <w:i/>
          <w:sz w:val="20"/>
        </w:rPr>
        <w:t>EN: Stabilizing Perovskite/Electrode Interface With Tailored 2D/1D Stacking Layer</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66">
        <w:r>
          <w:rPr>
            <w:color w:val="1155CC"/>
            <w:u w:val="single"/>
          </w:rPr>
          <w:t>10.1002/anie.8387616</w:t>
        </w:r>
      </w:hyperlink>
    </w:p>
    <w:p>
      <w:pPr>
        <w:spacing w:before="0" w:after="120"/>
      </w:pPr>
      <w:r>
        <w:rPr>
          <w:b/>
        </w:rPr>
        <w:t xml:space="preserve">Notes: </w:t>
      </w:r>
      <w:r>
        <w:t>abstract_source=crossref</w:t>
      </w:r>
    </w:p>
    <w:p>
      <w:pPr>
        <w:spacing w:before="0" w:after="80" w:lineRule="auto" w:line="276"/>
      </w:pPr>
      <w:r>
        <w:rPr>
          <w:b/>
        </w:rPr>
        <w:t xml:space="preserve">摘要（ZH）: </w:t>
      </w:r>
      <w:r>
        <w:t>摘要金属卤化物钙钛矿（MHP）单晶在光电应用方面很有前景，但其表面遭受严重的离子迁移相关退化。在此，探索了 2D/1D 堆叠层来稳定晶体/电极界面。除了提供致密的阻挡层之外，插入的二维钙钛矿还可以调节上面的一维钙钛矿层的微观形态和覆盖率。通过定制2D/1D堆叠层，界面碘化物迁移被显着抑制，将单晶钙钛矿太阳能电池（PSC）的T 90 寿命从450小时延长至2500小时，大大超过了之前报道的值。此外，反向偏压引起的性能衰减可以显着恢复，表明有效阻碍了不可逆碘离子在钙钛矿/电极界面上的迁移。最后，表面碘化物空位和非辐射复合损失得到缓解，功率转换效率（PCE）从23.2%提高到25.5%，这是单晶PSC的最高值之​​一。由于界面离子迁移是多晶薄膜和单晶的普遍问题，因此我们的策略对于优化各种钙钛矿光电器件具有指导意义。</w:t>
      </w:r>
    </w:p>
    <w:p>
      <w:pPr>
        <w:spacing w:before="0" w:after="200" w:lineRule="auto" w:line="276"/>
      </w:pPr>
      <w:r>
        <w:rPr>
          <w:b/>
        </w:rPr>
        <w:t xml:space="preserve">Abstract (EN): </w:t>
      </w:r>
      <w:r>
        <w:t>Metal halide perovskite (MHP) single crystals are promising for optoelectronic applications, yet their surfaces suffer from severe ion migration‐related degradation. Herein, a 2D/1D stacking layer is explored to stabilize the crystal/electrode interface. In addition to providing a dense barrier layer, the inserted 2D perovskites can modulate the microscopic morphology and coverage ratio of the overlying 1D perovskite layer. Through tailoring the 2D/1D stacking layer, interface iodide migration is suppressed markedly, extending the T 90 lifetime of single‐crystal perovskite solar cells (PSCs) from 450 h to 2500 h, which significantly exceeds previously reported values. Besides, the reverse‐bias‐induced performance decay can be recovered substantially, indicating effective hindrance of irreversible iodide ion migration across the perovskite/electrode interface. Finally, the surface iodide vacancies and nonradiative recombination loss are mitigated, increasing the power conversion efficiency (PCE) from 23.2% to 25.5%, which is among the highest value for single‐crystal PSCs. Since interface ion migration is a universal issue for both polycrystalline films and single crystals, our strategy is instructive for optimizing diverse perovskite optoelectronic devices.</w:t>
      </w:r>
    </w:p>
    <w:p>
      <w:pPr>
        <w:spacing w:before="120" w:after="120"/>
      </w:pPr>
      <w:r>
        <w:rPr>
          <w:sz w:val="18"/>
        </w:rPr>
        <w:t>——————————————————————————————————————————————————————————————————————</w:t>
      </w:r>
    </w:p>
    <w:p>
      <w:pPr>
        <w:spacing w:before="160" w:after="40" w:line="240" w:lineRule="auto"/>
      </w:pPr>
      <w:r>
        <w:rPr>
          <w:b/>
        </w:rPr>
        <w:t xml:space="preserve">[45] </w:t>
      </w:r>
      <w:hyperlink r:id="rId58">
        <w:r>
          <w:rPr>
            <w:color w:val="1155CC"/>
            <w:u w:val="single"/>
          </w:rPr>
          <w:t>仿生EUK-134协同策略用于钙钛矿太阳能电池的动态循环抗氧化防御与缺陷钝化</w:t>
        </w:r>
      </w:hyperlink>
    </w:p>
    <w:p>
      <w:pPr>
        <w:spacing w:before="0" w:after="80"/>
      </w:pPr>
      <w:r>
        <w:rPr>
          <w:i/>
          <w:sz w:val="20"/>
        </w:rPr>
        <w:t>EN: Biomimetic EUK-134 Synergy Strategy for Dynamic Cyclic Antioxidant Defense and Defect Passivation in Perovskite Solar Cells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58">
        <w:r>
          <w:rPr>
            <w:color w:val="1155CC"/>
            <w:u w:val="single"/>
          </w:rPr>
          <w:t>10.1021/acsami.6c12682</w:t>
        </w:r>
      </w:hyperlink>
    </w:p>
    <w:p>
      <w:pPr>
        <w:spacing w:before="0" w:after="120"/>
      </w:pPr>
      <w:r>
        <w:rPr>
          <w:b/>
        </w:rPr>
        <w:t xml:space="preserve">Notes: </w:t>
      </w:r>
      <w:r>
        <w:t>abstract_source=crossref</w:t>
      </w:r>
    </w:p>
    <w:p>
      <w:pPr>
        <w:spacing w:before="0" w:after="80" w:lineRule="auto" w:line="276"/>
      </w:pPr>
      <w:r>
        <w:rPr>
          <w:b/>
        </w:rPr>
        <w:t xml:space="preserve">摘要（ZH）: </w:t>
      </w:r>
      <w:r>
        <w:t>摘要 有机-无机杂化钙钛矿在光照和氧气暴露下极易氧化降解。主要降解机制涉及光生电子还原吸附的氧，形成高反应性超氧自由基 (O2•–)。这些自由基不仅引发晶格碘化物损失和有机阳离子挥发，而且还产生歧化副产物过氧化氢（H2O2），进一步加速材料分解并严重损害长期稳定性。在这里，我们将仿生酶模拟物EUK-134引入钙钛矿前体溶液中，其具有超氧化物歧化酶（SOD）和过氧化氢酶（CAT）双重活性。它有效清除 O2•– 并分解 H2O2，阻断活性氧 (ROS) 介导的降解途径。同时，EUK-134 中的 Cl- 离子调节钙钛矿结晶并填充碘化物空位，而酚氧基团则钝化欠配位的 Pb2+ 位点。这种协同效应实现了 24.48% 的冠军功率转换效率。值得注意的是，未封装的器件在氮气中老化 2000 小时后仍保留了 90.39% 的初始效率，并在环境条件（25 °C，RH ≈ 40–60%，室内光线）下老化 1000 小时后仍保持 75.45%，显着优于对照器件。这项工作为制造高度稳定和长寿命的光伏器件提供了可靠而强大的策略。</w:t>
      </w:r>
    </w:p>
    <w:p>
      <w:pPr>
        <w:spacing w:before="0" w:after="200" w:lineRule="auto" w:line="276"/>
      </w:pPr>
      <w:r>
        <w:rPr>
          <w:b/>
        </w:rPr>
        <w:t xml:space="preserve">Abstract (EN): </w:t>
      </w:r>
      <w:r>
        <w:t>Organic–inorganic hybrid perovskites are highly susceptible to oxidative degradation under illumination and oxygen exposure. The primary degradation mechanism involves photogenerated electrons reducing adsorbed oxygen to form highly reactive superoxide radicals (O2•–). These radicals not only initiate lattice iodide loss and organic cation volatilization but also produce hydrogen peroxide (H2O2) as a dismutation byproduct, which further accelerates material decomposition and severely compromises long-term stability. Here, we introduce the biomimetic enzyme mimetic EUK-134 into the perovskite precursor solution, which possesses dual superoxide dismutase (SOD) and catalase (CAT) activities. It effectively scavenges O2•– and decomposes H2O2, blocking the reactive oxygen species (ROS)-mediated degradation pathway. Concurrently, the Cl– ions from EUK-134 modulate perovskite crystallization and fill iodide vacancies, whereas the phenolic oxygen groups passivate undercoordinated Pb2+ sites. This synergistic effect achieves a champion power conversion efficiency of 24.48%. Notably, the unencapsulated device retains 90.39% of its initial efficiency after 2000 h of aging in nitrogen and maintains 75.45% after 1000 h under ambient conditions (25 °C, RH ≈ 40–60%, room light), significantly outperforming the control device. This work provides a reliable and powerful strategy for fabricating highly stable and long-lived photovoltaic devices.</w:t>
      </w:r>
    </w:p>
    <w:p>
      <w:pPr>
        <w:spacing w:before="120" w:after="120"/>
      </w:pPr>
      <w:r>
        <w:rPr>
          <w:sz w:val="18"/>
        </w:rPr>
        <w:t>——————————————————————————————————————————————————————————————————————</w:t>
      </w:r>
    </w:p>
    <w:p>
      <w:pPr>
        <w:spacing w:before="160" w:after="40" w:line="240" w:lineRule="auto"/>
      </w:pPr>
      <w:r>
        <w:rPr>
          <w:b/>
        </w:rPr>
        <w:t xml:space="preserve">[46] </w:t>
      </w:r>
      <w:hyperlink r:id="rId60">
        <w:r>
          <w:rPr>
            <w:color w:val="1155CC"/>
            <w:u w:val="single"/>
          </w:rPr>
          <w:t>传统有机太阳能电池中PDINN/Ag阴极界面双热失效路径的解耦</w:t>
        </w:r>
      </w:hyperlink>
    </w:p>
    <w:p>
      <w:pPr>
        <w:spacing w:before="0" w:after="80"/>
      </w:pPr>
      <w:r>
        <w:rPr>
          <w:i/>
          <w:sz w:val="20"/>
        </w:rPr>
        <w:t>EN: Decoupling the Dual Thermal Failure Pathways at the PDINN/Ag Cathode Interface in Conventional Organic Solar Cells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60">
        <w:r>
          <w:rPr>
            <w:color w:val="1155CC"/>
            <w:u w:val="single"/>
          </w:rPr>
          <w:t>10.1021/acsami.6c12107</w:t>
        </w:r>
      </w:hyperlink>
    </w:p>
    <w:p>
      <w:pPr>
        <w:spacing w:before="0" w:after="120"/>
      </w:pPr>
      <w:r>
        <w:rPr>
          <w:b/>
        </w:rPr>
        <w:t xml:space="preserve">Notes: </w:t>
      </w:r>
      <w:r>
        <w:t>abstract_source=crossref</w:t>
      </w:r>
    </w:p>
    <w:p>
      <w:pPr>
        <w:spacing w:before="0" w:after="80" w:lineRule="auto" w:line="276"/>
      </w:pPr>
      <w:r>
        <w:rPr>
          <w:b/>
        </w:rPr>
        <w:t xml:space="preserve">摘要（ZH）: </w:t>
      </w:r>
      <w:r>
        <w:t>摘要 有机太阳能电池（OSC）的传统结构虽然可以提高功率转换效率（PCE），但热稳定性较差，这主要是由于对阴极侧界面退化的了解不够。在此，我们系统地研究了具有 PM6:L8-BO/PDINN/Ag 配置的传统 OSC 中广泛使用的电子传输层 PDINN 的热失效机制。我们确定了一个两阶段的降解途径：在初始加热阶段，PDINN 降解会在阴极接触附近的相邻有源层中诱导 n 型掺杂，从而降低短路电流密度 (JSC)。在长时间的热应力下，Ag− 迁移通过 PDINN 夹层，产生深空穴陷阱并改变阴极功函数。由此产生的 PM6:L8-BO/PDINN/Ag 界面处的能级不匹配极大地增加了电子提取势垒，加剧了电荷复合，并导致开路电压 (VOC) 和填充因子 (FF) 显着损失。在这种机理理解的指导下，我们在有源层和 PDINN 之间引入热蒸发的 C60/SnO2 双层作为扩散阻挡中间层。修改后的器件在 85 °C 下连续加热 1000 小时后保留了其初始 PCE 的 80%（初始 PCE：16.96%），与未修改的参考器件（T80）的快速降解形成鲜明对比。</w:t>
      </w:r>
    </w:p>
    <w:p>
      <w:pPr>
        <w:spacing w:before="0" w:after="200" w:lineRule="auto" w:line="276"/>
      </w:pPr>
      <w:r>
        <w:rPr>
          <w:b/>
        </w:rPr>
        <w:t xml:space="preserve">Abstract (EN): </w:t>
      </w:r>
      <w:r>
        <w:t>The conventional architecture of organic solar cells (OSCs) results in power conversion efficiency (PCE) but suffers from poor thermal stability, largely due to insufficiently understood interfacial degradation at the cathode side. Herein, we systematically investigate the thermal failure mechanisms of the widely used electron transport layer PDINN in conventional OSCs with a PM6:L8-BO/PDINN/Ag configuration. We identify a two-stage degradation pathway: In the initial heating phase, PDINN degradation induces n-type doping in the adjacent active layer near the cathode contact, reducing the short-circuit current density (JSC). Upon prolonged thermal stress, Ag− migrates through the PDINN interlayer, generating deep hole traps and shifting the cathode work function. The resulting energy level mismatch at the PM6:L8-BO/PDINN/Ag interface dramatically increases the electron extraction barrier, intensifying charge recombination and causing substantial losses in both open-circuit voltage (VOC) and fill factor (FF). Guided by this mechanistic understanding, we introduce a thermally evaporated C60/SnO2 bilayer between the active layer and PDINN as a diffusion-blocking interlayer. The modified devices retain 80% of their initial PCE (initial PCE: 16.96%) after continuous heating at 85 °C for 1000 h, in stark contrast to the rapid degradation of unmodified reference devices (T80</w:t>
      </w:r>
    </w:p>
    <w:p>
      <w:pPr>
        <w:spacing w:before="120" w:after="120"/>
      </w:pPr>
      <w:r>
        <w:rPr>
          <w:sz w:val="18"/>
        </w:rPr>
        <w:t>——————————————————————————————————————————————————————————————————————</w:t>
      </w:r>
    </w:p>
    <w:p>
      <w:pPr>
        <w:spacing w:before="160" w:after="40" w:line="240" w:lineRule="auto"/>
      </w:pPr>
      <w:r>
        <w:rPr>
          <w:b/>
        </w:rPr>
        <w:t xml:space="preserve">[47] </w:t>
      </w:r>
      <w:hyperlink r:id="rId67">
        <w:r>
          <w:rPr>
            <w:color w:val="1155CC"/>
            <w:u w:val="single"/>
          </w:rPr>
          <w:t>高性能倒置钙钛矿太阳能电池电子传输层的非退火处理机制</w:t>
        </w:r>
      </w:hyperlink>
    </w:p>
    <w:p>
      <w:pPr>
        <w:spacing w:before="0" w:after="80"/>
      </w:pPr>
      <w:r>
        <w:rPr>
          <w:i/>
          <w:sz w:val="20"/>
        </w:rPr>
        <w:t>EN: Non-Annealing Treatment Mechanism of Electron Transport Layers for High-Performance Inverted Perovskite Solar Cells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67">
        <w:r>
          <w:rPr>
            <w:color w:val="1155CC"/>
            <w:u w:val="single"/>
          </w:rPr>
          <w:t>10.1021/acsami.6c14682</w:t>
        </w:r>
      </w:hyperlink>
    </w:p>
    <w:p>
      <w:pPr>
        <w:spacing w:before="0" w:after="120"/>
      </w:pPr>
      <w:r>
        <w:rPr>
          <w:b/>
        </w:rPr>
        <w:t xml:space="preserve">Notes: </w:t>
      </w:r>
      <w:r>
        <w:t>abstract_source=crossref</w:t>
      </w:r>
    </w:p>
    <w:p>
      <w:pPr>
        <w:spacing w:before="0" w:after="80" w:lineRule="auto" w:line="276"/>
      </w:pPr>
      <w:r>
        <w:rPr>
          <w:b/>
        </w:rPr>
        <w:t xml:space="preserve">摘要（ZH）: </w:t>
      </w:r>
      <w:r>
        <w:t>摘要 倒置钙钛矿太阳能电池（IPSC）因其优异的光电性能在光伏领域展现出巨大的潜力。然而，IPSC中广泛使用的[6,6]-苯基-C61-丁酸甲酯（PCBM）电子传输层存在钝化效果差、薄膜覆盖不足和能级排列不理想等问题，并且PCBM退火处理对器件性能的影响很少被研究。因此，在这项工作中，我们系统地研究了有或没有热退火工艺的PCBM（例如退火PCBM或非退火PCBM）对IPSC器件性能的影响。令人惊讶的是，我们发现PCBM的退火处理可能导致钙钛矿晶格的塌陷并产生PbI2，而未退火的PCBM在钙钛矿表面表现出均匀的表面形貌和更高的覆盖完整性。此外，采用非退火PCBM的器件具有更高的电子迁移率和更低的陷阱态密度。最终，基于非退火PCBM的IPSC实现了25.37%的最高功率转换效率（PCE），并具有较长的空气稳定性，在环境空气中储存1360小时后仍保留了88.4%的初始效率。</w:t>
      </w:r>
    </w:p>
    <w:p>
      <w:pPr>
        <w:spacing w:before="0" w:after="200" w:lineRule="auto" w:line="276"/>
      </w:pPr>
      <w:r>
        <w:rPr>
          <w:b/>
        </w:rPr>
        <w:t xml:space="preserve">Abstract (EN): </w:t>
      </w:r>
      <w:r>
        <w:t>Inverted perovskite solar cells (IPSCs) have presented great potential in the photovoltaic field due to their outstanding optoelectronic properties. However, the widely used electron transport layer of [6,6]-phenyl-C61-butyric acid methyl ester (PCBM) in IPSCs presents some issues such as poor passivation effect, insufficient film coverage, and suboptimal energy-level alignment, and the influence of annealing treatment of PCBM on device performance has rarely been investigated. Therefore, in this work, we systematically study the influence of PCBM with or without the thermal annealing process (e.g., annealed PCBM or non-annealed PCBM) on the device performance of IPSCs. Surprisingly, it is found that the annealing treatment of PCBM potentially leads to collapse of the perovskite lattice and generation of PbI2, whereas the non-annealed PCBM exhibits uniform surface morphology and higher coverage integrity at the perovskite surface. Moreover, the device with non-annealed PCBM presents higher electron mobility and lower trap state density. Ultimately, IPSCs based on non-annealed PCBM achieve the highest power conversion efficiency (PCE) of 25.37%, accompanied by prolonged air stability, retaining 88.4% of the initial efficiency after being stored for 1360 h under ambient air.</w:t>
      </w:r>
    </w:p>
    <w:p>
      <w:pPr>
        <w:spacing w:before="120" w:after="120"/>
      </w:pPr>
      <w:r>
        <w:rPr>
          <w:sz w:val="18"/>
        </w:rPr>
        <w:t>——————————————————————————————————————————————————————————————————————</w:t>
      </w:r>
    </w:p>
    <w:p>
      <w:pPr>
        <w:spacing w:before="160" w:after="40" w:line="240" w:lineRule="auto"/>
      </w:pPr>
      <w:r>
        <w:rPr>
          <w:b/>
        </w:rPr>
        <w:t xml:space="preserve">[48] </w:t>
      </w:r>
      <w:hyperlink r:id="rId68">
        <w:r>
          <w:rPr>
            <w:color w:val="1155CC"/>
            <w:u w:val="single"/>
          </w:rPr>
          <w:t>基于介孔Al2O3的埋底界面缺陷钝化用于高效倒置钙钛矿太阳能电池</w:t>
        </w:r>
      </w:hyperlink>
    </w:p>
    <w:p>
      <w:pPr>
        <w:spacing w:before="0" w:after="80"/>
      </w:pPr>
      <w:r>
        <w:rPr>
          <w:i/>
          <w:sz w:val="20"/>
        </w:rPr>
        <w:t>EN: Defect Passivation of Mesoporous Al2O3-Based Buried Interface for Efficient Inverted Perovskite Solar Cells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68">
        <w:r>
          <w:rPr>
            <w:color w:val="1155CC"/>
            <w:u w:val="single"/>
          </w:rPr>
          <w:t>10.1021/acsami.6c13869</w:t>
        </w:r>
      </w:hyperlink>
    </w:p>
    <w:p>
      <w:pPr>
        <w:spacing w:before="0" w:after="120"/>
      </w:pPr>
      <w:r>
        <w:rPr>
          <w:b/>
        </w:rPr>
        <w:t xml:space="preserve">Notes: </w:t>
      </w:r>
      <w:r>
        <w:t>abstract_source=crossref</w:t>
      </w:r>
    </w:p>
    <w:p>
      <w:pPr>
        <w:spacing w:before="0" w:after="80" w:lineRule="auto" w:line="276"/>
      </w:pPr>
      <w:r>
        <w:rPr>
          <w:b/>
        </w:rPr>
        <w:t xml:space="preserve">摘要（ZH）: </w:t>
      </w:r>
      <w:r>
        <w:t>摘要 空穴传输层和钙钛矿之间的埋入界面工程仍然是倒置钙钛矿太阳能电池（IPSC）的关键挑战。基于Al2O3的界面改性提供了优异的界面稳定性和离子阻挡能力；然而，其绝缘性质和化学惰性限制了掩埋界面处的有效载流子传输调制和缺陷调节。在这里，通过将苯乙基溴化铵（PEABr）掺入超薄Al2O3基体中，开发了一种协同界面工程策略，在NiOX/钙钛矿埋入界面处构建多功能复合中间层。引入的 PEABr 通过形成界面准 2D/3D 钙钛矿异质结构以化学方式重建埋入界面。来自 PEABr 的溴化物与欠配位的 Pb2+ 位点相互作用并补偿碘空位相关的缺陷，而苯乙铵 (PEA+) 阳离子参与构建准二维界面相，从而优化能级排列并促进 NiOX/钙钛矿异质结上的有效空穴提取。此外，PEABr诱导的准2D/3D界面结构提高了载流子选择性并抑制界面复合，从而增强了载流子收集。电子特性表明，复合中间层将电荷转移电阻从 462.81 kΩ 降低至 279.65 kΩ，将内建电势从 0.617 V 增加至 0.703 V，并将理想因子从 2.44 降低至 1.63，从而实现冠军功率转换效率</w:t>
      </w:r>
    </w:p>
    <w:p>
      <w:pPr>
        <w:spacing w:before="0" w:after="200" w:lineRule="auto" w:line="276"/>
      </w:pPr>
      <w:r>
        <w:rPr>
          <w:b/>
        </w:rPr>
        <w:t xml:space="preserve">Abstract (EN): </w:t>
      </w:r>
      <w:r>
        <w:t>Buried interface engineering between the hole transport layer and perovskite remains a critical challenge for inverted perovskite solar cells (IPSCs). Al2O3-based interface modification provides excellent interfacial stability and ion-blocking capability; however, its insulating nature and chemical inertness limit effective carrier transport modulation and defect regulation at the buried interface. Here, a synergistic interface engineering strategy is developed by incorporating phenethylammonium bromide (PEABr) into an ultrathin Al2O3 matrix to construct a multifunctional composite interlayer at the NiOX/perovskite buried interface. The introduced PEABr chemically reconstructs the buried interface through the formation of an interfacial quasi-2D/3D perovskite heterostructure. Bromide species derived from PEABr interact with undercoordinated Pb2+ sites and compensate iodine-vacancy-related defects, while phenethylammonium (PEA+) cations participate in constructing the quasi-2D interfacial phase, which optimizes energy-level alignment and promotes efficient hole extraction across the NiOX/perovskite heterojunction. Moreover, the PEABr-induced quasi-2D/3D interfacial structure improves carrier selectivity and suppresses interfacial recombination, thereby enhancing carrier collection. Electronic characterizations demonstrate that the composite interlayer reduces the charge-transfer resistance from 462.81 to 279.65 kΩ, increases the built-in potential from 0.617 to 0.703 V, and decreases the ideality factor from 2.44 to 1.63, enabling a champion power conversion efficiency of 21.34% for IPSCs. This work provides a feasible strategy for constructing multifunctional oxide-based buried interfaces through simultaneous defect regulation, energy-level optimization, and efficient carrier extraction.</w:t>
      </w:r>
    </w:p>
    <w:p>
      <w:pPr>
        <w:spacing w:before="120" w:after="120"/>
      </w:pPr>
      <w:r>
        <w:rPr>
          <w:sz w:val="18"/>
        </w:rPr>
        <w:t>——————————————————————————————————————————————————————————————————————</w:t>
      </w:r>
    </w:p>
    <w:p>
      <w:pPr>
        <w:spacing w:before="160" w:after="40" w:line="240" w:lineRule="auto"/>
      </w:pPr>
      <w:r>
        <w:rPr>
          <w:b/>
        </w:rPr>
        <w:t xml:space="preserve">[49] </w:t>
      </w:r>
      <w:hyperlink r:id="rId64">
        <w:r>
          <w:rPr>
            <w:color w:val="1155CC"/>
            <w:u w:val="single"/>
          </w:rPr>
          <w:t>利用柔性双向多位肼类阳离子稳定晶界实现高性能倒置钙钛矿太阳能电池</w:t>
        </w:r>
      </w:hyperlink>
    </w:p>
    <w:p>
      <w:pPr>
        <w:spacing w:before="0" w:after="80"/>
      </w:pPr>
      <w:r>
        <w:rPr>
          <w:i/>
          <w:sz w:val="20"/>
        </w:rPr>
        <w:t>EN: Stabilizing Grain Boundaries by Flexible Bidirectional Multisite Hydrazide Cations toward High-Performance Inverted Perovskite Solar Cells</w:t>
      </w:r>
    </w:p>
    <w:p>
      <w:pPr>
        <w:spacing w:before="0" w:after="120"/>
      </w:pPr>
      <w:r>
        <w:rPr>
          <w:b/>
        </w:rPr>
        <w:t xml:space="preserve">Source: </w:t>
      </w:r>
      <w:r>
        <w:t>ACS Energy Letters</w:t>
      </w:r>
      <w:r>
        <w:t xml:space="preserve">    </w:t>
      </w:r>
      <w:r>
        <w:rPr>
          <w:b/>
        </w:rPr>
        <w:t xml:space="preserve">Pub date: </w:t>
      </w:r>
      <w:r>
        <w:t>2026-09-03 00:00:00+00:00</w:t>
      </w:r>
      <w:r>
        <w:t xml:space="preserve">    </w:t>
      </w:r>
      <w:r>
        <w:rPr>
          <w:b/>
        </w:rPr>
        <w:t xml:space="preserve">DOI: </w:t>
      </w:r>
      <w:hyperlink r:id="rId64">
        <w:r>
          <w:rPr>
            <w:color w:val="1155CC"/>
            <w:u w:val="single"/>
          </w:rPr>
          <w:t>10.1021/acsenergylett.6c01861</w:t>
        </w:r>
      </w:hyperlink>
    </w:p>
    <w:p>
      <w:pPr>
        <w:spacing w:before="0" w:after="120"/>
      </w:pPr>
      <w:r>
        <w:rPr>
          <w:b/>
        </w:rPr>
        <w:t xml:space="preserve">Notes: </w:t>
      </w:r>
      <w:r>
        <w:t>abstract_source=crossref</w:t>
      </w:r>
    </w:p>
    <w:p>
      <w:pPr>
        <w:spacing w:before="0" w:after="80" w:lineRule="auto" w:line="276"/>
      </w:pPr>
      <w:r>
        <w:rPr>
          <w:b/>
        </w:rPr>
        <w:t xml:space="preserve">摘要（ZH）: </w:t>
      </w:r>
      <w:r>
        <w:t>摘要 缺陷和拉伸应变引起的晶界不稳定性阻碍了高性能倒置钙钛矿太阳能电池（PSC）的实现。在这里，我们提出了一种灵活的双向多位点添加剂策略来稳定钙钛矿。利用具有酰肼阳离子、三个羰基和柔性烷基链的6-(2,5-二氧代-2,5-二氢-1H-吡咯-1-基)己酰肼盐酸盐(PHHCl)来操纵钙钛矿的晶界。PHH+中的多个官能团通过丰富的化学键合模式协同参与钝化各种带电缺陷。官能团的双向分布和分子柔性不仅可以增强钙钛矿的晶界。 PHH+ 的缺陷钝化能力，同时还实现了相邻钙钛矿晶粒之间的化学桥接，PHHCl 调制的 1.55 eV 反向 PSC 实现了 27.0% 的认证功率转换效率 (PCE)，并且在连续最大功率点跟踪下具有 1084 小时的 T90 寿命。此外，PHHCl 调制的 1.78 eV 和 1.68 eV PSC 产量。 PCE 分别为 20.3% 和 23.5%。</w:t>
      </w:r>
    </w:p>
    <w:p>
      <w:pPr>
        <w:spacing w:before="0" w:after="200" w:lineRule="auto" w:line="276"/>
      </w:pPr>
      <w:r>
        <w:rPr>
          <w:b/>
        </w:rPr>
        <w:t xml:space="preserve">Abstract (EN): </w:t>
      </w:r>
      <w:r>
        <w:t>The grain boundary instability induced by defects and tensible strain impedes the realization of high-performance inverted perovskite solar cells (PSCs). Here, we propose a flexible bidirectional multisite additive strategy to stabilize perovskite. (6-(2,5-Dioxo-2,5-dihydro-1H-pyrror-1-yl) hexanehydrazide hydrochloride (PHHCl) with a hydrazide cation, three carbonyl groups, and a flexible alkyl chain is leveraged to manipulate the GBs of perovskite. The multiple functional groups in PHH+ synergistically participate in passivating various charged defects via rich chemical bonding modes. The bidirectional distribution of functional groups and molecular flexibility can not only enhance the defect passivation capability of PHH+ but also realize chemical bridging between neighboring perovskite grains. The PHHCl-modulated 1.55 eV inverted PSC accomplishes a certified power conversion efficiency (PCE) of 27.0%, accompanied by exceptional operational stability with a T90 lifetime of 1084 h under continuous maximum power point tracking. Moreover, the PHHCl-modified 1.78 eV and 1.68 eV PSCs yield PCEs of 20.3% and 23.5%, respectively.</w:t>
      </w:r>
    </w:p>
    <w:p>
      <w:pPr>
        <w:spacing w:before="120" w:after="120"/>
      </w:pPr>
      <w:r>
        <w:rPr>
          <w:sz w:val="18"/>
        </w:rPr>
        <w:t>——————————————————————————————————————————————————————————————————————</w:t>
      </w:r>
    </w:p>
    <w:p>
      <w:pPr>
        <w:spacing w:before="160" w:after="40" w:line="240" w:lineRule="auto"/>
      </w:pPr>
      <w:r>
        <w:rPr>
          <w:b/>
        </w:rPr>
        <w:t xml:space="preserve">[50] </w:t>
      </w:r>
      <w:hyperlink r:id="rId69">
        <w:r>
          <w:rPr>
            <w:color w:val="1155CC"/>
            <w:u w:val="single"/>
          </w:rPr>
          <w:t>锡卤化物钙钛矿光伏器件的效率与耐久性</w:t>
        </w:r>
      </w:hyperlink>
    </w:p>
    <w:p>
      <w:pPr>
        <w:spacing w:before="0" w:after="80"/>
      </w:pPr>
      <w:r>
        <w:rPr>
          <w:i/>
          <w:sz w:val="20"/>
        </w:rPr>
        <w:t>EN: Efficiency and durability of tin halide perovskite photovoltaics</w:t>
      </w:r>
    </w:p>
    <w:p>
      <w:pPr>
        <w:spacing w:before="0" w:after="120"/>
      </w:pPr>
      <w:r>
        <w:rPr>
          <w:b/>
        </w:rPr>
        <w:t xml:space="preserve">Source: </w:t>
      </w:r>
      <w:r>
        <w:t>Nature Reviews Clean Technology</w:t>
      </w:r>
      <w:r>
        <w:t xml:space="preserve">    </w:t>
      </w:r>
      <w:r>
        <w:rPr>
          <w:b/>
        </w:rPr>
        <w:t xml:space="preserve">Pub date: </w:t>
      </w:r>
      <w:r>
        <w:t>2026-09-03 00:00:00+00:00</w:t>
      </w:r>
      <w:r>
        <w:t xml:space="preserve">    </w:t>
      </w:r>
      <w:r>
        <w:rPr>
          <w:b/>
        </w:rPr>
        <w:t xml:space="preserve">DOI: </w:t>
      </w:r>
      <w:hyperlink r:id="rId70">
        <w:r>
          <w:rPr>
            <w:color w:val="1155CC"/>
            <w:u w:val="single"/>
          </w:rPr>
          <w:t>10.1038/s44359-026-00210-0</w:t>
        </w:r>
      </w:hyperlink>
    </w:p>
    <w:p>
      <w:pPr>
        <w:spacing w:before="0" w:after="120"/>
      </w:pPr>
      <w:r>
        <w:rPr>
          <w:b/>
        </w:rPr>
        <w:t xml:space="preserve">Notes: </w:t>
      </w:r>
      <w:r>
        <w:t>abstract_source=rss_nature</w:t>
      </w:r>
    </w:p>
    <w:p>
      <w:pPr>
        <w:spacing w:before="0" w:after="80" w:lineRule="auto" w:line="276"/>
      </w:pPr>
      <w:r>
        <w:rPr>
          <w:b/>
        </w:rPr>
        <w:t xml:space="preserve">摘要（ZH）: </w:t>
      </w:r>
      <w:r>
        <w:t>卤化锡钙钛矿是传统钙钛矿光伏电池的无铅替代品，但其效率因容易形成缺陷和氧化而受到限制。本综述研究了可以利用这些材料实现商业上可行的光伏发电的材料和设备工程策略。</w:t>
      </w:r>
    </w:p>
    <w:p>
      <w:pPr>
        <w:spacing w:before="0" w:after="200" w:lineRule="auto" w:line="276"/>
      </w:pPr>
      <w:r>
        <w:rPr>
          <w:b/>
        </w:rPr>
        <w:t xml:space="preserve">Abstract (EN): </w:t>
      </w:r>
      <w:r>
        <w:t>Tin halide perovskites are lead-free alternatives to traditional perovskite photovoltaics but their efficiency is limited by easy defect formation and oxidation. This Review examines materials and device engineering strategies that could enable commercially viable photovoltaics from these materials.</w:t>
      </w:r>
    </w:p>
    <w:p>
      <w:pPr>
        <w:spacing w:before="120" w:after="120"/>
      </w:pPr>
      <w:r>
        <w:rPr>
          <w:sz w:val="18"/>
        </w:rPr>
        <w:t>——————————————————————————————————————————————————————————————————————</w:t>
      </w:r>
    </w:p>
    <w:p>
      <w:pPr>
        <w:spacing w:before="160" w:after="40" w:line="240" w:lineRule="auto"/>
      </w:pPr>
      <w:r>
        <w:rPr>
          <w:b/>
        </w:rPr>
        <w:t xml:space="preserve">[51] </w:t>
      </w:r>
      <w:hyperlink r:id="rId71">
        <w:r>
          <w:rPr>
            <w:color w:val="1155CC"/>
            <w:u w:val="single"/>
          </w:rPr>
          <w:t>八面体连接性重构界面载流子选择性特性以实现高效钙钛矿太阳能电池</w:t>
        </w:r>
      </w:hyperlink>
    </w:p>
    <w:p>
      <w:pPr>
        <w:spacing w:before="0" w:after="80"/>
      </w:pPr>
      <w:r>
        <w:rPr>
          <w:i/>
          <w:sz w:val="20"/>
        </w:rPr>
        <w:t>EN: Octahedral connectivity reconfigures interfacial carrier-selective properties for efficient perovskite solar cells</w:t>
      </w:r>
    </w:p>
    <w:p>
      <w:pPr>
        <w:spacing w:before="0" w:after="120"/>
      </w:pPr>
      <w:r>
        <w:rPr>
          <w:b/>
        </w:rPr>
        <w:t xml:space="preserve">Source: </w:t>
      </w:r>
      <w:r>
        <w:t>Nature Materials</w:t>
      </w:r>
      <w:r>
        <w:t xml:space="preserve">    </w:t>
      </w:r>
      <w:r>
        <w:rPr>
          <w:b/>
        </w:rPr>
        <w:t xml:space="preserve">Pub date: </w:t>
      </w:r>
      <w:r>
        <w:t>2026-09-03 00:00:00+00:00</w:t>
      </w:r>
      <w:r>
        <w:t xml:space="preserve">    </w:t>
      </w:r>
      <w:r>
        <w:rPr>
          <w:b/>
        </w:rPr>
        <w:t xml:space="preserve">DOI: </w:t>
      </w:r>
      <w:hyperlink r:id="rId72">
        <w:r>
          <w:rPr>
            <w:color w:val="1155CC"/>
            <w:u w:val="single"/>
          </w:rPr>
          <w:t>10.1038/s41563-026-02722-3</w:t>
        </w:r>
      </w:hyperlink>
    </w:p>
    <w:p>
      <w:pPr>
        <w:spacing w:before="0" w:after="120"/>
      </w:pPr>
      <w:r>
        <w:rPr>
          <w:b/>
        </w:rPr>
        <w:t xml:space="preserve">Notes: </w:t>
      </w:r>
      <w:r>
        <w:t>abstract_source=rss_nature</w:t>
      </w:r>
    </w:p>
    <w:p>
      <w:pPr>
        <w:spacing w:before="0" w:after="80" w:lineRule="auto" w:line="276"/>
      </w:pPr>
      <w:r>
        <w:rPr>
          <w:b/>
        </w:rPr>
        <w:t xml:space="preserve">摘要（ZH）: </w:t>
      </w:r>
      <w:r>
        <w:t>调节界面特性有助于提高钙钛矿太阳能电池的性能，但需要外在化学掺杂。基于有机阳离子诱导的碘化铅八面体连接重构的策略可有效调节载流子选择性界面，无需外在掺杂剂，从而实现高效稳定的太阳能电池。</w:t>
      </w:r>
    </w:p>
    <w:p>
      <w:pPr>
        <w:spacing w:before="0" w:after="200" w:lineRule="auto" w:line="276"/>
      </w:pPr>
      <w:r>
        <w:rPr>
          <w:b/>
        </w:rPr>
        <w:t xml:space="preserve">Abstract (EN): </w:t>
      </w:r>
      <w:r>
        <w:t>Regulating interfacial properties helps to improve the performance of perovskite solar cells but requires extrinsic chemical doping. A strategy based on an organic-cation-induced reconfiguration of lead iodide octahedral connectivity effectively regulates the carrier-selective interface without extrinsic dopants, achieving efficient and stable solar cells.</w:t>
      </w:r>
    </w:p>
    <w:p>
      <w:pPr>
        <w:spacing w:before="120" w:after="120"/>
      </w:pPr>
      <w:r>
        <w:rPr>
          <w:sz w:val="18"/>
        </w:rPr>
        <w:t>——————————————————————————————————————————————————————————————————————</w:t>
      </w:r>
    </w:p>
    <w:p>
      <w:pPr>
        <w:spacing w:before="160" w:after="40" w:line="240" w:lineRule="auto"/>
      </w:pPr>
      <w:r>
        <w:rPr>
          <w:b/>
        </w:rPr>
        <w:t xml:space="preserve">[52] </w:t>
      </w:r>
      <w:hyperlink r:id="rId66">
        <w:r>
          <w:rPr>
            <w:color w:val="1155CC"/>
            <w:u w:val="single"/>
          </w:rPr>
          <w:t>利用定制化的2D/1D堆叠层稳定钙钛矿/电极界面</w:t>
        </w:r>
      </w:hyperlink>
    </w:p>
    <w:p>
      <w:pPr>
        <w:spacing w:before="0" w:after="80"/>
      </w:pPr>
      <w:r>
        <w:rPr>
          <w:i/>
          <w:sz w:val="20"/>
        </w:rPr>
        <w:t>EN: Stabilizing Perovskite/Electrode Interface With Tailored 2D/1D Stacking Layer</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66">
        <w:r>
          <w:rPr>
            <w:color w:val="1155CC"/>
            <w:u w:val="single"/>
          </w:rPr>
          <w:t>10.1002/anie.8387616</w:t>
        </w:r>
      </w:hyperlink>
    </w:p>
    <w:p>
      <w:pPr>
        <w:spacing w:before="0" w:after="120"/>
      </w:pPr>
      <w:r>
        <w:rPr>
          <w:b/>
        </w:rPr>
        <w:t xml:space="preserve">Notes: </w:t>
      </w:r>
      <w:r>
        <w:t>abstract_source=crossref</w:t>
      </w:r>
    </w:p>
    <w:p>
      <w:pPr>
        <w:spacing w:before="0" w:after="80" w:lineRule="auto" w:line="276"/>
      </w:pPr>
      <w:r>
        <w:rPr>
          <w:b/>
        </w:rPr>
        <w:t xml:space="preserve">摘要（ZH）: </w:t>
      </w:r>
      <w:r>
        <w:t>摘要金属卤化物钙钛矿（MHP）单晶在光电应用方面很有前景，但其表面遭受严重的离子迁移相关退化。在此，探索了 2D/1D 堆叠层来稳定晶体/电极界面。除了提供致密的阻挡层之外，插入的二维钙钛矿还可以调节上面的一维钙钛矿层的微观形态和覆盖率。通过定制2D/1D堆叠层，界面碘化物迁移被显着抑制，将单晶钙钛矿太阳能电池（PSC）的T 90 寿命从450小时延长至2500小时，大大超过了之前报道的值。此外，反向偏压引起的性能衰减可以显着恢复，表明有效阻碍了不可逆碘离子在钙钛矿/电极界面上的迁移。最后，表面碘化物空位和非辐射复合损失得到缓解，功率转换效率（PCE）从23.2%提高到25.5%，这是单晶PSC的最高值之​​一。由于界面离子迁移是多晶薄膜和单晶的普遍问题，因此我们的策略对于优化各种钙钛矿光电器件具有指导意义。</w:t>
      </w:r>
    </w:p>
    <w:p>
      <w:pPr>
        <w:spacing w:before="0" w:after="200" w:lineRule="auto" w:line="276"/>
      </w:pPr>
      <w:r>
        <w:rPr>
          <w:b/>
        </w:rPr>
        <w:t xml:space="preserve">Abstract (EN): </w:t>
      </w:r>
      <w:r>
        <w:t>Metal halide perovskite (MHP) single crystals are promising for optoelectronic applications, yet their surfaces suffer from severe ion migration‐related degradation. Herein, a 2D/1D stacking layer is explored to stabilize the crystal/electrode interface. In addition to providing a dense barrier layer, the inserted 2D perovskites can modulate the microscopic morphology and coverage ratio of the overlying 1D perovskite layer. Through tailoring the 2D/1D stacking layer, interface iodide migration is suppressed markedly, extending the T 90 lifetime of single‐crystal perovskite solar cells (PSCs) from 450 h to 2500 h, which significantly exceeds previously reported values. Besides, the reverse‐bias‐induced performance decay can be recovered substantially, indicating effective hindrance of irreversible iodide ion migration across the perovskite/electrode interface. Finally, the surface iodide vacancies and nonradiative recombination loss are mitigated, increasing the power conversion efficiency (PCE) from 23.2% to 25.5%, which is among the highest value for single‐crystal PSCs. Since interface ion migration is a universal issue for both polycrystalline films and single crystals, our strategy is instructive for optimizing diverse perovskite optoelectronic devices.</w:t>
      </w:r>
    </w:p>
    <w:p>
      <w:pPr>
        <w:spacing w:before="120" w:after="120"/>
      </w:pPr>
      <w:r>
        <w:rPr>
          <w:sz w:val="18"/>
        </w:rPr>
        <w:t>——————————————————————————————————————————————————————————————————————</w:t>
      </w:r>
    </w:p>
    <w:p>
      <w:pPr>
        <w:spacing w:before="160" w:after="40" w:line="240" w:lineRule="auto"/>
      </w:pPr>
      <w:r>
        <w:rPr>
          <w:b/>
        </w:rPr>
        <w:t xml:space="preserve">[53] </w:t>
      </w:r>
      <w:hyperlink r:id="rId73">
        <w:r>
          <w:rPr>
            <w:color w:val="1155CC"/>
            <w:u w:val="single"/>
          </w:rPr>
          <w:t>高性能倒钙钛矿太阳能电池电子传输层的非退火处理机制</w:t>
        </w:r>
      </w:hyperlink>
    </w:p>
    <w:p>
      <w:pPr>
        <w:spacing w:before="0" w:after="80"/>
      </w:pPr>
      <w:r>
        <w:rPr>
          <w:i/>
          <w:sz w:val="20"/>
        </w:rPr>
        <w:t>EN: Non-Annealing Treatment Mechanism of Electron Transport Layers for High-Performance Inverted Perovskite Solar Cells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67">
        <w:r>
          <w:rPr>
            <w:color w:val="1155CC"/>
            <w:u w:val="single"/>
          </w:rPr>
          <w:t>10.1021/acsami.6c14682</w:t>
        </w:r>
      </w:hyperlink>
    </w:p>
    <w:p>
      <w:pPr>
        <w:spacing w:before="0" w:after="120"/>
      </w:pPr>
      <w:r>
        <w:rPr>
          <w:b/>
        </w:rPr>
        <w:t xml:space="preserve">Notes: </w:t>
      </w:r>
      <w:r>
        <w:t>abstract_source=crossref</w:t>
      </w:r>
    </w:p>
    <w:p>
      <w:pPr>
        <w:spacing w:before="0" w:after="80" w:lineRule="auto" w:line="276"/>
      </w:pPr>
      <w:r>
        <w:rPr>
          <w:b/>
        </w:rPr>
        <w:t xml:space="preserve">摘要（ZH）: </w:t>
      </w:r>
      <w:r>
        <w:t>摘要 倒置钙钛矿太阳能电池（IPSC）因其优异的光电性能在光伏领域展现出巨大的潜力。然而，IPSC中广泛使用的[6,6]-苯基-C61-丁酸甲酯（PCBM）电子传输层存在钝化效果差、薄膜覆盖不足和能级排列不理想等问题，并且PCBM退火处理对器件性能的影响很少被研究。因此，在这项工作中，我们系统地研究了有或没有热退火工艺的PCBM（例如退火PCBM或非退火PCBM）对IPSC器件性能的影响。令人惊讶的是，我们发现PCBM的退火处理可能导致钙钛矿晶格的塌陷并产生PbI2，而未退火的PCBM在钙钛矿表面表现出均匀的表面形貌和更高的覆盖完整性。此外，采用非退火PCBM的器件具有更高的电子迁移率和更低的陷阱态密度。最终，基于非退火PCBM的IPSC实现了25.37%的最高功率转换效率（PCE），并具有较长的空气稳定性，在环境空气中储存1360小时后仍保留了88.4%的初始效率。</w:t>
      </w:r>
    </w:p>
    <w:p>
      <w:pPr>
        <w:spacing w:before="0" w:after="200" w:lineRule="auto" w:line="276"/>
      </w:pPr>
      <w:r>
        <w:rPr>
          <w:b/>
        </w:rPr>
        <w:t xml:space="preserve">Abstract (EN): </w:t>
      </w:r>
      <w:r>
        <w:t>Inverted perovskite solar cells (IPSCs) have presented great potential in the photovoltaic field due to their outstanding optoelectronic properties. However, the widely used electron transport layer of [6,6]-phenyl-C61-butyric acid methyl ester (PCBM) in IPSCs presents some issues such as poor passivation effect, insufficient film coverage, and suboptimal energy-level alignment, and the influence of annealing treatment of PCBM on device performance has rarely been investigated. Therefore, in this work, we systematically study the influence of PCBM with or without the thermal annealing process (e.g., annealed PCBM or non-annealed PCBM) on the device performance of IPSCs. Surprisingly, it is found that the annealing treatment of PCBM potentially leads to collapse of the perovskite lattice and generation of PbI2, whereas the non-annealed PCBM exhibits uniform surface morphology and higher coverage integrity at the perovskite surface. Moreover, the device with non-annealed PCBM presents higher electron mobility and lower trap state density. Ultimately, IPSCs based on non-annealed PCBM achieve the highest power conversion efficiency (PCE) of 25.37%, accompanied by prolonged air stability, retaining 88.4% of the initial efficiency after being stored for 1360 h under ambient air.</w:t>
      </w:r>
    </w:p>
    <w:p>
      <w:pPr>
        <w:spacing w:before="120" w:after="120"/>
      </w:pPr>
      <w:r>
        <w:rPr>
          <w:sz w:val="18"/>
        </w:rPr>
        <w:t>——————————————————————————————————————————————————————————————————————</w:t>
      </w:r>
    </w:p>
    <w:p>
      <w:pPr>
        <w:spacing w:before="160" w:after="40" w:line="240" w:lineRule="auto"/>
      </w:pPr>
      <w:r>
        <w:rPr>
          <w:b/>
        </w:rPr>
        <w:t xml:space="preserve">[54] </w:t>
      </w:r>
      <w:hyperlink r:id="rId74">
        <w:r>
          <w:rPr>
            <w:color w:val="1155CC"/>
            <w:u w:val="single"/>
          </w:rPr>
          <w:t>介孔Al2O3基埋底界面缺陷钝化用于高效倒置钙钛矿太阳能电池</w:t>
        </w:r>
      </w:hyperlink>
    </w:p>
    <w:p>
      <w:pPr>
        <w:spacing w:before="0" w:after="80"/>
      </w:pPr>
      <w:r>
        <w:rPr>
          <w:i/>
          <w:sz w:val="20"/>
        </w:rPr>
        <w:t>EN: Defect Passivation of Mesoporous Al2O3-Based Buried Interface for Efficient Inverted Perovskite Solar Cells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68">
        <w:r>
          <w:rPr>
            <w:color w:val="1155CC"/>
            <w:u w:val="single"/>
          </w:rPr>
          <w:t>10.1021/acsami.6c13869</w:t>
        </w:r>
      </w:hyperlink>
    </w:p>
    <w:p>
      <w:pPr>
        <w:spacing w:before="0" w:after="120"/>
      </w:pPr>
      <w:r>
        <w:rPr>
          <w:b/>
        </w:rPr>
        <w:t xml:space="preserve">Notes: </w:t>
      </w:r>
      <w:r>
        <w:t>abstract_source=crossref</w:t>
      </w:r>
    </w:p>
    <w:p>
      <w:pPr>
        <w:spacing w:before="0" w:after="80" w:lineRule="auto" w:line="276"/>
      </w:pPr>
      <w:r>
        <w:rPr>
          <w:b/>
        </w:rPr>
        <w:t xml:space="preserve">摘要（ZH）: </w:t>
      </w:r>
      <w:r>
        <w:t>摘要 空穴传输层与钙钛矿之间的埋底界面工程仍然是倒置钙钛矿太阳能电池（IPSCs）面临的关键挑战。基于Al2O3的界面修饰具有优异的界面稳定性和离子阻隔能力；然而，其绝缘性和化学惰性限制了埋底界面处有效的载流子传输调控和缺陷调节。本文开发了一种协同界面工程策略，将苯乙基溴化铵（PEABr）引入超薄Al2O3基质中，在NiOX/钙钛矿埋底界面构建多功能复合中间层。引入的PEABr通过形成界面准二维/三维（quasi-2D/3D）钙钛矿异质结构，对埋底界面进行化学重构。来源于PEABr的溴物种与欠配位的Pb2+位点相互作用并补偿碘空位相关缺陷，而苯乙基铵（PEA+）阳离子参与构建准二维界面相，优化能级排列并促进NiOX/钙钛矿异质结上的高效空穴提取。此外，PEABr诱导的准二维/三维界面结构提高了载流子选择性并抑制了界面复合，从而增强了载流子收集。电子学表征表明，该复合中间层将电荷转移电阻从462.81 kΩ降低至279.65 kΩ，将内建电位从0.617 V提高到0.703 V，并将理想因子从2.44降低至1.63，从而实现了最高的功率转换效</w:t>
      </w:r>
    </w:p>
    <w:p>
      <w:pPr>
        <w:spacing w:before="0" w:after="200" w:lineRule="auto" w:line="276"/>
      </w:pPr>
      <w:r>
        <w:rPr>
          <w:b/>
        </w:rPr>
        <w:t xml:space="preserve">Abstract (EN): </w:t>
      </w:r>
      <w:r>
        <w:t>Buried interface engineering between the hole transport layer and perovskite remains a critical challenge for inverted perovskite solar cells (IPSCs). Al2O3-based interface modification provides excellent interfacial stability and ion-blocking capability; however, its insulating nature and chemical inertness limit effective carrier transport modulation and defect regulation at the buried interface. Here, a synergistic interface engineering strategy is developed by incorporating phenethylammonium bromide (PEABr) into an ultrathin Al2O3 matrix to construct a multifunctional composite interlayer at the NiOX/perovskite buried interface. The introduced PEABr chemically reconstructs the buried interface through the formation of an interfacial quasi-2D/3D perovskite heterostructure. Bromide species derived from PEABr interact with undercoordinated Pb2+ sites and compensate iodine-vacancy-related defects, while phenethylammonium (PEA+) cations participate in constructing the quasi-2D interfacial phase, which optimizes energy-level alignment and promotes efficient hole extraction across the NiOX/perovskite heterojunction. Moreover, the PEABr-induced quasi-2D/3D interfacial structure improves carrier selectivity and suppresses interfacial recombination, thereby enhancing carrier collection. Electronic characterizations demonstrate that the composite interlayer reduces the charge-transfer resistance from 462.81 to 279.65 kΩ, increases the built-in potential from 0.617 to 0.703 V, and decreases the ideality factor from 2.44 to 1.63, enabling a champion power conversion efficiency of 21.34% for IPSCs. This work provides a feasible strategy for constructing multifunctional oxide-based buried interfaces through simultaneous defect regulation, energy-level optimization, and efficient carrier extraction.</w:t>
      </w:r>
    </w:p>
    <w:p>
      <w:pPr>
        <w:spacing w:before="120" w:after="120"/>
      </w:pPr>
      <w:r>
        <w:rPr>
          <w:sz w:val="18"/>
        </w:rPr>
        <w:t>——————————————————————————————————————————————————————————————————————</w:t>
      </w:r>
    </w:p>
    <w:p>
      <w:pPr>
        <w:spacing w:before="160" w:after="40" w:line="240" w:lineRule="auto"/>
      </w:pPr>
      <w:r>
        <w:rPr>
          <w:b/>
        </w:rPr>
        <w:t xml:space="preserve">[55] </w:t>
      </w:r>
      <w:hyperlink r:id="rId62">
        <w:r>
          <w:rPr>
            <w:color w:val="1155CC"/>
            <w:u w:val="single"/>
          </w:rPr>
          <w:t>钙钛矿太阳能电池中通过埋藏吡啶鎓诱导的可调相互作用实现结晶调控</w:t>
        </w:r>
      </w:hyperlink>
    </w:p>
    <w:p>
      <w:pPr>
        <w:spacing w:before="0" w:after="80"/>
      </w:pPr>
      <w:r>
        <w:rPr>
          <w:i/>
          <w:sz w:val="20"/>
        </w:rPr>
        <w:t>EN: Crystallization Manipulation Through Buried Pyridinium‐Induced Tunable Interactions in Perovskite Solar Cells</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62">
        <w:r>
          <w:rPr>
            <w:color w:val="1155CC"/>
            <w:u w:val="single"/>
          </w:rPr>
          <w:t>10.1002/anie.1360189</w:t>
        </w:r>
      </w:hyperlink>
    </w:p>
    <w:p>
      <w:pPr>
        <w:spacing w:before="0" w:after="120"/>
      </w:pPr>
      <w:r>
        <w:rPr>
          <w:b/>
        </w:rPr>
        <w:t xml:space="preserve">Notes: </w:t>
      </w:r>
      <w:r>
        <w:t>abstract_source=crossref</w:t>
      </w:r>
    </w:p>
    <w:p>
      <w:pPr>
        <w:spacing w:before="0" w:after="80" w:lineRule="auto" w:line="276"/>
      </w:pPr>
      <w:r>
        <w:rPr>
          <w:b/>
        </w:rPr>
        <w:t xml:space="preserve">摘要（ZH）: </w:t>
      </w:r>
      <w:r>
        <w:t>摘要 自组装单层（SAM）的混合成分与钙钛矿前驱体之间的相互作用可以延迟结晶过程，从而产生高质量的钙钛矿薄膜和高效的钙钛矿太阳能电池（PSC）。然而，相互作用的强度会影响结晶速度的更精确控制。在这里，我们引入两种吡啶鎓阳离子物种来比较它们与碘化物相互作用的强度。我们的系统研究表明，更缺电子的基于 1-甲基-4-(三氟甲基)吡啶 (CF 3 Py + ) 的混合 SAM 使 0.06 cm 2 PSC 的冠军功率转换效率 (PCE) 达到 27.07%（认证为 26.8%），超过了基于混合 1-甲基吡啶 (Py + ) 的器件 (26.42%) 和纯器件。 4基于PADCB的设备（25.12%）。令人印象深刻的 PCE 源于通过 CF 3 Py + 和 I - 之间更强烈的相互作用来微调结晶速度。此外，更强的相互作用抑制了碘化物的迁移，从而提高了优化PSC的光稳定性和热稳定性。我们的工作展示了一种通过将吸电子基团纳入芳香核来增强吡啶鎓阳离子和碘化物之间相互作用的有效方法，为钙钛矿薄膜结晶的操纵提供了重要的见解。</w:t>
      </w:r>
    </w:p>
    <w:p>
      <w:pPr>
        <w:spacing w:before="0" w:after="200" w:lineRule="auto" w:line="276"/>
      </w:pPr>
      <w:r>
        <w:rPr>
          <w:b/>
        </w:rPr>
        <w:t xml:space="preserve">Abstract (EN): </w:t>
      </w:r>
      <w:r>
        <w:t>The interaction between the hybrid component of self‐assembled monolayers (SAMs) and the perovskite precursor could delay the crystallization process, resulting in high‐quality perovskite film and highly efficient perovskite solar cells (PSCs). However, the intensity of interaction affects more precise control of crystallization speed. Herein, we introduce two pyridinium cation species to compare the intensity of their interaction with iodide. Our systematic investigation reveals that the more electron deficient 1‐methyl‐4‐(trifluoromethyl)pyridinium (CF 3 Py + )‐based hybrid SAM enables a champion power conversion efficiency (PCE) of 27.07% (certified 26.8%) for a 0.06‐cm 2 PSC, surpassing hybrid 1‐methylpyridinium (Py + )‐based device (26.42%) and pure 4PADCB‐based device (25.12%). The impressive PCE stems from fine‐tuning of crystallization speed through more intensive interaction between CF 3 Py + and I − . Moreover, the stronger interaction inhibits iodide migration, which improves the light and thermal stability of the optimized PSCs. Our work demonstrates an effective approach to strengthening the interaction between pyridinium cations and iodide by incorporating an electron‐withdrawing group into the aromatic core, providing crucial insights into the manipulation of perovskite film crystallization.</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75">
        <w:r>
          <w:rPr>
            <w:color w:val="1155CC"/>
            <w:u w:val="single"/>
          </w:rPr>
          <w:t>氧空位工程与预容纳畸变稳定化使P2型富锰正极实现优异倍率与循环性能</w:t>
        </w:r>
      </w:hyperlink>
    </w:p>
    <w:p>
      <w:pPr>
        <w:spacing w:before="0" w:after="80"/>
      </w:pPr>
      <w:r>
        <w:rPr>
          <w:i/>
          <w:sz w:val="20"/>
        </w:rPr>
        <w:t>EN: Oxygen Vacancy Engineering and Pre-accommodated Distortion Stabilization Enabling Superior Rate and Cycling Performance in P2-Type Mn-Rich Cathodes</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75">
        <w:r>
          <w:rPr>
            <w:color w:val="1155CC"/>
            <w:u w:val="single"/>
          </w:rPr>
          <w:t>10.1021/acsami.6c10017</w:t>
        </w:r>
      </w:hyperlink>
    </w:p>
    <w:p>
      <w:pPr>
        <w:spacing w:before="0" w:after="120"/>
      </w:pPr>
      <w:r>
        <w:rPr>
          <w:b/>
        </w:rPr>
        <w:t xml:space="preserve">Notes: </w:t>
      </w:r>
      <w:r>
        <w:t>abstract_source=crossref</w:t>
      </w:r>
    </w:p>
    <w:p>
      <w:pPr>
        <w:spacing w:before="0" w:after="80" w:lineRule="auto" w:line="276"/>
      </w:pPr>
      <w:r>
        <w:rPr>
          <w:b/>
        </w:rPr>
        <w:t xml:space="preserve">摘要（ZH）: </w:t>
      </w:r>
      <w:r>
        <w:t>摘要 P2型层状氧化物因其高容量和易于合成被认为是钠离子电池（SIBs）的理想正极材料，但其实际应用受到Jahn–Teller畸变、锰溶解和本征离子导电性差的严重阻碍。虽然传统的阳离子掺杂策略可以部分缓解这些问题，但其复杂机理和多组分相互作用给材料的合理设计带来挑战。本文提出一种氧空位工程策略，通过调节煅烧气氛在Na0.67Ni0.15Fe0.2Mn0.65O2（NFM）中引入可控氧空位。引入的氧空位有效调控了锰的局域电子结构，降低了其平均价态，并诱导正交P'2相的形成。归因于P'2相的预适应晶格畸变，NFM的结构稳定性和可逆性显著增强。同时，阳离子无序度的提高改善了电子和离子导电性。得益于这些协同效应，改性NFM正极展现出优异的倍率和循环性能，在5 C下保持127.3 mAh g–1的可观容量，即使在500次循环后容量保持率仍高达90.8%。这项工作不仅创造了一种同时提升富锰正极倍率性能和循环稳定性的有效空位工程方法，也为通过阴离</w:t>
      </w:r>
    </w:p>
    <w:p>
      <w:pPr>
        <w:spacing w:before="0" w:after="200" w:lineRule="auto" w:line="276"/>
      </w:pPr>
      <w:r>
        <w:rPr>
          <w:b/>
        </w:rPr>
        <w:t xml:space="preserve">Abstract (EN): </w:t>
      </w:r>
      <w:r>
        <w:t>P2-type layered oxides have been considered as an ideal cathode material for sodium-ion batteries (SIBs) due to their high capacity and facile synthesis, yet their practical application is severely hampered by Jahn–Teller distortion, manganese dissolution, and poor intrinsic ionic conductivity. While conventional cation doping strategies can partially mitigate these issues, the complex mechanisms and multi-component interactions pose challenges for rational material design. Here, we propose an oxygen vacancy engineering strategy, introducing controllable oxygen vacancies into Na0.67Ni0.15Fe0.2Mn0.65O2 (NFM) by regulating the calcination atmosphere. The introduced oxygen vacancies effectively modulate the local electronic structure of manganese, lower its average valence state, and induce the formation of an orthorhombic P'2 phase. Attributed to the pre-accommodating lattice distortion of the P'2 phase, the structural stability and reversibility of NFM are significantly enhanced. Concurrently, the increased cationic disorder improves both electronic and ionic conductivity. Benefiting from these synergistic effects, the modified NFM cathode delivers outstanding rate and cyclability performance, maintaining a considerable capacity of 127.3 mAh g–1 at 5 C and a high capacity retention of 90.8% even after 500 cycles. This work not only creates an effective vacancy engineering approach to simultaneously enhance the rate capability and cycling stability of Mn-rich cathodes but also provides guidance for designing high-performance electrode materials for SIBs via anion framework regulation.</w:t>
      </w:r>
    </w:p>
    <w:p>
      <w:pPr>
        <w:spacing w:before="120" w:after="120"/>
      </w:pPr>
      <w:r>
        <w:rPr>
          <w:sz w:val="18"/>
        </w:rPr>
        <w:t>——————————————————————————————————————————————————————————————————————</w:t>
      </w:r>
    </w:p>
    <w:p>
      <w:pPr>
        <w:spacing w:before="160" w:after="40" w:line="240" w:lineRule="auto"/>
      </w:pPr>
      <w:r>
        <w:rPr>
          <w:b/>
        </w:rPr>
        <w:t xml:space="preserve">[2] </w:t>
      </w:r>
      <w:hyperlink r:id="rId76">
        <w:r>
          <w:rPr>
            <w:color w:val="1155CC"/>
            <w:u w:val="single"/>
          </w:rPr>
          <w:t>通过氧氧化还原活化构建应变缓冲层状/岩盐异质结构以获得耐久O3型层状过渡金属氧化物</w:t>
        </w:r>
      </w:hyperlink>
    </w:p>
    <w:p>
      <w:pPr>
        <w:spacing w:before="0" w:after="80"/>
      </w:pPr>
      <w:r>
        <w:rPr>
          <w:i/>
          <w:sz w:val="20"/>
        </w:rPr>
        <w:t>EN: Strain‐Buffering Layered/Rocksalt Heterostructure Constructed via Oxygen Redox Activation for Durable O3‐Type Layered Transition Metal Oxides</w:t>
      </w:r>
    </w:p>
    <w:p>
      <w:pPr>
        <w:spacing w:before="0" w:after="120"/>
      </w:pPr>
      <w:r>
        <w:rPr>
          <w:b/>
        </w:rPr>
        <w:t xml:space="preserve">Source: </w:t>
      </w:r>
      <w:r>
        <w:t>Wiley: Angewandte Chemie International Edition: Table of Contents</w:t>
      </w:r>
      <w:r>
        <w:t xml:space="preserve">    </w:t>
      </w:r>
      <w:r>
        <w:rPr>
          <w:b/>
        </w:rPr>
        <w:t xml:space="preserve">Pub date: </w:t>
      </w:r>
      <w:r>
        <w:t>2026-08-29 05:39:31+00:00</w:t>
      </w:r>
      <w:r>
        <w:t xml:space="preserve">    </w:t>
      </w:r>
      <w:r>
        <w:rPr>
          <w:b/>
        </w:rPr>
        <w:t xml:space="preserve">DOI: </w:t>
      </w:r>
      <w:hyperlink r:id="rId77">
        <w:r>
          <w:rPr>
            <w:color w:val="1155CC"/>
            <w:u w:val="single"/>
          </w:rPr>
          <w:t>10.1002/anie.7544135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利用阴离子氧氧化还原对于提升钠离子电池（SIBs）用O3型层状过渡金属氧化物的容量至关重要，但其常引发严重的晶格畸变和不可逆的氧释放。本文提出了一种原位电化学表面重构策略以稳定O3型NaNi1/3Fe1/3Mn1/3O2（NFM）正极。通过在4.6 V超高电位下严格控制初始阴离子氧化还原反应，构建了由有序层状内核和无序岩盐壳层组成的稳健异质结构。这种独特的表面结构可作为各向同性应变缓冲层，有效缓解颗粒开裂，并提供致密的表面钝化以抑制界面副反应。此外，诱导的岩盐相稳定了表面TM-O配位，从而防止后续循环过程中的晶格氧损失。因此，在2.0–4.0 V范围内循环时，经电化学预处理后的正极（DRS(4.6)@NFM）表现出显著降低的晶格畸变和优异的电化学耐久性（300次循环后容量保持率为90.77%），且电压衰减可忽略（保持初始电压的98.56%）。即使循环至4.2 V，300次循环后容量保持率仍维持在87.4%。这项工作阐明了电化学</w:t>
      </w:r>
    </w:p>
    <w:p>
      <w:pPr>
        <w:spacing w:before="0" w:after="200" w:lineRule="auto" w:line="276"/>
      </w:pPr>
      <w:r>
        <w:rPr>
          <w:b/>
        </w:rPr>
        <w:t xml:space="preserve">Abstract (EN): </w:t>
      </w:r>
      <w:r>
        <w:t>Harnessing anionic oxygen redox is pivotal for boosting the capacity of O3‐type layered transition metal oxides for sodium ion batteries (SIBs), yet it often triggers severe lattice distortion and irreversible oxygen release. Herein, we propose an in situ electrochemical surface reconstruction strategy to stabilize the O3‐type NaNi</w:t>
      </w:r>
      <w:r>
        <w:t xml:space="preserve"> </w:t>
      </w:r>
      <w:r>
        <w:t>1/3</w:t>
      </w:r>
      <w:r>
        <w:t xml:space="preserve"> </w:t>
      </w:r>
      <w:r>
        <w:t>Fe</w:t>
      </w:r>
      <w:r>
        <w:t xml:space="preserve"> </w:t>
      </w:r>
      <w:r>
        <w:t>1/3</w:t>
      </w:r>
      <w:r>
        <w:t xml:space="preserve"> </w:t>
      </w:r>
      <w:r>
        <w:t>Mn</w:t>
      </w:r>
      <w:r>
        <w:t xml:space="preserve"> </w:t>
      </w:r>
      <w:r>
        <w:t>1/3</w:t>
      </w:r>
      <w:r>
        <w:t xml:space="preserve"> </w:t>
      </w:r>
      <w:r>
        <w:t>O</w:t>
      </w:r>
      <w:r>
        <w:rPr>
          <w:vertAlign w:val="subscript"/>
        </w:rPr>
        <w:t>2</w:t>
      </w:r>
      <w:r>
        <w:t>(NFM) cathode. By strictly controlling the initial anionic redox reactions at an ultra‐high potential of 4.6 V, a robust heterostructure comprising an ordered layered core and a disordered rocksalt shell is constructed. This unique surface architecture serves as an isotropic strain buffer that effectively mitigates particle cracking and provides dense surface passivation to suppress interfacial side reactions. Furthermore, the induced rocksalt phase stabilizes the surface TM‐O coordination, thereby preventing lattice oxygen loss during subsequent cycling. Consequently, when cycled within 2.0–4.0 V, the electrochemically pretreated cathode (DRS(4.6)@NFM) exhibits significantly reduced lattice distortion and superior electrochemical durability (capacity retention ratio of 90.77% after 300 cycles) with negligible voltage decay (retaining 98.56% of the initial voltage). Even when cycled up to 4.2 V, a capacity retention ratio of 87.4% after 300 cycles is still maintained. This work elucidates the interplay between electrochemical pretreatment and structural evolution, providing a decisive foundation for designing high‐voltage and durable sodium‐ion cathodes.</w:t>
      </w:r>
    </w:p>
    <w:p>
      <w:pPr>
        <w:spacing w:before="120" w:after="120"/>
      </w:pPr>
      <w:r>
        <w:rPr>
          <w:sz w:val="18"/>
        </w:rPr>
        <w:t>——————————————————————————————————————————————————————————————————————</w:t>
      </w:r>
    </w:p>
    <w:p>
      <w:pPr>
        <w:spacing w:before="160" w:after="40" w:line="240" w:lineRule="auto"/>
      </w:pPr>
      <w:r>
        <w:rPr>
          <w:b/>
        </w:rPr>
        <w:t xml:space="preserve">[3] </w:t>
      </w:r>
      <w:hyperlink r:id="rId78">
        <w:r>
          <w:rPr>
            <w:color w:val="1155CC"/>
            <w:u w:val="single"/>
          </w:rPr>
          <w:t>固态电池高容量非晶硫化物正极中的插入主导型阴离子氧化还原</w:t>
        </w:r>
      </w:hyperlink>
    </w:p>
    <w:p>
      <w:pPr>
        <w:spacing w:before="0" w:after="80"/>
      </w:pPr>
      <w:r>
        <w:rPr>
          <w:i/>
          <w:sz w:val="20"/>
        </w:rPr>
        <w:t>EN: Insertion-dominated anion redox in high-capacity amorphous sulfide cathodes for solid-state batteries</w:t>
      </w:r>
    </w:p>
    <w:p>
      <w:pPr>
        <w:spacing w:before="0" w:after="120"/>
      </w:pPr>
      <w:r>
        <w:rPr>
          <w:b/>
        </w:rPr>
        <w:t xml:space="preserve">Source: </w:t>
      </w:r>
      <w:r>
        <w:t>Joule</w:t>
      </w:r>
      <w:r>
        <w:t xml:space="preserve">    </w:t>
      </w:r>
      <w:r>
        <w:rPr>
          <w:b/>
        </w:rPr>
        <w:t xml:space="preserve">Pub date: </w:t>
      </w:r>
      <w:r>
        <w:t>2026-08-31 00:00:00+00:00</w:t>
      </w:r>
      <w:r>
        <w:t xml:space="preserve">    </w:t>
      </w:r>
      <w:r>
        <w:rPr>
          <w:b/>
        </w:rPr>
        <w:t xml:space="preserve">DOI: </w:t>
      </w:r>
      <w:hyperlink r:id="rId79">
        <w:r>
          <w:rPr>
            <w:color w:val="1155CC"/>
            <w:u w:val="single"/>
          </w:rPr>
          <w:t>10.1016/j.joule.2026.102649</w:t>
        </w:r>
      </w:hyperlink>
    </w:p>
    <w:p>
      <w:pPr>
        <w:spacing w:before="0" w:after="120"/>
      </w:pPr>
      <w:r>
        <w:rPr>
          <w:b/>
        </w:rPr>
        <w:t xml:space="preserve">Notes: </w:t>
      </w:r>
      <w:r>
        <w:t>abstract_source=rss_cell</w:t>
      </w:r>
    </w:p>
    <w:p>
      <w:pPr>
        <w:spacing w:before="0" w:after="80" w:lineRule="auto" w:line="276"/>
      </w:pPr>
      <w:r>
        <w:rPr>
          <w:b/>
        </w:rPr>
        <w:t xml:space="preserve">摘要（ZH）: </w:t>
      </w:r>
      <w:r>
        <w:t>传统正极活性材料（CAMs）在全固态电池中集成时常面临结构和界面方面的挑战。一种将界面相容性、结构无序与阴离子调控相结合的硫化物基正极活性材料设计策略，可实现以嵌入为主导的可逆多电子氧化还原化学，从而提供高比能量、快速动力学以及持久的循环性能。</w:t>
      </w:r>
    </w:p>
    <w:p>
      <w:pPr>
        <w:spacing w:before="0" w:after="200" w:lineRule="auto" w:line="276"/>
      </w:pPr>
      <w:r>
        <w:rPr>
          <w:b/>
        </w:rPr>
        <w:t xml:space="preserve">Abstract (EN): </w:t>
      </w:r>
      <w:r>
        <w:t>Conventional cathode active materials (CAMs) often face structural and interfacial challenges when integrated into all-solid-state batteries. A sulfide-based CAM design strategy that combines interfacial compatibility, structural disorder, and anion regulation enables reversible insertion-dominated multi-electron redox chemistry, delivering high specific energy, rapid kinetics, and durable cycling performance.</w:t>
      </w:r>
    </w:p>
    <w:p>
      <w:pPr>
        <w:spacing w:before="120" w:after="120"/>
      </w:pPr>
      <w:r>
        <w:rPr>
          <w:sz w:val="18"/>
        </w:rPr>
        <w:t>——————————————————————————————————————————————————————————————————————</w:t>
      </w:r>
    </w:p>
    <w:p>
      <w:pPr>
        <w:spacing w:before="160" w:after="40" w:line="240" w:lineRule="auto"/>
      </w:pPr>
      <w:r>
        <w:rPr>
          <w:b/>
        </w:rPr>
        <w:t xml:space="preserve">[4] </w:t>
      </w:r>
      <w:hyperlink r:id="rId80">
        <w:r>
          <w:rPr>
            <w:color w:val="1155CC"/>
            <w:u w:val="single"/>
          </w:rPr>
          <w:t>用于耐用富锂层状氧化物正极的末端氟化聚酰亚胺界面层</w:t>
        </w:r>
      </w:hyperlink>
    </w:p>
    <w:p>
      <w:pPr>
        <w:spacing w:before="0" w:after="80"/>
      </w:pPr>
      <w:r>
        <w:rPr>
          <w:i/>
          <w:sz w:val="20"/>
        </w:rPr>
        <w:t>EN: Terminally Fluorinated Polyimide Interphase for Durable Lithium‐Rich Layered Oxide Cathodes</w:t>
      </w:r>
    </w:p>
    <w:p>
      <w:pPr>
        <w:spacing w:before="0" w:after="120"/>
      </w:pPr>
      <w:r>
        <w:rPr>
          <w:b/>
        </w:rPr>
        <w:t xml:space="preserve">Source: </w:t>
      </w:r>
      <w:r>
        <w:t>Wiley: Angewandte Chemie International Edition: Table of Contents</w:t>
      </w:r>
      <w:r>
        <w:t xml:space="preserve">    </w:t>
      </w:r>
      <w:r>
        <w:rPr>
          <w:b/>
        </w:rPr>
        <w:t xml:space="preserve">Pub date: </w:t>
      </w:r>
      <w:r>
        <w:t>2026-08-31 05:02:02+00:00</w:t>
      </w:r>
      <w:r>
        <w:t xml:space="preserve">    </w:t>
      </w:r>
      <w:r>
        <w:rPr>
          <w:b/>
        </w:rPr>
        <w:t xml:space="preserve">DOI: </w:t>
      </w:r>
      <w:hyperlink r:id="rId81">
        <w:r>
          <w:rPr>
            <w:color w:val="1155CC"/>
            <w:u w:val="single"/>
          </w:rPr>
          <w:t>10.1002/anie.6759160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富锂层状氧化物（LLOs）通过阳离子/阴离子氧化还原耦合提供高能量密度，但高电压下的氧活化会产生富自由基界面，加速电解质分解、表面重构和机械失效。尽管聚酰亚胺可在LLO正极上作为耐氧化界面相，但其耐久性受限于易受活性氧物种攻击的不稳定端基，而主链氟化则会损害离子传输。在本研究中，通过引入吸电子的─CF</w:t>
      </w:r>
      <w:r>
        <w:rPr>
          <w:vertAlign w:val="subscript"/>
        </w:rPr>
        <w:t>3</w:t>
      </w:r>
      <w:r>
        <w:t>端基以提升界面电子势垒，从而在LLOs上构建端基氟化聚酰亚胺（FPI）界面相（LLO‐FPI），在保持主链完整性的同时缓解氧化攻击和氧释放。端基氟化可抑制自由基介导的降解和寄生氧化，而高模量FPI界面相可约束应力驱动的颗粒开裂，且不牺牲Li</w:t>
      </w:r>
      <w:r>
        <w:t xml:space="preserve"> </w:t>
      </w:r>
      <w:r>
        <w:t>+</w:t>
      </w:r>
      <w:r>
        <w:t xml:space="preserve"> </w:t>
      </w:r>
      <w:r>
        <w:t>动力学。因此，LLO‐FPI表现出卓越的长期循环稳定性，循环1000次后容量保持率为80.8%。Si/C||LLO‐FPI软包电池提供409 Wh kg</w:t>
      </w:r>
      <w:r>
        <w:t xml:space="preserve"> </w:t>
      </w:r>
      <w:r>
        <w:t>−1</w:t>
      </w:r>
      <w:r>
        <w:t xml:space="preserve"> </w:t>
      </w:r>
      <w:r>
        <w:t>的能量密度，且100次循环后容量保持率为90.1%。这些发现表明端基氟化是构建耐久高能量密度电池的一种通用策略。</w:t>
      </w:r>
    </w:p>
    <w:p>
      <w:pPr>
        <w:spacing w:before="0" w:after="200" w:lineRule="auto" w:line="276"/>
      </w:pPr>
      <w:r>
        <w:rPr>
          <w:b/>
        </w:rPr>
        <w:t xml:space="preserve">Abstract (EN): </w:t>
      </w:r>
      <w:r>
        <w:t>Lithium‐rich layered oxides (LLOs) deliver high energy density via coupled cationic/anionic redox, but high‐voltage oxygen activation generates radical‐rich interfaces that accelerate electrolyte decomposition, surface reconstruction, and mechanical failure. Although polyimide serves as an oxidation‐resistant interphase on LLO cathodes, its durability is limited by labile termini vulnerable to reactive oxygen species, whereas backbone fluorination compromises ionic transport. In this study, a terminally fluorinated polyimide (FPI) interphase is constructed on LLOs (LLO‐FPI) by introducing electron‐withdrawing ─CF</w:t>
      </w:r>
      <w:r>
        <w:rPr>
          <w:vertAlign w:val="subscript"/>
        </w:rPr>
        <w:t>3</w:t>
      </w:r>
      <w:r>
        <w:t>termini to elevate the interfacial electronic barrier, thereby mitigating oxidative attack and oxygen release while preserving backbone integrity. Terminal fluorination suppresses radical‐mediated degradation and parasitic oxidation, while the high‐modulus FPI interphase constrains stress‐driven particle cracking without sacrificing Li</w:t>
      </w:r>
      <w:r>
        <w:t xml:space="preserve"> </w:t>
      </w:r>
      <w:r>
        <w:t>+</w:t>
      </w:r>
      <w:r>
        <w:t xml:space="preserve"> </w:t>
      </w:r>
      <w:r>
        <w:t>kinetics. Consequently, LLO‐FPI exhibits exceptional long‐term cycling stability, retaining 80.8% capacity after 1000 cycles. A Si/C||LLO‐FPI pouch cell delivers 409 Wh kg</w:t>
      </w:r>
      <w:r>
        <w:t xml:space="preserve"> </w:t>
      </w:r>
      <w:r>
        <w:t>−1</w:t>
      </w:r>
      <w:r>
        <w:t xml:space="preserve"> </w:t>
      </w:r>
      <w:r>
        <w:t>with 90.1% capacity retention over 100 cycles. These findings identify terminal fluorination as a versatile strategy for durable high‐energy‐density batteries.</w:t>
      </w:r>
    </w:p>
    <w:p>
      <w:pPr>
        <w:spacing w:before="120" w:after="120"/>
      </w:pPr>
      <w:r>
        <w:rPr>
          <w:sz w:val="18"/>
        </w:rPr>
        <w:t>——————————————————————————————————————————————————————————————————————</w:t>
      </w:r>
    </w:p>
    <w:p>
      <w:pPr>
        <w:spacing w:before="160" w:after="40" w:line="240" w:lineRule="auto"/>
      </w:pPr>
      <w:r>
        <w:rPr>
          <w:b/>
        </w:rPr>
        <w:t xml:space="preserve">[5] </w:t>
      </w:r>
      <w:hyperlink r:id="rId82">
        <w:r>
          <w:rPr>
            <w:color w:val="1155CC"/>
            <w:u w:val="single"/>
          </w:rPr>
          <w:t>基于电子泵策略实现超高倍率Li–Cl2电池</w:t>
        </w:r>
      </w:hyperlink>
    </w:p>
    <w:p>
      <w:pPr>
        <w:spacing w:before="0" w:after="80"/>
      </w:pPr>
      <w:r>
        <w:rPr>
          <w:i/>
          <w:sz w:val="20"/>
        </w:rPr>
        <w:t>EN: Toward Ultrahigh‐Rate Li–Cl2 Batteries via an Electron Pump Strategy</w:t>
      </w:r>
    </w:p>
    <w:p>
      <w:pPr>
        <w:spacing w:before="0" w:after="120"/>
      </w:pPr>
      <w:r>
        <w:rPr>
          <w:b/>
        </w:rPr>
        <w:t xml:space="preserve">Source: </w:t>
      </w:r>
      <w:r>
        <w:t>Wiley: Advanced Materials: Table of Contents</w:t>
      </w:r>
      <w:r>
        <w:t xml:space="preserve">    </w:t>
      </w:r>
      <w:r>
        <w:rPr>
          <w:b/>
        </w:rPr>
        <w:t xml:space="preserve">Pub date: </w:t>
      </w:r>
      <w:r>
        <w:t>2026-08-31 14:20:24+00:00</w:t>
      </w:r>
      <w:r>
        <w:t xml:space="preserve">    </w:t>
      </w:r>
      <w:r>
        <w:rPr>
          <w:b/>
        </w:rPr>
        <w:t xml:space="preserve">DOI: </w:t>
      </w:r>
      <w:hyperlink r:id="rId83">
        <w:r>
          <w:rPr>
            <w:color w:val="1155CC"/>
            <w:u w:val="single"/>
          </w:rPr>
          <w:t>10.1002/adma.74855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充电锂-氯(Li-Cl2)电池因其高能量密度而具有巨大前景,但其性能受限于电极与绝缘LiCl之间固-固界面上缓慢的电子-离子传输。在此,我们构建了一种具有内建电场驱动电子泵的MoSe2/TiN异质结构,该结构同时增强了电子耦合并实现了LiCl的快速活化。这一设计能够在充电过程中从LiCl中快速提取电子,高效促进LiCl解离,并通过强电子耦合将反应界面从局域点转变为均匀平面,从而显著降低界面扩散阻力。所得的Li-Cl2电池实现了0.18 V的超低极化和高达50 A g−1的优异倍率性能。此外,圆柱电池配置在35次循环中表现出稳定循环,容量保持率为70 mAh。这项工作既提供了一种高性能正极,也为多相电池体系中的界面电荷-质量传输调控提供了基本见解。</w:t>
      </w:r>
    </w:p>
    <w:p>
      <w:pPr>
        <w:spacing w:before="0" w:after="200" w:lineRule="auto" w:line="276"/>
      </w:pPr>
      <w:r>
        <w:rPr>
          <w:b/>
        </w:rPr>
        <w:t xml:space="preserve">Abstract (EN): </w:t>
      </w:r>
      <w:r>
        <w:t>Rechargeable lithium–chlorine (Li–Cl</w:t>
      </w:r>
      <w:r>
        <w:rPr>
          <w:vertAlign w:val="subscript"/>
        </w:rPr>
        <w:t>2</w:t>
      </w:r>
      <w:r>
        <w:t>) batteries hold great promise due to their high energy density, yet their performance is limited by sluggish electron‑ion transport at the solid–solid interface between the electrode and insulating LiCl. Here, we construct a MoSe</w:t>
      </w:r>
      <w:r>
        <w:rPr>
          <w:vertAlign w:val="subscript"/>
        </w:rPr>
        <w:t>2</w:t>
      </w:r>
      <w:r>
        <w:t>/TiN heterostructure featuring a built‑in electric field‑driven electron pump, which simultaneously enhances electronic coupling and achieve rapid activation of LiCl. This design enables rapid extraction of electrons from LiCl during charging, efficiently promotes LiCl dissociation and significantly reduces interfacial diffusion resistance by transforming the reaction interface from localized points into a homogeneous plane through strong electronic coupling. The resulting Li–Cl</w:t>
      </w:r>
      <w:r>
        <w:rPr>
          <w:vertAlign w:val="subscript"/>
        </w:rPr>
        <w:t>2</w:t>
      </w:r>
      <w:r>
        <w:t>battery achieves an ultralow polarization of 0.18 V and outstanding rate performance up to 50 A g</w:t>
      </w:r>
      <w:r>
        <w:t xml:space="preserve"> </w:t>
      </w:r>
      <w:r>
        <w:t>−1</w:t>
      </w:r>
      <w:r>
        <w:t xml:space="preserve"> </w:t>
      </w:r>
      <w:r>
        <w:t>. Moreover, a cylindrical cell configuration demonstrates stable cycling over 35 cycles with a capacity retention of 70 mAh. This work offers both a high‑performance cathode and fundamental insight into interfacial charge‑mass transfer regulation in multi‑phase battery systems.</w:t>
      </w:r>
    </w:p>
    <w:p>
      <w:pPr>
        <w:spacing w:before="120" w:after="120"/>
      </w:pPr>
      <w:r>
        <w:rPr>
          <w:sz w:val="18"/>
        </w:rPr>
        <w:t>——————————————————————————————————————————————————————————————————————</w:t>
      </w:r>
    </w:p>
    <w:p>
      <w:pPr>
        <w:spacing w:before="160" w:after="40" w:line="240" w:lineRule="auto"/>
      </w:pPr>
      <w:r>
        <w:rPr>
          <w:b/>
        </w:rPr>
        <w:t xml:space="preserve">[6] </w:t>
      </w:r>
      <w:hyperlink r:id="rId84">
        <w:r>
          <w:rPr>
            <w:color w:val="1155CC"/>
            <w:u w:val="single"/>
          </w:rPr>
          <w:t>通过聚苯胺衍生界面相调控富镍NCM正极的表面化学与界面动力学</w:t>
        </w:r>
      </w:hyperlink>
    </w:p>
    <w:p>
      <w:pPr>
        <w:spacing w:before="0" w:after="80"/>
      </w:pPr>
      <w:r>
        <w:rPr>
          <w:i/>
          <w:sz w:val="20"/>
        </w:rPr>
        <w:t>EN: Regulating Surface Chemistry and Interfacial Kinetics of Ni-Rich NCM Cathodes via a Polyaniline-Derived Interphase</w:t>
      </w:r>
    </w:p>
    <w:p>
      <w:pPr>
        <w:spacing w:before="0" w:after="120"/>
      </w:pPr>
      <w:r>
        <w:rPr>
          <w:b/>
        </w:rPr>
        <w:t xml:space="preserve">Source: </w:t>
      </w:r>
      <w:r>
        <w:t>ACS Applied Materials &amp; Interfaces: Latest Articles (ACS Publications)</w:t>
      </w:r>
      <w:r>
        <w:t xml:space="preserve">    </w:t>
      </w:r>
      <w:r>
        <w:rPr>
          <w:b/>
        </w:rPr>
        <w:t xml:space="preserve">Pub date: </w:t>
      </w:r>
      <w:r>
        <w:t>2026-09-01 00:00:00+00:00</w:t>
      </w:r>
      <w:r>
        <w:t xml:space="preserve">    </w:t>
      </w:r>
      <w:r>
        <w:rPr>
          <w:b/>
        </w:rPr>
        <w:t xml:space="preserve">DOI: </w:t>
      </w:r>
      <w:hyperlink r:id="rId85">
        <w:r>
          <w:rPr>
            <w:color w:val="1155CC"/>
            <w:u w:val="single"/>
          </w:rPr>
          <w:t>10.1021/acsami.6c12920</w:t>
        </w:r>
      </w:hyperlink>
    </w:p>
    <w:p>
      <w:pPr>
        <w:spacing w:before="0" w:after="120"/>
      </w:pPr>
      <w:r>
        <w:rPr>
          <w:b/>
        </w:rPr>
        <w:t xml:space="preserve">Notes: </w:t>
      </w:r>
      <w:r>
        <w:t>abstract_source=crossref</w:t>
      </w:r>
    </w:p>
    <w:p>
      <w:pPr>
        <w:spacing w:before="0" w:after="80" w:lineRule="auto" w:line="276"/>
      </w:pPr>
      <w:r>
        <w:rPr>
          <w:b/>
        </w:rPr>
        <w:t xml:space="preserve">摘要（ZH）: </w:t>
      </w:r>
      <w:r>
        <w:t>摘要 富镍LiNixCoyMn1-x-yO2正极材料（NCM，Ni ≥ 80%）在高能量锂离子电池中前景广阔，但其实际应用受限于表面不稳定性、界面副反应以及循环过程中迟缓的电荷转移动力学。本文通过简便的溶液辅助涂覆策略，在LiNi0.9Co0.05Mn0.05O2（NCM90）表面构建了由聚苯胺（PANI）衍生的导电界面相。优化后的NCM90@PANI保持了NCM90的层状结构和颗粒形貌，同时形成了薄且连续的含PANI表面层。得益于这种界面改性，NCM90@PANI与原始NCM90相比表现出更高的循环稳定性、更好的倍率性能以及更佳的空气存储稳定性。性能提升归因于兼具保护性和动力学优势的界面相，它降低了界面极化，维持了良好的Li+传输动力学，抑制了电解液的持续分解，并缓解了高阻抗表面副产物的积累。含PANI的界面相还减少了空气存储过程中H2O/CO2引起的表面退化。扩散–应力仿真进一步定性表明，界面通量均匀性的改善可促进更均匀的Li分布并缓解局部应力集中。本工作表明，PANI衍生界面相工程为同时调控富镍NCM正极的表面化学和界面动力学提供了一种有效策略。</w:t>
      </w:r>
    </w:p>
    <w:p>
      <w:pPr>
        <w:spacing w:before="0" w:after="200" w:lineRule="auto" w:line="276"/>
      </w:pPr>
      <w:r>
        <w:rPr>
          <w:b/>
        </w:rPr>
        <w:t xml:space="preserve">Abstract (EN): </w:t>
      </w:r>
      <w:r>
        <w:t>Ni-rich LiNixCoyMn1-x-yO2 cathodes (NCM, Ni ≥ 80%) are promising for high-energy lithium-ion batteries, but their practical use is constrained by surface instability, interfacial side reactions, and sluggish charge-transfer kinetics during cycling. Herein, a conductive interphase derived from polyaniline (PANI) was constructed on LiNi0.9Co0.05Mn0.05O2 (NCM90) through a facile solution-assisted coating strategy. The optimized NCM90@PANI preserves the layered structure and particle morphology of NCM90 while forming a thin and continuous PANI-containing surface layer. Benefiting from this interfacial modification, NCM90@PANI exhibits enhanced cycling stability, improved rate capability, and better air-storage stability than pristine NCM90. The improvement is attributed to the protective and kinetically favorable interphase, which reduces interfacial polarization, maintains favorable Li+ transport kinetics, suppresses continuous electrolyte decomposition, and mitigates the accumulation of resistive surface byproducts. The PANI-containing interphase also reduces H2O/CO2-induced surface degradation during air storage. Diffusion-stress simulation further qualitatively illustrates that improved interfacial flux uniformity can promote a more homogeneous Li distribution and alleviate localized stress concentration. This work demonstrates that PANI-derived interphase engineering provides an effective strategy for simultaneously regulating the surface chemistry and interfacial kinetics of Ni-rich NCM cathodes.</w:t>
      </w:r>
    </w:p>
    <w:p>
      <w:pPr>
        <w:spacing w:before="120" w:after="120"/>
      </w:pPr>
      <w:r>
        <w:rPr>
          <w:sz w:val="18"/>
        </w:rPr>
        <w:t>——————————————————————————————————————————————————————————————————————</w:t>
      </w:r>
    </w:p>
    <w:p>
      <w:pPr>
        <w:spacing w:before="160" w:after="40" w:line="240" w:lineRule="auto"/>
      </w:pPr>
      <w:r>
        <w:rPr>
          <w:b/>
        </w:rPr>
        <w:t xml:space="preserve">[7] </w:t>
      </w:r>
      <w:hyperlink r:id="rId86">
        <w:r>
          <w:rPr>
            <w:color w:val="1155CC"/>
            <w:u w:val="single"/>
          </w:rPr>
          <w:t>面向耐用型5 V级无钴锂离子电池的界面分子排斥工程</w:t>
        </w:r>
      </w:hyperlink>
    </w:p>
    <w:p>
      <w:pPr>
        <w:spacing w:before="0" w:after="80"/>
      </w:pPr>
      <w:r>
        <w:rPr>
          <w:i/>
          <w:sz w:val="20"/>
        </w:rPr>
        <w:t>EN: Interfacial Molecular Repulsion Engineering for Durable 5 V-Class Cobalt-Free Lithium-Ion Batteries</w:t>
      </w:r>
    </w:p>
    <w:p>
      <w:pPr>
        <w:spacing w:before="0" w:after="120"/>
      </w:pPr>
      <w:r>
        <w:rPr>
          <w:b/>
        </w:rPr>
        <w:t xml:space="preserve">Source: </w:t>
      </w:r>
      <w:r>
        <w:t>ACS Energy Letters</w:t>
      </w:r>
      <w:r>
        <w:t xml:space="preserve">    </w:t>
      </w:r>
      <w:r>
        <w:rPr>
          <w:b/>
        </w:rPr>
        <w:t xml:space="preserve">Pub date: </w:t>
      </w:r>
      <w:r>
        <w:t>2026-09-01 00:00:00+00:00</w:t>
      </w:r>
      <w:r>
        <w:t xml:space="preserve">    </w:t>
      </w:r>
      <w:r>
        <w:rPr>
          <w:b/>
        </w:rPr>
        <w:t xml:space="preserve">DOI: </w:t>
      </w:r>
      <w:hyperlink r:id="rId86">
        <w:r>
          <w:rPr>
            <w:color w:val="1155CC"/>
            <w:u w:val="single"/>
          </w:rPr>
          <w:t>10.1021/acsenergylett.6c01601</w:t>
        </w:r>
      </w:hyperlink>
    </w:p>
    <w:p>
      <w:pPr>
        <w:spacing w:before="0" w:after="120"/>
      </w:pPr>
      <w:r>
        <w:rPr>
          <w:b/>
        </w:rPr>
        <w:t xml:space="preserve">Notes: </w:t>
      </w:r>
      <w:r>
        <w:t>abstract_source=crossref</w:t>
      </w:r>
    </w:p>
    <w:p>
      <w:pPr>
        <w:spacing w:before="0" w:after="80" w:lineRule="auto" w:line="276"/>
      </w:pPr>
      <w:r>
        <w:rPr>
          <w:b/>
        </w:rPr>
        <w:t xml:space="preserve">摘要（ZH）: </w:t>
      </w:r>
      <w:r>
        <w:t>摘要 无钴LiNi0.5Mn1.5O4（LNMO）正极在与碳酸酯类电解液配合使用时表现出严重的界面不稳定性。在此，我们引入甲基(3,3,3-三氟丙基)二乙氧基硅烷（MFS）作为一种非牺牲型添加剂，在LNMO表面构建分子“排斥层”。MFS优先吸附于过渡金属位点，稳定内亥姆霍兹平面，抑制溶剂分解和HF侵蚀，并形成薄且机械强度高的正极–电解液界面。这种独特的界面设计在保持快速Li+传输的同时，阻断了副反应和过渡金属溶出。仅添加0.2 wt%的MFS，Gr||LNMO全电池在室温4.8 V下循环450次后容量保持率达92%，在45 °C下循环300次后达73%。该策略的潜在实用性和普适性在1.5 Ah Gr||LNMO软包电池以及采用富锂层状氧化物正极的电池中得到了验证。这项工作为推动无钴电池化学体系的发展建立了分子级范式。</w:t>
      </w:r>
    </w:p>
    <w:p>
      <w:pPr>
        <w:spacing w:before="0" w:after="200" w:lineRule="auto" w:line="276"/>
      </w:pPr>
      <w:r>
        <w:rPr>
          <w:b/>
        </w:rPr>
        <w:t xml:space="preserve">Abstract (EN): </w:t>
      </w:r>
      <w:r>
        <w:t>The cobalt-free LiNi0.5Mn1.5O4 (LNMO) cathode exhibits severe interfacial instability when employed with carbonate-based electrolytes. Here, we introduce methyl(3,3,3-trifluoropropyl)diethoxysilane (MFS) as a nonsacrificial additive that creates a molecular “repulsion layer” on LNMO. MFS preferentially adsorbs onto transition-metal sites, stabilizing the inner Helmholtz plane, suppressing solvent decomposition and HF attack, and forming a thin, mechanically robust cathode–electrolyte interphase. This unique interface design maintains fast Li+ transport while blocking parasitic reactions and transition-metal dissolution. With only 0.2 wt % MFS, Gr||LNMO full cells deliver 92% capacity retention after 450 cycles at 4.8 V under room temperature and 73% after 300 cycles at 45 °C. The potential practicality and universality of this strategy are demonstrated in 1.5 Ah Gr||LNMO pouch cells, as well as in cells incorporating lithium-rich layered oxide cathodes. This work establishes a molecular-level paradigm for advancing the development of cobalt-free battery chemistries.</w:t>
      </w:r>
    </w:p>
    <w:p>
      <w:pPr>
        <w:spacing w:before="120" w:after="120"/>
      </w:pPr>
      <w:r>
        <w:rPr>
          <w:sz w:val="18"/>
        </w:rPr>
        <w:t>——————————————————————————————————————————————————————————————————————</w:t>
      </w:r>
    </w:p>
    <w:p>
      <w:pPr>
        <w:spacing w:before="160" w:after="40" w:line="240" w:lineRule="auto"/>
      </w:pPr>
      <w:r>
        <w:rPr>
          <w:b/>
        </w:rPr>
        <w:t xml:space="preserve">[8] </w:t>
      </w:r>
      <w:hyperlink r:id="rId87">
        <w:r>
          <w:rPr>
            <w:color w:val="1155CC"/>
            <w:u w:val="single"/>
          </w:rPr>
          <w:t>硫化聚苯胺中铜调控的d-p-π多轨道耦合实现超长循环水系硫电池</w:t>
        </w:r>
      </w:hyperlink>
    </w:p>
    <w:p>
      <w:pPr>
        <w:spacing w:before="0" w:after="80"/>
      </w:pPr>
      <w:r>
        <w:rPr>
          <w:i/>
          <w:sz w:val="20"/>
        </w:rPr>
        <w:t>EN: Copper-tailored d-p-π multi-orbital coupling in sulfurized polyaniline enables ultralong cycling aqueous sulfur batteries</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87">
        <w:r>
          <w:rPr>
            <w:color w:val="1155CC"/>
            <w:u w:val="single"/>
          </w:rPr>
          <w:t>10.1016/j.matt.2026.102867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88">
        <w:r>
          <w:rPr>
            <w:color w:val="1155CC"/>
            <w:u w:val="single"/>
          </w:rPr>
          <w:t>有机框架正极的电位控制预锂化用于超高倍率锂离子电池</w:t>
        </w:r>
      </w:hyperlink>
    </w:p>
    <w:p>
      <w:pPr>
        <w:spacing w:before="0" w:after="80"/>
      </w:pPr>
      <w:r>
        <w:rPr>
          <w:i/>
          <w:sz w:val="20"/>
        </w:rPr>
        <w:t>EN: Potential-controlled pre-lithiation of organic framework cathodes for ultra-high current lithium-ion batteries</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88">
        <w:r>
          <w:rPr>
            <w:color w:val="1155CC"/>
            <w:u w:val="single"/>
          </w:rPr>
          <w:t>10.1016/j.matt.2026.102866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85">
        <w:r>
          <w:rPr>
            <w:color w:val="1155CC"/>
            <w:u w:val="single"/>
          </w:rPr>
          <w:t>通过聚苯胺衍生界面相调控富镍NCM正极的表面化学与界面动力学</w:t>
        </w:r>
      </w:hyperlink>
    </w:p>
    <w:p>
      <w:pPr>
        <w:spacing w:before="0" w:after="80"/>
      </w:pPr>
      <w:r>
        <w:rPr>
          <w:i/>
          <w:sz w:val="20"/>
        </w:rPr>
        <w:t>EN: Regulating Surface Chemistry and Interfacial Kinetics of Ni-Rich NCM Cathodes via a Polyaniline-Derived Interphase</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85">
        <w:r>
          <w:rPr>
            <w:color w:val="1155CC"/>
            <w:u w:val="single"/>
          </w:rPr>
          <w:t>10.1021/acsami.6c12920</w:t>
        </w:r>
      </w:hyperlink>
    </w:p>
    <w:p>
      <w:pPr>
        <w:spacing w:before="0" w:after="120"/>
      </w:pPr>
      <w:r>
        <w:rPr>
          <w:b/>
        </w:rPr>
        <w:t xml:space="preserve">Notes: </w:t>
      </w:r>
      <w:r>
        <w:t>abstract_source=crossref</w:t>
      </w:r>
    </w:p>
    <w:p>
      <w:pPr>
        <w:spacing w:before="0" w:after="80" w:lineRule="auto" w:line="276"/>
      </w:pPr>
      <w:r>
        <w:rPr>
          <w:b/>
        </w:rPr>
        <w:t xml:space="preserve">摘要（ZH）: </w:t>
      </w:r>
      <w:r>
        <w:t>摘要 富镍LiNixCoyMn1-x-yO2正极材料（NCM，Ni ≥ 80%）在高能量锂离子电池中具有广阔前景，但其实际应用受到表面不稳定性、界面副反应以及循环过程中缓慢的电荷转移动力学的限制。本文通过简便的溶液辅助涂覆策略，在LiNi0.9Co0.05Mn0.05O2（NCM90）表面构建了由聚苯胺（PANI）衍生的导电界面相。优化后的NCM90@PANI保留了NCM90的层状结构和颗粒形貌，同时形成了薄而连续的含PANI表面层。得益于这种界面修饰，NCM90@PANI比原始NCM90表现出更好的循环稳定性、更高的倍率性能以及更佳的空气储存稳定性。性能提升归因于该保护性且动力学有利的界面相，它降低了界面极化，维持了良好的Li+传输动力学，抑制了电解液的持续分解，并缓解了高阻抗表面副产物的积累。含PANI的界面相还减少了空气储存过程中由H2O/CO2引起的表面退化。扩散应力模拟进一步定性表明，界面通量均匀性的改善可促进更均匀的Li分布并缓解局部应力集中。本工作表明，PANI衍生界面相工程为同时调控富镍NCM正极的表面化学和界面动力学提供了一种有效策略。</w:t>
      </w:r>
    </w:p>
    <w:p>
      <w:pPr>
        <w:spacing w:before="0" w:after="200" w:lineRule="auto" w:line="276"/>
      </w:pPr>
      <w:r>
        <w:rPr>
          <w:b/>
        </w:rPr>
        <w:t xml:space="preserve">Abstract (EN): </w:t>
      </w:r>
      <w:r>
        <w:t>Ni-rich LiNixCoyMn1-x-yO2 cathodes (NCM, Ni ≥ 80%) are promising for high-energy lithium-ion batteries, but their practical use is constrained by surface instability, interfacial side reactions, and sluggish charge-transfer kinetics during cycling. Herein, a conductive interphase derived from polyaniline (PANI) was constructed on LiNi0.9Co0.05Mn0.05O2 (NCM90) through a facile solution-assisted coating strategy. The optimized NCM90@PANI preserves the layered structure and particle morphology of NCM90 while forming a thin and continuous PANI-containing surface layer. Benefiting from this interfacial modification, NCM90@PANI exhibits enhanced cycling stability, improved rate capability, and better air-storage stability than pristine NCM90. The improvement is attributed to the protective and kinetically favorable interphase, which reduces interfacial polarization, maintains favorable Li+ transport kinetics, suppresses continuous electrolyte decomposition, and mitigates the accumulation of resistive surface byproducts. The PANI-containing interphase also reduces H2O/CO2-induced surface degradation during air storage. Diffusion-stress simulation further qualitatively illustrates that improved interfacial flux uniformity can promote a more homogeneous Li distribution and alleviate localized stress concentration. This work demonstrates that PANI-derived interphase engineering provides an effective strategy for simultaneously regulating the surface chemistry and interfacial kinetics of Ni-rich NCM cathodes.</w:t>
      </w:r>
    </w:p>
    <w:p>
      <w:pPr>
        <w:spacing w:before="120" w:after="120"/>
      </w:pPr>
      <w:r>
        <w:rPr>
          <w:sz w:val="18"/>
        </w:rPr>
        <w:t>——————————————————————————————————————————————————————————————————————</w:t>
      </w:r>
    </w:p>
    <w:p>
      <w:pPr>
        <w:spacing w:before="160" w:after="40" w:line="240" w:lineRule="auto"/>
      </w:pPr>
      <w:r>
        <w:rPr>
          <w:b/>
        </w:rPr>
        <w:t xml:space="preserve">[11] </w:t>
      </w:r>
      <w:hyperlink r:id="rId89">
        <w:r>
          <w:rPr>
            <w:color w:val="1155CC"/>
            <w:u w:val="single"/>
          </w:rPr>
          <w:t>胆碱阳离子调控界面电荷与双电层结构用于低极化水系锌–硫电池</w:t>
        </w:r>
      </w:hyperlink>
    </w:p>
    <w:p>
      <w:pPr>
        <w:spacing w:before="0" w:after="80"/>
      </w:pPr>
      <w:r>
        <w:rPr>
          <w:i/>
          <w:sz w:val="20"/>
        </w:rPr>
        <w:t>EN: Regulating Interfacial Charge and Electric Double-Layer Structure by Choline Cations for Low-Polarization Aqueous Zinc–Sulfur Batteries</w:t>
      </w:r>
    </w:p>
    <w:p>
      <w:pPr>
        <w:spacing w:before="0" w:after="120"/>
      </w:pPr>
      <w:r>
        <w:rPr>
          <w:b/>
        </w:rPr>
        <w:t xml:space="preserve">Source: </w:t>
      </w:r>
      <w:r>
        <w:t>ACS Energy Letters: Latest Articles (ACS Publications)</w:t>
      </w:r>
      <w:r>
        <w:t xml:space="preserve">    </w:t>
      </w:r>
      <w:r>
        <w:rPr>
          <w:b/>
        </w:rPr>
        <w:t xml:space="preserve">Pub date: </w:t>
      </w:r>
      <w:r>
        <w:t>2026-09-02 00:00:00+00:00</w:t>
      </w:r>
      <w:r>
        <w:t xml:space="preserve">    </w:t>
      </w:r>
      <w:r>
        <w:rPr>
          <w:b/>
        </w:rPr>
        <w:t xml:space="preserve">DOI: </w:t>
      </w:r>
      <w:hyperlink r:id="rId90">
        <w:r>
          <w:rPr>
            <w:color w:val="1155CC"/>
            <w:u w:val="single"/>
          </w:rPr>
          <w:t>10.1021/acsenergylett.6c02074</w:t>
        </w:r>
      </w:hyperlink>
    </w:p>
    <w:p>
      <w:pPr>
        <w:spacing w:before="0" w:after="120"/>
      </w:pPr>
      <w:r>
        <w:rPr>
          <w:b/>
        </w:rPr>
        <w:t xml:space="preserve">Notes: </w:t>
      </w:r>
      <w:r>
        <w:t>abstract_source=crossref</w:t>
      </w:r>
    </w:p>
    <w:p>
      <w:pPr>
        <w:spacing w:before="0" w:after="80" w:lineRule="auto" w:line="276"/>
      </w:pPr>
      <w:r>
        <w:rPr>
          <w:b/>
        </w:rPr>
        <w:t xml:space="preserve">摘要（ZH）: </w:t>
      </w:r>
      <w:r>
        <w:t>摘要 水系锌–硫电池（ZSBs）具有固有的安全性、低成本和可观的理论能量密度，但其性能受限于较低的放电电压平台。本文引入胆碱阳离子（Ch+）来调控硫正极界面的电荷分布和双电层（EDL）厚度，构建富Zn2+的薄EDL，从而有效抑制电压极化。Ch+不仅加速Zn2+跨EDL的传输，还增强Zn2+在EDL区域内的富集，同步优化离子传输和界面动力学，促进S向ZnS的高效转化。在此条件下，ZSB在0.1 A g–1下提供1684 mAh g–1的比容量、0.31 V的低极化和1108 Wh kg–1的能量密度，并在10 A g–1下循环1000次后保留601 mAh g–1。这项工作为实现低极化和克服ZSBs的能量密度瓶颈提供了指导。</w:t>
      </w:r>
    </w:p>
    <w:p>
      <w:pPr>
        <w:spacing w:before="0" w:after="200" w:lineRule="auto" w:line="276"/>
      </w:pPr>
      <w:r>
        <w:rPr>
          <w:b/>
        </w:rPr>
        <w:t xml:space="preserve">Abstract (EN): </w:t>
      </w:r>
      <w:r>
        <w:t>Aqueous zinc–sulfur batteries (ZSBs) offer inherent safety, low cost, and impressive theoretical energy density, but their performance is limited by a low discharge plateau. Here, choline cations (Ch+) are introduced to regulate the charge distribution and electric double-layer (EDL) thickness at the S cathode interface, constructing a Zn2+-enriched thin EDL that effectively suppresses voltage polarization. Ch+ not only accelerates Zn2+ transport across the EDL but also enhances Zn2+ enrichment within the EDL region, synchronously optimizing ion transport and interfacial kinetics to promote efficient S to ZnS conversion. Under this condition, the ZSB delivers a specific capacity of 1684 mAh g–1, a low polarization of 0.31 V and an energy density of 1108 Wh kg–1 at 0.1 A g–1, while retaining 601 mAh g–1 over 1000 cycles at 10 A g–1. This work provides a guideline for achieving low polarization and overcoming the energy density bottleneck in ZSBs.</w:t>
      </w:r>
    </w:p>
    <w:p>
      <w:pPr>
        <w:spacing w:before="120" w:after="120"/>
      </w:pPr>
      <w:r>
        <w:rPr>
          <w:sz w:val="18"/>
        </w:rPr>
        <w:t>——————————————————————————————————————————————————————————————————————</w:t>
      </w:r>
    </w:p>
    <w:p>
      <w:pPr>
        <w:spacing w:before="160" w:after="40" w:line="240" w:lineRule="auto"/>
      </w:pPr>
      <w:r>
        <w:rPr>
          <w:b/>
        </w:rPr>
        <w:t xml:space="preserve">[12] </w:t>
      </w:r>
      <w:hyperlink r:id="rId91">
        <w:r>
          <w:rPr>
            <w:color w:val="1155CC"/>
            <w:u w:val="single"/>
          </w:rPr>
          <w:t>智能响应与动态应力平衡结构赋予富锂氧化物正极长循环寿命</w:t>
        </w:r>
      </w:hyperlink>
    </w:p>
    <w:p>
      <w:pPr>
        <w:spacing w:before="0" w:after="80"/>
      </w:pPr>
      <w:r>
        <w:rPr>
          <w:i/>
          <w:sz w:val="20"/>
        </w:rPr>
        <w:t>EN: Intelligent Response and Dynamic Stress Equilibrium Structure Endow Lithium-Rich Oxide Cathodes with Long Cycle Life</w:t>
      </w:r>
    </w:p>
    <w:p>
      <w:pPr>
        <w:spacing w:before="0" w:after="120"/>
      </w:pPr>
      <w:r>
        <w:rPr>
          <w:b/>
        </w:rPr>
        <w:t xml:space="preserve">Source: </w:t>
      </w:r>
      <w:r>
        <w:t>ACS Energy Letters: Latest Articles (ACS Publications)</w:t>
      </w:r>
      <w:r>
        <w:t xml:space="preserve">    </w:t>
      </w:r>
      <w:r>
        <w:rPr>
          <w:b/>
        </w:rPr>
        <w:t xml:space="preserve">Pub date: </w:t>
      </w:r>
      <w:r>
        <w:t>2026-09-02 00:00:00+00:00</w:t>
      </w:r>
      <w:r>
        <w:t xml:space="preserve">    </w:t>
      </w:r>
      <w:r>
        <w:rPr>
          <w:b/>
        </w:rPr>
        <w:t xml:space="preserve">DOI: </w:t>
      </w:r>
      <w:hyperlink r:id="rId92">
        <w:r>
          <w:rPr>
            <w:color w:val="1155CC"/>
            <w:u w:val="single"/>
          </w:rPr>
          <w:t>10.1021/acsenergylett.6c02095</w:t>
        </w:r>
      </w:hyperlink>
    </w:p>
    <w:p>
      <w:pPr>
        <w:spacing w:before="0" w:after="120"/>
      </w:pPr>
      <w:r>
        <w:rPr>
          <w:b/>
        </w:rPr>
        <w:t xml:space="preserve">Notes: </w:t>
      </w:r>
      <w:r>
        <w:t>abstract_source=crossref</w:t>
      </w:r>
    </w:p>
    <w:p>
      <w:pPr>
        <w:spacing w:before="0" w:after="80" w:lineRule="auto" w:line="276"/>
      </w:pPr>
      <w:r>
        <w:rPr>
          <w:b/>
        </w:rPr>
        <w:t xml:space="preserve">摘要（ZH）: </w:t>
      </w:r>
      <w:r>
        <w:t>摘要 富锂氧化物（LROs）在锂离子电池正极应用中可提供超过1000 Wh kg−1的能量密度，但循环诱导的应力积累会引发结构退化和循环稳定性差的问题。本文在LROs中预制了层级孪晶结构。孪晶界处的预应力形成交错的应力网络，可在循环过程中自适应地容纳拉伸/压缩应变并耗散局部应力集中。这种自适应孪晶结构可容忍循环体积波动，在长期结构弛豫过程中保持层状框架免受不可逆尖晶石/岩盐相变的影响。孪晶改性的LRO在500次循环（1 C）后容量保持率为94.98%，800次循环后为80.79%，并在5 C下具有155.31 mAh g−1的容量。软包电池提供12.59 Ah的放电容量，并在49次循环后保持84.83%的容量。这项工作为设计正极材料提供了一种调控电化学-机械性能的策略。</w:t>
      </w:r>
    </w:p>
    <w:p>
      <w:pPr>
        <w:spacing w:before="0" w:after="200" w:lineRule="auto" w:line="276"/>
      </w:pPr>
      <w:r>
        <w:rPr>
          <w:b/>
        </w:rPr>
        <w:t xml:space="preserve">Abstract (EN): </w:t>
      </w:r>
      <w:r>
        <w:t>Lithium-rich oxides (LROs) deliver an energy density of over 1000 Wh kg−1 for lithium-ion battery cathode applications, yet cycling-induced stress accumulation triggers structural degradation and poor cyclic stability. Herein, hierarchical twin structures are prefabricated in LROs. Prestress at twin boundaries forms interlaced stress networks to adaptively accommodate tensile/compressive strains upon cycling and dissipate localized stress concentration. The self-adaptive twin structure tolerates cyclic volume fluctuation, preserving the layered framework against irreversible spinel/rock-salt phase transition during long-term structural relaxation. The twin-modified LRO retains 94.98% capacity after 500 cycles (1 C) and 80.79% after 800 cycles, with 155.31 mAh g−1 at 5 C. The pouch cell delivers 12.59 Ah discharge capacity and maintains 84.83% capacity after 49 cycles. This work offers a strategy to tune electrochemo-mechanical properties for designing cathode materials.</w:t>
      </w:r>
    </w:p>
    <w:p>
      <w:pPr>
        <w:spacing w:before="120" w:after="120"/>
      </w:pPr>
      <w:r>
        <w:rPr>
          <w:sz w:val="18"/>
        </w:rPr>
        <w:t>——————————————————————————————————————————————————————————————————————</w:t>
      </w:r>
    </w:p>
    <w:p>
      <w:pPr>
        <w:spacing w:before="160" w:after="40" w:line="240" w:lineRule="auto"/>
      </w:pPr>
      <w:r>
        <w:rPr>
          <w:b/>
        </w:rPr>
        <w:t xml:space="preserve">[13] </w:t>
      </w:r>
      <w:hyperlink r:id="rId93">
        <w:r>
          <w:rPr>
            <w:color w:val="1155CC"/>
            <w:u w:val="single"/>
          </w:rPr>
          <w:t>解码全固态锂电池层状正极的多尺度退化：一种先进的诊断驱动框架</w:t>
        </w:r>
      </w:hyperlink>
    </w:p>
    <w:p>
      <w:pPr>
        <w:spacing w:before="0" w:after="80"/>
      </w:pPr>
      <w:r>
        <w:rPr>
          <w:i/>
          <w:sz w:val="20"/>
        </w:rPr>
        <w:t>EN: Decoding Multiscale Degradation of Layered Cathodes in All‐Solid‐State Lithium Batteries: An Advanced Diagnostics‐Driven Framework</w:t>
      </w:r>
    </w:p>
    <w:p>
      <w:pPr>
        <w:spacing w:before="0" w:after="120"/>
      </w:pPr>
      <w:r>
        <w:rPr>
          <w:b/>
        </w:rPr>
        <w:t xml:space="preserve">Source: </w:t>
      </w:r>
      <w:r>
        <w:t>Advanced Energy Materials</w:t>
      </w:r>
      <w:r>
        <w:t xml:space="preserve">    </w:t>
      </w:r>
      <w:r>
        <w:rPr>
          <w:b/>
        </w:rPr>
        <w:t xml:space="preserve">Pub date: </w:t>
      </w:r>
      <w:r>
        <w:t>2026-09-02 00:00:00+00:00</w:t>
      </w:r>
      <w:r>
        <w:t xml:space="preserve">    </w:t>
      </w:r>
      <w:r>
        <w:rPr>
          <w:b/>
        </w:rPr>
        <w:t xml:space="preserve">DOI: </w:t>
      </w:r>
      <w:hyperlink r:id="rId94">
        <w:r>
          <w:rPr>
            <w:color w:val="1155CC"/>
            <w:u w:val="single"/>
          </w:rPr>
          <w:t>10.1002/aenm.71528</w:t>
        </w:r>
      </w:hyperlink>
    </w:p>
    <w:p>
      <w:pPr>
        <w:spacing w:before="0" w:after="120"/>
      </w:pPr>
      <w:r>
        <w:rPr>
          <w:b/>
        </w:rPr>
        <w:t xml:space="preserve">Notes: </w:t>
      </w:r>
      <w:r>
        <w:t>abstract_source=crossref</w:t>
      </w:r>
    </w:p>
    <w:p>
      <w:pPr>
        <w:spacing w:before="0" w:after="80" w:lineRule="auto" w:line="276"/>
      </w:pPr>
      <w:r>
        <w:rPr>
          <w:b/>
        </w:rPr>
        <w:t xml:space="preserve">摘要（ZH）: </w:t>
      </w:r>
      <w:r>
        <w:t>摘要 采用层状氧化物正极（如LiNi1-x-yMnxCOyO2（NMC）、LiNi1-x-yCoxAlyO2（NCA）、LiNiO2（LNO）和富锂层状氧化物（LLOs））的全固态锂电池（ASSLBs）具有优异的能量密度和安全性，但其性能受到正极/无机固态电解质（SSE）界面以及正极体相中复杂、耦合的退化机制的严重限制。本综述建立了诊断-机制-缓解（D-M-M）框架，通过交叉验证从电子结构到电池层面的多模态诊断证据来解码这些多尺度退化现象。文章剖析了两类退化：界面退化（包括化学分解、空间电荷层形成和阻抗界面相生长）以及正极体相退化（包括结构相变、阳离子无序、氧损失和微裂纹）。借助先进的光谱、显微、3D成像及原位/工况方法，从诊断特征到机制，再到由此启发并经验证的缓解措施（从界面包覆到掺杂工程和微结构优化），逐一追踪每个退化级联过程。文中还评估了机器学习和人工智能在解释复杂诊断数据集和指导预测性正极设计方面的作用。该框架进一步扩展至实际相关条件（厚电极、低堆叠压力和大尺寸电池），并界定了该领域尚未解决的争议以及所需的实验。</w:t>
      </w:r>
    </w:p>
    <w:p>
      <w:pPr>
        <w:spacing w:before="0" w:after="200" w:lineRule="auto" w:line="276"/>
      </w:pPr>
      <w:r>
        <w:rPr>
          <w:b/>
        </w:rPr>
        <w:t xml:space="preserve">Abstract (EN): </w:t>
      </w:r>
      <w:r>
        <w:t>All‐solid‐state lithium batteries (ASSLBs) with layered oxide cathodes such as LiNi 1‐x‐y Mn x Co y O 2 (NMC), LiNi 1‐x‐y Co x Al y O 2 (NCA), LiNiO 2 (LNO), and lithium‐rich layered oxides (LLOs) offer superior energy density and safety, yet their performance is severely limited by complex, coupled degradation mechanisms at the cathode/inorganic solid‐state electrolyte (SSE) interface and within the cathode bulk. This review establishes a Diagnosis‐Mechanism‐Mitigation (D‐M‐M) framework that decodes these multiscale degradation phenomena by cross‐validating multimodal diagnostic evidence from electronic structure to the cell level. Two categories are dissected: interfacial degradation, encompassing chemical decomposition, space‐charge layer formation, and resistive interphase growth; and bulk cathode degradation, including structural phase transitions, cation disorder, oxygen loss, and microstructural cracking. Drawing on advanced spectroscopy, microscopy, 3D imaging, and in situ/operando methods, each degradation cascade is traced from its diagnostic signature to its mechanism and to the validated mitigation it informed, from interfacial coatings to dopant engineering and microstructure optimization. Machine learning and artificial intelligence are assessed for interpreting complex diagnostic datasets and guiding predictive cathode design. The framework is further extended to practically relevant conditions (thick electrodes, low stack pressure, and large‐format cells), and the field's unresolved controversies are delineated together with the experiments that would decide them.</w:t>
      </w:r>
    </w:p>
    <w:p>
      <w:pPr>
        <w:spacing w:before="120" w:after="120"/>
      </w:pPr>
      <w:r>
        <w:rPr>
          <w:sz w:val="18"/>
        </w:rPr>
        <w:t>——————————————————————————————————————————————————————————————————————</w:t>
      </w:r>
    </w:p>
    <w:p>
      <w:pPr>
        <w:spacing w:before="160" w:after="40" w:line="240" w:lineRule="auto"/>
      </w:pPr>
      <w:r>
        <w:rPr>
          <w:b/>
        </w:rPr>
        <w:t xml:space="preserve">[14] </w:t>
      </w:r>
      <w:hyperlink r:id="rId95">
        <w:r>
          <w:rPr>
            <w:color w:val="1155CC"/>
            <w:u w:val="single"/>
          </w:rPr>
          <w:t>质子捕获与接力协同设计实现pH中性全有机水系质子电池</w:t>
        </w:r>
      </w:hyperlink>
    </w:p>
    <w:p>
      <w:pPr>
        <w:spacing w:before="0" w:after="80"/>
      </w:pPr>
      <w:r>
        <w:rPr>
          <w:i/>
          <w:sz w:val="20"/>
        </w:rPr>
        <w:t>EN: Proton Capture and Relay Codesign Enables a pH‐Neutral All‐Organic Aqueous Proton Battery</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96">
        <w:r>
          <w:rPr>
            <w:color w:val="1155CC"/>
            <w:u w:val="single"/>
          </w:rPr>
          <w:t>10.1002/anie.8800816</w:t>
        </w:r>
      </w:hyperlink>
    </w:p>
    <w:p>
      <w:pPr>
        <w:spacing w:before="0" w:after="120"/>
      </w:pPr>
      <w:r>
        <w:rPr>
          <w:b/>
        </w:rPr>
        <w:t xml:space="preserve">Notes: </w:t>
      </w:r>
      <w:r>
        <w:t>abstract_source=crossref</w:t>
      </w:r>
    </w:p>
    <w:p>
      <w:pPr>
        <w:spacing w:before="0" w:after="80" w:lineRule="auto" w:line="276"/>
      </w:pPr>
      <w:r>
        <w:rPr>
          <w:b/>
        </w:rPr>
        <w:t xml:space="preserve">摘要（ZH）: </w:t>
      </w:r>
      <w:r>
        <w:t>摘要 水系全有机质子电池有望实现安全、可持续和高速率的储能，但在近中性条件下的运行受到质子活性低和非质子载流子竞争的阻碍。本文报道了一种质子捕获与接力协同设计策略，可在不使用强酸性电解液的情况下实现质子主导的电荷存储。该电极对由两种具有高质子亲和力的氮中心氧化还原分子组成：空气稳定的预质子化亚胺正极 DCTA-2H，以及低电位偶氮负极 BCC。电解液为高浓度 NH4OAc，这是一种近中性质子转移介质，其中 NH4 + 与亚胺/偶氮位点形成氢键接触，促进界面质子转移，而非主要以完整离子的形式被存储。所得 BCC||DCTA-2H 全电池放电电压约为 0.85 V，容量为 270.9 mAh g BCC −1，循环 3000 次后容量保持率为 86.5%，并可在 -50°C 下工作。本工作确立了电极-电解液协同设计作为近中性全有机水系质子电池的实现途径。</w:t>
      </w:r>
    </w:p>
    <w:p>
      <w:pPr>
        <w:spacing w:before="0" w:after="200" w:lineRule="auto" w:line="276"/>
      </w:pPr>
      <w:r>
        <w:rPr>
          <w:b/>
        </w:rPr>
        <w:t xml:space="preserve">Abstract (EN): </w:t>
      </w:r>
      <w:r>
        <w:t>Aqueous all‐organic proton batteries promise safe, sustainable, and high‐rate energy storage, but operation under near‐neutral conditions is hindered by low proton activity and competition from nonproton charge carriers. Here, we report a proton capture and relay codesign strategy that enables proton‐dominated charge storage without strongly acidic electrolytes. The electrode pair comprises two N‐centered redox molecules with high proton affinity: an air‐stable preprotonated imine cathode, DCTA‐2H, and a low‐potential azo anode, BCC. The electrolyte is concentrated NH 4 OAc, a near‐neutral proton‐transfer medium in which NH 4 + forms hydrogen‐bonded contacts with imine/azo sites and facilitates interfacial proton transfer rather than being stored predominantly as an intact ion. The resulting BCC||DCTA‐2H full cell delivers a discharge voltage of ≈0.85 V and a capacity of 270.9 mAh g BCC −1 , retains 86.5% of its capacity after 3,000 cycles, and remains operable at −50°C. This work establishes coupled electrode–electrolyte design as a route to near‐neutral all‐organic aqueous proton batteries.</w:t>
      </w:r>
    </w:p>
    <w:p>
      <w:pPr>
        <w:spacing w:before="120" w:after="120"/>
      </w:pPr>
      <w:r>
        <w:rPr>
          <w:sz w:val="18"/>
        </w:rPr>
        <w:t>——————————————————————————————————————————————————————————————————————</w:t>
      </w:r>
    </w:p>
    <w:p>
      <w:pPr>
        <w:spacing w:before="160" w:after="40" w:line="240" w:lineRule="auto"/>
      </w:pPr>
      <w:r>
        <w:rPr>
          <w:b/>
        </w:rPr>
        <w:t xml:space="preserve">[15] </w:t>
      </w:r>
      <w:hyperlink r:id="rId92">
        <w:r>
          <w:rPr>
            <w:color w:val="1155CC"/>
            <w:u w:val="single"/>
          </w:rPr>
          <w:t>智能响应与动态应力平衡结构赋予富锂氧化物正极长循环寿命</w:t>
        </w:r>
      </w:hyperlink>
    </w:p>
    <w:p>
      <w:pPr>
        <w:spacing w:before="0" w:after="80"/>
      </w:pPr>
      <w:r>
        <w:rPr>
          <w:i/>
          <w:sz w:val="20"/>
        </w:rPr>
        <w:t>EN: Intelligent Response and Dynamic Stress Equilibrium Structure Endow Lithium-Rich Oxide Cathodes with Long Cycle Life</w:t>
      </w:r>
    </w:p>
    <w:p>
      <w:pPr>
        <w:spacing w:before="0" w:after="120"/>
      </w:pPr>
      <w:r>
        <w:rPr>
          <w:b/>
        </w:rPr>
        <w:t xml:space="preserve">Source: </w:t>
      </w:r>
      <w:r>
        <w:t>ACS Energy Letters</w:t>
      </w:r>
      <w:r>
        <w:t xml:space="preserve">    </w:t>
      </w:r>
      <w:r>
        <w:rPr>
          <w:b/>
        </w:rPr>
        <w:t xml:space="preserve">Pub date: </w:t>
      </w:r>
      <w:r>
        <w:t>2026-09-02 00:00:00+00:00</w:t>
      </w:r>
      <w:r>
        <w:t xml:space="preserve">    </w:t>
      </w:r>
      <w:r>
        <w:rPr>
          <w:b/>
        </w:rPr>
        <w:t xml:space="preserve">DOI: </w:t>
      </w:r>
      <w:hyperlink r:id="rId92">
        <w:r>
          <w:rPr>
            <w:color w:val="1155CC"/>
            <w:u w:val="single"/>
          </w:rPr>
          <w:t>10.1021/acsenergylett.6c02095</w:t>
        </w:r>
      </w:hyperlink>
    </w:p>
    <w:p>
      <w:pPr>
        <w:spacing w:before="0" w:after="120"/>
      </w:pPr>
      <w:r>
        <w:rPr>
          <w:b/>
        </w:rPr>
        <w:t xml:space="preserve">Notes: </w:t>
      </w:r>
      <w:r>
        <w:t>abstract_source=crossref</w:t>
      </w:r>
    </w:p>
    <w:p>
      <w:pPr>
        <w:spacing w:before="0" w:after="80" w:lineRule="auto" w:line="276"/>
      </w:pPr>
      <w:r>
        <w:rPr>
          <w:b/>
        </w:rPr>
        <w:t xml:space="preserve">摘要（ZH）: </w:t>
      </w:r>
      <w:r>
        <w:t>摘要 富锂氧化物（LROs）在锂离子电池正极应用中可提供超过1000 Wh kg−1的能量密度，但循环引起的应力积累会引发结构退化和较差的循环稳定性。本文在LROs中预制了分级孪晶结构。孪晶界处的预应力形成交织的应力网络，可在循环过程中自适应地适应拉伸/压缩应变并耗散局部应力集中。这种自适应性孪晶结构可容忍循环体积波动，在长期结构弛豫过程中保持层状框架免受不可逆尖晶石/岩盐相变的影响。孪晶改性的LRO在500次循环（1 C）后保持94.98%的容量，在800次循环后保持80.79%，并在5 C下达到155.31 mAh g−1。软包电池提供12.59 Ah的放电容量，并在49次循环后保持84.83%的容量。这项工作为设计正极材料提供了调控电化学-机械性能的策略。</w:t>
      </w:r>
    </w:p>
    <w:p>
      <w:pPr>
        <w:spacing w:before="0" w:after="200" w:lineRule="auto" w:line="276"/>
      </w:pPr>
      <w:r>
        <w:rPr>
          <w:b/>
        </w:rPr>
        <w:t xml:space="preserve">Abstract (EN): </w:t>
      </w:r>
      <w:r>
        <w:t>Lithium-rich oxides (LROs) deliver an energy density of over 1000 Wh kg−1 for lithium-ion battery cathode applications, yet cycling-induced stress accumulation triggers structural degradation and poor cyclic stability. Herein, hierarchical twin structures are prefabricated in LROs. Prestress at twin boundaries forms interlaced stress networks to adaptively accommodate tensile/compressive strains upon cycling and dissipate localized stress concentration. The self-adaptive twin structure tolerates cyclic volume fluctuation, preserving the layered framework against irreversible spinel/rock-salt phase transition during long-term structural relaxation. The twin-modified LRO retains 94.98% capacity after 500 cycles (1 C) and 80.79% after 800 cycles, with 155.31 mAh g−1 at 5 C. The pouch cell delivers 12.59 Ah discharge capacity and maintains 84.83% capacity after 49 cycles. This work offers a strategy to tune electrochemo-mechanical properties for designing cathode materials.</w:t>
      </w:r>
    </w:p>
    <w:p>
      <w:pPr>
        <w:spacing w:before="120" w:after="120"/>
      </w:pPr>
      <w:r>
        <w:rPr>
          <w:sz w:val="18"/>
        </w:rPr>
        <w:t>——————————————————————————————————————————————————————————————————————</w:t>
      </w:r>
    </w:p>
    <w:p>
      <w:pPr>
        <w:spacing w:before="160" w:after="40" w:line="240" w:lineRule="auto"/>
      </w:pPr>
      <w:r>
        <w:rPr>
          <w:b/>
        </w:rPr>
        <w:t xml:space="preserve">[16] </w:t>
      </w:r>
      <w:hyperlink r:id="rId90">
        <w:r>
          <w:rPr>
            <w:color w:val="1155CC"/>
            <w:u w:val="single"/>
          </w:rPr>
          <w:t>胆碱阳离子调控界面电荷与双电层结构以实现低极化水系锌-硫电池</w:t>
        </w:r>
      </w:hyperlink>
    </w:p>
    <w:p>
      <w:pPr>
        <w:spacing w:before="0" w:after="80"/>
      </w:pPr>
      <w:r>
        <w:rPr>
          <w:i/>
          <w:sz w:val="20"/>
        </w:rPr>
        <w:t>EN: Regulating Interfacial Charge and Electric Double-Layer Structure by Choline Cations for Low-Polarization Aqueous Zinc–Sulfur Batteries</w:t>
      </w:r>
    </w:p>
    <w:p>
      <w:pPr>
        <w:spacing w:before="0" w:after="120"/>
      </w:pPr>
      <w:r>
        <w:rPr>
          <w:b/>
        </w:rPr>
        <w:t xml:space="preserve">Source: </w:t>
      </w:r>
      <w:r>
        <w:t>ACS Energy Letters</w:t>
      </w:r>
      <w:r>
        <w:t xml:space="preserve">    </w:t>
      </w:r>
      <w:r>
        <w:rPr>
          <w:b/>
        </w:rPr>
        <w:t xml:space="preserve">Pub date: </w:t>
      </w:r>
      <w:r>
        <w:t>2026-09-02 00:00:00+00:00</w:t>
      </w:r>
      <w:r>
        <w:t xml:space="preserve">    </w:t>
      </w:r>
      <w:r>
        <w:rPr>
          <w:b/>
        </w:rPr>
        <w:t xml:space="preserve">DOI: </w:t>
      </w:r>
      <w:hyperlink r:id="rId90">
        <w:r>
          <w:rPr>
            <w:color w:val="1155CC"/>
            <w:u w:val="single"/>
          </w:rPr>
          <w:t>10.1021/acsenergylett.6c02074</w:t>
        </w:r>
      </w:hyperlink>
    </w:p>
    <w:p>
      <w:pPr>
        <w:spacing w:before="0" w:after="120"/>
      </w:pPr>
      <w:r>
        <w:rPr>
          <w:b/>
        </w:rPr>
        <w:t xml:space="preserve">Notes: </w:t>
      </w:r>
      <w:r>
        <w:t>abstract_source=crossref</w:t>
      </w:r>
    </w:p>
    <w:p>
      <w:pPr>
        <w:spacing w:before="0" w:after="80" w:lineRule="auto" w:line="276"/>
      </w:pPr>
      <w:r>
        <w:rPr>
          <w:b/>
        </w:rPr>
        <w:t xml:space="preserve">摘要（ZH）: </w:t>
      </w:r>
      <w:r>
        <w:t>摘要 水系锌–硫电池（ZSBs）具有固有的安全性、低成本和可观的理论能量密度，但其性能受限于较低的放电电压平台。本文引入胆碱阳离子（Ch+）来调控硫正极界面的电荷分布和双电层（EDL）厚度，构建富Zn2+的薄双电层，从而有效抑制电压极化。Ch+不仅加速Zn2+跨越双电层的传输，还增强Zn2+在双电层区域内的富集，同步优化离子传输和界面动力学，促进S向ZnS的高效转化。在此条件下，该ZSB在0.1 A g–1下表现出1684 mAh g–1的比容量、0.31 V的低极化以及1108 Wh kg–1的能量密度，并在10 A g–1下循环1000次后仍保持601 mAh g–1。这项工作为实现低极化并突破ZSBs的能量密度瓶颈提供了指导。</w:t>
      </w:r>
    </w:p>
    <w:p>
      <w:pPr>
        <w:spacing w:before="0" w:after="200" w:lineRule="auto" w:line="276"/>
      </w:pPr>
      <w:r>
        <w:rPr>
          <w:b/>
        </w:rPr>
        <w:t xml:space="preserve">Abstract (EN): </w:t>
      </w:r>
      <w:r>
        <w:t>Aqueous zinc–sulfur batteries (ZSBs) offer inherent safety, low cost, and impressive theoretical energy density, but their performance is limited by a low discharge plateau. Here, choline cations (Ch+) are introduced to regulate the charge distribution and electric double-layer (EDL) thickness at the S cathode interface, constructing a Zn2+-enriched thin EDL that effectively suppresses voltage polarization. Ch+ not only accelerates Zn2+ transport across the EDL but also enhances Zn2+ enrichment within the EDL region, synchronously optimizing ion transport and interfacial kinetics to promote efficient S to ZnS conversion. Under this condition, the ZSB delivers a specific capacity of 1684 mAh g–1, a low polarization of 0.31 V and an energy density of 1108 Wh kg–1 at 0.1 A g–1, while retaining 601 mAh g–1 over 1000 cycles at 10 A g–1. This work provides a guideline for achieving low polarization and overcoming the energy density bottleneck in ZSBs.</w:t>
      </w:r>
    </w:p>
    <w:p>
      <w:pPr>
        <w:spacing w:before="120" w:after="120"/>
      </w:pPr>
      <w:r>
        <w:rPr>
          <w:sz w:val="18"/>
        </w:rPr>
        <w:t>——————————————————————————————————————————————————————————————————————</w:t>
      </w:r>
    </w:p>
    <w:p>
      <w:pPr>
        <w:spacing w:before="160" w:after="40" w:line="240" w:lineRule="auto"/>
      </w:pPr>
      <w:r>
        <w:rPr>
          <w:b/>
        </w:rPr>
        <w:t xml:space="preserve">[17] </w:t>
      </w:r>
      <w:hyperlink r:id="rId97">
        <w:r>
          <w:rPr>
            <w:color w:val="1155CC"/>
            <w:u w:val="single"/>
          </w:rPr>
          <w:t>双亲和主体工程实现高可逆锌-碘电池</w:t>
        </w:r>
      </w:hyperlink>
    </w:p>
    <w:p>
      <w:pPr>
        <w:spacing w:before="0" w:after="80"/>
      </w:pPr>
      <w:r>
        <w:rPr>
          <w:i/>
          <w:sz w:val="20"/>
        </w:rPr>
        <w:t>EN: Dual‐Affinity Host Engineering for Highly Reversible Zinc–Iodine Batteries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98">
        <w:r>
          <w:rPr>
            <w:color w:val="1155CC"/>
            <w:u w:val="single"/>
          </w:rPr>
          <w:t>10.1002/anie.5243975</w:t>
        </w:r>
      </w:hyperlink>
    </w:p>
    <w:p>
      <w:pPr>
        <w:spacing w:before="0" w:after="120"/>
      </w:pPr>
      <w:r>
        <w:rPr>
          <w:b/>
        </w:rPr>
        <w:t xml:space="preserve">Notes: </w:t>
      </w:r>
      <w:r>
        <w:t>abstract_source=crossref</w:t>
      </w:r>
    </w:p>
    <w:p>
      <w:pPr>
        <w:spacing w:before="0" w:after="80" w:lineRule="auto" w:line="276"/>
      </w:pPr>
      <w:r>
        <w:rPr>
          <w:b/>
        </w:rPr>
        <w:t xml:space="preserve">摘要（ZH）: </w:t>
      </w:r>
      <w:r>
        <w:t>摘要 水系锌–碘（Zn–I2）电池在大规模储能方面前景广阔，但其实际发展受到两个电极耦合退化的阻碍，包括锌负极的不稳定性和正极缓慢的碘动力学。现有方法通常侧重于对每个电极的单独优化，限制了全电池实现协同增强，且不可避免地增加了系统复杂性。本文通过将一维碳纳米管与二维蛭石纳米片集成，构建了双亲和性三维宿主。蛭石的引入克服了传统3D碳骨架固有的低极性以及对活性物质较弱的吸附能力。得益于具有高机械强度、优异导电性以及对Zn和多碘化物双重亲和力的致密堆叠混合结构，该3D宿主可同时调控锌沉积和碘转化化学。亲锌的蛭石调控Zn2+通量，降低成核势垒并促进均匀沉积，而多孔结构则通过物理限域和化学锚定的协同作用有效抑制多碘化物穿梭。因此，锌复合负极在20 mA cm−2、60%放电深度下循环3000次以上表现出卓越的循环稳定性，而集成的Zn–I2全电池在2000次循环后仍保持90.0%的容量保持率。这项工作为设计耐用、高效的Zn–I2电池提供了一条途径。</w:t>
      </w:r>
    </w:p>
    <w:p>
      <w:pPr>
        <w:spacing w:before="0" w:after="200" w:lineRule="auto" w:line="276"/>
      </w:pPr>
      <w:r>
        <w:rPr>
          <w:b/>
        </w:rPr>
        <w:t xml:space="preserve">Abstract (EN): </w:t>
      </w:r>
      <w:r>
        <w:t>Aqueous zinc–iodine (Zn–I 2 ) batteries are promising for large‐scale energy storage, yet their practical development is impeded by the coupled degradation of both electrodes, including instability Zn anode and sluggish iodine kinetics of cathode. Existing approaches typically focus on individual optimization of each electrode, limiting full cell to achieve synergistic enhancement and inevitably increases system complexity. Herein, a dual‐affinity three‐dimensional host is constructed by integrating one‐dimensional carbon nanotubes with two‐dimensional vermiculite nanosheets. The incorporation of vermiculite overcomes the intrinsically low polarity and weak adsorption capability with active material of the conventional 3D carbon frameworks. Benefiting from the densely stacked hybrid architecture with high mechanical strength, excellent electrical conductivity and dual affinity toward Zn and polyiodides, the 3D host concurrent regulate Zn deposition and iodine conversion chemistry. The zincophilic vermiculite regulate Zn 2+ flux, lower the nucleation barrier and promote uniform deposition, while the porous structure effectively suppress polyiodide shuttling through synergistic physical confinement and chemical anchoring. Consequently, the Zn composite anode exhibits remarkable cycling stability over 3000 cycles at 20 mA cm −2 at 60% depth‐of‐discharge, whereas the integrated Zn‐I 2 full cell maintains 90.0% capacity retention after 2000 cycles. This work offers a route for designing durable, highly efficient Zn‐I 2 batteries.</w:t>
      </w:r>
    </w:p>
    <w:p>
      <w:pPr>
        <w:spacing w:before="120" w:after="120"/>
      </w:pPr>
      <w:r>
        <w:rPr>
          <w:sz w:val="18"/>
        </w:rPr>
        <w:t>——————————————————————————————————————————————————————————————————————</w:t>
      </w:r>
    </w:p>
    <w:p>
      <w:pPr>
        <w:spacing w:before="160" w:after="40" w:line="240" w:lineRule="auto"/>
      </w:pPr>
      <w:r>
        <w:rPr>
          <w:b/>
        </w:rPr>
        <w:t xml:space="preserve">[18] </w:t>
      </w:r>
      <w:hyperlink r:id="rId98">
        <w:r>
          <w:rPr>
            <w:color w:val="1155CC"/>
            <w:u w:val="single"/>
          </w:rPr>
          <w:t>双亲和宿主工程实现高可逆锌–碘电池</w:t>
        </w:r>
      </w:hyperlink>
    </w:p>
    <w:p>
      <w:pPr>
        <w:spacing w:before="0" w:after="80"/>
      </w:pPr>
      <w:r>
        <w:rPr>
          <w:i/>
          <w:sz w:val="20"/>
        </w:rPr>
        <w:t>EN: Dual‐Affinity Host Engineering for Highly Reversible Zinc–Iodine Batteries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98">
        <w:r>
          <w:rPr>
            <w:color w:val="1155CC"/>
            <w:u w:val="single"/>
          </w:rPr>
          <w:t>10.1002/anie.5243975</w:t>
        </w:r>
      </w:hyperlink>
    </w:p>
    <w:p>
      <w:pPr>
        <w:spacing w:before="0" w:after="120"/>
      </w:pPr>
      <w:r>
        <w:rPr>
          <w:b/>
        </w:rPr>
        <w:t xml:space="preserve">Notes: </w:t>
      </w:r>
      <w:r>
        <w:t>abstract_source=crossref</w:t>
      </w:r>
    </w:p>
    <w:p>
      <w:pPr>
        <w:spacing w:before="0" w:after="80" w:lineRule="auto" w:line="276"/>
      </w:pPr>
      <w:r>
        <w:rPr>
          <w:b/>
        </w:rPr>
        <w:t xml:space="preserve">摘要（ZH）: </w:t>
      </w:r>
      <w:r>
        <w:t>摘要 水系锌-碘（Zn-I 2）电池在大规模储能方面前景广阔，但其实际发展受到两个电极耦合退化的阻碍，包括锌负极的不稳定性和正极缓慢的碘动力学。现有方法通常侧重于对每个电极的单独优化，限制了全电池实现协同增强，且不可避免地增加了系统复杂性。在此，通过将一维碳纳米管与二维蛭石纳米片集成，构建了双亲和性三维宿主。蛭石的引入克服了传统3D碳骨架固有极性低、对活性材料吸附能力弱的问题。得益于具有高机械强度、优异导电性以及对Zn和多碘化物双重亲和力的致密堆叠杂化结构，3D宿主可同时调控Zn沉积和碘转化化学。亲锌的蛭石调节Zn 2+通量，降低成核势垒并促进均匀沉积，而多孔结构通过物理限域和化学锚定的协同作用有效抑制多碘化物穿梭。因此，Zn复合负极在20 mA cm -2、60%放电深度下循环3000次以上表现出显著的循环稳定性，而集成Zn-I 2全电池在2000次循环后容量保持率为90.0%。这项工作为设计耐用、高效的Zn-I 2电池提供了一条途径。</w:t>
      </w:r>
    </w:p>
    <w:p>
      <w:pPr>
        <w:spacing w:before="0" w:after="200" w:lineRule="auto" w:line="276"/>
      </w:pPr>
      <w:r>
        <w:rPr>
          <w:b/>
        </w:rPr>
        <w:t xml:space="preserve">Abstract (EN): </w:t>
      </w:r>
      <w:r>
        <w:t>Aqueous zinc–iodine (Zn–I 2 ) batteries are promising for large‐scale energy storage, yet their practical development is impeded by the coupled degradation of both electrodes, including instability Zn anode and sluggish iodine kinetics of cathode. Existing approaches typically focus on individual optimization of each electrode, limiting full cell to achieve synergistic enhancement and inevitably increases system complexity. Herein, a dual‐affinity three‐dimensional host is constructed by integrating one‐dimensional carbon nanotubes with two‐dimensional vermiculite nanosheets. The incorporation of vermiculite overcomes the intrinsically low polarity and weak adsorption capability with active material of the conventional 3D carbon frameworks. Benefiting from the densely stacked hybrid architecture with high mechanical strength, excellent electrical conductivity and dual affinity toward Zn and polyiodides, the 3D host concurrent regulate Zn deposition and iodine conversion chemistry. The zincophilic vermiculite regulate Zn 2+ flux, lower the nucleation barrier and promote uniform deposition, while the porous structure effectively suppress polyiodide shuttling through synergistic physical confinement and chemical anchoring. Consequently, the Zn composite anode exhibits remarkable cycling stability over 3000 cycles at 20 mA cm −2 at 60% depth‐of‐discharge, whereas the integrated Zn‐I 2 full cell maintains 90.0% capacity retention after 2000 cycles. This work offers a route for designing durable, highly efficient Zn‐I 2 batteries.</w:t>
      </w:r>
    </w:p>
    <w:p>
      <w:pPr>
        <w:spacing w:before="120" w:after="120"/>
      </w:pPr>
      <w:r>
        <w:rPr>
          <w:sz w:val="18"/>
        </w:rPr>
        <w:t>——————————————————————————————————————————————————————————————————————</w:t>
      </w:r>
    </w:p>
    <w:p>
      <w:pPr>
        <w:spacing w:before="160" w:after="40" w:line="240" w:lineRule="auto"/>
      </w:pPr>
      <w:r>
        <w:rPr>
          <w:b/>
        </w:rPr>
        <w:t xml:space="preserve">[19] </w:t>
      </w:r>
      <w:hyperlink r:id="rId94">
        <w:r>
          <w:rPr>
            <w:color w:val="1155CC"/>
            <w:u w:val="single"/>
          </w:rPr>
          <w:t>解码全固态锂电池层状正极的多尺度退化：先进的诊断驱动框架</w:t>
        </w:r>
      </w:hyperlink>
    </w:p>
    <w:p>
      <w:pPr>
        <w:spacing w:before="0" w:after="80"/>
      </w:pPr>
      <w:r>
        <w:rPr>
          <w:i/>
          <w:sz w:val="20"/>
        </w:rPr>
        <w:t>EN: Decoding Multiscale Degradation of Layered Cathodes in All‐Solid‐State Lithium Batteries: An Advanced Diagnostics‐Driven Framework</w:t>
      </w:r>
    </w:p>
    <w:p>
      <w:pPr>
        <w:spacing w:before="0" w:after="120"/>
      </w:pPr>
      <w:r>
        <w:rPr>
          <w:b/>
        </w:rPr>
        <w:t xml:space="preserve">Source: </w:t>
      </w:r>
      <w:r>
        <w:t>Advanced Energy Materials</w:t>
      </w:r>
      <w:r>
        <w:t xml:space="preserve">    </w:t>
      </w:r>
      <w:r>
        <w:rPr>
          <w:b/>
        </w:rPr>
        <w:t xml:space="preserve">Pub date: </w:t>
      </w:r>
      <w:r>
        <w:t>2026-09-02 00:00:00+00:00</w:t>
      </w:r>
      <w:r>
        <w:t xml:space="preserve">    </w:t>
      </w:r>
      <w:r>
        <w:rPr>
          <w:b/>
        </w:rPr>
        <w:t xml:space="preserve">DOI: </w:t>
      </w:r>
      <w:hyperlink r:id="rId94">
        <w:r>
          <w:rPr>
            <w:color w:val="1155CC"/>
            <w:u w:val="single"/>
          </w:rPr>
          <w:t>10.1002/aenm.71528</w:t>
        </w:r>
      </w:hyperlink>
    </w:p>
    <w:p>
      <w:pPr>
        <w:spacing w:before="0" w:after="120"/>
      </w:pPr>
      <w:r>
        <w:rPr>
          <w:b/>
        </w:rPr>
        <w:t xml:space="preserve">Notes: </w:t>
      </w:r>
      <w:r>
        <w:t>abstract_source=crossref</w:t>
      </w:r>
    </w:p>
    <w:p>
      <w:pPr>
        <w:spacing w:before="0" w:after="80" w:lineRule="auto" w:line="276"/>
      </w:pPr>
      <w:r>
        <w:rPr>
          <w:b/>
        </w:rPr>
        <w:t xml:space="preserve">摘要（ZH）: </w:t>
      </w:r>
      <w:r>
        <w:t>摘要 采用层状氧化物正极（如LiNi 1-x-y Mn x Co y O 2（NMC）、LiNi 1-x-y Co x Al y O 2（NCA）、LiNiO 2（LNO）和富锂层状氧化物（LLOs））的全固态锂电池（ASSLBs）具有优异的能量密度和安全性，但其性能受到正极/无机固态电解质（SSE）界面以及正极体相内复杂、耦合的退化机制的严重限制。本综述建立了一个诊断-机理-缓解（D-M-M）框架，通过交叉验证从电子结构到电池级的多模态诊断证据来解析这些多尺度退化现象。剖析了两类退化：界面退化，包括化学分解、空间电荷层形成和阻抗性界面相生长；以及正极体相退化，包括结构相变、阳离子无序、氧损失和微裂纹。借助先进的光谱学、显微学、3D成像以及原位/工况方法，从诊断特征到机理再到其指导的经过验证的缓解措施（从界面包覆到掺杂工程和微结构优化），逐一追溯每条退化级联路径。评估了机器学习和人工智能在解释复杂诊断数据集和指导预测性正极设计方面的作用。该框架进一步扩展到实际相关条件（厚电极、低堆叠压力和大尺寸电池），并界定了该领域尚未解决的争议以及能够解决的实验</w:t>
      </w:r>
    </w:p>
    <w:p>
      <w:pPr>
        <w:spacing w:before="0" w:after="200" w:lineRule="auto" w:line="276"/>
      </w:pPr>
      <w:r>
        <w:rPr>
          <w:b/>
        </w:rPr>
        <w:t xml:space="preserve">Abstract (EN): </w:t>
      </w:r>
      <w:r>
        <w:t>All‐solid‐state lithium batteries (ASSLBs) with layered oxide cathodes such as LiNi 1‐x‐y Mn x Co y O 2 (NMC), LiNi 1‐x‐y Co x Al y O 2 (NCA), LiNiO 2 (LNO), and lithium‐rich layered oxides (LLOs) offer superior energy density and safety, yet their performance is severely limited by complex, coupled degradation mechanisms at the cathode/inorganic solid‐state electrolyte (SSE) interface and within the cathode bulk. This review establishes a Diagnosis‐Mechanism‐Mitigation (D‐M‐M) framework that decodes these multiscale degradation phenomena by cross‐validating multimodal diagnostic evidence from electronic structure to the cell level. Two categories are dissected: interfacial degradation, encompassing chemical decomposition, space‐charge layer formation, and resistive interphase growth; and bulk cathode degradation, including structural phase transitions, cation disorder, oxygen loss, and microstructural cracking. Drawing on advanced spectroscopy, microscopy, 3D imaging, and in situ/operando methods, each degradation cascade is traced from its diagnostic signature to its mechanism and to the validated mitigation it informed, from interfacial coatings to dopant engineering and microstructure optimization. Machine learning and artificial intelligence are assessed for interpreting complex diagnostic datasets and guiding predictive cathode design. The framework is further extended to practically relevant conditions (thick electrodes, low stack pressure, and large‐format cells), and the field's unresolved controversies are delineated together with the experiments that would decide them.</w:t>
      </w:r>
    </w:p>
    <w:p>
      <w:pPr>
        <w:spacing w:before="120" w:after="120"/>
      </w:pPr>
      <w:r>
        <w:rPr>
          <w:sz w:val="18"/>
        </w:rPr>
        <w:t>——————————————————————————————————————————————————————————————————————</w:t>
      </w:r>
    </w:p>
    <w:p>
      <w:pPr>
        <w:spacing w:before="160" w:after="40" w:line="240" w:lineRule="auto"/>
      </w:pPr>
      <w:r>
        <w:rPr>
          <w:b/>
        </w:rPr>
        <w:t xml:space="preserve">[20] </w:t>
      </w:r>
      <w:hyperlink r:id="rId99">
        <w:r>
          <w:rPr>
            <w:color w:val="1155CC"/>
            <w:u w:val="single"/>
          </w:rPr>
          <w:t>通过镧掺杂MnO2正极提升水系锌离子电池的可逆性与容量</w:t>
        </w:r>
      </w:hyperlink>
    </w:p>
    <w:p>
      <w:pPr>
        <w:spacing w:before="0" w:after="80"/>
      </w:pPr>
      <w:r>
        <w:rPr>
          <w:i/>
          <w:sz w:val="20"/>
        </w:rPr>
        <w:t>EN: Boosting Reversibility and Capacity in Aqueous Zinc-Ion Batteries via Lanthanum-Doped MnO2 Cathodes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100">
        <w:r>
          <w:rPr>
            <w:color w:val="1155CC"/>
            <w:u w:val="single"/>
          </w:rPr>
          <w:t>10.1021/acsami.6c10899</w:t>
        </w:r>
      </w:hyperlink>
    </w:p>
    <w:p>
      <w:pPr>
        <w:spacing w:before="0" w:after="120"/>
      </w:pPr>
      <w:r>
        <w:rPr>
          <w:b/>
        </w:rPr>
        <w:t xml:space="preserve">Notes: </w:t>
      </w:r>
      <w:r>
        <w:t>abstract_source=crossref</w:t>
      </w:r>
    </w:p>
    <w:p>
      <w:pPr>
        <w:spacing w:before="0" w:after="80" w:lineRule="auto" w:line="276"/>
      </w:pPr>
      <w:r>
        <w:rPr>
          <w:b/>
        </w:rPr>
        <w:t xml:space="preserve">摘要（ZH）: </w:t>
      </w:r>
      <w:r>
        <w:t>摘要 锰基水系锌离子电池（AZIB）由于其安全性、低成本和环境可持续性而被认为是大规模储能的有前途的候选者。然而，它们的实际应用受到锰基正极的导电性差和结构不稳定性的限制，特别是循环过程中活性材料的溶解。在这项研究中，通过机械化学反应合成了掺镧二氧化锰（La掺杂MnO2），然后通过退火来克服这些挑战。镧的加入显着提高了MnO2的导电性和结构稳定性。因此，La掺杂MnO2正极具有增强的电化学性能，在0.1 A·g–1下实现了288 mA·h·g–1的高比容量，并且具有出色的循环稳定性，500次循环后在0.4 A·g–1下容量保持率为81%。这些结果揭示了 La 掺杂 MnO2 作为下一代水性 ZIB 的高性能阴极材料的潜力。</w:t>
      </w:r>
    </w:p>
    <w:p>
      <w:pPr>
        <w:spacing w:before="0" w:after="200" w:lineRule="auto" w:line="276"/>
      </w:pPr>
      <w:r>
        <w:rPr>
          <w:b/>
        </w:rPr>
        <w:t xml:space="preserve">Abstract (EN): </w:t>
      </w:r>
      <w:r>
        <w:t>Manganese-based aqueous zinc-ion batteries (AZIBs) are regarded as promising candidates for large-scale energy storage owing to their safety, low cost, and environmental sustainability. Nevertheless, their practical deployment is limited by the poor electrical conductivity and structural instability of manganese-based cathodes, particularly the dissolution of active materials during cycling. In this study, lanthanum-doped manganese dioxide (La-doped MnO2) was synthesized through a mechanochemical reaction, followed by annealing to overcome these challenges. The incorporation of lanthanum markedly improves both the electrical conductivity and structural stability of MnO2. Consequently, the La-doped MnO2 cathode delivers enhanced electrochemical performance, achieving a high specific capacity of 288 mA·h·g–1 at 0.1 A·g–1 and excellent cycling stability, with 81% capacity retention at 0.4 A·g–1 after 500 cycles. These results reveal the potential of La-doped MnO2 as a high-performance cathode material for next-generation aqueous ZIBs.</w:t>
      </w:r>
    </w:p>
    <w:p>
      <w:pPr>
        <w:spacing w:before="120" w:after="120"/>
      </w:pPr>
      <w:r>
        <w:rPr>
          <w:sz w:val="18"/>
        </w:rPr>
        <w:t>——————————————————————————————————————————————————————————————————————</w:t>
      </w:r>
    </w:p>
    <w:p>
      <w:pPr>
        <w:spacing w:before="160" w:after="40" w:line="240" w:lineRule="auto"/>
      </w:pPr>
      <w:r>
        <w:rPr>
          <w:b/>
        </w:rPr>
        <w:t xml:space="preserve">[21] </w:t>
      </w:r>
      <w:hyperlink r:id="rId101">
        <w:r>
          <w:rPr>
            <w:color w:val="1155CC"/>
            <w:u w:val="single"/>
          </w:rPr>
          <w:t>阐明O3型NaNi1/3Fe1/3Mn1/3O2中高压衰减的抑制机制：一种钠离子电池的电压切换策略</w:t>
        </w:r>
      </w:hyperlink>
    </w:p>
    <w:p>
      <w:pPr>
        <w:spacing w:before="0" w:after="80"/>
      </w:pPr>
      <w:r>
        <w:rPr>
          <w:i/>
          <w:sz w:val="20"/>
        </w:rPr>
        <w:t>EN: Elucidating the Suppression of High‐Voltage Degradation in O3‐type NaNi 1/3 Fe 1/3 Mn 1/3 O 2 : A Voltage‐Switching Strategy for Na‐ion Batteries</w:t>
      </w:r>
    </w:p>
    <w:p>
      <w:pPr>
        <w:spacing w:before="0" w:after="120"/>
      </w:pPr>
      <w:r>
        <w:rPr>
          <w:b/>
        </w:rPr>
        <w:t xml:space="preserve">Source: </w:t>
      </w:r>
      <w:r>
        <w:t>Advanced Energy Materials</w:t>
      </w:r>
      <w:r>
        <w:t xml:space="preserve">    </w:t>
      </w:r>
      <w:r>
        <w:rPr>
          <w:b/>
        </w:rPr>
        <w:t xml:space="preserve">Pub date: </w:t>
      </w:r>
      <w:r>
        <w:t>2026-09-03 00:00:00+00:00</w:t>
      </w:r>
      <w:r>
        <w:t xml:space="preserve">    </w:t>
      </w:r>
      <w:r>
        <w:rPr>
          <w:b/>
        </w:rPr>
        <w:t xml:space="preserve">DOI: </w:t>
      </w:r>
      <w:hyperlink r:id="rId102">
        <w:r>
          <w:rPr>
            <w:color w:val="1155CC"/>
            <w:u w:val="single"/>
          </w:rPr>
          <w:t>10.1002/aenm.71535</w:t>
        </w:r>
      </w:hyperlink>
    </w:p>
    <w:p>
      <w:pPr>
        <w:spacing w:before="0" w:after="120"/>
      </w:pPr>
      <w:r>
        <w:rPr>
          <w:b/>
        </w:rPr>
        <w:t xml:space="preserve">Notes: </w:t>
      </w:r>
      <w:r>
        <w:t>abstract_source=crossref</w:t>
      </w:r>
    </w:p>
    <w:p>
      <w:pPr>
        <w:spacing w:before="0" w:after="80" w:lineRule="auto" w:line="276"/>
      </w:pPr>
      <w:r>
        <w:rPr>
          <w:b/>
        </w:rPr>
        <w:t xml:space="preserve">摘要（ZH）: </w:t>
      </w:r>
      <w:r>
        <w:t>摘要：提高充电深度（DoC）可提高钠离子电池层状氧化物阴极的能量密度；然而，如此高的 DoC 循环不可避免地会引发严重的结构和界面退化。在实践中，电池管理系统通常根据电池的健康状况动态调整电压降额策略，从而在能量密度和循环寿命之间实现有利的权衡。然而，一个关键但被忽视的问题仍然存在：当恢复到中等 DoC 循环时，高 DoC 诱导的受损区域如何演变。在这里，使用 NaNi 1/3 Fe 1/3 Mn 1/3 O 2 (NFM111) 作为原型，采用电压切换策略来阐明这些受损区域的动态和长期行为。在高 DoC 循环（充电至 4.3 V）期间，容量快速衰减是由大量缺陷和界面无序尖晶石相的明显形成驱动的。然而，将这些细胞切换到中等 DoC 循环（充电至 4.0 V）后，这些预先存在的受损区域变得稳定：它们的快速增殖受到抑制，并且它们不再加速周围完整区域的降解。这使得降解的 NFM111 能够提供与仅在中等 DoC 条件下循环的电池相当的容量保留率。这项工作展示了 NFM111 阴极中高 DoC 退化和随后的中等 DoC 稳定的动态和演变图景，为电压降额过程和受损电池的寿命延长提供了机制见解。</w:t>
      </w:r>
    </w:p>
    <w:p>
      <w:pPr>
        <w:spacing w:before="0" w:after="200" w:lineRule="auto" w:line="276"/>
      </w:pPr>
      <w:r>
        <w:rPr>
          <w:b/>
        </w:rPr>
        <w:t xml:space="preserve">Abstract (EN): </w:t>
      </w:r>
      <w:r>
        <w:t>Elevating depth‐of‐charge (DoC) enhances the energy density of layered oxide cathodes for sodium‐ion batteries; however, such high‐DoC cycling inevitably triggers severe structural and interfacial degradation. In practice, battery management systems commonly adapt voltage‐derating strategies dynamically according to battery state of health, achieving a favorable trade‐off between energy density and cycle life. Nevertheless, a critical yet overlooked question remains: how high‐DoC‐induced damaged regions evolve when reverted to moderate‐DoC cycling. Here, using NaNi 1/3 Fe 1/3 Mn 1/3 O 2 (NFM111) as a prototype, a voltage‐switching strategy is employed to elucidate the dynamic and long‐term behavior of these damaged regions. During high‐DoC cycling (charging to 4.3 V), the rapid capacity fading is driven by pronounced formation of bulk defects and interfacial disordered spinel phases. However, upon switching these cells to moderate‐DoC cycling (charging to 4.0 V), these pre‐existing damaged regions become stabilized: their rapid propagation is suppressed, and they no longer accelerate degradation in surrounding intact regions. This enables degraded NFM111 to deliver capacity retention comparable to that of cells cycled solely under moderate‐DoC conditions. This work presents a dynamic and evolving picture of high‐DoC degradation and subsequent moderate‐DoC stabilization in NFM111 cathodes, providing mechanistic insights into voltage‐derating process and the lifetime prolongation of compromised cells.</w:t>
      </w:r>
    </w:p>
    <w:p>
      <w:pPr>
        <w:spacing w:before="120" w:after="120"/>
      </w:pPr>
      <w:r>
        <w:rPr>
          <w:sz w:val="18"/>
        </w:rPr>
        <w:t>——————————————————————————————————————————————————————————————————————</w:t>
      </w:r>
    </w:p>
    <w:p>
      <w:pPr>
        <w:spacing w:before="160" w:after="40" w:line="240" w:lineRule="auto"/>
      </w:pPr>
      <w:r>
        <w:rPr>
          <w:b/>
        </w:rPr>
        <w:t xml:space="preserve">[22] </w:t>
      </w:r>
      <w:hyperlink r:id="rId103">
        <w:r>
          <w:rPr>
            <w:color w:val="1155CC"/>
            <w:u w:val="single"/>
          </w:rPr>
          <w:t>通过单颗粒电极解析铝-硫电池中的电催化硫还原反应</w:t>
        </w:r>
      </w:hyperlink>
    </w:p>
    <w:p>
      <w:pPr>
        <w:spacing w:before="0" w:after="80"/>
      </w:pPr>
      <w:r>
        <w:rPr>
          <w:i/>
          <w:sz w:val="20"/>
        </w:rPr>
        <w:t>EN: Deciphering Electrocatalytic Sulfur Reduction Reactions in Al–S Batteries via Single-Particle Electrodes</w:t>
      </w:r>
    </w:p>
    <w:p>
      <w:pPr>
        <w:spacing w:before="0" w:after="120"/>
      </w:pPr>
      <w:r>
        <w:rPr>
          <w:b/>
        </w:rPr>
        <w:t xml:space="preserve">Source: </w:t>
      </w:r>
      <w:r>
        <w:t>Journal of the American Chemical Society: Latest Articles (ACS Publications)</w:t>
      </w:r>
      <w:r>
        <w:t xml:space="preserve">    </w:t>
      </w:r>
      <w:r>
        <w:rPr>
          <w:b/>
        </w:rPr>
        <w:t xml:space="preserve">Pub date: </w:t>
      </w:r>
      <w:r>
        <w:t>2026-09-03 00:00:00+00:00</w:t>
      </w:r>
      <w:r>
        <w:t xml:space="preserve">    </w:t>
      </w:r>
      <w:r>
        <w:rPr>
          <w:b/>
        </w:rPr>
        <w:t xml:space="preserve">DOI: </w:t>
      </w:r>
      <w:hyperlink r:id="rId104">
        <w:r>
          <w:rPr>
            <w:color w:val="1155CC"/>
            <w:u w:val="single"/>
          </w:rPr>
          <w:t>10.1021/jacs.6c08648</w:t>
        </w:r>
      </w:hyperlink>
    </w:p>
    <w:p>
      <w:pPr>
        <w:spacing w:before="0" w:after="120"/>
      </w:pPr>
      <w:r>
        <w:rPr>
          <w:b/>
        </w:rPr>
        <w:t xml:space="preserve">Notes: </w:t>
      </w:r>
      <w:r>
        <w:t>abstract_source=crossref</w:t>
      </w:r>
    </w:p>
    <w:p>
      <w:pPr>
        <w:spacing w:before="0" w:after="80" w:lineRule="auto" w:line="276"/>
      </w:pPr>
      <w:r>
        <w:rPr>
          <w:b/>
        </w:rPr>
        <w:t xml:space="preserve">摘要（ZH）: </w:t>
      </w:r>
      <w:r>
        <w:t>摘要 动力学缓慢的硫还原反应（SRR）控制着超高容量铝硫电池的性能，而破译SRR过程对于合理地电催化反应动力学以释放其全部能量输出至关重要。为了克服这一挑战，开发了一种单颗粒电化学方法来研究钴/镍和氮共掺杂石墨烯（CoNi-NG）电催化剂上的 SRR 过程。 SRR过程涉及S8→Al2S8→Al2S4→Al2S3的主要路线和Al2S8→Al2S6→Al2S4的次要路线，其中Al2S4转化控制整个SRR动力学，而Al2S4由于其最快的生成和最慢的消耗而对穿梭效应贡献最大。 CoNi-NG 通过 Ni-to-Co 电子转移提高 Co d 轨道能级，以加速多硫化物的裂解，从而使决定速率的 Al2S4 转化的交换电流密度加倍。因此，硫复合材料（S@CoNi-NG）电极的比容量为~1480 mAh gsulfur-1。这种用于定量解读电催化 SRR 的单粒子方法为合理增强电池性能提供了机械指导。</w:t>
      </w:r>
    </w:p>
    <w:p>
      <w:pPr>
        <w:spacing w:before="0" w:after="200" w:lineRule="auto" w:line="276"/>
      </w:pPr>
      <w:r>
        <w:rPr>
          <w:b/>
        </w:rPr>
        <w:t xml:space="preserve">Abstract (EN): </w:t>
      </w:r>
      <w:r>
        <w:t>The kinetically sluggish sulfur reduction reaction (SRR) governs the performance of ultrahigh-capacity aluminum–sulfur batteries, while deciphering the SRR process is critical for rationally electrocatalyzing reaction kinetics to unlock their full energy output. To overcome this challenge, a single-particle electrochemical methodology has been developed to investigate the SRR process on a cobalt/nickel and nitrogen codoped graphene (CoNi-NG) electrocatalyst. The SRR process involves a major route of S8 → Al2S8 → Al2S4 → Al2S3 with a minor route of Al2S8 → Al2S6 → Al2S4, where Al2S4 conversion governs the overall SRR kinetics and Al2S4 contributes the most to the shuttle effect owing to its fastest generation and slowest consumption. The CoNi-NG raises the Co d-orbital energy level via Ni-to-Co electron transfer to accelerate cleavage of polysulfides, which doubles the exchange current density of rate-determining Al2S4 conversion. Consequently, the sulfur composite (S@CoNi-NG) electrode delivers a specific capacity of ∼1480 mAh gsulfur–1. Such a single-particle methodology for quantitatively deciphering electrocatalytic SRRs offers mechanistic guidance for rationally enhancing battery performance.</w:t>
      </w:r>
    </w:p>
    <w:p>
      <w:pPr>
        <w:spacing w:before="120" w:after="120"/>
      </w:pPr>
      <w:r>
        <w:rPr>
          <w:sz w:val="18"/>
        </w:rPr>
        <w:t>——————————————————————————————————————————————————————————————————————</w:t>
      </w:r>
    </w:p>
    <w:p>
      <w:pPr>
        <w:spacing w:before="160" w:after="40" w:line="240" w:lineRule="auto"/>
      </w:pPr>
      <w:r>
        <w:rPr>
          <w:b/>
        </w:rPr>
        <w:t xml:space="preserve">[23] </w:t>
      </w:r>
      <w:hyperlink r:id="rId105">
        <w:r>
          <w:rPr>
            <w:color w:val="1155CC"/>
            <w:u w:val="single"/>
          </w:rPr>
          <w:t>纳米In 2 O 3诱导快速动力学与稳定界面助力高载量固态正极</w:t>
        </w:r>
      </w:hyperlink>
    </w:p>
    <w:p>
      <w:pPr>
        <w:spacing w:before="0" w:after="80"/>
      </w:pPr>
      <w:r>
        <w:rPr>
          <w:i/>
          <w:sz w:val="20"/>
        </w:rPr>
        <w:t>EN: Nanoscale In 2 O 3 Induced Fast Kinetics and Stable Interface for High‐Loading Solid‐State Cathode</w:t>
      </w:r>
    </w:p>
    <w:p>
      <w:pPr>
        <w:spacing w:before="0" w:after="120"/>
      </w:pPr>
      <w:r>
        <w:rPr>
          <w:b/>
        </w:rPr>
        <w:t xml:space="preserve">Source: </w:t>
      </w:r>
      <w:r>
        <w:t>Advanced Energy Materials</w:t>
      </w:r>
      <w:r>
        <w:t xml:space="preserve">    </w:t>
      </w:r>
      <w:r>
        <w:rPr>
          <w:b/>
        </w:rPr>
        <w:t xml:space="preserve">Pub date: </w:t>
      </w:r>
      <w:r>
        <w:t>2026-09-03 00:00:00+00:00</w:t>
      </w:r>
      <w:r>
        <w:t xml:space="preserve">    </w:t>
      </w:r>
      <w:r>
        <w:rPr>
          <w:b/>
        </w:rPr>
        <w:t xml:space="preserve">DOI: </w:t>
      </w:r>
      <w:hyperlink r:id="rId106">
        <w:r>
          <w:rPr>
            <w:color w:val="1155CC"/>
            <w:u w:val="single"/>
          </w:rPr>
          <w:t>10.1002/aenm.71543</w:t>
        </w:r>
      </w:hyperlink>
    </w:p>
    <w:p>
      <w:pPr>
        <w:spacing w:before="0" w:after="120"/>
      </w:pPr>
      <w:r>
        <w:rPr>
          <w:b/>
        </w:rPr>
        <w:t xml:space="preserve">Notes: </w:t>
      </w:r>
      <w:r>
        <w:t>abstract_source=crossref</w:t>
      </w:r>
    </w:p>
    <w:p>
      <w:pPr>
        <w:spacing w:before="0" w:after="80" w:lineRule="auto" w:line="276"/>
      </w:pPr>
      <w:r>
        <w:rPr>
          <w:b/>
        </w:rPr>
        <w:t xml:space="preserve">摘要（ZH）: </w:t>
      </w:r>
      <w:r>
        <w:t>摘要 采用高载量正极的硫化物基全固态锂电池（ASSLBs）目前受限于缓慢的Li⁺/电子动力学和较差的界面相容性。传统碳添加剂虽然导电性高，但常与硫化物电解质引发有害副反应。为缓解这些问题，我们引入了一种多功能纳米级In₂O₃导电剂，通过简便的一步球磨工艺复合。该纳米In₂O₃有效介导了大的Li₅.₅PS₄.₅Cl₁.₅（LPSC）与LiNi₀.₈Co₀.₁Mn₀.₁O₂（NCM811）颗粒之间的相互作用，提升了混合均匀性和碰撞效率。所得复合正极具有低迂曲度的Li⁺传输网络，并在颗粒间隙内建立了快速的“NCM‐纳米In₂O₃‐NCM”电子通路。关键的是，In₂O₃改善了LPSC与导电添加剂之间的界面相容性，抑制了界面退化。因此，高载量正极（18.34 mg cm⁻²）在3C下表现出131 mAh g⁻¹的比容量，并展现出优异的循环性能，NCM811||Li电池在500次循环后容量保持率为97.6%。该策略凸显了纳米金属氧化物添加剂通过优化界面与传输动力学实现高能量密度ASSLBs的潜力。</w:t>
      </w:r>
    </w:p>
    <w:p>
      <w:pPr>
        <w:spacing w:before="0" w:after="200" w:lineRule="auto" w:line="276"/>
      </w:pPr>
      <w:r>
        <w:rPr>
          <w:b/>
        </w:rPr>
        <w:t xml:space="preserve">Abstract (EN): </w:t>
      </w:r>
      <w:r>
        <w:t>Sulfide‐based all‐solid‐state lithium batteries (ASSLBs) with high‐loading cathodes are currently hindered by sluggish Li + /electron kinetics and poor interfacial compatibility. Conventional carbon additives, despite their high conductivity, often trigger detrimental side reactions with sulfide electrolytes. To mitigate these issues, we introduce a multifunctional nanoscale In 2 O 3 conductive agent, integrated via a facile one‐step ball milling process. This nano‐In 2 O 3 effectively mediates interactions between large Li 5.5 PS 4.5 Cl 1.5 (LPSC) and LiNi 0.8 Co 0.1 Mn 0.1 O 2 (NCM811) particles, enhancing mixing homogeneity and collision efficiency. The resulting composite cathode features a low‐tortuosity Li + transport network and establishes rapid “NCM‐nano In 2 O 3 ‐NCM” electronic pathways within particle gaps. Crucially, In 2 O 3 improves interfacial compatibility between the LPSC and conductive additives, suppressing interfacial degradation. Consequently, a high‐loading cathode (18.34 mg cm −2 ) demonstrates a specific capacity of 131 mAh g −1 at 3C and exhibits excellent cyclability, retaining 97.6% capacity after 500 cycles in NCM811||Li cells. This strategy highlights the potential of nanoscale metal oxide additives for achieving high‐energy‐density ASSLBs through optimized interfacial and transport kinetics.</w:t>
      </w:r>
    </w:p>
    <w:p>
      <w:pPr>
        <w:spacing w:before="120" w:after="120"/>
      </w:pPr>
      <w:r>
        <w:rPr>
          <w:sz w:val="18"/>
        </w:rPr>
        <w:t>——————————————————————————————————————————————————————————————————————</w:t>
      </w:r>
    </w:p>
    <w:p>
      <w:pPr>
        <w:spacing w:before="160" w:after="40" w:line="240" w:lineRule="auto"/>
      </w:pPr>
      <w:r>
        <w:rPr>
          <w:b/>
        </w:rPr>
        <w:t xml:space="preserve">[24] </w:t>
      </w:r>
      <w:hyperlink r:id="rId107">
        <w:r>
          <w:rPr>
            <w:color w:val="1155CC"/>
            <w:u w:val="single"/>
          </w:rPr>
          <w:t>通过精确静电钉扎与梯度屏蔽打破富锂层状氧化物正极的降解多米诺效应</w:t>
        </w:r>
      </w:hyperlink>
    </w:p>
    <w:p>
      <w:pPr>
        <w:spacing w:before="0" w:after="80"/>
      </w:pPr>
      <w:r>
        <w:rPr>
          <w:i/>
          <w:sz w:val="20"/>
        </w:rPr>
        <w:t>EN: Breaking the Degradation Domino in Li‐Rich Layered Oxide Cathode Via Precise Electrostatic Pinning and Gradient Shielding</w:t>
      </w:r>
    </w:p>
    <w:p>
      <w:pPr>
        <w:spacing w:before="0" w:after="120"/>
      </w:pPr>
      <w:r>
        <w:rPr>
          <w:b/>
        </w:rPr>
        <w:t xml:space="preserve">Source: </w:t>
      </w:r>
      <w:r>
        <w:t>Advanced Energy Materials</w:t>
      </w:r>
      <w:r>
        <w:t xml:space="preserve">    </w:t>
      </w:r>
      <w:r>
        <w:rPr>
          <w:b/>
        </w:rPr>
        <w:t xml:space="preserve">Pub date: </w:t>
      </w:r>
      <w:r>
        <w:t>2026-09-03 00:00:00+00:00</w:t>
      </w:r>
      <w:r>
        <w:t xml:space="preserve">    </w:t>
      </w:r>
      <w:r>
        <w:rPr>
          <w:b/>
        </w:rPr>
        <w:t xml:space="preserve">DOI: </w:t>
      </w:r>
      <w:hyperlink r:id="rId108">
        <w:r>
          <w:rPr>
            <w:color w:val="1155CC"/>
            <w:u w:val="single"/>
          </w:rPr>
          <w:t>10.1002/aenm.71518</w:t>
        </w:r>
      </w:hyperlink>
    </w:p>
    <w:p>
      <w:pPr>
        <w:spacing w:before="0" w:after="120"/>
      </w:pPr>
      <w:r>
        <w:rPr>
          <w:b/>
        </w:rPr>
        <w:t xml:space="preserve">Notes: </w:t>
      </w:r>
      <w:r>
        <w:t>abstract_source=crossref</w:t>
      </w:r>
    </w:p>
    <w:p>
      <w:pPr>
        <w:spacing w:before="0" w:after="80" w:lineRule="auto" w:line="276"/>
      </w:pPr>
      <w:r>
        <w:rPr>
          <w:b/>
        </w:rPr>
        <w:t xml:space="preserve">摘要（ZH）: </w:t>
      </w:r>
      <w:r>
        <w:t>摘要 得益于阴离子氧化还原活性，富锂层状氧化物正极表现出高比容量，但过渡金属（TM）迁移会加剧空位团簇化，导致多米诺式的结构退化。为稳定结构，将静电钉扎效应精准引入Li层，通过强静电排斥缓解TM迁移。同时，该构型有效调控氧配体周围的电子分布，从而稳定氧氧化还原。此外，强大的静电相互作用赋予材料自适应调节层间距的能力，从而在（脱）锂过程中缓冲层状框架的结构演变。修饰后的正极在半电池中400次循环后容量保持率为89.1%，在全电池中1000次循环后容量保持率高达96.2%。为进一步解耦容量—稳定性权衡并同步提升体相和界面稳定性，我们设计了梯度屏蔽架构。该设计不仅在0.5C下达到219.8 mAh g⁻¹，400次循环后容量保持率为90.8%，还促进近表面区域形成致密CEI，显著提升苛刻条件下的界面稳定性。这种渐进式结构工程范式为克服富锂正极材料的本征结构难题提供了新见解。</w:t>
      </w:r>
    </w:p>
    <w:p>
      <w:pPr>
        <w:spacing w:before="0" w:after="200" w:lineRule="auto" w:line="276"/>
      </w:pPr>
      <w:r>
        <w:rPr>
          <w:b/>
        </w:rPr>
        <w:t xml:space="preserve">Abstract (EN): </w:t>
      </w:r>
      <w:r>
        <w:t>Benefiting from the anionic redox activity, lithium‐rich layered oxide cathodes exhibit high specific capacity, but the migration of transition metal (TM) can exacerbate vacancy clustering, resulting in domino‐like structural degradation. To stabilize the structure, the electrostatic pinning effect is precisely incorporated into the Li layer to mitigate the TM migration via strong electrostatic repulsion. Concurrently, this configuration effectively modulates the electronic distribution around the oxygen ligands, thereby stabilizing the oxygen redox. Furthermore, robust electrostatic interactions endow the material with the capability to adaptively adjust its interlayer spacing, thereby buffering the structural evolution of the layered framework during (de)lithiation processes. The modified cathode achieves an 89.1% capacity retention over 400 cycles in half‐cells and an impressive 96.2% over 1000 cycles in full cells. To further decouple the capacity‐stability trade‐off while concurrently enhancing both bulk and interfacial stability, we engineered a gradient shielding architecture. This design not only attains 219.8 mAh g −1 at 0.5C and delivers capacity retention of 90.8% after 400 cycles but also promotes the formation of a compact CEI at the near‐surface region, markedly improving interfacial stability under harsh conditions. This progressive structural engineering paradigm offers fresh insights into overcoming the intrinsic structural challenges of lithium‐rich cathode materials.</w:t>
      </w:r>
    </w:p>
    <w:p>
      <w:pPr>
        <w:spacing w:before="120" w:after="120"/>
      </w:pPr>
      <w:r>
        <w:rPr>
          <w:sz w:val="18"/>
        </w:rPr>
        <w:t>——————————————————————————————————————————————————————————————————————</w:t>
      </w:r>
    </w:p>
    <w:p>
      <w:pPr>
        <w:spacing w:before="160" w:after="40" w:line="240" w:lineRule="auto"/>
      </w:pPr>
      <w:r>
        <w:rPr>
          <w:b/>
        </w:rPr>
        <w:t xml:space="preserve">[25] </w:t>
      </w:r>
      <w:hyperlink r:id="rId109">
        <w:r>
          <w:rPr>
            <w:color w:val="1155CC"/>
            <w:u w:val="single"/>
          </w:rPr>
          <w:t>铁基普鲁士蓝正极中双位点自旋态调控实现更优的钠存储</w:t>
        </w:r>
      </w:hyperlink>
    </w:p>
    <w:p>
      <w:pPr>
        <w:spacing w:before="0" w:after="80"/>
      </w:pPr>
      <w:r>
        <w:rPr>
          <w:i/>
          <w:sz w:val="20"/>
        </w:rPr>
        <w:t>EN: Dual‐Site Spin State Modulation in Iron‐Based Prussian Blue Cathode Enabling Improved Sodium Storage</w:t>
      </w:r>
    </w:p>
    <w:p>
      <w:pPr>
        <w:spacing w:before="0" w:after="120"/>
      </w:pPr>
      <w:r>
        <w:rPr>
          <w:b/>
        </w:rPr>
        <w:t xml:space="preserve">Source: </w:t>
      </w:r>
      <w:r>
        <w:t>Advanced Materials</w:t>
      </w:r>
      <w:r>
        <w:t xml:space="preserve">    </w:t>
      </w:r>
      <w:r>
        <w:rPr>
          <w:b/>
        </w:rPr>
        <w:t xml:space="preserve">Pub date: </w:t>
      </w:r>
      <w:r>
        <w:t>2026-09-03 00:00:00+00:00</w:t>
      </w:r>
      <w:r>
        <w:t xml:space="preserve">    </w:t>
      </w:r>
      <w:r>
        <w:rPr>
          <w:b/>
        </w:rPr>
        <w:t xml:space="preserve">DOI: </w:t>
      </w:r>
      <w:hyperlink r:id="rId110">
        <w:r>
          <w:rPr>
            <w:color w:val="1155CC"/>
            <w:u w:val="single"/>
          </w:rPr>
          <w:t>10.1002/adma.74904</w:t>
        </w:r>
      </w:hyperlink>
    </w:p>
    <w:p>
      <w:pPr>
        <w:spacing w:before="0" w:after="120"/>
      </w:pPr>
      <w:r>
        <w:rPr>
          <w:b/>
        </w:rPr>
        <w:t xml:space="preserve">Notes: </w:t>
      </w:r>
      <w:r>
        <w:t>abstract_source=crossref</w:t>
      </w:r>
    </w:p>
    <w:p>
      <w:pPr>
        <w:spacing w:before="0" w:after="80" w:lineRule="auto" w:line="276"/>
      </w:pPr>
      <w:r>
        <w:rPr>
          <w:b/>
        </w:rPr>
        <w:t xml:space="preserve">摘要（ZH）: </w:t>
      </w:r>
      <w:r>
        <w:t>摘要：普鲁士蓝（PB）及其类似物是有前景的钠离子电池（SIB）正极材料，但其实际应用受到不受控制的[Fe(CN) 6 ]空位和间隙水的阻碍，导致循环稳定性和容量利用率不理想。在此，我们报告了一种配体工程策略，可同时调节 PB 中低自旋（LS）和高自旋（HS）Fe 位点的自旋态。通过五氰化物前体引入─CN空位和末端─NH 2 基团，得到改性PB（记为PPB）。光谱和计算分析证实了双位点自旋跃迁，其中 LS 和 HS Fe 位点主要转化为中间自旋 (IS) 态。因此，PPB正极表现出令人印象深刻的倍率性能（在0.05和2 A g -1 下分别为129和92 mAh g -1 ）和循环稳定性（在2 A g -1 下4000次循环后70%的保留率），显着优于常规的基于六氰化物的PB。密度泛函理论计算表明，─NH 2 基团是Na + 的优先吸附位点，而─CN空位降低了迁移势垒，共同增强了Na + 的储存动力学。这项工作提出了一种审慎的配体工程策略，通过有意的自旋态操纵来设计高性能阴极材料。</w:t>
      </w:r>
    </w:p>
    <w:p>
      <w:pPr>
        <w:spacing w:before="0" w:after="200" w:lineRule="auto" w:line="276"/>
      </w:pPr>
      <w:r>
        <w:rPr>
          <w:b/>
        </w:rPr>
        <w:t xml:space="preserve">Abstract (EN): </w:t>
      </w:r>
      <w:r>
        <w:t>Prussian blue (PB) and its analogues are promising cathode materials for sodium‐ion batteries (SIBs), yet their practical application is hindered by uncontrolled [Fe(CN) 6 ] vacancies and interstitial water, which lead to unsatisfactory cycling stability and capacity utilization. Herein, we report a ligand engineering strategy to simultaneously modulate the spin states of both low‐spin (LS) and high‐spin (HS) Fe sites in PB. By introducing ─CN vacancies and terminal ─NH 2 groups via a pentacyanide precursor, a modified PB (denoted as PPB) is achieved. Spectroscopic and computational analyses confirm a dual‐site spin transition in which both LS and HS Fe sites predominantly convert into an intermediate‐spin (IS) state. As a result, the PPB cathode exhibits impressive rate capability (129 and 92 mAh g −1 at 0.05 and 2 A g −1 , respectively) and cycling stability (70% retention after 4000 cycles at 2 A g −1 ), significantly outperforming the routine hexacyanide‐based PB. Density functional theory calculations reveal that the ─NH 2 groups serve as preferential adsorption sites for Na + , while ─CN vacancies lower the migration barrier, which collectively enhance the Na + storage kinetics. This work presents a prudent ligand engineering strategy for designing high‐performance cathode materials through deliberate spin state manipulation.</w:t>
      </w:r>
    </w:p>
    <w:p>
      <w:pPr>
        <w:spacing w:before="120" w:after="120"/>
      </w:pPr>
      <w:r>
        <w:rPr>
          <w:sz w:val="18"/>
        </w:rPr>
        <w:t>——————————————————————————————————————————————————————————————————————</w:t>
      </w:r>
    </w:p>
    <w:p>
      <w:pPr>
        <w:spacing w:before="160" w:after="40" w:line="240" w:lineRule="auto"/>
      </w:pPr>
      <w:r>
        <w:rPr>
          <w:b/>
        </w:rPr>
        <w:t xml:space="preserve">[26] </w:t>
      </w:r>
      <w:hyperlink r:id="rId111">
        <w:r>
          <w:rPr>
            <w:color w:val="1155CC"/>
            <w:u w:val="single"/>
          </w:rPr>
          <w:t>通过在石墨炔上锚定独立金属原子在Li─S正极中构建双端界面</w:t>
        </w:r>
      </w:hyperlink>
    </w:p>
    <w:p>
      <w:pPr>
        <w:spacing w:before="0" w:after="80"/>
      </w:pPr>
      <w:r>
        <w:rPr>
          <w:i/>
          <w:sz w:val="20"/>
        </w:rPr>
        <w:t>EN: The Creation of a Dual‐End Interface in Li─S Cathode by Anchoring Independent Metal Atoms on Graphdiyne</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112">
        <w:r>
          <w:rPr>
            <w:color w:val="1155CC"/>
            <w:u w:val="single"/>
          </w:rPr>
          <w:t>10.1002/anie.2060850</w:t>
        </w:r>
      </w:hyperlink>
    </w:p>
    <w:p>
      <w:pPr>
        <w:spacing w:before="0" w:after="120"/>
      </w:pPr>
      <w:r>
        <w:rPr>
          <w:b/>
        </w:rPr>
        <w:t xml:space="preserve">Notes: </w:t>
      </w:r>
      <w:r>
        <w:t>abstract_source=crossref</w:t>
      </w:r>
    </w:p>
    <w:p>
      <w:pPr>
        <w:spacing w:before="0" w:after="80" w:lineRule="auto" w:line="276"/>
      </w:pPr>
      <w:r>
        <w:rPr>
          <w:b/>
        </w:rPr>
        <w:t xml:space="preserve">摘要（ZH）: </w:t>
      </w:r>
      <w:r>
        <w:t>摘要 解决多硫化物转化缓慢和穿梭效应的传统策略主要集中在硫阴离子和催化中心之间的相互作用，而很大程度上忽视了锂离子在阴极的富集和传输。在此，我们报告了一种锚定在石墨二炔（Nb-GDY）上的铌（Nb）原子催化剂，它能够实现独特的双端结合机制，用于同时调节多硫化物转化和锂离子传输动力学。密度泛函理论计算揭示了 Nb─S 和 Li─C 对之间明显的电子耦合，产生了协同结合位点，固定 LiPS，同时降低其转化的能垒。这种机制得到了 X 射线光电子能谱和综合原位表征的证实，证明了电极动力学的显着加速和高效的 Li + 通量。因此，Nb-GDY基正极表现出优异的高倍率性能和长期耐久性，在10 C下实现了724 mAh g -1 的高容量，并在5 C下保持稳定运行超过1200个循环，每个循环的容量衰减为0.025%。我们的研究巧妙地结合了双端结合，激活了原子与基底之间的协同相互作用，为高能量密度Li−S电池的多物种传输管理提供了新概念。</w:t>
      </w:r>
    </w:p>
    <w:p>
      <w:pPr>
        <w:spacing w:before="0" w:after="200" w:lineRule="auto" w:line="276"/>
      </w:pPr>
      <w:r>
        <w:rPr>
          <w:b/>
        </w:rPr>
        <w:t xml:space="preserve">Abstract (EN): </w:t>
      </w:r>
      <w:r>
        <w:t>Conventional strategies to address sluggish polysulfide conversion and the shuttle effect have primarily focused on interactions between sulfur anions and catalytic centers, while largely neglecting the enrichment and transport of lithium ions at the cathode. Herein, we report a niobium (Nb) atomic catalyst anchored on graphdiyne (Nb‐GDY) that enables a unique dual‐end binding mechanism for the simultaneous regulation of polysulfide conversion and lithium‐ion transport kinetics. Density functional theory calculations reveal pronounced electronic coupling between Nb─S and Li─C pairs, creating synergistic binding sites that immobilize LiPSs while lowering the energy barriers for their transformation. This mechanism is corroborated by x‐ray photoelectron spectroscopy and comprehensive in situ characterizations, which demonstrate significantly accelerated electrode kinetics and efficient Li + flux. Consequently, the Nb‐GDY‐based cathode exhibits exceptional high‐rate capability and long‐term durability, achieving a high capacity of 724 mAh g −1 at 10 C and maintaining stable operation over 1200 cycles at 5 C with a low‐capacity decay of 0.025% per cycle. Our research ingeniously combines dual ends binding, activating the synergistic interaction between atoms and the substrate, providing a new concept for the management of multi‐species transport for high energy density Li−S batteries.</w:t>
      </w:r>
    </w:p>
    <w:p>
      <w:pPr>
        <w:spacing w:before="120" w:after="120"/>
      </w:pPr>
      <w:r>
        <w:rPr>
          <w:sz w:val="18"/>
        </w:rPr>
        <w:t>——————————————————————————————————————————————————————————————————————</w:t>
      </w:r>
    </w:p>
    <w:p>
      <w:pPr>
        <w:spacing w:before="160" w:after="40" w:line="240" w:lineRule="auto"/>
      </w:pPr>
      <w:r>
        <w:rPr>
          <w:b/>
        </w:rPr>
        <w:t xml:space="preserve">[27] </w:t>
      </w:r>
      <w:hyperlink r:id="rId100">
        <w:r>
          <w:rPr>
            <w:color w:val="1155CC"/>
            <w:u w:val="single"/>
          </w:rPr>
          <w:t>通过镧掺杂MnO2正极提升水系锌离子电池的可逆性与容量</w:t>
        </w:r>
      </w:hyperlink>
    </w:p>
    <w:p>
      <w:pPr>
        <w:spacing w:before="0" w:after="80"/>
      </w:pPr>
      <w:r>
        <w:rPr>
          <w:i/>
          <w:sz w:val="20"/>
        </w:rPr>
        <w:t>EN: Boosting Reversibility and Capacity in Aqueous Zinc-Ion Batteries via Lanthanum-Doped MnO2 Cathodes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100">
        <w:r>
          <w:rPr>
            <w:color w:val="1155CC"/>
            <w:u w:val="single"/>
          </w:rPr>
          <w:t>10.1021/acsami.6c10899</w:t>
        </w:r>
      </w:hyperlink>
    </w:p>
    <w:p>
      <w:pPr>
        <w:spacing w:before="0" w:after="120"/>
      </w:pPr>
      <w:r>
        <w:rPr>
          <w:b/>
        </w:rPr>
        <w:t xml:space="preserve">Notes: </w:t>
      </w:r>
      <w:r>
        <w:t>abstract_source=crossref</w:t>
      </w:r>
    </w:p>
    <w:p>
      <w:pPr>
        <w:spacing w:before="0" w:after="80" w:lineRule="auto" w:line="276"/>
      </w:pPr>
      <w:r>
        <w:rPr>
          <w:b/>
        </w:rPr>
        <w:t xml:space="preserve">摘要（ZH）: </w:t>
      </w:r>
      <w:r>
        <w:t>摘要 锰基水系锌离子电池（AZIB）由于其安全性、低成本和环境可持续性而被认为是大规模储能的有前途的候选者。然而，它们的实际应用受到锰基正极的导电性差和结构不稳定性的限制，特别是循环过程中活性材料的溶解。在这项研究中，通过机械化学反应合成了掺镧二氧化锰（La掺杂MnO2），然后通过退火来克服这些挑战。镧的加入显着提高了MnO2的导电性和结构稳定性。因此，La掺杂MnO2正极具有增强的电化学性能，在0.1 A·g–1下实现了288 mA·h·g–1的高比容量，并且具有出色的循环稳定性，500次循环后在0.4 A·g–1下容量保持率为81%。这些结果揭示了 La 掺杂 MnO2 作为下一代水性 ZIB 的高性能阴极材料的潜力。</w:t>
      </w:r>
    </w:p>
    <w:p>
      <w:pPr>
        <w:spacing w:before="0" w:after="200" w:lineRule="auto" w:line="276"/>
      </w:pPr>
      <w:r>
        <w:rPr>
          <w:b/>
        </w:rPr>
        <w:t xml:space="preserve">Abstract (EN): </w:t>
      </w:r>
      <w:r>
        <w:t>Manganese-based aqueous zinc-ion batteries (AZIBs) are regarded as promising candidates for large-scale energy storage owing to their safety, low cost, and environmental sustainability. Nevertheless, their practical deployment is limited by the poor electrical conductivity and structural instability of manganese-based cathodes, particularly the dissolution of active materials during cycling. In this study, lanthanum-doped manganese dioxide (La-doped MnO2) was synthesized through a mechanochemical reaction, followed by annealing to overcome these challenges. The incorporation of lanthanum markedly improves both the electrical conductivity and structural stability of MnO2. Consequently, the La-doped MnO2 cathode delivers enhanced electrochemical performance, achieving a high specific capacity of 288 mA·h·g–1 at 0.1 A·g–1 and excellent cycling stability, with 81% capacity retention at 0.4 A·g–1 after 500 cycles. These results reveal the potential of La-doped MnO2 as a high-performance cathode material for next-generation aqueous ZIBs.</w:t>
      </w:r>
    </w:p>
    <w:p>
      <w:pPr>
        <w:spacing w:before="120" w:after="120"/>
      </w:pPr>
      <w:r>
        <w:rPr>
          <w:sz w:val="18"/>
        </w:rPr>
        <w:t>——————————————————————————————————————————————————————————————————————</w:t>
      </w:r>
    </w:p>
    <w:p>
      <w:pPr>
        <w:spacing w:before="160" w:after="40" w:line="240" w:lineRule="auto"/>
      </w:pPr>
      <w:r>
        <w:rPr>
          <w:b/>
        </w:rPr>
        <w:t xml:space="preserve">[28] </w:t>
      </w:r>
      <w:hyperlink r:id="rId110">
        <w:r>
          <w:rPr>
            <w:color w:val="1155CC"/>
            <w:u w:val="single"/>
          </w:rPr>
          <w:t>铁基普鲁士蓝正极中的双位点自旋态调制助力钠存储性能提升</w:t>
        </w:r>
      </w:hyperlink>
    </w:p>
    <w:p>
      <w:pPr>
        <w:spacing w:before="0" w:after="80"/>
      </w:pPr>
      <w:r>
        <w:rPr>
          <w:i/>
          <w:sz w:val="20"/>
        </w:rPr>
        <w:t>EN: Dual‐Site Spin State Modulation in Iron‐Based Prussian Blue Cathode Enabling Improved Sodium Storage</w:t>
      </w:r>
    </w:p>
    <w:p>
      <w:pPr>
        <w:spacing w:before="0" w:after="120"/>
      </w:pPr>
      <w:r>
        <w:rPr>
          <w:b/>
        </w:rPr>
        <w:t xml:space="preserve">Source: </w:t>
      </w:r>
      <w:r>
        <w:t>Advanced Materials</w:t>
      </w:r>
      <w:r>
        <w:t xml:space="preserve">    </w:t>
      </w:r>
      <w:r>
        <w:rPr>
          <w:b/>
        </w:rPr>
        <w:t xml:space="preserve">Pub date: </w:t>
      </w:r>
      <w:r>
        <w:t>2026-09-03 00:00:00+00:00</w:t>
      </w:r>
      <w:r>
        <w:t xml:space="preserve">    </w:t>
      </w:r>
      <w:r>
        <w:rPr>
          <w:b/>
        </w:rPr>
        <w:t xml:space="preserve">DOI: </w:t>
      </w:r>
      <w:hyperlink r:id="rId110">
        <w:r>
          <w:rPr>
            <w:color w:val="1155CC"/>
            <w:u w:val="single"/>
          </w:rPr>
          <w:t>10.1002/adma.74904</w:t>
        </w:r>
      </w:hyperlink>
    </w:p>
    <w:p>
      <w:pPr>
        <w:spacing w:before="0" w:after="120"/>
      </w:pPr>
      <w:r>
        <w:rPr>
          <w:b/>
        </w:rPr>
        <w:t xml:space="preserve">Notes: </w:t>
      </w:r>
      <w:r>
        <w:t>abstract_source=crossref</w:t>
      </w:r>
    </w:p>
    <w:p>
      <w:pPr>
        <w:spacing w:before="0" w:after="80" w:lineRule="auto" w:line="276"/>
      </w:pPr>
      <w:r>
        <w:rPr>
          <w:b/>
        </w:rPr>
        <w:t xml:space="preserve">摘要（ZH）: </w:t>
      </w:r>
      <w:r>
        <w:t>摘要：普鲁士蓝（PB）及其类似物是有前景的钠离子电池（SIB）正极材料，但其实际应用受到不受控制的[Fe(CN) 6 ]空位和间隙水的阻碍，导致循环稳定性和容量利用率不理想。在此，我们报告了一种配体工程策略，可同时调节 PB 中低自旋（LS）和高自旋（HS）Fe 位点的自旋态。通过五氰化物前体引入─CN空位和末端─NH 2 基团，得到改性PB（记为PPB）。光谱和计算分析证实了双位点自旋跃迁，其中 LS 和 HS Fe 位点主要转化为中间自旋 (IS) 态。因此，PPB正极表现出令人印象深刻的倍率性能（在0.05和2 A g -1 下分别为129和92 mAh g -1 ）和循环稳定性（在2 A g -1 下4000次循环后70%的保留率），显着优于常规的基于六氰化物的PB。密度泛函理论计算表明，─NH 2 基团是Na + 的优先吸附位点，而─CN空位降低了迁移势垒，共同增强了Na + 的储存动力学。这项工作提出了一种审慎的配体工程策略，通过有意的自旋态操纵来设计高性能阴极材料。</w:t>
      </w:r>
    </w:p>
    <w:p>
      <w:pPr>
        <w:spacing w:before="0" w:after="200" w:lineRule="auto" w:line="276"/>
      </w:pPr>
      <w:r>
        <w:rPr>
          <w:b/>
        </w:rPr>
        <w:t xml:space="preserve">Abstract (EN): </w:t>
      </w:r>
      <w:r>
        <w:t>Prussian blue (PB) and its analogues are promising cathode materials for sodium‐ion batteries (SIBs), yet their practical application is hindered by uncontrolled [Fe(CN) 6 ] vacancies and interstitial water, which lead to unsatisfactory cycling stability and capacity utilization. Herein, we report a ligand engineering strategy to simultaneously modulate the spin states of both low‐spin (LS) and high‐spin (HS) Fe sites in PB. By introducing ─CN vacancies and terminal ─NH 2 groups via a pentacyanide precursor, a modified PB (denoted as PPB) is achieved. Spectroscopic and computational analyses confirm a dual‐site spin transition in which both LS and HS Fe sites predominantly convert into an intermediate‐spin (IS) state. As a result, the PPB cathode exhibits impressive rate capability (129 and 92 mAh g −1 at 0.05 and 2 A g −1 , respectively) and cycling stability (70% retention after 4000 cycles at 2 A g −1 ), significantly outperforming the routine hexacyanide‐based PB. Density functional theory calculations reveal that the ─NH 2 groups serve as preferential adsorption sites for Na + , while ─CN vacancies lower the migration barrier, which collectively enhance the Na + storage kinetics. This work presents a prudent ligand engineering strategy for designing high‐performance cathode materials through deliberate spin state manipulation.</w:t>
      </w:r>
    </w:p>
    <w:p>
      <w:pPr>
        <w:spacing w:before="120" w:after="120"/>
      </w:pPr>
      <w:r>
        <w:rPr>
          <w:sz w:val="18"/>
        </w:rPr>
        <w:t>——————————————————————————————————————————————————————————————————————</w:t>
      </w:r>
    </w:p>
    <w:p>
      <w:pPr>
        <w:spacing w:before="160" w:after="40" w:line="240" w:lineRule="auto"/>
      </w:pPr>
      <w:r>
        <w:rPr>
          <w:b/>
        </w:rPr>
        <w:t xml:space="preserve">[29] </w:t>
      </w:r>
      <w:hyperlink r:id="rId102">
        <w:r>
          <w:rPr>
            <w:color w:val="1155CC"/>
            <w:u w:val="single"/>
          </w:rPr>
          <w:t>阐明O3型NaNi 1/3 Fe 1/3 Mn 1/3 O 2中高压降解的抑制机制：一种钠离子电池的电压切换策略</w:t>
        </w:r>
      </w:hyperlink>
    </w:p>
    <w:p>
      <w:pPr>
        <w:spacing w:before="0" w:after="80"/>
      </w:pPr>
      <w:r>
        <w:rPr>
          <w:i/>
          <w:sz w:val="20"/>
        </w:rPr>
        <w:t>EN: Elucidating the Suppression of High‐Voltage Degradation in O3‐type NaNi 1/3 Fe 1/3 Mn 1/3 O 2 : A Voltage‐Switching Strategy for Na‐ion Batteries</w:t>
      </w:r>
    </w:p>
    <w:p>
      <w:pPr>
        <w:spacing w:before="0" w:after="120"/>
      </w:pPr>
      <w:r>
        <w:rPr>
          <w:b/>
        </w:rPr>
        <w:t xml:space="preserve">Source: </w:t>
      </w:r>
      <w:r>
        <w:t>Advanced Energy Materials</w:t>
      </w:r>
      <w:r>
        <w:t xml:space="preserve">    </w:t>
      </w:r>
      <w:r>
        <w:rPr>
          <w:b/>
        </w:rPr>
        <w:t xml:space="preserve">Pub date: </w:t>
      </w:r>
      <w:r>
        <w:t>2026-09-03 00:00:00+00:00</w:t>
      </w:r>
      <w:r>
        <w:t xml:space="preserve">    </w:t>
      </w:r>
      <w:r>
        <w:rPr>
          <w:b/>
        </w:rPr>
        <w:t xml:space="preserve">DOI: </w:t>
      </w:r>
      <w:hyperlink r:id="rId102">
        <w:r>
          <w:rPr>
            <w:color w:val="1155CC"/>
            <w:u w:val="single"/>
          </w:rPr>
          <w:t>10.1002/aenm.71535</w:t>
        </w:r>
      </w:hyperlink>
    </w:p>
    <w:p>
      <w:pPr>
        <w:spacing w:before="0" w:after="120"/>
      </w:pPr>
      <w:r>
        <w:rPr>
          <w:b/>
        </w:rPr>
        <w:t xml:space="preserve">Notes: </w:t>
      </w:r>
      <w:r>
        <w:t>abstract_source=crossref</w:t>
      </w:r>
    </w:p>
    <w:p>
      <w:pPr>
        <w:spacing w:before="0" w:after="80" w:lineRule="auto" w:line="276"/>
      </w:pPr>
      <w:r>
        <w:rPr>
          <w:b/>
        </w:rPr>
        <w:t xml:space="preserve">摘要（ZH）: </w:t>
      </w:r>
      <w:r>
        <w:t>摘要：提高充电深度（DoC）可提高钠离子电池层状氧化物阴极的能量密度；然而，如此高的 DoC 循环不可避免地会引发严重的结构和界面退化。在实践中，电池管理系统通常根据电池的健康状况动态调整电压降额策略，从而在能量密度和循环寿命之间实现有利的权衡。然而，一个关键但被忽视的问题仍然存在：当恢复到中等 DoC 循环时，高 DoC 诱导的受损区域如何演变。在这里，使用 NaNi 1/3 Fe 1/3 Mn 1/3 O 2 (NFM111) 作为原型，采用电压切换策略来阐明这些受损区域的动态和长期行为。在高 DoC 循环（充电至 4.3 V）期间，容量快速衰减是由大量缺陷和界面无序尖晶石相的明显形成驱动的。然而，将这些细胞切换到中等 DoC 循环（充电至 4.0 V）后，这些预先存在的受损区域变得稳定：它们的快速增殖受到抑制，并且它们不再加速周围完整区域的降解。这使得降解的 NFM111 能够提供与仅在中等 DoC 条件下循环的电池相当的容量保留率。这项工作展示了 NFM111 阴极中高 DoC 退化和随后的中等 DoC 稳定的动态和演变图景，为电压降额过程和受损电池的寿命延长提供了机制见解。</w:t>
      </w:r>
    </w:p>
    <w:p>
      <w:pPr>
        <w:spacing w:before="0" w:after="200" w:lineRule="auto" w:line="276"/>
      </w:pPr>
      <w:r>
        <w:rPr>
          <w:b/>
        </w:rPr>
        <w:t xml:space="preserve">Abstract (EN): </w:t>
      </w:r>
      <w:r>
        <w:t>Elevating depth‐of‐charge (DoC) enhances the energy density of layered oxide cathodes for sodium‐ion batteries; however, such high‐DoC cycling inevitably triggers severe structural and interfacial degradation. In practice, battery management systems commonly adapt voltage‐derating strategies dynamically according to battery state of health, achieving a favorable trade‐off between energy density and cycle life. Nevertheless, a critical yet overlooked question remains: how high‐DoC‐induced damaged regions evolve when reverted to moderate‐DoC cycling. Here, using NaNi 1/3 Fe 1/3 Mn 1/3 O 2 (NFM111) as a prototype, a voltage‐switching strategy is employed to elucidate the dynamic and long‐term behavior of these damaged regions. During high‐DoC cycling (charging to 4.3 V), the rapid capacity fading is driven by pronounced formation of bulk defects and interfacial disordered spinel phases. However, upon switching these cells to moderate‐DoC cycling (charging to 4.0 V), these pre‐existing damaged regions become stabilized: their rapid propagation is suppressed, and they no longer accelerate degradation in surrounding intact regions. This enables degraded NFM111 to deliver capacity retention comparable to that of cells cycled solely under moderate‐DoC conditions. This work presents a dynamic and evolving picture of high‐DoC degradation and subsequent moderate‐DoC stabilization in NFM111 cathodes, providing mechanistic insights into voltage‐derating process and the lifetime prolongation of compromised cells.</w:t>
      </w:r>
    </w:p>
    <w:p>
      <w:pPr>
        <w:spacing w:before="120" w:after="120"/>
      </w:pPr>
      <w:r>
        <w:rPr>
          <w:sz w:val="18"/>
        </w:rPr>
        <w:t>——————————————————————————————————————————————————————————————————————</w:t>
      </w:r>
    </w:p>
    <w:p>
      <w:pPr>
        <w:spacing w:before="160" w:after="40" w:line="240" w:lineRule="auto"/>
      </w:pPr>
      <w:r>
        <w:rPr>
          <w:b/>
        </w:rPr>
        <w:t xml:space="preserve">[30] </w:t>
      </w:r>
      <w:hyperlink r:id="rId112">
        <w:r>
          <w:rPr>
            <w:color w:val="1155CC"/>
            <w:u w:val="single"/>
          </w:rPr>
          <w:t>通过在石墨炔上锚定独立金属原子在Li─S正极中构建双端界面</w:t>
        </w:r>
      </w:hyperlink>
    </w:p>
    <w:p>
      <w:pPr>
        <w:spacing w:before="0" w:after="80"/>
      </w:pPr>
      <w:r>
        <w:rPr>
          <w:i/>
          <w:sz w:val="20"/>
        </w:rPr>
        <w:t>EN: The Creation of a Dual‐End Interface in Li─S Cathode by Anchoring Independent Metal Atoms on Graphdiyne</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112">
        <w:r>
          <w:rPr>
            <w:color w:val="1155CC"/>
            <w:u w:val="single"/>
          </w:rPr>
          <w:t>10.1002/anie.2060850</w:t>
        </w:r>
      </w:hyperlink>
    </w:p>
    <w:p>
      <w:pPr>
        <w:spacing w:before="0" w:after="120"/>
      </w:pPr>
      <w:r>
        <w:rPr>
          <w:b/>
        </w:rPr>
        <w:t xml:space="preserve">Notes: </w:t>
      </w:r>
      <w:r>
        <w:t>abstract_source=crossref</w:t>
      </w:r>
    </w:p>
    <w:p>
      <w:pPr>
        <w:spacing w:before="0" w:after="80" w:lineRule="auto" w:line="276"/>
      </w:pPr>
      <w:r>
        <w:rPr>
          <w:b/>
        </w:rPr>
        <w:t xml:space="preserve">摘要（ZH）: </w:t>
      </w:r>
      <w:r>
        <w:t>摘要 解决多硫化物转化缓慢和穿梭效应的传统策略主要集中在硫阴离子和催化中心之间的相互作用，而很大程度上忽视了锂离子在阴极的富集和传输。在此，我们报告了一种锚定在石墨二炔（Nb-GDY）上的铌（Nb）原子催化剂，它能够实现独特的双端结合机制，用于同时调节多硫化物转化和锂离子传输动力学。密度泛函理论计算揭示了 Nb─S 和 Li─C 对之间明显的电子耦合，产生了协同结合位点，固定 LiPS，同时降低其转化的能垒。这种机制得到了 X 射线光电子能谱和综合原位表征的证实，证明了电极动力学的显着加速和高效的 Li + 通量。因此，Nb-GDY基正极表现出优异的高倍率性能和长期耐久性，在10 C下实现了724 mAh g -1 的高容量，并在5 C下保持稳定运行超过1200个循环，每个循环的容量衰减为0.025%。我们的研究巧妙地结合了双端结合，激活了原子与基底之间的协同相互作用，为高能量密度Li−S电池的多物种传输管理提供了新概念。</w:t>
      </w:r>
    </w:p>
    <w:p>
      <w:pPr>
        <w:spacing w:before="0" w:after="200" w:lineRule="auto" w:line="276"/>
      </w:pPr>
      <w:r>
        <w:rPr>
          <w:b/>
        </w:rPr>
        <w:t xml:space="preserve">Abstract (EN): </w:t>
      </w:r>
      <w:r>
        <w:t>Conventional strategies to address sluggish polysulfide conversion and the shuttle effect have primarily focused on interactions between sulfur anions and catalytic centers, while largely neglecting the enrichment and transport of lithium ions at the cathode. Herein, we report a niobium (Nb) atomic catalyst anchored on graphdiyne (Nb‐GDY) that enables a unique dual‐end binding mechanism for the simultaneous regulation of polysulfide conversion and lithium‐ion transport kinetics. Density functional theory calculations reveal pronounced electronic coupling between Nb─S and Li─C pairs, creating synergistic binding sites that immobilize LiPSs while lowering the energy barriers for their transformation. This mechanism is corroborated by x‐ray photoelectron spectroscopy and comprehensive in situ characterizations, which demonstrate significantly accelerated electrode kinetics and efficient Li + flux. Consequently, the Nb‐GDY‐based cathode exhibits exceptional high‐rate capability and long‐term durability, achieving a high capacity of 724 mAh g −1 at 10 C and maintaining stable operation over 1200 cycles at 5 C with a low‐capacity decay of 0.025% per cycle. Our research ingeniously combines dual ends binding, activating the synergistic interaction between atoms and the substrate, providing a new concept for the management of multi‐species transport for high energy density Li−S batteries.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113">
        <w:r>
          <w:rPr>
            <w:color w:val="1155CC"/>
            <w:u w:val="single"/>
          </w:rPr>
          <w:t>双碳限域实现硫化锑的钠离子存储</w:t>
        </w:r>
      </w:hyperlink>
    </w:p>
    <w:p>
      <w:pPr>
        <w:spacing w:before="0" w:after="80"/>
      </w:pPr>
      <w:r>
        <w:rPr>
          <w:i/>
          <w:sz w:val="20"/>
        </w:rPr>
        <w:t>EN: Sodium-Ion Storage of Antimony Sulfide Enabled by Dual-Carbon Confinement</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113">
        <w:r>
          <w:rPr>
            <w:color w:val="1155CC"/>
            <w:u w:val="single"/>
          </w:rPr>
          <w:t>10.1021/acsami.6c10486</w:t>
        </w:r>
      </w:hyperlink>
    </w:p>
    <w:p>
      <w:pPr>
        <w:spacing w:before="0" w:after="120"/>
      </w:pPr>
      <w:r>
        <w:rPr>
          <w:b/>
        </w:rPr>
        <w:t xml:space="preserve">Notes: </w:t>
      </w:r>
      <w:r>
        <w:t>abstract_source=crossref</w:t>
      </w:r>
    </w:p>
    <w:p>
      <w:pPr>
        <w:spacing w:before="0" w:after="80" w:lineRule="auto" w:line="276"/>
      </w:pPr>
      <w:r>
        <w:rPr>
          <w:b/>
        </w:rPr>
        <w:t xml:space="preserve">摘要（ZH）: </w:t>
      </w:r>
      <w:r>
        <w:t>摘要 三硫化二锑（Sb2S3）作为钠离子电池负极材料具有954 mAh g−1的理论比容量，但其本征电导率差、体积膨胀严重、钠化/脱钠过程中多硫化物的形成与穿梭以及较低的初始库仑效率严重阻碍了其实际应用。本工作中，首先在三硫化二锑纳米棒上包覆还原氧化石墨烯（rGO）片，再将其嵌入沥青热解碳基质中，得到三元复合材料（Sb2S3@rGO@C）。rGO片可增加离子传输路径并改善Sb2S3的反应动力学。沥青衍生热解碳基质不仅降低了复合材料的比表面积并提高了初始库仑效率，还抑制了Sb2S3的体积变化。复合材料内部形成的C−S化学键可抑制多硫化物穿梭，进一步提高钠化/脱钠循环稳定性。所制备的Sb2S3@rGO@C负极表现出82.2%的高初始库仑效率、优异的循环稳定性（在1.0 C下循环800次后仍可提供375.1 mAh g−1的比容量）以及出色的倍率性能（在2.0 C的高电流密度下保持495.5 mAh g−1的比容量）。</w:t>
      </w:r>
    </w:p>
    <w:p>
      <w:pPr>
        <w:spacing w:before="0" w:after="200" w:lineRule="auto" w:line="276"/>
      </w:pPr>
      <w:r>
        <w:rPr>
          <w:b/>
        </w:rPr>
        <w:t xml:space="preserve">Abstract (EN): </w:t>
      </w:r>
      <w:r>
        <w:t>Antimony trisulfide (Sb2S3) as an anode material for sodium-ion batteries shows a theoretical specific capacity of 954 mAh g−1, but its poor intrinsic electrical conductivity, severe volume expansion, formation/shuttling of polysulfide during sodiation/desodiation processes, and low initial Coulombic efficiency severely hinder its practical application. In this work, reduced graphene oxide (rGO) sheets are coated first on antimony trisulfide nanorods that are further embedded in a pitch pyrolytic carbon matrix to yield ternary composites (Sb2S3@rGO@C). The rGO sheets can increase ion transport pathways and ameliorate the reaction kinetics of Sb2S3. The pitch-derived pyrolytic carbon matrix not only reduces the specific surface area of the composite and enhances the initial Coulombic efficiency, but also suppresses the volume variation of Sb2S3. The C−S chemical bonds formed within the composites can inhibit polysulfide shuttling and further improve the sodiation/desodiation cycling stability. The as-prepared Sb2S3@rGO@C anode exhibits a high initial Coulombic efficiency of 82.2%, excellent cycling stability (delivering a specific capacity of 375.1 mAh g−1 even after 800 cycles at 1.0 C), and outstanding rate capability (maintaining a specific capacity of 495.5 mAh g−1 at a high current density of 2.0 C).</w:t>
      </w:r>
    </w:p>
    <w:p>
      <w:pPr>
        <w:spacing w:before="120" w:after="120"/>
      </w:pPr>
      <w:r>
        <w:rPr>
          <w:sz w:val="18"/>
        </w:rPr>
        <w:t>——————————————————————————————————————————————————————————————————————</w:t>
      </w:r>
    </w:p>
    <w:p>
      <w:pPr>
        <w:spacing w:before="160" w:after="40" w:line="240" w:lineRule="auto"/>
      </w:pPr>
      <w:r>
        <w:rPr>
          <w:b/>
        </w:rPr>
        <w:t xml:space="preserve">[2] </w:t>
      </w:r>
      <w:hyperlink r:id="rId114">
        <w:r>
          <w:rPr>
            <w:color w:val="1155CC"/>
            <w:u w:val="single"/>
          </w:rPr>
          <w:t>类皮肤涂层稳定原位形成的锂负极用于高能量密度电池</w:t>
        </w:r>
      </w:hyperlink>
    </w:p>
    <w:p>
      <w:pPr>
        <w:spacing w:before="0" w:after="80"/>
      </w:pPr>
      <w:r>
        <w:rPr>
          <w:i/>
          <w:sz w:val="20"/>
        </w:rPr>
        <w:t>EN: Skin-Like Coating Stabilizes the In Situ Forming Lithium Anode for High-Energy-Density Batteries</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114">
        <w:r>
          <w:rPr>
            <w:color w:val="1155CC"/>
            <w:u w:val="single"/>
          </w:rPr>
          <w:t>10.1021/acsami.6c12564</w:t>
        </w:r>
      </w:hyperlink>
    </w:p>
    <w:p>
      <w:pPr>
        <w:spacing w:before="0" w:after="120"/>
      </w:pPr>
      <w:r>
        <w:rPr>
          <w:b/>
        </w:rPr>
        <w:t xml:space="preserve">Notes: </w:t>
      </w:r>
      <w:r>
        <w:t>abstract_source=crossref</w:t>
      </w:r>
    </w:p>
    <w:p>
      <w:pPr>
        <w:spacing w:before="0" w:after="80" w:lineRule="auto" w:line="276"/>
      </w:pPr>
      <w:r>
        <w:rPr>
          <w:b/>
        </w:rPr>
        <w:t xml:space="preserve">摘要（ZH）: </w:t>
      </w:r>
      <w:r>
        <w:t>摘要 原位生成锂金属电池（IFLMBs）具有更高的能量密度和更好的安全性。然而，疏锂的Cu集流体会导致不均匀的Li成核和枝晶生长，造成Li库存快速耗尽和循环稳定性差。本文受皮肤的选择性转运调控和屏障保护功能的启发，在Cu上构建了源自生物质的类皮肤水解胶原蛋白（HC）层以稳定IFLMBs。超薄的HC层作为生物分子“皮肤”紧密覆盖在Cu表面，将沉积的Li与电解质物理隔离，抑制寄生腐蚀。同时，HC还可作为持久的亲锂成核骨架。其丰富的酰胺基团可作为亲锂活性位点，重新分布Li+通量并引导锂均匀成核。因此，HC包覆的Cu（HCCu）表现出更高的Li+迁移数（0.71）和更低的Li成核过电位（13 mV）。在3 mAh cm−2的沉积容量下，HCCu实现了厚度为16.2 μm的致密Li沉积，接近15 μm的理论值。因此，Li||HCCu电池在400次循环中实现了99.2%的高平均库仑效率（CE）。此外，6.4 Ah的HCCu||LRMO软包电池实现了578.5 Wh kg−1的高能量密度，为可规模化、高能量密度的IFLMBs提供了一条可行途径。</w:t>
      </w:r>
    </w:p>
    <w:p>
      <w:pPr>
        <w:spacing w:before="0" w:after="200" w:lineRule="auto" w:line="276"/>
      </w:pPr>
      <w:r>
        <w:rPr>
          <w:b/>
        </w:rPr>
        <w:t xml:space="preserve">Abstract (EN): </w:t>
      </w:r>
      <w:r>
        <w:t>In situ forming lithium metal batteries (IFLMBs) offer higher energy density and improved safety. However, lithiophobic Cu current collectors trigger nonuniform Li nucleation and dendrite growth, causing rapid Li inventory depletion and poor cycling stability. Herein, inspired by the selective transport regulation and barrier protection functions of the skin, a skin-like hydrolyzed collagen (HC) layer derived from biomass is constructed on Cu to stabilize IFLMBs. The ultrathin HC layer tightly covers the Cu surface as a biomolecular “skin”, physically isolating deposited Li from the electrolyte and suppressing parasitic corrosion. Meanwhile, HC also serves as a durable lithiophilic nucleation scaffold. The abundant amide groups can act as lithiophilic active sites, redistributing Li+ flux and guiding uniform lithium nucleation. Accordingly, HC-coated Cu (HCCu) exhibits an increased Li+ transference number (0.71) and a reduced Li nucleation overpotential (13 mV). At a deposition capacity of 3 mAh cm−2, HCCu enables compact Li deposition with a thickness of 16.2 μm, which approaches the theoretical value of 15 μm. Consequently, Li||HCCu cells deliver a high average coulombic efficiency (CE) of 99.2% over 400 cycles. Moreover, a 6.4 Ah HCCu||LRMO pouch cell achieves a high energy density of 578.5 Wh kg−1, providing a viable pathway toward scalable, energy-dense IFLMBs.</w:t>
      </w:r>
    </w:p>
    <w:p>
      <w:pPr>
        <w:spacing w:before="120" w:after="120"/>
      </w:pPr>
      <w:r>
        <w:rPr>
          <w:sz w:val="18"/>
        </w:rPr>
        <w:t>——————————————————————————————————————————————————————————————————————</w:t>
      </w:r>
    </w:p>
    <w:p>
      <w:pPr>
        <w:spacing w:before="160" w:after="40" w:line="240" w:lineRule="auto"/>
      </w:pPr>
      <w:r>
        <w:rPr>
          <w:b/>
        </w:rPr>
        <w:t xml:space="preserve">[3] </w:t>
      </w:r>
      <w:hyperlink r:id="rId115">
        <w:r>
          <w:rPr>
            <w:color w:val="1155CC"/>
            <w:u w:val="single"/>
          </w:rPr>
          <w:t>硅与碳的相遇:锂离子电池硅碳负极的荆棘与重生</w:t>
        </w:r>
      </w:hyperlink>
    </w:p>
    <w:p>
      <w:pPr>
        <w:spacing w:before="0" w:after="80"/>
      </w:pPr>
      <w:r>
        <w:rPr>
          <w:i/>
          <w:sz w:val="20"/>
        </w:rPr>
        <w:t>EN: Encounter of silicon and carbon: thorns and rebirth of silicon-carbon anodes in lithium-ion batteries</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116">
        <w:r>
          <w:rPr>
            <w:color w:val="1155CC"/>
            <w:u w:val="single"/>
          </w:rPr>
          <w:t>10.1016/j.apenergy.2026.128690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17">
        <w:r>
          <w:rPr>
            <w:color w:val="1155CC"/>
            <w:u w:val="single"/>
          </w:rPr>
          <w:t>锂离子电池硅基负极的电解质介导界面工程:从液态到准固态和全固态体系</w:t>
        </w:r>
      </w:hyperlink>
    </w:p>
    <w:p>
      <w:pPr>
        <w:spacing w:before="0" w:after="80"/>
      </w:pPr>
      <w:r>
        <w:rPr>
          <w:i/>
          <w:sz w:val="20"/>
        </w:rPr>
        <w:t>EN: Electrolyte-mediated interfacial engineering for silicon-based anodes in lithium-ion batteries: From liquid to quasi-solid and all-solid-state systems</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118">
        <w:r>
          <w:rPr>
            <w:color w:val="1155CC"/>
            <w:u w:val="single"/>
          </w:rPr>
          <w:t>10.1016/j.apenergy.2026.128654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19">
        <w:r>
          <w:rPr>
            <w:color w:val="1155CC"/>
            <w:u w:val="single"/>
          </w:rPr>
          <w:t>用于高拉伸性锌金属电池的一体化3D打印：解决机械柔顺性与电化学稳定性之间的矛盾</w:t>
        </w:r>
      </w:hyperlink>
    </w:p>
    <w:p>
      <w:pPr>
        <w:spacing w:before="0" w:after="80"/>
      </w:pPr>
      <w:r>
        <w:rPr>
          <w:i/>
          <w:sz w:val="20"/>
        </w:rPr>
        <w:t>EN: All‐in‐One 3D Printing for Highly‐Stretchable Zn Metal Batteries: Resolving the Dilemma Between Mechanical Compliance and Electrochemical Stability</w:t>
      </w:r>
    </w:p>
    <w:p>
      <w:pPr>
        <w:spacing w:before="0" w:after="120"/>
      </w:pPr>
      <w:r>
        <w:rPr>
          <w:b/>
        </w:rPr>
        <w:t xml:space="preserve">Source: </w:t>
      </w:r>
      <w:r>
        <w:t>Wiley: Advanced Energy Materials: Table of Contents</w:t>
      </w:r>
      <w:r>
        <w:t xml:space="preserve">    </w:t>
      </w:r>
      <w:r>
        <w:rPr>
          <w:b/>
        </w:rPr>
        <w:t xml:space="preserve">Pub date: </w:t>
      </w:r>
      <w:r>
        <w:t>2026-08-30 09:57:51+00:00</w:t>
      </w:r>
      <w:r>
        <w:t xml:space="preserve">    </w:t>
      </w:r>
      <w:r>
        <w:rPr>
          <w:b/>
        </w:rPr>
        <w:t xml:space="preserve">DOI: </w:t>
      </w:r>
      <w:hyperlink r:id="rId120">
        <w:r>
          <w:rPr>
            <w:color w:val="1155CC"/>
            <w:u w:val="single"/>
          </w:rPr>
          <w:t>10.1002/aenm.71351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Zn离子电池（ZIB）凭借其固有安全性和成本效益，在柔性储能方面前景广阔。然而，应变诱导的界面不稳定性从根本上阻碍了其向可拉伸电源的集成，这种不稳定性会破坏电极-电解质接触，加速Zn枝晶生长和副反应。在此，我们提出一种材料-架构协同设计策略，采用自下而上的3D打印技术为一体化ZIB制备高度可拉伸的Zn负极。在材料层面，通过互穿的聚氨酯-碳纳米管-羧化纤维素网络实现本征可拉伸性，其中动态氢键建立了电化学和机械稳定的界面，引导Zn均匀沉积并抑制副反应。在结构层面，3D打印蛇形架构的集成策略性地利用几何非线性，通过延长的弛豫路径将名义拉伸应变与局部应力解耦，同时实现顺应性的扭转-弯曲变形模式，从而确保重复拉伸下的结构稳健性。因此，在60%拉伸应变下，对称电池在1 mA cm</w:t>
      </w:r>
      <w:r>
        <w:t xml:space="preserve"> </w:t>
      </w:r>
      <w:r>
        <w:t>−2</w:t>
      </w:r>
      <w:r>
        <w:t xml:space="preserve"> </w:t>
      </w:r>
      <w:r>
        <w:t>和1 mAh cm</w:t>
      </w:r>
      <w:r>
        <w:t xml:space="preserve"> </w:t>
      </w:r>
      <w:r>
        <w:t>−2</w:t>
      </w:r>
      <w:r>
        <w:t xml:space="preserve"> </w:t>
      </w:r>
      <w:r>
        <w:t>条件下实现640 h的稳定循环。此外，集成3D打印负极、正极和电解质的一体化全电池在500次循环后保持74.5%的容量保持率。该方法</w:t>
      </w:r>
    </w:p>
    <w:p>
      <w:pPr>
        <w:spacing w:before="0" w:after="200" w:lineRule="auto" w:line="276"/>
      </w:pPr>
      <w:r>
        <w:rPr>
          <w:b/>
        </w:rPr>
        <w:t xml:space="preserve">Abstract (EN): </w:t>
      </w:r>
      <w:r>
        <w:t>Aqueous Zn‐ion batteries (ZIBs) hold great promise for flexible energy storage owing to their inherent safety and cost‐effectiveness. However, their integration into stretchable power sources remains fundamentally challenged by strain‐induced interfacial instability, which disrupts electrode‐electrolyte contact, accelerating Zn dendrite growth and parasitic reactions. Herein, we propose a material‑to‑architecture co‑design strategy using bottom‐up 3D printing to fabricate highly stretchable Zn anodes for all‐in‐one ZIBs. At the material level, intrinsic stretchability is realized through an interpenetrating polyurethane‐carbon nanotube‐carboxylated cellulose network, in which dynamic hydrogen bonding establishes electrochemically and mechanically stable interfaces that guide uniform Zn deposition and suppress parasitic reactions. At the structural level, the integration of 3D‑printed serpentine architectures strategically exploits geometric nonlinearity to decouple nominal tensile strain from localized stress via extended relaxation pathways, while enabling a compliant twisting‐bending deformation mode, thus ensuring structural robustness under repeated stretching. Consequently, under 60% tensile strain, the symmetric cell achieves stable cycling for 640 h at 1 mA cm</w:t>
      </w:r>
      <w:r>
        <w:t xml:space="preserve"> </w:t>
      </w:r>
      <w:r>
        <w:t>−2</w:t>
      </w:r>
      <w:r>
        <w:t xml:space="preserve"> </w:t>
      </w:r>
      <w:r>
        <w:t>and 1 mAh cm</w:t>
      </w:r>
      <w:r>
        <w:t xml:space="preserve"> </w:t>
      </w:r>
      <w:r>
        <w:t>−2</w:t>
      </w:r>
      <w:r>
        <w:t xml:space="preserve"> </w:t>
      </w:r>
      <w:r>
        <w:t>. Furthermore, the all‐in‐one full cell, incorporating 3D‐printed anode, cathode, and electrolyte, maintains 74.5% capacity retention after 500 cycles. This approach resolves the trade‐off between mechanical compliance and interfacial electrochemical stability, enabling high‑performance stretchable batteries for wearable electronics.</w:t>
      </w:r>
    </w:p>
    <w:p>
      <w:pPr>
        <w:spacing w:before="120" w:after="120"/>
      </w:pPr>
      <w:r>
        <w:rPr>
          <w:sz w:val="18"/>
        </w:rPr>
        <w:t>——————————————————————————————————————————————————————————————————————</w:t>
      </w:r>
    </w:p>
    <w:p>
      <w:pPr>
        <w:spacing w:before="160" w:after="40" w:line="240" w:lineRule="auto"/>
      </w:pPr>
      <w:r>
        <w:rPr>
          <w:b/>
        </w:rPr>
        <w:t xml:space="preserve">[6] </w:t>
      </w:r>
      <w:hyperlink r:id="rId121">
        <w:r>
          <w:rPr>
            <w:color w:val="1155CC"/>
            <w:u w:val="single"/>
          </w:rPr>
          <w:t>高能量全固态电池硅基负极的化学-机械界面稳定化</w:t>
        </w:r>
      </w:hyperlink>
    </w:p>
    <w:p>
      <w:pPr>
        <w:spacing w:before="0" w:after="80"/>
      </w:pPr>
      <w:r>
        <w:rPr>
          <w:i/>
          <w:sz w:val="20"/>
        </w:rPr>
        <w:t>EN: Chemo-Mechanical Interphase Stabilization of Silicon-Based Anodes for High-Energy All-Solid-State Batteries</w:t>
      </w:r>
    </w:p>
    <w:p>
      <w:pPr>
        <w:spacing w:before="0" w:after="120"/>
      </w:pPr>
      <w:r>
        <w:rPr>
          <w:b/>
        </w:rPr>
        <w:t xml:space="preserve">Source: </w:t>
      </w:r>
      <w:r>
        <w:t>ACS Energy Letters</w:t>
      </w:r>
      <w:r>
        <w:t xml:space="preserve">    </w:t>
      </w:r>
      <w:r>
        <w:rPr>
          <w:b/>
        </w:rPr>
        <w:t xml:space="preserve">Pub date: </w:t>
      </w:r>
      <w:r>
        <w:t>2026-08-31 00:00:00+00:00</w:t>
      </w:r>
      <w:r>
        <w:t xml:space="preserve">    </w:t>
      </w:r>
      <w:r>
        <w:rPr>
          <w:b/>
        </w:rPr>
        <w:t xml:space="preserve">DOI: </w:t>
      </w:r>
      <w:hyperlink r:id="rId121">
        <w:r>
          <w:rPr>
            <w:color w:val="1155CC"/>
            <w:u w:val="single"/>
          </w:rPr>
          <w:t>10.1021/acsenergylett.6c01842</w:t>
        </w:r>
      </w:hyperlink>
    </w:p>
    <w:p>
      <w:pPr>
        <w:spacing w:before="0" w:after="120"/>
      </w:pPr>
      <w:r>
        <w:rPr>
          <w:b/>
        </w:rPr>
        <w:t xml:space="preserve">Notes: </w:t>
      </w:r>
      <w:r>
        <w:t>abstract_source=crossref</w:t>
      </w:r>
    </w:p>
    <w:p>
      <w:pPr>
        <w:spacing w:before="0" w:after="80" w:lineRule="auto" w:line="276"/>
      </w:pPr>
      <w:r>
        <w:rPr>
          <w:b/>
        </w:rPr>
        <w:t xml:space="preserve">摘要（ZH）: </w:t>
      </w:r>
      <w:r>
        <w:t>摘要 硅负极在高能量密度全固态锂电池中显示出巨大潜力，但其在循环过程中的大幅体积变化导致固-固接触丧失，同时寄生界面反应产生显著的界面电阻。本文提出了一种采用高容量、无碳的氧化亚硅（SiOx）负极的化学-机械稳定化策略。原位形成的富Li2O/LixSiOy基体通过稳定界面接触维持连续的离子传输通道，并减轻与硫化物电解质的寄生反应。因此，SiOx负极可在高达5.0 mA cm−2的电流密度下工作，并提供2.3 mA h cm−2的面容量。此外，全电池在1.0 mA cm−2下循环400次后容量保持率为70.3%，可逆面容量为1.6 mA h cm−2。此外，还采用了熔盐表面包覆，将SiOx的电子电导率提高了两个数量级。本工作为基于SiOx负极的高能量ASSLBs开辟了新途径。</w:t>
      </w:r>
    </w:p>
    <w:p>
      <w:pPr>
        <w:spacing w:before="0" w:after="200" w:lineRule="auto" w:line="276"/>
      </w:pPr>
      <w:r>
        <w:rPr>
          <w:b/>
        </w:rPr>
        <w:t xml:space="preserve">Abstract (EN): </w:t>
      </w:r>
      <w:r>
        <w:t>Silicon anodes show great potential for high-energy-density all-solid-state lithium batteries, but their substantial volume changes during cycling result in the loss of solid-solid contact, while parasitic interfacial reactions generate significant interfacial resistance. Herein, we present a chemo-mechanical stabilization strategy using a high-capacity, carbon-free silicon suboxide (SiOx) anode. The in situ formation of a Li2O/LixSiOy-rich matrix maintains continuous ion-transport pathways by stabilizing interfacial contact and mitigates parasitic reactions with sulfide electrolytes. As a result, the SiOx anode operates at current densities up to 5.0 mA cm−2 and delivers an areal capacity of 2.3 mA h cm−2. Furthermore, full cells achieve 70.3% capacity retention after 400 cycles at 1.0 mA cm−2, with a reversible areal capacity of 1.6 mA h cm−2. Moreover, a molten-salt-enabled surface coating was employed, which improved the electronic conductivity of SiOx by two orders of magnitude. This work offers a new avenue toward high-energy ASSLBs based on SiOx anodes.</w:t>
      </w:r>
    </w:p>
    <w:p>
      <w:pPr>
        <w:spacing w:before="120" w:after="120"/>
      </w:pPr>
      <w:r>
        <w:rPr>
          <w:sz w:val="18"/>
        </w:rPr>
        <w:t>——————————————————————————————————————————————————————————————————————</w:t>
      </w:r>
    </w:p>
    <w:p>
      <w:pPr>
        <w:spacing w:before="160" w:after="40" w:line="240" w:lineRule="auto"/>
      </w:pPr>
      <w:r>
        <w:rPr>
          <w:b/>
        </w:rPr>
        <w:t xml:space="preserve">[7] </w:t>
      </w:r>
      <w:hyperlink r:id="rId122">
        <w:r>
          <w:rPr>
            <w:color w:val="1155CC"/>
            <w:u w:val="single"/>
          </w:rPr>
          <w:t>Na–C动态界面诱导离子隧穿实现介孔碳中超快钠离子传输</w:t>
        </w:r>
      </w:hyperlink>
    </w:p>
    <w:p>
      <w:pPr>
        <w:spacing w:before="0" w:after="80"/>
      </w:pPr>
      <w:r>
        <w:rPr>
          <w:i/>
          <w:sz w:val="20"/>
        </w:rPr>
        <w:t>EN: Na–C Dynamic Interface-Induced Ion Tunneling for Ultrafast Sodium-Ion Transport in Mesoporous Carbon</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122">
        <w:r>
          <w:rPr>
            <w:color w:val="1155CC"/>
            <w:u w:val="single"/>
          </w:rPr>
          <w:t>10.1021/acsami.6c12018</w:t>
        </w:r>
      </w:hyperlink>
    </w:p>
    <w:p>
      <w:pPr>
        <w:spacing w:before="0" w:after="120"/>
      </w:pPr>
      <w:r>
        <w:rPr>
          <w:b/>
        </w:rPr>
        <w:t xml:space="preserve">Notes: </w:t>
      </w:r>
      <w:r>
        <w:t>abstract_source=crossref</w:t>
      </w:r>
    </w:p>
    <w:p>
      <w:pPr>
        <w:spacing w:before="0" w:after="80" w:lineRule="auto" w:line="276"/>
      </w:pPr>
      <w:r>
        <w:rPr>
          <w:b/>
        </w:rPr>
        <w:t xml:space="preserve">摘要（ZH）: </w:t>
      </w:r>
      <w:r>
        <w:t>摘要 开发高性能负极材料对推进钠离子电池至关重要,其中缓慢的离子传输动力学仍是主要瓶颈。尽管表面/体相工程可降低Na+扩散势垒,但现有策略缺乏明确的结构-动力学关联。本文中,我们通过可规模化的纳米乳液共组装策略制备了介观碳球,以构建动态活性界面实现高效的Na+传输。介孔结构增强了Na+的可及性,诱导电子云重排,并形成动态的Na–C配位通道,使Na+扩散相比无孔碳提升了近四个数量级。MCS在0.1 A g–1下展现出336.6 mAh g–1的高可逆容量,并在7.5 A g–1下循环1000次后仍保持110.4 mAh g–1。多尺度模拟揭示了前驱体Na+在界面处触发电子云重排,形成具有共价特征的Na–C通道。这降低了扩散势垒,实现了超快的"界面诱导离子隧穿"迁移。这项工作为界面离子调控提供了原子层面的洞察,并为高倍率SIB负极提供了可规模化策略。</w:t>
      </w:r>
    </w:p>
    <w:p>
      <w:pPr>
        <w:spacing w:before="0" w:after="200" w:lineRule="auto" w:line="276"/>
      </w:pPr>
      <w:r>
        <w:rPr>
          <w:b/>
        </w:rPr>
        <w:t xml:space="preserve">Abstract (EN): </w:t>
      </w:r>
      <w:r>
        <w:t>Developing high-performance anode materials is critical for advancing sodium-ion batteries (SIBs), wherein slow ion transport kinetics remains a major bottleneck. Although surface/bulk engineering can reduce Na+ diffusion barriers, current strategies lack clear structure-kinetic correlations. Herein, we fabricate mesoscopic carbon spheres (MCS) via a scalable nano-emulsion co-assembly strategy to construct dynamic active interfaces for efficient Na+ transport. The mesoporous structure enhances Na+ accessibility, induces electron cloud rearrangement, and forms dynamic Na–C coordination channels, leading to a nearly four-order-of-magnitude enhancement in Na+ diffusion compared to non-porous carbon. MCS delivers a high reversible capacity of 336.6 mAh g–1 at 0.1 A g–1 and retains 110.4 mAh g–1 after 1000 cycles at 7.5 A g–1. Multiscale simulations (DFT/MD) reveal that precursor Na+ triggers electron cloud rearrangement at interfaces, forming Na–C channels with covalent characteristics. This reduces the diffusion barrier, enabling an ultrafast "interface-induced ion tunneling" migration. This work provides atomic-level insights into interfacial ion regulation and a scalable strategy for high-rate SIB anodes.</w:t>
      </w:r>
    </w:p>
    <w:p>
      <w:pPr>
        <w:spacing w:before="120" w:after="120"/>
      </w:pPr>
      <w:r>
        <w:rPr>
          <w:sz w:val="18"/>
        </w:rPr>
        <w:t>——————————————————————————————————————————————————————————————————————</w:t>
      </w:r>
    </w:p>
    <w:p>
      <w:pPr>
        <w:spacing w:before="160" w:after="40" w:line="240" w:lineRule="auto"/>
      </w:pPr>
      <w:r>
        <w:rPr>
          <w:b/>
        </w:rPr>
        <w:t xml:space="preserve">[8] </w:t>
      </w:r>
      <w:hyperlink r:id="rId123">
        <w:r>
          <w:rPr>
            <w:color w:val="1155CC"/>
            <w:u w:val="single"/>
          </w:rPr>
          <w:t>水系锌离子电池锌负极的界面应力化学</w:t>
        </w:r>
      </w:hyperlink>
    </w:p>
    <w:p>
      <w:pPr>
        <w:spacing w:before="0" w:after="80"/>
      </w:pPr>
      <w:r>
        <w:rPr>
          <w:i/>
          <w:sz w:val="20"/>
        </w:rPr>
        <w:t>EN: Interfacial Stress Chemistry in Zinc Anodes for Aqueous Zinc‐Ion Batteries</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124">
        <w:r>
          <w:rPr>
            <w:color w:val="1155CC"/>
            <w:u w:val="single"/>
          </w:rPr>
          <w:t>10.1002/aenm.71449</w:t>
        </w:r>
      </w:hyperlink>
    </w:p>
    <w:p>
      <w:pPr>
        <w:spacing w:before="0" w:after="120"/>
      </w:pPr>
      <w:r>
        <w:rPr>
          <w:b/>
        </w:rPr>
        <w:t xml:space="preserve">Notes: </w:t>
      </w:r>
      <w:r>
        <w:t>abstract_source=crossref</w:t>
      </w:r>
    </w:p>
    <w:p>
      <w:pPr>
        <w:spacing w:before="0" w:after="80" w:lineRule="auto" w:line="276"/>
      </w:pPr>
      <w:r>
        <w:rPr>
          <w:b/>
        </w:rPr>
        <w:t xml:space="preserve">摘要（ZH）: </w:t>
      </w:r>
      <w:r>
        <w:t>摘要 水系锌离子电池（AZIBs）凭借其本征安全性、低成本以及Zn负极的高理论容量，已成为电网级和可穿戴储能应用的有力候选者。然而，Zn负极在循环过程中较差的可逆性和结构不稳定性严重限制了其实际部署，这通常被归因于孤立的电化学失效，如枝晶生长和寄生水诱导副反应。越来越多的证据表明，这些劣化源于涉及界面应力演变的自放大电化学-机械耦合过程。尽管如此，理解AZIBs失效机制的以力学为中心的统一框架仍然缺失，而主流改性策略诱导的二次应力效应也在很大程度上被忽视。在本综述中，我们建立了全面的电化学-机械耦合框架，系统阐明界面应力的多重起源，批判性评估最先进的应力表征技术，并明确揭示广泛采用的负极改性策略相关的力学失配和二次应力效应。此外，我们根据残余应力、诱导应力和结晶应力的缓解对应力调控策略进行了重新梳理，并讨论了关键挑战和前瞻性研究方向，为合理设计超稳定Zn负极以推进AZIBs的商</w:t>
      </w:r>
    </w:p>
    <w:p>
      <w:pPr>
        <w:spacing w:before="0" w:after="200" w:lineRule="auto" w:line="276"/>
      </w:pPr>
      <w:r>
        <w:rPr>
          <w:b/>
        </w:rPr>
        <w:t xml:space="preserve">Abstract (EN): </w:t>
      </w:r>
      <w:r>
        <w:t>Aqueous zinc‐ion batteries (AZIBs) have emerged as promising candidates for grid‐scale and wearable energy storage applications owing to their intrinsic safety, low cost, and high theoretical capacity of Zn anodes. However, their practical deployment remains severely constrained by the poor reversibility and structural instability of Zn anodes during cycling, which have conventionally been attributed to isolated electrochemical failures, such as dendrite growth and parasitic water‐induced side reactions. Increasing evidence reveals these degradations originate from a self‐amplifying electrochemical‐mechanical coupling process involving interfacial stress evolution. Nevertheless, a unified mechanics‐centered framework for understanding failure mechanisms in AZIBs is still lacking, while the secondary stress effects induced by mainstream modification strategies have been largely overlooked. In this review, we establish a comprehensive electrochemical‐mechanical coupling framework to systematically elucidate the multiple origins of interfacial stress, critically assess state‐of‐the‐art stress characterization techniques, and explicitly uncover the mechanical mismatch and secondary stress effects associated with widely adopted anode modification strategies. Furthermore, we reorganize stress‐regulation strategies according to the mitigation of residual, induced, and crystallization stresses, and discuss the key challenges and forward‐looking research directions, providing fundamental mechanistic insights for rational design of ultra‐stable Zn anodes to advance AZIB commercialization.</w:t>
      </w:r>
    </w:p>
    <w:p>
      <w:pPr>
        <w:spacing w:before="120" w:after="120"/>
      </w:pPr>
      <w:r>
        <w:rPr>
          <w:sz w:val="18"/>
        </w:rPr>
        <w:t>——————————————————————————————————————————————————————————————————————</w:t>
      </w:r>
    </w:p>
    <w:p>
      <w:pPr>
        <w:spacing w:before="160" w:after="40" w:line="240" w:lineRule="auto"/>
      </w:pPr>
      <w:r>
        <w:rPr>
          <w:b/>
        </w:rPr>
        <w:t xml:space="preserve">[9] </w:t>
      </w:r>
      <w:hyperlink r:id="rId125">
        <w:r>
          <w:rPr>
            <w:color w:val="1155CC"/>
            <w:u w:val="single"/>
          </w:rPr>
          <w:t>重新审视聚丙烯腈衍生碳纳米纤维的闭孔形成与界面微环境调控机制以实现高效钠存储</w:t>
        </w:r>
      </w:hyperlink>
    </w:p>
    <w:p>
      <w:pPr>
        <w:spacing w:before="0" w:after="80"/>
      </w:pPr>
      <w:r>
        <w:rPr>
          <w:i/>
          <w:sz w:val="20"/>
        </w:rPr>
        <w:t>EN: Revisiting the Closed‐Pore Formation and Interfacial Micro‐Environment Modulation Mechanisms of Polyacrylonitrile‐Derived Carbon Nanofibers Toward Efficient Sodium Storage</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126">
        <w:r>
          <w:rPr>
            <w:color w:val="1155CC"/>
            <w:u w:val="single"/>
          </w:rPr>
          <w:t>10.1002/aenm.71523</w:t>
        </w:r>
      </w:hyperlink>
    </w:p>
    <w:p>
      <w:pPr>
        <w:spacing w:before="0" w:after="120"/>
      </w:pPr>
      <w:r>
        <w:rPr>
          <w:b/>
        </w:rPr>
        <w:t xml:space="preserve">Notes: </w:t>
      </w:r>
      <w:r>
        <w:t>abstract_source=crossref</w:t>
      </w:r>
    </w:p>
    <w:p>
      <w:pPr>
        <w:spacing w:before="0" w:after="80" w:lineRule="auto" w:line="276"/>
      </w:pPr>
      <w:r>
        <w:rPr>
          <w:b/>
        </w:rPr>
        <w:t xml:space="preserve">摘要（ZH）: </w:t>
      </w:r>
      <w:r>
        <w:t>摘要 聚丙烯腈基碳纳米纤维（CNFs）因其高碳收率/轴向导电性及优异的机械柔性而被广泛视为有前景的钠存储负极材料。然而，对其随温度变化的微观结构演变（尤其是热解过程中闭孔的形成）、电解液诱导的电极-电解液界面微环境，以及其对钠存储行为的影响机制仍需合理澄清。借助系统的（非）原位物理化学/电化学表征，首次确立了1400°C的最佳热解温度结合“拉链式”点-线-面固相熔融演变可有效调控微观结构，使优化的赝石墨化CNFs膜（即GCNFs-1400）在离子传输通道（层间距）、活性存储位点（闭孔）和三维导电支撑骨架（固相熔融）之间实现协同平衡。同时，与酯类电解液相比，醚类电解液有利于形成更薄、更均匀且化学性质稳定的固体电解质界面膜层。正是材料微结构与界面微环境的双重调控，充分保障了GCNFs-1400在超高首次库仑效率（96.2%）、倍率性能和长期稳定性方面的竞争优势，适用于无需预钠化的钠离子电池和钠离子电容器。</w:t>
      </w:r>
    </w:p>
    <w:p>
      <w:pPr>
        <w:spacing w:before="0" w:after="200" w:lineRule="auto" w:line="276"/>
      </w:pPr>
      <w:r>
        <w:rPr>
          <w:b/>
        </w:rPr>
        <w:t xml:space="preserve">Abstract (EN): </w:t>
      </w:r>
      <w:r>
        <w:t>Polyacrylonitrile‐based carbon nanofibers (CNFs) are widely regarded as promising sodium‐storage anodes owing to their high carbon yield/axial conductivity and superior mechanical flexibility. Nevertheless, the ambiguous understandings into the temperature‐dependent micro‐structure evolution, particularly the closed‐pore formation over pyrolysis, and the electrolyte induced electrode‐electrolyte interface micro‐environments, along with the involved influence mechanism upon sodium‐storage behaviors should be reasonably clarified. With systematical in(ex)‐situ physicochemical/electrochemical characterizations, it is first established that the optimal pyrolysis temperature of 1400°C combined with a “zipper‐like” point‐line‐plane solid‐phase fusion evolution effectively modulates micro‐structures, endowing the optimized pseudo‐graphitized CNFs film (i.e., GCNFs‐1400) with a synergistic balance among ions transport pathways (interlayer spacing), active storage sites (closed pores), and 3D conductive supporting framework (solid‐phase fusion). Concurrently, compared to the ester‐based electrolyte, the ether‐based electrolyte favors the formation of a thinner, more uniform, and chemically stable solid electrolyte interphase layer. It is the dual‐engineering of both material micro‐structures and interfacial micro‐environment that fully guarantees the competitive sodium‐storage properties of GCNFs‐1400 in terms of ultra‐high initial Coulombic efficiency (96.2%), rate capability, and long‐term stability toward presodiation‐free sodium‐ion batteries and sodium‐ion capacitors. More essentially, our in‐depth insights here provide meaningful guidance for future design of advanced hard carbon anodes toward efficient sodium storage.</w:t>
      </w:r>
    </w:p>
    <w:p>
      <w:pPr>
        <w:spacing w:before="120" w:after="120"/>
      </w:pPr>
      <w:r>
        <w:rPr>
          <w:sz w:val="18"/>
        </w:rPr>
        <w:t>——————————————————————————————————————————————————————————————————————</w:t>
      </w:r>
    </w:p>
    <w:p>
      <w:pPr>
        <w:spacing w:before="160" w:after="40" w:line="240" w:lineRule="auto"/>
      </w:pPr>
      <w:r>
        <w:rPr>
          <w:b/>
        </w:rPr>
        <w:t xml:space="preserve">[10] </w:t>
      </w:r>
      <w:hyperlink r:id="rId126">
        <w:r>
          <w:rPr>
            <w:color w:val="1155CC"/>
            <w:u w:val="single"/>
          </w:rPr>
          <w:t>重新审视聚丙烯腈衍生碳纳米纤维的闭孔形成与界面微环境调控机制以实现高效钠存储</w:t>
        </w:r>
      </w:hyperlink>
    </w:p>
    <w:p>
      <w:pPr>
        <w:spacing w:before="0" w:after="80"/>
      </w:pPr>
      <w:r>
        <w:rPr>
          <w:i/>
          <w:sz w:val="20"/>
        </w:rPr>
        <w:t>EN: Revisiting the Closed‐Pore Formation and Interfacial Micro‐Environment Modulation Mechanisms of Polyacrylonitrile‐Derived Carbon Nanofibers Toward Efficient Sodium Storage</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126">
        <w:r>
          <w:rPr>
            <w:color w:val="1155CC"/>
            <w:u w:val="single"/>
          </w:rPr>
          <w:t>10.1002/aenm.71523</w:t>
        </w:r>
      </w:hyperlink>
    </w:p>
    <w:p>
      <w:pPr>
        <w:spacing w:before="0" w:after="120"/>
      </w:pPr>
      <w:r>
        <w:rPr>
          <w:b/>
        </w:rPr>
        <w:t xml:space="preserve">Notes: </w:t>
      </w:r>
      <w:r>
        <w:t>abstract_source=crossref</w:t>
      </w:r>
    </w:p>
    <w:p>
      <w:pPr>
        <w:spacing w:before="0" w:after="80" w:lineRule="auto" w:line="276"/>
      </w:pPr>
      <w:r>
        <w:rPr>
          <w:b/>
        </w:rPr>
        <w:t xml:space="preserve">摘要（ZH）: </w:t>
      </w:r>
      <w:r>
        <w:t>摘要：聚丙烯腈基碳纳米纤维(CNFs)因其高碳收率/轴向导电性和优异的机械柔性，被广泛认为是很有前景的钠存储负极材料。然而，对温度依赖性的微观结构演变(尤其是热解过程中闭孔的形成)、电解液诱导的电极-电解液界面微环境及其对钠存储行为的影响机制仍需合理阐明。通过系统的(非)原位物理化学/电化学表征，首次确立了1400°C的最佳热解温度结合“拉链式”点-线-面固相融合演变可有效调控微观结构，使优化的伪石墨化CNFs膜(即GCNFs-1400)在离子传输通道(层间距)、活性存储位点(闭孔)和3D导电支撑骨架(固相融合)之间实现协同平衡。同时，与酯类电解液相比，醚类电解液有利于形成更薄、更均匀且化学稳定的固体电解质界面层。正是材料微观结构与界面微环境的双重工程，充分保证了GCNFs-1400在超高首次库仑效率(96.2%)、倍率性能和长期稳定性方面的竞争优势，适用于免预钠化的钠离子电池和钠离子电容器。</w:t>
      </w:r>
    </w:p>
    <w:p>
      <w:pPr>
        <w:spacing w:before="0" w:after="200" w:lineRule="auto" w:line="276"/>
      </w:pPr>
      <w:r>
        <w:rPr>
          <w:b/>
        </w:rPr>
        <w:t xml:space="preserve">Abstract (EN): </w:t>
      </w:r>
      <w:r>
        <w:t>Polyacrylonitrile‐based carbon nanofibers (CNFs) are widely regarded as promising sodium‐storage anodes owing to their high carbon yield/axial conductivity and superior mechanical flexibility. Nevertheless, the ambiguous understandings into the temperature‐dependent micro‐structure evolution, particularly the closed‐pore formation over pyrolysis, and the electrolyte induced electrode‐electrolyte interface micro‐environments, along with the involved influence mechanism upon sodium‐storage behaviors should be reasonably clarified. With systematical in(ex)‐situ physicochemical/electrochemical characterizations, it is first established that the optimal pyrolysis temperature of 1400°C combined with a “zipper‐like” point‐line‐plane solid‐phase fusion evolution effectively modulates micro‐structures, endowing the optimized pseudo‐graphitized CNFs film (i.e., GCNFs‐1400) with a synergistic balance among ions transport pathways (interlayer spacing), active storage sites (closed pores), and 3D conductive supporting framework (solid‐phase fusion). Concurrently, compared to the ester‐based electrolyte, the ether‐based electrolyte favors the formation of a thinner, more uniform, and chemically stable solid electrolyte interphase layer. It is the dual‐engineering of both material micro‐structures and interfacial micro‐environment that fully guarantees the competitive sodium‐storage properties of GCNFs‐1400 in terms of ultra‐high initial Coulombic efficiency (96.2%), rate capability, and long‐term stability toward presodiation‐free sodium‐ion batteries and sodium‐ion capacitors. More essentially, our in‐depth insights here provide meaningful guidance for future design of advanced hard carbon anodes toward efficient sodium storage.</w:t>
      </w:r>
    </w:p>
    <w:p>
      <w:pPr>
        <w:spacing w:before="120" w:after="120"/>
      </w:pPr>
      <w:r>
        <w:rPr>
          <w:sz w:val="18"/>
        </w:rPr>
        <w:t>——————————————————————————————————————————————————————————————————————</w:t>
      </w:r>
    </w:p>
    <w:p>
      <w:pPr>
        <w:spacing w:before="160" w:after="40" w:line="240" w:lineRule="auto"/>
      </w:pPr>
      <w:r>
        <w:rPr>
          <w:b/>
        </w:rPr>
        <w:t xml:space="preserve">[11] </w:t>
      </w:r>
      <w:hyperlink r:id="rId124">
        <w:r>
          <w:rPr>
            <w:color w:val="1155CC"/>
            <w:u w:val="single"/>
          </w:rPr>
          <w:t>水系锌离子电池锌负极的界面应力化学</w:t>
        </w:r>
      </w:hyperlink>
    </w:p>
    <w:p>
      <w:pPr>
        <w:spacing w:before="0" w:after="80"/>
      </w:pPr>
      <w:r>
        <w:rPr>
          <w:i/>
          <w:sz w:val="20"/>
        </w:rPr>
        <w:t>EN: Interfacial Stress Chemistry in Zinc Anodes for Aqueous Zinc‐Ion Batteries</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124">
        <w:r>
          <w:rPr>
            <w:color w:val="1155CC"/>
            <w:u w:val="single"/>
          </w:rPr>
          <w:t>10.1002/aenm.71449</w:t>
        </w:r>
      </w:hyperlink>
    </w:p>
    <w:p>
      <w:pPr>
        <w:spacing w:before="0" w:after="120"/>
      </w:pPr>
      <w:r>
        <w:rPr>
          <w:b/>
        </w:rPr>
        <w:t xml:space="preserve">Notes: </w:t>
      </w:r>
      <w:r>
        <w:t>abstract_source=crossref</w:t>
      </w:r>
    </w:p>
    <w:p>
      <w:pPr>
        <w:spacing w:before="0" w:after="80" w:lineRule="auto" w:line="276"/>
      </w:pPr>
      <w:r>
        <w:rPr>
          <w:b/>
        </w:rPr>
        <w:t xml:space="preserve">摘要（ZH）: </w:t>
      </w:r>
      <w:r>
        <w:t>摘要 水系锌离子电池（AZIBs）凭借其本征安全性、低成本以及Zn负极的高理论容量，已成为电网级和可穿戴储能应用的有前景候选者。然而，其实际部署仍受到Zn负极在循环过程中差的可逆性和结构不稳定性的严重制约，这通常被归因于孤立的电化学失效，如枝晶生长和寄生水诱导副反应。越来越多的证据表明，这些退化源于涉及界面应力演化的自放大电化学-力学耦合过程。然而，目前仍缺乏以力学为中心理解AZIBs失效机制的统一框架，而主流改性策略诱导的次级应力效应也在很大程度上被忽视。在本综述中，我们建立了全面的电化学-力学耦合框架，以系统阐明界面应力的多重来源，批判性评估最先进的应力表征技术，并明确揭示广泛采用的负极改性策略相关的力学失配和次级应力效应。此外，我们根据残余应力、诱导应力和结晶应力的缓解对应力调控策略进行了重新组织，并讨论了关键挑战和前瞻性研究方向，为合理设计超稳定Zn负极以推进AZIBs的商业化提供了基础性机理见解。</w:t>
      </w:r>
    </w:p>
    <w:p>
      <w:pPr>
        <w:spacing w:before="0" w:after="200" w:lineRule="auto" w:line="276"/>
      </w:pPr>
      <w:r>
        <w:rPr>
          <w:b/>
        </w:rPr>
        <w:t xml:space="preserve">Abstract (EN): </w:t>
      </w:r>
      <w:r>
        <w:t>Aqueous zinc‐ion batteries (AZIBs) have emerged as promising candidates for grid‐scale and wearable energy storage applications owing to their intrinsic safety, low cost, and high theoretical capacity of Zn anodes. However, their practical deployment remains severely constrained by the poor reversibility and structural instability of Zn anodes during cycling, which have conventionally been attributed to isolated electrochemical failures, such as dendrite growth and parasitic water‐induced side reactions. Increasing evidence reveals these degradations originate from a self‐amplifying electrochemical‐mechanical coupling process involving interfacial stress evolution. Nevertheless, a unified mechanics‐centered framework for understanding failure mechanisms in AZIBs is still lacking, while the secondary stress effects induced by mainstream modification strategies have been largely overlooked. In this review, we establish a comprehensive electrochemical‐mechanical coupling framework to systematically elucidate the multiple origins of interfacial stress, critically assess state‐of‐the‐art stress characterization techniques, and explicitly uncover the mechanical mismatch and secondary stress effects associated with widely adopted anode modification strategies. Furthermore, we reorganize stress‐regulation strategies according to the mitigation of residual, induced, and crystallization stresses, and discuss the key challenges and forward‐looking research directions, providing fundamental mechanistic insights for rational design of ultra‐stable Zn anodes to advance AZIB commercialization.</w:t>
      </w:r>
    </w:p>
    <w:p>
      <w:pPr>
        <w:spacing w:before="120" w:after="120"/>
      </w:pPr>
      <w:r>
        <w:rPr>
          <w:sz w:val="18"/>
        </w:rPr>
        <w:t>——————————————————————————————————————————————————————————————————————</w:t>
      </w:r>
    </w:p>
    <w:p>
      <w:pPr>
        <w:spacing w:before="160" w:after="40" w:line="240" w:lineRule="auto"/>
      </w:pPr>
      <w:r>
        <w:rPr>
          <w:b/>
        </w:rPr>
        <w:t xml:space="preserve">[12] </w:t>
      </w:r>
      <w:hyperlink r:id="rId127">
        <w:r>
          <w:rPr>
            <w:color w:val="1155CC"/>
            <w:u w:val="single"/>
          </w:rPr>
          <w:t>化学-电化学串联还原实现用于硅基负极的 eupolymer-无机固态电解质界面</w:t>
        </w:r>
      </w:hyperlink>
    </w:p>
    <w:p>
      <w:pPr>
        <w:spacing w:before="0" w:after="80"/>
      </w:pPr>
      <w:r>
        <w:rPr>
          <w:i/>
          <w:sz w:val="20"/>
        </w:rPr>
        <w:t>EN: Chemo-electrochemical Tandem Reduction Enables Eupolymer-Inorganic Solid-Electrolyte Interphases for Silicon-Based Anodes</w:t>
      </w:r>
    </w:p>
    <w:p>
      <w:pPr>
        <w:spacing w:before="0" w:after="120"/>
      </w:pPr>
      <w:r>
        <w:rPr>
          <w:b/>
        </w:rPr>
        <w:t xml:space="preserve">Source: </w:t>
      </w:r>
      <w:r>
        <w:t>ACS Energy Letters: Latest Articles (ACS Publications)</w:t>
      </w:r>
      <w:r>
        <w:t xml:space="preserve">    </w:t>
      </w:r>
      <w:r>
        <w:rPr>
          <w:b/>
        </w:rPr>
        <w:t xml:space="preserve">Pub date: </w:t>
      </w:r>
      <w:r>
        <w:t>2026-09-02 00:00:00+00:00</w:t>
      </w:r>
      <w:r>
        <w:t xml:space="preserve">    </w:t>
      </w:r>
      <w:r>
        <w:rPr>
          <w:b/>
        </w:rPr>
        <w:t xml:space="preserve">DOI: </w:t>
      </w:r>
      <w:hyperlink r:id="rId128">
        <w:r>
          <w:rPr>
            <w:color w:val="1155CC"/>
            <w:u w:val="single"/>
          </w:rPr>
          <w:t>10.1021/acsenergylett.6c02291</w:t>
        </w:r>
      </w:hyperlink>
    </w:p>
    <w:p>
      <w:pPr>
        <w:spacing w:before="0" w:after="120"/>
      </w:pPr>
      <w:r>
        <w:rPr>
          <w:b/>
        </w:rPr>
        <w:t xml:space="preserve">Notes: </w:t>
      </w:r>
      <w:r>
        <w:t>abstract_source=crossref</w:t>
      </w:r>
    </w:p>
    <w:p>
      <w:pPr>
        <w:spacing w:before="0" w:after="80" w:lineRule="auto" w:line="276"/>
      </w:pPr>
      <w:r>
        <w:rPr>
          <w:b/>
        </w:rPr>
        <w:t xml:space="preserve">摘要（ZH）: </w:t>
      </w:r>
      <w:r>
        <w:t>摘要 硅基负极为提升电池能量密度提供了巨大潜力，但受限于不稳定的固体电解质界面膜（SEI）。在此，我们报道了一种化学-电化学串联还原策略，以构建兼具良好机械鲁棒性和快速Li+传输能力的一体化高分子聚合物-无机SEI。该策略将本体电解液中的选择性酯-胺交换反应与随后在负极表面的电化学还原相耦合。所鉴定出的化学中间体表现出促进的脱氟动力学，使SEI富含纳米级无机组分，同时引发不饱和添加剂的自由基聚合。得益于这种一体化高分子聚合物-无机SEI，SiOx负极在800次循环后容量保持率为80.1%，并在5 A g–1下保持551.9 mAh g–1。截止电压为4.4 V下运行的实用级Ah级Si/C∥NCM811软包电池在300次循环后实现90.9%的容量保持率，平均库仑效率为99.91%。这项工作为SEI调控提供了深刻见解，为长寿命、快充硅基电池指明了途径。</w:t>
      </w:r>
    </w:p>
    <w:p>
      <w:pPr>
        <w:spacing w:before="0" w:after="200" w:lineRule="auto" w:line="276"/>
      </w:pPr>
      <w:r>
        <w:rPr>
          <w:b/>
        </w:rPr>
        <w:t xml:space="preserve">Abstract (EN): </w:t>
      </w:r>
      <w:r>
        <w:t>Silicon-based anodes offer substantial potential for increasing batteries’ energy density but are limited by unstable solid-electrolyte interphases (SEIs). Here, we report a chemo-electrochemical tandem reduction strategy to construct an integrated eupolymer-inorganic SEI with both favorable mechanical robustness and fast Li+ transport. This strategy couples a selective ester–amine exchange reaction in the bulk electrolyte with a subsequent electrochemical reduction at the anode surface. The identified chemical intermediate exhibits facilitated de-fluorination kinetics, enriching the SEI with nanoscale inorganic species while triggering a free-radical polymerization of unsaturated additives. Benefiting from the integrated eupolymer-inorganic SEI, SiOx anodes demonstrate 80.1% capacity retention after 800 cycles and retain 551.9 mAh g–1 at 5 A g–1. Practical Ah-level Si/C∥NCM811 pouch cells operating under a cut-off voltage of 4.4 V achieve 90.9% capacity retention over 300 cycles, with an average Coulombic efficiency of 99.91%. This work provides profound insights into SEI tailoring, offering pathway toward long-life, fast-charging silicon-based batteries.</w:t>
      </w:r>
    </w:p>
    <w:p>
      <w:pPr>
        <w:spacing w:before="120" w:after="120"/>
      </w:pPr>
      <w:r>
        <w:rPr>
          <w:sz w:val="18"/>
        </w:rPr>
        <w:t>——————————————————————————————————————————————————————————————————————</w:t>
      </w:r>
    </w:p>
    <w:p>
      <w:pPr>
        <w:spacing w:before="160" w:after="40" w:line="240" w:lineRule="auto"/>
      </w:pPr>
      <w:r>
        <w:rPr>
          <w:b/>
        </w:rPr>
        <w:t xml:space="preserve">[13] </w:t>
      </w:r>
      <w:hyperlink r:id="rId129">
        <w:r>
          <w:rPr>
            <w:color w:val="1155CC"/>
            <w:u w:val="single"/>
          </w:rPr>
          <w:t>更正：“一种受电子供给能力启发的双功能描述符用于调控锌离子电池中的枝晶生长与副反应”</w:t>
        </w:r>
      </w:hyperlink>
    </w:p>
    <w:p>
      <w:pPr>
        <w:spacing w:before="0" w:after="80"/>
      </w:pPr>
      <w:r>
        <w:rPr>
          <w:i/>
          <w:sz w:val="20"/>
        </w:rPr>
        <w:t>EN: Correction to “A Bifunctional Descriptor Inspired by Electron‐Donating Ability for Regulating Dendrite Growth and Parasitic Reactions in Zinc‐Ion Batteries”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30">
        <w:r>
          <w:rPr>
            <w:color w:val="1155CC"/>
            <w:u w:val="single"/>
          </w:rPr>
          <w:t>10.1002/anie.5685998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131">
        <w:r>
          <w:rPr>
            <w:color w:val="1155CC"/>
            <w:u w:val="single"/>
          </w:rPr>
          <w:t>揭示放大规模水系锌离子软包电池中的空间电化学不均一性及添加剂介导的调控</w:t>
        </w:r>
      </w:hyperlink>
    </w:p>
    <w:p>
      <w:pPr>
        <w:spacing w:before="0" w:after="80"/>
      </w:pPr>
      <w:r>
        <w:rPr>
          <w:i/>
          <w:sz w:val="20"/>
        </w:rPr>
        <w:t>EN: Unraveling Spatial Electrochemical Heterogeneity and Additive‐Mediated Regulation in Scale‐up Aqueous Zinc‐Ion Pouch‐Type Cells</w:t>
      </w:r>
    </w:p>
    <w:p>
      <w:pPr>
        <w:spacing w:before="0" w:after="120"/>
      </w:pPr>
      <w:r>
        <w:rPr>
          <w:b/>
        </w:rPr>
        <w:t xml:space="preserve">Source: </w:t>
      </w:r>
      <w:r>
        <w:t>Advanced Energy Materials</w:t>
      </w:r>
      <w:r>
        <w:t xml:space="preserve">    </w:t>
      </w:r>
      <w:r>
        <w:rPr>
          <w:b/>
        </w:rPr>
        <w:t xml:space="preserve">Pub date: </w:t>
      </w:r>
      <w:r>
        <w:t>2026-09-02 00:00:00+00:00</w:t>
      </w:r>
      <w:r>
        <w:t xml:space="preserve">    </w:t>
      </w:r>
      <w:r>
        <w:rPr>
          <w:b/>
        </w:rPr>
        <w:t xml:space="preserve">DOI: </w:t>
      </w:r>
      <w:hyperlink r:id="rId132">
        <w:r>
          <w:rPr>
            <w:color w:val="1155CC"/>
            <w:u w:val="single"/>
          </w:rPr>
          <w:t>10.1002/aenm.71532</w:t>
        </w:r>
      </w:hyperlink>
    </w:p>
    <w:p>
      <w:pPr>
        <w:spacing w:before="0" w:after="120"/>
      </w:pPr>
      <w:r>
        <w:rPr>
          <w:b/>
        </w:rPr>
        <w:t xml:space="preserve">Notes: </w:t>
      </w:r>
      <w:r>
        <w:t>abstract_source=crossref</w:t>
      </w:r>
    </w:p>
    <w:p>
      <w:pPr>
        <w:spacing w:before="0" w:after="80" w:lineRule="auto" w:line="276"/>
      </w:pPr>
      <w:r>
        <w:rPr>
          <w:b/>
        </w:rPr>
        <w:t xml:space="preserve">摘要（ZH）: </w:t>
      </w:r>
      <w:r>
        <w:t>摘要 将水性锌离子电池（AZIBs）扩展至软包构型会放大电场和Zn2+通量的不均匀性，导致Zn沉积不均匀。本文系统研究了β-环糊精（β-CD）和吐温80（Tw80），以在放大的软包电池中解耦本体传输与界面动力学调控。β-CD可提高离子电导率（3.44至5.95 mS cm−1）和Zn2+迁移数（0.16至0.47），促进均匀的本体离子通量，使对称软包电池在1 mA cm−2下寿命超过1000 h。相反，Tw80通过界面吸附调控局部反应动力学，实现&gt;600 h的稳定循环。空间分辨分析、工况拉曼光谱和原位热成像表明，β-CD通过稳定本体溶剂化结构抑制极耳附近、中心和边缘区域的宏观不均匀性，而Tw80则缓解局部界面不稳定性。在实际Zn||V2O5软包全电池中，β-CD提供更优的长期容量保持率，而Tw80在高倍率条件下表现更佳。这项工作将空间电化学不均匀性确定为主要的放大限制因素，并为实用AZIBs提供了将添加剂化学、传输动力学和构型依赖性沉积相关联的通用设计原则。</w:t>
      </w:r>
    </w:p>
    <w:p>
      <w:pPr>
        <w:spacing w:before="0" w:after="200" w:lineRule="auto" w:line="276"/>
      </w:pPr>
      <w:r>
        <w:rPr>
          <w:b/>
        </w:rPr>
        <w:t xml:space="preserve">Abstract (EN): </w:t>
      </w:r>
      <w:r>
        <w:t>Scaling aqueous zinc‐ion batteries (AZIBs) to pouch‐type configurations amplifies electric‐field and Zn 2+ flux heterogeneities, causing non‐uniform Zn deposition. Here, β‐cyclodextrin (β‐CD) and Tween 80 (Tw80) are systematically investigated to decouple bulk transport and interfacial kinetic regulation in scale‐up pouch‐type cells. β‐CD increases ionic conductivity (3.44 to 5.95 mS cm − 1 ) and the Zn 2+ transference number (0.16 to 0.47), promoting uniform bulk ion flux and extending symmetric pouch‐type cell lifespan beyond 1000 h at 1 mA cm − 2 . Conversely, Tw80 operates via interfacial adsorption to regulate local reaction kinetics, achieving stable cycling for &gt;600 h. Spatially resolved analysis, operando Raman spectroscopy, and in situ thermal imaging reveal that β‐CD suppresses macroscopic heterogeneity across near‐tab, central, and edge regions by stabilizing bulk solvation, whereas Tw80 mitigates localized interfacial instability. In practical Zn||V 2 O 5 pouch‐type full cells, β‐CD delivers superior long‐term capacity retention, while Tw80 excels under high‐rate conditions. This work identifies spatial electrochemical heterogeneity as a primary scaling limit and offers general design principles connecting additive chemistry, transport kinetics, and format‐dependent deposition for practical AZIBs.</w:t>
      </w:r>
    </w:p>
    <w:p>
      <w:pPr>
        <w:spacing w:before="120" w:after="120"/>
      </w:pPr>
      <w:r>
        <w:rPr>
          <w:sz w:val="18"/>
        </w:rPr>
        <w:t>——————————————————————————————————————————————————————————————————————</w:t>
      </w:r>
    </w:p>
    <w:p>
      <w:pPr>
        <w:spacing w:before="160" w:after="40" w:line="240" w:lineRule="auto"/>
      </w:pPr>
      <w:r>
        <w:rPr>
          <w:b/>
        </w:rPr>
        <w:t xml:space="preserve">[15] </w:t>
      </w:r>
      <w:hyperlink r:id="rId95">
        <w:r>
          <w:rPr>
            <w:color w:val="1155CC"/>
            <w:u w:val="single"/>
          </w:rPr>
          <w:t>质子捕获与接力协同设计实现pH中性全有机水系质子电池</w:t>
        </w:r>
      </w:hyperlink>
    </w:p>
    <w:p>
      <w:pPr>
        <w:spacing w:before="0" w:after="80"/>
      </w:pPr>
      <w:r>
        <w:rPr>
          <w:i/>
          <w:sz w:val="20"/>
        </w:rPr>
        <w:t>EN: Proton Capture and Relay Codesign Enables a pH‐Neutral All‐Organic Aqueous Proton Battery</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96">
        <w:r>
          <w:rPr>
            <w:color w:val="1155CC"/>
            <w:u w:val="single"/>
          </w:rPr>
          <w:t>10.1002/anie.8800816</w:t>
        </w:r>
      </w:hyperlink>
    </w:p>
    <w:p>
      <w:pPr>
        <w:spacing w:before="0" w:after="120"/>
      </w:pPr>
      <w:r>
        <w:rPr>
          <w:b/>
        </w:rPr>
        <w:t xml:space="preserve">Notes: </w:t>
      </w:r>
      <w:r>
        <w:t>abstract_source=crossref</w:t>
      </w:r>
    </w:p>
    <w:p>
      <w:pPr>
        <w:spacing w:before="0" w:after="80" w:lineRule="auto" w:line="276"/>
      </w:pPr>
      <w:r>
        <w:rPr>
          <w:b/>
        </w:rPr>
        <w:t xml:space="preserve">摘要（ZH）: </w:t>
      </w:r>
      <w:r>
        <w:t>摘要 水系全有机质子电池有望实现安全、可持续和高速率的储能，但在近中性条件下的运行受到质子活性低和非质子载流子竞争的阻碍。本文报道了一种质子捕获与接力协同设计策略，可在不使用强酸性电解液的情况下实现质子主导的电荷存储。该电极对由两种具有高质子亲和力的氮中心氧化还原分子组成：空气稳定的预质子化亚胺正极 DCTA-2H，以及低电位偶氮负极 BCC。电解液为高浓度 NH4OAc，这是一种近中性质子转移介质，其中 NH4 + 与亚胺/偶氮位点形成氢键接触，促进界面质子转移，而非主要以完整离子的形式被存储。所得 BCC||DCTA-2H 全电池放电电压约为 0.85 V，容量为 270.9 mAh g BCC −1，循环 3000 次后容量保持率为 86.5%，并可在 -50°C 下工作。本工作确立了电极-电解液协同设计作为近中性全有机水系质子电池的实现途径。</w:t>
      </w:r>
    </w:p>
    <w:p>
      <w:pPr>
        <w:spacing w:before="0" w:after="200" w:lineRule="auto" w:line="276"/>
      </w:pPr>
      <w:r>
        <w:rPr>
          <w:b/>
        </w:rPr>
        <w:t xml:space="preserve">Abstract (EN): </w:t>
      </w:r>
      <w:r>
        <w:t>Aqueous all‐organic proton batteries promise safe, sustainable, and high‐rate energy storage, but operation under near‐neutral conditions is hindered by low proton activity and competition from nonproton charge carriers. Here, we report a proton capture and relay codesign strategy that enables proton‐dominated charge storage without strongly acidic electrolytes. The electrode pair comprises two N‐centered redox molecules with high proton affinity: an air‐stable preprotonated imine cathode, DCTA‐2H, and a low‐potential azo anode, BCC. The electrolyte is concentrated NH 4 OAc, a near‐neutral proton‐transfer medium in which NH 4 + forms hydrogen‐bonded contacts with imine/azo sites and facilitates interfacial proton transfer rather than being stored predominantly as an intact ion. The resulting BCC||DCTA‐2H full cell delivers a discharge voltage of ≈0.85 V and a capacity of 270.9 mAh g BCC −1 , retains 86.5% of its capacity after 3,000 cycles, and remains operable at −50°C. This work establishes coupled electrode–electrolyte design as a route to near‐neutral all‐organic aqueous proton batteries.</w:t>
      </w:r>
    </w:p>
    <w:p>
      <w:pPr>
        <w:spacing w:before="120" w:after="120"/>
      </w:pPr>
      <w:r>
        <w:rPr>
          <w:sz w:val="18"/>
        </w:rPr>
        <w:t>——————————————————————————————————————————————————————————————————————</w:t>
      </w:r>
    </w:p>
    <w:p>
      <w:pPr>
        <w:spacing w:before="160" w:after="40" w:line="240" w:lineRule="auto"/>
      </w:pPr>
      <w:r>
        <w:rPr>
          <w:b/>
        </w:rPr>
        <w:t xml:space="preserve">[16] </w:t>
      </w:r>
      <w:hyperlink r:id="rId133">
        <w:r>
          <w:rPr>
            <w:color w:val="1155CC"/>
            <w:u w:val="single"/>
          </w:rPr>
          <w:t>生物质衍生硬碳在钠离子电池中的过去、现在与未来</w:t>
        </w:r>
      </w:hyperlink>
    </w:p>
    <w:p>
      <w:pPr>
        <w:spacing w:before="0" w:after="80"/>
      </w:pPr>
      <w:r>
        <w:rPr>
          <w:i/>
          <w:sz w:val="20"/>
        </w:rPr>
        <w:t>EN: The Past, Present, and Future of Biomass‐Derived Hard Carbon for Sodium‐Ion Batteries</w:t>
      </w:r>
    </w:p>
    <w:p>
      <w:pPr>
        <w:spacing w:before="0" w:after="120"/>
      </w:pPr>
      <w:r>
        <w:rPr>
          <w:b/>
        </w:rPr>
        <w:t xml:space="preserve">Source: </w:t>
      </w:r>
      <w:r>
        <w:t>Advanced Materials</w:t>
      </w:r>
      <w:r>
        <w:t xml:space="preserve">    </w:t>
      </w:r>
      <w:r>
        <w:rPr>
          <w:b/>
        </w:rPr>
        <w:t xml:space="preserve">Pub date: </w:t>
      </w:r>
      <w:r>
        <w:t>2026-09-02 00:00:00+00:00</w:t>
      </w:r>
      <w:r>
        <w:t xml:space="preserve">    </w:t>
      </w:r>
      <w:r>
        <w:rPr>
          <w:b/>
        </w:rPr>
        <w:t xml:space="preserve">DOI: </w:t>
      </w:r>
      <w:hyperlink r:id="rId134">
        <w:r>
          <w:rPr>
            <w:color w:val="1155CC"/>
            <w:u w:val="single"/>
          </w:rPr>
          <w:t>10.1002/adma.74693</w:t>
        </w:r>
      </w:hyperlink>
    </w:p>
    <w:p>
      <w:pPr>
        <w:spacing w:before="0" w:after="120"/>
      </w:pPr>
      <w:r>
        <w:rPr>
          <w:b/>
        </w:rPr>
        <w:t xml:space="preserve">Notes: </w:t>
      </w:r>
      <w:r>
        <w:t>abstract_source=crossref</w:t>
      </w:r>
    </w:p>
    <w:p>
      <w:pPr>
        <w:spacing w:before="0" w:after="80" w:lineRule="auto" w:line="276"/>
      </w:pPr>
      <w:r>
        <w:rPr>
          <w:b/>
        </w:rPr>
        <w:t xml:space="preserve">摘要（ZH）: </w:t>
      </w:r>
      <w:r>
        <w:t>摘要 鉴于其成本效益、可再生性和环境友好特性，生物质衍生硬碳在钠离子电池（SIBs）中受到了广泛关注。然而，所得硬碳的宏观性质高度依赖于生物质前体的资源和组分，且构效关系仍然复杂，为后续研究带来巨大挑战。为阐明这种内在关联，本综述首先系统阐述了纤维素、半纤维素和木质素的物理化学性质、多尺度机理以及分离方法，特别关注这三种主要组分在热解–碳化过程中的差异化演变行为及其协同转化机制。随后，基于这些组分的结构演变，阐明了其对微观结构和钠存储性能的关键调控作用。接着，通过比较不同的改性方法，提出了一种创新的组分匹配前体预处理策略及其与钠存储特性的关联，该策略可控制组分降解与重构的路径，从而优化所得硬碳的电化学行为。最后，提出了多维解决方案以针对产业化瓶颈。这些解决方案为开发高性能、低成本的 SIBs 负极材料提供了理论基础和技术路线图。</w:t>
      </w:r>
    </w:p>
    <w:p>
      <w:pPr>
        <w:spacing w:before="0" w:after="200" w:lineRule="auto" w:line="276"/>
      </w:pPr>
      <w:r>
        <w:rPr>
          <w:b/>
        </w:rPr>
        <w:t xml:space="preserve">Abstract (EN): </w:t>
      </w:r>
      <w:r>
        <w:t>Given the cost‐effectiveness, renewability, and environmental friendliness features, biomass‐derived hard carbon has attracted significant attention in sodium‐ion batteries (SIBs). However, the macroproperties of the resultant hard carbon highly depend on the resources and components of the biomass precursors. And the structure–property relationship remains complicated, which brings huge challenges for subsequent research. To clarify such intrinsic correlation, this review systematically elucidates the physicochemical propert ies, multiscale mechanisms, as well as isolation approaches of the cellulose, hemicellulose, and lignin first, with special focus on the differential evolution behavior and its synergistic transformation mechanism of these three main components during the pyrolysis‐carbonization process. Then, the key regulation effects on microstructure and sodium storage performance have also been illuminate d based on the structural evolution of these component s. Subsequently, by comparing different modification methods, an innovative precursor pretreatment strategy for component matching and correlation with sodium storage characteristics has been proposed, which can control the path of degradation and reconstruction of components and thus optimize the electrochemical behaviors of the resulting hard carbons. Finally, multi‐dimensional solutions are raised in order to target the industrialization bottlenecks. These solutions provide a theoretical foundation and technical roadmap for the development of high‐performance, low‐cost SIBs anode materials.</w:t>
      </w:r>
    </w:p>
    <w:p>
      <w:pPr>
        <w:spacing w:before="120" w:after="120"/>
      </w:pPr>
      <w:r>
        <w:rPr>
          <w:sz w:val="18"/>
        </w:rPr>
        <w:t>——————————————————————————————————————————————————————————————————————</w:t>
      </w:r>
    </w:p>
    <w:p>
      <w:pPr>
        <w:spacing w:before="160" w:after="40" w:line="240" w:lineRule="auto"/>
      </w:pPr>
      <w:r>
        <w:rPr>
          <w:b/>
        </w:rPr>
        <w:t xml:space="preserve">[17] </w:t>
      </w:r>
      <w:hyperlink r:id="rId128">
        <w:r>
          <w:rPr>
            <w:color w:val="1155CC"/>
            <w:u w:val="single"/>
          </w:rPr>
          <w:t>化学-电化学串联还原实现硅基负极的优聚合物-无机固态电解质界面</w:t>
        </w:r>
      </w:hyperlink>
    </w:p>
    <w:p>
      <w:pPr>
        <w:spacing w:before="0" w:after="80"/>
      </w:pPr>
      <w:r>
        <w:rPr>
          <w:i/>
          <w:sz w:val="20"/>
        </w:rPr>
        <w:t>EN: Chemo-electrochemical Tandem Reduction Enables Eupolymer-Inorganic Solid-Electrolyte Interphases for Silicon-Based Anodes</w:t>
      </w:r>
    </w:p>
    <w:p>
      <w:pPr>
        <w:spacing w:before="0" w:after="120"/>
      </w:pPr>
      <w:r>
        <w:rPr>
          <w:b/>
        </w:rPr>
        <w:t xml:space="preserve">Source: </w:t>
      </w:r>
      <w:r>
        <w:t>ACS Energy Letters</w:t>
      </w:r>
      <w:r>
        <w:t xml:space="preserve">    </w:t>
      </w:r>
      <w:r>
        <w:rPr>
          <w:b/>
        </w:rPr>
        <w:t xml:space="preserve">Pub date: </w:t>
      </w:r>
      <w:r>
        <w:t>2026-09-02 00:00:00+00:00</w:t>
      </w:r>
      <w:r>
        <w:t xml:space="preserve">    </w:t>
      </w:r>
      <w:r>
        <w:rPr>
          <w:b/>
        </w:rPr>
        <w:t xml:space="preserve">DOI: </w:t>
      </w:r>
      <w:hyperlink r:id="rId128">
        <w:r>
          <w:rPr>
            <w:color w:val="1155CC"/>
            <w:u w:val="single"/>
          </w:rPr>
          <w:t>10.1021/acsenergylett.6c02291</w:t>
        </w:r>
      </w:hyperlink>
    </w:p>
    <w:p>
      <w:pPr>
        <w:spacing w:before="0" w:after="120"/>
      </w:pPr>
      <w:r>
        <w:rPr>
          <w:b/>
        </w:rPr>
        <w:t xml:space="preserve">Notes: </w:t>
      </w:r>
      <w:r>
        <w:t>abstract_source=crossref</w:t>
      </w:r>
    </w:p>
    <w:p>
      <w:pPr>
        <w:spacing w:before="0" w:after="80" w:lineRule="auto" w:line="276"/>
      </w:pPr>
      <w:r>
        <w:rPr>
          <w:b/>
        </w:rPr>
        <w:t xml:space="preserve">摘要（ZH）: </w:t>
      </w:r>
      <w:r>
        <w:t>摘要 硅基负极为提升电池能量密度提供了巨大潜力，但其受限于不稳定的固体电解质界面（SEI）。本文报道了一种化学-电化学串联还原策略，构建兼具良好机械稳健性和快速Li+传输的一体化高分子-无机SEI。该策略将体相电解液中的选择性酯-胺交换反应与负极表面的后续电化学还原相耦合。所识别的化学中间体表现出促进的脱氟动力学，使SEI富含纳米级无机物种，同时引发不饱和添加剂的自由基硫酸聚合。得益于一体化高分子-无机SEI，SiOx负极在800次循环后容量保持率为80.1%，并在5 A g–1下保持551.9 mAh g–1。在4.4 V截止电压下运行的实用级Ah级Si/C∥NCM811软包电池在300次循环后实现90.9%的容量保持率，平均库仑效率为99.91%。这项工作为SEI定制提供了深刻见解，为实现长寿命、快充硅基电池提供了途径。</w:t>
      </w:r>
    </w:p>
    <w:p>
      <w:pPr>
        <w:spacing w:before="0" w:after="200" w:lineRule="auto" w:line="276"/>
      </w:pPr>
      <w:r>
        <w:rPr>
          <w:b/>
        </w:rPr>
        <w:t xml:space="preserve">Abstract (EN): </w:t>
      </w:r>
      <w:r>
        <w:t>Silicon-based anodes offer substantial potential for increasing batteries’ energy density but are limited by unstable solid-electrolyte interphases (SEIs). Here, we report a chemo-electrochemical tandem reduction strategy to construct an integrated eupolymer-inorganic SEI with both favorable mechanical robustness and fast Li+ transport. This strategy couples a selective ester–amine exchange reaction in the bulk electrolyte with a subsequent electrochemical reduction at the anode surface. The identified chemical intermediate exhibits facilitated de-fluorination kinetics, enriching the SEI with nanoscale inorganic species while triggering a free-radical polymerization of unsaturated additives. Benefiting from the integrated eupolymer-inorganic SEI, SiOx anodes demonstrate 80.1% capacity retention after 800 cycles and retain 551.9 mAh g–1 at 5 A g–1. Practical Ah-level Si/C∥NCM811 pouch cells operating under a cut-off voltage of 4.4 V achieve 90.9% capacity retention over 300 cycles, with an average Coulombic efficiency of 99.91%. This work provides profound insights into SEI tailoring, offering pathway toward long-life, fast-charging silicon-based batteries.</w:t>
      </w:r>
    </w:p>
    <w:p>
      <w:pPr>
        <w:spacing w:before="120" w:after="120"/>
      </w:pPr>
      <w:r>
        <w:rPr>
          <w:sz w:val="18"/>
        </w:rPr>
        <w:t>——————————————————————————————————————————————————————————————————————</w:t>
      </w:r>
    </w:p>
    <w:p>
      <w:pPr>
        <w:spacing w:before="160" w:after="40" w:line="240" w:lineRule="auto"/>
      </w:pPr>
      <w:r>
        <w:rPr>
          <w:b/>
        </w:rPr>
        <w:t xml:space="preserve">[18] </w:t>
      </w:r>
      <w:hyperlink r:id="rId97">
        <w:r>
          <w:rPr>
            <w:color w:val="1155CC"/>
            <w:u w:val="single"/>
          </w:rPr>
          <w:t>双亲和主体工程实现高可逆锌-碘电池</w:t>
        </w:r>
      </w:hyperlink>
    </w:p>
    <w:p>
      <w:pPr>
        <w:spacing w:before="0" w:after="80"/>
      </w:pPr>
      <w:r>
        <w:rPr>
          <w:i/>
          <w:sz w:val="20"/>
        </w:rPr>
        <w:t>EN: Dual‐Affinity Host Engineering for Highly Reversible Zinc–Iodine Batteries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98">
        <w:r>
          <w:rPr>
            <w:color w:val="1155CC"/>
            <w:u w:val="single"/>
          </w:rPr>
          <w:t>10.1002/anie.5243975</w:t>
        </w:r>
      </w:hyperlink>
    </w:p>
    <w:p>
      <w:pPr>
        <w:spacing w:before="0" w:after="120"/>
      </w:pPr>
      <w:r>
        <w:rPr>
          <w:b/>
        </w:rPr>
        <w:t xml:space="preserve">Notes: </w:t>
      </w:r>
      <w:r>
        <w:t>abstract_source=crossref</w:t>
      </w:r>
    </w:p>
    <w:p>
      <w:pPr>
        <w:spacing w:before="0" w:after="80" w:lineRule="auto" w:line="276"/>
      </w:pPr>
      <w:r>
        <w:rPr>
          <w:b/>
        </w:rPr>
        <w:t xml:space="preserve">摘要（ZH）: </w:t>
      </w:r>
      <w:r>
        <w:t>摘要 水系锌–碘（Zn–I2）电池在大规模储能方面前景广阔，但其实际发展受到两个电极耦合退化的阻碍，包括锌负极的不稳定性和正极缓慢的碘动力学。现有方法通常侧重于对每个电极的单独优化，限制了全电池实现协同增强，且不可避免地增加了系统复杂性。本文通过将一维碳纳米管与二维蛭石纳米片集成，构建了双亲和性三维宿主。蛭石的引入克服了传统3D碳骨架固有的低极性以及对活性物质较弱的吸附能力。得益于具有高机械强度、优异导电性以及对Zn和多碘化物双重亲和力的致密堆叠混合结构，该3D宿主可同时调控锌沉积和碘转化化学。亲锌的蛭石调控Zn2+通量，降低成核势垒并促进均匀沉积，而多孔结构则通过物理限域和化学锚定的协同作用有效抑制多碘化物穿梭。因此，锌复合负极在20 mA cm−2、60%放电深度下循环3000次以上表现出卓越的循环稳定性，而集成的Zn–I2全电池在2000次循环后仍保持90.0%的容量保持率。这项工作为设计耐用、高效的Zn–I2电池提供了一条途径。</w:t>
      </w:r>
    </w:p>
    <w:p>
      <w:pPr>
        <w:spacing w:before="0" w:after="200" w:lineRule="auto" w:line="276"/>
      </w:pPr>
      <w:r>
        <w:rPr>
          <w:b/>
        </w:rPr>
        <w:t xml:space="preserve">Abstract (EN): </w:t>
      </w:r>
      <w:r>
        <w:t>Aqueous zinc–iodine (Zn–I 2 ) batteries are promising for large‐scale energy storage, yet their practical development is impeded by the coupled degradation of both electrodes, including instability Zn anode and sluggish iodine kinetics of cathode. Existing approaches typically focus on individual optimization of each electrode, limiting full cell to achieve synergistic enhancement and inevitably increases system complexity. Herein, a dual‐affinity three‐dimensional host is constructed by integrating one‐dimensional carbon nanotubes with two‐dimensional vermiculite nanosheets. The incorporation of vermiculite overcomes the intrinsically low polarity and weak adsorption capability with active material of the conventional 3D carbon frameworks. Benefiting from the densely stacked hybrid architecture with high mechanical strength, excellent electrical conductivity and dual affinity toward Zn and polyiodides, the 3D host concurrent regulate Zn deposition and iodine conversion chemistry. The zincophilic vermiculite regulate Zn 2+ flux, lower the nucleation barrier and promote uniform deposition, while the porous structure effectively suppress polyiodide shuttling through synergistic physical confinement and chemical anchoring. Consequently, the Zn composite anode exhibits remarkable cycling stability over 3000 cycles at 20 mA cm −2 at 60% depth‐of‐discharge, whereas the integrated Zn‐I 2 full cell maintains 90.0% capacity retention after 2000 cycles. This work offers a route for designing durable, highly efficient Zn‐I 2 batteries.</w:t>
      </w:r>
    </w:p>
    <w:p>
      <w:pPr>
        <w:spacing w:before="120" w:after="120"/>
      </w:pPr>
      <w:r>
        <w:rPr>
          <w:sz w:val="18"/>
        </w:rPr>
        <w:t>——————————————————————————————————————————————————————————————————————</w:t>
      </w:r>
    </w:p>
    <w:p>
      <w:pPr>
        <w:spacing w:before="160" w:after="40" w:line="240" w:lineRule="auto"/>
      </w:pPr>
      <w:r>
        <w:rPr>
          <w:b/>
        </w:rPr>
        <w:t xml:space="preserve">[19] </w:t>
      </w:r>
      <w:hyperlink r:id="rId135">
        <w:r>
          <w:rPr>
            <w:color w:val="1155CC"/>
            <w:u w:val="single"/>
          </w:rPr>
          <w:t>几何导向筛选金属/氧化物异质界面使钠金属电池在−40 °C下具有卓越性能</w:t>
        </w:r>
      </w:hyperlink>
    </w:p>
    <w:p>
      <w:pPr>
        <w:spacing w:before="0" w:after="80"/>
      </w:pPr>
      <w:r>
        <w:rPr>
          <w:i/>
          <w:sz w:val="20"/>
        </w:rPr>
        <w:t>EN: Geometry‐Guided Screening of Metal/Oxide Heterointerfaces Enables Superior Sodium Metal Batteries at −40 °C</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36">
        <w:r>
          <w:rPr>
            <w:color w:val="1155CC"/>
            <w:u w:val="single"/>
          </w:rPr>
          <w:t>10.1002/anie.3543240</w:t>
        </w:r>
      </w:hyperlink>
    </w:p>
    <w:p>
      <w:pPr>
        <w:spacing w:before="0" w:after="120"/>
      </w:pPr>
      <w:r>
        <w:rPr>
          <w:b/>
        </w:rPr>
        <w:t xml:space="preserve">Notes: </w:t>
      </w:r>
      <w:r>
        <w:t>abstract_source=crossref</w:t>
      </w:r>
    </w:p>
    <w:p>
      <w:pPr>
        <w:spacing w:before="0" w:after="80" w:lineRule="auto" w:line="276"/>
      </w:pPr>
      <w:r>
        <w:rPr>
          <w:b/>
        </w:rPr>
        <w:t xml:space="preserve">摘要（ZH）: </w:t>
      </w:r>
      <w:r>
        <w:t>摘要 尽管钠金属电池（SMBs）具有高理论能量密度，但其仍受限于不稳定的界面化学和缓慢的Na+传输动力学，尤其是在超低温条件下。本文在将金属/金属氧化物异质界面处的结构匹配与电流密度分布相关联的几何驱动设计原则指导下，确定了Y/Y2O3异质结构作为最佳表面修饰层，并通过磁控溅射在商用铝箔上制备该结构。所得到的Y/Y2O3异质结具有内建电场和适度的亲钠性，可均匀化Na+通量并引导可逆沉积。同时，该异质界面促进PF6−的吸附，引导界面反应朝向生成无机固态电解质界面组分，从而改善超低温条件下的界面稳定性。因此，经Y/Y2O3修饰的集流体促进了高度可逆的钠沉积/剥离，使Na@Y/Y2O3@Al||Na3V2(PO4)3全电池在−40 °C下保持稳健的循环稳定性。Y/Y2O3异质界面设计为在严苛超低温条件下实现耐用的SMB运行提供了一个有效平台。</w:t>
      </w:r>
    </w:p>
    <w:p>
      <w:pPr>
        <w:spacing w:before="0" w:after="200" w:lineRule="auto" w:line="276"/>
      </w:pPr>
      <w:r>
        <w:rPr>
          <w:b/>
        </w:rPr>
        <w:t xml:space="preserve">Abstract (EN): </w:t>
      </w:r>
      <w:r>
        <w:t>Despite their high theoretical energy density, sodium metal batteries (SMBs) remain limited by unstable interfacial chemistry and sluggish Na + transport kinetics, particularly under ultralow‐temperature conditions. Herein, guided by a geometry‐driven design principle linking structural matching at metal/metal‐oxide heterointerfaces with current density distribution, we identify a Y/Y 2 O 3 heterostructure as an optimal surface modification layer and fabricate it on commercial aluminum foil via magnetron sputtering. The resulting Y/Y 2 O 3 heterojunction, featuring a built‐in electric field and moderate sodiophilicity, homogenizes Na + flux, and directs reversible deposition. Meanwhile, the heterointerface facilitates PF 6 − adsorption, directing interfacial reactions toward the generation of inorganic solid electrolyte interphase components, which contributes to improved interfacial stability under ultralow‐temperature conditions. Consequently, the Y/Y 2 O 3 ‐modified current collector promotes highly reversible Na plating/stripping, enabling Na@Y/Y 2 O 3 @Al||Na 3 V 2 (PO 4 ) 3 full cells to retain robust cycling stability at −40 °C. The Y/Y 2 O 3 heterointerface design provides an effective platform for enabling durable SMB operation under harsh ultralow‐temperature conditions.</w:t>
      </w:r>
    </w:p>
    <w:p>
      <w:pPr>
        <w:spacing w:before="120" w:after="120"/>
      </w:pPr>
      <w:r>
        <w:rPr>
          <w:sz w:val="18"/>
        </w:rPr>
        <w:t>——————————————————————————————————————————————————————————————————————</w:t>
      </w:r>
    </w:p>
    <w:p>
      <w:pPr>
        <w:spacing w:before="160" w:after="40" w:line="240" w:lineRule="auto"/>
      </w:pPr>
      <w:r>
        <w:rPr>
          <w:b/>
        </w:rPr>
        <w:t xml:space="preserve">[20] </w:t>
      </w:r>
      <w:hyperlink r:id="rId137">
        <w:r>
          <w:rPr>
            <w:color w:val="1155CC"/>
            <w:u w:val="single"/>
          </w:rPr>
          <w:t>通过芳香族添加剂的结构畸变驱动脱氟增强钠离子电池的界面稳定性</w:t>
        </w:r>
      </w:hyperlink>
    </w:p>
    <w:p>
      <w:pPr>
        <w:spacing w:before="0" w:after="80"/>
      </w:pPr>
      <w:r>
        <w:rPr>
          <w:i/>
          <w:sz w:val="20"/>
        </w:rPr>
        <w:t>EN: Enhancing the Interphasic Stability of Sodium-Ion Batteries via Structural Distortion-Driven Defluorination of Aromatic Additives</w:t>
      </w:r>
    </w:p>
    <w:p>
      <w:pPr>
        <w:spacing w:before="0" w:after="120"/>
      </w:pPr>
      <w:r>
        <w:rPr>
          <w:b/>
        </w:rPr>
        <w:t xml:space="preserve">Source: </w:t>
      </w:r>
      <w:r>
        <w:t>ACS Energy Letters</w:t>
      </w:r>
      <w:r>
        <w:t xml:space="preserve">    </w:t>
      </w:r>
      <w:r>
        <w:rPr>
          <w:b/>
        </w:rPr>
        <w:t xml:space="preserve">Pub date: </w:t>
      </w:r>
      <w:r>
        <w:t>2026-09-02 00:00:00+00:00</w:t>
      </w:r>
      <w:r>
        <w:t xml:space="preserve">    </w:t>
      </w:r>
      <w:r>
        <w:rPr>
          <w:b/>
        </w:rPr>
        <w:t xml:space="preserve">DOI: </w:t>
      </w:r>
      <w:hyperlink r:id="rId137">
        <w:r>
          <w:rPr>
            <w:color w:val="1155CC"/>
            <w:u w:val="single"/>
          </w:rPr>
          <w:t>10.1021/acsenergylett.6c01569</w:t>
        </w:r>
      </w:hyperlink>
    </w:p>
    <w:p>
      <w:pPr>
        <w:spacing w:before="0" w:after="120"/>
      </w:pPr>
      <w:r>
        <w:rPr>
          <w:b/>
        </w:rPr>
        <w:t xml:space="preserve">Notes: </w:t>
      </w:r>
      <w:r>
        <w:t>abstract_source=crossref</w:t>
      </w:r>
    </w:p>
    <w:p>
      <w:pPr>
        <w:spacing w:before="0" w:after="80" w:lineRule="auto" w:line="276"/>
      </w:pPr>
      <w:r>
        <w:rPr>
          <w:b/>
        </w:rPr>
        <w:t xml:space="preserve">摘要（ZH）: </w:t>
      </w:r>
      <w:r>
        <w:t>摘要 钠离子电池的商业化可行性受到硬碳（HC）负极界面相不稳定的阻碍。在此，我们揭示了一种由氟化芳香族添加剂（FAAs）还原诱导的结构畸变所驱动的全新界面相工程机制。我们证明 1,2-二氟苯（2FB）通过强 π–π 相互作用优先积聚在 HC 界面。至关重要的是，2FB 在还原后经历了由 π* 和 σ* 轨道混合驱动的显著结构畸变。这种形变显著削弱了 C–F 键，引发容易的脱氟反应，从而构建出坚固且富氟化钠（NaF）的无机固体电解质界面相（SEI）。这一高度保护性的薄层可抑制 SEI 的持续溶解和危险的 Na 析出，同时加速 Na+ 传输动力学。因此，HC || Na(Ni1/3Fe1/3Mn1/3)O2 全电池在 3C 快充条件下表现出更高的循环稳定性。这项工作建立了一种通过轨道级结构操控来设计先进电化学界面的分子设计原则。</w:t>
      </w:r>
    </w:p>
    <w:p>
      <w:pPr>
        <w:spacing w:before="0" w:after="200" w:lineRule="auto" w:line="276"/>
      </w:pPr>
      <w:r>
        <w:rPr>
          <w:b/>
        </w:rPr>
        <w:t xml:space="preserve">Abstract (EN): </w:t>
      </w:r>
      <w:r>
        <w:t>The commercial viability of sodium-ion batteries is hindered by the interphasic instability of hard carbon (HC) anodes. Here, we reveal a fundamentally new interphasic engineering mechanism driven by the reduction-induced structural distortion of fluorinated aromatic additives (FAAs). We demonstrate that 1,2-difluorobenzene (2FB) preferentially accumulates at the HC interface via strong π–π interactions. Crucially, upon reduction, 2FB undergoes profound structural distortion driven by π* and σ* orbital mixing. This deformation significantly weakens the C–F bond, triggering facile defluorination to construct a robust, sodium fluoride (NaF)-rich inorganic solid electrolyte interphase (SEI). This highly protective, thin layer suppresses continuous SEI dissolution and hazardous Na plating while accelerating Na+ transport kinetics. Consequently, HC || Na(Ni1/3Fe1/3Mn1/3)O2 full cells delivered enhanced cycling stability under 3C fast-charging conditions. This work establishes a molecular design principle for engineering advanced electrochemical interfaces through orbital-level structural manipulation.</w:t>
      </w:r>
    </w:p>
    <w:p>
      <w:pPr>
        <w:spacing w:before="120" w:after="120"/>
      </w:pPr>
      <w:r>
        <w:rPr>
          <w:sz w:val="18"/>
        </w:rPr>
        <w:t>——————————————————————————————————————————————————————————————————————</w:t>
      </w:r>
    </w:p>
    <w:p>
      <w:pPr>
        <w:spacing w:before="160" w:after="40" w:line="240" w:lineRule="auto"/>
      </w:pPr>
      <w:r>
        <w:rPr>
          <w:b/>
        </w:rPr>
        <w:t xml:space="preserve">[21] </w:t>
      </w:r>
      <w:hyperlink r:id="rId138">
        <w:r>
          <w:rPr>
            <w:color w:val="1155CC"/>
            <w:u w:val="single"/>
          </w:rPr>
          <w:t>各向异性晶格压缩产生富缺陷锂离子传输通道用于极速快充锂离子电池</w:t>
        </w:r>
      </w:hyperlink>
    </w:p>
    <w:p>
      <w:pPr>
        <w:spacing w:before="0" w:after="80"/>
      </w:pPr>
      <w:r>
        <w:rPr>
          <w:i/>
          <w:sz w:val="20"/>
        </w:rPr>
        <w:t>EN: Anisotropic Lattice Compression Enables Defect-Rich Lithium-Ion Transport Channels for Extremely Fast-Charging Lithium-Ion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2026-09-02 00:00:00+00:00</w:t>
      </w:r>
      <w:r>
        <w:t xml:space="preserve">    </w:t>
      </w:r>
      <w:r>
        <w:rPr>
          <w:b/>
        </w:rPr>
        <w:t xml:space="preserve">DOI: </w:t>
      </w:r>
      <w:hyperlink r:id="rId139">
        <w:r>
          <w:rPr>
            <w:color w:val="1155CC"/>
            <w:u w:val="single"/>
          </w:rPr>
          <w:t>10.1021/jacs.6c12219</w:t>
        </w:r>
      </w:hyperlink>
    </w:p>
    <w:p>
      <w:pPr>
        <w:spacing w:before="0" w:after="120"/>
      </w:pPr>
      <w:r>
        <w:rPr>
          <w:b/>
        </w:rPr>
        <w:t xml:space="preserve">Notes: </w:t>
      </w:r>
      <w:r>
        <w:t>abstract_source=crossref</w:t>
      </w:r>
    </w:p>
    <w:p>
      <w:pPr>
        <w:spacing w:before="0" w:after="80" w:lineRule="auto" w:line="276"/>
      </w:pPr>
      <w:r>
        <w:rPr>
          <w:b/>
        </w:rPr>
        <w:t xml:space="preserve">摘要（ZH）: </w:t>
      </w:r>
      <w:r>
        <w:t>摘要 通过晶格缺陷工程强化传质动力学，对于高性能可充电电池具有重大前景。在此，我们通过在La2CuO4（LCO）表面自催化生长石墨炔（GDY），设计了一种富含缺陷的负极体系。GDY与金属原子之间的轨道相互作用在LCO中引起晶格压缩。GDY中sp杂化碳原子的pz轨道与金属原子的dz2轨道之间的重叠程度在不同晶面上有所差异，导致依赖于晶面的各向异性晶格压缩。这种各向异性产生了富含晶格畸变和空位的特定晶界，从而降低了锂离子传输的能垒，并建立了缺陷增强的扩散通道。此外，我们揭示了充放电过程中GDY的可逆炔-烯转变会触发晶格回弹效应，主动将Li离子泵入晶格，进一步提升Li离子传输动力学。得益于这些特性，LCO@GDY负极展现出卓越的快充性能和长期循环稳定性，在10 A g–1下循环15000次后仍具有151.4 mAh g–1的高容量，容量保持率为84.9%。此外，LCO@GDY||LiNi0.8Co0.1Mn0.1O2全电池在6 C的高倍率（1 C = 210 mA g–1）下循环1000次后，比容量达141.9 mAh g–1，且容量衰减可忽略不计。我们期待这些发现将指导构建先进的富缺陷快充材料，推动下一代的发展</w:t>
      </w:r>
    </w:p>
    <w:p>
      <w:pPr>
        <w:spacing w:before="0" w:after="200" w:lineRule="auto" w:line="276"/>
      </w:pPr>
      <w:r>
        <w:rPr>
          <w:b/>
        </w:rPr>
        <w:t xml:space="preserve">Abstract (EN): </w:t>
      </w:r>
      <w:r>
        <w:t>Enhancing mass-transport kinetics via lattice defect engineering holds great promise for high-performance rechargeable batteries. Herein, we design a defect-rich anode system by self-catalyzing the growth of graphdiyne (GDY) on the La2CuO4 (LCO) surface. Orbital interactions between GDY and metal atoms induce a lattice compression in LCO. The degree of overlap between pz orbitals of sp-hybridized carbon atoms in GDY and dz2 orbitals of metal atoms varies across different crystallographic planes, resulting in a plane-dependent anisotropic lattice compression. This anisotropy generates specific grain boundaries rich in lattice distortions and vacancies, which lower the energy barrier for lithium (Li)-ion transport and establish defect-enhanced diffusion pathways. Furthermore, we reveal that the reversible alkyne–alkene transition of GDY during discharge–charge processes triggers a lattice-rebound effect, which actively pumps Li ions into the lattice, further enhancing the Li-ion transport kinetics. Benefiting from these features, the LCO@GDY anode exhibits remarkable fast-charging performance and long-term cycling stability, delivering a high capacity of 151.4 mAh g–1 with a capacity retention of 84.9% after 15000 cycles at 10 A g–1. Moreover, the LCO@GDY||LiNi0.8Co0.1Mn0.1O2 full cell delivers a specific capacity of 141.9 mAh g–1 with negligible capacity decay after 1000 cycles at a high rate of 6 C (1 C = 210 mA g–1). We anticipate that these findings will guide the construction of advanced defect-rich fast-charging materials, leading to the development of next-generation, high-performance fast-charging batteries.</w:t>
      </w:r>
    </w:p>
    <w:p>
      <w:pPr>
        <w:spacing w:before="120" w:after="120"/>
      </w:pPr>
      <w:r>
        <w:rPr>
          <w:sz w:val="18"/>
        </w:rPr>
        <w:t>——————————————————————————————————————————————————————————————————————</w:t>
      </w:r>
    </w:p>
    <w:p>
      <w:pPr>
        <w:spacing w:before="160" w:after="40" w:line="240" w:lineRule="auto"/>
      </w:pPr>
      <w:r>
        <w:rPr>
          <w:b/>
        </w:rPr>
        <w:t xml:space="preserve">[22] </w:t>
      </w:r>
      <w:hyperlink r:id="rId139">
        <w:r>
          <w:rPr>
            <w:color w:val="1155CC"/>
            <w:u w:val="single"/>
          </w:rPr>
          <w:t>各向异性晶格压缩构建富缺陷锂离子传输通道用于极速快充锂离子电池</w:t>
        </w:r>
      </w:hyperlink>
    </w:p>
    <w:p>
      <w:pPr>
        <w:spacing w:before="0" w:after="80"/>
      </w:pPr>
      <w:r>
        <w:rPr>
          <w:i/>
          <w:sz w:val="20"/>
        </w:rPr>
        <w:t>EN: Anisotropic Lattice Compression Enables Defect-Rich Lithium-Ion Transport Channels for Extremely Fast-Charging Lithium-Ion Batteries</w:t>
      </w:r>
    </w:p>
    <w:p>
      <w:pPr>
        <w:spacing w:before="0" w:after="120"/>
      </w:pPr>
      <w:r>
        <w:rPr>
          <w:b/>
        </w:rPr>
        <w:t xml:space="preserve">Source: </w:t>
      </w:r>
      <w:r>
        <w:t>Journal of the American Chemical Society</w:t>
      </w:r>
      <w:r>
        <w:t xml:space="preserve">    </w:t>
      </w:r>
      <w:r>
        <w:rPr>
          <w:b/>
        </w:rPr>
        <w:t xml:space="preserve">Pub date: </w:t>
      </w:r>
      <w:r>
        <w:t>2026-09-02 00:00:00+00:00</w:t>
      </w:r>
      <w:r>
        <w:t xml:space="preserve">    </w:t>
      </w:r>
      <w:r>
        <w:rPr>
          <w:b/>
        </w:rPr>
        <w:t xml:space="preserve">DOI: </w:t>
      </w:r>
      <w:hyperlink r:id="rId139">
        <w:r>
          <w:rPr>
            <w:color w:val="1155CC"/>
            <w:u w:val="single"/>
          </w:rPr>
          <w:t>10.1021/jacs.6c12219</w:t>
        </w:r>
      </w:hyperlink>
    </w:p>
    <w:p>
      <w:pPr>
        <w:spacing w:before="0" w:after="120"/>
      </w:pPr>
      <w:r>
        <w:rPr>
          <w:b/>
        </w:rPr>
        <w:t xml:space="preserve">Notes: </w:t>
      </w:r>
      <w:r>
        <w:t>abstract_source=crossref</w:t>
      </w:r>
    </w:p>
    <w:p>
      <w:pPr>
        <w:spacing w:before="0" w:after="80" w:lineRule="auto" w:line="276"/>
      </w:pPr>
      <w:r>
        <w:rPr>
          <w:b/>
        </w:rPr>
        <w:t xml:space="preserve">摘要（ZH）: </w:t>
      </w:r>
      <w:r>
        <w:t>摘要 通过晶格缺陷工程增强传质动力学，对高性能可充电电池具有重大前景。本文中，我们通过在La2CuO4(LCO)表面自催化生长石墨双炔(GDY)，设计了一种富缺陷负极体系。GDY与金属原子之间的轨道相互作用在LCO中诱导晶格压缩。GDY中sp杂化碳原子的pz轨道与金属原子的dz2轨道之间的重叠程度在不同晶面上各不相同，导致依赖于晶面的各向异性晶格压缩。这种各向异性产生了富含晶格畸变和空位的特定晶界，降低了锂离子传输的能垒，建立了缺陷增强的扩散通道。此外，我们揭示，GDY在放电-充电过程中的可逆炔-烯转变会触发晶格反弹效应，主动将Li离子泵入晶格，进一步增强Li离子传输动力学。得益于这些特性，LCO@GDY负极展现出卓越的快充性能和长期循环稳定性，在10 A g–1下循环15000次后提供151.4 mAh g–1的高容量，容量保持率为84.9%。此外，LCO@GDY||LiNi0.8Co0.1Mn0.1O2全电池在6 C (1 C = 210 mA g–1)的高倍率下循环1000次后提供141.9 mAh g–1的比容量，且容量衰减可忽略不计。我们预期这些发现将指导先进富缺陷快充材料的构建，推动下一代</w:t>
      </w:r>
    </w:p>
    <w:p>
      <w:pPr>
        <w:spacing w:before="0" w:after="200" w:lineRule="auto" w:line="276"/>
      </w:pPr>
      <w:r>
        <w:rPr>
          <w:b/>
        </w:rPr>
        <w:t xml:space="preserve">Abstract (EN): </w:t>
      </w:r>
      <w:r>
        <w:t>Enhancing mass-transport kinetics via lattice defect engineering holds great promise for high-performance rechargeable batteries. Herein, we design a defect-rich anode system by self-catalyzing the growth of graphdiyne (GDY) on the La2CuO4 (LCO) surface. Orbital interactions between GDY and metal atoms induce a lattice compression in LCO. The degree of overlap between pz orbitals of sp-hybridized carbon atoms in GDY and dz2 orbitals of metal atoms varies across different crystallographic planes, resulting in a plane-dependent anisotropic lattice compression. This anisotropy generates specific grain boundaries rich in lattice distortions and vacancies, which lower the energy barrier for lithium (Li)-ion transport and establish defect-enhanced diffusion pathways. Furthermore, we reveal that the reversible alkyne–alkene transition of GDY during discharge–charge processes triggers a lattice-rebound effect, which actively pumps Li ions into the lattice, further enhancing the Li-ion transport kinetics. Benefiting from these features, the LCO@GDY anode exhibits remarkable fast-charging performance and long-term cycling stability, delivering a high capacity of 151.4 mAh g–1 with a capacity retention of 84.9% after 15000 cycles at 10 A g–1. Moreover, the LCO@GDY||LiNi0.8Co0.1Mn0.1O2 full cell delivers a specific capacity of 141.9 mAh g–1 with negligible capacity decay after 1000 cycles at a high rate of 6 C (1 C = 210 mA g–1). We anticipate that these findings will guide the construction of advanced defect-rich fast-charging materials, leading to the development of next-generation, high-performance fast-charging batteries.</w:t>
      </w:r>
    </w:p>
    <w:p>
      <w:pPr>
        <w:spacing w:before="120" w:after="120"/>
      </w:pPr>
      <w:r>
        <w:rPr>
          <w:sz w:val="18"/>
        </w:rPr>
        <w:t>——————————————————————————————————————————————————————————————————————</w:t>
      </w:r>
    </w:p>
    <w:p>
      <w:pPr>
        <w:spacing w:before="160" w:after="40" w:line="240" w:lineRule="auto"/>
      </w:pPr>
      <w:r>
        <w:rPr>
          <w:b/>
        </w:rPr>
        <w:t xml:space="preserve">[23] </w:t>
      </w:r>
      <w:hyperlink r:id="rId98">
        <w:r>
          <w:rPr>
            <w:color w:val="1155CC"/>
            <w:u w:val="single"/>
          </w:rPr>
          <w:t>双亲和宿主工程实现高可逆锌–碘电池</w:t>
        </w:r>
      </w:hyperlink>
    </w:p>
    <w:p>
      <w:pPr>
        <w:spacing w:before="0" w:after="80"/>
      </w:pPr>
      <w:r>
        <w:rPr>
          <w:i/>
          <w:sz w:val="20"/>
        </w:rPr>
        <w:t>EN: Dual‐Affinity Host Engineering for Highly Reversible Zinc–Iodine Batteries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98">
        <w:r>
          <w:rPr>
            <w:color w:val="1155CC"/>
            <w:u w:val="single"/>
          </w:rPr>
          <w:t>10.1002/anie.5243975</w:t>
        </w:r>
      </w:hyperlink>
    </w:p>
    <w:p>
      <w:pPr>
        <w:spacing w:before="0" w:after="120"/>
      </w:pPr>
      <w:r>
        <w:rPr>
          <w:b/>
        </w:rPr>
        <w:t xml:space="preserve">Notes: </w:t>
      </w:r>
      <w:r>
        <w:t>abstract_source=crossref</w:t>
      </w:r>
    </w:p>
    <w:p>
      <w:pPr>
        <w:spacing w:before="0" w:after="80" w:lineRule="auto" w:line="276"/>
      </w:pPr>
      <w:r>
        <w:rPr>
          <w:b/>
        </w:rPr>
        <w:t xml:space="preserve">摘要（ZH）: </w:t>
      </w:r>
      <w:r>
        <w:t>摘要 水系锌-碘（Zn-I 2）电池在大规模储能方面前景广阔，但其实际发展受到两个电极耦合退化的阻碍，包括锌负极的不稳定性和正极缓慢的碘动力学。现有方法通常侧重于对每个电极的单独优化，限制了全电池实现协同增强，且不可避免地增加了系统复杂性。在此，通过将一维碳纳米管与二维蛭石纳米片集成，构建了双亲和性三维宿主。蛭石的引入克服了传统3D碳骨架固有极性低、对活性材料吸附能力弱的问题。得益于具有高机械强度、优异导电性以及对Zn和多碘化物双重亲和力的致密堆叠杂化结构，3D宿主可同时调控Zn沉积和碘转化化学。亲锌的蛭石调节Zn 2+通量，降低成核势垒并促进均匀沉积，而多孔结构通过物理限域和化学锚定的协同作用有效抑制多碘化物穿梭。因此，Zn复合负极在20 mA cm -2、60%放电深度下循环3000次以上表现出显著的循环稳定性，而集成Zn-I 2全电池在2000次循环后容量保持率为90.0%。这项工作为设计耐用、高效的Zn-I 2电池提供了一条途径。</w:t>
      </w:r>
    </w:p>
    <w:p>
      <w:pPr>
        <w:spacing w:before="0" w:after="200" w:lineRule="auto" w:line="276"/>
      </w:pPr>
      <w:r>
        <w:rPr>
          <w:b/>
        </w:rPr>
        <w:t xml:space="preserve">Abstract (EN): </w:t>
      </w:r>
      <w:r>
        <w:t>Aqueous zinc–iodine (Zn–I 2 ) batteries are promising for large‐scale energy storage, yet their practical development is impeded by the coupled degradation of both electrodes, including instability Zn anode and sluggish iodine kinetics of cathode. Existing approaches typically focus on individual optimization of each electrode, limiting full cell to achieve synergistic enhancement and inevitably increases system complexity. Herein, a dual‐affinity three‐dimensional host is constructed by integrating one‐dimensional carbon nanotubes with two‐dimensional vermiculite nanosheets. The incorporation of vermiculite overcomes the intrinsically low polarity and weak adsorption capability with active material of the conventional 3D carbon frameworks. Benefiting from the densely stacked hybrid architecture with high mechanical strength, excellent electrical conductivity and dual affinity toward Zn and polyiodides, the 3D host concurrent regulate Zn deposition and iodine conversion chemistry. The zincophilic vermiculite regulate Zn 2+ flux, lower the nucleation barrier and promote uniform deposition, while the porous structure effectively suppress polyiodide shuttling through synergistic physical confinement and chemical anchoring. Consequently, the Zn composite anode exhibits remarkable cycling stability over 3000 cycles at 20 mA cm −2 at 60% depth‐of‐discharge, whereas the integrated Zn‐I 2 full cell maintains 90.0% capacity retention after 2000 cycles. This work offers a route for designing durable, highly efficient Zn‐I 2 batteries.</w:t>
      </w:r>
    </w:p>
    <w:p>
      <w:pPr>
        <w:spacing w:before="120" w:after="120"/>
      </w:pPr>
      <w:r>
        <w:rPr>
          <w:sz w:val="18"/>
        </w:rPr>
        <w:t>——————————————————————————————————————————————————————————————————————</w:t>
      </w:r>
    </w:p>
    <w:p>
      <w:pPr>
        <w:spacing w:before="160" w:after="40" w:line="240" w:lineRule="auto"/>
      </w:pPr>
      <w:r>
        <w:rPr>
          <w:b/>
        </w:rPr>
        <w:t xml:space="preserve">[24] </w:t>
      </w:r>
      <w:hyperlink r:id="rId136">
        <w:r>
          <w:rPr>
            <w:color w:val="1155CC"/>
            <w:u w:val="single"/>
          </w:rPr>
          <w:t>几何引导的金属/氧化物异质界面筛选实现-40 °C下的高性能钠金属电池</w:t>
        </w:r>
      </w:hyperlink>
    </w:p>
    <w:p>
      <w:pPr>
        <w:spacing w:before="0" w:after="80"/>
      </w:pPr>
      <w:r>
        <w:rPr>
          <w:i/>
          <w:sz w:val="20"/>
        </w:rPr>
        <w:t>EN: Geometry‐Guided Screening of Metal/Oxide Heterointerfaces Enables Superior Sodium Metal Batteries at −40 °C</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36">
        <w:r>
          <w:rPr>
            <w:color w:val="1155CC"/>
            <w:u w:val="single"/>
          </w:rPr>
          <w:t>10.1002/anie.3543240</w:t>
        </w:r>
      </w:hyperlink>
    </w:p>
    <w:p>
      <w:pPr>
        <w:spacing w:before="0" w:after="120"/>
      </w:pPr>
      <w:r>
        <w:rPr>
          <w:b/>
        </w:rPr>
        <w:t xml:space="preserve">Notes: </w:t>
      </w:r>
      <w:r>
        <w:t>abstract_source=crossref</w:t>
      </w:r>
    </w:p>
    <w:p>
      <w:pPr>
        <w:spacing w:before="0" w:after="80" w:lineRule="auto" w:line="276"/>
      </w:pPr>
      <w:r>
        <w:rPr>
          <w:b/>
        </w:rPr>
        <w:t xml:space="preserve">摘要（ZH）: </w:t>
      </w:r>
      <w:r>
        <w:t>摘要 尽管理论能量密度很高，钠金属电池（SMBs）仍受限于不稳定的界面化学和迟缓的Na+传输动力学，尤其是在超低温条件下。本文在几何驱动设计原则的指导下，将金属/金属氧化物异质界面的结构匹配与电流密度分布相关联，确定了Y/Y2O3异质结构作为最优表面修饰层，并通过磁控溅射将其制备在商用铝箔上。所得的Y/Y2O3异质结具有内建电场和适度的亲钠性，可均匀化Na+通量并引导可逆沉积。同时，该异质界面促进PF6−的吸附，引导界面反应向生成无机固体电解质界面组分方向进行，从而改善超低温条件下的界面稳定性。因此，Y/Y2O3修饰的集流体实现了高度可逆的钠沉积/剥离，使Na@Y/Y2O3@Al||Na3V2(PO4)3全电池在−40 °C下保持稳健的循环稳定性。Y/Y2O3异质界面设计为在严苛超低温条件下实现持久的SMB运行提供了有效平台。</w:t>
      </w:r>
    </w:p>
    <w:p>
      <w:pPr>
        <w:spacing w:before="0" w:after="200" w:lineRule="auto" w:line="276"/>
      </w:pPr>
      <w:r>
        <w:rPr>
          <w:b/>
        </w:rPr>
        <w:t xml:space="preserve">Abstract (EN): </w:t>
      </w:r>
      <w:r>
        <w:t>Despite their high theoretical energy density, sodium metal batteries (SMBs) remain limited by unstable interfacial chemistry and sluggish Na + transport kinetics, particularly under ultralow‐temperature conditions. Herein, guided by a geometry‐driven design principle linking structural matching at metal/metal‐oxide heterointerfaces with current density distribution, we identify a Y/Y 2 O 3 heterostructure as an optimal surface modification layer and fabricate it on commercial aluminum foil via magnetron sputtering. The resulting Y/Y 2 O 3 heterojunction, featuring a built‐in electric field and moderate sodiophilicity, homogenizes Na + flux, and directs reversible deposition. Meanwhile, the heterointerface facilitates PF 6 − adsorption, directing interfacial reactions toward the generation of inorganic solid electrolyte interphase components, which contributes to improved interfacial stability under ultralow‐temperature conditions. Consequently, the Y/Y 2 O 3 ‐modified current collector promotes highly reversible Na plating/stripping, enabling Na@Y/Y 2 O 3 @Al||Na 3 V 2 (PO 4 ) 3 full cells to retain robust cycling stability at −40 °C. The Y/Y 2 O 3 heterointerface design provides an effective platform for enabling durable SMB operation under harsh ultralow‐temperature conditions.</w:t>
      </w:r>
    </w:p>
    <w:p>
      <w:pPr>
        <w:spacing w:before="120" w:after="120"/>
      </w:pPr>
      <w:r>
        <w:rPr>
          <w:sz w:val="18"/>
        </w:rPr>
        <w:t>——————————————————————————————————————————————————————————————————————</w:t>
      </w:r>
    </w:p>
    <w:p>
      <w:pPr>
        <w:spacing w:before="160" w:after="40" w:line="240" w:lineRule="auto"/>
      </w:pPr>
      <w:r>
        <w:rPr>
          <w:b/>
        </w:rPr>
        <w:t xml:space="preserve">[25] </w:t>
      </w:r>
      <w:hyperlink r:id="rId130">
        <w:r>
          <w:rPr>
            <w:color w:val="1155CC"/>
            <w:u w:val="single"/>
          </w:rPr>
          <w:t>更正：“一种受电子供给能力启发的双功能描述符用于调控锌离子电池中的枝晶生长和副反应”</w:t>
        </w:r>
      </w:hyperlink>
    </w:p>
    <w:p>
      <w:pPr>
        <w:spacing w:before="0" w:after="80"/>
      </w:pPr>
      <w:r>
        <w:rPr>
          <w:i/>
          <w:sz w:val="20"/>
        </w:rPr>
        <w:t>EN: Correction to “A Bifunctional Descriptor Inspired by Electron‐Donating Ability for Regulating Dendrite Growth and Parasitic Reactions in Zinc‐Ion Batteries”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30">
        <w:r>
          <w:rPr>
            <w:color w:val="1155CC"/>
            <w:u w:val="single"/>
          </w:rPr>
          <w:t>10.1002/anie.5685998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134">
        <w:r>
          <w:rPr>
            <w:color w:val="1155CC"/>
            <w:u w:val="single"/>
          </w:rPr>
          <w:t>生物质衍生硬碳在钠离子电池中的过去、现在与未来</w:t>
        </w:r>
      </w:hyperlink>
    </w:p>
    <w:p>
      <w:pPr>
        <w:spacing w:before="0" w:after="80"/>
      </w:pPr>
      <w:r>
        <w:rPr>
          <w:i/>
          <w:sz w:val="20"/>
        </w:rPr>
        <w:t>EN: The Past, Present, and Future of Biomass‐Derived Hard Carbon for Sodium‐Ion Batteries</w:t>
      </w:r>
    </w:p>
    <w:p>
      <w:pPr>
        <w:spacing w:before="0" w:after="120"/>
      </w:pPr>
      <w:r>
        <w:rPr>
          <w:b/>
        </w:rPr>
        <w:t xml:space="preserve">Source: </w:t>
      </w:r>
      <w:r>
        <w:t>Advanced Materials</w:t>
      </w:r>
      <w:r>
        <w:t xml:space="preserve">    </w:t>
      </w:r>
      <w:r>
        <w:rPr>
          <w:b/>
        </w:rPr>
        <w:t xml:space="preserve">Pub date: </w:t>
      </w:r>
      <w:r>
        <w:t>2026-09-02 00:00:00+00:00</w:t>
      </w:r>
      <w:r>
        <w:t xml:space="preserve">    </w:t>
      </w:r>
      <w:r>
        <w:rPr>
          <w:b/>
        </w:rPr>
        <w:t xml:space="preserve">DOI: </w:t>
      </w:r>
      <w:hyperlink r:id="rId134">
        <w:r>
          <w:rPr>
            <w:color w:val="1155CC"/>
            <w:u w:val="single"/>
          </w:rPr>
          <w:t>10.1002/adma.74693</w:t>
        </w:r>
      </w:hyperlink>
    </w:p>
    <w:p>
      <w:pPr>
        <w:spacing w:before="0" w:after="120"/>
      </w:pPr>
      <w:r>
        <w:rPr>
          <w:b/>
        </w:rPr>
        <w:t xml:space="preserve">Notes: </w:t>
      </w:r>
      <w:r>
        <w:t>abstract_source=crossref</w:t>
      </w:r>
    </w:p>
    <w:p>
      <w:pPr>
        <w:spacing w:before="0" w:after="80" w:lineRule="auto" w:line="276"/>
      </w:pPr>
      <w:r>
        <w:rPr>
          <w:b/>
        </w:rPr>
        <w:t xml:space="preserve">摘要（ZH）: </w:t>
      </w:r>
      <w:r>
        <w:t>摘要 鉴于其成本效益、可再生性和环境友好性，生物质衍生硬碳在钠离子电池（SIBs）中受到了广泛关注。然而，所得硬碳的宏观性能高度依赖生物质前体的来源和组成，且其构效关系依然复杂，给后续研究带来巨大挑战。为阐明这一内在关联，本综述首先系统阐述了纤维素、半纤维素和木质素的物理化学性质、多尺度机理及分离方法，特别关注这三种主要组分在热解-碳化过程中的差异演化行为及其协同转化机制。随后，基于这些组分的结构演化，阐明了其对微观结构和储钠性能的关键调控作用。接着，通过比较不同改性方法，提出了一种用于组分匹配及其与储钠特性关联的创新前体预处理策略，该策略可控制组分降解与重构的路径，从而优化所得硬碳的电化学行为。最后，针对产业化瓶颈提出了多维度解决方案。这些解决方案为开发高性能、低成本的SIBs负极材料提供了理论基础和技术路线图。</w:t>
      </w:r>
    </w:p>
    <w:p>
      <w:pPr>
        <w:spacing w:before="0" w:after="200" w:lineRule="auto" w:line="276"/>
      </w:pPr>
      <w:r>
        <w:rPr>
          <w:b/>
        </w:rPr>
        <w:t xml:space="preserve">Abstract (EN): </w:t>
      </w:r>
      <w:r>
        <w:t>Given the cost‐effectiveness, renewability, and environmental friendliness features, biomass‐derived hard carbon has attracted significant attention in sodium‐ion batteries (SIBs). However, the macroproperties of the resultant hard carbon highly depend on the resources and components of the biomass precursors. And the structure–property relationship remains complicated, which brings huge challenges for subsequent research. To clarify such intrinsic correlation, this review systematically elucidates the physicochemical propert ies, multiscale mechanisms, as well as isolation approaches of the cellulose, hemicellulose, and lignin first, with special focus on the differential evolution behavior and its synergistic transformation mechanism of these three main components during the pyrolysis‐carbonization process. Then, the key regulation effects on microstructure and sodium storage performance have also been illuminate d based on the structural evolution of these component s. Subsequently, by comparing different modification methods, an innovative precursor pretreatment strategy for component matching and correlation with sodium storage characteristics has been proposed, which can control the path of degradation and reconstruction of components and thus optimize the electrochemical behaviors of the resulting hard carbons. Finally, multi‐dimensional solutions are raised in order to target the industrialization bottlenecks. These solutions provide a theoretical foundation and technical roadmap for the development of high‐performance, low‐cost SIBs anode materials.</w:t>
      </w:r>
    </w:p>
    <w:p>
      <w:pPr>
        <w:spacing w:before="120" w:after="120"/>
      </w:pPr>
      <w:r>
        <w:rPr>
          <w:sz w:val="18"/>
        </w:rPr>
        <w:t>——————————————————————————————————————————————————————————————————————</w:t>
      </w:r>
    </w:p>
    <w:p>
      <w:pPr>
        <w:spacing w:before="160" w:after="40" w:line="240" w:lineRule="auto"/>
      </w:pPr>
      <w:r>
        <w:rPr>
          <w:b/>
        </w:rPr>
        <w:t xml:space="preserve">[27] </w:t>
      </w:r>
      <w:hyperlink r:id="rId140">
        <w:r>
          <w:rPr>
            <w:color w:val="1155CC"/>
            <w:u w:val="single"/>
          </w:rPr>
          <w:t>具有高机械强度的氟化锂/电解质界面实现超稳定锂金属电池</w:t>
        </w:r>
      </w:hyperlink>
    </w:p>
    <w:p>
      <w:pPr>
        <w:spacing w:before="0" w:after="80"/>
      </w:pPr>
      <w:r>
        <w:rPr>
          <w:i/>
          <w:sz w:val="20"/>
        </w:rPr>
        <w:t>EN: Ultrastable Lithium Metal Batteries Enabled by the Fluorinated Li/Electrolyte Interphase with High Mechanical Strength</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141">
        <w:r>
          <w:rPr>
            <w:color w:val="1155CC"/>
            <w:u w:val="single"/>
          </w:rPr>
          <w:t>10.1021/acsami.6c09297</w:t>
        </w:r>
      </w:hyperlink>
    </w:p>
    <w:p>
      <w:pPr>
        <w:spacing w:before="0" w:after="120"/>
      </w:pPr>
      <w:r>
        <w:rPr>
          <w:b/>
        </w:rPr>
        <w:t xml:space="preserve">Notes: </w:t>
      </w:r>
      <w:r>
        <w:t>abstract_source=crossref</w:t>
      </w:r>
    </w:p>
    <w:p>
      <w:pPr>
        <w:spacing w:before="0" w:after="80" w:lineRule="auto" w:line="276"/>
      </w:pPr>
      <w:r>
        <w:rPr>
          <w:b/>
        </w:rPr>
        <w:t xml:space="preserve">摘要（ZH）: </w:t>
      </w:r>
      <w:r>
        <w:t>摘要 一个经合理设计的固体电解质界面（SEI）对于锂金属电池获得高机械模量、低传质阻力以及均匀快速的离子传输至关重要。本文报道了一种有前景的人工SEI层，其通过在市售聚丙烯隔膜上涂覆氟化羟基磷灰石制备而成。羟基磷灰石的氟化反应显著提高了其杨氏模量，从物理上抑制了锂枝晶生长。更重要的是，均匀涂覆的纳米级氟化羟基磷灰石凭借固-固纳米多孔网络，在锂沉积/剥离过程中实现了高效的锂离子传输和F−释放，这不仅使所形成的SEI具有低温透射电子显微镜所揭示的局部外层有序层状Li2O，还有效促进了富LiF稳定内层的形成。所获得的双层SEI具有高机械强度，可抑制循环过程中SEI的破裂，促进均匀的锂离子通量，并稳定锂/电解质界面。因此，基于该氟化羟基磷灰石的锂负极在3 mA cm−2的电流密度和3 mAh cm−2的容量下展现出超过1200小时的超稳定循环寿命。与LiFePO4正极匹配时，所获得的全电池在600次循环后仍保持96%的高容量保持率。</w:t>
      </w:r>
    </w:p>
    <w:p>
      <w:pPr>
        <w:spacing w:before="0" w:after="200" w:lineRule="auto" w:line="276"/>
      </w:pPr>
      <w:r>
        <w:rPr>
          <w:b/>
        </w:rPr>
        <w:t xml:space="preserve">Abstract (EN): </w:t>
      </w:r>
      <w:r>
        <w:t>A rationally designed solid-electrolyte interphase (SEI) is critical for enabling a high mechanical modulus, low mass transfer resistance, and uniform, rapid ion transport in lithium metal batteries. Herein, we report a promising artificial SEI layer fabricated by coating fluorinated hydroxyapatite on the commercially available polypropylene separator. Fluorination reaction for hydroxyapatite greatly improves its Young’s modulus, physically suppressing Li dendrite growth. More importantly, the uniformly coated nanoscale fluorinated hydroxyapatite with a solid−solid nanoporous network enables efficient Li-ion transport during Li plating/stripping and F− release, which not only endows the formed SEI with local outer regions of ordered laminar Li2O as revealed by cryo-transmission electron microscopy but also effectively promotes the formation of a stable LiF-rich inner layer. The obtained double-deck SEI, with high mechanical strength, suppresses SEI fracture during repeated cycles, promotes uniform Li-ion flux, and stabilizes the Li/electrolyte interface. As a result, Li anodes based on this fluorinated hydroxyapatite exhibit an ultrastable cycling life over 1200 h with a capacity of 3 mAh cm−2 at a current density of 3 mA cm−2. When coupled with a LiFePO4 cathode, the obtained full cell shows a high capacity retention of 96% after 600 cycles.</w:t>
      </w:r>
    </w:p>
    <w:p>
      <w:pPr>
        <w:spacing w:before="120" w:after="120"/>
      </w:pPr>
      <w:r>
        <w:rPr>
          <w:sz w:val="18"/>
        </w:rPr>
        <w:t>——————————————————————————————————————————————————————————————————————</w:t>
      </w:r>
    </w:p>
    <w:p>
      <w:pPr>
        <w:spacing w:before="160" w:after="40" w:line="240" w:lineRule="auto"/>
      </w:pPr>
      <w:r>
        <w:rPr>
          <w:b/>
        </w:rPr>
        <w:t xml:space="preserve">[28] </w:t>
      </w:r>
      <w:hyperlink r:id="rId142">
        <w:r>
          <w:rPr>
            <w:color w:val="1155CC"/>
            <w:u w:val="single"/>
          </w:rPr>
          <w:t>富氧空位的Na1.3Ti1.8Ni0.1Sb0.1(PO4)3@C负极用于高倍率和低温钠离子存储</w:t>
        </w:r>
      </w:hyperlink>
    </w:p>
    <w:p>
      <w:pPr>
        <w:spacing w:before="0" w:after="80"/>
      </w:pPr>
      <w:r>
        <w:rPr>
          <w:i/>
          <w:sz w:val="20"/>
        </w:rPr>
        <w:t>EN: Oxygen-Vacancy-Rich Na1.3Ti1.8Ni0.1Sb0.1(PO4)3@C Anode for High-Rate and Low-Temperature Sodium-Ion Storage</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143">
        <w:r>
          <w:rPr>
            <w:color w:val="1155CC"/>
            <w:u w:val="single"/>
          </w:rPr>
          <w:t>10.1021/acsami.6c12328</w:t>
        </w:r>
      </w:hyperlink>
    </w:p>
    <w:p>
      <w:pPr>
        <w:spacing w:before="0" w:after="120"/>
      </w:pPr>
      <w:r>
        <w:rPr>
          <w:b/>
        </w:rPr>
        <w:t xml:space="preserve">Notes: </w:t>
      </w:r>
      <w:r>
        <w:t>abstract_source=crossref</w:t>
      </w:r>
    </w:p>
    <w:p>
      <w:pPr>
        <w:spacing w:before="0" w:after="80" w:lineRule="auto" w:line="276"/>
      </w:pPr>
      <w:r>
        <w:rPr>
          <w:b/>
        </w:rPr>
        <w:t xml:space="preserve">摘要（ZH）: </w:t>
      </w:r>
      <w:r>
        <w:t>摘要 NASICON型NaTi2(PO4)3作为钠离子电池电极材料由于其结构稳定性和安全性高而受到广泛关注，但其较低的本征电导率限制了高倍率和低温性能。本工作采用溶剂热法合成了富含氧空位的Na1.3Ti1.8Ni0.1Sb0.1(PO4)3@C (N1.3T1.8N0.1S0.1P@C)纳米粉体作为高性能负极材料。 Ni2+/Sb5+共掺杂有效调节局部TiO6/PO4晶格环境，引入氧空位，优化晶格电子结构，增强电子和离子传输。连续的碳涂层形成稳定的导电网络，进一步提高动力学和结构完整性。结果，Na||N1.3T1.8N0.1S0.1P@C 半电池在 20 C 下循环 5000 次后仍保留 91% 的容量，在 0 °C 下于 10 C 循环 10,000 次后仍保持 86% 的容量。与 Na3V2(PO4)3 阴极配对的全电池在 5 C 下循环 1000 次后容量保持率为 87%，即使在 50 C 下无需预钠化也能提供出色的性能，凸显了其在低温应用中的潜力。这项研究为 NASICON 型阳极提供了一种通用的掺杂缺陷工程策略，使钠离子电池具有高倍率、低温和长循环性能。</w:t>
      </w:r>
    </w:p>
    <w:p>
      <w:pPr>
        <w:spacing w:before="0" w:after="200" w:lineRule="auto" w:line="276"/>
      </w:pPr>
      <w:r>
        <w:rPr>
          <w:b/>
        </w:rPr>
        <w:t xml:space="preserve">Abstract (EN): </w:t>
      </w:r>
      <w:r>
        <w:t>NASICON-type NaTi2(PO4)3 as an electrode material for sodium-ion batteries has attracted considerable attention due to its high structural stability and safety, yet its low intrinsic electronic conductivity limits high-rate and low-temperature performance. In this work, an oxygen-vacancy-rich Na1.3Ti1.8Ni0.1Sb0.1(PO4)3@C (N1.3T1.8N0.1S0.1P@C) nanopowder as a high-performance anode material is synthesized by a solvothermal method. The Ni2+/Sb5+ co-doping effectively modulates the local TiO6/PO4 lattice environment, introduces oxygen vacancies, and optimizes the lattice electronic structure, enhancing both electron and ion transport. A continuous carbon coating forms a stable conductive network, further improving kinetics and structural integrity. As a result, Na∥N1.3T1.8N0.1S0.1P@C half-cells retain 91% of their capacity after 5000 cycles at 20 C and maintain 86% capacity over 10,000 cycles at 10 C under 0 °C. The full cell paired with Na3V2(PO4)3 cathodes exhibits 87% capacity retention after 1000 cycles at 5 C and delivers excellent performance even at 50 C without pre-sodiation, highlighting their potential for low-temperature applications. This study provides a general doping-defect engineering strategy for NASICON-type anodes, enabling high-rate, low-temperature, and long-cycle performance for sodium-ion batteries.</w:t>
      </w:r>
    </w:p>
    <w:p>
      <w:pPr>
        <w:spacing w:before="120" w:after="120"/>
      </w:pPr>
      <w:r>
        <w:rPr>
          <w:sz w:val="18"/>
        </w:rPr>
        <w:t>——————————————————————————————————————————————————————————————————————</w:t>
      </w:r>
    </w:p>
    <w:p>
      <w:pPr>
        <w:spacing w:before="160" w:after="40" w:line="240" w:lineRule="auto"/>
      </w:pPr>
      <w:r>
        <w:rPr>
          <w:b/>
        </w:rPr>
        <w:t xml:space="preserve">[29] </w:t>
      </w:r>
      <w:hyperlink r:id="rId144">
        <w:r>
          <w:rPr>
            <w:color w:val="1155CC"/>
            <w:u w:val="single"/>
          </w:rPr>
          <w:t>通过硬碳表面化学调控的阴离子自下而上通量用于稳定钠离子电池</w:t>
        </w:r>
      </w:hyperlink>
    </w:p>
    <w:p>
      <w:pPr>
        <w:spacing w:before="0" w:after="80"/>
      </w:pPr>
      <w:r>
        <w:rPr>
          <w:i/>
          <w:sz w:val="20"/>
        </w:rPr>
        <w:t>EN: Anionic Bottom-Up Flux Orchestrated via Hard Carbon Surface Chemistry for Stable Sodium-Ion Batteries</w:t>
      </w:r>
    </w:p>
    <w:p>
      <w:pPr>
        <w:spacing w:before="0" w:after="120"/>
      </w:pPr>
      <w:r>
        <w:rPr>
          <w:b/>
        </w:rPr>
        <w:t xml:space="preserve">Source: </w:t>
      </w:r>
      <w:r>
        <w:t>Nano-Micro Letters</w:t>
      </w:r>
      <w:r>
        <w:t xml:space="preserve">    </w:t>
      </w:r>
      <w:r>
        <w:rPr>
          <w:b/>
        </w:rPr>
        <w:t xml:space="preserve">Pub date: </w:t>
      </w:r>
      <w:r>
        <w:t>2026-09-03 00:00:00+00:00</w:t>
      </w:r>
      <w:r>
        <w:t xml:space="preserve">    </w:t>
      </w:r>
      <w:r>
        <w:rPr>
          <w:b/>
        </w:rPr>
        <w:t xml:space="preserve">DOI: </w:t>
      </w:r>
      <w:hyperlink r:id="rId145">
        <w:r>
          <w:rPr>
            <w:color w:val="1155CC"/>
            <w:u w:val="single"/>
          </w:rPr>
          <w:t>10.1007/s40820-026-02339-w</w:t>
        </w:r>
      </w:hyperlink>
    </w:p>
    <w:p>
      <w:pPr>
        <w:spacing w:before="0" w:after="120"/>
      </w:pPr>
      <w:r>
        <w:rPr>
          <w:b/>
        </w:rPr>
        <w:t xml:space="preserve">Notes: </w:t>
      </w:r>
      <w:r>
        <w:t>abstract_source=rss_description</w:t>
      </w:r>
    </w:p>
    <w:p>
      <w:pPr>
        <w:spacing w:before="0" w:after="80" w:lineRule="auto" w:line="276"/>
      </w:pPr>
      <w:r>
        <w:rPr>
          <w:b/>
        </w:rPr>
        <w:t xml:space="preserve">摘要（ZH）: </w:t>
      </w:r>
      <w:r>
        <w:t>钠离子电池的硬碳负极 suffers...</w:t>
      </w:r>
    </w:p>
    <w:p>
      <w:pPr>
        <w:spacing w:before="0" w:after="200" w:lineRule="auto" w:line="276"/>
      </w:pPr>
      <w:r>
        <w:rPr>
          <w:b/>
        </w:rPr>
        <w:t xml:space="preserve">Abstract (EN): </w:t>
      </w:r>
      <w:r>
        <w:t>Hard carbon anodes for sodium-ion batteries suffer from unstable solid-electrolyte interphase formation, leading to low initial Coulombic efficiency and poor cycle stability. Herein, we demonstrate a molecular-level surface design that actively orchestrates an anionic bottom-up flux from the electrolyte bulk to the hard carbon interface. By engineering a synergistic pair of pyridinic-N and carbonyl groups on the carbon surface, we create a functional-differentiation microenvironment where pyridinic-N selectively anchors PF6− anions, while the cooperative carbonyl repels solvent molecules. This dual functionality establishes a sustained concentration gradient that drives a continuous reverse flux of anions toward the interface, fundamentally redirecting the electrolyte decomposition pathway from solvent-dominated to anion-preferential. The tailored surface lowers the PF6− decomposition barrier by over 70%, yielding a thin, inorganic-rich solid-electrolyte interphase dominated by NaF and Na2O. The optimized anode achieves 91.9% Coulombic efficiency with high reversible capacity of 368.2 mAh g−1, and 96.5% capacity retention after 5,000 cycles. A pouch cell assembled with NFPP cathode achieves an energy density of 239.1 Wh kg−1 and stable operation over 500 cycles, demonstrating strong practical potential. This work establishes active surface-guided anionic transport as a powerful strategy for interphase engineering in advanced sodium-ion batteries. Highlights:1 A cooperative pair of pyridinic-N and carbonyl groups creates a trap-and-repel microenvironment that actively programs interfacial reactions.2 The functional differentiation drives a sustained bottom-up anionic flux, steering decomposition toward an anion-derived pathway.3 The resulting inorganic-rich solid-electrolyte interphase enables 91.9% initial Coulombic efficiency and 96.5% capacity retention over 5,000 cycles.</w:t>
      </w:r>
    </w:p>
    <w:p>
      <w:pPr>
        <w:spacing w:before="120" w:after="120"/>
      </w:pPr>
      <w:r>
        <w:rPr>
          <w:sz w:val="18"/>
        </w:rPr>
        <w:t>——————————————————————————————————————————————————————————————————————</w:t>
      </w:r>
    </w:p>
    <w:p>
      <w:pPr>
        <w:spacing w:before="160" w:after="40" w:line="240" w:lineRule="auto"/>
      </w:pPr>
      <w:r>
        <w:rPr>
          <w:b/>
        </w:rPr>
        <w:t xml:space="preserve">[30] </w:t>
      </w:r>
      <w:hyperlink r:id="rId143">
        <w:r>
          <w:rPr>
            <w:color w:val="1155CC"/>
            <w:u w:val="single"/>
          </w:rPr>
          <w:t>富氧空位Na1.3Ti1.8Ni0.1Sb0.1(PO4)3@C负极用于高倍率低温钠离子存储</w:t>
        </w:r>
      </w:hyperlink>
    </w:p>
    <w:p>
      <w:pPr>
        <w:spacing w:before="0" w:after="80"/>
      </w:pPr>
      <w:r>
        <w:rPr>
          <w:i/>
          <w:sz w:val="20"/>
        </w:rPr>
        <w:t>EN: Oxygen-Vacancy-Rich Na1.3Ti1.8Ni0.1Sb0.1(PO4)3@C Anode for High-Rate and Low-Temperature Sodium-Ion Storage</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143">
        <w:r>
          <w:rPr>
            <w:color w:val="1155CC"/>
            <w:u w:val="single"/>
          </w:rPr>
          <w:t>10.1021/acsami.6c12328</w:t>
        </w:r>
      </w:hyperlink>
    </w:p>
    <w:p>
      <w:pPr>
        <w:spacing w:before="0" w:after="120"/>
      </w:pPr>
      <w:r>
        <w:rPr>
          <w:b/>
        </w:rPr>
        <w:t xml:space="preserve">Notes: </w:t>
      </w:r>
      <w:r>
        <w:t>abstract_source=crossref</w:t>
      </w:r>
    </w:p>
    <w:p>
      <w:pPr>
        <w:spacing w:before="0" w:after="80" w:lineRule="auto" w:line="276"/>
      </w:pPr>
      <w:r>
        <w:rPr>
          <w:b/>
        </w:rPr>
        <w:t xml:space="preserve">摘要（ZH）: </w:t>
      </w:r>
      <w:r>
        <w:t>摘要 NASICON型NaTi2(PO4)3作为钠离子电池电极材料由于其结构稳定性和安全性高而受到广泛关注，但其较低的本征电导率限制了高倍率和低温性能。本工作采用溶剂热法合成了富含氧空位的Na1.3Ti1.8Ni0.1Sb0.1(PO4)3@C (N1.3T1.8N0.1S0.1P@C)纳米粉体作为高性能负极材料。 Ni2+/Sb5+共掺杂有效调节局部TiO6/PO4晶格环境，引入氧空位，优化晶格电子结构，增强电子和离子传输。连续的碳涂层形成稳定的导电网络，进一步提高动力学和结构完整性。结果，Na||N1.3T1.8N0.1S0.1P@C 半电池在 20 C 下循环 5000 次后仍保留 91% 的容量，在 0 °C 下于 10 C 循环 10,000 次后仍保持 86% 的容量。与 Na3V2(PO4)3 阴极配对的全电池在 5 C 下循环 1000 次后容量保持率为 87%，即使在 50 C 下无需预钠化也能提供出色的性能，凸显了其在低温应用中的潜力。这项研究为 NASICON 型阳极提供了一种通用的掺杂缺陷工程策略，使钠离子电池具有高倍率、低温和长循环性能。</w:t>
      </w:r>
    </w:p>
    <w:p>
      <w:pPr>
        <w:spacing w:before="0" w:after="200" w:lineRule="auto" w:line="276"/>
      </w:pPr>
      <w:r>
        <w:rPr>
          <w:b/>
        </w:rPr>
        <w:t xml:space="preserve">Abstract (EN): </w:t>
      </w:r>
      <w:r>
        <w:t>NASICON-type NaTi2(PO4)3 as an electrode material for sodium-ion batteries has attracted considerable attention due to its high structural stability and safety, yet its low intrinsic electronic conductivity limits high-rate and low-temperature performance. In this work, an oxygen-vacancy-rich Na1.3Ti1.8Ni0.1Sb0.1(PO4)3@C (N1.3T1.8N0.1S0.1P@C) nanopowder as a high-performance anode material is synthesized by a solvothermal method. The Ni2+/Sb5+ co-doping effectively modulates the local TiO6/PO4 lattice environment, introduces oxygen vacancies, and optimizes the lattice electronic structure, enhancing both electron and ion transport. A continuous carbon coating forms a stable conductive network, further improving kinetics and structural integrity. As a result, Na∥N1.3T1.8N0.1S0.1P@C half-cells retain 91% of their capacity after 5000 cycles at 20 C and maintain 86% capacity over 10,000 cycles at 10 C under 0 °C. The full cell paired with Na3V2(PO4)3 cathodes exhibits 87% capacity retention after 1000 cycles at 5 C and delivers excellent performance even at 50 C without pre-sodiation, highlighting their potential for low-temperature applications. This study provides a general doping-defect engineering strategy for NASICON-type anodes, enabling high-rate, low-temperature, and long-cycle performance for sodium-ion batteries.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117">
        <w:r>
          <w:rPr>
            <w:color w:val="1155CC"/>
            <w:u w:val="single"/>
          </w:rPr>
          <w:t>锂离子电池硅基负极的电解质介导界面工程:从液态到准固态和全固态体系</w:t>
        </w:r>
      </w:hyperlink>
    </w:p>
    <w:p>
      <w:pPr>
        <w:spacing w:before="0" w:after="80"/>
      </w:pPr>
      <w:r>
        <w:rPr>
          <w:i/>
          <w:sz w:val="20"/>
        </w:rPr>
        <w:t>EN: Electrolyte-mediated interfacial engineering for silicon-based anodes in lithium-ion batteries: From liquid to quasi-solid and all-solid-state systems</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118">
        <w:r>
          <w:rPr>
            <w:color w:val="1155CC"/>
            <w:u w:val="single"/>
          </w:rPr>
          <w:t>10.1016/j.apenergy.2026.128654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46">
        <w:r>
          <w:rPr>
            <w:color w:val="1155CC"/>
            <w:u w:val="single"/>
          </w:rPr>
          <w:t>局部酸性作为锂金属电池中氟化醚溶剂腐蚀性描述符</w:t>
        </w:r>
      </w:hyperlink>
    </w:p>
    <w:p>
      <w:pPr>
        <w:spacing w:before="0" w:after="80"/>
      </w:pPr>
      <w:r>
        <w:rPr>
          <w:i/>
          <w:sz w:val="20"/>
        </w:rPr>
        <w:t>EN: Local Acidity as a Corrosiveness Descriptor of Fluorinated Ether Solvents in Lithium–Metal Batteries</w:t>
      </w:r>
    </w:p>
    <w:p>
      <w:pPr>
        <w:spacing w:before="0" w:after="120"/>
      </w:pPr>
      <w:r>
        <w:rPr>
          <w:b/>
        </w:rPr>
        <w:t xml:space="preserve">Source: </w:t>
      </w:r>
      <w:r>
        <w:t>Wiley: Angewandte Chemie International Edition: Table of Contents</w:t>
      </w:r>
      <w:r>
        <w:t xml:space="preserve">    </w:t>
      </w:r>
      <w:r>
        <w:rPr>
          <w:b/>
        </w:rPr>
        <w:t xml:space="preserve">Pub date: </w:t>
      </w:r>
      <w:r>
        <w:t>2026-08-29 16:06:50+00:00</w:t>
      </w:r>
      <w:r>
        <w:t xml:space="preserve">    </w:t>
      </w:r>
      <w:r>
        <w:rPr>
          <w:b/>
        </w:rPr>
        <w:t xml:space="preserve">DOI: </w:t>
      </w:r>
      <w:hyperlink r:id="rId147">
        <w:r>
          <w:rPr>
            <w:color w:val="1155CC"/>
            <w:u w:val="single"/>
          </w:rPr>
          <w:t>10.1002/anie.1576222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溶剂氟化的电解质工程已被证明可通过削弱Li+-溶剂相互作用有效稳定锂金属电池。然而，氟化对电解质与锂金属化学反应性的影响仍知之甚少。本文通过提高1-乙氧基-2-甲氧基乙烷（EME）和1-(2-甲氧基乙氧基)丙烷（MEP）骨架末端烷基部分的氟化程度（从2个到5个取代基），系统研究了氟化的影响（记为F2EME、F4MEP和F5MEP）。氟化诱导的腐蚀偏离了传统计算的最低未占分子轨道（LUMO）依据所提示的规律；相反，其可由局部pKa作为氟化诱导电子效应的位点特异性热力学描述符来定量描述。在三种衍生物中，F4MEP被鉴定为最佳溶剂；其氟化程度足以促进富阴离子溶剂化结构的形成，从而生成富无机组分的保护性锂金属界面，同时由于未过度氟化而不会产生严重腐蚀。因此，基于F4MEP的20 µm-Li||LiNi0.8Co0.1Mn0.1O2（NCM811）全电池</w:t>
      </w:r>
    </w:p>
    <w:p>
      <w:pPr>
        <w:spacing w:before="0" w:after="200" w:lineRule="auto" w:line="276"/>
      </w:pPr>
      <w:r>
        <w:rPr>
          <w:b/>
        </w:rPr>
        <w:t xml:space="preserve">Abstract (EN): </w:t>
      </w:r>
      <w:r>
        <w:t>Electrolyte engineering based on solvent fluorination has proven effective for stabilizing lithium (Li) metal batteries by weakening the Li</w:t>
      </w:r>
      <w:r>
        <w:t xml:space="preserve"> </w:t>
      </w:r>
      <w:r>
        <w:t>+</w:t>
      </w:r>
      <w:r>
        <w:t xml:space="preserve"> </w:t>
      </w:r>
      <w:r>
        <w:t>‐solvent interaction. However, the influence of fluorination on the chemical reactivity of an electrolyte toward Li metal remains poorly understood. Here, the effects of fluorination are systematically investigated by increasing the degree of fluorination (from 2 to 5 substituents) of the terminal alkyl moieties of the 1‐ethoxy‐2‐methoxyethane (EME) and 1‐(2‐methoxyethoxy)propane (MEP) backbones (denoted F2EME, F4MEP, and F5MEP). Fluorination‐induced corrosion deviates from that suggested by conventionally calculated lowest unoccupied molecular orbital (LUMO)‐based rationales; instead, it is quantitatively described by the local</w:t>
      </w:r>
      <w:r>
        <w:t xml:space="preserve"> </w:t>
      </w:r>
      <w:r>
        <w:t>pK</w:t>
      </w:r>
      <w:r>
        <w:t xml:space="preserve"> </w:t>
      </w:r>
      <w:r>
        <w:t>a</w:t>
      </w:r>
      <w:r>
        <w:t xml:space="preserve"> </w:t>
      </w:r>
      <w:r>
        <w:t>as a site‐specific thermodynamic descriptor of the fluorination‐induced electronic effect. Among the three derivatives, F4MEP is identified as the optimal solvent; it is sufficiently fluorinated to promote the formation of an anion‐rich solvation structure for an inorganic‐rich, protective Li metal interphase, yet it is not severely corrosive as it is not over‐fluorinated. Consequently, an F4MEP‐based 20 µm‐Li||LiNi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(NCM811) full‐cell retains 80% of its capacity over 368 cycles. This study establishes the local</w:t>
      </w:r>
      <w:r>
        <w:t xml:space="preserve"> </w:t>
      </w:r>
      <w:r>
        <w:t>pK</w:t>
      </w:r>
      <w:r>
        <w:t xml:space="preserve"> </w:t>
      </w:r>
      <w:r>
        <w:t>a</w:t>
      </w:r>
      <w:r>
        <w:t xml:space="preserve"> </w:t>
      </w:r>
      <w:r>
        <w:t>as a descriptor for evaluating the solvent corrosiveness and highlights the necessity of optimizing the degree of fluorination for high‐performance Li metal battery electrolytes.</w:t>
      </w:r>
    </w:p>
    <w:p>
      <w:pPr>
        <w:spacing w:before="120" w:after="120"/>
      </w:pPr>
      <w:r>
        <w:rPr>
          <w:sz w:val="18"/>
        </w:rPr>
        <w:t>——————————————————————————————————————————————————————————————————————</w:t>
      </w:r>
    </w:p>
    <w:p>
      <w:pPr>
        <w:spacing w:before="160" w:after="40" w:line="240" w:lineRule="auto"/>
      </w:pPr>
      <w:r>
        <w:rPr>
          <w:b/>
        </w:rPr>
        <w:t xml:space="preserve">[3] </w:t>
      </w:r>
      <w:hyperlink r:id="rId148">
        <w:r>
          <w:rPr>
            <w:color w:val="1155CC"/>
            <w:u w:val="single"/>
          </w:rPr>
          <w:t>通过p–d–π型局域环境突破低温瓶颈，实现高性能聚合物基全固态锂电池</w:t>
        </w:r>
      </w:hyperlink>
    </w:p>
    <w:p>
      <w:pPr>
        <w:spacing w:before="0" w:after="80"/>
      </w:pPr>
      <w:r>
        <w:rPr>
          <w:i/>
          <w:sz w:val="20"/>
        </w:rPr>
        <w:t>EN: Breaking Low-Temperature Bottlenecks via p–d–π-Type Local Environment toward High-Performance Polymer-Based All-Solid-State Lithium Battery</w:t>
      </w:r>
    </w:p>
    <w:p>
      <w:pPr>
        <w:spacing w:before="0" w:after="120"/>
      </w:pPr>
      <w:r>
        <w:rPr>
          <w:b/>
        </w:rPr>
        <w:t xml:space="preserve">Source: </w:t>
      </w:r>
      <w:r>
        <w:t>Journal of the American Chemical Society</w:t>
      </w:r>
      <w:r>
        <w:t xml:space="preserve">    </w:t>
      </w:r>
      <w:r>
        <w:rPr>
          <w:b/>
        </w:rPr>
        <w:t xml:space="preserve">Pub date: </w:t>
      </w:r>
      <w:r>
        <w:t>2026-08-30 00:00:00+00:00</w:t>
      </w:r>
      <w:r>
        <w:t xml:space="preserve">    </w:t>
      </w:r>
      <w:r>
        <w:rPr>
          <w:b/>
        </w:rPr>
        <w:t xml:space="preserve">DOI: </w:t>
      </w:r>
      <w:hyperlink r:id="rId148">
        <w:r>
          <w:rPr>
            <w:color w:val="1155CC"/>
            <w:u w:val="single"/>
          </w:rPr>
          <w:t>10.1021/jacs.6c11263</w:t>
        </w:r>
      </w:hyperlink>
    </w:p>
    <w:p>
      <w:pPr>
        <w:spacing w:before="0" w:after="120"/>
      </w:pPr>
      <w:r>
        <w:rPr>
          <w:b/>
        </w:rPr>
        <w:t xml:space="preserve">Notes: </w:t>
      </w:r>
      <w:r>
        <w:t>abstract_source=crossref</w:t>
      </w:r>
    </w:p>
    <w:p>
      <w:pPr>
        <w:spacing w:before="0" w:after="80" w:lineRule="auto" w:line="276"/>
      </w:pPr>
      <w:r>
        <w:rPr>
          <w:b/>
        </w:rPr>
        <w:t xml:space="preserve">摘要（ZH）: </w:t>
      </w:r>
      <w:r>
        <w:t>摘要 聚合物基复合固态电解质（CSEs）在全固态锂电池（ASSLBs）中于室温（RT）和低温（LT）下存在体相/界面Li+传输极其缓慢和界面稳定性差的问题。本文在聚合物CSEs中设计了一种新型p–d–π型局域环境，以打破体相/界面Li+动力学瓶颈，构建低温高性能ASSLBs。由三元锂盐（FSI–、DFO–和NFSA–）定制的富阴离子缔合态打破了强离子缔合环境，而酞菁镍引发的阳离子–π相互作用提供了额外的Li+传输位点，显著提高了离子电导率（25 °C: 1.31 mS·cm–1; 0 °C: 0.70 mS·cm–1; −40 °C: 0.10 mS·cm–1）。此外，离域π电子和Ni(3d)–O(2p)轨道杂化加速了界面电荷转移以及LiF–LiNxOy/B–O/B–F富集界面相的形成，极大改善了双界面相容性和长期稳定性。采用LiFePO4正极的ASSLBs展现出大的倍率性能（115.6 mAh·g–1@6.0C）、室温下超高循环稳定性（4.0C下循环1000次后容量保持率90.3%）以及突出的低温性能（0 °C: 106.52 mAh·g–1@1.0C，循环500次后保持率100%；−20 °C: 0.2C下循环200次后保持率100%）。软包电池在3.0C下循环700次后容量保持率为90.75%。采用LiNi0.9Co0.05Mn0.05O2正极的ASSLBs在1.0C下循环500次后保持率100%，甚至可在−37.8 °C下工作。这项工作解决了聚合物ASSL</w:t>
      </w:r>
    </w:p>
    <w:p>
      <w:pPr>
        <w:spacing w:before="0" w:after="200" w:lineRule="auto" w:line="276"/>
      </w:pPr>
      <w:r>
        <w:rPr>
          <w:b/>
        </w:rPr>
        <w:t xml:space="preserve">Abstract (EN): </w:t>
      </w:r>
      <w:r>
        <w:t>Polymer-based composite solid electrolytes (CSEs) suffer from extremely slow bulk/interface Li+ transport and poor interfacial stability at room temperature (RT) and low temperature (LT) in all-solid-state lithium batteries (ASSLBs). Herein, we design a novel p–d–π-type local environment in polymer CSEs to break the bulk/interfacial Li+ kinetic bottlenecks and construct LT high-performance ASSLBs. The customized anion-rich association state from ternary lithium salts (FSI–, DFOB–, and NFSA–) breaks the strong ion-association environment, and the cations–π interactions trigged by nickel phthalocyanine supplies extra Li+ transport sites, which considerably enhances the ionic conductivity (25 °C: 1.31 mS·cm–1; 0 °C: 0.70 mS·cm–1; −40 °C: 0.10 mS·cm–1). Moreover, the delocalized π-electrons and Ni(3d)–O(2p) orbital hybridization accelerate the interfacial charge transference and the formation of LiF–LiNxOy/B–O/B–F-rich interphases, greatly improving the dual-interface compatibility and long-term stability. ASSLBs with the LiFePO4 cathode demonstrate large rate capacity (115.6 mAh·g–1@6.0C), superhigh cycling stability (90.3% retention after 1000 cycles at 4.0C) at RT, and prominent LT performance (0 °C: 106.52 mAh·g–1@1.0C, 100% retention after 500cycles; −20 °C: 100% retention after 200 cycles at 0.2C). The pouch cell shows a capacity retention of 90.75% after 700 cycles at 3.0C. ASSLBs employing LiNi0.9Co0.05Mn0.05O2 cathode display a 100% retention after 500 cycles at 1.0C, and it can work even at −37.8 °C. This work addresses the critical challenges of polymer ASSLBs in high-rate and LT and should promote their practical applications.</w:t>
      </w:r>
    </w:p>
    <w:p>
      <w:pPr>
        <w:spacing w:before="120" w:after="120"/>
      </w:pPr>
      <w:r>
        <w:rPr>
          <w:sz w:val="18"/>
        </w:rPr>
        <w:t>——————————————————————————————————————————————————————————————————————</w:t>
      </w:r>
    </w:p>
    <w:p>
      <w:pPr>
        <w:spacing w:before="160" w:after="40" w:line="240" w:lineRule="auto"/>
      </w:pPr>
      <w:r>
        <w:rPr>
          <w:b/>
        </w:rPr>
        <w:t xml:space="preserve">[4] </w:t>
      </w:r>
      <w:hyperlink r:id="rId149">
        <w:r>
          <w:rPr>
            <w:color w:val="1155CC"/>
            <w:u w:val="single"/>
          </w:rPr>
          <w:t>利用最大流方法预测硫化物玻璃固态电解质的离子电导率</w:t>
        </w:r>
      </w:hyperlink>
    </w:p>
    <w:p>
      <w:pPr>
        <w:spacing w:before="0" w:after="80"/>
      </w:pPr>
      <w:r>
        <w:rPr>
          <w:i/>
          <w:sz w:val="20"/>
        </w:rPr>
        <w:t>EN: Predicting ionic conductivity of sulfide glass solid-state electrolytes using max-flow methodology</w:t>
      </w:r>
    </w:p>
    <w:p>
      <w:pPr>
        <w:spacing w:before="0" w:after="120"/>
      </w:pPr>
      <w:r>
        <w:rPr>
          <w:b/>
        </w:rPr>
        <w:t xml:space="preserve">Source: </w:t>
      </w:r>
      <w:r>
        <w:t>Physical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玻璃等无序材料是很有前景的电池固态电解质候选材料，但它们往往表现出较低的离子电导率，而当前用于研究和预测电解质材料离子电导率的方法效率低下。在此，我们提出了一个框架，基于周期性边界条件用加权图来概括电解质材料原子结构的拓扑性质。然后，我们在该概要上计算一种最大流算法的变体（这是输运和液体流动连续模型中常用的模型），并证明其与模拟的周期性原子结构兼容。通过对包括可移动锂离子和钠离子在内的多种玻璃态固态电解质体系进行分子动力学模拟，我们验证了该方法：由静态玻璃结构预测的面积归一化最大流与模拟得到的离子电导率呈正相关，尤其是在高电导率硫化物玻璃电解质的情况下。我们预计，这种仅依赖静态原子结构的方法将加速用于高性能全固态电池的高电导率硫化物玻璃电解质的发现。</w:t>
      </w:r>
    </w:p>
    <w:p>
      <w:pPr>
        <w:spacing w:before="0" w:after="200" w:lineRule="auto" w:line="276"/>
      </w:pPr>
      <w:r>
        <w:rPr>
          <w:b/>
        </w:rPr>
        <w:t xml:space="preserve">Abstract (EN): </w:t>
      </w:r>
      <w:r>
        <w:t>Disordered materials such as glasses are promising candidates as solid-state electrolytes for batteries, but they tend to exhibit low ionic conductivity and current methods for investigating and predicting the ionic conductivity of electrolyte materials are inefficient. Here, we propose a framework that summarizes the topological properties of the electrolyte material’s atomic structure with a weighted graph based on periodic boundary conditions. We then compute a variation of the max-flow algorithm, a commonly used model in continuum models of transportation and liquid flow, on this summary and show that it is compatible with the simulated periodic atomic structures. Using molecular dynamics simulations of various glassy solid-state electrolyte families including both mobile lithium and sodium ions, we validate the approach by showing a positive correlation between the area-normalized maximum flow predicted from the static glass structures and the ionic conductivity as obtained from the simulations, especially in the case of high-conductivity sulfide glass electrolytes. We envision that the developed methodology, which only relies on static atomic structure, will accelerate the discovery of highly conductive sulfide glassy electrolytes for high-performance all-solid-state batteries.</w:t>
      </w:r>
    </w:p>
    <w:p>
      <w:pPr>
        <w:spacing w:before="120" w:after="120"/>
      </w:pPr>
      <w:r>
        <w:rPr>
          <w:sz w:val="18"/>
        </w:rPr>
        <w:t>——————————————————————————————————————————————————————————————————————</w:t>
      </w:r>
    </w:p>
    <w:p>
      <w:pPr>
        <w:spacing w:before="160" w:after="40" w:line="240" w:lineRule="auto"/>
      </w:pPr>
      <w:r>
        <w:rPr>
          <w:b/>
        </w:rPr>
        <w:t xml:space="preserve">[5] </w:t>
      </w:r>
      <w:hyperlink r:id="rId150">
        <w:r>
          <w:rPr>
            <w:color w:val="1155CC"/>
            <w:u w:val="single"/>
          </w:rPr>
          <w:t>双相共生卤化物固态电解质实现4.8 V全气候（−60至55°C）全固态电池</w:t>
        </w:r>
      </w:hyperlink>
    </w:p>
    <w:p>
      <w:pPr>
        <w:spacing w:before="0" w:after="80"/>
      </w:pPr>
      <w:r>
        <w:rPr>
          <w:i/>
          <w:sz w:val="20"/>
        </w:rPr>
        <w:t>EN: 4.8 V and All‐Climate (−60 to 55°C) All‐Solid‐State Batteries Enabled by Dual‐Phase Symbiotic Halide Solid Electrolytes</w:t>
      </w:r>
    </w:p>
    <w:p>
      <w:pPr>
        <w:spacing w:before="0" w:after="120"/>
      </w:pPr>
      <w:r>
        <w:rPr>
          <w:b/>
        </w:rPr>
        <w:t xml:space="preserve">Source: </w:t>
      </w:r>
      <w:r>
        <w:t>Wiley: Angewandte Chemie International Edition: Table of Contents</w:t>
      </w:r>
      <w:r>
        <w:t xml:space="preserve">    </w:t>
      </w:r>
      <w:r>
        <w:rPr>
          <w:b/>
        </w:rPr>
        <w:t xml:space="preserve">Pub date: </w:t>
      </w:r>
      <w:r>
        <w:t>2026-08-31 03:54:13+00:00</w:t>
      </w:r>
      <w:r>
        <w:t xml:space="preserve">    </w:t>
      </w:r>
      <w:r>
        <w:rPr>
          <w:b/>
        </w:rPr>
        <w:t xml:space="preserve">DOI: </w:t>
      </w:r>
      <w:hyperlink r:id="rId151">
        <w:r>
          <w:rPr>
            <w:color w:val="1155CC"/>
            <w:u w:val="single"/>
          </w:rPr>
          <w:t>10.1002/anie.4852008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克服卤化物固态电解质中高电压兼容性、热稳定性与低温离子导电性之间的内在权衡，仍是推进全固态锂电池（ASSLBs）发展的关键挑战。在此，我们提出一种化学共生策略，设计了一种将纳米晶LiAlCl</w:t>
      </w:r>
      <w:r>
        <w:rPr>
          <w:vertAlign w:val="subscript"/>
        </w:rPr>
        <w:t>4</w:t>
      </w:r>
      <w:r>
        <w:t>与非晶Li‐M‐O‐Cl（M = Ta/Al）相相结合的双相卤化物电解质。这一创新架构协同地结合了晶相的超高电压稳定性（高达4.8 V）与非晶基质中的低能垒离子传输通路。所设计的电解质在极端条件下表现出卓越的电化学性能。它使ASSLBs在4.8 V下循环100次后容量保持率达90.5%，在55 °C和3 C下循环500次后保持133 mA h g</w:t>
      </w:r>
      <w:r>
        <w:t xml:space="preserve"> </w:t>
      </w:r>
      <w:r>
        <w:t>−1</w:t>
      </w:r>
      <w:r>
        <w:t xml:space="preserve"> </w:t>
      </w:r>
      <w:r>
        <w:t>的比容量，并在−60°C和4.8 V双重极端条件下实现前所未有的低温性能，容量为109.6 mA h g</w:t>
      </w:r>
      <w:r>
        <w:t xml:space="preserve"> </w:t>
      </w:r>
      <w:r>
        <w:t>−1</w:t>
      </w:r>
      <w:r>
        <w:t xml:space="preserve"> </w:t>
      </w:r>
      <w:r>
        <w:t>，且稳定运行1800 h。综合表征表明，非晶相为快速Li</w:t>
      </w:r>
      <w:r>
        <w:t xml:space="preserve"> </w:t>
      </w:r>
      <w:r>
        <w:t>+</w:t>
      </w:r>
      <w:r>
        <w:t xml:space="preserve"> </w:t>
      </w:r>
      <w:r>
        <w:t>传导提供了易于形成的渗流网络，而纳米晶畴则可保持结构完整性以抵御高电压降解。该电解质与多种正极（LiCoO</w:t>
      </w:r>
      <w:r>
        <w:rPr>
          <w:vertAlign w:val="subscript"/>
        </w:rPr>
        <w:t>2</w:t>
      </w:r>
      <w:r>
        <w:t>、LiNi</w:t>
      </w:r>
    </w:p>
    <w:p>
      <w:pPr>
        <w:spacing w:before="0" w:after="200" w:lineRule="auto" w:line="276"/>
      </w:pPr>
      <w:r>
        <w:rPr>
          <w:b/>
        </w:rPr>
        <w:t xml:space="preserve">Abstract (EN): </w:t>
      </w:r>
      <w:r>
        <w:t>Overcoming the intrinsic trade‐off between high‐voltage compatibility, thermal stability, and low‐temperature ionic conductivity in halide solid electrolytes remains a critical challenge for advancing all‐solid‐state lithium batteries (ASSLBs). Here, we propose a chemical symbiosis strategy to design a dual‐phase halide electrolyte integrating nanocrystalline LiAlCl</w:t>
      </w:r>
      <w:r>
        <w:rPr>
          <w:vertAlign w:val="subscript"/>
        </w:rPr>
        <w:t>4</w:t>
      </w:r>
      <w:r>
        <w:t>with amorphous Li‐M‐O‐Cl (M = Ta/Al) phases. This innovative architecture synergistically combines the ultra‐high‐voltage stability (up to 4.8 V) of the crystalline phase with the low‐energy‐barrier ion transport pathways in the amorphous matrix. The designed electrolyte exhibits exceptional electrochemical performance under extreme conditions. It enables the ASSLBs to achieve a 90.5% capacity retention after 100 cycles at 4.8 V, maintain a specific capacity of 133 mA h g</w:t>
      </w:r>
      <w:r>
        <w:t xml:space="preserve"> </w:t>
      </w:r>
      <w:r>
        <w:t>−1</w:t>
      </w:r>
      <w:r>
        <w:t xml:space="preserve"> </w:t>
      </w:r>
      <w:r>
        <w:t>over 500 cycles at 55 °C and 3 C, and deliver unprecedented low‐temperature performance with a capacity of 109.6 mA h g</w:t>
      </w:r>
      <w:r>
        <w:t xml:space="preserve"> </w:t>
      </w:r>
      <w:r>
        <w:t>−1</w:t>
      </w:r>
      <w:r>
        <w:t xml:space="preserve"> </w:t>
      </w:r>
      <w:r>
        <w:t>and 1800‐h stability under dual extreme conditions of −60°C and 4.8 V. Comprehensive characterization reveals the amorphous phase facilitates facile percolation networks for rapid Li</w:t>
      </w:r>
      <w:r>
        <w:t xml:space="preserve"> </w:t>
      </w:r>
      <w:r>
        <w:t>+</w:t>
      </w:r>
      <w:r>
        <w:t xml:space="preserve"> </w:t>
      </w:r>
      <w:r>
        <w:t>conduction, while the nanocrystalline domains maintain structural integrity against high‐voltage degradation. The electrolyte's broad compatibility with diverse cathodes (LiCoO</w:t>
      </w:r>
      <w:r>
        <w:rPr>
          <w:vertAlign w:val="subscript"/>
        </w:rPr>
        <w:t>2</w:t>
      </w:r>
      <w:r>
        <w:t>,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 also underscores its versatility for high‐energy ASSLBs.</w:t>
      </w:r>
    </w:p>
    <w:p>
      <w:pPr>
        <w:spacing w:before="120" w:after="120"/>
      </w:pPr>
      <w:r>
        <w:rPr>
          <w:sz w:val="18"/>
        </w:rPr>
        <w:t>——————————————————————————————————————————————————————————————————————</w:t>
      </w:r>
    </w:p>
    <w:p>
      <w:pPr>
        <w:spacing w:before="160" w:after="40" w:line="240" w:lineRule="auto"/>
      </w:pPr>
      <w:r>
        <w:rPr>
          <w:b/>
        </w:rPr>
        <w:t xml:space="preserve">[6] </w:t>
      </w:r>
      <w:hyperlink r:id="rId152">
        <w:r>
          <w:rPr>
            <w:color w:val="1155CC"/>
            <w:u w:val="single"/>
          </w:rPr>
          <w:t>Na2Ti3O7辅助的NASICON电解质晶界调控用于室温至零下温度全固态钠金属电池</w:t>
        </w:r>
      </w:hyperlink>
    </w:p>
    <w:p>
      <w:pPr>
        <w:spacing w:before="0" w:after="80"/>
      </w:pPr>
      <w:r>
        <w:rPr>
          <w:i/>
          <w:sz w:val="20"/>
        </w:rPr>
        <w:t>EN: Na2Ti3O7‐Assisted Grain‐Boundary Tailoring of NASICON Electrolytes for Room‐to‐Subzero‐Temperature All‐Solid‐State Sodium Metal Batteries</w:t>
      </w:r>
    </w:p>
    <w:p>
      <w:pPr>
        <w:spacing w:before="0" w:after="120"/>
      </w:pPr>
      <w:r>
        <w:rPr>
          <w:b/>
        </w:rPr>
        <w:t xml:space="preserve">Source: </w:t>
      </w:r>
      <w:r>
        <w:t>Wiley: Angewandte Chemie International Edition: Table of Contents</w:t>
      </w:r>
      <w:r>
        <w:t xml:space="preserve">    </w:t>
      </w:r>
      <w:r>
        <w:rPr>
          <w:b/>
        </w:rPr>
        <w:t xml:space="preserve">Pub date: </w:t>
      </w:r>
      <w:r>
        <w:t>2026-08-31 07:47:28+00:00</w:t>
      </w:r>
      <w:r>
        <w:t xml:space="preserve">    </w:t>
      </w:r>
      <w:r>
        <w:rPr>
          <w:b/>
        </w:rPr>
        <w:t xml:space="preserve">DOI: </w:t>
      </w:r>
      <w:hyperlink r:id="rId153">
        <w:r>
          <w:rPr>
            <w:color w:val="1155CC"/>
            <w:u w:val="single"/>
          </w:rPr>
          <w:t>10.1002/anie.8268615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ASICON型Na3Zr2Si2PO12（NZSP）是一种有前景的全固态钠金属电池固体电解质，但其实际性能受限于陶瓷致密化差、晶界Na+传输缓慢以及钠金属界面不稳定。本文报道了一种由粘附-迁移双重准则指导的反应衍生异质界面工程策略。理论筛选确定TiO2为最佳刚性氧化物异相，其在NZSP界面上兼具良好的界面粘附性和较低的Na+迁移势垒。我们不直接添加TiO2，而是引入Na2Ti3O7作为反应性烧结助剂，在烧结过程中原位生成TiO2衍生纳米晶和含钠物种，从而同时实现晶界重构、钠损失补偿和陶瓷致密化。NZSP-4 wt.% NTO（NZSP-Ti4）表现出94.20%的相对密度、1.65 mS cm−1的室温电导率以及0.27 eV的活化能。它还实现了1.55 mA cm</w:t>
      </w:r>
    </w:p>
    <w:p>
      <w:pPr>
        <w:spacing w:before="0" w:after="200" w:lineRule="auto" w:line="276"/>
      </w:pPr>
      <w:r>
        <w:rPr>
          <w:b/>
        </w:rPr>
        <w:t xml:space="preserve">Abstract (EN): </w:t>
      </w:r>
      <w:r>
        <w:t>NASICON‐type Na</w:t>
      </w:r>
      <w:r>
        <w:rPr>
          <w:vertAlign w:val="subscript"/>
        </w:rPr>
        <w:t>3</w:t>
      </w:r>
      <w:r>
        <w:t>Zr</w:t>
      </w:r>
      <w:r>
        <w:rPr>
          <w:vertAlign w:val="subscript"/>
        </w:rPr>
        <w:t>2</w:t>
      </w:r>
      <w:r>
        <w:t>Si</w:t>
      </w:r>
      <w:r>
        <w:rPr>
          <w:vertAlign w:val="subscript"/>
        </w:rPr>
        <w:t>2</w:t>
      </w:r>
      <w:r>
        <w:t>PO</w:t>
      </w:r>
      <w:r>
        <w:rPr>
          <w:vertAlign w:val="subscript"/>
        </w:rPr>
        <w:t>12</w:t>
      </w:r>
      <w:r>
        <w:t>(NZSP) is a promising solid electrolyte for all‐solid‐state sodium metal batteries, yet its practical performance is restricted by poor ceramic densification, sluggish grain‐boundary Na</w:t>
      </w:r>
      <w:r>
        <w:t xml:space="preserve"> </w:t>
      </w:r>
      <w:r>
        <w:t>+</w:t>
      </w:r>
      <w:r>
        <w:t xml:space="preserve"> </w:t>
      </w:r>
      <w:r>
        <w:t>transport, and unstable sodium‐metal interfaces. Herein, we report a reaction‐derived heterointerface engineering strategy guided by an adhesion‐migration dual criterion. Theoretical screening identifies TiO</w:t>
      </w:r>
      <w:r>
        <w:rPr>
          <w:vertAlign w:val="subscript"/>
        </w:rPr>
        <w:t>2</w:t>
      </w:r>
      <w:r>
        <w:t>as an optimal rigid oxide heterophase that combines favorable interfacial adhesion with a low Na</w:t>
      </w:r>
      <w:r>
        <w:t xml:space="preserve"> </w:t>
      </w:r>
      <w:r>
        <w:t>+</w:t>
      </w:r>
      <w:r>
        <w:t xml:space="preserve"> </w:t>
      </w:r>
      <w:r>
        <w:t>migration barrier at the NZSP interface. Instead of directly adding TiO</w:t>
      </w:r>
      <w:r>
        <w:rPr>
          <w:vertAlign w:val="subscript"/>
        </w:rPr>
        <w:t>2</w:t>
      </w:r>
      <w:r>
        <w:t>, Na</w:t>
      </w:r>
      <w:r>
        <w:rPr>
          <w:vertAlign w:val="subscript"/>
        </w:rPr>
        <w:t>2</w:t>
      </w:r>
      <w:r>
        <w:t>Ti</w:t>
      </w:r>
      <w:r>
        <w:rPr>
          <w:vertAlign w:val="subscript"/>
        </w:rPr>
        <w:t>3</w:t>
      </w:r>
      <w:r>
        <w:t>O</w:t>
      </w:r>
      <w:r>
        <w:rPr>
          <w:vertAlign w:val="subscript"/>
        </w:rPr>
        <w:t>7</w:t>
      </w:r>
      <w:r>
        <w:t>is introduced as a reactive sintering aid to generate TiO</w:t>
      </w:r>
      <w:r>
        <w:rPr>
          <w:vertAlign w:val="subscript"/>
        </w:rPr>
        <w:t>2</w:t>
      </w:r>
      <w:r>
        <w:t>‐derived nanocrystals and Na‐containing species in situ during sintering, enabling simultaneous grain‐boundary reconstruction, sodium‐loss compensation, and ceramic densification. NZSP‐4 wt.% NTO (NZSP‐Ti4) shows 94.20% relative density, 1.65 mS cm</w:t>
      </w:r>
      <w:r>
        <w:t xml:space="preserve"> </w:t>
      </w:r>
      <w:r>
        <w:t>−1</w:t>
      </w:r>
      <w:r>
        <w:t xml:space="preserve"> </w:t>
      </w:r>
      <w:r>
        <w:t>room‐temperature conductivity, and a 0.27 eV activation energy. It also enables a 1.55 mA cm</w:t>
      </w:r>
      <w:r>
        <w:t xml:space="preserve"> </w:t>
      </w:r>
      <w:r>
        <w:t>−2</w:t>
      </w:r>
      <w:r>
        <w:t xml:space="preserve"> </w:t>
      </w:r>
      <w:r>
        <w:t>critical current density and over 1600 h of reversible Na cycling at 0.2 mA cm</w:t>
      </w:r>
      <w:r>
        <w:t xml:space="preserve"> </w:t>
      </w:r>
      <w:r>
        <w:t>−2</w:t>
      </w:r>
      <w:r>
        <w:t xml:space="preserve"> </w:t>
      </w:r>
      <w:r>
        <w:t>. Coupled with an integrated NZSP/Na</w:t>
      </w:r>
      <w:r>
        <w:rPr>
          <w:vertAlign w:val="subscript"/>
        </w:rPr>
        <w:t>3</w:t>
      </w:r>
      <w:r>
        <w:t>V</w:t>
      </w:r>
      <w:r>
        <w:rPr>
          <w:vertAlign w:val="subscript"/>
        </w:rPr>
        <w:t>2</w:t>
      </w:r>
      <w:r>
        <w:t>(PO</w:t>
      </w:r>
      <w:r>
        <w:rPr>
          <w:vertAlign w:val="subscript"/>
        </w:rPr>
        <w:t>4</w:t>
      </w:r>
      <w:r>
        <w:t>)</w:t>
      </w:r>
      <w:r>
        <w:rPr>
          <w:vertAlign w:val="subscript"/>
        </w:rPr>
        <w:t>3</w:t>
      </w:r>
      <w:r>
        <w:t>cathode architecture, liquid‐free and pressure‐free full cells deliver durable cycling and stable subzero operation. This work establishes a rational route for reactive grain‐boundary engineering in ceramic solid electrolytes.</w:t>
      </w:r>
    </w:p>
    <w:p>
      <w:pPr>
        <w:spacing w:before="120" w:after="120"/>
      </w:pPr>
      <w:r>
        <w:rPr>
          <w:sz w:val="18"/>
        </w:rPr>
        <w:t>——————————————————————————————————————————————————————————————————————</w:t>
      </w:r>
    </w:p>
    <w:p>
      <w:pPr>
        <w:spacing w:before="160" w:after="40" w:line="240" w:lineRule="auto"/>
      </w:pPr>
      <w:r>
        <w:rPr>
          <w:b/>
        </w:rPr>
        <w:t xml:space="preserve">[7] </w:t>
      </w:r>
      <w:hyperlink r:id="rId154">
        <w:r>
          <w:rPr>
            <w:color w:val="1155CC"/>
            <w:u w:val="single"/>
          </w:rPr>
          <w:t>在胍基配位纳米片中排序4f–2p梯度轨道耦合以提升锂离子电导率</w:t>
        </w:r>
      </w:hyperlink>
    </w:p>
    <w:p>
      <w:pPr>
        <w:spacing w:before="0" w:after="80"/>
      </w:pPr>
      <w:r>
        <w:rPr>
          <w:i/>
          <w:sz w:val="20"/>
        </w:rPr>
        <w:t>EN: Sequencing 4f–2p Gradient Orbital Coupling Within Guanidinium‐Based Coordination Nanoplates to Boost Lithium‐Ion Conductivity</w:t>
      </w:r>
    </w:p>
    <w:p>
      <w:pPr>
        <w:spacing w:before="0" w:after="120"/>
      </w:pPr>
      <w:r>
        <w:rPr>
          <w:b/>
        </w:rPr>
        <w:t xml:space="preserve">Source: </w:t>
      </w:r>
      <w:r>
        <w:t>Wiley: Angewandte Chemie International Edition: Table of Contents</w:t>
      </w:r>
      <w:r>
        <w:t xml:space="preserve">    </w:t>
      </w:r>
      <w:r>
        <w:rPr>
          <w:b/>
        </w:rPr>
        <w:t xml:space="preserve">Pub date: </w:t>
      </w:r>
      <w:r>
        <w:t>2026-08-31 07:48:12+00:00</w:t>
      </w:r>
      <w:r>
        <w:t xml:space="preserve">    </w:t>
      </w:r>
      <w:r>
        <w:rPr>
          <w:b/>
        </w:rPr>
        <w:t xml:space="preserve">DOI: </w:t>
      </w:r>
      <w:hyperlink r:id="rId155">
        <w:r>
          <w:rPr>
            <w:color w:val="1155CC"/>
            <w:u w:val="single"/>
          </w:rPr>
          <w:t>10.1002/anie.1258536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面理解配位聚合物（CPs）中中心金属的电子结构与锂离子电导率之间的关系至关重要，但极具挑战性。在此，我们报道了四种新型阳离子胍鎓基配位纳米片作为固体锂离子导体，重点关注增强离子对解离、阴离子固定和离子迁移率的策略。我们的目标是通过利用两种位置异构体精确调控金属位点的配位模式。这种有意修饰使我们能够通过调控梯度4f-2p轨道耦合序列，精确调节金属位点的电荷密度。实验和理论分析表明，4f轨道劈裂的能级随梯度4f-2p轨道耦合序列而变化。这种调节可精细调整金属位点的正电荷密度，从而增强离子对解离趋势并加强对阴离子的吸附强度，以优化获得最高3.11 × 10−3 S cm−1的锂离子电导率，活化能为0.23 eV。MD模拟结合RDF图表明，在不同的相互作用位点中，锂离子沿轴向路径的迁移优于沿平面路径的迁移。</w:t>
      </w:r>
    </w:p>
    <w:p>
      <w:pPr>
        <w:spacing w:before="0" w:after="200" w:lineRule="auto" w:line="276"/>
      </w:pPr>
      <w:r>
        <w:rPr>
          <w:b/>
        </w:rPr>
        <w:t xml:space="preserve">Abstract (EN): </w:t>
      </w:r>
      <w:r>
        <w:t>Gaining a comprehensive grasp of how the electronic structure of a central metal in coordination polymers (CPs) relates to Li‐ion conductivity is crucial yet challenging. Here, we present four novel cationic guanidinium‐based coordination nanoplates as solid Li‐ion conductors, focusing on strategies to enhance ion‐pair dissociation, anion immobilization, and ionic mobility. Our goal is to precisely manipulate the coordination modes at the metal sites through the utilization of two positional isomers. The intentional modification enabled us to precisely adjust the charge density at the metal sites through the manipulation of the sequence of gradient 4f‐2p orbital coupling. The experimental and theoretical analyses demonstrate that the energy levels of the 4f‐orbital splitting alter in accordance with the sequence of gradient 4f‐2p orbital coupling. This adjustment serves to finely adjust the positive charge density at the metal sites, thereby enhancing the ion‐pair dissociation trends and bolstering a strong adsorption strength toward anions in order to optimize a maximum Li‐ion conductivity value of 3.11 × 10</w:t>
      </w:r>
      <w:r>
        <w:t xml:space="preserve"> </w:t>
      </w:r>
      <w:r>
        <w:t>−3</w:t>
      </w:r>
      <w:r>
        <w:t xml:space="preserve"> </w:t>
      </w:r>
      <w:r>
        <w:t>S cm</w:t>
      </w:r>
      <w:r>
        <w:t xml:space="preserve"> </w:t>
      </w:r>
      <w:r>
        <w:t>−1</w:t>
      </w:r>
      <w:r>
        <w:t xml:space="preserve"> </w:t>
      </w:r>
      <w:r>
        <w:t>with an activation energy of 0.23 eV. The MD simulation, in conjunction with the RDF plot, illustrates that, among the different interaction sites, the migration of Li‐ions along the axial pathway is preferred over the planar pathway.</w:t>
      </w:r>
    </w:p>
    <w:p>
      <w:pPr>
        <w:spacing w:before="120" w:after="120"/>
      </w:pPr>
      <w:r>
        <w:rPr>
          <w:sz w:val="18"/>
        </w:rPr>
        <w:t>——————————————————————————————————————————————————————————————————————</w:t>
      </w:r>
    </w:p>
    <w:p>
      <w:pPr>
        <w:spacing w:before="160" w:after="40" w:line="240" w:lineRule="auto"/>
      </w:pPr>
      <w:r>
        <w:rPr>
          <w:b/>
        </w:rPr>
        <w:t xml:space="preserve">[8] </w:t>
      </w:r>
      <w:hyperlink r:id="rId156">
        <w:r>
          <w:rPr>
            <w:color w:val="1155CC"/>
            <w:u w:val="single"/>
          </w:rPr>
          <w:t>调控配位化学实现水系锌碘软包电池低温下稳健的四电子氧化还原</w:t>
        </w:r>
      </w:hyperlink>
    </w:p>
    <w:p>
      <w:pPr>
        <w:spacing w:before="0" w:after="80"/>
      </w:pPr>
      <w:r>
        <w:rPr>
          <w:i/>
          <w:sz w:val="20"/>
        </w:rPr>
        <w:t>EN: Tailoring Coordination Chemistry for Robust Four-Electron Redox in Aqueous Zinc-Iodine Pouch Cells at Low Temperature</w:t>
      </w:r>
    </w:p>
    <w:p>
      <w:pPr>
        <w:spacing w:before="0" w:after="120"/>
      </w:pPr>
      <w:r>
        <w:rPr>
          <w:b/>
        </w:rPr>
        <w:t xml:space="preserve">Source: </w:t>
      </w:r>
      <w:r>
        <w:t>ACS Energy Letters</w:t>
      </w:r>
      <w:r>
        <w:t xml:space="preserve">    </w:t>
      </w:r>
      <w:r>
        <w:rPr>
          <w:b/>
        </w:rPr>
        <w:t xml:space="preserve">Pub date: </w:t>
      </w:r>
      <w:r>
        <w:t>2026-09-01 00:00:00+00:00</w:t>
      </w:r>
      <w:r>
        <w:t xml:space="preserve">    </w:t>
      </w:r>
      <w:r>
        <w:rPr>
          <w:b/>
        </w:rPr>
        <w:t xml:space="preserve">DOI: </w:t>
      </w:r>
      <w:hyperlink r:id="rId156">
        <w:r>
          <w:rPr>
            <w:color w:val="1155CC"/>
            <w:u w:val="single"/>
          </w:rPr>
          <w:t>10.1021/acsenergylett.6c02218</w:t>
        </w:r>
      </w:hyperlink>
    </w:p>
    <w:p>
      <w:pPr>
        <w:spacing w:before="0" w:after="120"/>
      </w:pPr>
      <w:r>
        <w:rPr>
          <w:b/>
        </w:rPr>
        <w:t xml:space="preserve">Notes: </w:t>
      </w:r>
      <w:r>
        <w:t>abstract_source=crossref</w:t>
      </w:r>
    </w:p>
    <w:p>
      <w:pPr>
        <w:spacing w:before="0" w:after="80" w:lineRule="auto" w:line="276"/>
      </w:pPr>
      <w:r>
        <w:rPr>
          <w:b/>
        </w:rPr>
        <w:t xml:space="preserve">摘要（ZH）: </w:t>
      </w:r>
      <w:r>
        <w:t>摘要 水系四电子锌–碘（Zn-I2）电池为实现高能量密度存储提供了一条途径，但其受限于 I−/I0/I+ 转化动力学迟缓以及电解质在零下温度冻结等问题。本文报道了一种抗冻电解质工程策略，利用盐酸胍（GuHCl）作为添加剂，该选择基于其独特的离子–偶极相互作用和配位能力。GuH+ 产生静电效应，破坏自由水的四面体氢键网络。这种结构重构抑制了电解质凝固，并加速了低温下 Zn2+ 的传输动力学。同时，GuH+ 对多碘化物中间体和 ICl2− 物种均表现出配位亲和力。这种相互作用减轻了多碘化物穿梭效应并抑制了 I+ 的水解，从而增强了低温下 I−/I0/I+ 的转化动力学。因此，所配制的电解质使 Zn-I2 软包电池实现了可逆性、1100 次循环的长循环稳定性以及在 –60 °C 的低工作温度，达成了超越大多数已报道的低温锌金属软包电池的容量–温度–寿命平衡。</w:t>
      </w:r>
    </w:p>
    <w:p>
      <w:pPr>
        <w:spacing w:before="0" w:after="200" w:lineRule="auto" w:line="276"/>
      </w:pPr>
      <w:r>
        <w:rPr>
          <w:b/>
        </w:rPr>
        <w:t xml:space="preserve">Abstract (EN): </w:t>
      </w:r>
      <w:r>
        <w:t>S Aqueous four-electron zinc-iodine (Zn-I2) batteries offer a route to energy-density storage, yet they are severely hampered by sluggish I−/I0/I+ conversion kinetics and electrolyte freezing at subzero temperatures. Here, we report a frost-resistant electrolyte engineering strategy utilizing guanidinium chloride (GuHCl) as an additive, selected based on its unique ion−dipole interactions and coordination capabilities. The GuH+ exerts electrostatic effects, disrupting the tetrahedral hydrogen-bond network of free water. This structural reconfiguration suppresses electrolyte solidification and accelerates Zn2+ transport kinetics at low temperature. Simultaneously, GuH+ exhibits coordination affinity toward both polyiodide intermediates and ICl2− species. This interaction mitigates the polyiodide shuttle effect and inhibits I+ hydrolysis, thereby enhancing the I−/I0/I+ conversion kinetics in the cold. As a result, the formulated electrolyte enables Zn-I2 pouch cells to achieve reversibility, long cycling stability of 1100 cycles, and low operating temperature at –60 °C, achieving a capacity–temperature−lifespan balance that surpasses most reported low-temperature Zn-metal pouch cells.</w:t>
      </w:r>
    </w:p>
    <w:p>
      <w:pPr>
        <w:spacing w:before="120" w:after="120"/>
      </w:pPr>
      <w:r>
        <w:rPr>
          <w:sz w:val="18"/>
        </w:rPr>
        <w:t>——————————————————————————————————————————————————————————————————————</w:t>
      </w:r>
    </w:p>
    <w:p>
      <w:pPr>
        <w:spacing w:before="160" w:after="40" w:line="240" w:lineRule="auto"/>
      </w:pPr>
      <w:r>
        <w:rPr>
          <w:b/>
        </w:rPr>
        <w:t xml:space="preserve">[9] </w:t>
      </w:r>
      <w:hyperlink r:id="rId86">
        <w:r>
          <w:rPr>
            <w:color w:val="1155CC"/>
            <w:u w:val="single"/>
          </w:rPr>
          <w:t>面向耐用型5 V级无钴锂离子电池的界面分子排斥工程</w:t>
        </w:r>
      </w:hyperlink>
    </w:p>
    <w:p>
      <w:pPr>
        <w:spacing w:before="0" w:after="80"/>
      </w:pPr>
      <w:r>
        <w:rPr>
          <w:i/>
          <w:sz w:val="20"/>
        </w:rPr>
        <w:t>EN: Interfacial Molecular Repulsion Engineering for Durable 5 V-Class Cobalt-Free Lithium-Ion Batteries</w:t>
      </w:r>
    </w:p>
    <w:p>
      <w:pPr>
        <w:spacing w:before="0" w:after="120"/>
      </w:pPr>
      <w:r>
        <w:rPr>
          <w:b/>
        </w:rPr>
        <w:t xml:space="preserve">Source: </w:t>
      </w:r>
      <w:r>
        <w:t>ACS Energy Letters</w:t>
      </w:r>
      <w:r>
        <w:t xml:space="preserve">    </w:t>
      </w:r>
      <w:r>
        <w:rPr>
          <w:b/>
        </w:rPr>
        <w:t xml:space="preserve">Pub date: </w:t>
      </w:r>
      <w:r>
        <w:t>2026-09-01 00:00:00+00:00</w:t>
      </w:r>
      <w:r>
        <w:t xml:space="preserve">    </w:t>
      </w:r>
      <w:r>
        <w:rPr>
          <w:b/>
        </w:rPr>
        <w:t xml:space="preserve">DOI: </w:t>
      </w:r>
      <w:hyperlink r:id="rId86">
        <w:r>
          <w:rPr>
            <w:color w:val="1155CC"/>
            <w:u w:val="single"/>
          </w:rPr>
          <w:t>10.1021/acsenergylett.6c01601</w:t>
        </w:r>
      </w:hyperlink>
    </w:p>
    <w:p>
      <w:pPr>
        <w:spacing w:before="0" w:after="120"/>
      </w:pPr>
      <w:r>
        <w:rPr>
          <w:b/>
        </w:rPr>
        <w:t xml:space="preserve">Notes: </w:t>
      </w:r>
      <w:r>
        <w:t>abstract_source=crossref</w:t>
      </w:r>
    </w:p>
    <w:p>
      <w:pPr>
        <w:spacing w:before="0" w:after="80" w:lineRule="auto" w:line="276"/>
      </w:pPr>
      <w:r>
        <w:rPr>
          <w:b/>
        </w:rPr>
        <w:t xml:space="preserve">摘要（ZH）: </w:t>
      </w:r>
      <w:r>
        <w:t>摘要 无钴LiNi0.5Mn1.5O4（LNMO）正极在与碳酸酯类电解液配合使用时表现出严重的界面不稳定性。在此，我们引入甲基(3,3,3-三氟丙基)二乙氧基硅烷（MFS）作为一种非牺牲型添加剂，在LNMO表面构建分子“排斥层”。MFS优先吸附于过渡金属位点，稳定内亥姆霍兹平面，抑制溶剂分解和HF侵蚀，并形成薄且机械强度高的正极–电解液界面。这种独特的界面设计在保持快速Li+传输的同时，阻断了副反应和过渡金属溶出。仅添加0.2 wt%的MFS，Gr||LNMO全电池在室温4.8 V下循环450次后容量保持率达92%，在45 °C下循环300次后达73%。该策略的潜在实用性和普适性在1.5 Ah Gr||LNMO软包电池以及采用富锂层状氧化物正极的电池中得到了验证。这项工作为推动无钴电池化学体系的发展建立了分子级范式。</w:t>
      </w:r>
    </w:p>
    <w:p>
      <w:pPr>
        <w:spacing w:before="0" w:after="200" w:lineRule="auto" w:line="276"/>
      </w:pPr>
      <w:r>
        <w:rPr>
          <w:b/>
        </w:rPr>
        <w:t xml:space="preserve">Abstract (EN): </w:t>
      </w:r>
      <w:r>
        <w:t>The cobalt-free LiNi0.5Mn1.5O4 (LNMO) cathode exhibits severe interfacial instability when employed with carbonate-based electrolytes. Here, we introduce methyl(3,3,3-trifluoropropyl)diethoxysilane (MFS) as a nonsacrificial additive that creates a molecular “repulsion layer” on LNMO. MFS preferentially adsorbs onto transition-metal sites, stabilizing the inner Helmholtz plane, suppressing solvent decomposition and HF attack, and forming a thin, mechanically robust cathode–electrolyte interphase. This unique interface design maintains fast Li+ transport while blocking parasitic reactions and transition-metal dissolution. With only 0.2 wt % MFS, Gr||LNMO full cells deliver 92% capacity retention after 450 cycles at 4.8 V under room temperature and 73% after 300 cycles at 45 °C. The potential practicality and universality of this strategy are demonstrated in 1.5 Ah Gr||LNMO pouch cells, as well as in cells incorporating lithium-rich layered oxide cathodes. This work establishes a molecular-level paradigm for advancing the development of cobalt-free battery chemistries.</w:t>
      </w:r>
    </w:p>
    <w:p>
      <w:pPr>
        <w:spacing w:before="120" w:after="120"/>
      </w:pPr>
      <w:r>
        <w:rPr>
          <w:sz w:val="18"/>
        </w:rPr>
        <w:t>——————————————————————————————————————————————————————————————————————</w:t>
      </w:r>
    </w:p>
    <w:p>
      <w:pPr>
        <w:spacing w:before="160" w:after="40" w:line="240" w:lineRule="auto"/>
      </w:pPr>
      <w:r>
        <w:rPr>
          <w:b/>
        </w:rPr>
        <w:t xml:space="preserve">[10] </w:t>
      </w:r>
      <w:hyperlink r:id="rId157">
        <w:r>
          <w:rPr>
            <w:color w:val="1155CC"/>
            <w:u w:val="single"/>
          </w:rPr>
          <w:t>β-Li3N中间层对卤化物基全固态锂金属电池保护功能的研究</w:t>
        </w:r>
      </w:hyperlink>
    </w:p>
    <w:p>
      <w:pPr>
        <w:spacing w:before="0" w:after="80"/>
      </w:pPr>
      <w:r>
        <w:rPr>
          <w:i/>
          <w:sz w:val="20"/>
        </w:rPr>
        <w:t>EN: Investigating the Protective Function of the β -Li3N Interlayer for Halide-Based All-Solid-State Li Metal Batteries</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157">
        <w:r>
          <w:rPr>
            <w:color w:val="1155CC"/>
            <w:u w:val="single"/>
          </w:rPr>
          <w:t>10.1021/acsami.6c12171</w:t>
        </w:r>
      </w:hyperlink>
    </w:p>
    <w:p>
      <w:pPr>
        <w:spacing w:before="0" w:after="120"/>
      </w:pPr>
      <w:r>
        <w:rPr>
          <w:b/>
        </w:rPr>
        <w:t xml:space="preserve">Notes: </w:t>
      </w:r>
      <w:r>
        <w:t>abstract_source=crossref</w:t>
      </w:r>
    </w:p>
    <w:p>
      <w:pPr>
        <w:spacing w:before="0" w:after="80" w:lineRule="auto" w:line="276"/>
      </w:pPr>
      <w:r>
        <w:rPr>
          <w:b/>
        </w:rPr>
        <w:t xml:space="preserve">摘要（ZH）: </w:t>
      </w:r>
      <w:r>
        <w:t>摘要 卤化物固态电解质因其室温下高离子电导率和优异的氧化稳定性，成为全固态电池的有力候选材料，但它们对金属锂化学性质不稳定，会形成混合离子/电子导体，因而需要保护中间层。在此，我们评估了β-Li3N作为Li3YBr2Cl4中间层的应用。我们发现，在全电池中引入厚β-Li3N中间层可降低早期极化并延缓失效，但无法阻止失效。通过结合孔隙率测量和电化学测试，我们证明β-Li3N中间层具有高孔隙率，使Li在堆叠压力下以及电沉积过程中能够渗透。此外，通过同步辐射X射线纳米全息断层成像和扫描微衍射，我们直接可视化了Li向β-Li3N和LYBC层中的渗透，解释了电化学循环过程中观察到的显著电压尖峰和电池极化。本工作强调需要开发更薄且更致密的中间层，以克服β-Li3N多孔微结构这一关键限制，该限制阻碍了耐用卤化物基全固态锂金属电池的发展。</w:t>
      </w:r>
    </w:p>
    <w:p>
      <w:pPr>
        <w:spacing w:before="0" w:after="200" w:lineRule="auto" w:line="276"/>
      </w:pPr>
      <w:r>
        <w:rPr>
          <w:b/>
        </w:rPr>
        <w:t xml:space="preserve">Abstract (EN): </w:t>
      </w:r>
      <w:r>
        <w:t>Halide solid electrolytes are promising candidates for all-solid-state batteries owing to their high ionic conductivity at room temperature and excellent oxidative stability, yet they are chemically unstable against Li metal, forming a mixed ionic/electronic conductor that necessitates a protective interlayer. Here, we evaluate the use of β-Li3N as an interlayer for Li3YBr2Cl4. We found that introducing a thick β-Li3N interlayer into the full cell reduced early polarization and delayed failure, though it did not prevent it. By combining porosity measurement and electrochemical testing, we demonstrate that the β-Li3N interlayer has high porosity, allowing Li to penetrate under stack pressure and during electrodeposition. Moreover, through synchrotron X-ray nano-holo-tomography and scanning microdiffraction, we provide direct visualization of Li penetration into the layers of β-Li3N and LYBC, explaining the significant voltage spikes and the cell polarization observed during electrochemical cycling. This work highlights the need to develop thinner and denser interlayers to overcome the key limitation of the porous microstructure in β-Li3N, which hinders the development of durable halide-based all-solid-state Li-metal batteries.</w:t>
      </w:r>
    </w:p>
    <w:p>
      <w:pPr>
        <w:spacing w:before="120" w:after="120"/>
      </w:pPr>
      <w:r>
        <w:rPr>
          <w:sz w:val="18"/>
        </w:rPr>
        <w:t>——————————————————————————————————————————————————————————————————————</w:t>
      </w:r>
    </w:p>
    <w:p>
      <w:pPr>
        <w:spacing w:before="160" w:after="40" w:line="240" w:lineRule="auto"/>
      </w:pPr>
      <w:r>
        <w:rPr>
          <w:b/>
        </w:rPr>
        <w:t xml:space="preserve">[11] </w:t>
      </w:r>
      <w:hyperlink r:id="rId158">
        <w:r>
          <w:rPr>
            <w:color w:val="1155CC"/>
            <w:u w:val="single"/>
          </w:rPr>
          <w:t>离子液体中的电极电位由液体Madelung理论阐明</w:t>
        </w:r>
      </w:hyperlink>
    </w:p>
    <w:p>
      <w:pPr>
        <w:spacing w:before="0" w:after="80"/>
      </w:pPr>
      <w:r>
        <w:rPr>
          <w:i/>
          <w:sz w:val="20"/>
        </w:rPr>
        <w:t>EN: Electrode Potential in Ionic Liquid Enlightened by Liquid Madelung Theory</w:t>
      </w:r>
    </w:p>
    <w:p>
      <w:pPr>
        <w:spacing w:before="0" w:after="120"/>
      </w:pPr>
      <w:r>
        <w:rPr>
          <w:b/>
        </w:rPr>
        <w:t xml:space="preserve">Source: </w:t>
      </w:r>
      <w:r>
        <w:t>Journal of the American Chemical Society</w:t>
      </w:r>
      <w:r>
        <w:t xml:space="preserve">    </w:t>
      </w:r>
      <w:r>
        <w:rPr>
          <w:b/>
        </w:rPr>
        <w:t xml:space="preserve">Pub date: </w:t>
      </w:r>
      <w:r>
        <w:t>2026-09-01 00:00:00+00:00</w:t>
      </w:r>
      <w:r>
        <w:t xml:space="preserve">    </w:t>
      </w:r>
      <w:r>
        <w:rPr>
          <w:b/>
        </w:rPr>
        <w:t xml:space="preserve">DOI: </w:t>
      </w:r>
      <w:hyperlink r:id="rId158">
        <w:r>
          <w:rPr>
            <w:color w:val="1155CC"/>
            <w:u w:val="single"/>
          </w:rPr>
          <w:t>10.1021/jacs.6c09488</w:t>
        </w:r>
      </w:hyperlink>
    </w:p>
    <w:p>
      <w:pPr>
        <w:spacing w:before="0" w:after="120"/>
      </w:pPr>
      <w:r>
        <w:rPr>
          <w:b/>
        </w:rPr>
        <w:t xml:space="preserve">Notes: </w:t>
      </w:r>
      <w:r>
        <w:t>abstract_source=crossref</w:t>
      </w:r>
    </w:p>
    <w:p>
      <w:pPr>
        <w:spacing w:before="0" w:after="80" w:lineRule="auto" w:line="276"/>
      </w:pPr>
      <w:r>
        <w:rPr>
          <w:b/>
        </w:rPr>
        <w:t xml:space="preserve">摘要（ZH）: </w:t>
      </w:r>
      <w:r>
        <w:t>摘要 电极在电解质中的电位随盐浓度系统性变化，但在电解质结构与电极电位之间建立定量联系仍是一个长期存在的挑战。在此，我们证明液态 Madelung 能量——一种通过对所有组成分子和离子进行模拟获得的原子级分辨的库仑描述符——能够定量解释本研究中考察的溶剂基和离子液体电解质（后者代表浓度极限）所观测到的电极电位偏移。将 Li+ 的静电能量分解为周围物种的贡献，揭示了控制电位偏移的两个关键静电因素：第一配位壳层中 Li+–阴离子配位导致的静电稳定化减弱，以及高浓度下第二配位壳层中出现的增强的 Li+–Li+ 排斥。这一原子级框架捕捉了经典 Debye–Hückel 和伪晶格理论无法涉及的结构涨落，并可应用于表现出明显纳米尺度不均匀性的离子液体。这些结果表明，液态 Madelung 框架可以从传统的溶剂基电解质扩展到离子液体电解质，并为由复杂多原子物种组成的下一代电解质的合理设计提供原子级静电视角。</w:t>
      </w:r>
    </w:p>
    <w:p>
      <w:pPr>
        <w:spacing w:before="0" w:after="200" w:lineRule="auto" w:line="276"/>
      </w:pPr>
      <w:r>
        <w:rPr>
          <w:b/>
        </w:rPr>
        <w:t xml:space="preserve">Abstract (EN): </w:t>
      </w:r>
      <w:r>
        <w:t>Electrode potentials in electrolytes vary systematically with salt concentration, yet establishing a quantitative connection between electrolyte structure and electrode potential remains a longstanding challenge. Here, we demonstrate that the liquid Madelung energy─an atomistically resolved Coulombic descriptor obtained from simulations of all constituent molecules and ions─quantitatively accounts for electrode-potential shifts observed for the solvent-based and ionic liquid electrolytes investigated in the present study, the latter representing the concentrated limit. Decomposition of the Li+ electrostatic energy into contributions from surrounding species reveals two key electrostatic factors governing the potential shift: reduced electrostatic stabilization arising from Li+–anion coordination in the first coordination shell and enhanced Li+–Li+ repulsion emerging in the second coordination shell at high concentrations. This atomistic framework captures structural fluctuations inaccessible to classical Debye–Hückel and pseudo-lattice theories, and can be applied to ionic liquids exhibiting apparent nanoscale heterogeneity. These results demonstrate that the liquid Madelung framework can be extended from conventional solvent-based to ionic liquid electrolytes and provide an atomistic electrostatic perspective for the rational design of next-generation electrolytes composed of complex polyatomic species.</w:t>
      </w:r>
    </w:p>
    <w:p>
      <w:pPr>
        <w:spacing w:before="120" w:after="120"/>
      </w:pPr>
      <w:r>
        <w:rPr>
          <w:sz w:val="18"/>
        </w:rPr>
        <w:t>——————————————————————————————————————————————————————————————————————</w:t>
      </w:r>
    </w:p>
    <w:p>
      <w:pPr>
        <w:spacing w:before="160" w:after="40" w:line="240" w:lineRule="auto"/>
      </w:pPr>
      <w:r>
        <w:rPr>
          <w:b/>
        </w:rPr>
        <w:t xml:space="preserve">[12] </w:t>
      </w:r>
      <w:hyperlink r:id="rId159">
        <w:r>
          <w:rPr>
            <w:color w:val="1155CC"/>
            <w:u w:val="single"/>
          </w:rPr>
          <w:t>协同梯度界面工程助力超稳定高倍率准固态钠金属电池</w:t>
        </w:r>
      </w:hyperlink>
    </w:p>
    <w:p>
      <w:pPr>
        <w:spacing w:before="0" w:after="80"/>
      </w:pPr>
      <w:r>
        <w:rPr>
          <w:i/>
          <w:sz w:val="20"/>
        </w:rPr>
        <w:t>EN: Synergistic Gradient Interphase Engineering for Ultra‐Stable and High‐Rate Quasi‐Solid‐State Sodium Metal Batteries</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160">
        <w:r>
          <w:rPr>
            <w:color w:val="1155CC"/>
            <w:u w:val="single"/>
          </w:rPr>
          <w:t>10.1002/aenm.71538</w:t>
        </w:r>
      </w:hyperlink>
    </w:p>
    <w:p>
      <w:pPr>
        <w:spacing w:before="0" w:after="120"/>
      </w:pPr>
      <w:r>
        <w:rPr>
          <w:b/>
        </w:rPr>
        <w:t xml:space="preserve">Notes: </w:t>
      </w:r>
      <w:r>
        <w:t>abstract_source=crossref</w:t>
      </w:r>
    </w:p>
    <w:p>
      <w:pPr>
        <w:spacing w:before="0" w:after="80" w:lineRule="auto" w:line="276"/>
      </w:pPr>
      <w:r>
        <w:rPr>
          <w:b/>
        </w:rPr>
        <w:t xml:space="preserve">摘要（ZH）: </w:t>
      </w:r>
      <w:r>
        <w:t>摘要 准固态钠金属电池（QSSMBs）已成为安全、高能量密度和大规模储能的关键技术。然而，不稳定且高阻抗的固体电解质界面（SEI）的形成无法适应钠（Na）金属负极的剧烈体积波动，严重阻碍了QSSMBs的实际应用，进而导致高倍率循环过程中容量的快速衰减。本文提出了一种合理的设计策略，通过调控聚（1,3-二氧戊环）电解质中功能添加剂的分步还原行为，构建刚性内层/柔性外层的梯度SEI结构。通过引入2,2,2-三氟乙基三氟甲磺酸酯与氟代碳酸乙烯酯协同分解，该配方实现了双层梯度界面的原位构建。这种独特的SEI有效促进去溶剂化并加速Na+传输，同时实现循环后Na的均匀沉积。因此，所设计的电解质表现出卓越的电化学性能，使Na||磷酸钒钠全电池在20 C下实现5500次循环的长循环寿命，并在25 C下循环1000次后容量保持率为97.5%。这项工作凸显了梯度SEI工程的关键作用，并为开发下一代QSSMBs提供了深刻的设计原则。</w:t>
      </w:r>
    </w:p>
    <w:p>
      <w:pPr>
        <w:spacing w:before="0" w:after="200" w:lineRule="auto" w:line="276"/>
      </w:pPr>
      <w:r>
        <w:rPr>
          <w:b/>
        </w:rPr>
        <w:t xml:space="preserve">Abstract (EN): </w:t>
      </w:r>
      <w:r>
        <w:t>Quasi‐solid‐state sodium metal batteries (QSSMBs) have emerged as a pivotal technology for safe, high‐energy‐density, and large‐scale energy storage. However, the practical application of QSSMBs is severely hindered by the formation of an unstable and high‐impedance solid electrolyte interphase (SEI) that fails to accommodate the dramatic volume fluctuations of sodium (Na) metal anodes, consequently leading to rapid capacity decay during high‐rate cycling. Herein, we propose a rational design strategy to construct a rigid‐inner/flexible‐outer gradient SEI architecture by modulating the stepwise reduction behavior of functional additives within a poly(1,3‐dioxolane) electrolyte. By introducing 2,2,2‐trifluoroethyl trifluoromethanesulfonate to undergo synergistic decomposition with fluoroethylene carbonate, this formulation enables the in situ construction of the dual‐layer gradient interphase. This unique SEI efficiently facilitates desolvation and accelerates Na + transport, while achieving even Na plating after cycling. Consequently, the designed electrolyte delivers outstanding electrochemical performance, enabling Na || sodium vanadium phosphate full cells to exhibit long cycle‐life of 5500 cycles at 20 C and 97.5% capacity retention after 1000 cycles at 25 C. This work highlights the critical role of gradient SEI engineering and offers an insightful design principle for developing next‐generation QSSMBs.</w:t>
      </w:r>
    </w:p>
    <w:p>
      <w:pPr>
        <w:spacing w:before="120" w:after="120"/>
      </w:pPr>
      <w:r>
        <w:rPr>
          <w:sz w:val="18"/>
        </w:rPr>
        <w:t>——————————————————————————————————————————————————————————————————————</w:t>
      </w:r>
    </w:p>
    <w:p>
      <w:pPr>
        <w:spacing w:before="160" w:after="40" w:line="240" w:lineRule="auto"/>
      </w:pPr>
      <w:r>
        <w:rPr>
          <w:b/>
        </w:rPr>
        <w:t xml:space="preserve">[13] </w:t>
      </w:r>
      <w:hyperlink r:id="rId160">
        <w:r>
          <w:rPr>
            <w:color w:val="1155CC"/>
            <w:u w:val="single"/>
          </w:rPr>
          <w:t>用于超稳定高倍率准固态钠金属电池的协同梯度界面工程</w:t>
        </w:r>
      </w:hyperlink>
    </w:p>
    <w:p>
      <w:pPr>
        <w:spacing w:before="0" w:after="80"/>
      </w:pPr>
      <w:r>
        <w:rPr>
          <w:i/>
          <w:sz w:val="20"/>
        </w:rPr>
        <w:t>EN: Synergistic Gradient Interphase Engineering for Ultra‐Stable and High‐Rate Quasi‐Solid‐State Sodium Metal Batteries</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160">
        <w:r>
          <w:rPr>
            <w:color w:val="1155CC"/>
            <w:u w:val="single"/>
          </w:rPr>
          <w:t>10.1002/aenm.71538</w:t>
        </w:r>
      </w:hyperlink>
    </w:p>
    <w:p>
      <w:pPr>
        <w:spacing w:before="0" w:after="120"/>
      </w:pPr>
      <w:r>
        <w:rPr>
          <w:b/>
        </w:rPr>
        <w:t xml:space="preserve">Notes: </w:t>
      </w:r>
      <w:r>
        <w:t>abstract_source=crossref</w:t>
      </w:r>
    </w:p>
    <w:p>
      <w:pPr>
        <w:spacing w:before="0" w:after="80" w:lineRule="auto" w:line="276"/>
      </w:pPr>
      <w:r>
        <w:rPr>
          <w:b/>
        </w:rPr>
        <w:t xml:space="preserve">摘要（ZH）: </w:t>
      </w:r>
      <w:r>
        <w:t>摘要 准固态钠金属电池（QSSMBs）已成为安全、高能量密度和大规模储能的关键技术。然而，QSSMBs的实际应用受到不稳定且高阻抗的固体电解质界面（SEI）形成的严重阻碍，该界面无法适应钠（Na）金属负极的剧烈体积波动，从而导致高倍率循环期间容量的快速衰减。在此，我们提出了一种合理的设计策略，通过调控聚（1,3-二氧戊环）电解质中功能添加剂的分步还原行为，构建刚内/柔外的梯度SEI结构。通过引入2,2,2-三氟乙基三氟甲磺酸酯与氟代碳酸乙烯酯发生协同分解，该配方实现了双层梯度界面的原位构建。这种独特的SEI有效促进去溶剂化并加速Na+传输，同时实现了循环后Na的均匀沉积。因此，所设计的电解质展现出卓越的电化学性能，使Na||磷酸钒钠全电池在20 C下实现5500次循环的长循环寿命，并在25 C下循环1000次后保持97.5%的容量保持率。这项工作凸显了梯度SEI工程的关键作用，为开发下一代QSSMBs提供了富有启发性的设计原则。</w:t>
      </w:r>
    </w:p>
    <w:p>
      <w:pPr>
        <w:spacing w:before="0" w:after="200" w:lineRule="auto" w:line="276"/>
      </w:pPr>
      <w:r>
        <w:rPr>
          <w:b/>
        </w:rPr>
        <w:t xml:space="preserve">Abstract (EN): </w:t>
      </w:r>
      <w:r>
        <w:t>Quasi‐solid‐state sodium metal batteries (QSSMBs) have emerged as a pivotal technology for safe, high‐energy‐density, and large‐scale energy storage. However, the practical application of QSSMBs is severely hindered by the formation of an unstable and high‐impedance solid electrolyte interphase (SEI) that fails to accommodate the dramatic volume fluctuations of sodium (Na) metal anodes, consequently leading to rapid capacity decay during high‐rate cycling. Herein, we propose a rational design strategy to construct a rigid‐inner/flexible‐outer gradient SEI architecture by modulating the stepwise reduction behavior of functional additives within a poly(1,3‐dioxolane) electrolyte. By introducing 2,2,2‐trifluoroethyl trifluoromethanesulfonate to undergo synergistic decomposition with fluoroethylene carbonate, this formulation enables the in situ construction of the dual‐layer gradient interphase. This unique SEI efficiently facilitates desolvation and accelerates Na + transport, while achieving even Na plating after cycling. Consequently, the designed electrolyte delivers outstanding electrochemical performance, enabling Na || sodium vanadium phosphate full cells to exhibit long cycle‐life of 5500 cycles at 20 C and 97.5% capacity retention after 1000 cycles at 25 C. This work highlights the critical role of gradient SEI engineering and offers an insightful design principle for developing next‐generation QSSMBs.</w:t>
      </w:r>
    </w:p>
    <w:p>
      <w:pPr>
        <w:spacing w:before="120" w:after="120"/>
      </w:pPr>
      <w:r>
        <w:rPr>
          <w:sz w:val="18"/>
        </w:rPr>
        <w:t>——————————————————————————————————————————————————————————————————————</w:t>
      </w:r>
    </w:p>
    <w:p>
      <w:pPr>
        <w:spacing w:before="160" w:after="40" w:line="240" w:lineRule="auto"/>
      </w:pPr>
      <w:r>
        <w:rPr>
          <w:b/>
        </w:rPr>
        <w:t xml:space="preserve">[14] </w:t>
      </w:r>
      <w:hyperlink r:id="rId161">
        <w:r>
          <w:rPr>
            <w:color w:val="1155CC"/>
            <w:u w:val="single"/>
          </w:rPr>
          <w:t>原位聚合物接枝界面相实现坚固耐用的钾离子电池</w:t>
        </w:r>
      </w:hyperlink>
    </w:p>
    <w:p>
      <w:pPr>
        <w:spacing w:before="0" w:after="80"/>
      </w:pPr>
      <w:r>
        <w:rPr>
          <w:i/>
          <w:sz w:val="20"/>
        </w:rPr>
        <w:t>EN: In situ polymer-grafted interphases enable robust potassium-ion batteries</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61">
        <w:r>
          <w:rPr>
            <w:color w:val="1155CC"/>
            <w:u w:val="single"/>
          </w:rPr>
          <w:t>10.1016/j.matt.2026.102828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89">
        <w:r>
          <w:rPr>
            <w:color w:val="1155CC"/>
            <w:u w:val="single"/>
          </w:rPr>
          <w:t>胆碱阳离子调控界面电荷与双电层结构用于低极化水系锌–硫电池</w:t>
        </w:r>
      </w:hyperlink>
    </w:p>
    <w:p>
      <w:pPr>
        <w:spacing w:before="0" w:after="80"/>
      </w:pPr>
      <w:r>
        <w:rPr>
          <w:i/>
          <w:sz w:val="20"/>
        </w:rPr>
        <w:t>EN: Regulating Interfacial Charge and Electric Double-Layer Structure by Choline Cations for Low-Polarization Aqueous Zinc–Sulfur Batteries</w:t>
      </w:r>
    </w:p>
    <w:p>
      <w:pPr>
        <w:spacing w:before="0" w:after="120"/>
      </w:pPr>
      <w:r>
        <w:rPr>
          <w:b/>
        </w:rPr>
        <w:t xml:space="preserve">Source: </w:t>
      </w:r>
      <w:r>
        <w:t>ACS Energy Letters: Latest Articles (ACS Publications)</w:t>
      </w:r>
      <w:r>
        <w:t xml:space="preserve">    </w:t>
      </w:r>
      <w:r>
        <w:rPr>
          <w:b/>
        </w:rPr>
        <w:t xml:space="preserve">Pub date: </w:t>
      </w:r>
      <w:r>
        <w:t>2026-09-02 00:00:00+00:00</w:t>
      </w:r>
      <w:r>
        <w:t xml:space="preserve">    </w:t>
      </w:r>
      <w:r>
        <w:rPr>
          <w:b/>
        </w:rPr>
        <w:t xml:space="preserve">DOI: </w:t>
      </w:r>
      <w:hyperlink r:id="rId90">
        <w:r>
          <w:rPr>
            <w:color w:val="1155CC"/>
            <w:u w:val="single"/>
          </w:rPr>
          <w:t>10.1021/acsenergylett.6c02074</w:t>
        </w:r>
      </w:hyperlink>
    </w:p>
    <w:p>
      <w:pPr>
        <w:spacing w:before="0" w:after="120"/>
      </w:pPr>
      <w:r>
        <w:rPr>
          <w:b/>
        </w:rPr>
        <w:t xml:space="preserve">Notes: </w:t>
      </w:r>
      <w:r>
        <w:t>abstract_source=crossref</w:t>
      </w:r>
    </w:p>
    <w:p>
      <w:pPr>
        <w:spacing w:before="0" w:after="80" w:lineRule="auto" w:line="276"/>
      </w:pPr>
      <w:r>
        <w:rPr>
          <w:b/>
        </w:rPr>
        <w:t xml:space="preserve">摘要（ZH）: </w:t>
      </w:r>
      <w:r>
        <w:t>摘要 水系锌–硫电池（ZSBs）具有固有的安全性、低成本和可观的理论能量密度，但其性能受限于较低的放电电压平台。本文引入胆碱阳离子（Ch+）来调控硫正极界面的电荷分布和双电层（EDL）厚度，构建富Zn2+的薄EDL，从而有效抑制电压极化。Ch+不仅加速Zn2+跨EDL的传输，还增强Zn2+在EDL区域内的富集，同步优化离子传输和界面动力学，促进S向ZnS的高效转化。在此条件下，ZSB在0.1 A g–1下提供1684 mAh g–1的比容量、0.31 V的低极化和1108 Wh kg–1的能量密度，并在10 A g–1下循环1000次后保留601 mAh g–1。这项工作为实现低极化和克服ZSBs的能量密度瓶颈提供了指导。</w:t>
      </w:r>
    </w:p>
    <w:p>
      <w:pPr>
        <w:spacing w:before="0" w:after="200" w:lineRule="auto" w:line="276"/>
      </w:pPr>
      <w:r>
        <w:rPr>
          <w:b/>
        </w:rPr>
        <w:t xml:space="preserve">Abstract (EN): </w:t>
      </w:r>
      <w:r>
        <w:t>Aqueous zinc–sulfur batteries (ZSBs) offer inherent safety, low cost, and impressive theoretical energy density, but their performance is limited by a low discharge plateau. Here, choline cations (Ch+) are introduced to regulate the charge distribution and electric double-layer (EDL) thickness at the S cathode interface, constructing a Zn2+-enriched thin EDL that effectively suppresses voltage polarization. Ch+ not only accelerates Zn2+ transport across the EDL but also enhances Zn2+ enrichment within the EDL region, synchronously optimizing ion transport and interfacial kinetics to promote efficient S to ZnS conversion. Under this condition, the ZSB delivers a specific capacity of 1684 mAh g–1, a low polarization of 0.31 V and an energy density of 1108 Wh kg–1 at 0.1 A g–1, while retaining 601 mAh g–1 over 1000 cycles at 10 A g–1. This work provides a guideline for achieving low polarization and overcoming the energy density bottleneck in ZSBs.</w:t>
      </w:r>
    </w:p>
    <w:p>
      <w:pPr>
        <w:spacing w:before="120" w:after="120"/>
      </w:pPr>
      <w:r>
        <w:rPr>
          <w:sz w:val="18"/>
        </w:rPr>
        <w:t>——————————————————————————————————————————————————————————————————————</w:t>
      </w:r>
    </w:p>
    <w:p>
      <w:pPr>
        <w:spacing w:before="160" w:after="40" w:line="240" w:lineRule="auto"/>
      </w:pPr>
      <w:r>
        <w:rPr>
          <w:b/>
        </w:rPr>
        <w:t xml:space="preserve">[16] </w:t>
      </w:r>
      <w:hyperlink r:id="rId127">
        <w:r>
          <w:rPr>
            <w:color w:val="1155CC"/>
            <w:u w:val="single"/>
          </w:rPr>
          <w:t>化学-电化学串联还原实现用于硅基负极的 eupolymer-无机固态电解质界面</w:t>
        </w:r>
      </w:hyperlink>
    </w:p>
    <w:p>
      <w:pPr>
        <w:spacing w:before="0" w:after="80"/>
      </w:pPr>
      <w:r>
        <w:rPr>
          <w:i/>
          <w:sz w:val="20"/>
        </w:rPr>
        <w:t>EN: Chemo-electrochemical Tandem Reduction Enables Eupolymer-Inorganic Solid-Electrolyte Interphases for Silicon-Based Anodes</w:t>
      </w:r>
    </w:p>
    <w:p>
      <w:pPr>
        <w:spacing w:before="0" w:after="120"/>
      </w:pPr>
      <w:r>
        <w:rPr>
          <w:b/>
        </w:rPr>
        <w:t xml:space="preserve">Source: </w:t>
      </w:r>
      <w:r>
        <w:t>ACS Energy Letters: Latest Articles (ACS Publications)</w:t>
      </w:r>
      <w:r>
        <w:t xml:space="preserve">    </w:t>
      </w:r>
      <w:r>
        <w:rPr>
          <w:b/>
        </w:rPr>
        <w:t xml:space="preserve">Pub date: </w:t>
      </w:r>
      <w:r>
        <w:t>2026-09-02 00:00:00+00:00</w:t>
      </w:r>
      <w:r>
        <w:t xml:space="preserve">    </w:t>
      </w:r>
      <w:r>
        <w:rPr>
          <w:b/>
        </w:rPr>
        <w:t xml:space="preserve">DOI: </w:t>
      </w:r>
      <w:hyperlink r:id="rId128">
        <w:r>
          <w:rPr>
            <w:color w:val="1155CC"/>
            <w:u w:val="single"/>
          </w:rPr>
          <w:t>10.1021/acsenergylett.6c02291</w:t>
        </w:r>
      </w:hyperlink>
    </w:p>
    <w:p>
      <w:pPr>
        <w:spacing w:before="0" w:after="120"/>
      </w:pPr>
      <w:r>
        <w:rPr>
          <w:b/>
        </w:rPr>
        <w:t xml:space="preserve">Notes: </w:t>
      </w:r>
      <w:r>
        <w:t>abstract_source=crossref</w:t>
      </w:r>
    </w:p>
    <w:p>
      <w:pPr>
        <w:spacing w:before="0" w:after="80" w:lineRule="auto" w:line="276"/>
      </w:pPr>
      <w:r>
        <w:rPr>
          <w:b/>
        </w:rPr>
        <w:t xml:space="preserve">摘要（ZH）: </w:t>
      </w:r>
      <w:r>
        <w:t>摘要 硅基负极为提升电池能量密度提供了巨大潜力，但受限于不稳定的固体电解质界面膜（SEI）。在此，我们报道了一种化学-电化学串联还原策略，以构建兼具良好机械鲁棒性和快速Li+传输能力的一体化高分子聚合物-无机SEI。该策略将本体电解液中的选择性酯-胺交换反应与随后在负极表面的电化学还原相耦合。所鉴定出的化学中间体表现出促进的脱氟动力学，使SEI富含纳米级无机组分，同时引发不饱和添加剂的自由基聚合。得益于这种一体化高分子聚合物-无机SEI，SiOx负极在800次循环后容量保持率为80.1%，并在5 A g–1下保持551.9 mAh g–1。截止电压为4.4 V下运行的实用级Ah级Si/C∥NCM811软包电池在300次循环后实现90.9%的容量保持率，平均库仑效率为99.91%。这项工作为SEI调控提供了深刻见解，为长寿命、快充硅基电池指明了途径。</w:t>
      </w:r>
    </w:p>
    <w:p>
      <w:pPr>
        <w:spacing w:before="0" w:after="200" w:lineRule="auto" w:line="276"/>
      </w:pPr>
      <w:r>
        <w:rPr>
          <w:b/>
        </w:rPr>
        <w:t xml:space="preserve">Abstract (EN): </w:t>
      </w:r>
      <w:r>
        <w:t>Silicon-based anodes offer substantial potential for increasing batteries’ energy density but are limited by unstable solid-electrolyte interphases (SEIs). Here, we report a chemo-electrochemical tandem reduction strategy to construct an integrated eupolymer-inorganic SEI with both favorable mechanical robustness and fast Li+ transport. This strategy couples a selective ester–amine exchange reaction in the bulk electrolyte with a subsequent electrochemical reduction at the anode surface. The identified chemical intermediate exhibits facilitated de-fluorination kinetics, enriching the SEI with nanoscale inorganic species while triggering a free-radical polymerization of unsaturated additives. Benefiting from the integrated eupolymer-inorganic SEI, SiOx anodes demonstrate 80.1% capacity retention after 800 cycles and retain 551.9 mAh g–1 at 5 A g–1. Practical Ah-level Si/C∥NCM811 pouch cells operating under a cut-off voltage of 4.4 V achieve 90.9% capacity retention over 300 cycles, with an average Coulombic efficiency of 99.91%. This work provides profound insights into SEI tailoring, offering pathway toward long-life, fast-charging silicon-based batteries.</w:t>
      </w:r>
    </w:p>
    <w:p>
      <w:pPr>
        <w:spacing w:before="120" w:after="120"/>
      </w:pPr>
      <w:r>
        <w:rPr>
          <w:sz w:val="18"/>
        </w:rPr>
        <w:t>——————————————————————————————————————————————————————————————————————</w:t>
      </w:r>
    </w:p>
    <w:p>
      <w:pPr>
        <w:spacing w:before="160" w:after="40" w:line="240" w:lineRule="auto"/>
      </w:pPr>
      <w:r>
        <w:rPr>
          <w:b/>
        </w:rPr>
        <w:t xml:space="preserve">[17] </w:t>
      </w:r>
      <w:hyperlink r:id="rId162">
        <w:r>
          <w:rPr>
            <w:color w:val="1155CC"/>
            <w:u w:val="single"/>
          </w:rPr>
          <w:t>通过芳香族添加剂的结构畸变驱动脱氟增强钠离子电池的界面稳定性</w:t>
        </w:r>
      </w:hyperlink>
    </w:p>
    <w:p>
      <w:pPr>
        <w:spacing w:before="0" w:after="80"/>
      </w:pPr>
      <w:r>
        <w:rPr>
          <w:i/>
          <w:sz w:val="20"/>
        </w:rPr>
        <w:t>EN: Enhancing the Interphasic Stability of Sodium-Ion Batteries via Structural Distortion-Driven Defluorination of Aromatic Additives</w:t>
      </w:r>
    </w:p>
    <w:p>
      <w:pPr>
        <w:spacing w:before="0" w:after="120"/>
      </w:pPr>
      <w:r>
        <w:rPr>
          <w:b/>
        </w:rPr>
        <w:t xml:space="preserve">Source: </w:t>
      </w:r>
      <w:r>
        <w:t>ACS Energy Letters: Latest Articles (ACS Publications)</w:t>
      </w:r>
      <w:r>
        <w:t xml:space="preserve">    </w:t>
      </w:r>
      <w:r>
        <w:rPr>
          <w:b/>
        </w:rPr>
        <w:t xml:space="preserve">Pub date: </w:t>
      </w:r>
      <w:r>
        <w:t>2026-09-02 00:00:00+00:00</w:t>
      </w:r>
      <w:r>
        <w:t xml:space="preserve">    </w:t>
      </w:r>
      <w:r>
        <w:rPr>
          <w:b/>
        </w:rPr>
        <w:t xml:space="preserve">DOI: </w:t>
      </w:r>
      <w:hyperlink r:id="rId137">
        <w:r>
          <w:rPr>
            <w:color w:val="1155CC"/>
            <w:u w:val="single"/>
          </w:rPr>
          <w:t>10.1021/acsenergylett.6c01569</w:t>
        </w:r>
      </w:hyperlink>
    </w:p>
    <w:p>
      <w:pPr>
        <w:spacing w:before="0" w:after="120"/>
      </w:pPr>
      <w:r>
        <w:rPr>
          <w:b/>
        </w:rPr>
        <w:t xml:space="preserve">Notes: </w:t>
      </w:r>
      <w:r>
        <w:t>abstract_source=crossref</w:t>
      </w:r>
    </w:p>
    <w:p>
      <w:pPr>
        <w:spacing w:before="0" w:after="80" w:lineRule="auto" w:line="276"/>
      </w:pPr>
      <w:r>
        <w:rPr>
          <w:b/>
        </w:rPr>
        <w:t xml:space="preserve">摘要（ZH）: </w:t>
      </w:r>
      <w:r>
        <w:t>摘要 硬碳（HC）负极的界面不稳定性阻碍了钠离子电池的商业可行性。本文揭示了一种由氟化芳香添加剂（FAAs）还原诱导结构畸变驱动的全新界面工程机制。我们证明1,2-二氟苯（2FB）通过强π–π相互作用优先富集在HC界面。关键的是，2FB在还原后经历由π*和σ*轨道混合驱动的深刻结构畸变。这种形变显著削弱了C–F键，引发容易的脱氟反应，从而构建坚固的富氟化钠（NaF）无机固体电解质界面（SEI）。这种高度保护性的薄层可抑制持续的SEI溶解和危险的Na析出，同时加速Na+传输动力学。因此，HC || Na(Ni1/3Fe1/3Mn1/3)O2全电池在3C快充条件下展现出更好的循环稳定性。这项工作确立了通过轨道级结构操纵来设计先进电化学界面的分子设计原理。</w:t>
      </w:r>
    </w:p>
    <w:p>
      <w:pPr>
        <w:spacing w:before="0" w:after="200" w:lineRule="auto" w:line="276"/>
      </w:pPr>
      <w:r>
        <w:rPr>
          <w:b/>
        </w:rPr>
        <w:t xml:space="preserve">Abstract (EN): </w:t>
      </w:r>
      <w:r>
        <w:t>The commercial viability of sodium-ion batteries is hindered by the interphasic instability of hard carbon (HC) anodes. Here, we reveal a fundamentally new interphasic engineering mechanism driven by the reduction-induced structural distortion of fluorinated aromatic additives (FAAs). We demonstrate that 1,2-difluorobenzene (2FB) preferentially accumulates at the HC interface via strong π–π interactions. Crucially, upon reduction, 2FB undergoes profound structural distortion driven by π* and σ* orbital mixing. This deformation significantly weakens the C–F bond, triggering facile defluorination to construct a robust, sodium fluoride (NaF)-rich inorganic solid electrolyte interphase (SEI). This highly protective, thin layer suppresses continuous SEI dissolution and hazardous Na plating while accelerating Na+ transport kinetics. Consequently, HC || Na(Ni1/3Fe1/3Mn1/3)O2 full cells delivered enhanced cycling stability under 3C fast-charging conditions. This work establishes a molecular design principle for engineering advanced electrochemical interfaces through orbital-level structural manipulation.</w:t>
      </w:r>
    </w:p>
    <w:p>
      <w:pPr>
        <w:spacing w:before="120" w:after="120"/>
      </w:pPr>
      <w:r>
        <w:rPr>
          <w:sz w:val="18"/>
        </w:rPr>
        <w:t>——————————————————————————————————————————————————————————————————————</w:t>
      </w:r>
    </w:p>
    <w:p>
      <w:pPr>
        <w:spacing w:before="160" w:after="40" w:line="240" w:lineRule="auto"/>
      </w:pPr>
      <w:r>
        <w:rPr>
          <w:b/>
        </w:rPr>
        <w:t xml:space="preserve">[18] </w:t>
      </w:r>
      <w:hyperlink r:id="rId131">
        <w:r>
          <w:rPr>
            <w:color w:val="1155CC"/>
            <w:u w:val="single"/>
          </w:rPr>
          <w:t>揭示放大规模水系锌离子软包电池中的空间电化学不均一性及添加剂介导的调控</w:t>
        </w:r>
      </w:hyperlink>
    </w:p>
    <w:p>
      <w:pPr>
        <w:spacing w:before="0" w:after="80"/>
      </w:pPr>
      <w:r>
        <w:rPr>
          <w:i/>
          <w:sz w:val="20"/>
        </w:rPr>
        <w:t>EN: Unraveling Spatial Electrochemical Heterogeneity and Additive‐Mediated Regulation in Scale‐up Aqueous Zinc‐Ion Pouch‐Type Cells</w:t>
      </w:r>
    </w:p>
    <w:p>
      <w:pPr>
        <w:spacing w:before="0" w:after="120"/>
      </w:pPr>
      <w:r>
        <w:rPr>
          <w:b/>
        </w:rPr>
        <w:t xml:space="preserve">Source: </w:t>
      </w:r>
      <w:r>
        <w:t>Advanced Energy Materials</w:t>
      </w:r>
      <w:r>
        <w:t xml:space="preserve">    </w:t>
      </w:r>
      <w:r>
        <w:rPr>
          <w:b/>
        </w:rPr>
        <w:t xml:space="preserve">Pub date: </w:t>
      </w:r>
      <w:r>
        <w:t>2026-09-02 00:00:00+00:00</w:t>
      </w:r>
      <w:r>
        <w:t xml:space="preserve">    </w:t>
      </w:r>
      <w:r>
        <w:rPr>
          <w:b/>
        </w:rPr>
        <w:t xml:space="preserve">DOI: </w:t>
      </w:r>
      <w:hyperlink r:id="rId132">
        <w:r>
          <w:rPr>
            <w:color w:val="1155CC"/>
            <w:u w:val="single"/>
          </w:rPr>
          <w:t>10.1002/aenm.71532</w:t>
        </w:r>
      </w:hyperlink>
    </w:p>
    <w:p>
      <w:pPr>
        <w:spacing w:before="0" w:after="120"/>
      </w:pPr>
      <w:r>
        <w:rPr>
          <w:b/>
        </w:rPr>
        <w:t xml:space="preserve">Notes: </w:t>
      </w:r>
      <w:r>
        <w:t>abstract_source=crossref</w:t>
      </w:r>
    </w:p>
    <w:p>
      <w:pPr>
        <w:spacing w:before="0" w:after="80" w:lineRule="auto" w:line="276"/>
      </w:pPr>
      <w:r>
        <w:rPr>
          <w:b/>
        </w:rPr>
        <w:t xml:space="preserve">摘要（ZH）: </w:t>
      </w:r>
      <w:r>
        <w:t>摘要 将水性锌离子电池（AZIBs）扩展至软包构型会放大电场和Zn2+通量的不均匀性，导致Zn沉积不均匀。本文系统研究了β-环糊精（β-CD）和吐温80（Tw80），以在放大的软包电池中解耦本体传输与界面动力学调控。β-CD可提高离子电导率（3.44至5.95 mS cm−1）和Zn2+迁移数（0.16至0.47），促进均匀的本体离子通量，使对称软包电池在1 mA cm−2下寿命超过1000 h。相反，Tw80通过界面吸附调控局部反应动力学，实现&gt;600 h的稳定循环。空间分辨分析、工况拉曼光谱和原位热成像表明，β-CD通过稳定本体溶剂化结构抑制极耳附近、中心和边缘区域的宏观不均匀性，而Tw80则缓解局部界面不稳定性。在实际Zn||V2O5软包全电池中，β-CD提供更优的长期容量保持率，而Tw80在高倍率条件下表现更佳。这项工作将空间电化学不均匀性确定为主要的放大限制因素，并为实用AZIBs提供了将添加剂化学、传输动力学和构型依赖性沉积相关联的通用设计原则。</w:t>
      </w:r>
    </w:p>
    <w:p>
      <w:pPr>
        <w:spacing w:before="0" w:after="200" w:lineRule="auto" w:line="276"/>
      </w:pPr>
      <w:r>
        <w:rPr>
          <w:b/>
        </w:rPr>
        <w:t xml:space="preserve">Abstract (EN): </w:t>
      </w:r>
      <w:r>
        <w:t>Scaling aqueous zinc‐ion batteries (AZIBs) to pouch‐type configurations amplifies electric‐field and Zn 2+ flux heterogeneities, causing non‐uniform Zn deposition. Here, β‐cyclodextrin (β‐CD) and Tween 80 (Tw80) are systematically investigated to decouple bulk transport and interfacial kinetic regulation in scale‐up pouch‐type cells. β‐CD increases ionic conductivity (3.44 to 5.95 mS cm − 1 ) and the Zn 2+ transference number (0.16 to 0.47), promoting uniform bulk ion flux and extending symmetric pouch‐type cell lifespan beyond 1000 h at 1 mA cm − 2 . Conversely, Tw80 operates via interfacial adsorption to regulate local reaction kinetics, achieving stable cycling for &gt;600 h. Spatially resolved analysis, operando Raman spectroscopy, and in situ thermal imaging reveal that β‐CD suppresses macroscopic heterogeneity across near‐tab, central, and edge regions by stabilizing bulk solvation, whereas Tw80 mitigates localized interfacial instability. In practical Zn||V 2 O 5 pouch‐type full cells, β‐CD delivers superior long‐term capacity retention, while Tw80 excels under high‐rate conditions. This work identifies spatial electrochemical heterogeneity as a primary scaling limit and offers general design principles connecting additive chemistry, transport kinetics, and format‐dependent deposition for practical AZIBs.</w:t>
      </w:r>
    </w:p>
    <w:p>
      <w:pPr>
        <w:spacing w:before="120" w:after="120"/>
      </w:pPr>
      <w:r>
        <w:rPr>
          <w:sz w:val="18"/>
        </w:rPr>
        <w:t>——————————————————————————————————————————————————————————————————————</w:t>
      </w:r>
    </w:p>
    <w:p>
      <w:pPr>
        <w:spacing w:before="160" w:after="40" w:line="240" w:lineRule="auto"/>
      </w:pPr>
      <w:r>
        <w:rPr>
          <w:b/>
        </w:rPr>
        <w:t xml:space="preserve">[19] </w:t>
      </w:r>
      <w:hyperlink r:id="rId128">
        <w:r>
          <w:rPr>
            <w:color w:val="1155CC"/>
            <w:u w:val="single"/>
          </w:rPr>
          <w:t>化学-电化学串联还原实现硅基负极的优聚合物-无机固态电解质界面</w:t>
        </w:r>
      </w:hyperlink>
    </w:p>
    <w:p>
      <w:pPr>
        <w:spacing w:before="0" w:after="80"/>
      </w:pPr>
      <w:r>
        <w:rPr>
          <w:i/>
          <w:sz w:val="20"/>
        </w:rPr>
        <w:t>EN: Chemo-electrochemical Tandem Reduction Enables Eupolymer-Inorganic Solid-Electrolyte Interphases for Silicon-Based Anodes</w:t>
      </w:r>
    </w:p>
    <w:p>
      <w:pPr>
        <w:spacing w:before="0" w:after="120"/>
      </w:pPr>
      <w:r>
        <w:rPr>
          <w:b/>
        </w:rPr>
        <w:t xml:space="preserve">Source: </w:t>
      </w:r>
      <w:r>
        <w:t>ACS Energy Letters</w:t>
      </w:r>
      <w:r>
        <w:t xml:space="preserve">    </w:t>
      </w:r>
      <w:r>
        <w:rPr>
          <w:b/>
        </w:rPr>
        <w:t xml:space="preserve">Pub date: </w:t>
      </w:r>
      <w:r>
        <w:t>2026-09-02 00:00:00+00:00</w:t>
      </w:r>
      <w:r>
        <w:t xml:space="preserve">    </w:t>
      </w:r>
      <w:r>
        <w:rPr>
          <w:b/>
        </w:rPr>
        <w:t xml:space="preserve">DOI: </w:t>
      </w:r>
      <w:hyperlink r:id="rId128">
        <w:r>
          <w:rPr>
            <w:color w:val="1155CC"/>
            <w:u w:val="single"/>
          </w:rPr>
          <w:t>10.1021/acsenergylett.6c02291</w:t>
        </w:r>
      </w:hyperlink>
    </w:p>
    <w:p>
      <w:pPr>
        <w:spacing w:before="0" w:after="120"/>
      </w:pPr>
      <w:r>
        <w:rPr>
          <w:b/>
        </w:rPr>
        <w:t xml:space="preserve">Notes: </w:t>
      </w:r>
      <w:r>
        <w:t>abstract_source=crossref</w:t>
      </w:r>
    </w:p>
    <w:p>
      <w:pPr>
        <w:spacing w:before="0" w:after="80" w:lineRule="auto" w:line="276"/>
      </w:pPr>
      <w:r>
        <w:rPr>
          <w:b/>
        </w:rPr>
        <w:t xml:space="preserve">摘要（ZH）: </w:t>
      </w:r>
      <w:r>
        <w:t>摘要 硅基负极为提升电池能量密度提供了巨大潜力，但其受限于不稳定的固体电解质界面（SEI）。本文报道了一种化学-电化学串联还原策略，构建兼具良好机械稳健性和快速Li+传输的一体化高分子-无机SEI。该策略将体相电解液中的选择性酯-胺交换反应与负极表面的后续电化学还原相耦合。所识别的化学中间体表现出促进的脱氟动力学，使SEI富含纳米级无机物种，同时引发不饱和添加剂的自由基硫酸聚合。得益于一体化高分子-无机SEI，SiOx负极在800次循环后容量保持率为80.1%，并在5 A g–1下保持551.9 mAh g–1。在4.4 V截止电压下运行的实用级Ah级Si/C∥NCM811软包电池在300次循环后实现90.9%的容量保持率，平均库仑效率为99.91%。这项工作为SEI定制提供了深刻见解，为实现长寿命、快充硅基电池提供了途径。</w:t>
      </w:r>
    </w:p>
    <w:p>
      <w:pPr>
        <w:spacing w:before="0" w:after="200" w:lineRule="auto" w:line="276"/>
      </w:pPr>
      <w:r>
        <w:rPr>
          <w:b/>
        </w:rPr>
        <w:t xml:space="preserve">Abstract (EN): </w:t>
      </w:r>
      <w:r>
        <w:t>Silicon-based anodes offer substantial potential for increasing batteries’ energy density but are limited by unstable solid-electrolyte interphases (SEIs). Here, we report a chemo-electrochemical tandem reduction strategy to construct an integrated eupolymer-inorganic SEI with both favorable mechanical robustness and fast Li+ transport. This strategy couples a selective ester–amine exchange reaction in the bulk electrolyte with a subsequent electrochemical reduction at the anode surface. The identified chemical intermediate exhibits facilitated de-fluorination kinetics, enriching the SEI with nanoscale inorganic species while triggering a free-radical polymerization of unsaturated additives. Benefiting from the integrated eupolymer-inorganic SEI, SiOx anodes demonstrate 80.1% capacity retention after 800 cycles and retain 551.9 mAh g–1 at 5 A g–1. Practical Ah-level Si/C∥NCM811 pouch cells operating under a cut-off voltage of 4.4 V achieve 90.9% capacity retention over 300 cycles, with an average Coulombic efficiency of 99.91%. This work provides profound insights into SEI tailoring, offering pathway toward long-life, fast-charging silicon-based batteries.</w:t>
      </w:r>
    </w:p>
    <w:p>
      <w:pPr>
        <w:spacing w:before="120" w:after="120"/>
      </w:pPr>
      <w:r>
        <w:rPr>
          <w:sz w:val="18"/>
        </w:rPr>
        <w:t>——————————————————————————————————————————————————————————————————————</w:t>
      </w:r>
    </w:p>
    <w:p>
      <w:pPr>
        <w:spacing w:before="160" w:after="40" w:line="240" w:lineRule="auto"/>
      </w:pPr>
      <w:r>
        <w:rPr>
          <w:b/>
        </w:rPr>
        <w:t xml:space="preserve">[20] </w:t>
      </w:r>
      <w:hyperlink r:id="rId137">
        <w:r>
          <w:rPr>
            <w:color w:val="1155CC"/>
            <w:u w:val="single"/>
          </w:rPr>
          <w:t>通过芳香族添加剂的结构畸变驱动脱氟增强钠离子电池的界面稳定性</w:t>
        </w:r>
      </w:hyperlink>
    </w:p>
    <w:p>
      <w:pPr>
        <w:spacing w:before="0" w:after="80"/>
      </w:pPr>
      <w:r>
        <w:rPr>
          <w:i/>
          <w:sz w:val="20"/>
        </w:rPr>
        <w:t>EN: Enhancing the Interphasic Stability of Sodium-Ion Batteries via Structural Distortion-Driven Defluorination of Aromatic Additives</w:t>
      </w:r>
    </w:p>
    <w:p>
      <w:pPr>
        <w:spacing w:before="0" w:after="120"/>
      </w:pPr>
      <w:r>
        <w:rPr>
          <w:b/>
        </w:rPr>
        <w:t xml:space="preserve">Source: </w:t>
      </w:r>
      <w:r>
        <w:t>ACS Energy Letters</w:t>
      </w:r>
      <w:r>
        <w:t xml:space="preserve">    </w:t>
      </w:r>
      <w:r>
        <w:rPr>
          <w:b/>
        </w:rPr>
        <w:t xml:space="preserve">Pub date: </w:t>
      </w:r>
      <w:r>
        <w:t>2026-09-02 00:00:00+00:00</w:t>
      </w:r>
      <w:r>
        <w:t xml:space="preserve">    </w:t>
      </w:r>
      <w:r>
        <w:rPr>
          <w:b/>
        </w:rPr>
        <w:t xml:space="preserve">DOI: </w:t>
      </w:r>
      <w:hyperlink r:id="rId137">
        <w:r>
          <w:rPr>
            <w:color w:val="1155CC"/>
            <w:u w:val="single"/>
          </w:rPr>
          <w:t>10.1021/acsenergylett.6c01569</w:t>
        </w:r>
      </w:hyperlink>
    </w:p>
    <w:p>
      <w:pPr>
        <w:spacing w:before="0" w:after="120"/>
      </w:pPr>
      <w:r>
        <w:rPr>
          <w:b/>
        </w:rPr>
        <w:t xml:space="preserve">Notes: </w:t>
      </w:r>
      <w:r>
        <w:t>abstract_source=crossref</w:t>
      </w:r>
    </w:p>
    <w:p>
      <w:pPr>
        <w:spacing w:before="0" w:after="80" w:lineRule="auto" w:line="276"/>
      </w:pPr>
      <w:r>
        <w:rPr>
          <w:b/>
        </w:rPr>
        <w:t xml:space="preserve">摘要（ZH）: </w:t>
      </w:r>
      <w:r>
        <w:t>摘要 钠离子电池的商业化可行性受到硬碳（HC）负极界面相不稳定的阻碍。在此，我们揭示了一种由氟化芳香族添加剂（FAAs）还原诱导的结构畸变所驱动的全新界面相工程机制。我们证明 1,2-二氟苯（2FB）通过强 π–π 相互作用优先积聚在 HC 界面。至关重要的是，2FB 在还原后经历了由 π* 和 σ* 轨道混合驱动的显著结构畸变。这种形变显著削弱了 C–F 键，引发容易的脱氟反应，从而构建出坚固且富氟化钠（NaF）的无机固体电解质界面相（SEI）。这一高度保护性的薄层可抑制 SEI 的持续溶解和危险的 Na 析出，同时加速 Na+ 传输动力学。因此，HC || Na(Ni1/3Fe1/3Mn1/3)O2 全电池在 3C 快充条件下表现出更高的循环稳定性。这项工作建立了一种通过轨道级结构操控来设计先进电化学界面的分子设计原则。</w:t>
      </w:r>
    </w:p>
    <w:p>
      <w:pPr>
        <w:spacing w:before="0" w:after="200" w:lineRule="auto" w:line="276"/>
      </w:pPr>
      <w:r>
        <w:rPr>
          <w:b/>
        </w:rPr>
        <w:t xml:space="preserve">Abstract (EN): </w:t>
      </w:r>
      <w:r>
        <w:t>The commercial viability of sodium-ion batteries is hindered by the interphasic instability of hard carbon (HC) anodes. Here, we reveal a fundamentally new interphasic engineering mechanism driven by the reduction-induced structural distortion of fluorinated aromatic additives (FAAs). We demonstrate that 1,2-difluorobenzene (2FB) preferentially accumulates at the HC interface via strong π–π interactions. Crucially, upon reduction, 2FB undergoes profound structural distortion driven by π* and σ* orbital mixing. This deformation significantly weakens the C–F bond, triggering facile defluorination to construct a robust, sodium fluoride (NaF)-rich inorganic solid electrolyte interphase (SEI). This highly protective, thin layer suppresses continuous SEI dissolution and hazardous Na plating while accelerating Na+ transport kinetics. Consequently, HC || Na(Ni1/3Fe1/3Mn1/3)O2 full cells delivered enhanced cycling stability under 3C fast-charging conditions. This work establishes a molecular design principle for engineering advanced electrochemical interfaces through orbital-level structural manipulation.</w:t>
      </w:r>
    </w:p>
    <w:p>
      <w:pPr>
        <w:spacing w:before="120" w:after="120"/>
      </w:pPr>
      <w:r>
        <w:rPr>
          <w:sz w:val="18"/>
        </w:rPr>
        <w:t>——————————————————————————————————————————————————————————————————————</w:t>
      </w:r>
    </w:p>
    <w:p>
      <w:pPr>
        <w:spacing w:before="160" w:after="40" w:line="240" w:lineRule="auto"/>
      </w:pPr>
      <w:r>
        <w:rPr>
          <w:b/>
        </w:rPr>
        <w:t xml:space="preserve">[21] </w:t>
      </w:r>
      <w:hyperlink r:id="rId163">
        <w:r>
          <w:rPr>
            <w:color w:val="1155CC"/>
            <w:u w:val="single"/>
          </w:rPr>
          <w:t>面向锂离子电池电解质理性设计的机器学习：连接宏观性能与物理可解释描述符</w:t>
        </w:r>
      </w:hyperlink>
    </w:p>
    <w:p>
      <w:pPr>
        <w:spacing w:before="0" w:after="80"/>
      </w:pPr>
      <w:r>
        <w:rPr>
          <w:i/>
          <w:sz w:val="20"/>
        </w:rPr>
        <w:t>EN: Machine Learning for Rational Electrolyte Design in Lithium Batteries: Bridging Macroscopic Performance and Physically Interpretable Descriptors</w:t>
      </w:r>
    </w:p>
    <w:p>
      <w:pPr>
        <w:spacing w:before="0" w:after="120"/>
      </w:pPr>
      <w:r>
        <w:rPr>
          <w:b/>
        </w:rPr>
        <w:t xml:space="preserve">Source: </w:t>
      </w:r>
      <w:r>
        <w:t>Advanced Energy Materials</w:t>
      </w:r>
      <w:r>
        <w:t xml:space="preserve">    </w:t>
      </w:r>
      <w:r>
        <w:rPr>
          <w:b/>
        </w:rPr>
        <w:t xml:space="preserve">Pub date: </w:t>
      </w:r>
      <w:r>
        <w:t>2026-09-02 00:00:00+00:00</w:t>
      </w:r>
      <w:r>
        <w:t xml:space="preserve">    </w:t>
      </w:r>
      <w:r>
        <w:rPr>
          <w:b/>
        </w:rPr>
        <w:t xml:space="preserve">DOI: </w:t>
      </w:r>
      <w:hyperlink r:id="rId164">
        <w:r>
          <w:rPr>
            <w:color w:val="1155CC"/>
            <w:u w:val="single"/>
          </w:rPr>
          <w:t>10.1002/aenm.71542</w:t>
        </w:r>
      </w:hyperlink>
    </w:p>
    <w:p>
      <w:pPr>
        <w:spacing w:before="0" w:after="120"/>
      </w:pPr>
      <w:r>
        <w:rPr>
          <w:b/>
        </w:rPr>
        <w:t xml:space="preserve">Notes: </w:t>
      </w:r>
      <w:r>
        <w:t>abstract_source=crossref</w:t>
      </w:r>
    </w:p>
    <w:p>
      <w:pPr>
        <w:spacing w:before="0" w:after="80" w:lineRule="auto" w:line="276"/>
      </w:pPr>
      <w:r>
        <w:rPr>
          <w:b/>
        </w:rPr>
        <w:t xml:space="preserve">摘要（ZH）: </w:t>
      </w:r>
      <w:r>
        <w:t>摘要 高性能电解质的合理设计是下一代锂电池发展的核心，但庞大的分子设计空间、复杂的多尺度构效关系以及多重性能要求仍阻碍其进展。尽管机器学习（ML）通过数据驱动的性能预测加速了电解质的发现，但大多数现有研究依赖于稀疏的性能数据且物理可解释性有限，因此难以实现真正的合理设计。本综述追溯了ML赋能电解质研究从宏观性能预测到介观机理理解的演变，特别强调了现有性能数据集中电解质化学空间覆盖的局限性以及模型外推评估的不足。随后，我们综述了物理可解释的描述符，并利用一组共有的26种代表性溶剂考察了它们之间的相关性及适用域。我们进一步评估了基于ML的描述符预测的当前成熟度和剩余局限，以支持电解质候选材料的高通量虚拟筛选。最后，我们综述了性能引导自主实验的最新进展，并讨论了建立描述符引导闭环发现平台所面临的关键挑战。尽管描述符驱动的电解质合理设计尚未完全实现，本综述为整合物理可解释描述符、可泛化ML模型制定了一条可行的路线图，</w:t>
      </w:r>
    </w:p>
    <w:p>
      <w:pPr>
        <w:spacing w:before="0" w:after="200" w:lineRule="auto" w:line="276"/>
      </w:pPr>
      <w:r>
        <w:rPr>
          <w:b/>
        </w:rPr>
        <w:t xml:space="preserve">Abstract (EN): </w:t>
      </w:r>
      <w:r>
        <w:t>Rational design of high‐performance electrolytes is central to the development of next‐generation lithium batteries, but it remains hindered by vast molecular design space, intricate multiscale structure–property relationships, and multiple performance requirements. Although machine learning (ML) accelerates electrolyte discovery through data‐driven performance prediction, most existing studies rely on sparse performance data and provide limited physical interpretability, thereby falling short of true rational design. This review traces the evolution of ML‐enabled electrolyte research from macroscopic performance prediction to mesoscale mechanistic understanding, with particular emphasis on the limited coverage of electrolyte chemical space in existing performance datasets and the insufficient evaluation of model extrapolation. We then review the physically interpretable descriptors and examine their intercorrelations and domains of applicability using a common set of 26 representative solvents. The current maturity and remaining limitations of ML‐based descriptor prediction are further assessed to support the high‐throughput virtual screening of electrolyte candidates. Finally, we review recent advances in performance‐guided autonomous experimentation and discuss the key challenges associated with establishing descriptor‐guided closed‐loop discovery platforms. Although descriptor‐driven rational electrolyte design has yet to be fully realized, this review outlines an actionable roadmap for integrating physically interpretable descriptors, generalizable ML models, and autonomous experimentation toward interpretable, data‐driven electrolyte discovery.</w:t>
      </w:r>
    </w:p>
    <w:p>
      <w:pPr>
        <w:spacing w:before="120" w:after="120"/>
      </w:pPr>
      <w:r>
        <w:rPr>
          <w:sz w:val="18"/>
        </w:rPr>
        <w:t>——————————————————————————————————————————————————————————————————————</w:t>
      </w:r>
    </w:p>
    <w:p>
      <w:pPr>
        <w:spacing w:before="160" w:after="40" w:line="240" w:lineRule="auto"/>
      </w:pPr>
      <w:r>
        <w:rPr>
          <w:b/>
        </w:rPr>
        <w:t xml:space="preserve">[22] </w:t>
      </w:r>
      <w:hyperlink r:id="rId165">
        <w:r>
          <w:rPr>
            <w:color w:val="1155CC"/>
            <w:u w:val="single"/>
          </w:rPr>
          <w:t>解耦阳离子-多阴离子相互作用揭示固态电解质中哪种阴离子运动主导阳离子传输</w:t>
        </w:r>
      </w:hyperlink>
    </w:p>
    <w:p>
      <w:pPr>
        <w:spacing w:before="0" w:after="80"/>
      </w:pPr>
      <w:r>
        <w:rPr>
          <w:i/>
          <w:sz w:val="20"/>
        </w:rPr>
        <w:t>EN: Disentangling cation–polyanion coupling reveals which anion motion dominates cation transport in solid electrolytes</w:t>
      </w:r>
    </w:p>
    <w:p>
      <w:pPr>
        <w:spacing w:before="0" w:after="120"/>
      </w:pPr>
      <w:r>
        <w:rPr>
          <w:b/>
        </w:rPr>
        <w:t xml:space="preserve">Source: </w:t>
      </w:r>
      <w:r>
        <w:t>Physical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长期以来，多阴离子动力学（尤其是转动）一直被认为与固体电解质中的快速阳离子输运相关，但其对离子电导率的贡献仍未被量化，甚至连转动的作用也存在争议。在此，我们通过结合约束算法和机器学习分子动力学，量化了塑性晶体中多阴离子平动、转动和振动对电导率的贡献。与先前认为转动主要促进输运的观点相反，我们揭示了每种运动模式都可能占主导地位：当转动频率与阳离子跳跃频率匹配时转动占主导，在较高转动频率下平动占主导，而在较低转动频率下振动占主导。我们发现，转动和平动均可通过诱导阳离子无序使电导率提高两个数量级以上；转动还可以进一步增强协同阳离子输运；而多阴离子的转动、平动和振动均可调节迁移势垒和指前因子。这些发现表明多阴离子动力学对超离子性至关重要，并为超离子导体提供了设计原则。</w:t>
      </w:r>
    </w:p>
    <w:p>
      <w:pPr>
        <w:spacing w:before="0" w:after="200" w:lineRule="auto" w:line="276"/>
      </w:pPr>
      <w:r>
        <w:rPr>
          <w:b/>
        </w:rPr>
        <w:t xml:space="preserve">Abstract (EN): </w:t>
      </w:r>
      <w:r>
        <w:t>Polyanion dynamics, notably rotation, have long been linked to fast cation transport in solid electrolytes, yet their contribution to ionic conductivity remains unquantified, and even rotation’s role, disputed. Here, we quantify the contributions of polyanion translation, rotation, and vibration to conductivity in plastic crystals by combining a constraint algorithm and machine learning molecular dynamics. Contrary to prior belief that rotation primarily facilitates transport, we reveal that each motion mode can dominate: rotation when its frequency matches the cation hopping frequency, translation at higher rotation frequencies and vibration at lower rotation frequencies. We find that rotation and translation each can enhance conductivity by over two orders of magnitude by inducing cation disorder; rotation can further enhance cooperative cation transport; and polyanion rotation, translation, and vibration all modulate the migration barrier and prefactor. These findings demonstrate that polyanion dynamics are crucial to superionicity and offer design principles for superionic conductors.</w:t>
      </w:r>
    </w:p>
    <w:p>
      <w:pPr>
        <w:spacing w:before="120" w:after="120"/>
      </w:pPr>
      <w:r>
        <w:rPr>
          <w:sz w:val="18"/>
        </w:rPr>
        <w:t>——————————————————————————————————————————————————————————————————————</w:t>
      </w:r>
    </w:p>
    <w:p>
      <w:pPr>
        <w:spacing w:before="160" w:after="40" w:line="240" w:lineRule="auto"/>
      </w:pPr>
      <w:r>
        <w:rPr>
          <w:b/>
        </w:rPr>
        <w:t xml:space="preserve">[23] </w:t>
      </w:r>
      <w:hyperlink r:id="rId164">
        <w:r>
          <w:rPr>
            <w:color w:val="1155CC"/>
            <w:u w:val="single"/>
          </w:rPr>
          <w:t>用于锂电池理性电解质设计的机器学习：连接宏观性能与物理可解释描述符</w:t>
        </w:r>
      </w:hyperlink>
    </w:p>
    <w:p>
      <w:pPr>
        <w:spacing w:before="0" w:after="80"/>
      </w:pPr>
      <w:r>
        <w:rPr>
          <w:i/>
          <w:sz w:val="20"/>
        </w:rPr>
        <w:t>EN: Machine Learning for Rational Electrolyte Design in Lithium Batteries: Bridging Macroscopic Performance and Physically Interpretable Descriptors</w:t>
      </w:r>
    </w:p>
    <w:p>
      <w:pPr>
        <w:spacing w:before="0" w:after="120"/>
      </w:pPr>
      <w:r>
        <w:rPr>
          <w:b/>
        </w:rPr>
        <w:t xml:space="preserve">Source: </w:t>
      </w:r>
      <w:r>
        <w:t>Advanced Energy Materials</w:t>
      </w:r>
      <w:r>
        <w:t xml:space="preserve">    </w:t>
      </w:r>
      <w:r>
        <w:rPr>
          <w:b/>
        </w:rPr>
        <w:t xml:space="preserve">Pub date: </w:t>
      </w:r>
      <w:r>
        <w:t>2026-09-02 00:00:00+00:00</w:t>
      </w:r>
      <w:r>
        <w:t xml:space="preserve">    </w:t>
      </w:r>
      <w:r>
        <w:rPr>
          <w:b/>
        </w:rPr>
        <w:t xml:space="preserve">DOI: </w:t>
      </w:r>
      <w:hyperlink r:id="rId164">
        <w:r>
          <w:rPr>
            <w:color w:val="1155CC"/>
            <w:u w:val="single"/>
          </w:rPr>
          <w:t>10.1002/aenm.71542</w:t>
        </w:r>
      </w:hyperlink>
    </w:p>
    <w:p>
      <w:pPr>
        <w:spacing w:before="0" w:after="120"/>
      </w:pPr>
      <w:r>
        <w:rPr>
          <w:b/>
        </w:rPr>
        <w:t xml:space="preserve">Notes: </w:t>
      </w:r>
      <w:r>
        <w:t>abstract_source=crossref</w:t>
      </w:r>
    </w:p>
    <w:p>
      <w:pPr>
        <w:spacing w:before="0" w:after="80" w:lineRule="auto" w:line="276"/>
      </w:pPr>
      <w:r>
        <w:rPr>
          <w:b/>
        </w:rPr>
        <w:t xml:space="preserve">摘要（ZH）: </w:t>
      </w:r>
      <w:r>
        <w:t>摘要 高性能电解质的合理设计是下一代锂电池发展的核心，但仍然受到庞大的分子设计空间、复杂的多尺度结构-性能关系以及多重性能要求的阻碍。尽管机器学习（ML）通过数据驱动的性能预测加速了电解质的发现，但大多数现有研究依赖于稀疏的性能数据，且物理可解释性有限，因此尚未实现真正的合理设计。本综述追溯了ML赋能电解质研究从宏观性能预测到介观机理理解的演变过程，特别强调了现有性能数据集中电解质化学空间覆盖有限以及模型外推评估不足的问题。随后，我们综述了具有物理可解释性的描述符，并利用一组共有的26种代表性溶剂考察了它们之间的相关性和适用域。进一步评估了基于ML的描述符预测的当前成熟度和剩余局限，以支持电解质候选材料的高通量虚拟筛选。最后，我们综述了性能引导的自主实验的最新进展，并讨论了建立描述符引导的闭环发现平台所面临的关键挑战。尽管描述符驱动的电解质合理设计尚未完全实现，本综述为整合物理可解释描述符、可泛化的ML模型、</w:t>
      </w:r>
    </w:p>
    <w:p>
      <w:pPr>
        <w:spacing w:before="0" w:after="200" w:lineRule="auto" w:line="276"/>
      </w:pPr>
      <w:r>
        <w:rPr>
          <w:b/>
        </w:rPr>
        <w:t xml:space="preserve">Abstract (EN): </w:t>
      </w:r>
      <w:r>
        <w:t>Rational design of high‐performance electrolytes is central to the development of next‐generation lithium batteries, but it remains hindered by vast molecular design space, intricate multiscale structure–property relationships, and multiple performance requirements. Although machine learning (ML) accelerates electrolyte discovery through data‐driven performance prediction, most existing studies rely on sparse performance data and provide limited physical interpretability, thereby falling short of true rational design. This review traces the evolution of ML‐enabled electrolyte research from macroscopic performance prediction to mesoscale mechanistic understanding, with particular emphasis on the limited coverage of electrolyte chemical space in existing performance datasets and the insufficient evaluation of model extrapolation. We then review the physically interpretable descriptors and examine their intercorrelations and domains of applicability using a common set of 26 representative solvents. The current maturity and remaining limitations of ML‐based descriptor prediction are further assessed to support the high‐throughput virtual screening of electrolyte candidates. Finally, we review recent advances in performance‐guided autonomous experimentation and discuss the key challenges associated with establishing descriptor‐guided closed‐loop discovery platforms. Although descriptor‐driven rational electrolyte design has yet to be fully realized, this review outlines an actionable roadmap for integrating physically interpretable descriptors, generalizable ML models, and autonomous experimentation toward interpretable, data‐driven electrolyte discovery.</w:t>
      </w:r>
    </w:p>
    <w:p>
      <w:pPr>
        <w:spacing w:before="120" w:after="120"/>
      </w:pPr>
      <w:r>
        <w:rPr>
          <w:sz w:val="18"/>
        </w:rPr>
        <w:t>——————————————————————————————————————————————————————————————————————</w:t>
      </w:r>
    </w:p>
    <w:p>
      <w:pPr>
        <w:spacing w:before="160" w:after="40" w:line="240" w:lineRule="auto"/>
      </w:pPr>
      <w:r>
        <w:rPr>
          <w:b/>
        </w:rPr>
        <w:t xml:space="preserve">[24] </w:t>
      </w:r>
      <w:hyperlink r:id="rId132">
        <w:r>
          <w:rPr>
            <w:color w:val="1155CC"/>
            <w:u w:val="single"/>
          </w:rPr>
          <w:t>揭示放大化水系锌离子软包电池中的空间电化学异质性与添加剂介导的调控</w:t>
        </w:r>
      </w:hyperlink>
    </w:p>
    <w:p>
      <w:pPr>
        <w:spacing w:before="0" w:after="80"/>
      </w:pPr>
      <w:r>
        <w:rPr>
          <w:i/>
          <w:sz w:val="20"/>
        </w:rPr>
        <w:t>EN: Unraveling Spatial Electrochemical Heterogeneity and Additive‐Mediated Regulation in Scale‐up Aqueous Zinc‐Ion Pouch‐Type Cells</w:t>
      </w:r>
    </w:p>
    <w:p>
      <w:pPr>
        <w:spacing w:before="0" w:after="120"/>
      </w:pPr>
      <w:r>
        <w:rPr>
          <w:b/>
        </w:rPr>
        <w:t xml:space="preserve">Source: </w:t>
      </w:r>
      <w:r>
        <w:t>Advanced Energy Materials</w:t>
      </w:r>
      <w:r>
        <w:t xml:space="preserve">    </w:t>
      </w:r>
      <w:r>
        <w:rPr>
          <w:b/>
        </w:rPr>
        <w:t xml:space="preserve">Pub date: </w:t>
      </w:r>
      <w:r>
        <w:t>2026-09-02 00:00:00+00:00</w:t>
      </w:r>
      <w:r>
        <w:t xml:space="preserve">    </w:t>
      </w:r>
      <w:r>
        <w:rPr>
          <w:b/>
        </w:rPr>
        <w:t xml:space="preserve">DOI: </w:t>
      </w:r>
      <w:hyperlink r:id="rId132">
        <w:r>
          <w:rPr>
            <w:color w:val="1155CC"/>
            <w:u w:val="single"/>
          </w:rPr>
          <w:t>10.1002/aenm.71532</w:t>
        </w:r>
      </w:hyperlink>
    </w:p>
    <w:p>
      <w:pPr>
        <w:spacing w:before="0" w:after="120"/>
      </w:pPr>
      <w:r>
        <w:rPr>
          <w:b/>
        </w:rPr>
        <w:t xml:space="preserve">Notes: </w:t>
      </w:r>
      <w:r>
        <w:t>abstract_source=crossref</w:t>
      </w:r>
    </w:p>
    <w:p>
      <w:pPr>
        <w:spacing w:before="0" w:after="80" w:lineRule="auto" w:line="276"/>
      </w:pPr>
      <w:r>
        <w:rPr>
          <w:b/>
        </w:rPr>
        <w:t xml:space="preserve">摘要（ZH）: </w:t>
      </w:r>
      <w:r>
        <w:t>摘要 将水系锌离子电池（AZIBs）扩展至软包型构型会放大电场和Zn2+通量的不均匀性，导致Zn沉积不均匀。本文系统研究了β-环糊精（β-CD）和Tween 80（Tw80），以在放大软包型电池中解耦体相传输与界面动力学调控。β-CD提高了离子电导率（3.44至5.95 mS cm−1）和Zn2+迁移数（0.16至0.47），促进均匀的体相离子通量，并使对称软包型电池在1 mA cm−2下寿命超过1000 h。相反，Tw80通过界面吸附调控局部反应动力学，实现&gt;600 h的稳定循环。空间分辨分析、operando拉曼光谱和原位热成像表明，β-CD通过稳定体相溶剂化结构抑制极耳附近、中央和边缘区域的宏观不均匀性，而Tw80则缓解局部界面不稳定性。在实际Zn||V2O5软包型全电池中，β-CD表现出优异的长期容量保持率，而Tw80在高倍率条件下表现突出。这项工作将空间电化学不均匀性确定为主要的放大限制因素，并为实用AZIBs提供了连接添加剂化学、传输动力学与构型依赖性沉积的通用设计原则。</w:t>
      </w:r>
    </w:p>
    <w:p>
      <w:pPr>
        <w:spacing w:before="0" w:after="200" w:lineRule="auto" w:line="276"/>
      </w:pPr>
      <w:r>
        <w:rPr>
          <w:b/>
        </w:rPr>
        <w:t xml:space="preserve">Abstract (EN): </w:t>
      </w:r>
      <w:r>
        <w:t>Scaling aqueous zinc‐ion batteries (AZIBs) to pouch‐type configurations amplifies electric‐field and Zn 2+ flux heterogeneities, causing non‐uniform Zn deposition. Here, β‐cyclodextrin (β‐CD) and Tween 80 (Tw80) are systematically investigated to decouple bulk transport and interfacial kinetic regulation in scale‐up pouch‐type cells. β‐CD increases ionic conductivity (3.44 to 5.95 mS cm − 1 ) and the Zn 2+ transference number (0.16 to 0.47), promoting uniform bulk ion flux and extending symmetric pouch‐type cell lifespan beyond 1000 h at 1 mA cm − 2 . Conversely, Tw80 operates via interfacial adsorption to regulate local reaction kinetics, achieving stable cycling for &gt;600 h. Spatially resolved analysis, operando Raman spectroscopy, and in situ thermal imaging reveal that β‐CD suppresses macroscopic heterogeneity across near‐tab, central, and edge regions by stabilizing bulk solvation, whereas Tw80 mitigates localized interfacial instability. In practical Zn||V 2 O 5 pouch‐type full cells, β‐CD delivers superior long‐term capacity retention, while Tw80 excels under high‐rate conditions. This work identifies spatial electrochemical heterogeneity as a primary scaling limit and offers general design principles connecting additive chemistry, transport kinetics, and format‐dependent deposition for practical AZIBs.</w:t>
      </w:r>
    </w:p>
    <w:p>
      <w:pPr>
        <w:spacing w:before="120" w:after="120"/>
      </w:pPr>
      <w:r>
        <w:rPr>
          <w:sz w:val="18"/>
        </w:rPr>
        <w:t>——————————————————————————————————————————————————————————————————————</w:t>
      </w:r>
    </w:p>
    <w:p>
      <w:pPr>
        <w:spacing w:before="160" w:after="40" w:line="240" w:lineRule="auto"/>
      </w:pPr>
      <w:r>
        <w:rPr>
          <w:b/>
        </w:rPr>
        <w:t xml:space="preserve">[25] </w:t>
      </w:r>
      <w:hyperlink r:id="rId166">
        <w:r>
          <w:rPr>
            <w:color w:val="1155CC"/>
            <w:u w:val="single"/>
          </w:rPr>
          <w:t>基于氢键调控与疏水交联的抗冻高弹性水凝胶用于多功能柔性器件</w:t>
        </w:r>
      </w:hyperlink>
    </w:p>
    <w:p>
      <w:pPr>
        <w:spacing w:before="0" w:after="80"/>
      </w:pPr>
      <w:r>
        <w:rPr>
          <w:i/>
          <w:sz w:val="20"/>
        </w:rPr>
        <w:t>EN: Antifreezing and Highly Elastic Hydrogels Based on Hydrogen-Bond Regulation and Hydrophobic Crosslinking for Multifunctional Flexible Devices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167">
        <w:r>
          <w:rPr>
            <w:color w:val="1155CC"/>
            <w:u w:val="single"/>
          </w:rPr>
          <w:t>10.1021/acsami.6c14657</w:t>
        </w:r>
      </w:hyperlink>
    </w:p>
    <w:p>
      <w:pPr>
        <w:spacing w:before="0" w:after="120"/>
      </w:pPr>
      <w:r>
        <w:rPr>
          <w:b/>
        </w:rPr>
        <w:t xml:space="preserve">Notes: </w:t>
      </w:r>
      <w:r>
        <w:t>abstract_source=crossref</w:t>
      </w:r>
    </w:p>
    <w:p>
      <w:pPr>
        <w:spacing w:before="0" w:after="80" w:lineRule="auto" w:line="276"/>
      </w:pPr>
      <w:r>
        <w:rPr>
          <w:b/>
        </w:rPr>
        <w:t xml:space="preserve">摘要（ZH）: </w:t>
      </w:r>
      <w:r>
        <w:t>摘要 传统的水凝胶在低温下容易冻结，并且在循环变形过程中表现出显着的机械滞后，这损害了它们的循环稳定性，并极大地限制了它们在极冷环境下柔性器件中的应用。在此，提出了一种结合疏水交联和氢键调节的协同策略来实现抗冻和高弹性水凝胶。该水凝胶是通过使用疏水性 1,9-双（丙烯酰氧基）壬烷作为交联剂，在三氟甲磺酸锌溶液中聚合丙烯酰胺一步制备的。疏水性交联剂赋予水凝胶2266%的超高拉伸性和0.51 MJ m−3的韧性，而Zn(OTf)2调节氢键相互作用以减少机械滞后并降低凝固点。所制备的水凝胶在循环变形过程中表现出6.61%的滞后比，即使在-70°C的超低温下也能保持机械柔韧性。由于具有防冻和高弹性的特性，所得水凝胶在超低温下表现出作为锌离子软包电池和应变/温度传感器电解质的强大功能。这项研究为在极冷条件下实现柔性储能和可穿戴传感材料的水凝胶高拉伸性、低滞后性和优异的防冻性能提供了一种有效途径。</w:t>
      </w:r>
    </w:p>
    <w:p>
      <w:pPr>
        <w:spacing w:before="0" w:after="200" w:lineRule="auto" w:line="276"/>
      </w:pPr>
      <w:r>
        <w:rPr>
          <w:b/>
        </w:rPr>
        <w:t xml:space="preserve">Abstract (EN): </w:t>
      </w:r>
      <w:r>
        <w:t>Conventional hydrogels tend to freeze at low temperatures and exhibit significant mechanical hysteresis during cyclic deformation, which impairs their cycling stability and substantially restricts their applications in flexible devices employed in extremely cold environments. Herein, a synergistic strategy combining hydrophobic crosslinking and hydrogen-bond regulation is proposed to achieve antifreezing and highly elastic hydrogels. The hydrogels are one-step prepared by polymerization of acrylamide in zinc triflate solutions using hydrophobic 1,9-bis(acryloyloxy)nonane as a crosslinker. The hydrophobic crosslinker endows the hydrogel with an ultrahigh stretchability of 2266% and a toughness of 0.51 MJ m−3, while Zn(OTf)2 regulates the hydrogen-bonding interactions to reduce mechanical hysteresis and depress the freezing point. The as-prepared hydrogels show a hysteresis ratio of 6.61% during cyclic deformations and maintain mechanical flexibility even at ultralow temperatures of −70 °C. Owing to the antifreezing and highly elastic features, the resultant hydrogels demonstrate robust functionalities as electrolytes for zinc-ion pouch batteries and strain/temperature sensors at ultralow temperatures. This study provides an effective route to achieve high stretchability, low hysteresis, and superior antifreezing performance in one hydrogel for flexible energy storage and wearable sensing materials under extreme cold conditions.</w:t>
      </w:r>
    </w:p>
    <w:p>
      <w:pPr>
        <w:spacing w:before="120" w:after="120"/>
      </w:pPr>
      <w:r>
        <w:rPr>
          <w:sz w:val="18"/>
        </w:rPr>
        <w:t>——————————————————————————————————————————————————————————————————————</w:t>
      </w:r>
    </w:p>
    <w:p>
      <w:pPr>
        <w:spacing w:before="160" w:after="40" w:line="240" w:lineRule="auto"/>
      </w:pPr>
      <w:r>
        <w:rPr>
          <w:b/>
        </w:rPr>
        <w:t xml:space="preserve">[26] </w:t>
      </w:r>
      <w:hyperlink r:id="rId167">
        <w:r>
          <w:rPr>
            <w:color w:val="1155CC"/>
            <w:u w:val="single"/>
          </w:rPr>
          <w:t>基于氢键调控与疏水交联的抗冻高弹性水凝胶用于多功能柔性器件</w:t>
        </w:r>
      </w:hyperlink>
    </w:p>
    <w:p>
      <w:pPr>
        <w:spacing w:before="0" w:after="80"/>
      </w:pPr>
      <w:r>
        <w:rPr>
          <w:i/>
          <w:sz w:val="20"/>
        </w:rPr>
        <w:t>EN: Antifreezing and Highly Elastic Hydrogels Based on Hydrogen-Bond Regulation and Hydrophobic Crosslinking for Multifunctional Flexible Devices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167">
        <w:r>
          <w:rPr>
            <w:color w:val="1155CC"/>
            <w:u w:val="single"/>
          </w:rPr>
          <w:t>10.1021/acsami.6c14657</w:t>
        </w:r>
      </w:hyperlink>
    </w:p>
    <w:p>
      <w:pPr>
        <w:spacing w:before="0" w:after="120"/>
      </w:pPr>
      <w:r>
        <w:rPr>
          <w:b/>
        </w:rPr>
        <w:t xml:space="preserve">Notes: </w:t>
      </w:r>
      <w:r>
        <w:t>abstract_source=crossref</w:t>
      </w:r>
    </w:p>
    <w:p>
      <w:pPr>
        <w:spacing w:before="0" w:after="80" w:lineRule="auto" w:line="276"/>
      </w:pPr>
      <w:r>
        <w:rPr>
          <w:b/>
        </w:rPr>
        <w:t xml:space="preserve">摘要（ZH）: </w:t>
      </w:r>
      <w:r>
        <w:t>摘要 传统的水凝胶在低温下容易冻结，并且在循环变形过程中表现出显着的机械滞后，这损害了它们的循环稳定性，并极大地限制了它们在极冷环境下柔性器件中的应用。在此，提出了一种结合疏水交联和氢键调节的协同策略来实现抗冻和高弹性水凝胶。该水凝胶是通过使用疏水性 1,9-双（丙烯酰氧基）壬烷作为交联剂，在三氟甲磺酸锌溶液中聚合丙烯酰胺一步制备的。疏水性交联剂赋予水凝胶2266%的超高拉伸性和0.51 MJ m−3的韧性，而Zn(OTf)2调节氢键相互作用以减少机械滞后并降低凝固点。所制备的水凝胶在循环变形过程中表现出6.61%的滞后比，即使在-70°C的超低温下也能保持机械柔韧性。由于具有防冻和高弹性的特性，所得水凝胶在超低温下表现出作为锌离子软包电池和应变/温度传感器电解质的强大功能。这项研究为在极冷条件下实现柔性储能和可穿戴传感材料的水凝胶高拉伸性、低滞后性和优异的防冻性能提供了一种有效途径。</w:t>
      </w:r>
    </w:p>
    <w:p>
      <w:pPr>
        <w:spacing w:before="0" w:after="200" w:lineRule="auto" w:line="276"/>
      </w:pPr>
      <w:r>
        <w:rPr>
          <w:b/>
        </w:rPr>
        <w:t xml:space="preserve">Abstract (EN): </w:t>
      </w:r>
      <w:r>
        <w:t>Conventional hydrogels tend to freeze at low temperatures and exhibit significant mechanical hysteresis during cyclic deformation, which impairs their cycling stability and substantially restricts their applications in flexible devices employed in extremely cold environments. Herein, a synergistic strategy combining hydrophobic crosslinking and hydrogen-bond regulation is proposed to achieve antifreezing and highly elastic hydrogels. The hydrogels are one-step prepared by polymerization of acrylamide in zinc triflate solutions using hydrophobic 1,9-bis(acryloyloxy)nonane as a crosslinker. The hydrophobic crosslinker endows the hydrogel with an ultrahigh stretchability of 2266% and a toughness of 0.51 MJ m−3, while Zn(OTf)2 regulates the hydrogen-bonding interactions to reduce mechanical hysteresis and depress the freezing point. The as-prepared hydrogels show a hysteresis ratio of 6.61% during cyclic deformations and maintain mechanical flexibility even at ultralow temperatures of −70 °C. Owing to the antifreezing and highly elastic features, the resultant hydrogels demonstrate robust functionalities as electrolytes for zinc-ion pouch batteries and strain/temperature sensors at ultralow temperatures. This study provides an effective route to achieve high stretchability, low hysteresis, and superior antifreezing performance in one hydrogel for flexible energy storage and wearable sensing materials under extreme cold conditions.</w:t>
      </w:r>
    </w:p>
    <w:p>
      <w:pPr>
        <w:spacing w:before="120" w:after="120"/>
      </w:pPr>
      <w:r>
        <w:rPr>
          <w:sz w:val="18"/>
        </w:rPr>
        <w:t>——————————————————————————————————————————————————————————————————————</w:t>
      </w:r>
    </w:p>
    <w:p>
      <w:pPr>
        <w:spacing w:before="160" w:after="40" w:line="240" w:lineRule="auto"/>
      </w:pPr>
      <w:r>
        <w:rPr>
          <w:b/>
        </w:rPr>
        <w:t xml:space="preserve">[27] </w:t>
      </w:r>
      <w:hyperlink r:id="rId168">
        <w:r>
          <w:rPr>
            <w:color w:val="1155CC"/>
            <w:u w:val="single"/>
          </w:rPr>
          <w:t>锂离子电池的阿喀琉斯之踵:质子物种</w:t>
        </w:r>
      </w:hyperlink>
    </w:p>
    <w:p>
      <w:pPr>
        <w:spacing w:before="0" w:after="80"/>
      </w:pPr>
      <w:r>
        <w:rPr>
          <w:i/>
          <w:sz w:val="20"/>
        </w:rPr>
        <w:t>EN: The Achilles’ Heel of Lithium‐Ion Batteries: Protonic Species</w:t>
      </w:r>
    </w:p>
    <w:p>
      <w:pPr>
        <w:spacing w:before="0" w:after="120"/>
      </w:pPr>
      <w:r>
        <w:rPr>
          <w:b/>
        </w:rPr>
        <w:t xml:space="preserve">Source: </w:t>
      </w:r>
      <w:r>
        <w:t>Advanced Materials</w:t>
      </w:r>
      <w:r>
        <w:t xml:space="preserve">    </w:t>
      </w:r>
      <w:r>
        <w:rPr>
          <w:b/>
        </w:rPr>
        <w:t xml:space="preserve">Pub date: </w:t>
      </w:r>
      <w:r>
        <w:t>2026-09-03 00:00:00+00:00</w:t>
      </w:r>
      <w:r>
        <w:t xml:space="preserve">    </w:t>
      </w:r>
      <w:r>
        <w:rPr>
          <w:b/>
        </w:rPr>
        <w:t xml:space="preserve">DOI: </w:t>
      </w:r>
      <w:hyperlink r:id="rId168">
        <w:r>
          <w:rPr>
            <w:color w:val="1155CC"/>
            <w:u w:val="single"/>
          </w:rPr>
          <w:t>10.1002/adma.74891</w:t>
        </w:r>
      </w:hyperlink>
    </w:p>
    <w:p>
      <w:pPr>
        <w:spacing w:before="0" w:after="120"/>
      </w:pPr>
      <w:r>
        <w:rPr>
          <w:b/>
        </w:rPr>
        <w:t xml:space="preserve">Notes: </w:t>
      </w:r>
      <w:r>
        <w:t>abstract_source=crossref</w:t>
      </w:r>
    </w:p>
    <w:p>
      <w:pPr>
        <w:spacing w:before="0" w:after="80" w:lineRule="auto" w:line="276"/>
      </w:pPr>
      <w:r>
        <w:rPr>
          <w:b/>
        </w:rPr>
        <w:t xml:space="preserve">摘要（ZH）: </w:t>
      </w:r>
      <w:r>
        <w:t>摘要 锂离子电池（LIB）是全球能源转型的核心，主导着电动汽车和电网规模可再生能源存储市场。然而，随着锂离子电池被推向理论能量密度极限以满足不断升级的性能需求，它们面临着本质操作安全性和长期循环稳定性的挑战。近年来，人们越来越认识到锂离子电池中的质子是加速电池退化和过早失效的关键驱动因素。在这篇文章中，我们首先概述了质子物质的不同来源和生成途径，特别强调了最先进的碳酸盐基电解质的化学和电化学氧化。随后，我们阐明了质子介导的失效网络和相关的自放大质子再生循环，包括阳极和阴极电解质界面处的电解质降解和质子驱动的寄生界面副反应。此外，我们强调了原位/操作表征技术的关键进展，用于阐明质子物质的来源和降解机制，并提出了一个以质子源抑制和质子清除策略为中心的缓解框架。最后，我们指出了尚未解决的挑战并概述了该领域的前瞻性研究方向。这一贡献在基本质子化学和失效模式之间建立了关键联系，这将为持久和可靠的关键战略指导提供依据。</w:t>
      </w:r>
    </w:p>
    <w:p>
      <w:pPr>
        <w:spacing w:before="0" w:after="200" w:lineRule="auto" w:line="276"/>
      </w:pPr>
      <w:r>
        <w:rPr>
          <w:b/>
        </w:rPr>
        <w:t xml:space="preserve">Abstract (EN): </w:t>
      </w:r>
      <w:r>
        <w:t>Lithium‐ion batteries (LIBs) are central to the global energy transition, dominating the markets for electric vehicles and grid‐scale renewable energy storage. However, as LIBs are pushed toward their theoretical energy density limits to meet ever‐escalating performance demands, they are confronted with challenges to their intrinsic operational safety and long‐term cycling stability. In recent years, protonic species within LIBs have been increasingly recognized as critical drivers of accelerated cell degradation and premature failure. In this contribution, we first recapitulate the diverse sources and generation pathways of protonic species, with a particular emphasis on the chemical and electrochemical oxidation of state‐of‐the‐art carbonate‐based electrolytes. Subsequently, we elucidate the proton‐mediated failure network and associated self‐amplifying proton‐regeneration cycle, including electrolyte degradation and proton‐driven parasitic interfacial side reactions at both the anode‐ and cathode‐electrolyte interphases. Furthermore, we highlight critical advancements in in situ/operando characterization techniques for elucidating the sources and degradation mechanisms of protonic species, and propose a mitigation framework centered on proton source suppression and proton scavenging strategies. Finally, we pinpoint unresolved challenges and outline prospective research directions in this field. This contribution establishes critical connections between fundamental proton chemistry and failure modes, which will provide key strategic guidelines toward durable and safe high‐energy‐density LIBs.</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169">
        <w:r>
          <w:rPr>
            <w:color w:val="1155CC"/>
            <w:u w:val="single"/>
          </w:rPr>
          <w:t>锂离子电池热失控：机理、模型、预警系统和安全策略的批判性综述</w:t>
        </w:r>
      </w:hyperlink>
    </w:p>
    <w:p>
      <w:pPr>
        <w:spacing w:before="0" w:after="80"/>
      </w:pPr>
      <w:r>
        <w:rPr>
          <w:i/>
          <w:sz w:val="20"/>
        </w:rPr>
        <w:t>EN: Thermal runaway in lithium-ion batteries: a critical review of mechanisms, models, early warning systems, and safety strategies</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170">
        <w:r>
          <w:rPr>
            <w:color w:val="1155CC"/>
            <w:u w:val="single"/>
          </w:rPr>
          <w:t>10.1016/j.apenergy.2026.128706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71">
        <w:r>
          <w:rPr>
            <w:color w:val="1155CC"/>
            <w:u w:val="single"/>
          </w:rPr>
          <w:t>水介导下聚偏二氟乙烯的电催化室温脱氟</w:t>
        </w:r>
      </w:hyperlink>
    </w:p>
    <w:p>
      <w:pPr>
        <w:spacing w:before="0" w:after="80"/>
      </w:pPr>
      <w:r>
        <w:rPr>
          <w:i/>
          <w:sz w:val="20"/>
        </w:rPr>
        <w:t>EN: Electrocatalytic polyvinylidene fluoride defluorination with water mediation at room temperature</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172">
        <w:r>
          <w:rPr>
            <w:color w:val="1155CC"/>
            <w:u w:val="single"/>
          </w:rPr>
          <w:t>10.1126/sciadv.aeg8495</w:t>
        </w:r>
      </w:hyperlink>
    </w:p>
    <w:p>
      <w:pPr>
        <w:spacing w:before="0" w:after="120"/>
      </w:pPr>
      <w:r>
        <w:rPr>
          <w:b/>
        </w:rPr>
        <w:t xml:space="preserve">Notes: </w:t>
      </w:r>
      <w:r>
        <w:t>abstract_source=crossref</w:t>
      </w:r>
    </w:p>
    <w:p>
      <w:pPr>
        <w:spacing w:before="0" w:after="80" w:lineRule="auto" w:line="276"/>
      </w:pPr>
      <w:r>
        <w:rPr>
          <w:b/>
        </w:rPr>
        <w:t xml:space="preserve">摘要（ZH）: </w:t>
      </w:r>
      <w:r>
        <w:t>聚偏二氟乙烯（PVDF）是一种广泛使用的难降解全氟和多氟烷基物质（PFAS）聚合物，由于其脱氟过程中常规热处理方法会释放有毒的挥发性氟化物（VFCs），给环境带来挑战。本文报道了一种电化学水介导策略，可在环境条件下实现高效、无VFCs的PVDF脱氟。该方法实现了较高的氟-氟化物转化率（93%），并在以PVDF为粘结剂的实际废旧电池电极上以8.5 kg·m</w:t>
      </w:r>
      <w:r>
        <w:t xml:space="preserve"> </w:t>
      </w:r>
      <w:r>
        <w:t>−3</w:t>
      </w:r>
      <w:r>
        <w:t xml:space="preserve"> </w:t>
      </w:r>
      <w:r>
        <w:t>·day</w:t>
      </w:r>
      <w:r>
        <w:t xml:space="preserve"> </w:t>
      </w:r>
      <w:r>
        <w:t>−1</w:t>
      </w:r>
      <w:r>
        <w:t xml:space="preserve"> </w:t>
      </w:r>
      <w:r>
        <w:t>的工业相关处理能力得到了验证。其高效率源于电化学生成的氢氧根离子在阴极表面附近的空间限域作用。在机理上，同位素标记和动力学蒙特卡洛模拟揭示了水前所未有的双重角色——既是反应物又是催化剂，驱动了一条从根本上抑制VFCs生成的离子路径。这为C─F键断裂和PFAS脱氟这一关键挑战提供了一种可规模化、可持续且无毒的替代方案。</w:t>
      </w:r>
    </w:p>
    <w:p>
      <w:pPr>
        <w:spacing w:before="0" w:after="200" w:lineRule="auto" w:line="276"/>
      </w:pPr>
      <w:r>
        <w:rPr>
          <w:b/>
        </w:rPr>
        <w:t xml:space="preserve">Abstract (EN): </w:t>
      </w:r>
      <w:r>
        <w:t>Polyvinylidene fluoride (PVDF), a widely used recalcitrant per- and polyfluoroalkyl substance (PFAS) polymer, poses environmental challenges in its defluorination because conventional thermal methods release toxic volatile fluorinated compounds (VFCs). Here, we report an electrochemical water-mediated strategy for efficient, VFC-free PVDF defluorination under ambient conditions. The method achieves a high fluorine-to-fluoride conversion (93%) and is validated with an industrially relevant capacity of 8.5 kg·m</w:t>
      </w:r>
      <w:r>
        <w:t xml:space="preserve"> </w:t>
      </w:r>
      <w:r>
        <w:t>−3</w:t>
      </w:r>
      <w:r>
        <w:t xml:space="preserve"> </w:t>
      </w:r>
      <w:r>
        <w:t>·day</w:t>
      </w:r>
      <w:r>
        <w:t xml:space="preserve"> </w:t>
      </w:r>
      <w:r>
        <w:t>−1</w:t>
      </w:r>
      <w:r>
        <w:t xml:space="preserve"> </w:t>
      </w:r>
      <w:r>
        <w:t>on real wasted battery electrodes containing PVDF as the binder. The high efficiency originates from the spatial confinement of electrochemically generated hydroxide ions near the cathode surface. Mechanistically, isotopic labeling and kinetic Monte Carlo simulations reveal water’s unprecedented dual role as both a reactant and a catalyst, driving an ionic pathway that fundamentally suppresses VFCs. This offers a scalable, sustainable, and nontoxic alternative for the critical challenge of C─F breaking and PFAS defluorination.</w:t>
      </w:r>
    </w:p>
    <w:p>
      <w:pPr>
        <w:spacing w:before="120" w:after="120"/>
      </w:pPr>
      <w:r>
        <w:rPr>
          <w:sz w:val="18"/>
        </w:rPr>
        <w:t>——————————————————————————————————————————————————————————————————————</w:t>
      </w:r>
    </w:p>
    <w:p>
      <w:pPr>
        <w:spacing w:before="160" w:after="40" w:line="240" w:lineRule="auto"/>
      </w:pPr>
      <w:r>
        <w:rPr>
          <w:b/>
        </w:rPr>
        <w:t xml:space="preserve">[3] </w:t>
      </w:r>
      <w:hyperlink r:id="rId173">
        <w:r>
          <w:rPr>
            <w:color w:val="1155CC"/>
            <w:u w:val="single"/>
          </w:rPr>
          <w:t>面向梯次利用的随机退役锂离子电池基于脉冲的荷电状态与健康状态估计</w:t>
        </w:r>
      </w:hyperlink>
    </w:p>
    <w:p>
      <w:pPr>
        <w:spacing w:before="0" w:after="80"/>
      </w:pPr>
      <w:r>
        <w:rPr>
          <w:i/>
          <w:sz w:val="20"/>
        </w:rPr>
        <w:t>EN: Pulse-based state-of-charge and state-of-health estimation of randomly retired lithium-ion batteries for second-life applications</w:t>
      </w:r>
    </w:p>
    <w:p>
      <w:pPr>
        <w:spacing w:before="0" w:after="120"/>
      </w:pPr>
      <w:r>
        <w:rPr>
          <w:b/>
        </w:rPr>
        <w:t xml:space="preserve">Source: </w:t>
      </w:r>
      <w:r>
        <w:t>ScienceDirect Publication: Applied Energy</w:t>
      </w:r>
      <w:r>
        <w:t xml:space="preserve">    </w:t>
      </w:r>
      <w:r>
        <w:rPr>
          <w:b/>
        </w:rPr>
        <w:t xml:space="preserve">Pub date: </w:t>
      </w:r>
      <w:r>
        <w:t>2026-08-29 00:00:00+00:00</w:t>
      </w:r>
      <w:r>
        <w:t xml:space="preserve">    </w:t>
      </w:r>
      <w:r>
        <w:rPr>
          <w:b/>
        </w:rPr>
        <w:t xml:space="preserve">DOI: </w:t>
      </w:r>
      <w:hyperlink r:id="rId174">
        <w:r>
          <w:rPr>
            <w:color w:val="1155CC"/>
            <w:u w:val="single"/>
          </w:rPr>
          <w:t>10.1016/j.apenergy.2026.128702</w:t>
        </w:r>
      </w:hyperlink>
    </w:p>
    <w:p>
      <w:pPr>
        <w:spacing w:before="0" w:after="120"/>
      </w:pPr>
      <w:r>
        <w:rPr>
          <w:b/>
        </w:rPr>
        <w:t xml:space="preserve">Notes: </w:t>
      </w:r>
      <w:r>
        <w:t>abstract_source=openalex</w:t>
      </w:r>
    </w:p>
    <w:p>
      <w:pPr>
        <w:spacing w:before="0" w:after="80" w:lineRule="auto" w:line="276"/>
      </w:pPr>
      <w:r>
        <w:rPr>
          <w:b/>
        </w:rPr>
        <w:t xml:space="preserve">摘要（ZH）: </w:t>
      </w:r>
      <w:r>
        <w:t>退役锂离子电池是二次寿命储能的重要资源，但其实际再利用需要在未知使用历史条件下进行快速高效的状态评估。为解决这一问题，我们开发了一种基于脉冲的框架，用于对随机退役的锂离子电池单体进行健康状态（SOH）和荷电状态（SOC）的联合估计。从短双极性脉冲测试中提取一组电压响应特征，并将其用作诊断描述符。基于这些特征，采用两种机器学习模型——极端随机树（ExtraTrees）和表格先验数据拟合网络（TabPFN）——进行电池状态估计，并使用涵盖三种化学体系和四个容量类别的270个退役单体的数据进行评估。结果表明，TabPFN明显优于ExtraTrees，在所有单体组中，SOH估计的平均绝对误差范围为0.0076至0.0306，SOC估计的平均绝对误差低于0.01。为减轻测试负担，我们移除了部分依赖SOC的脉冲测试，并使用插值方法重构缺失的特征点。缩减测试后的结果表明，根据目标状态和精度要求的不同，即使移除40%–70%的依赖SOC的脉冲测试，仍可保持接近基线的估计精度。这些结果为二次寿命电池应用提供了一条通往更快、更低成本和可扩展状态评估的实用途径。</w:t>
      </w:r>
    </w:p>
    <w:p>
      <w:pPr>
        <w:spacing w:before="0" w:after="200" w:lineRule="auto" w:line="276"/>
      </w:pPr>
      <w:r>
        <w:rPr>
          <w:b/>
        </w:rPr>
        <w:t xml:space="preserve">Abstract (EN): </w:t>
      </w:r>
      <w:r>
        <w:t>Retired lithium-ion batteries are an important resource for second-life energy storage, but their practical reuse requires rapid and efficient state assessment under unknown usage histories. To address this problem, we develop a pulse-based framework for joint state-of-health (SOH) and state-of-charge (SOC) estimation of randomly retired lithium-ion battery cells. A set of voltage-response features is extracted from short bipolar pulse tests and used as diagnostic descriptors. Based on these features, two machine learning models, extremely randomized trees (ExtraTrees) and a tabular prior-data fitted network (TabPFN), are employed for battery state estimation and evaluated using data from 270 retired cells that cover three chemistry types and four capacity classes. The results show that TabPFN clearly outperforms ExtraTrees and achieves mean absolute errors ranging from 0.0076 to 0.0306 for SOH estimation and below 0.01 for SOC estimation across all cell groups. To reduce the testing burden, a subset of SOC-dependent pulse tests is removed, and the missing feature points are reconstructed using interpolation methods. The reduced-test results show that near-baseline estimation accuracy can be retained even after removing 40%–70% of SOC-dependent pulse tests, depending on the target state and accuracy requirements. These results demonstrate a practical route toward faster, lower-cost, and scalable state assessment for second-life battery applications.</w:t>
      </w:r>
    </w:p>
    <w:p>
      <w:pPr>
        <w:spacing w:before="120" w:after="120"/>
      </w:pPr>
      <w:r>
        <w:rPr>
          <w:sz w:val="18"/>
        </w:rPr>
        <w:t>——————————————————————————————————————————————————————————————————————</w:t>
      </w:r>
    </w:p>
    <w:p>
      <w:pPr>
        <w:spacing w:before="160" w:after="40" w:line="240" w:lineRule="auto"/>
      </w:pPr>
      <w:r>
        <w:rPr>
          <w:b/>
        </w:rPr>
        <w:t xml:space="preserve">[4] </w:t>
      </w:r>
      <w:hyperlink r:id="rId175">
        <w:r>
          <w:rPr>
            <w:color w:val="1155CC"/>
            <w:u w:val="single"/>
          </w:rPr>
          <w:t>基于多尺度物理信息神经网络的真实车用电池系统温度建模与预测</w:t>
        </w:r>
      </w:hyperlink>
    </w:p>
    <w:p>
      <w:pPr>
        <w:spacing w:before="0" w:after="80"/>
      </w:pPr>
      <w:r>
        <w:rPr>
          <w:i/>
          <w:sz w:val="20"/>
        </w:rPr>
        <w:t>EN: Multi-scale physics-informed neural network-based temperature modeling and prediction for real vehicle battery systems</w:t>
      </w:r>
    </w:p>
    <w:p>
      <w:pPr>
        <w:spacing w:before="0" w:after="120"/>
      </w:pPr>
      <w:r>
        <w:rPr>
          <w:b/>
        </w:rPr>
        <w:t xml:space="preserve">Source: </w:t>
      </w:r>
      <w:r>
        <w:t>ScienceDirect Publication: Applied Energy</w:t>
      </w:r>
      <w:r>
        <w:t xml:space="preserve">    </w:t>
      </w:r>
      <w:r>
        <w:rPr>
          <w:b/>
        </w:rPr>
        <w:t xml:space="preserve">Pub date: </w:t>
      </w:r>
      <w:r>
        <w:t>2026-08-29 00:00:00+00:00</w:t>
      </w:r>
      <w:r>
        <w:t xml:space="preserve">    </w:t>
      </w:r>
      <w:r>
        <w:rPr>
          <w:b/>
        </w:rPr>
        <w:t xml:space="preserve">DOI: </w:t>
      </w:r>
      <w:hyperlink r:id="rId176">
        <w:r>
          <w:rPr>
            <w:color w:val="1155CC"/>
            <w:u w:val="single"/>
          </w:rPr>
          <w:t>10.1016/j.apenergy.2026.128749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77">
        <w:r>
          <w:rPr>
            <w:color w:val="1155CC"/>
            <w:u w:val="single"/>
          </w:rPr>
          <w:t>纤维素材料在锌电池体系中集成离子传输、界面化学与结构稳定性</w:t>
        </w:r>
      </w:hyperlink>
    </w:p>
    <w:p>
      <w:pPr>
        <w:spacing w:before="0" w:after="80"/>
      </w:pPr>
      <w:r>
        <w:rPr>
          <w:i/>
          <w:sz w:val="20"/>
        </w:rPr>
        <w:t>EN: Cellulose Materials Integrate Ion Transport, Interfacial Chemistry, and Structural Stability in Zinc Battery Systems</w:t>
      </w:r>
    </w:p>
    <w:p>
      <w:pPr>
        <w:spacing w:before="0" w:after="120"/>
      </w:pPr>
      <w:r>
        <w:rPr>
          <w:b/>
        </w:rPr>
        <w:t xml:space="preserve">Source: </w:t>
      </w:r>
      <w:r>
        <w:t>Wiley: Advanced Energy Materials: Table of Contents</w:t>
      </w:r>
      <w:r>
        <w:t xml:space="preserve">    </w:t>
      </w:r>
      <w:r>
        <w:rPr>
          <w:b/>
        </w:rPr>
        <w:t xml:space="preserve">Pub date: </w:t>
      </w:r>
      <w:r>
        <w:t>2026-08-30 10:14:01+00:00</w:t>
      </w:r>
      <w:r>
        <w:t xml:space="preserve">    </w:t>
      </w:r>
      <w:r>
        <w:rPr>
          <w:b/>
        </w:rPr>
        <w:t xml:space="preserve">DOI: </w:t>
      </w:r>
      <w:hyperlink r:id="rId178">
        <w:r>
          <w:rPr>
            <w:color w:val="1155CC"/>
            <w:u w:val="single"/>
          </w:rPr>
          <w:t>10.1002/aenm.71473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充电锌电池为实现安全、低成本和可持续的储能提供了一条有前途的途径，但其实际应用受到不均匀离子传输、寄生界面反应和渐进式结构退化的阻碍。纤维素因其含氧官能团、分级纤维结构和可加工网络而备受青睐，可针对锌负极、电解质、隔膜、正极和柔性器件进行定制。本综述讨论了纤维素基材料在温和水系锌离子电池和碱性锌-空气电池中的最新进展，重点关注化学改性、纳米尺度组织、孔结构和湿态力学如何影响离子传导、电极/电解质接触和结构保持。特别关注支持所提出机制的证据以及两种体系截然不同的反应环境，包括温和电解质中的 Zn²⁺ 传输与沉积/剥离，以及碱性电池中的 OH⁻ 传输、锌酸盐再分配、ZnO 演变和空气电极过程。本综述还考察了性能权衡、多组分体系中的组分贡献，以及不同测试条件下比较的局限性。通过将纤维素化学和结构与特定化学体系的电池需求相结合，为材料选择、机制验证和面向器件的设计提供了实用指导</w:t>
      </w:r>
    </w:p>
    <w:p>
      <w:pPr>
        <w:spacing w:before="0" w:after="200" w:lineRule="auto" w:line="276"/>
      </w:pPr>
      <w:r>
        <w:rPr>
          <w:b/>
        </w:rPr>
        <w:t xml:space="preserve">Abstract (EN): </w:t>
      </w:r>
      <w:r>
        <w:t>Rechargeable zinc batteries offer a promising route toward safe, low‐cost, and sustainable energy storage, but their practical application is hindered by nonuniform ion transport, parasitic interfacial reactions, and progressive structural degradation. Cellulose is attractive because its oxygen‐containing functional groups, hierarchical fibrous structure, and processable networks can be tailored for zinc anodes, electrolytes, separators, cathodes, and flexible devices. This Review discusses recent advances in cellulose‐based materials for mild aqueous zinc‐ion batteries and alkaline zinc‐air batteries, focusing on how chemical modification, nanoscale organization, pore structure, and wet‐state mechanics affect ion conduction, electrode/electrolyte contact, and structural retention. Particular attention is given to the evidence supporting proposed mechanisms and to the distinct reaction environments of the two systems, including Zn</w:t>
      </w:r>
      <w:r>
        <w:t xml:space="preserve"> </w:t>
      </w:r>
      <w:r>
        <w:t>2+</w:t>
      </w:r>
      <w:r>
        <w:t xml:space="preserve"> </w:t>
      </w:r>
      <w:r>
        <w:t>transport and plating/stripping in mild electrolytes, and OH</w:t>
      </w:r>
      <w:r>
        <w:t xml:space="preserve"> </w:t>
      </w:r>
      <w:r>
        <w:t>−</w:t>
      </w:r>
      <w:r>
        <w:t>transport, zincate redistribution, ZnO evolution, and air‐electrode processes in alkaline cells. The Review also examines performance trade‐offs, component contributions in multicomponent systems, and the limits of comparisons across different testing conditions. By linking cellulose chemistry and architecture with chemistry‐specific battery requirements, it provides practical guidance for material selection, mechanism verification, and device‐oriented design, while identifying chemical durability, dimensional stability, feedstock consistency, standardized evaluation, and scalable manufacturing as priorities for future development.</w:t>
      </w:r>
    </w:p>
    <w:p>
      <w:pPr>
        <w:spacing w:before="120" w:after="120"/>
      </w:pPr>
      <w:r>
        <w:rPr>
          <w:sz w:val="18"/>
        </w:rPr>
        <w:t>——————————————————————————————————————————————————————————————————————</w:t>
      </w:r>
    </w:p>
    <w:p>
      <w:pPr>
        <w:spacing w:before="160" w:after="40" w:line="240" w:lineRule="auto"/>
      </w:pPr>
      <w:r>
        <w:rPr>
          <w:b/>
        </w:rPr>
        <w:t xml:space="preserve">[6] </w:t>
      </w:r>
      <w:hyperlink r:id="rId179">
        <w:r>
          <w:rPr>
            <w:color w:val="1155CC"/>
            <w:u w:val="single"/>
          </w:rPr>
          <w:t>氯碱电解生产电池级氢氧化锂：迈向低碳锂精炼的路径</w:t>
        </w:r>
      </w:hyperlink>
    </w:p>
    <w:p>
      <w:pPr>
        <w:spacing w:before="0" w:after="80"/>
      </w:pPr>
      <w:r>
        <w:rPr>
          <w:i/>
          <w:sz w:val="20"/>
        </w:rPr>
        <w:t>EN: Chlor-alkali electrolysis for battery grade lithium hydroxide production as a pathway towards low-carbon lithium refining</w:t>
      </w:r>
    </w:p>
    <w:p>
      <w:pPr>
        <w:spacing w:before="0" w:after="120"/>
      </w:pPr>
      <w:r>
        <w:rPr>
          <w:b/>
        </w:rPr>
        <w:t xml:space="preserve">Source: </w:t>
      </w:r>
      <w:r>
        <w:t>ScienceDirect Publication: Applied Energy</w:t>
      </w:r>
      <w:r>
        <w:t xml:space="preserve">    </w:t>
      </w:r>
      <w:r>
        <w:rPr>
          <w:b/>
        </w:rPr>
        <w:t xml:space="preserve">Pub date: </w:t>
      </w:r>
      <w:r>
        <w:t>2026-08-31 00:00:00+00:00</w:t>
      </w:r>
      <w:r>
        <w:t xml:space="preserve">    </w:t>
      </w:r>
      <w:r>
        <w:rPr>
          <w:b/>
        </w:rPr>
        <w:t xml:space="preserve">DOI: </w:t>
      </w:r>
      <w:hyperlink r:id="rId180">
        <w:r>
          <w:rPr>
            <w:color w:val="1155CC"/>
            <w:u w:val="single"/>
          </w:rPr>
          <w:t>10.1016/j.apenergy.2026.128755</w:t>
        </w:r>
      </w:hyperlink>
    </w:p>
    <w:p>
      <w:pPr>
        <w:spacing w:before="0" w:after="120"/>
      </w:pPr>
      <w:r>
        <w:rPr>
          <w:b/>
        </w:rPr>
        <w:t xml:space="preserve">Notes: </w:t>
      </w:r>
      <w:r>
        <w:t>abstract_source=openalex</w:t>
      </w:r>
    </w:p>
    <w:p>
      <w:pPr>
        <w:spacing w:before="0" w:after="80" w:lineRule="auto" w:line="276"/>
      </w:pPr>
      <w:r>
        <w:rPr>
          <w:b/>
        </w:rPr>
        <w:t xml:space="preserve">摘要（ZH）: </w:t>
      </w:r>
      <w:r>
        <w:t>氢氧化锂（LiOH）是富镍锂离子电池正极的关键前驱体，预计未来十年其需求将快速增长。传统LiOH生产依赖多步化学精炼，能耗高、试剂消耗大，并产生大量副产物物流。在本工作中，我们评估了基于LiCl的氯碱电解作为一种过程强化生产LiOH的路线，并从能源使用、CO2足迹和化学废物产生方面，将其与化学路线以及其他电化学路线（包括双极膜电渗析和电-电渗析）进行比较。我们的分析表明，当LiCl具有足够纯度且氯气和氢气产品能够被资源化利用或内部循环时，用于LiOH生产的锂氯碱电解最具优势。此外，LiCl电解还面临锂特有的离子传输限制，包括双层阳离子交换膜溶胀、氢氧化物渗透、电渗水拖拽以及LiOH溶解度极限，这些限制了更高电流密度和更高法拉第效率的实现。我们讨论了改善这些性能指标的策略，并比较了以锂辉石、卤水和电池浸出液为锂源的电化学LiOH生产。此外，我们表明闪速焦耳加热技术可与氯碱电解耦合，构建从锂辉石到LiOH的闭环工艺，并讨论了为什么电化学路线的总体气候效益在很大程度上取决于电网的碳强度。总体而言，我们认</w:t>
      </w:r>
    </w:p>
    <w:p>
      <w:pPr>
        <w:spacing w:before="0" w:after="200" w:lineRule="auto" w:line="276"/>
      </w:pPr>
      <w:r>
        <w:rPr>
          <w:b/>
        </w:rPr>
        <w:t xml:space="preserve">Abstract (EN): </w:t>
      </w:r>
      <w:r>
        <w:t>Lithium hydroxide (LiOH) is a critical precursor for nickel rich lithium-ion battery cathodes, with demand projected to grow rapidly over the next decade. Conventional LiOH production relies on multi-step chemical refining, which is energy intensive, reagent intensive and generates substantial byproduct streams. In this work, we evaluate LiCl based chlor-alkali electrolysis as a process intensified route for LiOH production and compare it with chemical routes and other electrochemical routes including bipolar membrane electrodialysis and electro-electrodialysis across energy use, CO 2 footprint and chemical waste generation. Our analysis shows that lithium chlor-alkali electrolysis for LiOH production is most compelling when LiCl is available at sufficient purity and when chlorine and hydrogen products can be valorized or internally recycled. Additionally, LiCl electrolysis also face Li specific ion transport limitations including bi-layer cation exchange membrane swelling, hydroxide crossover, electro-osmotic water drag and LiOH solubility limit, which constrain reaching higher current densities and higher faradaic efficiencies. We discuss strategies to improve these performance metrics and compare electrochemical LiOH production from spodumene, brine and battery leachate as Li sources. Further, we show that Flash Joule Heating technology could be coupled with chlor-alkali electrolysis to create a closed loop spodumene to LiOH process and discuss why the overall climate benefit of electrochemical routes strongly depend on electricity-grid carbon intensity. Overall, we posit that lithium chlor-alkali electrolysis represents a promising pathway for LiOH production, but its practical implementation will depend on advances in membrane design, process integration and electricity grid decarbonization.</w:t>
      </w:r>
    </w:p>
    <w:p>
      <w:pPr>
        <w:spacing w:before="120" w:after="120"/>
      </w:pPr>
      <w:r>
        <w:rPr>
          <w:sz w:val="18"/>
        </w:rPr>
        <w:t>——————————————————————————————————————————————————————————————————————</w:t>
      </w:r>
    </w:p>
    <w:p>
      <w:pPr>
        <w:spacing w:before="160" w:after="40" w:line="240" w:lineRule="auto"/>
      </w:pPr>
      <w:r>
        <w:rPr>
          <w:b/>
        </w:rPr>
        <w:t xml:space="preserve">[7] </w:t>
      </w:r>
      <w:hyperlink r:id="rId181">
        <w:r>
          <w:rPr>
            <w:color w:val="1155CC"/>
            <w:u w:val="single"/>
          </w:rPr>
          <w:t>基于电化学-热耦合模型的圆柱形与软包锂离子电池温度不均匀性对比分析</w:t>
        </w:r>
      </w:hyperlink>
    </w:p>
    <w:p>
      <w:pPr>
        <w:spacing w:before="0" w:after="80"/>
      </w:pPr>
      <w:r>
        <w:rPr>
          <w:i/>
          <w:sz w:val="20"/>
        </w:rPr>
        <w:t>EN: Comparative analysis of the temperature non-uniformity in cylindrical and pouch lithium-ion battery cells using an electrochemical-thermal coupled model</w:t>
      </w:r>
    </w:p>
    <w:p>
      <w:pPr>
        <w:spacing w:before="0" w:after="120"/>
      </w:pPr>
      <w:r>
        <w:rPr>
          <w:b/>
        </w:rPr>
        <w:t xml:space="preserve">Source: </w:t>
      </w:r>
      <w:r>
        <w:t>ScienceDirect Publication: Applied Energy</w:t>
      </w:r>
      <w:r>
        <w:t xml:space="preserve">    </w:t>
      </w:r>
      <w:r>
        <w:rPr>
          <w:b/>
        </w:rPr>
        <w:t xml:space="preserve">Pub date: </w:t>
      </w:r>
      <w:r>
        <w:t>2026-08-31 00:00:00+00:00</w:t>
      </w:r>
      <w:r>
        <w:t xml:space="preserve">    </w:t>
      </w:r>
      <w:r>
        <w:rPr>
          <w:b/>
        </w:rPr>
        <w:t xml:space="preserve">DOI: </w:t>
      </w:r>
      <w:hyperlink r:id="rId182">
        <w:r>
          <w:rPr>
            <w:color w:val="1155CC"/>
            <w:u w:val="single"/>
          </w:rPr>
          <w:t>10.1016/j.apenergy.2026.128717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83">
        <w:r>
          <w:rPr>
            <w:color w:val="1155CC"/>
            <w:u w:val="single"/>
          </w:rPr>
          <w:t>不确定性感知的电池荷电状态估计：一种多模态信号融合框架</w:t>
        </w:r>
      </w:hyperlink>
    </w:p>
    <w:p>
      <w:pPr>
        <w:spacing w:before="0" w:after="80"/>
      </w:pPr>
      <w:r>
        <w:rPr>
          <w:i/>
          <w:sz w:val="20"/>
        </w:rPr>
        <w:t>EN: Uncertainty-Aware Battery State-of-Charge Estimation: A Multi-Modal Signal Fusion Framework</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84">
        <w:r>
          <w:rPr>
            <w:color w:val="1155CC"/>
            <w:u w:val="single"/>
          </w:rPr>
          <w:t>10.1109/tec.2026.3695638</w:t>
        </w:r>
      </w:hyperlink>
    </w:p>
    <w:p>
      <w:pPr>
        <w:spacing w:before="0" w:after="120"/>
      </w:pPr>
      <w:r>
        <w:rPr>
          <w:b/>
        </w:rPr>
        <w:t xml:space="preserve">Notes: </w:t>
      </w:r>
      <w:r>
        <w:t>abstract_source=semanticscholar</w:t>
      </w:r>
    </w:p>
    <w:p>
      <w:pPr>
        <w:spacing w:before="0" w:after="80" w:lineRule="auto" w:line="276"/>
      </w:pPr>
      <w:r>
        <w:rPr>
          <w:b/>
        </w:rPr>
        <w:t xml:space="preserve">摘要（ZH）: </w:t>
      </w:r>
      <w:r>
        <w:t>尽管数据驱动的电池建模已取得重大进展，但现有框架均无法同时保证实时电池管理系统所需的估计精度、良好校准的预测不确定性以及计算可行性。本文通过提出一种不确定性感知的多模态信号融合框架来弥补这一空白，该框架从电压、电流和温度测量中分层提取互补特征，并通过线性合成、多项式基扩展和核映射自适应地将其组合。该融合机制以形式化收敛保证为基础，权重以 &lt;inline-formula&gt;&lt;tex-math notation="LaTeX"&gt;$\mathcal {O}(\log k/k)$&lt;/tex-math&gt;&lt;/inline-formula&gt; 的速率收敛，在确保计算效率的同时提供了可证明的鲁棒性。在三个真实电动汽车数据集上的实验验证表明，SOC RMSE 为 0.07%，电压 RMSE 为 0.1 p.u.（&lt;inline-formula&gt;&lt;tex-math notation="LaTeX"&gt;$V_{\text{p.u.}}=V_{\text{measured}}/V_{\text{nom}}$&lt;/tex-math&gt;&lt;/inline-formula&gt;，相当于 0.36-0.42 V 的绝对误差），覆盖率偏差在名义 95% 预测区间的 0.2 个百分点以内，且所有计算均在毫秒级周期时间内完成。这些结果在估计精度、不确定性校准和实时 BMS 部署的联合优化方面确立了新的最先进水平。</w:t>
      </w:r>
    </w:p>
    <w:p>
      <w:pPr>
        <w:spacing w:before="0" w:after="200" w:lineRule="auto" w:line="276"/>
      </w:pPr>
      <w:r>
        <w:rPr>
          <w:b/>
        </w:rPr>
        <w:t xml:space="preserve">Abstract (EN): </w:t>
      </w:r>
      <w:r>
        <w:t>Despite significant advances in data-driven battery modeling, no existing framework simultaneously guarantees estimation accuracy, well-calibrated predictive uncertainty, and computational tractability for real-time battery management systems. This letter addresses this gap by proposing an uncertainty-aware multi-modal signal fusion framework that hierarchically extracts complementary features from voltage, current, and temperature measurements and adaptively combines them through linear synthesis, polynomial basis expansion, and kernel mapping. The fusion mechanism is underpinned by formal convergence guarantees, with weights converging at &lt;inline-formula&gt;&lt;tex-math notation="LaTeX"&gt;$\mathcal {O}(\log k/k)$&lt;/tex-math&gt;&lt;/inline-formula&gt;, ensuring provable robustness alongside computational efficiency. Experimental validation across three real-world electric vehicle datasets yields SOC RMSE of 0.07% and voltage RMSE of 0.1 p.u. (&lt;inline-formula&gt;&lt;tex-math notation="LaTeX"&gt;$V_{\text{p.u.}}=V_{\text{measured}}/V_{\text{nom}}$&lt;/tex-math&gt;&lt;/inline-formula&gt;, corresponding to 0.36-0.42 V absolute error), and coverage deviation within 0.2 percentage points of the nominal 95% prediction interval, all within millisecond-scale cycle times. These results establish a new state-of-the-art in the joint optimisation of estimation accuracy, uncertainty calibration, and real-time BMS deployment.</w:t>
      </w:r>
    </w:p>
    <w:p>
      <w:pPr>
        <w:spacing w:before="120" w:after="120"/>
      </w:pPr>
      <w:r>
        <w:rPr>
          <w:sz w:val="18"/>
        </w:rPr>
        <w:t>——————————————————————————————————————————————————————————————————————</w:t>
      </w:r>
    </w:p>
    <w:p>
      <w:pPr>
        <w:spacing w:before="160" w:after="40" w:line="240" w:lineRule="auto"/>
      </w:pPr>
      <w:r>
        <w:rPr>
          <w:b/>
        </w:rPr>
        <w:t xml:space="preserve">[9] </w:t>
      </w:r>
      <w:hyperlink r:id="rId185">
        <w:r>
          <w:rPr>
            <w:color w:val="1155CC"/>
            <w:u w:val="single"/>
          </w:rPr>
          <w:t>面向多功能性与高性能的电池结构工程</w:t>
        </w:r>
      </w:hyperlink>
    </w:p>
    <w:p>
      <w:pPr>
        <w:spacing w:before="0" w:after="80"/>
      </w:pPr>
      <w:r>
        <w:rPr>
          <w:i/>
          <w:sz w:val="20"/>
        </w:rPr>
        <w:t>EN: Engineering battery architectures for multifunctionality and high performance</w:t>
      </w:r>
    </w:p>
    <w:p>
      <w:pPr>
        <w:spacing w:before="0" w:after="120"/>
      </w:pPr>
      <w:r>
        <w:rPr>
          <w:b/>
        </w:rPr>
        <w:t xml:space="preserve">Source: </w:t>
      </w:r>
      <w:r>
        <w:t>Joule</w:t>
      </w:r>
      <w:r>
        <w:t xml:space="preserve">    </w:t>
      </w:r>
      <w:r>
        <w:rPr>
          <w:b/>
        </w:rPr>
        <w:t xml:space="preserve">Pub date: </w:t>
      </w:r>
      <w:r>
        <w:t>2026-09-01 00:00:00+00:00</w:t>
      </w:r>
      <w:r>
        <w:t xml:space="preserve">    </w:t>
      </w:r>
      <w:r>
        <w:rPr>
          <w:b/>
        </w:rPr>
        <w:t xml:space="preserve">DOI: </w:t>
      </w:r>
      <w:hyperlink r:id="rId186">
        <w:r>
          <w:rPr>
            <w:color w:val="1155CC"/>
            <w:u w:val="single"/>
          </w:rPr>
          <w:t>10.1016/j.joule.2026.102642</w:t>
        </w:r>
      </w:hyperlink>
    </w:p>
    <w:p>
      <w:pPr>
        <w:spacing w:before="0" w:after="120"/>
      </w:pPr>
      <w:r>
        <w:rPr>
          <w:b/>
        </w:rPr>
        <w:t xml:space="preserve">Notes: </w:t>
      </w:r>
      <w:r>
        <w:t>abstract_source=jina_reader</w:t>
      </w:r>
    </w:p>
    <w:p>
      <w:pPr>
        <w:spacing w:before="0" w:after="80" w:lineRule="auto" w:line="276"/>
      </w:pPr>
      <w:r>
        <w:rPr>
          <w:b/>
        </w:rPr>
        <w:t xml:space="preserve">摘要（ZH）: </w:t>
      </w:r>
      <w:r>
        <w:t>下一代电池需要架构创新，以克服传统锂离子电池（LIB）中仅靠电化学的设计局限。本综述总结了LIB和新兴电池系统的架构设计策略，将其分类为基于一维（1D）纤维、二维（2D）平面和三维（3D）架构。1D设计如同轴纤维、加捻组件和缠绕构型，为可穿戴和微型电池提供了柔性和机械韧性。2D架构包括叉指式、基于支柱和网状框架，同时还综述了可变形（蛇形和折纸/剪纸）以及仿生（如手风琴式）几何结构，这些设计在保持电化学性能的同时增强了可拉伸性和柔性。3D结构电池专注于体积设计和能量密集化，本文考察了其将机械韧性与电化学功能相结合的潜力。对每种架构类别都评估了其设计原理、性能权衡和制造可行性。通过将架构设计与增材制造的进展相关联，本综述概述了解决电-化学-机械耦合挑战的路径，并指导下一代架构化电池的开发。</w:t>
      </w:r>
    </w:p>
    <w:p>
      <w:pPr>
        <w:spacing w:before="0" w:after="200" w:lineRule="auto" w:line="276"/>
      </w:pPr>
      <w:r>
        <w:rPr>
          <w:b/>
        </w:rPr>
        <w:t xml:space="preserve">Abstract (EN): </w:t>
      </w:r>
      <w:r>
        <w:t>Next-generation batteries demand architectural innovations that overcome the design limits of electrochemistry alone in conventional lithium-ion batteries (LIBs). This review summarizes architectural design strategies for LIBs and emerging battery systems, classifying them into 1D fiber-based, 2D planar, and 3D architectures. 1D designs, such as coaxial fibers, twisted assemblies, and winding configurations, offer flexibility and mechanical resilience for wearable and microscale batteries. 2D architectures, including interdigitated, pillar-based, and mesh frameworks, are reviewed alongside deformable (serpentine and origami/kirigami) and nature-inspired (e.g., accordion-like) geometries that enhance stretchability and flexibility while preserving electrochemical performance. 3D structural batteries, focused on volumetric design and energy densification, are examined for their potential to combine mechanical resilience with electrochemical functionality. Each architectural class is assessed for its design principles, performance trade-offs, and fabrication feasibility. By correlating architectural designs with advancements in additive manufacturing, this review outlines pathways to address electro-chemo-mechanical coupling challenges and guide the development of next-generation architected batteries.</w:t>
      </w:r>
    </w:p>
    <w:p>
      <w:pPr>
        <w:spacing w:before="120" w:after="120"/>
      </w:pPr>
      <w:r>
        <w:rPr>
          <w:sz w:val="18"/>
        </w:rPr>
        <w:t>——————————————————————————————————————————————————————————————————————</w:t>
      </w:r>
    </w:p>
    <w:p>
      <w:pPr>
        <w:spacing w:before="160" w:after="40" w:line="240" w:lineRule="auto"/>
      </w:pPr>
      <w:r>
        <w:rPr>
          <w:b/>
        </w:rPr>
        <w:t xml:space="preserve">[10] </w:t>
      </w:r>
      <w:hyperlink r:id="rId187">
        <w:r>
          <w:rPr>
            <w:color w:val="1155CC"/>
            <w:u w:val="single"/>
          </w:rPr>
          <w:t>用于绿色低成本废旧锂离子电池材料回收的氧化还原介导电化学方法</w:t>
        </w:r>
      </w:hyperlink>
    </w:p>
    <w:p>
      <w:pPr>
        <w:spacing w:before="0" w:after="80"/>
      </w:pPr>
      <w:r>
        <w:rPr>
          <w:i/>
          <w:sz w:val="20"/>
        </w:rPr>
        <w:t>EN: Redox‐Mediated Electrified Method for Green and Low‐Cost Spent Lithium‐Ion Battery Materials Recycling</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188">
        <w:r>
          <w:rPr>
            <w:color w:val="1155CC"/>
            <w:u w:val="single"/>
          </w:rPr>
          <w:t>10.1002/aenm.71530</w:t>
        </w:r>
      </w:hyperlink>
    </w:p>
    <w:p>
      <w:pPr>
        <w:spacing w:before="0" w:after="120"/>
      </w:pPr>
      <w:r>
        <w:rPr>
          <w:b/>
        </w:rPr>
        <w:t xml:space="preserve">Notes: </w:t>
      </w:r>
      <w:r>
        <w:t>abstract_source=crossref</w:t>
      </w:r>
    </w:p>
    <w:p>
      <w:pPr>
        <w:spacing w:before="0" w:after="80" w:lineRule="auto" w:line="276"/>
      </w:pPr>
      <w:r>
        <w:rPr>
          <w:b/>
        </w:rPr>
        <w:t xml:space="preserve">摘要（ZH）: </w:t>
      </w:r>
      <w:r>
        <w:t>摘要 经过30年的商业化与大规模生产，锂离子电池产生了大量废弃物，尤其是随着其在电动汽车中应用的不断扩大。因此，回收废旧电池并实现有用组分的资源化利用对可持续发展而言日益紧迫。然而，传统的火法冶金和湿法冶金方法受限于高能耗或大量化学品投入，这催生了对更绿色、更高效回收技术的需求。本文以LiCoO2为例，报道了一种基于氧化还原靶向反应的闭环电化学工艺，仅利用电力和水即可从废旧电池材料中回收有价物质。以蒽醌-2,7-二磺酸盐作为可再生氧化还原介质，对LiCoO2进行互补性还原浸出，并对LiFePO4进行氧化浸出，从而逐步分解LiCoO2，并以Co(OH)2和LiOH的形式实现Co2+与Li+的高效分离。这种成本低廉且环境友好的方法还被拓展应用于LiNixMnyCozO2的回收，Li+和过渡金属物质的回收率很高。预计本文所展示的电化学回收方法将为电池废弃物的资源化利用提供一个可行方案，并有助于锂离子电池的可持续发展。</w:t>
      </w:r>
    </w:p>
    <w:p>
      <w:pPr>
        <w:spacing w:before="0" w:after="200" w:lineRule="auto" w:line="276"/>
      </w:pPr>
      <w:r>
        <w:rPr>
          <w:b/>
        </w:rPr>
        <w:t xml:space="preserve">Abstract (EN): </w:t>
      </w:r>
      <w:r>
        <w:t>After 30 years of commercialization and mass production, lithium‐ion batteries have generated massive waste streams, especially with their expanding use in electric vehicles. Recycling spent batteries and valorizing useful components are therefore increasingly urgent for sustainable development. However, conventional pyrometallurgical and hydrometallurgical methods are limited by high energy consumption or large chemical input, creating demand for greener and more efficient recycling technologies. Here, using LiCoO 2 as an example, we report a closed‐loop electrified chemical process based on redox‐targeting reactions to recover valuable species from spent battery materials using only electricity and water. Complementary reductive leaching of LiCoO 2 and oxidative leaching of LiFePO 4 were performed with anthraquinone‐2,7‐disulfonate as a regenerative redox mediator to sequentially break down LiCoO 2 and achieve efficient separation of Co 2+ and Li + in the form of Co(OH) 2 and LiOH. This cost‐effective and environmentally friendly method was also extended to the recycling of LiNi x Mn y Co z O 2 with a high recovery rate of Li + and transition metal species. It is anticipated that the electrified chemical recycling method demonstrated here would provide a credible solution to the valorization of battery waste and contribute to the sustainable development of lithium‐ion batteries.</w:t>
      </w:r>
    </w:p>
    <w:p>
      <w:pPr>
        <w:spacing w:before="120" w:after="120"/>
      </w:pPr>
      <w:r>
        <w:rPr>
          <w:sz w:val="18"/>
        </w:rPr>
        <w:t>——————————————————————————————————————————————————————————————————————</w:t>
      </w:r>
    </w:p>
    <w:p>
      <w:pPr>
        <w:spacing w:before="160" w:after="40" w:line="240" w:lineRule="auto"/>
      </w:pPr>
      <w:r>
        <w:rPr>
          <w:b/>
        </w:rPr>
        <w:t xml:space="preserve">[11] </w:t>
      </w:r>
      <w:hyperlink r:id="rId184">
        <w:r>
          <w:rPr>
            <w:color w:val="1155CC"/>
            <w:u w:val="single"/>
          </w:rPr>
          <w:t>不确定性感知的电池荷电状态估计：一种多模态信号融合框架</w:t>
        </w:r>
      </w:hyperlink>
    </w:p>
    <w:p>
      <w:pPr>
        <w:spacing w:before="0" w:after="80"/>
      </w:pPr>
      <w:r>
        <w:rPr>
          <w:i/>
          <w:sz w:val="20"/>
        </w:rPr>
        <w:t>EN: Uncertainty-Aware Battery State-of-Charge Estimation: A Multi-Modal Signal Fusion Framework</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84">
        <w:r>
          <w:rPr>
            <w:color w:val="1155CC"/>
            <w:u w:val="single"/>
          </w:rPr>
          <w:t>10.1109/tec.2026.3695638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88">
        <w:r>
          <w:rPr>
            <w:color w:val="1155CC"/>
            <w:u w:val="single"/>
          </w:rPr>
          <w:t>用于绿色低成本废旧锂离子电池材料回收的氧化还原介导电化学方法</w:t>
        </w:r>
      </w:hyperlink>
    </w:p>
    <w:p>
      <w:pPr>
        <w:spacing w:before="0" w:after="80"/>
      </w:pPr>
      <w:r>
        <w:rPr>
          <w:i/>
          <w:sz w:val="20"/>
        </w:rPr>
        <w:t>EN: Redox‐Mediated Electrified Method for Green and Low‐Cost Spent Lithium‐Ion Battery Materials Recycling</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188">
        <w:r>
          <w:rPr>
            <w:color w:val="1155CC"/>
            <w:u w:val="single"/>
          </w:rPr>
          <w:t>10.1002/aenm.71530</w:t>
        </w:r>
      </w:hyperlink>
    </w:p>
    <w:p>
      <w:pPr>
        <w:spacing w:before="0" w:after="120"/>
      </w:pPr>
      <w:r>
        <w:rPr>
          <w:b/>
        </w:rPr>
        <w:t xml:space="preserve">Notes: </w:t>
      </w:r>
      <w:r>
        <w:t>abstract_source=crossref</w:t>
      </w:r>
    </w:p>
    <w:p>
      <w:pPr>
        <w:spacing w:before="0" w:after="80" w:lineRule="auto" w:line="276"/>
      </w:pPr>
      <w:r>
        <w:rPr>
          <w:b/>
        </w:rPr>
        <w:t xml:space="preserve">摘要（ZH）: </w:t>
      </w:r>
      <w:r>
        <w:t>摘要 经过30年的商业化和大规模生产，锂离子电池产生了大量废弃物，尤其是在电动汽车中应用不断扩大之际。因此，回收废旧电池并实现有用组分的资源化利用对可持续发展日益紧迫。然而，传统的火法和湿法冶金方法受限于高能耗或大量化学品投入，亟需更绿色、更高效的回收技术。在此，以LiCoO2为例，我们报道了一种基于氧化还原靶向反应的闭环电气化化学工艺，仅使用电力和水即可从废旧电池材料中回收有价物质。以蒽醌-2,7-二磺酸盐为可再生氧化还原介体，对LiCoO2进行互补性还原浸出并对LiFePO4进行氧化浸出，逐步分解LiCoO2并以Co(OH)2和LiOH的形式实现Co2+和Li+的高效分离。这种成本低廉且环境友好的方法还被拓展到LiNixMnyCozO2的回收，实现了Li+和过渡金属物种的高回收率。预期本文演示的电气化化学回收方法将为电池废弃物的资源化利用提供可信方案，并促进锂离子电池的可持续发展。</w:t>
      </w:r>
    </w:p>
    <w:p>
      <w:pPr>
        <w:spacing w:before="0" w:after="200" w:lineRule="auto" w:line="276"/>
      </w:pPr>
      <w:r>
        <w:rPr>
          <w:b/>
        </w:rPr>
        <w:t xml:space="preserve">Abstract (EN): </w:t>
      </w:r>
      <w:r>
        <w:t>After 30 years of commercialization and mass production, lithium‐ion batteries have generated massive waste streams, especially with their expanding use in electric vehicles. Recycling spent batteries and valorizing useful components are therefore increasingly urgent for sustainable development. However, conventional pyrometallurgical and hydrometallurgical methods are limited by high energy consumption or large chemical input, creating demand for greener and more efficient recycling technologies. Here, using LiCoO 2 as an example, we report a closed‐loop electrified chemical process based on redox‐targeting reactions to recover valuable species from spent battery materials using only electricity and water. Complementary reductive leaching of LiCoO 2 and oxidative leaching of LiFePO 4 were performed with anthraquinone‐2,7‐disulfonate as a regenerative redox mediator to sequentially break down LiCoO 2 and achieve efficient separation of Co 2+ and Li + in the form of Co(OH) 2 and LiOH. This cost‐effective and environmentally friendly method was also extended to the recycling of LiNi x Mn y Co z O 2 with a high recovery rate of Li + and transition metal species. It is anticipated that the electrified chemical recycling method demonstrated here would provide a credible solution to the valorization of battery waste and contribute to the sustainable development of lithium‐ion batteries.</w:t>
      </w:r>
    </w:p>
    <w:p>
      <w:pPr>
        <w:spacing w:before="120" w:after="120"/>
      </w:pPr>
      <w:r>
        <w:rPr>
          <w:sz w:val="18"/>
        </w:rPr>
        <w:t>——————————————————————————————————————————————————————————————————————</w:t>
      </w:r>
    </w:p>
    <w:p>
      <w:pPr>
        <w:spacing w:before="160" w:after="40" w:line="240" w:lineRule="auto"/>
      </w:pPr>
      <w:r>
        <w:rPr>
          <w:b/>
        </w:rPr>
        <w:t xml:space="preserve">[13] </w:t>
      </w:r>
      <w:hyperlink r:id="rId189">
        <w:r>
          <w:rPr>
            <w:color w:val="1155CC"/>
            <w:u w:val="single"/>
          </w:rPr>
          <w:t>可充电多层全陶瓷微型锂离子电池</w:t>
        </w:r>
      </w:hyperlink>
    </w:p>
    <w:p>
      <w:pPr>
        <w:spacing w:before="0" w:after="80"/>
      </w:pPr>
      <w:r>
        <w:rPr>
          <w:i/>
          <w:sz w:val="20"/>
        </w:rPr>
        <w:t>EN: Rechargeable multilayer all-ceramic micro lithium-ion batteries</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89">
        <w:r>
          <w:rPr>
            <w:color w:val="1155CC"/>
            <w:u w:val="single"/>
          </w:rPr>
          <w:t>10.1016/j.matt.2026.102860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186">
        <w:r>
          <w:rPr>
            <w:color w:val="1155CC"/>
            <w:u w:val="single"/>
          </w:rPr>
          <w:t>面向多功能性与高性能的电池结构工程</w:t>
        </w:r>
      </w:hyperlink>
    </w:p>
    <w:p>
      <w:pPr>
        <w:spacing w:before="0" w:after="80"/>
      </w:pPr>
      <w:r>
        <w:rPr>
          <w:i/>
          <w:sz w:val="20"/>
        </w:rPr>
        <w:t>EN: Engineering battery architectures for multifunctionality and high performance</w:t>
      </w:r>
    </w:p>
    <w:p>
      <w:pPr>
        <w:spacing w:before="0" w:after="120"/>
      </w:pPr>
      <w:r>
        <w:rPr>
          <w:b/>
        </w:rPr>
        <w:t xml:space="preserve">Source: </w:t>
      </w:r>
      <w:r>
        <w:t>Joule</w:t>
      </w:r>
      <w:r>
        <w:t xml:space="preserve">    </w:t>
      </w:r>
      <w:r>
        <w:rPr>
          <w:b/>
        </w:rPr>
        <w:t xml:space="preserve">Pub date: </w:t>
      </w:r>
      <w:r>
        <w:t>2026-09-01 00:00:00+00:00</w:t>
      </w:r>
      <w:r>
        <w:t xml:space="preserve">    </w:t>
      </w:r>
      <w:r>
        <w:rPr>
          <w:b/>
        </w:rPr>
        <w:t xml:space="preserve">DOI: </w:t>
      </w:r>
      <w:hyperlink r:id="rId186">
        <w:r>
          <w:rPr>
            <w:color w:val="1155CC"/>
            <w:u w:val="single"/>
          </w:rPr>
          <w:t>10.1016/j.joule.2026.102642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190">
        <w:r>
          <w:rPr>
            <w:color w:val="1155CC"/>
            <w:u w:val="single"/>
          </w:rPr>
          <w:t>电/热耦合场促进声子离域以加速废旧 LiFePO4 的缺陷修复动力学</w:t>
        </w:r>
      </w:hyperlink>
    </w:p>
    <w:p>
      <w:pPr>
        <w:spacing w:before="0" w:after="80"/>
      </w:pPr>
      <w:r>
        <w:rPr>
          <w:i/>
          <w:sz w:val="20"/>
        </w:rPr>
        <w:t>EN: Electric/Thermal Coupling Field Promotes Phonon Delocalization to Accelerate Defect‐Repair Kinetics in Spent LiFePO 4</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91">
        <w:r>
          <w:rPr>
            <w:color w:val="1155CC"/>
            <w:u w:val="single"/>
          </w:rPr>
          <w:t>10.1002/anie.1597082</w:t>
        </w:r>
      </w:hyperlink>
    </w:p>
    <w:p>
      <w:pPr>
        <w:spacing w:before="0" w:after="120"/>
      </w:pPr>
      <w:r>
        <w:rPr>
          <w:b/>
        </w:rPr>
        <w:t xml:space="preserve">Notes: </w:t>
      </w:r>
      <w:r>
        <w:t>abstract_source=crossref</w:t>
      </w:r>
    </w:p>
    <w:p>
      <w:pPr>
        <w:spacing w:before="0" w:after="80" w:lineRule="auto" w:line="276"/>
      </w:pPr>
      <w:r>
        <w:rPr>
          <w:b/>
        </w:rPr>
        <w:t xml:space="preserve">摘要（ZH）: </w:t>
      </w:r>
      <w:r>
        <w:t>摘要 固相再生被广泛认为是规模化回收废旧 LiFePO4（S-LFP）正极最有前景的方法。然而，传统固相路线中缺陷修复动力学缓慢的机理尚不明确，限制了该技术的实际应用。本研究通过理论计算揭示，富含缺陷的 S-LFP 中的声子局域化是导致缺陷修复动力学缓慢的关键因素。局域化声子阻碍热扩散，减少了克服缺陷修复势垒所需的能量，同时加剧电声子耦合，抑制了 Fe(III) 还原所需的电子迁移。基于这一认识，我们采用电/热耦合场策略修复 S-LFP 正极。电场驱动的载流子通过电声子散射将能量传递给声子，促进能量在不同声子模式间的重新分布，共同增强声子离域化。结果表明，Li-Fe 反位缺陷（Fe Li）在 700°C 下 5 秒内得到修复，60 秒内实现完整的结构修复和锂化。实验结果表明，再生正极在 0.1C 下放电比容量为 151.2 mAh g −1，在 1C 下循环 1100 次后容量保持率为 84.3%。这一理论突破为开发先进的 S-LFP 修复技术奠定了坚实的理论基础。</w:t>
      </w:r>
    </w:p>
    <w:p>
      <w:pPr>
        <w:spacing w:before="0" w:after="200" w:lineRule="auto" w:line="276"/>
      </w:pPr>
      <w:r>
        <w:rPr>
          <w:b/>
        </w:rPr>
        <w:t xml:space="preserve">Abstract (EN): </w:t>
      </w:r>
      <w:r>
        <w:t>Solid‐phase regeneration is widely considered as the most promising scalable approach for recycling spent LiFePO 4 (S‐LFP) cathode. However, the sluggish defect‐repair kinetics in traditional solid‐phase routes remains mechanistically unclear, limiting the practical deployment of this technology. Here, theoretical calculations reveal that the phonon localization in defect‐rich S‐LFP is the essential factor responsible for the sluggish defect‐repair kinetics. Localized phonons retard thermal diffusion, hindering the energy available to overcome defect repair barriers, and concurrently intensify electron‐phonon coupling that suppresses the electron migration necessary for the reduction of Fe(III). Guided by this insight, we employ electric/thermal coupling field strategy to repair the S‐LFP cathode. Carriers driven by the electric field transfer energy to phonons through electron‐phonon scattering, which promotes energy redistribution across disparate phonon modes, collectively enhancing phonon delocalization. As a result, Li‐Fe antisites (Fe Li ) were repaired within 5 s at 700°C, and the complete structural repair and lithiation are achieved within 60 s. Experimental results indicate that the regenerated cathode delivers a discharge specific capacity of 151.2 mAh g −1 at 0.1C, and exhibits a capacity retention of 84.3% after 1100 cycles at 1 C. This theoretical breakthrough establishes a solid theoretical foundation for developing advanced S‐LFP restoration technologies.</w:t>
      </w:r>
    </w:p>
    <w:p>
      <w:pPr>
        <w:spacing w:before="120" w:after="120"/>
      </w:pPr>
      <w:r>
        <w:rPr>
          <w:sz w:val="18"/>
        </w:rPr>
        <w:t>——————————————————————————————————————————————————————————————————————</w:t>
      </w:r>
    </w:p>
    <w:p>
      <w:pPr>
        <w:spacing w:before="160" w:after="40" w:line="240" w:lineRule="auto"/>
      </w:pPr>
      <w:r>
        <w:rPr>
          <w:b/>
        </w:rPr>
        <w:t xml:space="preserve">[16] </w:t>
      </w:r>
      <w:hyperlink r:id="rId191">
        <w:r>
          <w:rPr>
            <w:color w:val="1155CC"/>
            <w:u w:val="single"/>
          </w:rPr>
          <w:t>电/热耦合场促进声子离域以加速废旧LiFePO4的缺陷修复动力学</w:t>
        </w:r>
      </w:hyperlink>
    </w:p>
    <w:p>
      <w:pPr>
        <w:spacing w:before="0" w:after="80"/>
      </w:pPr>
      <w:r>
        <w:rPr>
          <w:i/>
          <w:sz w:val="20"/>
        </w:rPr>
        <w:t>EN: Electric/Thermal Coupling Field Promotes Phonon Delocalization to Accelerate Defect‐Repair Kinetics in Spent LiFePO 4</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91">
        <w:r>
          <w:rPr>
            <w:color w:val="1155CC"/>
            <w:u w:val="single"/>
          </w:rPr>
          <w:t>10.1002/anie.1597082</w:t>
        </w:r>
      </w:hyperlink>
    </w:p>
    <w:p>
      <w:pPr>
        <w:spacing w:before="0" w:after="120"/>
      </w:pPr>
      <w:r>
        <w:rPr>
          <w:b/>
        </w:rPr>
        <w:t xml:space="preserve">Notes: </w:t>
      </w:r>
      <w:r>
        <w:t>abstract_source=crossref</w:t>
      </w:r>
    </w:p>
    <w:p>
      <w:pPr>
        <w:spacing w:before="0" w:after="80" w:lineRule="auto" w:line="276"/>
      </w:pPr>
      <w:r>
        <w:rPr>
          <w:b/>
        </w:rPr>
        <w:t xml:space="preserve">摘要（ZH）: </w:t>
      </w:r>
      <w:r>
        <w:t>摘要 固相再生被广泛认为是最有前景的废旧LiFePO4(S-LFP)正极规模化回收方法。然而,传统固相路线中缓慢的缺陷修复动力学的机理仍不明确,限制了该技术的实际应用。在此,理论计算揭示,富含缺陷的S-LFP中的声子局域化是导致缓慢缺陷修复动力学的关键因素。局域化声子阻碍热扩散,妨碍了克服缺陷修复势垒所需的能量,同时加剧了电子-声子耦合,从而抑制了Fe(III)还原所需的电子迁移。基于这一认识,我们采用电/热耦合场策略修复S-LFP正极。电场驱动的载流子通过电子-声子散射将能量传递给声子,促进能量在不同声子模式间的重新分布,共同增强声子离域化。因此,Li-Fe反位缺陷(FeLi)在700°C下5秒内即被修复,并在60秒内完成结构修复和锂化。实验结果表明,再生正极在0.1C下放电比容量为151.2 mAh g−1,在1 C下循环1100次后容量保持率为84.3%。这一理论突破为开发先进的S-LFP修复技术奠定了坚实的理论基础。</w:t>
      </w:r>
    </w:p>
    <w:p>
      <w:pPr>
        <w:spacing w:before="0" w:after="200" w:lineRule="auto" w:line="276"/>
      </w:pPr>
      <w:r>
        <w:rPr>
          <w:b/>
        </w:rPr>
        <w:t xml:space="preserve">Abstract (EN): </w:t>
      </w:r>
      <w:r>
        <w:t>Solid‐phase regeneration is widely considered as the most promising scalable approach for recycling spent LiFePO 4 (S‐LFP) cathode. However, the sluggish defect‐repair kinetics in traditional solid‐phase routes remains mechanistically unclear, limiting the practical deployment of this technology. Here, theoretical calculations reveal that the phonon localization in defect‐rich S‐LFP is the essential factor responsible for the sluggish defect‐repair kinetics. Localized phonons retard thermal diffusion, hindering the energy available to overcome defect repair barriers, and concurrently intensify electron‐phonon coupling that suppresses the electron migration necessary for the reduction of Fe(III). Guided by this insight, we employ electric/thermal coupling field strategy to repair the S‐LFP cathode. Carriers driven by the electric field transfer energy to phonons through electron‐phonon scattering, which promotes energy redistribution across disparate phonon modes, collectively enhancing phonon delocalization. As a result, Li‐Fe antisites (Fe Li ) were repaired within 5 s at 700°C, and the complete structural repair and lithiation are achieved within 60 s. Experimental results indicate that the regenerated cathode delivers a discharge specific capacity of 151.2 mAh g −1 at 0.1C, and exhibits a capacity retention of 84.3% after 1100 cycles at 1 C. This theoretical breakthrough establishes a solid theoretical foundation for developing advanced S‐LFP restoration technologies.</w:t>
      </w:r>
    </w:p>
    <w:p>
      <w:pPr>
        <w:spacing w:before="120" w:after="120"/>
      </w:pPr>
      <w:r>
        <w:rPr>
          <w:sz w:val="18"/>
        </w:rPr>
        <w:t>——————————————————————————————————————————————————————————————————————</w:t>
      </w:r>
    </w:p>
    <w:p>
      <w:pPr>
        <w:spacing w:before="160" w:after="40" w:line="240" w:lineRule="auto"/>
      </w:pPr>
      <w:r>
        <w:rPr>
          <w:b/>
        </w:rPr>
        <w:t xml:space="preserve">[17] </w:t>
      </w:r>
      <w:hyperlink r:id="rId140">
        <w:r>
          <w:rPr>
            <w:color w:val="1155CC"/>
            <w:u w:val="single"/>
          </w:rPr>
          <w:t>具有高机械强度的氟化锂/电解质界面实现超稳定锂金属电池</w:t>
        </w:r>
      </w:hyperlink>
    </w:p>
    <w:p>
      <w:pPr>
        <w:spacing w:before="0" w:after="80"/>
      </w:pPr>
      <w:r>
        <w:rPr>
          <w:i/>
          <w:sz w:val="20"/>
        </w:rPr>
        <w:t>EN: Ultrastable Lithium Metal Batteries Enabled by the Fluorinated Li/Electrolyte Interphase with High Mechanical Strength</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141">
        <w:r>
          <w:rPr>
            <w:color w:val="1155CC"/>
            <w:u w:val="single"/>
          </w:rPr>
          <w:t>10.1021/acsami.6c09297</w:t>
        </w:r>
      </w:hyperlink>
    </w:p>
    <w:p>
      <w:pPr>
        <w:spacing w:before="0" w:after="120"/>
      </w:pPr>
      <w:r>
        <w:rPr>
          <w:b/>
        </w:rPr>
        <w:t xml:space="preserve">Notes: </w:t>
      </w:r>
      <w:r>
        <w:t>abstract_source=crossref</w:t>
      </w:r>
    </w:p>
    <w:p>
      <w:pPr>
        <w:spacing w:before="0" w:after="80" w:lineRule="auto" w:line="276"/>
      </w:pPr>
      <w:r>
        <w:rPr>
          <w:b/>
        </w:rPr>
        <w:t xml:space="preserve">摘要（ZH）: </w:t>
      </w:r>
      <w:r>
        <w:t>摘要 一个经合理设计的固体电解质界面（SEI）对于锂金属电池获得高机械模量、低传质阻力以及均匀快速的离子传输至关重要。本文报道了一种有前景的人工SEI层，其通过在市售聚丙烯隔膜上涂覆氟化羟基磷灰石制备而成。羟基磷灰石的氟化反应显著提高了其杨氏模量，从物理上抑制了锂枝晶生长。更重要的是，均匀涂覆的纳米级氟化羟基磷灰石凭借固-固纳米多孔网络，在锂沉积/剥离过程中实现了高效的锂离子传输和F−释放，这不仅使所形成的SEI具有低温透射电子显微镜所揭示的局部外层有序层状Li2O，还有效促进了富LiF稳定内层的形成。所获得的双层SEI具有高机械强度，可抑制循环过程中SEI的破裂，促进均匀的锂离子通量，并稳定锂/电解质界面。因此，基于该氟化羟基磷灰石的锂负极在3 mA cm−2的电流密度和3 mAh cm−2的容量下展现出超过1200小时的超稳定循环寿命。与LiFePO4正极匹配时，所获得的全电池在600次循环后仍保持96%的高容量保持率。</w:t>
      </w:r>
    </w:p>
    <w:p>
      <w:pPr>
        <w:spacing w:before="0" w:after="200" w:lineRule="auto" w:line="276"/>
      </w:pPr>
      <w:r>
        <w:rPr>
          <w:b/>
        </w:rPr>
        <w:t xml:space="preserve">Abstract (EN): </w:t>
      </w:r>
      <w:r>
        <w:t>A rationally designed solid-electrolyte interphase (SEI) is critical for enabling a high mechanical modulus, low mass transfer resistance, and uniform, rapid ion transport in lithium metal batteries. Herein, we report a promising artificial SEI layer fabricated by coating fluorinated hydroxyapatite on the commercially available polypropylene separator. Fluorination reaction for hydroxyapatite greatly improves its Young’s modulus, physically suppressing Li dendrite growth. More importantly, the uniformly coated nanoscale fluorinated hydroxyapatite with a solid−solid nanoporous network enables efficient Li-ion transport during Li plating/stripping and F− release, which not only endows the formed SEI with local outer regions of ordered laminar Li2O as revealed by cryo-transmission electron microscopy but also effectively promotes the formation of a stable LiF-rich inner layer. The obtained double-deck SEI, with high mechanical strength, suppresses SEI fracture during repeated cycles, promotes uniform Li-ion flux, and stabilizes the Li/electrolyte interface. As a result, Li anodes based on this fluorinated hydroxyapatite exhibit an ultrastable cycling life over 1200 h with a capacity of 3 mAh cm−2 at a current density of 3 mA cm−2. When coupled with a LiFePO4 cathode, the obtained full cell shows a high capacity retention of 96% after 600 cycles.</w:t>
      </w:r>
    </w:p>
    <w:p>
      <w:pPr>
        <w:spacing w:before="120" w:after="120"/>
      </w:pPr>
      <w:r>
        <w:rPr>
          <w:sz w:val="18"/>
        </w:rPr>
        <w:t>——————————————————————————————————————————————————————————————————————</w:t>
      </w:r>
    </w:p>
    <w:p>
      <w:pPr>
        <w:spacing w:before="160" w:after="40" w:line="240" w:lineRule="auto"/>
      </w:pPr>
      <w:r>
        <w:rPr>
          <w:b/>
        </w:rPr>
        <w:t xml:space="preserve">[18] </w:t>
      </w:r>
      <w:hyperlink r:id="rId105">
        <w:r>
          <w:rPr>
            <w:color w:val="1155CC"/>
            <w:u w:val="single"/>
          </w:rPr>
          <w:t>纳米In 2 O 3诱导快速动力学与稳定界面助力高载量固态正极</w:t>
        </w:r>
      </w:hyperlink>
    </w:p>
    <w:p>
      <w:pPr>
        <w:spacing w:before="0" w:after="80"/>
      </w:pPr>
      <w:r>
        <w:rPr>
          <w:i/>
          <w:sz w:val="20"/>
        </w:rPr>
        <w:t>EN: Nanoscale In 2 O 3 Induced Fast Kinetics and Stable Interface for High‐Loading Solid‐State Cathode</w:t>
      </w:r>
    </w:p>
    <w:p>
      <w:pPr>
        <w:spacing w:before="0" w:after="120"/>
      </w:pPr>
      <w:r>
        <w:rPr>
          <w:b/>
        </w:rPr>
        <w:t xml:space="preserve">Source: </w:t>
      </w:r>
      <w:r>
        <w:t>Advanced Energy Materials</w:t>
      </w:r>
      <w:r>
        <w:t xml:space="preserve">    </w:t>
      </w:r>
      <w:r>
        <w:rPr>
          <w:b/>
        </w:rPr>
        <w:t xml:space="preserve">Pub date: </w:t>
      </w:r>
      <w:r>
        <w:t>2026-09-03 00:00:00+00:00</w:t>
      </w:r>
      <w:r>
        <w:t xml:space="preserve">    </w:t>
      </w:r>
      <w:r>
        <w:rPr>
          <w:b/>
        </w:rPr>
        <w:t xml:space="preserve">DOI: </w:t>
      </w:r>
      <w:hyperlink r:id="rId106">
        <w:r>
          <w:rPr>
            <w:color w:val="1155CC"/>
            <w:u w:val="single"/>
          </w:rPr>
          <w:t>10.1002/aenm.71543</w:t>
        </w:r>
      </w:hyperlink>
    </w:p>
    <w:p>
      <w:pPr>
        <w:spacing w:before="0" w:after="120"/>
      </w:pPr>
      <w:r>
        <w:rPr>
          <w:b/>
        </w:rPr>
        <w:t xml:space="preserve">Notes: </w:t>
      </w:r>
      <w:r>
        <w:t>abstract_source=crossref</w:t>
      </w:r>
    </w:p>
    <w:p>
      <w:pPr>
        <w:spacing w:before="0" w:after="80" w:lineRule="auto" w:line="276"/>
      </w:pPr>
      <w:r>
        <w:rPr>
          <w:b/>
        </w:rPr>
        <w:t xml:space="preserve">摘要（ZH）: </w:t>
      </w:r>
      <w:r>
        <w:t>摘要 采用高载量正极的硫化物基全固态锂电池（ASSLBs）目前受限于缓慢的Li⁺/电子动力学和较差的界面相容性。传统碳添加剂虽然导电性高，但常与硫化物电解质引发有害副反应。为缓解这些问题，我们引入了一种多功能纳米级In₂O₃导电剂，通过简便的一步球磨工艺复合。该纳米In₂O₃有效介导了大的Li₅.₅PS₄.₅Cl₁.₅（LPSC）与LiNi₀.₈Co₀.₁Mn₀.₁O₂（NCM811）颗粒之间的相互作用，提升了混合均匀性和碰撞效率。所得复合正极具有低迂曲度的Li⁺传输网络，并在颗粒间隙内建立了快速的“NCM‐纳米In₂O₃‐NCM”电子通路。关键的是，In₂O₃改善了LPSC与导电添加剂之间的界面相容性，抑制了界面退化。因此，高载量正极（18.34 mg cm⁻²）在3C下表现出131 mAh g⁻¹的比容量，并展现出优异的循环性能，NCM811||Li电池在500次循环后容量保持率为97.6%。该策略凸显了纳米金属氧化物添加剂通过优化界面与传输动力学实现高能量密度ASSLBs的潜力。</w:t>
      </w:r>
    </w:p>
    <w:p>
      <w:pPr>
        <w:spacing w:before="0" w:after="200" w:lineRule="auto" w:line="276"/>
      </w:pPr>
      <w:r>
        <w:rPr>
          <w:b/>
        </w:rPr>
        <w:t xml:space="preserve">Abstract (EN): </w:t>
      </w:r>
      <w:r>
        <w:t>Sulfide‐based all‐solid‐state lithium batteries (ASSLBs) with high‐loading cathodes are currently hindered by sluggish Li + /electron kinetics and poor interfacial compatibility. Conventional carbon additives, despite their high conductivity, often trigger detrimental side reactions with sulfide electrolytes. To mitigate these issues, we introduce a multifunctional nanoscale In 2 O 3 conductive agent, integrated via a facile one‐step ball milling process. This nano‐In 2 O 3 effectively mediates interactions between large Li 5.5 PS 4.5 Cl 1.5 (LPSC) and LiNi 0.8 Co 0.1 Mn 0.1 O 2 (NCM811) particles, enhancing mixing homogeneity and collision efficiency. The resulting composite cathode features a low‐tortuosity Li + transport network and establishes rapid “NCM‐nano In 2 O 3 ‐NCM” electronic pathways within particle gaps. Crucially, In 2 O 3 improves interfacial compatibility between the LPSC and conductive additives, suppressing interfacial degradation. Consequently, a high‐loading cathode (18.34 mg cm −2 ) demonstrates a specific capacity of 131 mAh g −1 at 3C and exhibits excellent cyclability, retaining 97.6% capacity after 500 cycles in NCM811||Li cells. This strategy highlights the potential of nanoscale metal oxide additives for achieving high‐energy‐density ASSLBs through optimized interfacial and transport kinetics.</w:t>
      </w:r>
    </w:p>
    <w:p>
      <w:pPr>
        <w:spacing w:before="120" w:after="120"/>
      </w:pPr>
      <w:r>
        <w:rPr>
          <w:sz w:val="18"/>
        </w:rPr>
        <w:t>——————————————————————————————————————————————————————————————————————</w:t>
      </w:r>
    </w:p>
    <w:p>
      <w:pPr>
        <w:spacing w:before="160" w:after="40" w:line="240" w:lineRule="auto"/>
      </w:pPr>
      <w:r>
        <w:rPr>
          <w:b/>
        </w:rPr>
        <w:t xml:space="preserve">[19] </w:t>
      </w:r>
      <w:hyperlink r:id="rId192">
        <w:r>
          <w:rPr>
            <w:color w:val="1155CC"/>
            <w:u w:val="single"/>
          </w:rPr>
          <w:t>锂离子电池的阿喀琉斯之踵：质子物种</w:t>
        </w:r>
      </w:hyperlink>
    </w:p>
    <w:p>
      <w:pPr>
        <w:spacing w:before="0" w:after="80"/>
      </w:pPr>
      <w:r>
        <w:rPr>
          <w:i/>
          <w:sz w:val="20"/>
        </w:rPr>
        <w:t>EN: The Achilles’ Heel of Lithium‐Ion Batteries: Protonic Species</w:t>
      </w:r>
    </w:p>
    <w:p>
      <w:pPr>
        <w:spacing w:before="0" w:after="120"/>
      </w:pPr>
      <w:r>
        <w:rPr>
          <w:b/>
        </w:rPr>
        <w:t xml:space="preserve">Source: </w:t>
      </w:r>
      <w:r>
        <w:t>Advanced Materials</w:t>
      </w:r>
      <w:r>
        <w:t xml:space="preserve">    </w:t>
      </w:r>
      <w:r>
        <w:rPr>
          <w:b/>
        </w:rPr>
        <w:t xml:space="preserve">Pub date: </w:t>
      </w:r>
      <w:r>
        <w:t>2026-09-03 00:00:00+00:00</w:t>
      </w:r>
      <w:r>
        <w:t xml:space="preserve">    </w:t>
      </w:r>
      <w:r>
        <w:rPr>
          <w:b/>
        </w:rPr>
        <w:t xml:space="preserve">DOI: </w:t>
      </w:r>
      <w:hyperlink r:id="rId168">
        <w:r>
          <w:rPr>
            <w:color w:val="1155CC"/>
            <w:u w:val="single"/>
          </w:rPr>
          <w:t>10.1002/adma.74891</w:t>
        </w:r>
      </w:hyperlink>
    </w:p>
    <w:p>
      <w:pPr>
        <w:spacing w:before="0" w:after="120"/>
      </w:pPr>
      <w:r>
        <w:rPr>
          <w:b/>
        </w:rPr>
        <w:t xml:space="preserve">Notes: </w:t>
      </w:r>
      <w:r>
        <w:t>abstract_source=crossref</w:t>
      </w:r>
    </w:p>
    <w:p>
      <w:pPr>
        <w:spacing w:before="0" w:after="80" w:lineRule="auto" w:line="276"/>
      </w:pPr>
      <w:r>
        <w:rPr>
          <w:b/>
        </w:rPr>
        <w:t xml:space="preserve">摘要（ZH）: </w:t>
      </w:r>
      <w:r>
        <w:t>摘要 锂离子电池（LIB）是全球能源转型的核心，主导着电动汽车和电网规模可再生能源存储市场。然而，随着锂离子电池被推向理论能量密度极限以满足不断升级的性能需求，它们面临着本质操作安全性和长期循环稳定性的挑战。近年来，人们越来越认识到锂离子电池中的质子是加速电池退化和过早失效的关键驱动因素。在这篇文章中，我们首先概述了质子物质的不同来源和生成途径，特别强调了最先进的碳酸盐基电解质的化学和电化学氧化。随后，我们阐明了质子介导的失效网络和相关的自放大质子再生循环，包括阳极和阴极电解质界面处的电解质降解和质子驱动的寄生界面副反应。此外，我们强调了原位/操作表征技术的关键进展，用于阐明质子物质的来源和降解机制，并提出了一个以质子源抑制和质子清除策略为中心的缓解框架。最后，我们指出了尚未解决的挑战并概述了该领域的前瞻性研究方向。这一贡献在基本质子化学和失效模式之间建立了关键联系，这将为持久和可靠的关键战略指导提供依据。</w:t>
      </w:r>
    </w:p>
    <w:p>
      <w:pPr>
        <w:spacing w:before="0" w:after="200" w:lineRule="auto" w:line="276"/>
      </w:pPr>
      <w:r>
        <w:rPr>
          <w:b/>
        </w:rPr>
        <w:t xml:space="preserve">Abstract (EN): </w:t>
      </w:r>
      <w:r>
        <w:t>Lithium‐ion batteries (LIBs) are central to the global energy transition, dominating the markets for electric vehicles and grid‐scale renewable energy storage. However, as LIBs are pushed toward their theoretical energy density limits to meet ever‐escalating performance demands, they are confronted with challenges to their intrinsic operational safety and long‐term cycling stability. In recent years, protonic species within LIBs have been increasingly recognized as critical drivers of accelerated cell degradation and premature failure. In this contribution, we first recapitulate the diverse sources and generation pathways of protonic species, with a particular emphasis on the chemical and electrochemical oxidation of state‐of‐the‐art carbonate‐based electrolytes. Subsequently, we elucidate the proton‐mediated failure network and associated self‐amplifying proton‐regeneration cycle, including electrolyte degradation and proton‐driven parasitic interfacial side reactions at both the anode‐ and cathode‐electrolyte interphases. Furthermore, we highlight critical advancements in in situ/operando characterization techniques for elucidating the sources and degradation mechanisms of protonic species, and propose a mitigation framework centered on proton source suppression and proton scavenging strategies. Finally, we pinpoint unresolved challenges and outline prospective research directions in this field. This contribution establishes critical connections between fundamental proton chemistry and failure modes, which will provide key strategic guidelines toward durable and safe high‐energy‐density LIBs.</w:t>
      </w:r>
    </w:p>
    <w:p>
      <w:pPr>
        <w:spacing w:before="120" w:after="120"/>
      </w:pPr>
      <w:r>
        <w:rPr>
          <w:sz w:val="18"/>
        </w:rPr>
        <w:t>——————————————————————————————————————————————————————————————————————</w:t>
      </w:r>
    </w:p>
    <w:p>
      <w:pPr>
        <w:spacing w:before="160" w:after="40" w:line="240" w:lineRule="auto"/>
      </w:pPr>
      <w:r>
        <w:rPr>
          <w:b/>
        </w:rPr>
        <w:t xml:space="preserve">[20] </w:t>
      </w:r>
      <w:hyperlink r:id="rId141">
        <w:r>
          <w:rPr>
            <w:color w:val="1155CC"/>
            <w:u w:val="single"/>
          </w:rPr>
          <w:t>高机械强度氟化锂/电解质界面相实现的超稳定锂金属电池</w:t>
        </w:r>
      </w:hyperlink>
    </w:p>
    <w:p>
      <w:pPr>
        <w:spacing w:before="0" w:after="80"/>
      </w:pPr>
      <w:r>
        <w:rPr>
          <w:i/>
          <w:sz w:val="20"/>
        </w:rPr>
        <w:t>EN: Ultrastable Lithium Metal Batteries Enabled by the Fluorinated Li/Electrolyte Interphase with High Mechanical Strength</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141">
        <w:r>
          <w:rPr>
            <w:color w:val="1155CC"/>
            <w:u w:val="single"/>
          </w:rPr>
          <w:t>10.1021/acsami.6c09297</w:t>
        </w:r>
      </w:hyperlink>
    </w:p>
    <w:p>
      <w:pPr>
        <w:spacing w:before="0" w:after="120"/>
      </w:pPr>
      <w:r>
        <w:rPr>
          <w:b/>
        </w:rPr>
        <w:t xml:space="preserve">Notes: </w:t>
      </w:r>
      <w:r>
        <w:t>abstract_source=crossref</w:t>
      </w:r>
    </w:p>
    <w:p>
      <w:pPr>
        <w:spacing w:before="0" w:after="80" w:lineRule="auto" w:line="276"/>
      </w:pPr>
      <w:r>
        <w:rPr>
          <w:b/>
        </w:rPr>
        <w:t xml:space="preserve">摘要（ZH）: </w:t>
      </w:r>
      <w:r>
        <w:t>摘要 合理设计的固体电解质界面（SEI）对于在锂金属电池中实现高机械模量、低传质阻力以及均匀、快速的离子传输至关重要。在此，我们报告了一种有前途的人造 SEI 层，通过在市售聚丙烯隔膜上涂覆氟化羟基磷灰石而制成。羟基磷灰石的氟化反应极大地提高了其杨氏模量，从物理上抑制了锂枝晶的生长。更重要的是，均匀涂覆的纳米级氟化羟基磷灰石具有固-固纳米多孔网络，能够在锂沉积/剥离和F-释放过程中实现高效的锂离子传输，这不仅使形成的SEI具有低温透射电子显微镜显示的有序层状Li2O的局部外部区域，而且还有效促进了稳定的富含LiF的内层的形成。所获得的双层SEI具有高机械强度，可抑制重复循环过程中SEI的断裂，促进均匀的锂离子通量，并稳定Li/电解质界面。因此，基于这种氟化羟基磷灰石的锂阳极表现出超过1200小时的超稳定循环寿命，在3 mA cm−2的电流密度下容量为3 mAh cm−2。当与 LiFePO4 阴极结合时，所获得的全电池在 600 次循环后显示出 96% 的高容量保持率。</w:t>
      </w:r>
    </w:p>
    <w:p>
      <w:pPr>
        <w:spacing w:before="0" w:after="200" w:lineRule="auto" w:line="276"/>
      </w:pPr>
      <w:r>
        <w:rPr>
          <w:b/>
        </w:rPr>
        <w:t xml:space="preserve">Abstract (EN): </w:t>
      </w:r>
      <w:r>
        <w:t>A rationally designed solid-electrolyte interphase (SEI) is critical for enabling a high mechanical modulus, low mass transfer resistance, and uniform, rapid ion transport in lithium metal batteries. Herein, we report a promising artificial SEI layer fabricated by coating fluorinated hydroxyapatite on the commercially available polypropylene separator. Fluorination reaction for hydroxyapatite greatly improves its Young’s modulus, physically suppressing Li dendrite growth. More importantly, the uniformly coated nanoscale fluorinated hydroxyapatite with a solid−solid nanoporous network enables efficient Li-ion transport during Li plating/stripping and F− release, which not only endows the formed SEI with local outer regions of ordered laminar Li2O as revealed by cryo-transmission electron microscopy but also effectively promotes the formation of a stable LiF-rich inner layer. The obtained double-deck SEI, with high mechanical strength, suppresses SEI fracture during repeated cycles, promotes uniform Li-ion flux, and stabilizes the Li/electrolyte interface. As a result, Li anodes based on this fluorinated hydroxyapatite exhibit an ultrastable cycling life over 1200 h with a capacity of 3 mAh cm−2 at a current density of 3 mA cm−2. When coupled with a LiFePO4 cathode, the obtained full cell shows a high capacity retention of 96% after 600 cycles.</w:t>
      </w:r>
    </w:p>
    <w:p>
      <w:pPr>
        <w:spacing w:before="120" w:after="120"/>
      </w:pPr>
      <w:r>
        <w:rPr>
          <w:sz w:val="18"/>
        </w:rPr>
        <w:t>——————————————————————————————————————————————————————————————————————</w:t>
      </w:r>
    </w:p>
    <w:p>
      <w:pPr>
        <w:spacing w:before="160" w:after="40" w:line="240" w:lineRule="auto"/>
      </w:pPr>
      <w:r>
        <w:rPr>
          <w:b/>
        </w:rPr>
        <w:t xml:space="preserve">[21] </w:t>
      </w:r>
      <w:hyperlink r:id="rId193">
        <w:r>
          <w:rPr>
            <w:color w:val="1155CC"/>
            <w:u w:val="single"/>
          </w:rPr>
          <w:t>利用平板DBD等离子体对炭黑进行选择性表面功能化以定制锂离子电池性能</w:t>
        </w:r>
      </w:hyperlink>
    </w:p>
    <w:p>
      <w:pPr>
        <w:spacing w:before="0" w:after="80"/>
      </w:pPr>
      <w:r>
        <w:rPr>
          <w:i/>
          <w:sz w:val="20"/>
        </w:rPr>
        <w:t>EN: Selective Surface Functionalization of Carbon Black by Planar DBD Plasma for Tailored Lithium-Ion Battery Performance</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193">
        <w:r>
          <w:rPr>
            <w:color w:val="1155CC"/>
            <w:u w:val="single"/>
          </w:rPr>
          <w:t>10.1021/acsami.6c04689</w:t>
        </w:r>
      </w:hyperlink>
    </w:p>
    <w:p>
      <w:pPr>
        <w:spacing w:before="0" w:after="120"/>
      </w:pPr>
      <w:r>
        <w:rPr>
          <w:b/>
        </w:rPr>
        <w:t xml:space="preserve">Notes: </w:t>
      </w:r>
      <w:r>
        <w:t>abstract_source=crossref</w:t>
      </w:r>
    </w:p>
    <w:p>
      <w:pPr>
        <w:spacing w:before="0" w:after="80" w:lineRule="auto" w:line="276"/>
      </w:pPr>
      <w:r>
        <w:rPr>
          <w:b/>
        </w:rPr>
        <w:t xml:space="preserve">摘要（ZH）: </w:t>
      </w:r>
      <w:r>
        <w:t>摘要：在碳表面选择性构建特定的含氧官能团（OFG），同时严格保持骨架完整性、消除外源污染并确保工艺重现性，仍然是表面科学中长期存在的挑战。我们开发了一种平面介质阻挡放电（DBD）反应器，在碳纳米粉末负载下维持均匀大气压放电（σ ≈ 1），在 2.3 kWh kg-1 的功率下在 4 分钟内完成处理，大大低于传统的等离子体氧化系统。通过在直接等离子体暴露下系统调节 O2/Ar 进料组成，羟基、羧基和羰基在乙炔黑上选择性富集，选择性分别达到 74.07、74.22 和 61.71%（变异系数）</w:t>
      </w:r>
    </w:p>
    <w:p>
      <w:pPr>
        <w:spacing w:before="0" w:after="200" w:lineRule="auto" w:line="276"/>
      </w:pPr>
      <w:r>
        <w:rPr>
          <w:b/>
        </w:rPr>
        <w:t xml:space="preserve">Abstract (EN): </w:t>
      </w:r>
      <w:r>
        <w:t>Selective construction of specific oxygen-containing functional groups (OFGs) on carbon surfaces—while strictly preserving skeletal integrity, eliminating exogenous contamination, and ensuring process reproducibility—remains a long-standing challenge in surface science. We developed a planar dielectric barrier discharge (DBD) reactor sustaining homogeneous atmospheric-pressure discharge (σ ≈ 1) under carbon nanopowder loading, completing treatment within 4 min at 2.3 kWh kg–1, substantially below conventional plasma oxidation systems. Through systematic modulation of O2/Ar feed composition under direct in-plasma exposure, hydroxyl, carboxyl, and carbonyl groups were selectively enriched on acetylene black, achieving selectivities of 74.07, 74.22, and 61.71%, respectively (coefficient of variation</w:t>
      </w:r>
    </w:p>
    <w:p>
      <w:pPr>
        <w:spacing w:before="120" w:after="120"/>
      </w:pPr>
      <w:r>
        <w:rPr>
          <w:sz w:val="18"/>
        </w:rPr>
        <w:t>——————————————————————————————————————————————————————————————————————</w:t>
      </w:r>
    </w:p>
    <w:p>
      <w:pPr>
        <w:spacing w:before="160" w:after="40" w:line="240" w:lineRule="auto"/>
      </w:pPr>
      <w:r>
        <w:rPr>
          <w:b/>
        </w:rPr>
        <w:t xml:space="preserve">[22] </w:t>
      </w:r>
      <w:hyperlink r:id="rId194">
        <w:r>
          <w:rPr>
            <w:color w:val="1155CC"/>
            <w:u w:val="single"/>
          </w:rPr>
          <w:t>可燃性并非全部：重新思考电池安全</w:t>
        </w:r>
      </w:hyperlink>
    </w:p>
    <w:p>
      <w:pPr>
        <w:spacing w:before="0" w:after="80"/>
      </w:pPr>
      <w:r>
        <w:rPr>
          <w:i/>
          <w:sz w:val="20"/>
        </w:rPr>
        <w:t>EN: Flammability Is Not the Whole Story: Rethinking Battery Safety</w:t>
      </w:r>
    </w:p>
    <w:p>
      <w:pPr>
        <w:spacing w:before="0" w:after="120"/>
      </w:pPr>
      <w:r>
        <w:rPr>
          <w:b/>
        </w:rPr>
        <w:t xml:space="preserve">Source: </w:t>
      </w:r>
      <w:r>
        <w:t>ACS Energy Letters</w:t>
      </w:r>
      <w:r>
        <w:t xml:space="preserve">    </w:t>
      </w:r>
      <w:r>
        <w:rPr>
          <w:b/>
        </w:rPr>
        <w:t xml:space="preserve">Pub date: </w:t>
      </w:r>
      <w:r>
        <w:t>2026-09-03 00:00:00+00:00</w:t>
      </w:r>
      <w:r>
        <w:t xml:space="preserve">    </w:t>
      </w:r>
      <w:r>
        <w:rPr>
          <w:b/>
        </w:rPr>
        <w:t xml:space="preserve">DOI: </w:t>
      </w:r>
      <w:hyperlink r:id="rId194">
        <w:r>
          <w:rPr>
            <w:color w:val="1155CC"/>
            <w:u w:val="single"/>
          </w:rPr>
          <w:t>10.1021/acsenergylett.6c02478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195">
        <w:r>
          <w:rPr>
            <w:color w:val="1155CC"/>
            <w:u w:val="single"/>
          </w:rPr>
          <w:t>利用平板DBD等离子体对炭黑进行选择性表面功能化以定制锂离子电池性能</w:t>
        </w:r>
      </w:hyperlink>
    </w:p>
    <w:p>
      <w:pPr>
        <w:spacing w:before="0" w:after="80"/>
      </w:pPr>
      <w:r>
        <w:rPr>
          <w:i/>
          <w:sz w:val="20"/>
        </w:rPr>
        <w:t>EN: Selective Surface Functionalization of Carbon Black by Planar DBD Plasma for Tailored Lithium-Ion Battery Performance</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193">
        <w:r>
          <w:rPr>
            <w:color w:val="1155CC"/>
            <w:u w:val="single"/>
          </w:rPr>
          <w:t>10.1021/acsami.6c04689</w:t>
        </w:r>
      </w:hyperlink>
    </w:p>
    <w:p>
      <w:pPr>
        <w:spacing w:before="0" w:after="120"/>
      </w:pPr>
      <w:r>
        <w:rPr>
          <w:b/>
        </w:rPr>
        <w:t xml:space="preserve">Notes: </w:t>
      </w:r>
      <w:r>
        <w:t>abstract_source=crossref</w:t>
      </w:r>
    </w:p>
    <w:p>
      <w:pPr>
        <w:spacing w:before="0" w:after="80" w:lineRule="auto" w:line="276"/>
      </w:pPr>
      <w:r>
        <w:rPr>
          <w:b/>
        </w:rPr>
        <w:t xml:space="preserve">摘要（ZH）: </w:t>
      </w:r>
      <w:r>
        <w:t>摘要 在碳表面上选择性构建特定含氧官能团（OFGs）——同时严格保持骨架完整性、消除外源污染并确保工艺重现性——仍然是表面科学领域的一项长期挑战。我们开发了一种平板介质阻挡放电（DBD）反应器，可在碳纳米粉体负载下维持均匀的大气压放电（σ ≈ 1），在2.3 kWh kg–1的能耗下于4分钟内完成处理，显著低于常规等离子体氧化系统。通过在直接等离子体内暴露条件下系统地调节O2/Ar进料组成，在乙炔黑上选择性富集了羟基、羧基和羰基官能团，选择性分别达到74.07、74.22和61.71%（变异系数</w:t>
      </w:r>
    </w:p>
    <w:p>
      <w:pPr>
        <w:spacing w:before="0" w:after="200" w:lineRule="auto" w:line="276"/>
      </w:pPr>
      <w:r>
        <w:rPr>
          <w:b/>
        </w:rPr>
        <w:t xml:space="preserve">Abstract (EN): </w:t>
      </w:r>
      <w:r>
        <w:t>Selective construction of specific oxygen-containing functional groups (OFGs) on carbon surfaces—while strictly preserving skeletal integrity, eliminating exogenous contamination, and ensuring process reproducibility—remains a long-standing challenge in surface science. We developed a planar dielectric barrier discharge (DBD) reactor sustaining homogeneous atmospheric-pressure discharge (σ ≈ 1) under carbon nanopowder loading, completing treatment within 4 min at 2.3 kWh kg–1, substantially below conventional plasma oxidation systems. Through systematic modulation of O2/Ar feed composition under direct in-plasma exposure, hydroxyl, carboxyl, and carbonyl groups were selectively enriched on acetylene black, achieving selectivities of 74.07, 74.22, and 61.71%, respectively (coefficient of variation</w:t>
      </w:r>
    </w:p>
    <w:p>
      <w:pPr>
        <w:spacing w:before="120" w:after="120"/>
      </w:pPr>
      <w:r>
        <w:rPr>
          <w:sz w:val="18"/>
        </w:rPr>
        <w:t>——————————————————————————————————————————————————————————————————————</w:t>
      </w:r>
    </w:p>
    <w:p>
      <w:pPr>
        <w:spacing w:before="160" w:after="40" w:line="240" w:lineRule="auto"/>
      </w:pPr>
      <w:r>
        <w:rPr>
          <w:b/>
        </w:rPr>
        <w:t xml:space="preserve">[24] </w:t>
      </w:r>
      <w:hyperlink r:id="rId168">
        <w:r>
          <w:rPr>
            <w:color w:val="1155CC"/>
            <w:u w:val="single"/>
          </w:rPr>
          <w:t>锂离子电池的阿喀琉斯之踵:质子物种</w:t>
        </w:r>
      </w:hyperlink>
    </w:p>
    <w:p>
      <w:pPr>
        <w:spacing w:before="0" w:after="80"/>
      </w:pPr>
      <w:r>
        <w:rPr>
          <w:i/>
          <w:sz w:val="20"/>
        </w:rPr>
        <w:t>EN: The Achilles’ Heel of Lithium‐Ion Batteries: Protonic Species</w:t>
      </w:r>
    </w:p>
    <w:p>
      <w:pPr>
        <w:spacing w:before="0" w:after="120"/>
      </w:pPr>
      <w:r>
        <w:rPr>
          <w:b/>
        </w:rPr>
        <w:t xml:space="preserve">Source: </w:t>
      </w:r>
      <w:r>
        <w:t>Advanced Materials</w:t>
      </w:r>
      <w:r>
        <w:t xml:space="preserve">    </w:t>
      </w:r>
      <w:r>
        <w:rPr>
          <w:b/>
        </w:rPr>
        <w:t xml:space="preserve">Pub date: </w:t>
      </w:r>
      <w:r>
        <w:t>2026-09-03 00:00:00+00:00</w:t>
      </w:r>
      <w:r>
        <w:t xml:space="preserve">    </w:t>
      </w:r>
      <w:r>
        <w:rPr>
          <w:b/>
        </w:rPr>
        <w:t xml:space="preserve">DOI: </w:t>
      </w:r>
      <w:hyperlink r:id="rId168">
        <w:r>
          <w:rPr>
            <w:color w:val="1155CC"/>
            <w:u w:val="single"/>
          </w:rPr>
          <w:t>10.1002/adma.74891</w:t>
        </w:r>
      </w:hyperlink>
    </w:p>
    <w:p>
      <w:pPr>
        <w:spacing w:before="0" w:after="120"/>
      </w:pPr>
      <w:r>
        <w:rPr>
          <w:b/>
        </w:rPr>
        <w:t xml:space="preserve">Notes: </w:t>
      </w:r>
      <w:r>
        <w:t>abstract_source=crossref</w:t>
      </w:r>
    </w:p>
    <w:p>
      <w:pPr>
        <w:spacing w:before="0" w:after="80" w:lineRule="auto" w:line="276"/>
      </w:pPr>
      <w:r>
        <w:rPr>
          <w:b/>
        </w:rPr>
        <w:t xml:space="preserve">摘要（ZH）: </w:t>
      </w:r>
      <w:r>
        <w:t>摘要 锂离子电池（LIB）是全球能源转型的核心，主导着电动汽车和电网规模可再生能源存储市场。然而，随着锂离子电池被推向理论能量密度极限以满足不断升级的性能需求，它们面临着本质操作安全性和长期循环稳定性的挑战。近年来，人们越来越认识到锂离子电池中的质子是加速电池退化和过早失效的关键驱动因素。在这篇文章中，我们首先概述了质子物质的不同来源和生成途径，特别强调了最先进的碳酸盐基电解质的化学和电化学氧化。随后，我们阐明了质子介导的失效网络和相关的自放大质子再生循环，包括阳极和阴极电解质界面处的电解质降解和质子驱动的寄生界面副反应。此外，我们强调了原位/操作表征技术的关键进展，用于阐明质子物质的来源和降解机制，并提出了一个以质子源抑制和质子清除策略为中心的缓解框架。最后，我们指出了尚未解决的挑战并概述了该领域的前瞻性研究方向。这一贡献在基本质子化学和失效模式之间建立了关键联系，这将为持久和可靠的关键战略指导提供依据。</w:t>
      </w:r>
    </w:p>
    <w:p>
      <w:pPr>
        <w:spacing w:before="0" w:after="200" w:lineRule="auto" w:line="276"/>
      </w:pPr>
      <w:r>
        <w:rPr>
          <w:b/>
        </w:rPr>
        <w:t xml:space="preserve">Abstract (EN): </w:t>
      </w:r>
      <w:r>
        <w:t>Lithium‐ion batteries (LIBs) are central to the global energy transition, dominating the markets for electric vehicles and grid‐scale renewable energy storage. However, as LIBs are pushed toward their theoretical energy density limits to meet ever‐escalating performance demands, they are confronted with challenges to their intrinsic operational safety and long‐term cycling stability. In recent years, protonic species within LIBs have been increasingly recognized as critical drivers of accelerated cell degradation and premature failure. In this contribution, we first recapitulate the diverse sources and generation pathways of protonic species, with a particular emphasis on the chemical and electrochemical oxidation of state‐of‐the‐art carbonate‐based electrolytes. Subsequently, we elucidate the proton‐mediated failure network and associated self‐amplifying proton‐regeneration cycle, including electrolyte degradation and proton‐driven parasitic interfacial side reactions at both the anode‐ and cathode‐electrolyte interphases. Furthermore, we highlight critical advancements in in situ/operando characterization techniques for elucidating the sources and degradation mechanisms of protonic species, and propose a mitigation framework centered on proton source suppression and proton scavenging strategies. Finally, we pinpoint unresolved challenges and outline prospective research directions in this field. This contribution establishes critical connections between fundamental proton chemistry and failure modes, which will provide key strategic guidelines toward durable and safe high‐energy‐density LIBs.</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96">
        <w:r>
          <w:rPr>
            <w:color w:val="1155CC"/>
            <w:u w:val="single"/>
          </w:rPr>
          <w:t>极端条件下的储能:MXene基超级电容器的挑战与策略</w:t>
        </w:r>
      </w:hyperlink>
    </w:p>
    <w:p>
      <w:pPr>
        <w:spacing w:before="0" w:after="80"/>
      </w:pPr>
      <w:r>
        <w:rPr>
          <w:i/>
          <w:sz w:val="20"/>
        </w:rPr>
        <w:t>EN: Energy storage under extreme conditions: challenges and strategies for MXene-based supercapacitors</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197">
        <w:r>
          <w:rPr>
            <w:color w:val="1155CC"/>
            <w:u w:val="single"/>
          </w:rPr>
          <w:t>10.1016/j.apenergy.2026.128677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98">
        <w:r>
          <w:rPr>
            <w:color w:val="1155CC"/>
            <w:u w:val="single"/>
          </w:rPr>
          <w:t>双功能催化驱动高效产乙醇水系Zn-CO2电池</w:t>
        </w:r>
      </w:hyperlink>
    </w:p>
    <w:p>
      <w:pPr>
        <w:spacing w:before="0" w:after="80"/>
      </w:pPr>
      <w:r>
        <w:rPr>
          <w:i/>
          <w:sz w:val="20"/>
        </w:rPr>
        <w:t>EN: Bifunctional Catalysis Drives Efficient and Ethanol‐Producing Aqueous Zn‐CO2 Batteries</w:t>
      </w:r>
    </w:p>
    <w:p>
      <w:pPr>
        <w:spacing w:before="0" w:after="120"/>
      </w:pPr>
      <w:r>
        <w:rPr>
          <w:b/>
        </w:rPr>
        <w:t xml:space="preserve">Source: </w:t>
      </w:r>
      <w:r>
        <w:t>Wiley: Advanced Materials: Table of Contents</w:t>
      </w:r>
      <w:r>
        <w:t xml:space="preserve">    </w:t>
      </w:r>
      <w:r>
        <w:rPr>
          <w:b/>
        </w:rPr>
        <w:t xml:space="preserve">Pub date: </w:t>
      </w:r>
      <w:r>
        <w:t>2026-08-29 03:52:18+00:00</w:t>
      </w:r>
      <w:r>
        <w:t xml:space="preserve">    </w:t>
      </w:r>
      <w:r>
        <w:rPr>
          <w:b/>
        </w:rPr>
        <w:t xml:space="preserve">DOI: </w:t>
      </w:r>
      <w:hyperlink r:id="rId199">
        <w:r>
          <w:rPr>
            <w:color w:val="1155CC"/>
            <w:u w:val="single"/>
          </w:rPr>
          <w:t>10.1002/adma.74846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中性电解质中同时驱动CO2还原（CO2RR）和析氧（OER）的双功能电催化剂对于水系Zn-CO2电池（AZCBs）至关重要，但传统设计优先考虑CO2RR，往往与OER不兼容，导致能量效率低、可逆性差以及电池快速退化。本文提出了一种统一的催化剂结构，将Cu和Ni单原子与硼、氮共掺杂碳集成（CuNi@BNC-T）。杂原子共掺杂稳定了高单原子负载量，增强了金属-载体相互作用，并抑制了碳腐蚀，而N配位的Cu+和Ni3+位点协同促进CO2RR-OER，实现乙醇生成和低过电位OER。该策略在5 mA cm−2下实现0.7 V电压差，在20 mA cm−2下实现522小时循环，并首次通过AZCBs实现乙醇生产，能量效率达88%（流动池）。通过阐明此前未解决的退化路径，本工作还将催化剂动力学与电池失效相关联，为水系Zn-CO2体系中耐用双功能催化剂建立了设计原则。</w:t>
      </w:r>
    </w:p>
    <w:p>
      <w:pPr>
        <w:spacing w:before="0" w:after="200" w:lineRule="auto" w:line="276"/>
      </w:pPr>
      <w:r>
        <w:rPr>
          <w:b/>
        </w:rPr>
        <w:t xml:space="preserve">Abstract (EN): </w:t>
      </w:r>
      <w:r>
        <w:t>Bifunctional electrocatalysts that simultaneously drive CO</w:t>
      </w:r>
      <w:r>
        <w:rPr>
          <w:vertAlign w:val="subscript"/>
        </w:rPr>
        <w:t>2</w:t>
      </w:r>
      <w:r>
        <w:t>reduction (CO</w:t>
      </w:r>
      <w:r>
        <w:rPr>
          <w:vertAlign w:val="subscript"/>
        </w:rPr>
        <w:t>2</w:t>
      </w:r>
      <w:r>
        <w:t>RR) and oxygen evolution (OER) in neutral electrolytes are essential for aqueous Zn‐CO</w:t>
      </w:r>
      <w:r>
        <w:rPr>
          <w:vertAlign w:val="subscript"/>
        </w:rPr>
        <w:t>2</w:t>
      </w:r>
      <w:r>
        <w:t>batteries (AZCBs), but conventional designs prioritize CO</w:t>
      </w:r>
      <w:r>
        <w:rPr>
          <w:vertAlign w:val="subscript"/>
        </w:rPr>
        <w:t>2</w:t>
      </w:r>
      <w:r>
        <w:t>RR and are often incompatible with OER, resulting in low energy efficiency, poor reversibility, and rapid degradation of batteries. Here, we introduce a unified catalyst architecture integrating Cu and Ni single atoms with boron‐, nitrogen‐co‐doped carbon (CuNi@BNC‐T). Heteroatom co‐doping stabilizes high single‐atom loadings, enhances metal‐support interactions, and suppresses carbon corrosion, while N‐coordinated Cu</w:t>
      </w:r>
      <w:r>
        <w:t xml:space="preserve"> </w:t>
      </w:r>
      <w:r>
        <w:t>+</w:t>
      </w:r>
      <w:r>
        <w:t xml:space="preserve"> </w:t>
      </w:r>
      <w:r>
        <w:t>and Ni</w:t>
      </w:r>
      <w:r>
        <w:t xml:space="preserve"> </w:t>
      </w:r>
      <w:r>
        <w:t>3+</w:t>
      </w:r>
      <w:r>
        <w:t xml:space="preserve"> </w:t>
      </w:r>
      <w:r>
        <w:t>sites cooperatively boost CO</w:t>
      </w:r>
      <w:r>
        <w:rPr>
          <w:vertAlign w:val="subscript"/>
        </w:rPr>
        <w:t>2</w:t>
      </w:r>
      <w:r>
        <w:t>RR‐OER, enabling ethanol formation and low‐overpotential OER. This strategy achieves a 0.7 V voltage gap at 5 mA cm</w:t>
      </w:r>
      <w:r>
        <w:t xml:space="preserve"> </w:t>
      </w:r>
      <w:r>
        <w:t>−2</w:t>
      </w:r>
      <w:r>
        <w:t xml:space="preserve"> </w:t>
      </w:r>
      <w:r>
        <w:t>, 522 h cycling at 20 mA cm</w:t>
      </w:r>
      <w:r>
        <w:t xml:space="preserve"> </w:t>
      </w:r>
      <w:r>
        <w:t>−2</w:t>
      </w:r>
      <w:r>
        <w:t xml:space="preserve"> </w:t>
      </w:r>
      <w:r>
        <w:t>, and first ethanol production via AZCBs with energy efficiency of 88% (flow‐cell). By elucidating previously unresolved degradation pathways, this work also correlates catalyst dynamics with battery failure, establishing design principles for durable bifunctional catalysts in aqueous Zn‐CO</w:t>
      </w:r>
      <w:r>
        <w:rPr>
          <w:vertAlign w:val="subscript"/>
        </w:rPr>
        <w:t>2</w:t>
      </w:r>
      <w:r>
        <w:t>systems.</w:t>
      </w:r>
    </w:p>
    <w:p>
      <w:pPr>
        <w:spacing w:before="120" w:after="120"/>
      </w:pPr>
      <w:r>
        <w:rPr>
          <w:sz w:val="18"/>
        </w:rPr>
        <w:t>——————————————————————————————————————————————————————————————————————</w:t>
      </w:r>
    </w:p>
    <w:p>
      <w:pPr>
        <w:spacing w:before="160" w:after="40" w:line="240" w:lineRule="auto"/>
      </w:pPr>
      <w:r>
        <w:rPr>
          <w:b/>
        </w:rPr>
        <w:t xml:space="preserve">[3] </w:t>
      </w:r>
      <w:hyperlink r:id="rId200">
        <w:r>
          <w:rPr>
            <w:color w:val="1155CC"/>
            <w:u w:val="single"/>
          </w:rPr>
          <w:t>一种等离激元S型异质结实现光辅助Li─O2电池的宽谱响应与超低过电位</w:t>
        </w:r>
      </w:hyperlink>
    </w:p>
    <w:p>
      <w:pPr>
        <w:spacing w:before="0" w:after="80"/>
      </w:pPr>
      <w:r>
        <w:rPr>
          <w:i/>
          <w:sz w:val="20"/>
        </w:rPr>
        <w:t>EN: A Plasmonic S‐Scheme Heterojunction Achieves Broadband Response and Ultralow Overpotential of Photo‐Assisted Li─O2 Batteries</w:t>
      </w:r>
    </w:p>
    <w:p>
      <w:pPr>
        <w:spacing w:before="0" w:after="120"/>
      </w:pPr>
      <w:r>
        <w:rPr>
          <w:b/>
        </w:rPr>
        <w:t xml:space="preserve">Source: </w:t>
      </w:r>
      <w:r>
        <w:t>Wiley: Angewandte Chemie International Edition: Table of Contents</w:t>
      </w:r>
      <w:r>
        <w:t xml:space="preserve">    </w:t>
      </w:r>
      <w:r>
        <w:rPr>
          <w:b/>
        </w:rPr>
        <w:t xml:space="preserve">Pub date: </w:t>
      </w:r>
      <w:r>
        <w:t>2026-08-29 04:57:29+00:00</w:t>
      </w:r>
      <w:r>
        <w:t xml:space="preserve">    </w:t>
      </w:r>
      <w:r>
        <w:rPr>
          <w:b/>
        </w:rPr>
        <w:t xml:space="preserve">DOI: </w:t>
      </w:r>
      <w:hyperlink r:id="rId201">
        <w:r>
          <w:rPr>
            <w:color w:val="1155CC"/>
            <w:u w:val="single"/>
          </w:rPr>
          <w:t>10.1002/anie.2006350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Li-O₂电池（LOBs）具有超高理论能量密度，但存在较大过电位的问题。光阴极可以降低该过电位，但大多数光阴极无法同时实现高效的电荷分离、足够的氧化还原能力和宽带光响应。在此，构建了一种等离激元S型异质结光阴极（W₁₈O₄₉/g-C₃N₄，WOCN）。W₁₈O₄₉作为异质结的氧化型半导体和无贵金属等离激元吸收体，与g-C₃N₄形成连续的等离激元异质界面。W₁₈O₄₉固有的局域表面等离激元共振（LSPR）源自W⁵⁺簇中周期性排列的晶格局域电子。具有强氧化还原能力的光生载流子和LSPR产生的热电子通过S型载流子转移路径得以分离。在AM 1.5G光照下，基于WOCN的LOBs表现出0.04 V的超低过电位和98%的往返效率。</w:t>
      </w:r>
    </w:p>
    <w:p>
      <w:pPr>
        <w:spacing w:before="0" w:after="200" w:lineRule="auto" w:line="276"/>
      </w:pPr>
      <w:r>
        <w:rPr>
          <w:b/>
        </w:rPr>
        <w:t xml:space="preserve">Abstract (EN): </w:t>
      </w:r>
      <w:r>
        <w:t>Li─O</w:t>
      </w:r>
      <w:r>
        <w:rPr>
          <w:vertAlign w:val="subscript"/>
        </w:rPr>
        <w:t>2</w:t>
      </w:r>
      <w:r>
        <w:t>batteries (LOBs) offer an ultrahigh theoretical energy density but suffer from a large overpotential. Photocathodes can lower this overpotential, but most of them cannot achieve efficient charge separation, sufficient redox capability, and broadband photoresponse at the same time. Here, a plasmonic S‐scheme heterojunction photocathode (W</w:t>
      </w:r>
      <w:r>
        <w:rPr>
          <w:vertAlign w:val="subscript"/>
        </w:rPr>
        <w:t>18</w:t>
      </w:r>
      <w:r>
        <w:t>O</w:t>
      </w:r>
      <w:r>
        <w:rPr>
          <w:vertAlign w:val="subscript"/>
        </w:rPr>
        <w:t>49</w:t>
      </w:r>
      <w:r>
        <w:t>/</w:t>
      </w:r>
      <w:r>
        <w:t>g</w:t>
      </w:r>
      <w:r>
        <w:t xml:space="preserve"> </w:t>
      </w:r>
      <w:r>
        <w:t>‐C</w:t>
      </w:r>
      <w:r>
        <w:rPr>
          <w:vertAlign w:val="subscript"/>
        </w:rPr>
        <w:t>3</w:t>
      </w:r>
      <w:r>
        <w:t>N</w:t>
      </w:r>
      <w:r>
        <w:rPr>
          <w:vertAlign w:val="subscript"/>
        </w:rPr>
        <w:t>4</w:t>
      </w:r>
      <w:r>
        <w:t>, WOCN) is constructed. W</w:t>
      </w:r>
      <w:r>
        <w:rPr>
          <w:vertAlign w:val="subscript"/>
        </w:rPr>
        <w:t>18</w:t>
      </w:r>
      <w:r>
        <w:t>O</w:t>
      </w:r>
      <w:r>
        <w:rPr>
          <w:vertAlign w:val="subscript"/>
        </w:rPr>
        <w:t>49</w:t>
      </w:r>
      <w:r>
        <w:t>serves as the oxidation semiconductor of the heterojunction and a noble‐metal‐free plasmonic absorber, forming a continuous plasmonic heterointerface with</w:t>
      </w:r>
      <w:r>
        <w:t xml:space="preserve"> </w:t>
      </w:r>
      <w:r>
        <w:t>g</w:t>
      </w:r>
      <w:r>
        <w:t xml:space="preserve"> </w:t>
      </w:r>
      <w:r>
        <w:t>‐C</w:t>
      </w:r>
      <w:r>
        <w:rPr>
          <w:vertAlign w:val="subscript"/>
        </w:rPr>
        <w:t>3</w:t>
      </w:r>
      <w:r>
        <w:t>N</w:t>
      </w:r>
      <w:r>
        <w:rPr>
          <w:vertAlign w:val="subscript"/>
        </w:rPr>
        <w:t>4</w:t>
      </w:r>
      <w:r>
        <w:t>. The intrinsic localized surface plasmon resonance (LSPR) of W</w:t>
      </w:r>
      <w:r>
        <w:rPr>
          <w:vertAlign w:val="subscript"/>
        </w:rPr>
        <w:t>18</w:t>
      </w:r>
      <w:r>
        <w:t>O</w:t>
      </w:r>
      <w:r>
        <w:rPr>
          <w:vertAlign w:val="subscript"/>
        </w:rPr>
        <w:t>49</w:t>
      </w:r>
      <w:r>
        <w:t>originates from periodically arranged lattice‐localized electrons in W</w:t>
      </w:r>
      <w:r>
        <w:t xml:space="preserve"> </w:t>
      </w:r>
      <w:r>
        <w:t>5+</w:t>
      </w:r>
      <w:r>
        <w:t xml:space="preserve"> </w:t>
      </w:r>
      <w:r>
        <w:t>clusters. Photogenerated carriers with strong redox capability and LSPR‐generated hot electrons are separated by the S‐scheme carrier transfer pathway. Under AM 1.5G illumination, the WOCN‐based LOBs exhibit an ultralow overpotential of 0.04 V and a round‐trip efficiency of 98.75%. Even under NIR illumination, an overpotential of 0.34 V and a round‐trip efficiency of 90.12% are achieved, demonstrating an effective NIR response in photo‐assisted LOBs for the first time. This work opens a new avenue for designing plasmonic S‐scheme heterojunctions toward next‐generation energy storage systems with full solar spectrum utilization.</w:t>
      </w:r>
    </w:p>
    <w:p>
      <w:pPr>
        <w:spacing w:before="120" w:after="120"/>
      </w:pPr>
      <w:r>
        <w:rPr>
          <w:sz w:val="18"/>
        </w:rPr>
        <w:t>——————————————————————————————————————————————————————————————————————</w:t>
      </w:r>
    </w:p>
    <w:p>
      <w:pPr>
        <w:spacing w:before="160" w:after="40" w:line="240" w:lineRule="auto"/>
      </w:pPr>
      <w:r>
        <w:rPr>
          <w:b/>
        </w:rPr>
        <w:t xml:space="preserve">[4] </w:t>
      </w:r>
      <w:hyperlink r:id="rId202">
        <w:r>
          <w:rPr>
            <w:color w:val="1155CC"/>
            <w:u w:val="single"/>
          </w:rPr>
          <w:t>软-刚液态金属-SiC杂化填料实现复合介电材料优异的非线性电导与电场调控</w:t>
        </w:r>
      </w:hyperlink>
    </w:p>
    <w:p>
      <w:pPr>
        <w:spacing w:before="0" w:after="80"/>
      </w:pPr>
      <w:r>
        <w:rPr>
          <w:i/>
          <w:sz w:val="20"/>
        </w:rPr>
        <w:t>EN: Soft‐Rigid Liquid Metal‐SiC Hybrid Fillers Enable Superior Nonlinear Conductivity and Electric Field Regulation of Composite Dielectrics</w:t>
      </w:r>
    </w:p>
    <w:p>
      <w:pPr>
        <w:spacing w:before="0" w:after="120"/>
      </w:pPr>
      <w:r>
        <w:rPr>
          <w:b/>
        </w:rPr>
        <w:t xml:space="preserve">Source: </w:t>
      </w:r>
      <w:r>
        <w:t>Wiley: Advanced Materials: Table of Contents</w:t>
      </w:r>
      <w:r>
        <w:t xml:space="preserve">    </w:t>
      </w:r>
      <w:r>
        <w:rPr>
          <w:b/>
        </w:rPr>
        <w:t xml:space="preserve">Pub date: </w:t>
      </w:r>
      <w:r>
        <w:t>2026-08-29 07:14:48+00:00</w:t>
      </w:r>
      <w:r>
        <w:t xml:space="preserve">    </w:t>
      </w:r>
      <w:r>
        <w:rPr>
          <w:b/>
        </w:rPr>
        <w:t xml:space="preserve">DOI: </w:t>
      </w:r>
      <w:hyperlink r:id="rId203">
        <w:r>
          <w:rPr>
            <w:color w:val="1155CC"/>
            <w:u w:val="single"/>
          </w:rPr>
          <w:t>10.1002/adma.74306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卓越电场调控能力的非线性电介质对先进电力设备至关重要。然而，传统非线性电介质材料依赖于电渗透机制，需要高浓度的非线性导电填料，这会损害绝缘和力学性能。本文提出一种采用软质液态金属与刚性碳化硅颗粒复合填料(LM-SiCp)的协同策略，以开发绝缘性非线性复合电介质。独特的LM-SiCp结构使其在低场下形成有利的势垒网络，在高场下电流呈陡峭指数增长，从而表现出优异的“低起始、高增益”非线性行为。所得复合材料的非线性系数高达约7.55，阈值场强从4.81 kV/mm显著降低至3.41 kV/mm。同时其韧性(2.29 MJ/m³)、热导率(0.36 W/mK)得到改善，并具有高击穿强度(约33.4 kV/mm)和低介电损耗(&lt;0.03)，确保复合电介质在实际工程条件下的稳定性能。该策略为电力设备中能够有效调控电场的高性能复合电介质提供了全新的设计理念。</w:t>
      </w:r>
    </w:p>
    <w:p>
      <w:pPr>
        <w:spacing w:before="0" w:after="200" w:lineRule="auto" w:line="276"/>
      </w:pPr>
      <w:r>
        <w:rPr>
          <w:b/>
        </w:rPr>
        <w:t xml:space="preserve">Abstract (EN): </w:t>
      </w:r>
      <w:r>
        <w:t>Nonlinear dielectrics with superior electric field regulation capabilities are essential for advanced power equipment. However, traditional nonlinear dielectric materials depend on an electrical percolation mechanism, requiring high concentrations of nonlinear conductive filler that degrade insulation and mechanical properties. Herein, we propose a synergistic strategy using a hybrid filler of soft liquid metal and rigid silicon carbide particles (LM‐SiCp) to develop insulating nonlinear composite dielectrics. The unique LM‐SiCp structure enables a favorable network of potential barriers at low fields and steep exponential current growth at high fields, yielding an excellent “low onset, high gain” nonlinear behavior. The resulting composites exhibit an impressive nonlinear coefficient of ∼7.55 and a markedly reduced threshold field strength from 4.81 to 3.41 kV/mm. It also achieves improved toughness (2.29 MJ/m</w:t>
      </w:r>
      <w:r>
        <w:rPr>
          <w:vertAlign w:val="subscript"/>
        </w:rPr>
        <w:t>3</w:t>
      </w:r>
      <w:r>
        <w:t>), thermal conductivity (0.36 W/mK), high breakdown strength (∼33.4 kV/mm), and low dielectric loss (&amp;lt;0.03), which ensure the stable performance of the composite dielectric under practical engineering conditions. This strategy offers a novel design concept for high‐performance composite dielectrics capable of effective electric field modulation in power equipment.</w:t>
      </w:r>
    </w:p>
    <w:p>
      <w:pPr>
        <w:spacing w:before="120" w:after="120"/>
      </w:pPr>
      <w:r>
        <w:rPr>
          <w:sz w:val="18"/>
        </w:rPr>
        <w:t>——————————————————————————————————————————————————————————————————————</w:t>
      </w:r>
    </w:p>
    <w:p>
      <w:pPr>
        <w:spacing w:before="160" w:after="40" w:line="240" w:lineRule="auto"/>
      </w:pPr>
      <w:r>
        <w:rPr>
          <w:b/>
        </w:rPr>
        <w:t xml:space="preserve">[5] </w:t>
      </w:r>
      <w:hyperlink r:id="rId204">
        <w:r>
          <w:rPr>
            <w:color w:val="1155CC"/>
            <w:u w:val="single"/>
          </w:rPr>
          <w:t>具有长弯曲循环寿命的自支撑柔性薄膜F‐Pt1/MnO2助力耐用可穿戴铝-空气电池</w:t>
        </w:r>
      </w:hyperlink>
    </w:p>
    <w:p>
      <w:pPr>
        <w:spacing w:before="0" w:after="80"/>
      </w:pPr>
      <w:r>
        <w:rPr>
          <w:i/>
          <w:sz w:val="20"/>
        </w:rPr>
        <w:t>EN: Self‐Supported Flexible Film F‐Pt1/MnO2 With Long Bending Cyclability Towards Robust Wearable Al‐Air Batteries</w:t>
      </w:r>
    </w:p>
    <w:p>
      <w:pPr>
        <w:spacing w:before="0" w:after="120"/>
      </w:pPr>
      <w:r>
        <w:rPr>
          <w:b/>
        </w:rPr>
        <w:t xml:space="preserve">Source: </w:t>
      </w:r>
      <w:r>
        <w:t>Wiley: Advanced Energy Materials: Table of Contents</w:t>
      </w:r>
      <w:r>
        <w:t xml:space="preserve">    </w:t>
      </w:r>
      <w:r>
        <w:rPr>
          <w:b/>
        </w:rPr>
        <w:t xml:space="preserve">Pub date: </w:t>
      </w:r>
      <w:r>
        <w:t>2026-08-30 10:06:56+00:00</w:t>
      </w:r>
      <w:r>
        <w:t xml:space="preserve">    </w:t>
      </w:r>
      <w:r>
        <w:rPr>
          <w:b/>
        </w:rPr>
        <w:t xml:space="preserve">DOI: </w:t>
      </w:r>
      <w:hyperlink r:id="rId205">
        <w:r>
          <w:rPr>
            <w:color w:val="1155CC"/>
            <w:u w:val="single"/>
          </w:rPr>
          <w:t>10.1002/aenm.71505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柔性铝-空气电池是可穿戴电子设备的有前途的电源，然而粉末基阴极较差的机械稳定性和低劣的耐碱腐蚀性严重阻碍了其实际应用。在此，我们以果冻状前驱体为原料，开发了一种无粘结剂的自支撑柔性薄膜 F-Pt₁/MnO₂ 来解决这些问题。结合结构表征和有限元分析模拟，该自支撑薄膜具有互连的分级孔道和机械坚固的网络，使其在 0 至 180° 弯曲下经过 5000 次循环后仍具有长期弯曲循环耐久性，△R/R₀ 仅轻微变化 2%。得益于无粘结剂结构，该薄膜在热碱老化处理 15 天后仍保持结构完整，无材料剥落。当用作柔性铝-空气电池的阴极时，其峰值功率密度为 77.9 mW cm⁻²，并具有超过 27 h 的稳定放电性能，优于大多数近期报道的催化剂。由于该电池在宽范围弯曲角度下的稳定输出，进一步驱动了一种可在频繁变形下检测长期脉冲信号的可穿戴设备。这项工作为可穿戴储能和转换器件的坚固自支撑薄膜的合理设计与制备提供了一种简便且通用的策略。</w:t>
      </w:r>
    </w:p>
    <w:p>
      <w:pPr>
        <w:spacing w:before="0" w:after="200" w:lineRule="auto" w:line="276"/>
      </w:pPr>
      <w:r>
        <w:rPr>
          <w:b/>
        </w:rPr>
        <w:t xml:space="preserve">Abstract (EN): </w:t>
      </w:r>
      <w:r>
        <w:t>Flexible Al‐air batteries are promising power supplies for wearable electronics, yet the practical application is severely hindered by poor mechanical stability of powder‐based cathode and inferior alkaline corrosion resistance. Here, derived from a jelly‐like precursor, we develop a binder‐free self‐supported flexible film F‐Pt</w:t>
      </w:r>
      <w:r>
        <w:rPr>
          <w:vertAlign w:val="subscript"/>
        </w:rPr>
        <w:t>1</w:t>
      </w:r>
      <w:r>
        <w:t>/MnO</w:t>
      </w:r>
      <w:r>
        <w:rPr>
          <w:vertAlign w:val="subscript"/>
        </w:rPr>
        <w:t>2</w:t>
      </w:r>
      <w:r>
        <w:t>to address these issues. Combined with structural characterizations and finite element analysis simulations, the self‐supported film features interconnected hierarchical pore channels and a mechanically robust network that enhances its long bending cyclability from 0 to 180° over 5000 cycles with a slight △R/R</w:t>
      </w:r>
      <w:r>
        <w:rPr>
          <w:vertAlign w:val="subscript"/>
        </w:rPr>
        <w:t>0</w:t>
      </w:r>
      <w:r>
        <w:t>alternation of 2%. Benefiting from the binder‐free structure, the film retains structural integrity with no material exfoliation after 15 days of hot alkaline aging treatment. When employed as a cathode in a flexible Al‐air battery, it delivers a peak power density of 77.9 mW cm</w:t>
      </w:r>
      <w:r>
        <w:t xml:space="preserve"> </w:t>
      </w:r>
      <w:r>
        <w:t>−2</w:t>
      </w:r>
      <w:r>
        <w:t xml:space="preserve"> </w:t>
      </w:r>
      <w:r>
        <w:t>and stable discharge performance for over 27 h, exceeding most of the recently reported catalysts. Due to the battery's stable output under wide‐scale bending angles, a wearable device is further driven that can detect long‐term pulse signals under frequent deformation. This work provides a facile and general strategy for the rational design and fabrication of robust free‐standing film for wearable energy storage and conversion devices.</w:t>
      </w:r>
    </w:p>
    <w:p>
      <w:pPr>
        <w:spacing w:before="120" w:after="120"/>
      </w:pPr>
      <w:r>
        <w:rPr>
          <w:sz w:val="18"/>
        </w:rPr>
        <w:t>——————————————————————————————————————————————————————————————————————</w:t>
      </w:r>
    </w:p>
    <w:p>
      <w:pPr>
        <w:spacing w:before="160" w:after="40" w:line="240" w:lineRule="auto"/>
      </w:pPr>
      <w:r>
        <w:rPr>
          <w:b/>
        </w:rPr>
        <w:t xml:space="preserve">[6] </w:t>
      </w:r>
      <w:hyperlink r:id="rId177">
        <w:r>
          <w:rPr>
            <w:color w:val="1155CC"/>
            <w:u w:val="single"/>
          </w:rPr>
          <w:t>纤维素材料在锌电池体系中集成离子传输、界面化学与结构稳定性</w:t>
        </w:r>
      </w:hyperlink>
    </w:p>
    <w:p>
      <w:pPr>
        <w:spacing w:before="0" w:after="80"/>
      </w:pPr>
      <w:r>
        <w:rPr>
          <w:i/>
          <w:sz w:val="20"/>
        </w:rPr>
        <w:t>EN: Cellulose Materials Integrate Ion Transport, Interfacial Chemistry, and Structural Stability in Zinc Battery Systems</w:t>
      </w:r>
    </w:p>
    <w:p>
      <w:pPr>
        <w:spacing w:before="0" w:after="120"/>
      </w:pPr>
      <w:r>
        <w:rPr>
          <w:b/>
        </w:rPr>
        <w:t xml:space="preserve">Source: </w:t>
      </w:r>
      <w:r>
        <w:t>Wiley: Advanced Energy Materials: Table of Contents</w:t>
      </w:r>
      <w:r>
        <w:t xml:space="preserve">    </w:t>
      </w:r>
      <w:r>
        <w:rPr>
          <w:b/>
        </w:rPr>
        <w:t xml:space="preserve">Pub date: </w:t>
      </w:r>
      <w:r>
        <w:t>2026-08-30 10:14:01+00:00</w:t>
      </w:r>
      <w:r>
        <w:t xml:space="preserve">    </w:t>
      </w:r>
      <w:r>
        <w:rPr>
          <w:b/>
        </w:rPr>
        <w:t xml:space="preserve">DOI: </w:t>
      </w:r>
      <w:hyperlink r:id="rId178">
        <w:r>
          <w:rPr>
            <w:color w:val="1155CC"/>
            <w:u w:val="single"/>
          </w:rPr>
          <w:t>10.1002/aenm.71473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充电锌电池为实现安全、低成本和可持续的储能提供了一条有前途的途径，但其实际应用受到不均匀离子传输、寄生界面反应和渐进式结构退化的阻碍。纤维素因其含氧官能团、分级纤维结构和可加工网络而备受青睐，可针对锌负极、电解质、隔膜、正极和柔性器件进行定制。本综述讨论了纤维素基材料在温和水系锌离子电池和碱性锌-空气电池中的最新进展，重点关注化学改性、纳米尺度组织、孔结构和湿态力学如何影响离子传导、电极/电解质接触和结构保持。特别关注支持所提出机制的证据以及两种体系截然不同的反应环境，包括温和电解质中的 Zn²⁺ 传输与沉积/剥离，以及碱性电池中的 OH⁻ 传输、锌酸盐再分配、ZnO 演变和空气电极过程。本综述还考察了性能权衡、多组分体系中的组分贡献，以及不同测试条件下比较的局限性。通过将纤维素化学和结构与特定化学体系的电池需求相结合，为材料选择、机制验证和面向器件的设计提供了实用指导</w:t>
      </w:r>
    </w:p>
    <w:p>
      <w:pPr>
        <w:spacing w:before="0" w:after="200" w:lineRule="auto" w:line="276"/>
      </w:pPr>
      <w:r>
        <w:rPr>
          <w:b/>
        </w:rPr>
        <w:t xml:space="preserve">Abstract (EN): </w:t>
      </w:r>
      <w:r>
        <w:t>Rechargeable zinc batteries offer a promising route toward safe, low‐cost, and sustainable energy storage, but their practical application is hindered by nonuniform ion transport, parasitic interfacial reactions, and progressive structural degradation. Cellulose is attractive because its oxygen‐containing functional groups, hierarchical fibrous structure, and processable networks can be tailored for zinc anodes, electrolytes, separators, cathodes, and flexible devices. This Review discusses recent advances in cellulose‐based materials for mild aqueous zinc‐ion batteries and alkaline zinc‐air batteries, focusing on how chemical modification, nanoscale organization, pore structure, and wet‐state mechanics affect ion conduction, electrode/electrolyte contact, and structural retention. Particular attention is given to the evidence supporting proposed mechanisms and to the distinct reaction environments of the two systems, including Zn</w:t>
      </w:r>
      <w:r>
        <w:t xml:space="preserve"> </w:t>
      </w:r>
      <w:r>
        <w:t>2+</w:t>
      </w:r>
      <w:r>
        <w:t xml:space="preserve"> </w:t>
      </w:r>
      <w:r>
        <w:t>transport and plating/stripping in mild electrolytes, and OH</w:t>
      </w:r>
      <w:r>
        <w:t xml:space="preserve"> </w:t>
      </w:r>
      <w:r>
        <w:t>−</w:t>
      </w:r>
      <w:r>
        <w:t>transport, zincate redistribution, ZnO evolution, and air‐electrode processes in alkaline cells. The Review also examines performance trade‐offs, component contributions in multicomponent systems, and the limits of comparisons across different testing conditions. By linking cellulose chemistry and architecture with chemistry‐specific battery requirements, it provides practical guidance for material selection, mechanism verification, and device‐oriented design, while identifying chemical durability, dimensional stability, feedstock consistency, standardized evaluation, and scalable manufacturing as priorities for future development.</w:t>
      </w:r>
    </w:p>
    <w:p>
      <w:pPr>
        <w:spacing w:before="120" w:after="120"/>
      </w:pPr>
      <w:r>
        <w:rPr>
          <w:sz w:val="18"/>
        </w:rPr>
        <w:t>——————————————————————————————————————————————————————————————————————</w:t>
      </w:r>
    </w:p>
    <w:p>
      <w:pPr>
        <w:spacing w:before="160" w:after="40" w:line="240" w:lineRule="auto"/>
      </w:pPr>
      <w:r>
        <w:rPr>
          <w:b/>
        </w:rPr>
        <w:t xml:space="preserve">[7] </w:t>
      </w:r>
      <w:hyperlink r:id="rId206">
        <w:r>
          <w:rPr>
            <w:color w:val="1155CC"/>
            <w:u w:val="single"/>
          </w:rPr>
          <w:t>离子单元修饰介电弹性体：一种降低驱动电场的新方法</w:t>
        </w:r>
      </w:hyperlink>
    </w:p>
    <w:p>
      <w:pPr>
        <w:spacing w:before="0" w:after="80"/>
      </w:pPr>
      <w:r>
        <w:rPr>
          <w:i/>
          <w:sz w:val="20"/>
        </w:rPr>
        <w:t>EN: Modification of Dielectric Elastomer with Ionic Units: A New Approach to Lowering Driving Electric Fields</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206">
        <w:r>
          <w:rPr>
            <w:color w:val="1155CC"/>
            <w:u w:val="single"/>
          </w:rPr>
          <w:t>10.1021/acsami.6c12636</w:t>
        </w:r>
      </w:hyperlink>
    </w:p>
    <w:p>
      <w:pPr>
        <w:spacing w:before="0" w:after="120"/>
      </w:pPr>
      <w:r>
        <w:rPr>
          <w:b/>
        </w:rPr>
        <w:t xml:space="preserve">Notes: </w:t>
      </w:r>
      <w:r>
        <w:t>abstract_source=crossref</w:t>
      </w:r>
    </w:p>
    <w:p>
      <w:pPr>
        <w:spacing w:before="0" w:after="80" w:lineRule="auto" w:line="276"/>
      </w:pPr>
      <w:r>
        <w:rPr>
          <w:b/>
        </w:rPr>
        <w:t xml:space="preserve">摘要（ZH）: </w:t>
      </w:r>
      <w:r>
        <w:t>摘要 介电弹性体 (DEs) 已成为有前景的人工肌肉，能够复制甚至超越天然肌肉的性能。然而，其广泛应用因需要高驱动电场而受到严重阻碍。为解决这一问题，近期研究集中于将离子单元引入 DEs 以增强极化。值得注意的是，离子单元在提升介电常数方面的效果远超传统极性基团或高介电常数填料，从而使介电弹性体致动器 (DEAs) 能够在显著更低的电场下成功运行。本综述全面概述了 DEs 的离子改性策略。我们系统比较了离子改性 DEs 与传统离子聚合物（如离子聚合物-金属复合材料中的聚合物）的材料设计原理，并阐明了不同离子组分如何影响 DEs 的介电、机械和致动性能。最后，我们重点介绍了离子改性 DEs 在软体机器人和可穿戴电子器件中的最新应用，并讨论了推动这些材料走向实用化低场驱动的挑战与潜在解决方案。</w:t>
      </w:r>
    </w:p>
    <w:p>
      <w:pPr>
        <w:spacing w:before="0" w:after="200" w:lineRule="auto" w:line="276"/>
      </w:pPr>
      <w:r>
        <w:rPr>
          <w:b/>
        </w:rPr>
        <w:t xml:space="preserve">Abstract (EN): </w:t>
      </w:r>
      <w:r>
        <w:t>Dielectric elastomers (DEs) have emerged as promising artificial muscles, capable of replicating or even surpassing natural muscle performance. However, their widespread application is severely hindered by the requirement for high driving electric fields. To address this issue, recent research has focused on incorporating ionic units into DEs to enhance polarization. Notably, the effect of ionic units in boosting the dielectric constant far exceeds that of conventional polar groups or high-permittivity fillers, thus enabling successful operation of dielectric elastomer actuators (DEAs) at significantly lower electric fields. This review provides a comprehensive overview of ion modification strategies for DEs. We systematically compare the material design principles between ion-modified DEs and conventional ionic polymers (e.g., those in ionic polymer-metal composites), and elucidate how different ionic components influence the dielectric, mechanical, and actuation properties of DEs. Finally, we highlight the state-of-the-art applications of ion-modified DEs in soft robots and wearable electronics, and discuss the challenges and potential solutions for advancing these materials toward practical low-field actuation.</w:t>
      </w:r>
    </w:p>
    <w:p>
      <w:pPr>
        <w:spacing w:before="120" w:after="120"/>
      </w:pPr>
      <w:r>
        <w:rPr>
          <w:sz w:val="18"/>
        </w:rPr>
        <w:t>——————————————————————————————————————————————————————————————————————</w:t>
      </w:r>
    </w:p>
    <w:p>
      <w:pPr>
        <w:spacing w:before="160" w:after="40" w:line="240" w:lineRule="auto"/>
      </w:pPr>
      <w:r>
        <w:rPr>
          <w:b/>
        </w:rPr>
        <w:t xml:space="preserve">[8] </w:t>
      </w:r>
      <w:hyperlink r:id="rId207">
        <w:r>
          <w:rPr>
            <w:color w:val="1155CC"/>
            <w:u w:val="single"/>
          </w:rPr>
          <w:t>蔗糖辅助氮化硼界面工程用于低介电损耗和增强导热性的BT基高频电子封装基板</w:t>
        </w:r>
      </w:hyperlink>
    </w:p>
    <w:p>
      <w:pPr>
        <w:spacing w:before="0" w:after="80"/>
      </w:pPr>
      <w:r>
        <w:rPr>
          <w:i/>
          <w:sz w:val="20"/>
        </w:rPr>
        <w:t>EN: Sucrose-Assisted Interface Engineering of Boron Nitride for BT-Based High-Frequency Electronic Packaging Substrates with Low Dielectric Loss and Enhanced Thermal Conductivity</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207">
        <w:r>
          <w:rPr>
            <w:color w:val="1155CC"/>
            <w:u w:val="single"/>
          </w:rPr>
          <w:t>10.1021/acsami.6c13616</w:t>
        </w:r>
      </w:hyperlink>
    </w:p>
    <w:p>
      <w:pPr>
        <w:spacing w:before="0" w:after="120"/>
      </w:pPr>
      <w:r>
        <w:rPr>
          <w:b/>
        </w:rPr>
        <w:t xml:space="preserve">Notes: </w:t>
      </w:r>
      <w:r>
        <w:t>abstract_source=crossref</w:t>
      </w:r>
    </w:p>
    <w:p>
      <w:pPr>
        <w:spacing w:before="0" w:after="80" w:lineRule="auto" w:line="276"/>
      </w:pPr>
      <w:r>
        <w:rPr>
          <w:b/>
        </w:rPr>
        <w:t xml:space="preserve">摘要（ZH）: </w:t>
      </w:r>
      <w:r>
        <w:t>摘要 高频通信、异构集成和高功率密度封装技术的快速演进，对聚合物基封装基板的低损耗信号传输和高效散热提出了日益严格的要求。本文开发了一种结合蔗糖辅助机械化学活化与硅烷偶联的BN界面工程策略，并将所得功能化BN（f-BN）与SiO2作为混合填料引入玻璃纤维布增强双马来酰亚胺-三嗪（BT）树脂复合材料中。结果表明，蔗糖辅助球磨在BN表面生成了富含羟基的活性层，实现了苯氨基 silane 的后续接枝，从而改善了f-BN在复合材料中的分散与界面结合。通过用导热f-BN部分取代SiO2，f-BN45复合材料在10 GHz下实现了0.003的极低介电损耗（Df）以及1.53 W m–1 K–1的面外导热系数，比仅填充SiO2的复合材料高86.9%。除了低Df和增强的导热能力外，f-BN45还改善了复合材料的尺寸稳定性，其X轴CTE为7.2 ppm/°C，同时在宽温度范围内保持稳定的介电性能。实际功率器件散热评估和有限元模拟进一步证实了f-BN45在芯片热管理方面的优势。这项工作凸显了蔗糖辅助表面活化……</w:t>
      </w:r>
    </w:p>
    <w:p>
      <w:pPr>
        <w:spacing w:before="0" w:after="200" w:lineRule="auto" w:line="276"/>
      </w:pPr>
      <w:r>
        <w:rPr>
          <w:b/>
        </w:rPr>
        <w:t xml:space="preserve">Abstract (EN): </w:t>
      </w:r>
      <w:r>
        <w:t>The rapid evolution of high-frequency communication, heterogeneous integration, and high-power-density packaging technologies has imposed increasingly stringent requirements for low-loss signal transmission and efficient heat dissipation on polymer-based packaging substrates. Herein, a BN interfacial engineering strategy combining sucrose-assisted mechanochemical activation with silane coupling was developed, and the resulting functionalized BN (f-BN) and SiO2 were incorporated as hybrid fillers into glass fiber fabric-reinforced bismaleimide-triazine (BT) resin composites. The results reveal that sucrose-assisted ball milling generated a hydroxyl-rich active layer on the BN surface, enabling the subsequent grafting of phenylamino silane and thereby improving the dispersion and interfacial bonding of f-BN within the composites. With the partial replacement of SiO2 by thermally conductive f-BN, the f-BN45 composite achieved an extremely low dielectric loss (Df) of 0.003 at 10 GHz and a through-plane thermal conductivity of 1.53 W m–1 K–1, which was 86.9% higher than that of the composite filled only with SiO2. In addition to its low Df and enhanced heat-conduction capability, f-BN45 also exhibited improved dimensional stability of the composites, as reflected by an X-axis CTE of 7.2 ppm/°C, while maintaining stable dielectric performance over a wide temperature range. Practical power device heat-dissipation evaluation and finite element simulations further confirmed the advantage of f-BN45 in chip thermal management. This work highlights sucrose-assisted surface activation combined with silane coupling as an effective route to tailoring the BN/resin interface, offering a feasible paradigm for high-performance BT-based composites in high-frequency electronic packaging and thermal management applications.</w:t>
      </w:r>
    </w:p>
    <w:p>
      <w:pPr>
        <w:spacing w:before="120" w:after="120"/>
      </w:pPr>
      <w:r>
        <w:rPr>
          <w:sz w:val="18"/>
        </w:rPr>
        <w:t>——————————————————————————————————————————————————————————————————————</w:t>
      </w:r>
    </w:p>
    <w:p>
      <w:pPr>
        <w:spacing w:before="160" w:after="40" w:line="240" w:lineRule="auto"/>
      </w:pPr>
      <w:r>
        <w:rPr>
          <w:b/>
        </w:rPr>
        <w:t xml:space="preserve">[9] </w:t>
      </w:r>
      <w:hyperlink r:id="rId208">
        <w:r>
          <w:rPr>
            <w:color w:val="1155CC"/>
            <w:u w:val="single"/>
          </w:rPr>
          <w:t>基于孪晶缺陷PdRh双金属烯的草酸盐催化路径实现超稳定Mg-CO2电池</w:t>
        </w:r>
      </w:hyperlink>
    </w:p>
    <w:p>
      <w:pPr>
        <w:spacing w:before="0" w:after="80"/>
      </w:pPr>
      <w:r>
        <w:rPr>
          <w:i/>
          <w:sz w:val="20"/>
        </w:rPr>
        <w:t>EN: Oxalate Catalytic Pathway Over Fault‐Twinned PdRh Bimetallene Enables Ultrastable Mg‐CO2 Batteries</w:t>
      </w:r>
    </w:p>
    <w:p>
      <w:pPr>
        <w:spacing w:before="0" w:after="120"/>
      </w:pPr>
      <w:r>
        <w:rPr>
          <w:b/>
        </w:rPr>
        <w:t xml:space="preserve">Source: </w:t>
      </w:r>
      <w:r>
        <w:t>Wiley: Advanced Materials: Table of Contents</w:t>
      </w:r>
      <w:r>
        <w:t xml:space="preserve">    </w:t>
      </w:r>
      <w:r>
        <w:rPr>
          <w:b/>
        </w:rPr>
        <w:t xml:space="preserve">Pub date: </w:t>
      </w:r>
      <w:r>
        <w:t>2026-08-31 09:37:22+00:00</w:t>
      </w:r>
      <w:r>
        <w:t xml:space="preserve">    </w:t>
      </w:r>
      <w:r>
        <w:rPr>
          <w:b/>
        </w:rPr>
        <w:t xml:space="preserve">DOI: </w:t>
      </w:r>
      <w:hyperlink r:id="rId209">
        <w:r>
          <w:rPr>
            <w:color w:val="1155CC"/>
            <w:u w:val="single"/>
          </w:rPr>
          <w:t>10.1002/adma.74594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Mg‐CO2电池的可逆性依赖于草酸盐路径的稳定化，然而传统催化剂，如贵金属催化剂、过渡金属催化剂和氧化还原介质，往往过度稳定草酸盐中间体，阻碍其脱附并导致碳酸盐生成，挑战Mg‐CO2电池的稳定性。在这项工作中，我们提出了一种弱化结合的电子调制策略，平衡CO2活化与MgC2O4释放，从而大幅提升Mg‐CO2电池的可逆性。我们证明，缺陷孪晶PdRh双金属烯——其中Rh的掺入使Pd d带中心下移以减弱草酸盐吸附，Rh衍生的传导态增强CO2活化——能够很好地催化CO2的可逆转化。同时，丰富堆垛层错产生的应变场形成了配位不足的Pd位点，促进CO2→C2O4 2−的转化。这种双重调节稳定了以往催化</w:t>
      </w:r>
    </w:p>
    <w:p>
      <w:pPr>
        <w:spacing w:before="0" w:after="200" w:lineRule="auto" w:line="276"/>
      </w:pPr>
      <w:r>
        <w:rPr>
          <w:b/>
        </w:rPr>
        <w:t xml:space="preserve">Abstract (EN): </w:t>
      </w:r>
      <w:r>
        <w:t>The reversibility of Mg‐CO</w:t>
      </w:r>
      <w:r>
        <w:rPr>
          <w:vertAlign w:val="subscript"/>
        </w:rPr>
        <w:t>2</w:t>
      </w:r>
      <w:r>
        <w:t>batteries relies on stabilizing the oxalate pathway,</w:t>
      </w:r>
      <w:r>
        <w:t xml:space="preserve"> </w:t>
      </w:r>
      <w:r>
        <w:t>yet</w:t>
      </w:r>
      <w:r>
        <w:t xml:space="preserve"> </w:t>
      </w:r>
      <w:r>
        <w:t>conventional catalysts, such as noble metal catalyst, transition metal catalyst, and redox mediator, tend to over‐stabilize oxalate intermediates, impeding their desorption and leading to carbonate formation, challenging the stability of Mg‐CO</w:t>
      </w:r>
      <w:r>
        <w:rPr>
          <w:vertAlign w:val="subscript"/>
        </w:rPr>
        <w:t>2</w:t>
      </w:r>
      <w:r>
        <w:t>batteries. In this work, we propose a binding‐weakening electronic modulation strategy that balances CO</w:t>
      </w:r>
      <w:r>
        <w:rPr>
          <w:vertAlign w:val="subscript"/>
        </w:rPr>
        <w:t>2</w:t>
      </w:r>
      <w:r>
        <w:t>activation and MgC</w:t>
      </w:r>
      <w:r>
        <w:rPr>
          <w:vertAlign w:val="subscript"/>
        </w:rPr>
        <w:t>2</w:t>
      </w:r>
      <w:r>
        <w:t>O</w:t>
      </w:r>
      <w:r>
        <w:rPr>
          <w:vertAlign w:val="subscript"/>
        </w:rPr>
        <w:t>4</w:t>
      </w:r>
      <w:r>
        <w:t>release for greatly enhancing the reversibility of Mg‐CO</w:t>
      </w:r>
      <w:r>
        <w:rPr>
          <w:vertAlign w:val="subscript"/>
        </w:rPr>
        <w:t>2</w:t>
      </w:r>
      <w:r>
        <w:t>batteries. We demonstrate that the fault‐twinned PdRh bimetallene, where Rh incorporation downshifts the Pd</w:t>
      </w:r>
      <w:r>
        <w:t xml:space="preserve"> </w:t>
      </w:r>
      <w:r>
        <w:t>d</w:t>
      </w:r>
      <w:r>
        <w:t xml:space="preserve"> </w:t>
      </w:r>
      <w:r>
        <w:t>‐band center for weakening oxalate adsorption and Rh‐derived conduction states enhance CO</w:t>
      </w:r>
      <w:r>
        <w:rPr>
          <w:vertAlign w:val="subscript"/>
        </w:rPr>
        <w:t>2</w:t>
      </w:r>
      <w:r>
        <w:t>activation, can well catalyze the reversible CO</w:t>
      </w:r>
      <w:r>
        <w:rPr>
          <w:vertAlign w:val="subscript"/>
        </w:rPr>
        <w:t>2</w:t>
      </w:r>
      <w:r>
        <w:t>conversion. Meanwhile, strain fields from abundant stacking faults create undercoordinated Pd sites that facilitate CO</w:t>
      </w:r>
      <w:r>
        <w:rPr>
          <w:vertAlign w:val="subscript"/>
        </w:rPr>
        <w:t>2</w:t>
      </w:r>
      <w:r>
        <w:t>→</w:t>
      </w:r>
      <w:r>
        <w:t xml:space="preserve"> </w:t>
      </w:r>
      <w:r>
        <w:t>C</w:t>
      </w:r>
      <w:r>
        <w:rPr>
          <w:vertAlign w:val="subscript"/>
        </w:rPr>
        <w:t>2</w:t>
      </w:r>
      <w:r>
        <w:t>O</w:t>
      </w:r>
      <w:r>
        <w:rPr>
          <w:vertAlign w:val="subscript"/>
        </w:rPr>
        <w:t>4</w:t>
      </w:r>
      <w:r>
        <w:t>2−</w:t>
      </w:r>
      <w:r>
        <w:t>conversion. This dual regulation stabilizes the oxalate pathway that previous catalysts could not sustain for achieving ultrastable cycling over 700 h with minimal polarization (1.10 V discharge, 1.21 V charge), which represents a benchmark for both durability and energy efficiency among Mg‐CO</w:t>
      </w:r>
      <w:r>
        <w:rPr>
          <w:vertAlign w:val="subscript"/>
        </w:rPr>
        <w:t>2</w:t>
      </w:r>
      <w:r>
        <w:t>batteries. The work establishes a new mechanistic foundation for rational pathway control in multivalent CO</w:t>
      </w:r>
      <w:r>
        <w:rPr>
          <w:vertAlign w:val="subscript"/>
        </w:rPr>
        <w:t>2</w:t>
      </w:r>
      <w:r>
        <w:t>electrochemistry.</w:t>
      </w:r>
    </w:p>
    <w:p>
      <w:pPr>
        <w:spacing w:before="120" w:after="120"/>
      </w:pPr>
      <w:r>
        <w:rPr>
          <w:sz w:val="18"/>
        </w:rPr>
        <w:t>——————————————————————————————————————————————————————————————————————</w:t>
      </w:r>
    </w:p>
    <w:p>
      <w:pPr>
        <w:spacing w:before="160" w:after="40" w:line="240" w:lineRule="auto"/>
      </w:pPr>
      <w:r>
        <w:rPr>
          <w:b/>
        </w:rPr>
        <w:t xml:space="preserve">[10] </w:t>
      </w:r>
      <w:hyperlink r:id="rId210">
        <w:r>
          <w:rPr>
            <w:color w:val="1155CC"/>
            <w:u w:val="single"/>
          </w:rPr>
          <w:t>电压稳定MXene添加剂电解液减轻外力对多功能混合结构超级电容器充放电过程的干扰</w:t>
        </w:r>
      </w:hyperlink>
    </w:p>
    <w:p>
      <w:pPr>
        <w:spacing w:before="0" w:after="80"/>
      </w:pPr>
      <w:r>
        <w:rPr>
          <w:i/>
          <w:sz w:val="20"/>
        </w:rPr>
        <w:t>EN: A Voltage‐Stabilizing MXene Additive Electrolyte Mitigates Interference From External Force on the Charge‐Discharge Process for Multifunctional Hybrid Structural Supercapacitors</w:t>
      </w:r>
    </w:p>
    <w:p>
      <w:pPr>
        <w:spacing w:before="0" w:after="120"/>
      </w:pPr>
      <w:r>
        <w:rPr>
          <w:b/>
        </w:rPr>
        <w:t xml:space="preserve">Source: </w:t>
      </w:r>
      <w:r>
        <w:t>Wiley: Advanced Materials: Table of Contents</w:t>
      </w:r>
      <w:r>
        <w:t xml:space="preserve">    </w:t>
      </w:r>
      <w:r>
        <w:rPr>
          <w:b/>
        </w:rPr>
        <w:t xml:space="preserve">Pub date: </w:t>
      </w:r>
      <w:r>
        <w:t>2026-08-31 13:45:55+00:00</w:t>
      </w:r>
      <w:r>
        <w:t xml:space="preserve">    </w:t>
      </w:r>
      <w:r>
        <w:rPr>
          <w:b/>
        </w:rPr>
        <w:t xml:space="preserve">DOI: </w:t>
      </w:r>
      <w:hyperlink r:id="rId211">
        <w:r>
          <w:rPr>
            <w:color w:val="1155CC"/>
            <w:u w:val="single"/>
          </w:rPr>
          <w:t>10.1002/adma.74868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同时存储电化学能量并承受机械载荷的结构储能器件(SESDs)中,外力通常会影响SESDs的电化学性能。一个例子是,在循环弯曲应力下,充放电曲线中会出现电压波纹,导致电压不稳定。在本研究中,我们证明这些电压波纹源于机械变形区域内空间不均匀的电场分布。通过利用MXene添加剂电解质中由氢键网络形成的极化电场,我们可以有效均匀化电场分布,从而衰减电压波纹并使电压曲线平滑。此外,均匀的电场分布促进了均匀的Zn沉积并延长了器件寿命。因此,所制备的含有MXene添加剂电解质的锌离子基结构混合超级电容器(CSHS)在应变为0.5%下经过10000次三点弯曲循环后表现出93.6%的容量保持率,远高于未添加MXene的CSHS(80.4%)。对SESDs电压波纹抑制的研究为设计能够在机械载荷下表现出稳定电压的高性能结构电源提供了一条可行途径。</w:t>
      </w:r>
    </w:p>
    <w:p>
      <w:pPr>
        <w:spacing w:before="0" w:after="200" w:lineRule="auto" w:line="276"/>
      </w:pPr>
      <w:r>
        <w:rPr>
          <w:b/>
        </w:rPr>
        <w:t xml:space="preserve">Abstract (EN): </w:t>
      </w:r>
      <w:r>
        <w:t>In structural energy storage devices (SESDs) that simultaneously store electrochemical energy and bear mechanical loading, the external force will normally affect the electrochemical performance of SESDs. One example is that, under cyclic bending stress, voltage ripples emerge in charge‐discharge curves, which cause voltage instability. In this study, we demonstrate that these voltage ripples originate from spatially heterogeneous electric field distribution within the mechanically deformed region. By using polarized electric fields formed through hydrogen bonding networks in MXene additive electrolyte, we can effectively homogenize the distribution of the electric field, thereby attenuating voltage ripples and smoothing the voltage curves. Moreover, the uniform electric field distribution promotes uniform Zn deposition and extends the device lifespan. As a result, the fabricated Zn‐ion‐based structural hybrid supercapacitor (CSHS) with MXene additive electrolyte exhibits a capacity retention of 93.6% after 10 000 three‐point bending cycles at a strain of 0.5%, much higher than that of CSHS without the addition of MXene (80.4%). The investigation into the suppression of voltage ripples of SESDs paves a viable way to design high‐performance structural power sources capable of exhibiting stable voltage under mechanical loading.</w:t>
      </w:r>
    </w:p>
    <w:p>
      <w:pPr>
        <w:spacing w:before="120" w:after="120"/>
      </w:pPr>
      <w:r>
        <w:rPr>
          <w:sz w:val="18"/>
        </w:rPr>
        <w:t>——————————————————————————————————————————————————————————————————————</w:t>
      </w:r>
    </w:p>
    <w:p>
      <w:pPr>
        <w:spacing w:before="160" w:after="40" w:line="240" w:lineRule="auto"/>
      </w:pPr>
      <w:r>
        <w:rPr>
          <w:b/>
        </w:rPr>
        <w:t xml:space="preserve">[11] </w:t>
      </w:r>
      <w:hyperlink r:id="rId212">
        <w:r>
          <w:rPr>
            <w:color w:val="1155CC"/>
            <w:u w:val="single"/>
          </w:rPr>
          <w:t>基于CNN-BiGRU与迁移学习的钒氧化还原液流电池自适应泵故障检测</w:t>
        </w:r>
      </w:hyperlink>
    </w:p>
    <w:p>
      <w:pPr>
        <w:spacing w:before="0" w:after="80"/>
      </w:pPr>
      <w:r>
        <w:rPr>
          <w:i/>
          <w:sz w:val="20"/>
        </w:rPr>
        <w:t>EN: Adaptive Pump Fault Detection for Vanadium Redox Flow Batteries Based on CNN-BiGRU and Transfer Learning</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213">
        <w:r>
          <w:rPr>
            <w:color w:val="1155CC"/>
            <w:u w:val="single"/>
          </w:rPr>
          <w:t>10.1109/tec.2026.3686467</w:t>
        </w:r>
      </w:hyperlink>
    </w:p>
    <w:p>
      <w:pPr>
        <w:spacing w:before="0" w:after="120"/>
      </w:pPr>
      <w:r>
        <w:rPr>
          <w:b/>
        </w:rPr>
        <w:t xml:space="preserve">Notes: </w:t>
      </w:r>
      <w:r>
        <w:t>abstract_source=semanticscholar</w:t>
      </w:r>
    </w:p>
    <w:p>
      <w:pPr>
        <w:spacing w:before="0" w:after="80" w:lineRule="auto" w:line="276"/>
      </w:pPr>
      <w:r>
        <w:rPr>
          <w:b/>
        </w:rPr>
        <w:t xml:space="preserve">摘要（ZH）: </w:t>
      </w:r>
      <w:r>
        <w:t>钒液流电池（VRB）易于发生泵故障，可能导致过充、过放以及对电池堆不可逆的损坏等严重问题。针对VRB的有效实时故障检测方法至关重要但尚不完善。本研究提出了一种数据驱动的VRB泵故障检测方法，采用卷积神经网络结合双向门控循环单元，基于可测量的电流、流量和荷电状态来预测电压，而无需依赖复杂的电化学模型。针对文献中常被忽视的电池老化和系统变异性的影响，采用了一种带模型尾部微调的离线迁移学习策略，利用少量新采集的数据对预训练模型的参数进行自适应调整。通过将电压预测误差与基于3σ准则确定的阈值进行比较来识别泵故障。在涵盖两种运行条件下三种不同泵故障模式的六种故障场景下的实验结果表明，所提出的方法能够及时准确地检测故障，显著提高了VRB系统的可靠性。</w:t>
      </w:r>
    </w:p>
    <w:p>
      <w:pPr>
        <w:spacing w:before="0" w:after="200" w:lineRule="auto" w:line="276"/>
      </w:pPr>
      <w:r>
        <w:rPr>
          <w:b/>
        </w:rPr>
        <w:t xml:space="preserve">Abstract (EN): </w:t>
      </w:r>
      <w:r>
        <w:t>Vanadium redox flow batteries (VRBs) are vulnerable to pump malfunctions, which can cause severe problems like overcharging, overdischarging, and irreversible damage to the battery stack. Effective real-time fault detection methods for VRBs are essential but underdeveloped. This study proposes a data-driven approach for VRB pump fault detection using a convolutional neural network combined with bi-directional gated recurrent units to predict voltage based on measurable current, flow rate, and state of charge without relying on complex electrochemical models. To address the impact of battery aging and system variability, which are often overlooked in the literature, an offline transfer learning strategy with model tail fine-tuning is employed to adapt the parameters of the pre-trained model using a small amount of newly collected data. Pump faults are identified by comparing voltage prediction errors against a threshold derived from the 3σ criterion. Experimental results across six fault scenarios encompassing three distinct pump fault modes under two operational conditions demonstrate that the proposed method achieves timely and accurate fault detection, significantly improving the reliability of VRB systems.</w:t>
      </w:r>
    </w:p>
    <w:p>
      <w:pPr>
        <w:spacing w:before="120" w:after="120"/>
      </w:pPr>
      <w:r>
        <w:rPr>
          <w:sz w:val="18"/>
        </w:rPr>
        <w:t>——————————————————————————————————————————————————————————————————————</w:t>
      </w:r>
    </w:p>
    <w:p>
      <w:pPr>
        <w:spacing w:before="160" w:after="40" w:line="240" w:lineRule="auto"/>
      </w:pPr>
      <w:r>
        <w:rPr>
          <w:b/>
        </w:rPr>
        <w:t xml:space="preserve">[12] </w:t>
      </w:r>
      <w:hyperlink r:id="rId214">
        <w:r>
          <w:rPr>
            <w:color w:val="1155CC"/>
            <w:u w:val="single"/>
          </w:rPr>
          <w:t>柔性醚氧基共价有机框架的电子调控用于高效氧还原反应 (Adv. Mater. 49/2026)</w:t>
        </w:r>
      </w:hyperlink>
    </w:p>
    <w:p>
      <w:pPr>
        <w:spacing w:before="0" w:after="80"/>
      </w:pPr>
      <w:r>
        <w:rPr>
          <w:i/>
          <w:sz w:val="20"/>
        </w:rPr>
        <w:t>EN: Electronic Modulation of Flexible Ether Oxygen‐Based Covalent Organic Frameworks for Efficient Oxygen Reduction Reaction (Adv. Mater. 49/2026)</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215">
        <w:r>
          <w:rPr>
            <w:color w:val="1155CC"/>
            <w:u w:val="single"/>
          </w:rPr>
          <w:t>10.1002/adma.74795</w:t>
        </w:r>
      </w:hyperlink>
    </w:p>
    <w:p>
      <w:pPr>
        <w:spacing w:before="0" w:after="120"/>
      </w:pPr>
      <w:r>
        <w:rPr>
          <w:b/>
        </w:rPr>
        <w:t xml:space="preserve">Notes: </w:t>
      </w:r>
      <w:r>
        <w:t>abstract_source=openalex</w:t>
      </w:r>
    </w:p>
    <w:p>
      <w:pPr>
        <w:spacing w:before="0" w:after="80" w:lineRule="auto" w:line="276"/>
      </w:pPr>
      <w:r>
        <w:rPr>
          <w:b/>
        </w:rPr>
        <w:t xml:space="preserve">摘要（ZH）: </w:t>
      </w:r>
      <w:r>
        <w:t>无金属COFs电催化剂 Xuewen Li、Rong Xiang及其合作者开发了一种动态自适应的基于COF的氧还原催化剂，该催化剂集成了柔性醚键连接和强吸电子三嗪单元。醚键连接创造了便于传质的可及孔道，而三嗪基元则调节框架内的电荷转移。通过高效利用空气中的氧气，该催化剂使锌-空气电池能够实现清洁发电。更多详情见研究论文（DOI: 10.1002/adma.74027）。</w:t>
      </w:r>
    </w:p>
    <w:p>
      <w:pPr>
        <w:spacing w:before="0" w:after="200" w:lineRule="auto" w:line="276"/>
      </w:pPr>
      <w:r>
        <w:rPr>
          <w:b/>
        </w:rPr>
        <w:t xml:space="preserve">Abstract (EN): </w:t>
      </w:r>
      <w:r>
        <w:t>Metal-Free COFs Electrocatalysts Xuewen Li, Rong Xiang, and co-workers developed a dynamically adaptive COF-based oxygen-reduction catalyst that integrates flexible ether linkages and strongly electron-withdrawing triazine units. The ether linkages create accessible pores that facilitate mass transport, while triazine motifs tune the charge transfer across the framework. By efficiently utilizing oxygen from air, the catalyst enables clean electricity generation in zinc-air batteries. More details can be found in the Research Article (DOI: 10.1002/adma.74027).</w:t>
      </w:r>
    </w:p>
    <w:p>
      <w:pPr>
        <w:spacing w:before="120" w:after="120"/>
      </w:pPr>
      <w:r>
        <w:rPr>
          <w:sz w:val="18"/>
        </w:rPr>
        <w:t>——————————————————————————————————————————————————————————————————————</w:t>
      </w:r>
    </w:p>
    <w:p>
      <w:pPr>
        <w:spacing w:before="160" w:after="40" w:line="240" w:lineRule="auto"/>
      </w:pPr>
      <w:r>
        <w:rPr>
          <w:b/>
        </w:rPr>
        <w:t xml:space="preserve">[13] </w:t>
      </w:r>
      <w:hyperlink r:id="rId216">
        <w:r>
          <w:rPr>
            <w:color w:val="1155CC"/>
            <w:u w:val="single"/>
          </w:rPr>
          <w:t>缺陷簇诱导的TiO2基陶瓷的巨介电常数与铁电性</w:t>
        </w:r>
      </w:hyperlink>
    </w:p>
    <w:p>
      <w:pPr>
        <w:spacing w:before="0" w:after="80"/>
      </w:pPr>
      <w:r>
        <w:rPr>
          <w:i/>
          <w:sz w:val="20"/>
        </w:rPr>
        <w:t>EN: Colossal Permittivity and Ferroelectricity in TiO2-Based Ceramics Induced by Defect Clusters</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216">
        <w:r>
          <w:rPr>
            <w:color w:val="1155CC"/>
            <w:u w:val="single"/>
          </w:rPr>
          <w:t>10.1021/acsami.6c12745</w:t>
        </w:r>
      </w:hyperlink>
    </w:p>
    <w:p>
      <w:pPr>
        <w:spacing w:before="0" w:after="120"/>
      </w:pPr>
      <w:r>
        <w:rPr>
          <w:b/>
        </w:rPr>
        <w:t xml:space="preserve">Notes: </w:t>
      </w:r>
      <w:r>
        <w:t>abstract_source=crossref</w:t>
      </w:r>
    </w:p>
    <w:p>
      <w:pPr>
        <w:spacing w:before="0" w:after="80" w:lineRule="auto" w:line="276"/>
      </w:pPr>
      <w:r>
        <w:rPr>
          <w:b/>
        </w:rPr>
        <w:t xml:space="preserve">摘要（ZH）: </w:t>
      </w:r>
      <w:r>
        <w:t>摘要 在金属氧化物中取代供体–受体离子对会产生局部化学不稳定态，从而改变材料性质，甚至产生主体材料无法实现的功能。在此，我们通过供体–受体（Nb5+–Mg2+）离子对共掺杂策略，在金红石 TiO2 陶瓷中共同诱发铁电性和巨介电响应。受体 Mg2+ 离子和取代 Ti4+ 离子的供体 Nb5+ 离子的大离子半径破坏了局部化学稳定态并引起晶格应变。由局部化学价不平衡形成的缺陷团簇发生极化，产生局部内建电场。该电场驱动缺陷团簇的长程有序排列，赋予共掺杂 TiO2 陶瓷室温铁电性。此外，缺陷团簇和局部电场还限制了电荷载流子的长程迁移，使 Nb5+–Mg2+ 对共掺杂的 TiO2 陶瓷在保持可接受低损耗（tan δ = 0.063）的同时实现了高介电常数（ε′ = 40,000）。这项工作提出了一种设计兼具铁电和巨介电性能的中心对称氧化物的方法，为多功能微电子元件提供了出色的应用前景。</w:t>
      </w:r>
    </w:p>
    <w:p>
      <w:pPr>
        <w:spacing w:before="0" w:after="200" w:lineRule="auto" w:line="276"/>
      </w:pPr>
      <w:r>
        <w:rPr>
          <w:b/>
        </w:rPr>
        <w:t xml:space="preserve">Abstract (EN): </w:t>
      </w:r>
      <w:r>
        <w:t>The substitution of donor–acceptor ion pairs in metal oxides creates local chemically unstable states, thereby altering properties and even generating functions unattainable in the host materials. Herein, ferroelectricity and colossal permittivity responses are co-evoked in rutile TiO2 ceramics via the donor–acceptor (Nb5+–Mg2+) ionic pairs co-doping strategy. The large ionic radii of the acceptor Mg2+ ions and donor Nb5+ ions replacing Ti4+ ions disrupt the local chemical stability states and induce lattice strain. Defect clusters formed by localized chemical valence imbalance undergo polarization, generating a local built-in electric field. This electric field drives the long-range ordered arrangement of defect clusters, endowing the co-doped TiO2 ceramics with room-temperature ferroelectricity. Furthermore, defect clusters and the local electric field also restrict the long-range migration of charge carriers, enabling the Nb5+–Mg2+ pairs co-doped TiO2 ceramics to achieve a high dielectric constant (ε′ = 40,000) while maintaining an acceptably low loss (tan δ = 0.063). This work proposes an approach for designing centrosymmetric oxides with combined ferroelectric and giant dielectric properties, offering excellent application prospects for multifunctional microelectronic components.</w:t>
      </w:r>
    </w:p>
    <w:p>
      <w:pPr>
        <w:spacing w:before="120" w:after="120"/>
      </w:pPr>
      <w:r>
        <w:rPr>
          <w:sz w:val="18"/>
        </w:rPr>
        <w:t>——————————————————————————————————————————————————————————————————————</w:t>
      </w:r>
    </w:p>
    <w:p>
      <w:pPr>
        <w:spacing w:before="160" w:after="40" w:line="240" w:lineRule="auto"/>
      </w:pPr>
      <w:r>
        <w:rPr>
          <w:b/>
        </w:rPr>
        <w:t xml:space="preserve">[14] </w:t>
      </w:r>
      <w:hyperlink r:id="rId217">
        <w:r>
          <w:rPr>
            <w:color w:val="1155CC"/>
            <w:u w:val="single"/>
          </w:rPr>
          <w:t>用于静电储能兼具光学透明集成的高性能CeO2掺杂SrTiO3纳米复合薄膜</w:t>
        </w:r>
      </w:hyperlink>
    </w:p>
    <w:p>
      <w:pPr>
        <w:spacing w:before="0" w:after="80"/>
      </w:pPr>
      <w:r>
        <w:rPr>
          <w:i/>
          <w:sz w:val="20"/>
        </w:rPr>
        <w:t>EN: High-Performance CeO2-Doped SrTiO3 Nanocomposite Films for Electrostatic Energy Storage and Integrated Optical Transparency</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217">
        <w:r>
          <w:rPr>
            <w:color w:val="1155CC"/>
            <w:u w:val="single"/>
          </w:rPr>
          <w:t>10.1021/acsami.6c10105</w:t>
        </w:r>
      </w:hyperlink>
    </w:p>
    <w:p>
      <w:pPr>
        <w:spacing w:before="0" w:after="120"/>
      </w:pPr>
      <w:r>
        <w:rPr>
          <w:b/>
        </w:rPr>
        <w:t xml:space="preserve">Notes: </w:t>
      </w:r>
      <w:r>
        <w:t>abstract_source=crossref</w:t>
      </w:r>
    </w:p>
    <w:p>
      <w:pPr>
        <w:spacing w:before="0" w:after="80" w:lineRule="auto" w:line="276"/>
      </w:pPr>
      <w:r>
        <w:rPr>
          <w:b/>
        </w:rPr>
        <w:t xml:space="preserve">摘要（ZH）: </w:t>
      </w:r>
      <w:r>
        <w:t>摘要 本研究展示了一种通过纳米结构工程方法集成光学功能的高性能透明静电储能薄膜电容器的设计与实现。采用脉冲激光沉积法在高度透明的(La0.03Ba0.97)SnO3缓冲电极层上生长了一系列(1 – x)SrTiO3-xCeO2[(1 – x)STO-xC，0.0 ≤ x ≤ 0.5]薄膜。CeO2作为异质第二相的引入产生了与晶格失配相关的界面应变和结构非均质性，从而将STO的近线性介电响应转变为具有增强最大极化和低剩余极化的细瘦非线性极化响应。x = 0.4和0.5的(1 – x)STO-xC薄膜表现出卓越的静电储能性能，实现了高达50 ± 3 J/cm3的高可回收能量密度和约90%的超高效率。这些薄膜同时在可见光至近红外光谱范围内保持约75%的高透射率，并具有可调的光学带隙。这些薄膜表现出从20 Hz到5 kHz的稳健频率可靠性以及从25到120 °C的热稳定性。值得注意的是，这些无铅(1 – x)STO-xC薄膜仅由四种元素(Sr、Ti、O和Ce)组成。这项工作为制备同时具有卓越储能能力和高光学透明度的简化组分多功能薄膜确立了一种可行策略，推动了它们在下一代透明光电子系统中的集成应用。</w:t>
      </w:r>
    </w:p>
    <w:p>
      <w:pPr>
        <w:spacing w:before="0" w:after="200" w:lineRule="auto" w:line="276"/>
      </w:pPr>
      <w:r>
        <w:rPr>
          <w:b/>
        </w:rPr>
        <w:t xml:space="preserve">Abstract (EN): </w:t>
      </w:r>
      <w:r>
        <w:t>This study demonstrates the design and realization of high-performance, transparent electrostatic energy storage film capacitors by integrating optical functionalities via a nanostructural engineering approach. A series of (1 – x)SrTiO3-xCeO2 [(1 – x)STO-xC, 0.0 ≤ x ≤ 0.5] films were grown on highly transparent (La0.03Ba0.97)SnO3 buffer electrode layers using pulsed laser deposition. The incorporation of CeO2 as a heterogeneous second phase generates lattice-mismatch-associated interfacial strain and structural heterogeneity, thereby transforming the nearly linear dielectric response of STO into a slim nonlinear polarization response with enhanced maximum polarization and low remanent polarization. The (1 – x)STO-xC films with x = 0.4 and 0.5 exhibit exceptional electrostatic energy storage performance, attaining a high recoverable energy density of up to 50 ± 3 J/cm3 and an ultrahigh efficiency of ∼90%. These films simultaneously maintain a high optical transmittance of ∼75% across the visible to near-infrared spectrum with a tunable optical bandgap. These films demonstrate robust frequency reliability from 20 Hz to 5 kHz and thermal stability from 25 to 120 °C. Notably, these lead-free (1 – x)STO-xC films comprise merely four elements (Sr, Ti, O, and Ce). This work establishes a viable strategy for fabricating a simplified-composition, multifunctional film that simultaneously delivers superior energy storage capability and high optical transparency, advancing their integration into next-generation transparent optoelectronic systems.</w:t>
      </w:r>
    </w:p>
    <w:p>
      <w:pPr>
        <w:spacing w:before="120" w:after="120"/>
      </w:pPr>
      <w:r>
        <w:rPr>
          <w:sz w:val="18"/>
        </w:rPr>
        <w:t>——————————————————————————————————————————————————————————————————————</w:t>
      </w:r>
    </w:p>
    <w:p>
      <w:pPr>
        <w:spacing w:before="160" w:after="40" w:line="240" w:lineRule="auto"/>
      </w:pPr>
      <w:r>
        <w:rPr>
          <w:b/>
        </w:rPr>
        <w:t xml:space="preserve">[15] </w:t>
      </w:r>
      <w:hyperlink r:id="rId218">
        <w:r>
          <w:rPr>
            <w:color w:val="1155CC"/>
            <w:u w:val="single"/>
          </w:rPr>
          <w:t>面向高性能铁基氧化还原液流电池的螯合补偿策略</w:t>
        </w:r>
      </w:hyperlink>
    </w:p>
    <w:p>
      <w:pPr>
        <w:spacing w:before="0" w:after="80"/>
      </w:pPr>
      <w:r>
        <w:rPr>
          <w:i/>
          <w:sz w:val="20"/>
        </w:rPr>
        <w:t>EN: Chelation Compensation Strategy for High‐Performance Iron‐Based Redox Flow Batteries</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219">
        <w:r>
          <w:rPr>
            <w:color w:val="1155CC"/>
            <w:u w:val="single"/>
          </w:rPr>
          <w:t>10.1002/aenm.71534</w:t>
        </w:r>
      </w:hyperlink>
    </w:p>
    <w:p>
      <w:pPr>
        <w:spacing w:before="0" w:after="120"/>
      </w:pPr>
      <w:r>
        <w:rPr>
          <w:b/>
        </w:rPr>
        <w:t xml:space="preserve">Notes: </w:t>
      </w:r>
      <w:r>
        <w:t>abstract_source=crossref</w:t>
      </w:r>
    </w:p>
    <w:p>
      <w:pPr>
        <w:spacing w:before="0" w:after="80" w:lineRule="auto" w:line="276"/>
      </w:pPr>
      <w:r>
        <w:rPr>
          <w:b/>
        </w:rPr>
        <w:t xml:space="preserve">摘要（ZH）: </w:t>
      </w:r>
      <w:r>
        <w:t>摘要 铁基氧化还原液流电池（IRFBs）凭借高安全性、低成本以及铁基活性物质的天然丰富性，成为具有成本效益的电网级储能的有力候选者。然而，异质界面不稳定性、副反应和动力学失活会导致容量衰减和能量效率降低，限制了IRFBs的长期循环稳定性。螯合补偿通过多齿配体设计调控金属离子氧化还原物种，从而优化其配位环境、溶剂化结构和界面反应性，进而提升能量效率和循环稳定性。本综述总结了IRFBs的主要退化机制，重点介绍了由代表性螯合官能团构建的螯合改性系统的最新进展，特别关注螯合作用对异质界面不稳定性、副反应和反应动力学的影响。最后，讨论了配体设计、电解液兼容性、机理认识以及实际应用方面的当前挑战与未来方向，为开发面向大规模储能的高性能螯合改性IRFBs提供指导。</w:t>
      </w:r>
    </w:p>
    <w:p>
      <w:pPr>
        <w:spacing w:before="0" w:after="200" w:lineRule="auto" w:line="276"/>
      </w:pPr>
      <w:r>
        <w:rPr>
          <w:b/>
        </w:rPr>
        <w:t xml:space="preserve">Abstract (EN): </w:t>
      </w:r>
      <w:r>
        <w:t>Iron‐based redox flow batteries (IRFBs) are compelling candidates for cost‐effective grid‐scale energy storage, benefiting from high safety, low cost, and the natural abundance of iron‐based active species. However, heterogeneous interface instability, side reactions, and kinetic deactivation lead to capacity decay and energy efficiency reduction, which limits the long‐term cycle stability of IRFBs. Chelation compensation is employed to regulate metal‐ion redox species through multidentate ligand design. Their coordination environment, solvation structure, and interfacial reactivity are thereby optimized, leading to improved energy efficiency and cycling stability. This review summarizes the major degradation mechanisms of IRFBs and highlights recent progress in chelation‐modified systems constructed with representative chelating functional groups. Particular attention is given to the influence of chelation on heterogeneous interface instability, side reactions, and reaction kinetics. Finally, current challenges and future directions in ligand design, electrolyte compatibility, mechanistic understanding, and practical implementation are discussed, offering guidance for the development of high‐performance chelation‐modified IRFBs for large‐scale energy storage.</w:t>
      </w:r>
    </w:p>
    <w:p>
      <w:pPr>
        <w:spacing w:before="120" w:after="120"/>
      </w:pPr>
      <w:r>
        <w:rPr>
          <w:sz w:val="18"/>
        </w:rPr>
        <w:t>——————————————————————————————————————————————————————————————————————</w:t>
      </w:r>
    </w:p>
    <w:p>
      <w:pPr>
        <w:spacing w:before="160" w:after="40" w:line="240" w:lineRule="auto"/>
      </w:pPr>
      <w:r>
        <w:rPr>
          <w:b/>
        </w:rPr>
        <w:t xml:space="preserve">[16] </w:t>
      </w:r>
      <w:hyperlink r:id="rId220">
        <w:r>
          <w:rPr>
            <w:color w:val="1155CC"/>
            <w:u w:val="single"/>
          </w:rPr>
          <w:t>DES介导萃取与原位聚合一体化制备煤焦油酚类衍生缺陷多孔碳用于高能量密度锌离子混合电容器</w:t>
        </w:r>
      </w:hyperlink>
    </w:p>
    <w:p>
      <w:pPr>
        <w:spacing w:before="0" w:after="80"/>
      </w:pPr>
      <w:r>
        <w:rPr>
          <w:i/>
          <w:sz w:val="20"/>
        </w:rPr>
        <w:t>EN: Integrated DES‐Mediated Extraction and In Situ Polymerization Toward Coal Tar Phenolic‐Derived Defective Porous Carbon for High‐Energy‐Density Zinc‐Ion Hybrid Capacitors</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221">
        <w:r>
          <w:rPr>
            <w:color w:val="1155CC"/>
            <w:u w:val="single"/>
          </w:rPr>
          <w:t>10.1002/anie.9546971</w:t>
        </w:r>
      </w:hyperlink>
    </w:p>
    <w:p>
      <w:pPr>
        <w:spacing w:before="0" w:after="120"/>
      </w:pPr>
      <w:r>
        <w:rPr>
          <w:b/>
        </w:rPr>
        <w:t xml:space="preserve">Notes: </w:t>
      </w:r>
      <w:r>
        <w:t>abstract_source=crossref</w:t>
      </w:r>
    </w:p>
    <w:p>
      <w:pPr>
        <w:spacing w:before="0" w:after="80" w:lineRule="auto" w:line="276"/>
      </w:pPr>
      <w:r>
        <w:rPr>
          <w:b/>
        </w:rPr>
        <w:t xml:space="preserve">摘要（ZH）: </w:t>
      </w:r>
      <w:r>
        <w:t>摘要 本工作建立了一种简便且一体化的策略，将深度共熔溶剂（DES）选择性提取与原位聚合相结合，将低价值煤焦油酚类物质升级回收为用于锌离子混合电容器（ZIHCs）的高性能缺陷多孔碳。得益于强氢键相互作用，醛功能化DES实现了煤焦油中酚类组分的高效分离，提取效率高达94.73%。免除了繁琐的反萃取步骤，富酚体系实现了pH调控的原位聚合，制备出三种具有不同分子结构的酚醛树脂前驱体。在碱性条件下形成的三维富氧前驱体产生空间位阻，抑制了碳化过程中的芳香堆积，从而获得高缺陷多孔碳。结合合理的活化处理，所有衍生碳材料均表现出发育良好的孔结构和良好的电容性能。值得注意的是，提取相被创新性地再利用以制备高导电性凝胶电解质。使用所制备多孔碳和凝胶电解质组装的ZIHC实现了257.9 mAh g−1的优良比容量、186.9 Wh kg−1的高能量密度以及超长循环耐久性。本研究阐明了前驱体微观结构、碳缺陷构型与电化学储能行为之间的内在关联，并为煤焦油面向先进储能的高价值可持续利用提供了新策略。</w:t>
      </w:r>
    </w:p>
    <w:p>
      <w:pPr>
        <w:spacing w:before="0" w:after="200" w:lineRule="auto" w:line="276"/>
      </w:pPr>
      <w:r>
        <w:rPr>
          <w:b/>
        </w:rPr>
        <w:t xml:space="preserve">Abstract (EN): </w:t>
      </w:r>
      <w:r>
        <w:t>This work establishes a facile and integrated strategy combining deep eutectic solvent (DES) selective extraction and in situ polymerization to upcycle low‐value coal tar phenolics into high‐performance defective porous carbon for zinc‐ion hybrid capacitors (ZIHCs). Benefiting from strong hydrogen‐bonding interaction, aldehyde‐functionalized DES achieves efficient separation of phenolic components from coal tar with an extraction efficiency up to 94.73%. Eliminating tedious back‐extraction procedures, the phenolic‐enriched system realizes pH‐regulated in situ polymerization to fabricate three types of phenolic resin precursors with distinct molecular architectures. The three‐dimensional, oxygen‐rich precursor formed under alkaline conditions induces steric hindrance that suppresses aromatic stacking during carbonization, yielding highly defective porous carbon. Combined with rational activation treatment, all derived carbon materials exhibit well‐developed pore structures and favorable capacitive performance. Notably, the extraction phase is innovatively reused to fabricate a highly conductive gel electrolyte. The assembled ZIHC using prepared porous carbon and gel electrolyte achieves a favorable specific capacity of 257.9 mAh g −1 , a high energy density of 186.9 Wh kg −1 , and ultra‐long cycling durability. This study clarifies the intrinsic correlation between precursor microstructure, carbon defect configuration and electrochemical energy storage behavior, and provides a new strategy for high‐value sustainable utilization of coal tar toward advanced energy storage devices.</w:t>
      </w:r>
    </w:p>
    <w:p>
      <w:pPr>
        <w:spacing w:before="120" w:after="120"/>
      </w:pPr>
      <w:r>
        <w:rPr>
          <w:sz w:val="18"/>
        </w:rPr>
        <w:t>——————————————————————————————————————————————————————————————————————</w:t>
      </w:r>
    </w:p>
    <w:p>
      <w:pPr>
        <w:spacing w:before="160" w:after="40" w:line="240" w:lineRule="auto"/>
      </w:pPr>
      <w:r>
        <w:rPr>
          <w:b/>
        </w:rPr>
        <w:t xml:space="preserve">[17] </w:t>
      </w:r>
      <w:hyperlink r:id="rId213">
        <w:r>
          <w:rPr>
            <w:color w:val="1155CC"/>
            <w:u w:val="single"/>
          </w:rPr>
          <w:t>基于 CNN-BiGRU 和迁移学习的钒液流电池自适应泵故障检测</w:t>
        </w:r>
      </w:hyperlink>
    </w:p>
    <w:p>
      <w:pPr>
        <w:spacing w:before="0" w:after="80"/>
      </w:pPr>
      <w:r>
        <w:rPr>
          <w:i/>
          <w:sz w:val="20"/>
        </w:rPr>
        <w:t>EN: Adaptive Pump Fault Detection for Vanadium Redox Flow Batteries Based on CNN-BiGRU and Transfer Learning</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213">
        <w:r>
          <w:rPr>
            <w:color w:val="1155CC"/>
            <w:u w:val="single"/>
          </w:rPr>
          <w:t>10.1109/tec.2026.3686467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219">
        <w:r>
          <w:rPr>
            <w:color w:val="1155CC"/>
            <w:u w:val="single"/>
          </w:rPr>
          <w:t>面向高性能铁基氧化还原液流电池的螯合补偿策略</w:t>
        </w:r>
      </w:hyperlink>
    </w:p>
    <w:p>
      <w:pPr>
        <w:spacing w:before="0" w:after="80"/>
      </w:pPr>
      <w:r>
        <w:rPr>
          <w:i/>
          <w:sz w:val="20"/>
        </w:rPr>
        <w:t>EN: Chelation Compensation Strategy for High‐Performance Iron‐Based Redox Flow Batteries</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219">
        <w:r>
          <w:rPr>
            <w:color w:val="1155CC"/>
            <w:u w:val="single"/>
          </w:rPr>
          <w:t>10.1002/aenm.71534</w:t>
        </w:r>
      </w:hyperlink>
    </w:p>
    <w:p>
      <w:pPr>
        <w:spacing w:before="0" w:after="120"/>
      </w:pPr>
      <w:r>
        <w:rPr>
          <w:b/>
        </w:rPr>
        <w:t xml:space="preserve">Notes: </w:t>
      </w:r>
      <w:r>
        <w:t>abstract_source=crossref</w:t>
      </w:r>
    </w:p>
    <w:p>
      <w:pPr>
        <w:spacing w:before="0" w:after="80" w:lineRule="auto" w:line="276"/>
      </w:pPr>
      <w:r>
        <w:rPr>
          <w:b/>
        </w:rPr>
        <w:t xml:space="preserve">摘要（ZH）: </w:t>
      </w:r>
      <w:r>
        <w:t>摘要 铁基氧化还原液流电池（IRFBs）凭借高安全性、低成本以及铁基活性物种的天然丰度，成为经济型电网级储能的极具吸引力的候选技术。然而，异质界面不稳定性、副反应和动力学失活会导致容量衰减和能量效率下降，限制了IRFBs的长期循环稳定性。螯合补偿策略被用于通过多齿配体设计调控金属离子氧化还原物种，从而优化其配位环境、溶剂化结构和界面反应性，进而提升能量效率和循环稳定性。本综述总结了IRFBs的主要衰减机制，并重点介绍了采用代表性螯合官能团构建的螯合修饰体系的最新进展。特别关注了螯合作用对异质界面不稳定性、副反应和反应动力学的影响。最后，讨论了配体设计、电解液相容性、机理认识和实际应用方面的当前挑战与未来方向，为开发面向大规模储能的高性能螯合修饰IRFBs提供指导。</w:t>
      </w:r>
    </w:p>
    <w:p>
      <w:pPr>
        <w:spacing w:before="0" w:after="200" w:lineRule="auto" w:line="276"/>
      </w:pPr>
      <w:r>
        <w:rPr>
          <w:b/>
        </w:rPr>
        <w:t xml:space="preserve">Abstract (EN): </w:t>
      </w:r>
      <w:r>
        <w:t>Iron‐based redox flow batteries (IRFBs) are compelling candidates for cost‐effective grid‐scale energy storage, benefiting from high safety, low cost, and the natural abundance of iron‐based active species. However, heterogeneous interface instability, side reactions, and kinetic deactivation lead to capacity decay and energy efficiency reduction, which limits the long‐term cycle stability of IRFBs. Chelation compensation is employed to regulate metal‐ion redox species through multidentate ligand design. Their coordination environment, solvation structure, and interfacial reactivity are thereby optimized, leading to improved energy efficiency and cycling stability. This review summarizes the major degradation mechanisms of IRFBs and highlights recent progress in chelation‐modified systems constructed with representative chelating functional groups. Particular attention is given to the influence of chelation on heterogeneous interface instability, side reactions, and reaction kinetics. Finally, current challenges and future directions in ligand design, electrolyte compatibility, mechanistic understanding, and practical implementation are discussed, offering guidance for the development of high‐performance chelation‐modified IRFBs for large‐scale energy storage.</w:t>
      </w:r>
    </w:p>
    <w:p>
      <w:pPr>
        <w:spacing w:before="120" w:after="120"/>
      </w:pPr>
      <w:r>
        <w:rPr>
          <w:sz w:val="18"/>
        </w:rPr>
        <w:t>——————————————————————————————————————————————————————————————————————</w:t>
      </w:r>
    </w:p>
    <w:p>
      <w:pPr>
        <w:spacing w:before="160" w:after="40" w:line="240" w:lineRule="auto"/>
      </w:pPr>
      <w:r>
        <w:rPr>
          <w:b/>
        </w:rPr>
        <w:t xml:space="preserve">[19] </w:t>
      </w:r>
      <w:hyperlink r:id="rId221">
        <w:r>
          <w:rPr>
            <w:color w:val="1155CC"/>
            <w:u w:val="single"/>
          </w:rPr>
          <w:t>DES介导萃取与原位聚合一体化制备煤焦油酚类衍生缺陷多孔碳用于高能量密度锌离子混合电容器</w:t>
        </w:r>
      </w:hyperlink>
    </w:p>
    <w:p>
      <w:pPr>
        <w:spacing w:before="0" w:after="80"/>
      </w:pPr>
      <w:r>
        <w:rPr>
          <w:i/>
          <w:sz w:val="20"/>
        </w:rPr>
        <w:t>EN: Integrated DES‐Mediated Extraction and In Situ Polymerization Toward Coal Tar Phenolic‐Derived Defective Porous Carbon for High‐Energy‐Density Zinc‐Ion Hybrid Capacitors</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221">
        <w:r>
          <w:rPr>
            <w:color w:val="1155CC"/>
            <w:u w:val="single"/>
          </w:rPr>
          <w:t>10.1002/anie.9546971</w:t>
        </w:r>
      </w:hyperlink>
    </w:p>
    <w:p>
      <w:pPr>
        <w:spacing w:before="0" w:after="120"/>
      </w:pPr>
      <w:r>
        <w:rPr>
          <w:b/>
        </w:rPr>
        <w:t xml:space="preserve">Notes: </w:t>
      </w:r>
      <w:r>
        <w:t>abstract_source=crossref</w:t>
      </w:r>
    </w:p>
    <w:p>
      <w:pPr>
        <w:spacing w:before="0" w:after="80" w:lineRule="auto" w:line="276"/>
      </w:pPr>
      <w:r>
        <w:rPr>
          <w:b/>
        </w:rPr>
        <w:t xml:space="preserve">摘要（ZH）: </w:t>
      </w:r>
      <w:r>
        <w:t>摘要 本工作建立了一种将低共熔溶剂（DES）选择性提取与原位聚合相结合的简便一体化策略，将低价值煤焦油酚类物质升级回收为用于锌离子混合电容器（ZIHCs）的高性能缺陷多孔碳。得益于强氢键相互作用，醛功能化DES实现了煤焦油中酚类组分的高效分离，萃取效率高达94.73%。省去繁琐的反萃取步骤后，酚类富集体系实现了pH调控的原位聚合，制备出三种具有不同分子结构的酚醛树脂前驱体。碱性条件下形成的三维富氧前驱体产生空间位阻，抑制了碳化过程中的芳香堆积，从而获得高缺陷多孔碳。结合合理的活化处理，所有衍生碳材料均表现出发达的孔结构和良好的电容性能。值得注意的是，萃取相被创新性地再用于制备高导电性凝胶电解质。采用所制备多孔碳和凝胶电解质组装的ZIHC实现了257.9 mAh g−1的良好比容量、186.9 Wh kg−1的高能量密度以及超长循环耐久性。本研究阐明了前驱体微观结构、碳缺陷构型与电化学储能行为之间的内在关联，并为煤焦油面向先进能源存储的高价值可持续利用提供了新策略。</w:t>
      </w:r>
    </w:p>
    <w:p>
      <w:pPr>
        <w:spacing w:before="0" w:after="200" w:lineRule="auto" w:line="276"/>
      </w:pPr>
      <w:r>
        <w:rPr>
          <w:b/>
        </w:rPr>
        <w:t xml:space="preserve">Abstract (EN): </w:t>
      </w:r>
      <w:r>
        <w:t>This work establishes a facile and integrated strategy combining deep eutectic solvent (DES) selective extraction and in situ polymerization to upcycle low‐value coal tar phenolics into high‐performance defective porous carbon for zinc‐ion hybrid capacitors (ZIHCs). Benefiting from strong hydrogen‐bonding interaction, aldehyde‐functionalized DES achieves efficient separation of phenolic components from coal tar with an extraction efficiency up to 94.73%. Eliminating tedious back‐extraction procedures, the phenolic‐enriched system realizes pH‐regulated in situ polymerization to fabricate three types of phenolic resin precursors with distinct molecular architectures. The three‐dimensional, oxygen‐rich precursor formed under alkaline conditions induces steric hindrance that suppresses aromatic stacking during carbonization, yielding highly defective porous carbon. Combined with rational activation treatment, all derived carbon materials exhibit well‐developed pore structures and favorable capacitive performance. Notably, the extraction phase is innovatively reused to fabricate a highly conductive gel electrolyte. The assembled ZIHC using prepared porous carbon and gel electrolyte achieves a favorable specific capacity of 257.9 mAh g −1 , a high energy density of 186.9 Wh kg −1 , and ultra‐long cycling durability. This study clarifies the intrinsic correlation between precursor microstructure, carbon defect configuration and electrochemical energy storage behavior, and provides a new strategy for high‐value sustainable utilization of coal tar toward advanced energy storage devices.</w:t>
      </w:r>
    </w:p>
    <w:p>
      <w:pPr>
        <w:spacing w:before="120" w:after="120"/>
      </w:pPr>
      <w:r>
        <w:rPr>
          <w:sz w:val="18"/>
        </w:rPr>
        <w:t>——————————————————————————————————————————————————————————————————————</w:t>
      </w:r>
    </w:p>
    <w:p>
      <w:pPr>
        <w:spacing w:before="160" w:after="40" w:line="240" w:lineRule="auto"/>
      </w:pPr>
      <w:r>
        <w:rPr>
          <w:b/>
        </w:rPr>
        <w:t xml:space="preserve">[20] </w:t>
      </w:r>
      <w:hyperlink r:id="rId222">
        <w:r>
          <w:rPr>
            <w:color w:val="1155CC"/>
            <w:u w:val="single"/>
          </w:rPr>
          <w:t>纳米级层状涂层组件连接微电子与兆伏级电网</w:t>
        </w:r>
      </w:hyperlink>
    </w:p>
    <w:p>
      <w:pPr>
        <w:spacing w:before="0" w:after="80"/>
      </w:pPr>
      <w:r>
        <w:rPr>
          <w:i/>
          <w:sz w:val="20"/>
        </w:rPr>
        <w:t>EN: Nanometric layered coating assembly bridging across micro-electronics and mega-voltage power grids</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223">
        <w:r>
          <w:rPr>
            <w:color w:val="1155CC"/>
            <w:u w:val="single"/>
          </w:rPr>
          <w:t>10.1016/j.matt.2026.103002</w:t>
        </w:r>
      </w:hyperlink>
    </w:p>
    <w:p>
      <w:pPr>
        <w:spacing w:before="0" w:after="120"/>
      </w:pPr>
      <w:r>
        <w:rPr>
          <w:b/>
        </w:rPr>
        <w:t xml:space="preserve">Notes: </w:t>
      </w:r>
      <w:r>
        <w:t>abstract_source=rss_cell</w:t>
      </w:r>
    </w:p>
    <w:p>
      <w:pPr>
        <w:spacing w:before="0" w:after="80" w:lineRule="auto" w:line="276"/>
      </w:pPr>
      <w:r>
        <w:rPr>
          <w:b/>
        </w:rPr>
        <w:t xml:space="preserve">摘要（ZH）: </w:t>
      </w:r>
      <w:r>
        <w:t>电绝缘仍然是从微电子到兆伏级电网的各类电子和电气系统中普遍存在的关键挑战。许多绝缘失效源于不利的界面过程，包括载流子注入、表面闪络和放电侵蚀。本文重点介绍了一种基于保形、自组装2D纳米涂层的可扩展、技术可行且统一的表面工程解决方案，该涂层可在极端的电学、环境和热应力下提供多功能屏障保护。我们展望这种自组装纳米涂层作为一种整体性的介电表面重构方法，将赋能下一代电气化技术。</w:t>
      </w:r>
    </w:p>
    <w:p>
      <w:pPr>
        <w:spacing w:before="0" w:after="200" w:lineRule="auto" w:line="276"/>
      </w:pPr>
      <w:r>
        <w:rPr>
          <w:b/>
        </w:rPr>
        <w:t xml:space="preserve">Abstract (EN): </w:t>
      </w:r>
      <w:r>
        <w:t>Electrical insulation remains a universal and critical challenge across electronic and electrical systems, from micro-electronics to mega-volt power grids. Many insulation failures originate from adverse interfacial processes, including carrier injection, surface flashover, and discharge erosion. This article highlights a scalable, technologically viable, and unified surface engineering solution based on conformal, self-assembled 2D nanocoating, which provide multifunctional barrier protection under extreme electrical, environmental, and thermal stresses. We envision this self-assembled nanocoating as a holistic dielectric surface re-engineering approach, enabling the next generation of electrification technologies.</w:t>
      </w:r>
    </w:p>
    <w:p>
      <w:pPr>
        <w:spacing w:before="120" w:after="120"/>
      </w:pPr>
      <w:r>
        <w:rPr>
          <w:sz w:val="18"/>
        </w:rPr>
        <w:t>——————————————————————————————————————————————————————————————————————</w:t>
      </w:r>
    </w:p>
    <w:p>
      <w:pPr>
        <w:spacing w:before="160" w:after="40" w:line="240" w:lineRule="auto"/>
      </w:pPr>
      <w:r>
        <w:rPr>
          <w:b/>
        </w:rPr>
        <w:t xml:space="preserve">[21] </w:t>
      </w:r>
      <w:hyperlink r:id="rId224">
        <w:r>
          <w:rPr>
            <w:color w:val="1155CC"/>
            <w:u w:val="single"/>
          </w:rPr>
          <w:t>铁电向列相液晶的极化可塑性：简单平面电极盒中静电挫败的一例</w:t>
        </w:r>
      </w:hyperlink>
    </w:p>
    <w:p>
      <w:pPr>
        <w:spacing w:before="0" w:after="80"/>
      </w:pPr>
      <w:r>
        <w:rPr>
          <w:i/>
          <w:sz w:val="20"/>
        </w:rPr>
        <w:t>EN: Polarization plasticity of ferroelectric nematics: A case of electrostatic frustration in simple planar electrode cells</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225">
        <w:r>
          <w:rPr>
            <w:color w:val="1155CC"/>
            <w:u w:val="single"/>
          </w:rPr>
          <w:t>10.1073/pnas.2606049123</w:t>
        </w:r>
      </w:hyperlink>
    </w:p>
    <w:p>
      <w:pPr>
        <w:spacing w:before="0" w:after="120"/>
      </w:pPr>
      <w:r>
        <w:rPr>
          <w:b/>
        </w:rPr>
        <w:t xml:space="preserve">Notes: </w:t>
      </w:r>
      <w:r>
        <w:t>abstract_source=crossref</w:t>
      </w:r>
    </w:p>
    <w:p>
      <w:pPr>
        <w:spacing w:before="0" w:after="80" w:lineRule="auto" w:line="276"/>
      </w:pPr>
      <w:r>
        <w:rPr>
          <w:b/>
        </w:rPr>
        <w:t xml:space="preserve">摘要（ZH）: </w:t>
      </w:r>
      <w:r>
        <w:t>铁电向列相液晶由于其自发的体极化，很容易通过表面耦合或限制进入一种束缚电荷积累与极性有序不相容的状态，从而产生挫败。这种状态也发生在具有平行无涂层金属电极的最简单液晶盒中，我们发现当</w:t>
      </w:r>
      <w:r>
        <w:t xml:space="preserve"> </w:t>
      </w:r>
      <w:r>
        <w:t>Δ</w:t>
      </w:r>
      <w:r>
        <w:t xml:space="preserve"> </w:t>
      </w:r>
      <w:r>
        <w:t>V</w:t>
      </w:r>
      <w:r>
        <w:t xml:space="preserve"> </w:t>
      </w:r>
      <w:r>
        <w:t>&amp;lt;</w:t>
      </w:r>
      <w:r>
        <w:t xml:space="preserve"> </w:t>
      </w:r>
      <w:r>
        <w:t>V</w:t>
      </w:r>
      <w:r>
        <w:t xml:space="preserve"> </w:t>
      </w:r>
      <w:r>
        <w:t>sat</w:t>
      </w:r>
      <w:r>
        <w:t xml:space="preserve"> </w:t>
      </w:r>
      <w:r>
        <w:t>时（一个与盒厚无关的阈值），电极上积累的极化电荷与所施加的电压成正比。我们表明，在低于</w:t>
      </w:r>
      <w:r>
        <w:t xml:space="preserve"> </w:t>
      </w:r>
      <w:r>
        <w:t>V</w:t>
      </w:r>
      <w:r>
        <w:t xml:space="preserve"> </w:t>
      </w:r>
      <w:r>
        <w:t>sat</w:t>
      </w:r>
      <w:r>
        <w:t xml:space="preserve"> </w:t>
      </w:r>
      <w:r>
        <w:t>时，挫败驱使系统进入极化塑性状态，在此状态下向列有序得以保持，且向列指向矢保持垂直于电极，但极化被降低以抵消内部电场。在此状态下，束缚电荷反转的动力学变得与</w:t>
      </w:r>
    </w:p>
    <w:p>
      <w:pPr>
        <w:spacing w:before="0" w:after="200" w:lineRule="auto" w:line="276"/>
      </w:pPr>
      <w:r>
        <w:rPr>
          <w:b/>
        </w:rPr>
        <w:t xml:space="preserve">Abstract (EN): </w:t>
      </w:r>
      <w:r>
        <w:t>Because of their spontaneous bulk polarization, ferroelectric nematic liquid crystals can be easily brought by surface coupling or confinement in a state in which the accumulation of bound charges becomes incompatible with polar order, creating frustration. This condition also occurs in the simplest cells with parallel uncoated metal electrodes where we find that the polarization charge accumulating on the electrodes is proportional to the applied voltage for</w:t>
      </w:r>
      <w:r>
        <w:t xml:space="preserve"> </w:t>
      </w:r>
      <w:r>
        <w:t>Δ</w:t>
      </w:r>
      <w:r>
        <w:t xml:space="preserve"> </w:t>
      </w:r>
      <w:r>
        <w:t>V</w:t>
      </w:r>
      <w:r>
        <w:t xml:space="preserve"> </w:t>
      </w:r>
      <w:r>
        <w:t>&amp;lt;</w:t>
      </w:r>
      <w:r>
        <w:t xml:space="preserve"> </w:t>
      </w:r>
      <w:r>
        <w:t>V</w:t>
      </w:r>
      <w:r>
        <w:t xml:space="preserve"> </w:t>
      </w:r>
      <w:r>
        <w:t>sat</w:t>
      </w:r>
      <w:r>
        <w:t xml:space="preserve"> </w:t>
      </w:r>
      <w:r>
        <w:t>, a threshold value independent of cell thickness. We show that below</w:t>
      </w:r>
      <w:r>
        <w:t xml:space="preserve"> </w:t>
      </w:r>
      <w:r>
        <w:t>V</w:t>
      </w:r>
      <w:r>
        <w:t xml:space="preserve"> </w:t>
      </w:r>
      <w:r>
        <w:t>sat</w:t>
      </w:r>
      <w:r>
        <w:t xml:space="preserve"> </w:t>
      </w:r>
      <w:r>
        <w:t>, frustration drives the system into a regime of polarization plasticity, in which nematic ordering is preserved and the nematic director remains perpendicular to the electrodes, while instead the polarization is reduced to cancel the internal electric field. In this regime, the kinetics of bound charge reversal becomes independent from</w:t>
      </w:r>
      <w:r>
        <w:t xml:space="preserve"> </w:t>
      </w:r>
      <w:r>
        <w:t>Δ</w:t>
      </w:r>
      <w:r>
        <w:t xml:space="preserve"> </w:t>
      </w:r>
      <w:r>
        <w:t>V</w:t>
      </w:r>
      <w:r>
        <w:t xml:space="preserve"> </w:t>
      </w:r>
      <w:r>
        <w:t>. The observations are consistent with a model in which the system splits into antipolar tubular domains of mesoscale diameter extending from electrode to electrode, in which the polarization retains its unconstrained equilibrium value, separated by pure polarization-reversal walls.</w:t>
      </w:r>
    </w:p>
    <w:p>
      <w:pPr>
        <w:spacing w:before="120" w:after="120"/>
      </w:pPr>
      <w:r>
        <w:rPr>
          <w:sz w:val="18"/>
        </w:rPr>
        <w:t>——————————————————————————————————————————————————————————————————————</w:t>
      </w:r>
    </w:p>
    <w:p>
      <w:pPr>
        <w:spacing w:before="160" w:after="40" w:line="240" w:lineRule="auto"/>
      </w:pPr>
      <w:r>
        <w:rPr>
          <w:b/>
        </w:rPr>
        <w:t xml:space="preserve">[22] </w:t>
      </w:r>
      <w:hyperlink r:id="rId226">
        <w:r>
          <w:rPr>
            <w:color w:val="1155CC"/>
            <w:u w:val="single"/>
          </w:rPr>
          <w:t>基于堆叠双连续网络水凝胶的柔性盐差能电池</w:t>
        </w:r>
      </w:hyperlink>
    </w:p>
    <w:p>
      <w:pPr>
        <w:spacing w:before="0" w:after="80"/>
      </w:pPr>
      <w:r>
        <w:rPr>
          <w:i/>
          <w:sz w:val="20"/>
        </w:rPr>
        <w:t>EN: Flexible Osmotic Energy Batteries Enabled by Stacked Bicontinuous‐Network Hydrogels</w:t>
      </w:r>
    </w:p>
    <w:p>
      <w:pPr>
        <w:spacing w:before="0" w:after="120"/>
      </w:pPr>
      <w:r>
        <w:rPr>
          <w:b/>
        </w:rPr>
        <w:t xml:space="preserve">Source: </w:t>
      </w:r>
      <w:r>
        <w:t>Advanced Materials</w:t>
      </w:r>
      <w:r>
        <w:t xml:space="preserve">    </w:t>
      </w:r>
      <w:r>
        <w:rPr>
          <w:b/>
        </w:rPr>
        <w:t xml:space="preserve">Pub date: </w:t>
      </w:r>
      <w:r>
        <w:t>2026-09-02 00:00:00+00:00</w:t>
      </w:r>
      <w:r>
        <w:t xml:space="preserve">    </w:t>
      </w:r>
      <w:r>
        <w:rPr>
          <w:b/>
        </w:rPr>
        <w:t xml:space="preserve">DOI: </w:t>
      </w:r>
      <w:hyperlink r:id="rId227">
        <w:r>
          <w:rPr>
            <w:color w:val="1155CC"/>
            <w:u w:val="single"/>
          </w:rPr>
          <w:t>10.1002/adma.74906</w:t>
        </w:r>
      </w:hyperlink>
    </w:p>
    <w:p>
      <w:pPr>
        <w:spacing w:before="0" w:after="120"/>
      </w:pPr>
      <w:r>
        <w:rPr>
          <w:b/>
        </w:rPr>
        <w:t xml:space="preserve">Notes: </w:t>
      </w:r>
      <w:r>
        <w:t>abstract_source=crossref</w:t>
      </w:r>
    </w:p>
    <w:p>
      <w:pPr>
        <w:spacing w:before="0" w:after="80" w:lineRule="auto" w:line="276"/>
      </w:pPr>
      <w:r>
        <w:rPr>
          <w:b/>
        </w:rPr>
        <w:t xml:space="preserve">摘要（ZH）: </w:t>
      </w:r>
      <w:r>
        <w:t>摘要 基于水凝胶膜的反向透析为软质电化学电池的开发带来了希望。然而，其能量转换效率常因过度溶胀而受限，溶胀会使纳米通道扩张并降低离子选择性。本文提出一种双连续网络水凝胶（BCNH），通过精确调控亲水相和疏水相以实现高性能渗透能转换。得益于 BCN 结构，亲水离子传导通路被互连的疏水基质空间限制，从而显著抑制溶胀。这种结构约束保持了高离子选择性并增强了机械稳健性。所得 BCNH 膜兼具高离子选择性和快速离子通量，输出高达 21.07 W·m −2 的渗透功率密度，显著优于传统均质水凝胶。通过将阳离子选择性和阴离子选择性 BCNH 集成到柔性全电池中，我们实现了 10.07 W·m −2 的高功率密度，可规模制备高度柔性的电池阵列。BCNH 平台集高选择性、超低溶胀和优异机械性能于一体，为先进柔性电子和可持续能量转换技术奠定了变革性的材料基础。</w:t>
      </w:r>
    </w:p>
    <w:p>
      <w:pPr>
        <w:spacing w:before="0" w:after="200" w:lineRule="auto" w:line="276"/>
      </w:pPr>
      <w:r>
        <w:rPr>
          <w:b/>
        </w:rPr>
        <w:t xml:space="preserve">Abstract (EN): </w:t>
      </w:r>
      <w:r>
        <w:t>Reverse dialysis based on hydrogel membranes holds promise for the development of soft electrochemical batteries. However, the energy conversion efficiency is often constrained by excessive swelling, which dilates nanochannels and degrades permselectivity. Here, we present a bicontinuous‐network hydrogel (BCNH) engineered by precisely modulating the hydrophilic and hydrophobic phases to achieve high‐performance osmotic energy conversion. Benefiting from the BCN structure, the hydrophilic ion‐conducting pathways are spatially confined by a percolating hydrophobic matrix, which dramatically suppresses swelling. This structural restraint preserves high permselectivity and enhances mechanical robustness. The resulting BCNH membrane, which simultaneously offers high permselectivity and rapid ionic flux, delivers an outstanding osmotic power density of 21.07 W·m −2 , significantly outperforming conventional homogeneous hydrogels. By integrating cation‐selective and anion‐selective BCNHs into flexible full cells, we achieve a high‐power density of 10.07 W·m −2 , enabling the scalable fabrication of highly flexible battery arrays. Combining integrated high selectivity, ultralow swelling, and robust mechanical properties, the BCNH platform establishes a transformative material foundation for advanced flexible electronics and sustainable energy conversion technologies.</w:t>
      </w:r>
    </w:p>
    <w:p>
      <w:pPr>
        <w:spacing w:before="120" w:after="120"/>
      </w:pPr>
      <w:r>
        <w:rPr>
          <w:sz w:val="18"/>
        </w:rPr>
        <w:t>——————————————————————————————————————————————————————————————————————</w:t>
      </w:r>
    </w:p>
    <w:p>
      <w:pPr>
        <w:spacing w:before="160" w:after="40" w:line="240" w:lineRule="auto"/>
      </w:pPr>
      <w:r>
        <w:rPr>
          <w:b/>
        </w:rPr>
        <w:t xml:space="preserve">[23] </w:t>
      </w:r>
      <w:hyperlink r:id="rId228">
        <w:r>
          <w:rPr>
            <w:color w:val="1155CC"/>
            <w:u w:val="single"/>
          </w:rPr>
          <w:t>通过多尺度协同工程增强[001]取向PMN-PZT陶瓷的优质因数能量收集</w:t>
        </w:r>
      </w:hyperlink>
    </w:p>
    <w:p>
      <w:pPr>
        <w:spacing w:before="0" w:after="80"/>
      </w:pPr>
      <w:r>
        <w:rPr>
          <w:i/>
          <w:sz w:val="20"/>
        </w:rPr>
        <w:t>EN: Enhanced Figure‐of‐Merit Energy Harvesting in [001]‐Oriented PMN‐PZT Ceramics Via Synergistic Multi‐Scale Engineering</w:t>
      </w:r>
    </w:p>
    <w:p>
      <w:pPr>
        <w:spacing w:before="0" w:after="120"/>
      </w:pPr>
      <w:r>
        <w:rPr>
          <w:b/>
        </w:rPr>
        <w:t xml:space="preserve">Source: </w:t>
      </w:r>
      <w:r>
        <w:t>Advanced Energy Materials</w:t>
      </w:r>
      <w:r>
        <w:t xml:space="preserve">    </w:t>
      </w:r>
      <w:r>
        <w:rPr>
          <w:b/>
        </w:rPr>
        <w:t xml:space="preserve">Pub date: </w:t>
      </w:r>
      <w:r>
        <w:t>2026-09-02 00:00:00+00:00</w:t>
      </w:r>
      <w:r>
        <w:t xml:space="preserve">    </w:t>
      </w:r>
      <w:r>
        <w:rPr>
          <w:b/>
        </w:rPr>
        <w:t xml:space="preserve">DOI: </w:t>
      </w:r>
      <w:hyperlink r:id="rId229">
        <w:r>
          <w:rPr>
            <w:color w:val="1155CC"/>
            <w:u w:val="single"/>
          </w:rPr>
          <w:t>10.1002/aenm.71541</w:t>
        </w:r>
      </w:hyperlink>
    </w:p>
    <w:p>
      <w:pPr>
        <w:spacing w:before="0" w:after="120"/>
      </w:pPr>
      <w:r>
        <w:rPr>
          <w:b/>
        </w:rPr>
        <w:t xml:space="preserve">Notes: </w:t>
      </w:r>
      <w:r>
        <w:t>abstract_source=crossref</w:t>
      </w:r>
    </w:p>
    <w:p>
      <w:pPr>
        <w:spacing w:before="0" w:after="80" w:lineRule="auto" w:line="276"/>
      </w:pPr>
      <w:r>
        <w:rPr>
          <w:b/>
        </w:rPr>
        <w:t xml:space="preserve">摘要（ZH）: </w:t>
      </w:r>
      <w:r>
        <w:t>摘要 开发具有高品质因数（FOM = d 33 × g 33 /tan δ）的压电材料对先进能量收集技术至关重要。本文通过协同整合晶粒取向、缺陷工程和同质异晶相界（MPB）设计，在[001]取向的Pb(Mg 1/3 Nb 2/3 )O 3 -PbZrO 3 -PbTiO 3（PMN-PZT）织构陶瓷中实现了高FOM。该织构陶瓷表现出卓越的性能（压电电荷系数d 33 = 1120 pC·N −1，压电电压系数g 33 = 62 × 10 −3 V·m·N −1，以及超低介电损耗tan δ = 0.23%）。原子尺度分析表明，[001]固有各向异性和三方-四方混合畴有利于极化旋转，从而提升d 33和g 33，而Mn掺杂诱导的缺陷偶极子则抑制介电损耗。由此实现了高达30,180 × 10 −12 m 2 ·N −1的超高FOM。此外，采用该织构陶瓷的悬臂梁能量收集器可输出0.72 µW·mm −3的优异功率密度，是商用软性PZT的78倍。这项工作为设计用于高性能能量收集应用的高FOM压电材料提供了一种有效策略。</w:t>
      </w:r>
    </w:p>
    <w:p>
      <w:pPr>
        <w:spacing w:before="0" w:after="200" w:lineRule="auto" w:line="276"/>
      </w:pPr>
      <w:r>
        <w:rPr>
          <w:b/>
        </w:rPr>
        <w:t xml:space="preserve">Abstract (EN): </w:t>
      </w:r>
      <w:r>
        <w:t>Developing piezoelectric materials with a high figure‐of‐merit (FOM = d 33 × g 33 /tan δ ) is crucial for advanced energy‐harvesting technologies. Here, a high FOM is achieved in [001]‐oriented Pb(Mg 1/3 Nb 2/3 )O 3 ‐PbZrO 3 ‐PbTiO 3 (PMN‐PZT) textured ceramics by synergistically integrating grain orientation, defect engineering, and morphotropic phase boundary (MPB) design. The textured ceramic exhibits exceptional properties (piezoelectric charge coefficient d 33 = 1120 pC·N −1 , piezoelectric voltage coefficient g 33 = 62 × 10 −3 V·m·N −1 , and an ultralow dielectric loss tan δ = 0.23%). Atomic‐scale analysis reveals that the [001] intrinsic anisotropy and mixed rhombohedral‐tetragonal domains facilitate polarization rotation to boost d 33 and g 33 , while Mn doping‐induced defect dipoles suppress dielectric loss. Consequently, an ultrahigh FOM of 30,180 × 10 −12 m 2 ·N −1 is realized. Furthermore, a cantilever energy harvester utilizing this textured ceramic delivers an outstanding power density of 0.72 µW·mm −3 , which is 78 times higher than that of commercial soft PZT. This work provides an effective strategy for designing high‐FOM piezoelectric materials for high performance energy harvesting applications.</w:t>
      </w:r>
    </w:p>
    <w:p>
      <w:pPr>
        <w:spacing w:before="120" w:after="120"/>
      </w:pPr>
      <w:r>
        <w:rPr>
          <w:sz w:val="18"/>
        </w:rPr>
        <w:t>——————————————————————————————————————————————————————————————————————</w:t>
      </w:r>
    </w:p>
    <w:p>
      <w:pPr>
        <w:spacing w:before="160" w:after="40" w:line="240" w:lineRule="auto"/>
      </w:pPr>
      <w:r>
        <w:rPr>
          <w:b/>
        </w:rPr>
        <w:t xml:space="preserve">[24] </w:t>
      </w:r>
      <w:hyperlink r:id="rId230">
        <w:r>
          <w:rPr>
            <w:color w:val="1155CC"/>
            <w:u w:val="single"/>
          </w:rPr>
          <w:t>双光功能Au/TiO2/NiO纳米锥阵列助力柔性Zn−尿素−空气电池</w:t>
        </w:r>
      </w:hyperlink>
    </w:p>
    <w:p>
      <w:pPr>
        <w:spacing w:before="0" w:after="80"/>
      </w:pPr>
      <w:r>
        <w:rPr>
          <w:i/>
          <w:sz w:val="20"/>
        </w:rPr>
        <w:t>EN: Dual Photo-Functional Au/TiO2/NiO Nanocone Arrays Empower Flexible Zn−Urea−Air Batteries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31">
        <w:r>
          <w:rPr>
            <w:color w:val="1155CC"/>
            <w:u w:val="single"/>
          </w:rPr>
          <w:t>10.1021/acsami.6c11867</w:t>
        </w:r>
      </w:hyperlink>
    </w:p>
    <w:p>
      <w:pPr>
        <w:spacing w:before="0" w:after="120"/>
      </w:pPr>
      <w:r>
        <w:rPr>
          <w:b/>
        </w:rPr>
        <w:t xml:space="preserve">Notes: </w:t>
      </w:r>
      <w:r>
        <w:t>abstract_source=crossref</w:t>
      </w:r>
    </w:p>
    <w:p>
      <w:pPr>
        <w:spacing w:before="0" w:after="80" w:lineRule="auto" w:line="276"/>
      </w:pPr>
      <w:r>
        <w:rPr>
          <w:b/>
        </w:rPr>
        <w:t xml:space="preserve">摘要（ZH）: </w:t>
      </w:r>
      <w:r>
        <w:t>摘要 光辅助锌空气电池为太阳能转换和存储提供了一条综合途径，但其能量效率仍然受到空气电极缓慢的双功能氧电催化的限制。在此，开发了一种用于光辅助锌尿素空气电池的金纳米粒子修饰的TiO2/NiO纳米锥阵列空气电极（Au/n-TO/NiO）。纳米锥 TO 结构增强了宽带光捕获、局部电场强度和界面反应物富集，而 TO/NiO 异质结则促进光生电荷分离。在365 nm照射下，光生空穴优先向Ni相关活性位点迁移，加速尿素氧化，从而减少充电极化。同时，Au纳米粒子作为局部表面等离子体共振中心，实现高效的808 nm光热转换，以调节放电过程中的氧还原微环境。受益于光激发和光热调节的这种功能划分，Au/n-TO/NiO基电池的充电平台从黑暗中的1.899 V降低到尿素组合照明下的1.585 V，而放电平台从1.087增加到1.214 V。因此，在指定的工作条件下，表观电往返效率从57.2%增加到76.6%。此外，柔性凝胶态器件在尿素照明下实现了 81.5% 的表观电往返效率，证明了该策略在柔性光辅助金属空气电池中的潜力。</w:t>
      </w:r>
    </w:p>
    <w:p>
      <w:pPr>
        <w:spacing w:before="0" w:after="200" w:lineRule="auto" w:line="276"/>
      </w:pPr>
      <w:r>
        <w:rPr>
          <w:b/>
        </w:rPr>
        <w:t xml:space="preserve">Abstract (EN): </w:t>
      </w:r>
      <w:r>
        <w:t>Photo-assisted Zn−air batteries provide an integrated route for solar energy conversion and storage, but their energy efficiency is still limited by sluggish bifunctional oxygen electrocatalysis at the air electrode. Herein, an Au nanoparticle-modified TiO2/NiO nanocone array air electrode (Au/n-TO/NiO) is developed for photo-assisted zinc−urea−air batteries. The nanocone TO architecture enhances broadband light harvesting, local electric-field intensity, and interfacial reactant enrichment, while the TO/NiO heterojunction promotes photogenerated charge separation. Under 365 nm irradiation, photogenerated holes preferentially migrate toward Ni-related active sites and accelerate urea oxidation, thereby reducing charging polarization. Meanwhile, Au nanoparticles serve as localized surface plasmon resonance centers, enabling efficient 808 nm photothermal conversion to regulate the oxygen reduction microenvironment during discharge. Benefiting from this functional partitioning of photoexcitation and photothermal regulation, the Au/n-TO/NiO-based battery exhibits a reduced charging plateau from 1.899 V in the dark to 1.585 V under combined illumination with urea, while the discharge plateau increases from 1.087 to 1.214 V. The apparent electrical round-trip efficiency consequently increases from 57.2% to 76.6% under the specified operating conditions. Furthermore, the flexible gel-state device achieves an apparent electrical round-trip efficiency of 81.5% under illumination with urea, demonstrating the potential of this strategy for flexible photo-assisted metal−air batteries.</w:t>
      </w:r>
    </w:p>
    <w:p>
      <w:pPr>
        <w:spacing w:before="120" w:after="120"/>
      </w:pPr>
      <w:r>
        <w:rPr>
          <w:sz w:val="18"/>
        </w:rPr>
        <w:t>——————————————————————————————————————————————————————————————————————</w:t>
      </w:r>
    </w:p>
    <w:p>
      <w:pPr>
        <w:spacing w:before="160" w:after="40" w:line="240" w:lineRule="auto"/>
      </w:pPr>
      <w:r>
        <w:rPr>
          <w:b/>
        </w:rPr>
        <w:t xml:space="preserve">[25] </w:t>
      </w:r>
      <w:hyperlink r:id="rId232">
        <w:r>
          <w:rPr>
            <w:color w:val="1155CC"/>
            <w:u w:val="single"/>
          </w:rPr>
          <w:t>高性能微波合成石墨烯超级电容器突触用于神经形态计算中的储备池预处理</w:t>
        </w:r>
      </w:hyperlink>
    </w:p>
    <w:p>
      <w:pPr>
        <w:spacing w:before="0" w:after="80"/>
      </w:pPr>
      <w:r>
        <w:rPr>
          <w:i/>
          <w:sz w:val="20"/>
        </w:rPr>
        <w:t>EN: High-Performance Microwave-Synthesized Graphene Supercapacitive Synapses for Reservoir Preprocessing in Neuromorphic Computing</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33">
        <w:r>
          <w:rPr>
            <w:color w:val="1155CC"/>
            <w:u w:val="single"/>
          </w:rPr>
          <w:t>10.1021/acsami.6c11501</w:t>
        </w:r>
      </w:hyperlink>
    </w:p>
    <w:p>
      <w:pPr>
        <w:spacing w:before="0" w:after="120"/>
      </w:pPr>
      <w:r>
        <w:rPr>
          <w:b/>
        </w:rPr>
        <w:t xml:space="preserve">Notes: </w:t>
      </w:r>
      <w:r>
        <w:t>abstract_source=crossref</w:t>
      </w:r>
    </w:p>
    <w:p>
      <w:pPr>
        <w:spacing w:before="0" w:after="80" w:lineRule="auto" w:line="276"/>
      </w:pPr>
      <w:r>
        <w:rPr>
          <w:b/>
        </w:rPr>
        <w:t xml:space="preserve">摘要（ZH）: </w:t>
      </w:r>
      <w:r>
        <w:t>摘要 水库计算弥合了人工智能和物理环境之间的差距。这种系统的实现依赖于模拟神经生物学可塑性以响应外部刺激的人工突触。这些突触充当储存器，将输入信号转换为储存器状态，然后由读出层检索。然而，能量仅在现有人工突触的操作过程中耗散。在此，我们提出了一种基于石墨烯超级电容器的涉及储能的储层结构。通过金属辅助微波还原制备的还原氧化石墨烯电极具有介孔结构和低缺陷密度。超级电容器在 1 A g–1 的电流密度下提供 352 F g–1 的比电容。在电流刺激下，储能装置通过电压响应复制生物突触功能。接下来，电压响应可用于模仿人类感知学习，其中感觉系统通过经验得到增强。此外，在模拟中与衍射深度神经网络相结合，基于超级电容器的水库预处理可以准确识别静态和动态手写图像，其性能优于人工神经网络和未经处理的衍射深度神经网络。这些结果为集成能量存储相关信息处理的神经形态计算铺平了道路，为节能人工智能硬件提供了有前途的应用。</w:t>
      </w:r>
    </w:p>
    <w:p>
      <w:pPr>
        <w:spacing w:before="0" w:after="200" w:lineRule="auto" w:line="276"/>
      </w:pPr>
      <w:r>
        <w:rPr>
          <w:b/>
        </w:rPr>
        <w:t xml:space="preserve">Abstract (EN): </w:t>
      </w:r>
      <w:r>
        <w:t>Reservoir computing bridges the gap between artificial intelligence and the physical environment. The realization of such systems depends on artificial synapses that emulate neurobiological plasticity in response to external stimuli. Functioning as reservoirs, these synapses convert the input signals into reservoir states, which are then retrieved by the readout layer. However, energy is merely dissipated during the operation of existing artificial synapses. Herein, we propose an energy-storage-involved reservoir architecture based on graphene-based supercapacitors. Reduced graphene oxide electrode, fabricated via metal-assisted microwave reduction, exhibits a mesoporous structure and low defect density. The supercapacitor delivers a specific capacitance of 352 F g–1 at a current density of 1 A g–1. Under current stimuli, the energy-storage device replicates biological synaptic functions through voltage responses. Next, the voltage responses can be used to mimic human perceptual learning, in which sensory systems are enhanced through experience. Moreover, integrated with a diffractive deep neural network in simulation, supercapacitor-based reservoir preprocessing can accurately identify static and dynamic handwritten images, outperforming an artificial neural network and an unprocessed diffractive deep neural network. These results pave the way for neuromorphic computing that integrates energy-storage-involved information processing, offering promising applications for energy-efficient artificial intelligence hardware.</w:t>
      </w:r>
    </w:p>
    <w:p>
      <w:pPr>
        <w:spacing w:before="120" w:after="120"/>
      </w:pPr>
      <w:r>
        <w:rPr>
          <w:sz w:val="18"/>
        </w:rPr>
        <w:t>——————————————————————————————————————————————————————————————————————</w:t>
      </w:r>
    </w:p>
    <w:p>
      <w:pPr>
        <w:spacing w:before="160" w:after="40" w:line="240" w:lineRule="auto"/>
      </w:pPr>
      <w:r>
        <w:rPr>
          <w:b/>
        </w:rPr>
        <w:t xml:space="preserve">[26] </w:t>
      </w:r>
      <w:hyperlink r:id="rId234">
        <w:r>
          <w:rPr>
            <w:color w:val="1155CC"/>
            <w:u w:val="single"/>
          </w:rPr>
          <w:t>三元PtGaGe中的d–p双重杂化实现碱性氧还原反应活性与稳定性的同步提升</w:t>
        </w:r>
      </w:hyperlink>
    </w:p>
    <w:p>
      <w:pPr>
        <w:spacing w:before="0" w:after="80"/>
      </w:pPr>
      <w:r>
        <w:rPr>
          <w:i/>
          <w:sz w:val="20"/>
        </w:rPr>
        <w:t>EN: Dual d– p hybridization in Ternary PtGaGe Enables Concurrent Activity and Stability Enhancement for Alkaline Oxygen Reduction</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235">
        <w:r>
          <w:rPr>
            <w:color w:val="1155CC"/>
            <w:u w:val="single"/>
          </w:rPr>
          <w:t>10.1002/anie.6156560</w:t>
        </w:r>
      </w:hyperlink>
    </w:p>
    <w:p>
      <w:pPr>
        <w:spacing w:before="0" w:after="120"/>
      </w:pPr>
      <w:r>
        <w:rPr>
          <w:b/>
        </w:rPr>
        <w:t xml:space="preserve">Notes: </w:t>
      </w:r>
      <w:r>
        <w:t>abstract_source=crossref</w:t>
      </w:r>
    </w:p>
    <w:p>
      <w:pPr>
        <w:spacing w:before="0" w:after="80" w:lineRule="auto" w:line="276"/>
      </w:pPr>
      <w:r>
        <w:rPr>
          <w:b/>
        </w:rPr>
        <w:t xml:space="preserve">摘要（ZH）: </w:t>
      </w:r>
      <w:r>
        <w:t>摘要：氧还原反应（ORR）中活性与稳定性的权衡从根本上限制了锌空气电池（ZAB）和燃料电池的实际发展。在这里，我们通过空间电子工程解决了这一长期存在的挑战，该工程实现了 Pt 基三元合金内的双 d-p 轨道杂化。所得的 PtGaGe 催化剂表现出优异的碱性 ORR 性能，实现了 1.79 A·mg Pt -1 的质量活性和 0.90 V 的半波电位（相对于 RHE）——均超过了商业 Pt/C 和大多数先前报道的 Pt 基催化剂。当集成到ZAB中时，其峰值功率密度达到207.6 mW·cm -2 ，并在10 mA·cm -2 下保持稳定运行超过200小时，突出了在实际操作条件下出色的耐用性。密度泛函理论（DFT）计算表明，双 d-p 杂化会诱导 Pt 和 Ga/Ge 位点之间的空间电子重新分布，调节 Pt d 带中心并促进 O─O 键活化，同时抑制催化剂降解。这种协同电子调节同时提高了催化活性、稳定性和铂利用效率。这项工作为高性能 ORR 电催化剂的电子结构工程建立了机械范式。</w:t>
      </w:r>
    </w:p>
    <w:p>
      <w:pPr>
        <w:spacing w:before="0" w:after="200" w:lineRule="auto" w:line="276"/>
      </w:pPr>
      <w:r>
        <w:rPr>
          <w:b/>
        </w:rPr>
        <w:t xml:space="preserve">Abstract (EN): </w:t>
      </w:r>
      <w:r>
        <w:t>The activity–stability trade‐off in oxygen reduction reactions (ORR) fundamentally limits the practical development of Zinc–air batteries (ZABs) and fuel cells. Here, we address this long‐standing challenge through spatial electronic engineering that enables dual d–p orbital hybridization within a Pt‐based ternary alloy. The resulting PtGaGe catalyst exhibits exceptional alkaline ORR performance, achieving a mass activity of 1.79 A·mg Pt −1 and a half‐wave potential of 0.90 V (vs. RHE)—both surpassing commercial Pt/C and most previously reported Pt‐based catalysts. When integrated into a ZAB, it reaches a peak power density of 207.6 mW·cm −2 and maintains steady operation for over 200 h at 10 mA·cm −2 , highlighting outstanding durability under practical operating conditions. Density functional theory (DFT) calculations reveal that dual d–p hybridization induces spatial electron redistribution between Pt and Ga/Ge sites, modulating the Pt d ‐band center and facilitating O─O bond activation while suppressing catalyst degradation. This synergistic electronic regulation simultaneously improves catalytic activity, stability, and Pt utilization efficiency. This work establishes a mechanistic paradigm for electronic‐structure engineering in high‐performance ORR electrocatalysts.</w:t>
      </w:r>
    </w:p>
    <w:p>
      <w:pPr>
        <w:spacing w:before="120" w:after="120"/>
      </w:pPr>
      <w:r>
        <w:rPr>
          <w:sz w:val="18"/>
        </w:rPr>
        <w:t>——————————————————————————————————————————————————————————————————————</w:t>
      </w:r>
    </w:p>
    <w:p>
      <w:pPr>
        <w:spacing w:before="160" w:after="40" w:line="240" w:lineRule="auto"/>
      </w:pPr>
      <w:r>
        <w:rPr>
          <w:b/>
        </w:rPr>
        <w:t xml:space="preserve">[27] </w:t>
      </w:r>
      <w:hyperlink r:id="rId233">
        <w:r>
          <w:rPr>
            <w:color w:val="1155CC"/>
            <w:u w:val="single"/>
          </w:rPr>
          <w:t>高性能微波合成石墨烯超级电容器突触用于神经形态计算中的储备池预处理</w:t>
        </w:r>
      </w:hyperlink>
    </w:p>
    <w:p>
      <w:pPr>
        <w:spacing w:before="0" w:after="80"/>
      </w:pPr>
      <w:r>
        <w:rPr>
          <w:i/>
          <w:sz w:val="20"/>
        </w:rPr>
        <w:t>EN: High-Performance Microwave-Synthesized Graphene Supercapacitive Synapses for Reservoir Preprocessing in Neuromorphic Computing</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33">
        <w:r>
          <w:rPr>
            <w:color w:val="1155CC"/>
            <w:u w:val="single"/>
          </w:rPr>
          <w:t>10.1021/acsami.6c11501</w:t>
        </w:r>
      </w:hyperlink>
    </w:p>
    <w:p>
      <w:pPr>
        <w:spacing w:before="0" w:after="120"/>
      </w:pPr>
      <w:r>
        <w:rPr>
          <w:b/>
        </w:rPr>
        <w:t xml:space="preserve">Notes: </w:t>
      </w:r>
      <w:r>
        <w:t>abstract_source=crossref</w:t>
      </w:r>
    </w:p>
    <w:p>
      <w:pPr>
        <w:spacing w:before="0" w:after="80" w:lineRule="auto" w:line="276"/>
      </w:pPr>
      <w:r>
        <w:rPr>
          <w:b/>
        </w:rPr>
        <w:t xml:space="preserve">摘要（ZH）: </w:t>
      </w:r>
      <w:r>
        <w:t>摘要 水库计算弥合了人工智能和物理环境之间的差距。这种系统的实现依赖于模拟神经生物学可塑性以响应外部刺激的人工突触。这些突触充当储存器，将输入信号转换为储存器状态，然后由读出层检索。然而，能量仅在现有人工突触的操作过程中耗散。在此，我们提出了一种基于石墨烯超级电容器的涉及储能的储层结构。通过金属辅助微波还原制备的还原氧化石墨烯电极具有介孔结构和低缺陷密度。超级电容器在 1 A g–1 的电流密度下提供 352 F g–1 的比电容。在电流刺激下，储能装置通过电压响应复制生物突触功能。接下来，电压响应可用于模仿人类感知学习，其中感觉系统通过经验得到增强。此外，在模拟中与衍射深度神经网络相结合，基于超级电容器的水库预处理可以准确识别静态和动态手写图像，其性能优于人工神经网络和未经处理的衍射深度神经网络。这些结果为集成能量存储相关信息处理的神经形态计算铺平了道路，为节能人工智能硬件提供了有前途的应用。</w:t>
      </w:r>
    </w:p>
    <w:p>
      <w:pPr>
        <w:spacing w:before="0" w:after="200" w:lineRule="auto" w:line="276"/>
      </w:pPr>
      <w:r>
        <w:rPr>
          <w:b/>
        </w:rPr>
        <w:t xml:space="preserve">Abstract (EN): </w:t>
      </w:r>
      <w:r>
        <w:t>Reservoir computing bridges the gap between artificial intelligence and the physical environment. The realization of such systems depends on artificial synapses that emulate neurobiological plasticity in response to external stimuli. Functioning as reservoirs, these synapses convert the input signals into reservoir states, which are then retrieved by the readout layer. However, energy is merely dissipated during the operation of existing artificial synapses. Herein, we propose an energy-storage-involved reservoir architecture based on graphene-based supercapacitors. Reduced graphene oxide electrode, fabricated via metal-assisted microwave reduction, exhibits a mesoporous structure and low defect density. The supercapacitor delivers a specific capacitance of 352 F g–1 at a current density of 1 A g–1. Under current stimuli, the energy-storage device replicates biological synaptic functions through voltage responses. Next, the voltage responses can be used to mimic human perceptual learning, in which sensory systems are enhanced through experience. Moreover, integrated with a diffractive deep neural network in simulation, supercapacitor-based reservoir preprocessing can accurately identify static and dynamic handwritten images, outperforming an artificial neural network and an unprocessed diffractive deep neural network. These results pave the way for neuromorphic computing that integrates energy-storage-involved information processing, offering promising applications for energy-efficient artificial intelligence hardware.</w:t>
      </w:r>
    </w:p>
    <w:p>
      <w:pPr>
        <w:spacing w:before="120" w:after="120"/>
      </w:pPr>
      <w:r>
        <w:rPr>
          <w:sz w:val="18"/>
        </w:rPr>
        <w:t>——————————————————————————————————————————————————————————————————————</w:t>
      </w:r>
    </w:p>
    <w:p>
      <w:pPr>
        <w:spacing w:before="160" w:after="40" w:line="240" w:lineRule="auto"/>
      </w:pPr>
      <w:r>
        <w:rPr>
          <w:b/>
        </w:rPr>
        <w:t xml:space="preserve">[28] </w:t>
      </w:r>
      <w:hyperlink r:id="rId231">
        <w:r>
          <w:rPr>
            <w:color w:val="1155CC"/>
            <w:u w:val="single"/>
          </w:rPr>
          <w:t>双光功能Au/TiO2/NiO纳米锥阵列助力柔性Zn−尿素−空气电池</w:t>
        </w:r>
      </w:hyperlink>
    </w:p>
    <w:p>
      <w:pPr>
        <w:spacing w:before="0" w:after="80"/>
      </w:pPr>
      <w:r>
        <w:rPr>
          <w:i/>
          <w:sz w:val="20"/>
        </w:rPr>
        <w:t>EN: Dual Photo-Functional Au/TiO2/NiO Nanocone Arrays Empower Flexible Zn−Urea−Air Batteries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31">
        <w:r>
          <w:rPr>
            <w:color w:val="1155CC"/>
            <w:u w:val="single"/>
          </w:rPr>
          <w:t>10.1021/acsami.6c11867</w:t>
        </w:r>
      </w:hyperlink>
    </w:p>
    <w:p>
      <w:pPr>
        <w:spacing w:before="0" w:after="120"/>
      </w:pPr>
      <w:r>
        <w:rPr>
          <w:b/>
        </w:rPr>
        <w:t xml:space="preserve">Notes: </w:t>
      </w:r>
      <w:r>
        <w:t>abstract_source=crossref</w:t>
      </w:r>
    </w:p>
    <w:p>
      <w:pPr>
        <w:spacing w:before="0" w:after="80" w:lineRule="auto" w:line="276"/>
      </w:pPr>
      <w:r>
        <w:rPr>
          <w:b/>
        </w:rPr>
        <w:t xml:space="preserve">摘要（ZH）: </w:t>
      </w:r>
      <w:r>
        <w:t>摘要 光辅助锌空气电池为太阳能转换和存储提供了一条综合途径，但其能量效率仍然受到空气电极缓慢的双功能氧电催化的限制。在此，开发了一种用于光辅助锌尿素空气电池的金纳米粒子修饰的TiO2/NiO纳米锥阵列空气电极（Au/n-TO/NiO）。纳米锥 TO 结构增强了宽带光捕获、局部电场强度和界面反应物富集，而 TO/NiO 异质结则促进光生电荷分离。在365 nm照射下，光生空穴优先向Ni相关活性位点迁移，加速尿素氧化，从而减少充电极化。同时，Au纳米粒子作为局部表面等离子体共振中心，实现高效的808 nm光热转换，以调节放电过程中的氧还原微环境。受益于光激发和光热调节的这种功能划分，Au/n-TO/NiO基电池的充电平台从黑暗中的1.899 V降低到尿素组合照明下的1.585 V，而放电平台从1.087增加到1.214 V。因此，在指定的工作条件下，表观电往返效率从57.2%增加到76.6%。此外，柔性凝胶态器件在尿素照明下实现了 81.5% 的表观电往返效率，证明了该策略在柔性光辅助金属空气电池中的潜力。</w:t>
      </w:r>
    </w:p>
    <w:p>
      <w:pPr>
        <w:spacing w:before="0" w:after="200" w:lineRule="auto" w:line="276"/>
      </w:pPr>
      <w:r>
        <w:rPr>
          <w:b/>
        </w:rPr>
        <w:t xml:space="preserve">Abstract (EN): </w:t>
      </w:r>
      <w:r>
        <w:t>Photo-assisted Zn−air batteries provide an integrated route for solar energy conversion and storage, but their energy efficiency is still limited by sluggish bifunctional oxygen electrocatalysis at the air electrode. Herein, an Au nanoparticle-modified TiO2/NiO nanocone array air electrode (Au/n-TO/NiO) is developed for photo-assisted zinc−urea−air batteries. The nanocone TO architecture enhances broadband light harvesting, local electric-field intensity, and interfacial reactant enrichment, while the TO/NiO heterojunction promotes photogenerated charge separation. Under 365 nm irradiation, photogenerated holes preferentially migrate toward Ni-related active sites and accelerate urea oxidation, thereby reducing charging polarization. Meanwhile, Au nanoparticles serve as localized surface plasmon resonance centers, enabling efficient 808 nm photothermal conversion to regulate the oxygen reduction microenvironment during discharge. Benefiting from this functional partitioning of photoexcitation and photothermal regulation, the Au/n-TO/NiO-based battery exhibits a reduced charging plateau from 1.899 V in the dark to 1.585 V under combined illumination with urea, while the discharge plateau increases from 1.087 to 1.214 V. The apparent electrical round-trip efficiency consequently increases from 57.2% to 76.6% under the specified operating conditions. Furthermore, the flexible gel-state device achieves an apparent electrical round-trip efficiency of 81.5% under illumination with urea, demonstrating the potential of this strategy for flexible photo-assisted metal−air batteries.</w:t>
      </w:r>
    </w:p>
    <w:p>
      <w:pPr>
        <w:spacing w:before="120" w:after="120"/>
      </w:pPr>
      <w:r>
        <w:rPr>
          <w:sz w:val="18"/>
        </w:rPr>
        <w:t>——————————————————————————————————————————————————————————————————————</w:t>
      </w:r>
    </w:p>
    <w:p>
      <w:pPr>
        <w:spacing w:before="160" w:after="40" w:line="240" w:lineRule="auto"/>
      </w:pPr>
      <w:r>
        <w:rPr>
          <w:b/>
        </w:rPr>
        <w:t xml:space="preserve">[29] </w:t>
      </w:r>
      <w:hyperlink r:id="rId235">
        <w:r>
          <w:rPr>
            <w:color w:val="1155CC"/>
            <w:u w:val="single"/>
          </w:rPr>
          <w:t>三元PtGaGe中的d–p双重杂化实现碱性氧还原活性与稳定性的同步提升</w:t>
        </w:r>
      </w:hyperlink>
    </w:p>
    <w:p>
      <w:pPr>
        <w:spacing w:before="0" w:after="80"/>
      </w:pPr>
      <w:r>
        <w:rPr>
          <w:i/>
          <w:sz w:val="20"/>
        </w:rPr>
        <w:t>EN: Dual d– p hybridization in Ternary PtGaGe Enables Concurrent Activity and Stability Enhancement for Alkaline Oxygen Reduction</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235">
        <w:r>
          <w:rPr>
            <w:color w:val="1155CC"/>
            <w:u w:val="single"/>
          </w:rPr>
          <w:t>10.1002/anie.6156560</w:t>
        </w:r>
      </w:hyperlink>
    </w:p>
    <w:p>
      <w:pPr>
        <w:spacing w:before="0" w:after="120"/>
      </w:pPr>
      <w:r>
        <w:rPr>
          <w:b/>
        </w:rPr>
        <w:t xml:space="preserve">Notes: </w:t>
      </w:r>
      <w:r>
        <w:t>abstract_source=crossref</w:t>
      </w:r>
    </w:p>
    <w:p>
      <w:pPr>
        <w:spacing w:before="0" w:after="80" w:lineRule="auto" w:line="276"/>
      </w:pPr>
      <w:r>
        <w:rPr>
          <w:b/>
        </w:rPr>
        <w:t xml:space="preserve">摘要（ZH）: </w:t>
      </w:r>
      <w:r>
        <w:t>摘要：氧还原反应（ORR）中活性与稳定性的权衡从根本上限制了锌空气电池（ZAB）和燃料电池的实际发展。在这里，我们通过空间电子工程解决了这一长期存在的挑战，该工程实现了 Pt 基三元合金内的双 d-p 轨道杂化。所得的 PtGaGe 催化剂表现出优异的碱性 ORR 性能，实现了 1.79 A·mg Pt -1 的质量活性和 0.90 V 的半波电位（相对于 RHE）——均超过了商业 Pt/C 和大多数先前报道的 Pt 基催化剂。当集成到ZAB中时，其峰值功率密度达到207.6 mW·cm -2 ，并在10 mA·cm -2 下保持稳定运行超过200小时，突出了在实际操作条件下出色的耐用性。密度泛函理论（DFT）计算表明，双 d-p 杂化会诱导 Pt 和 Ga/Ge 位点之间的空间电子重新分布，调节 Pt d 带中心并促进 O─O 键活化，同时抑制催化剂降解。这种协同电子调节同时提高了催化活性、稳定性和铂利用效率。这项工作为高性能 ORR 电催化剂的电子结构工程建立了机械范式。</w:t>
      </w:r>
    </w:p>
    <w:p>
      <w:pPr>
        <w:spacing w:before="0" w:after="200" w:lineRule="auto" w:line="276"/>
      </w:pPr>
      <w:r>
        <w:rPr>
          <w:b/>
        </w:rPr>
        <w:t xml:space="preserve">Abstract (EN): </w:t>
      </w:r>
      <w:r>
        <w:t>The activity–stability trade‐off in oxygen reduction reactions (ORR) fundamentally limits the practical development of Zinc–air batteries (ZABs) and fuel cells. Here, we address this long‐standing challenge through spatial electronic engineering that enables dual d–p orbital hybridization within a Pt‐based ternary alloy. The resulting PtGaGe catalyst exhibits exceptional alkaline ORR performance, achieving a mass activity of 1.79 A·mg Pt −1 and a half‐wave potential of 0.90 V (vs. RHE)—both surpassing commercial Pt/C and most previously reported Pt‐based catalysts. When integrated into a ZAB, it reaches a peak power density of 207.6 mW·cm −2 and maintains steady operation for over 200 h at 10 mA·cm −2 , highlighting outstanding durability under practical operating conditions. Density functional theory (DFT) calculations reveal that dual d–p hybridization induces spatial electron redistribution between Pt and Ga/Ge sites, modulating the Pt d ‐band center and facilitating O─O bond activation while suppressing catalyst degradation. This synergistic electronic regulation simultaneously improves catalytic activity, stability, and Pt utilization efficiency. This work establishes a mechanistic paradigm for electronic‐structure engineering in high‐performance ORR electrocatalysts.</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236">
        <w:r>
          <w:rPr>
            <w:color w:val="1155CC"/>
            <w:u w:val="single"/>
          </w:rPr>
          <w:t>形状记忆薄膜驱动的热驱动弹热制冷</w:t>
        </w:r>
      </w:hyperlink>
    </w:p>
    <w:p>
      <w:pPr>
        <w:spacing w:before="0" w:after="80"/>
      </w:pPr>
      <w:r>
        <w:rPr>
          <w:i/>
          <w:sz w:val="20"/>
        </w:rPr>
        <w:t>EN: Heat-driven elastocaloric cooling with shape memory films</w:t>
      </w:r>
    </w:p>
    <w:p>
      <w:pPr>
        <w:spacing w:before="0" w:after="120"/>
      </w:pPr>
      <w:r>
        <w:rPr>
          <w:b/>
        </w:rPr>
        <w:t xml:space="preserve">Source: </w:t>
      </w:r>
      <w:r>
        <w:t>Nature Energy</w:t>
      </w:r>
      <w:r>
        <w:t xml:space="preserve">    </w:t>
      </w:r>
      <w:r>
        <w:rPr>
          <w:b/>
        </w:rPr>
        <w:t xml:space="preserve">Pub date: </w:t>
      </w:r>
      <w:r>
        <w:t>2026-08-28 00:00:00+00:00</w:t>
      </w:r>
      <w:r>
        <w:t xml:space="preserve">    </w:t>
      </w:r>
      <w:r>
        <w:rPr>
          <w:b/>
        </w:rPr>
        <w:t xml:space="preserve">DOI: </w:t>
      </w:r>
      <w:hyperlink r:id="rId237">
        <w:r>
          <w:rPr>
            <w:color w:val="1155CC"/>
            <w:u w:val="single"/>
          </w:rPr>
          <w:t>10.1038/s41560-026-02122-6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热管理对下一代能源系统至关重要。基于形状记忆合金（SMA）薄膜的弹热制冷具有快速传热、高比制冷容量和简单的固-固热交换等优势，但目前的器件依赖笨重的电动驱动器，限制了可扩展性和效率。在此，我们展示了一种热驱动的形状记忆致动器，其在定制的SMA薄膜中驱动弹热制冷，建立了一种可利用废热或太阳热能、减少电力需求的热驱动制冷系统。我们的原型在86 °C焦耳热驱动下，在制冷剂薄膜层面实现了12.9 K的温度跨度和器件层面4.0 K的温度跨度。当由外部热源驱动时，系统保持器件层面2.2 K的温度跨度，证实了热驱动弹热制冷的可行性。这些结果标志着向将热转化为有用制冷的最小化电力弹热制冷技术迈出了一步。</w:t>
      </w:r>
    </w:p>
    <w:p>
      <w:pPr>
        <w:spacing w:before="0" w:after="200" w:lineRule="auto" w:line="276"/>
      </w:pPr>
      <w:r>
        <w:rPr>
          <w:b/>
        </w:rPr>
        <w:t xml:space="preserve">Abstract (EN): </w:t>
      </w:r>
      <w:r>
        <w:t>Efficient thermal management is critical for next-generation energy systems. Elastocaloric cooling with shape memory alloy (SMA) films offers rapid heat transfer, high specific cooling capacity and simple solid–solid heat exchange, but current devices rely on bulky, electrically powered actuators that limit scalability and efficiency. Here we demonstrate a thermally powered shape memory actuator that drives elastocaloric cooling in tailored SMA films, establishing a heat-driven cooling system that can use waste heat or solar thermal energy with reduced electricity demand. Our prototype achieves a temperature span of 12.9 K at the refrigerant film level and 4.0 K at the device level under Joule-heated actuation at 86 °C. When driven by an external heat source, the system maintains a device-level temperature span of 2.2 K, confirming the feasibility of heat-driven elastocaloric cooling. These results mark a step towards electricity-minimized elastocaloric cooling technologies that transform heat into useful cooling.</w:t>
      </w:r>
    </w:p>
    <w:p>
      <w:pPr>
        <w:spacing w:before="120" w:after="120"/>
      </w:pPr>
      <w:r>
        <w:rPr>
          <w:sz w:val="18"/>
        </w:rPr>
        <w:t>——————————————————————————————————————————————————————————————————————</w:t>
      </w:r>
    </w:p>
    <w:p>
      <w:pPr>
        <w:spacing w:before="160" w:after="40" w:line="240" w:lineRule="auto"/>
      </w:pPr>
      <w:r>
        <w:rPr>
          <w:b/>
        </w:rPr>
        <w:t xml:space="preserve">[2] </w:t>
      </w:r>
      <w:hyperlink r:id="rId238">
        <w:r>
          <w:rPr>
            <w:color w:val="1155CC"/>
            <w:u w:val="single"/>
          </w:rPr>
          <w:t>面向最优投资规划的热泵非线性部分负荷效率建模</w:t>
        </w:r>
      </w:hyperlink>
    </w:p>
    <w:p>
      <w:pPr>
        <w:spacing w:before="0" w:after="80"/>
      </w:pPr>
      <w:r>
        <w:rPr>
          <w:i/>
          <w:sz w:val="20"/>
        </w:rPr>
        <w:t>EN: Modelling nonlinear heat pump part-load efficiency for optimal investment planning</w:t>
      </w:r>
    </w:p>
    <w:p>
      <w:pPr>
        <w:spacing w:before="0" w:after="120"/>
      </w:pPr>
      <w:r>
        <w:rPr>
          <w:b/>
        </w:rPr>
        <w:t xml:space="preserve">Source: </w:t>
      </w:r>
      <w:r>
        <w:t>ScienceDirect Publication: Applied Energy</w:t>
      </w:r>
      <w:r>
        <w:t xml:space="preserve">    </w:t>
      </w:r>
      <w:r>
        <w:rPr>
          <w:b/>
        </w:rPr>
        <w:t xml:space="preserve">Pub date: </w:t>
      </w:r>
      <w:r>
        <w:t>2026-08-29 00:00:00+00:00</w:t>
      </w:r>
      <w:r>
        <w:t xml:space="preserve">    </w:t>
      </w:r>
      <w:r>
        <w:rPr>
          <w:b/>
        </w:rPr>
        <w:t xml:space="preserve">DOI: </w:t>
      </w:r>
      <w:hyperlink r:id="rId239">
        <w:r>
          <w:rPr>
            <w:color w:val="1155CC"/>
            <w:u w:val="single"/>
          </w:rPr>
          <w:t>10.1016/j.apenergy.2026.128721</w:t>
        </w:r>
      </w:hyperlink>
    </w:p>
    <w:p>
      <w:pPr>
        <w:spacing w:before="0" w:after="120"/>
      </w:pPr>
      <w:r>
        <w:rPr>
          <w:b/>
        </w:rPr>
        <w:t xml:space="preserve">Notes: </w:t>
      </w:r>
      <w:r>
        <w:t>abstract_source=openalex</w:t>
      </w:r>
    </w:p>
    <w:p>
      <w:pPr>
        <w:spacing w:before="0" w:after="80" w:lineRule="auto" w:line="276"/>
      </w:pPr>
      <w:r>
        <w:rPr>
          <w:b/>
        </w:rPr>
        <w:t xml:space="preserve">摘要（ZH）: </w:t>
      </w:r>
      <w:r>
        <w:t>热泵是供热部门脱碳和实现净零目标的关键技术。然而在实践中，其性能特性具有固有的非线性，取决于最低负荷约束和部分负荷效率等因素，尤其是对于变频驱动的系统。尽管存在用于运行调度的先进优化方法（例如模型预测控制），投资规划模型通常忽略了部分负荷行为，因为求解非线性混合整数问题存在计算挑战，因此常采用简化的线性近似。本研究通过提出一个显式考虑非线性部分负荷效率的热泵投资规划集成优化框架来弥补这一空白。该框架针对建筑或建筑群层面的供热设施，将其建模为可能包含多台热泵及额外发电技术的单节点能源枢纽。为应对由此产生的计算复杂性，我们开发了一种松弛的分段线性公式和一种新颖的二阶锥松弛。所提出的方法通过一个真实案例研究进行评估。将部分负荷效率纳入投资规划会导数与忽略此类效应的传统公式结构不同的容量决策。所得系统设计将电力消耗降低了4.5%，年成本降低了2.9%，并在完整的、未聚合的时间范围内的事后验证中得到确认。此外，计算</w:t>
      </w:r>
    </w:p>
    <w:p>
      <w:pPr>
        <w:spacing w:before="0" w:after="200" w:lineRule="auto" w:line="276"/>
      </w:pPr>
      <w:r>
        <w:rPr>
          <w:b/>
        </w:rPr>
        <w:t xml:space="preserve">Abstract (EN): </w:t>
      </w:r>
      <w:r>
        <w:t>Heat pumps are a key technology for decarbonising the heating sector and achieving net-zero targets. In practice, however, their performance characteristics are inherently nonlinear, depending on factors such as minimum load constraints and part-load efficiency, particularly for inverter-driven systems. While advanced optimisation methods exist for operational scheduling (e.g., in model predictive control), investment planning models typically neglect part-load behaviour due to the computational challenges associated with solving nonlinear mixed-integer problems. Instead, simplified linear approximations are commonly employed. This work addresses this gap by presenting an integrated optimisation framework for heat pump investment planning that explicitly accounts for nonlinear part-load efficiency. The framework targets heat supply facilities at the building or building-complex level, modelled as a single-node energy hub that may comprise multiple heat pumps and additional generation technologies. To manage the resulting computational complexity, we develop both a relaxed piecewise-linear formulation and a novel second-order cone relaxation. The proposed approaches are evaluated using a real-world case study. Incorporating part-load efficiency into investment planning leads to structurally different capacity decisions compared to conventional formulations that neglect such effects. The resulting system design reduces electricity consumption by 4.5% and annual costs by 2.9%, confirmed in an ex-post validation on the full, unaggregated time horizon. Furthermore, computational performance analysis shows a 10.3-fold speed-up for the piecewise-linear relaxation and a 4.3-fold speed-up for the conic relaxation, measured in deterministic work units, paving the way for their application to larger energy hub and multi-technology investment problems. Overall, the proposed methods facilitate more accurate and computationally tractable investment decisions, thereby supporting informed decision-making in the transition towards clean and affordable heat.</w:t>
      </w:r>
    </w:p>
    <w:p>
      <w:pPr>
        <w:spacing w:before="120" w:after="120"/>
      </w:pPr>
      <w:r>
        <w:rPr>
          <w:sz w:val="18"/>
        </w:rPr>
        <w:t>——————————————————————————————————————————————————————————————————————</w:t>
      </w:r>
    </w:p>
    <w:p>
      <w:pPr>
        <w:spacing w:before="160" w:after="40" w:line="240" w:lineRule="auto"/>
      </w:pPr>
      <w:r>
        <w:rPr>
          <w:b/>
        </w:rPr>
        <w:t xml:space="preserve">[3] </w:t>
      </w:r>
      <w:hyperlink r:id="rId240">
        <w:r>
          <w:rPr>
            <w:color w:val="1155CC"/>
            <w:u w:val="single"/>
          </w:rPr>
          <w:t>镁保留辅助合成高性能Zintl热电材料</w:t>
        </w:r>
      </w:hyperlink>
    </w:p>
    <w:p>
      <w:pPr>
        <w:spacing w:before="0" w:after="80"/>
      </w:pPr>
      <w:r>
        <w:rPr>
          <w:i/>
          <w:sz w:val="20"/>
        </w:rPr>
        <w:t>EN: Magnesium‐Retention Assisted Synthesis of High‐Performance Zintl Thermoelectrics</w:t>
      </w:r>
    </w:p>
    <w:p>
      <w:pPr>
        <w:spacing w:before="0" w:after="120"/>
      </w:pPr>
      <w:r>
        <w:rPr>
          <w:b/>
        </w:rPr>
        <w:t xml:space="preserve">Source: </w:t>
      </w:r>
      <w:r>
        <w:t>Wiley: Angewandte Chemie International Edition: Table of Contents</w:t>
      </w:r>
      <w:r>
        <w:t xml:space="preserve">    </w:t>
      </w:r>
      <w:r>
        <w:rPr>
          <w:b/>
        </w:rPr>
        <w:t xml:space="preserve">Pub date: </w:t>
      </w:r>
      <w:r>
        <w:t>2026-08-29 04:52:04+00:00</w:t>
      </w:r>
      <w:r>
        <w:t xml:space="preserve">    </w:t>
      </w:r>
      <w:r>
        <w:rPr>
          <w:b/>
        </w:rPr>
        <w:t xml:space="preserve">DOI: </w:t>
      </w:r>
      <w:hyperlink r:id="rId241">
        <w:r>
          <w:rPr>
            <w:color w:val="1155CC"/>
            <w:u w:val="single"/>
          </w:rPr>
          <w:t>10.1002/anie.9935383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几十年来，Mg3(Bi, Sb)2基热电材料的性能优化主要依赖于掺杂和合金化策略，而合成工艺创新对热电机理和性能的影响在很大程度上仍未被探索。在此，我们开发了一种镁保留辅助合成（MRAS）策略，通过牺牲性Mg储库和惰性气体调节的熔融环境来稳定Mg，有效抑制高温合成过程中的Mg挥发和化学不稳定性。MRAS无需昂贵的钽封装即可实现相纯、成分均匀的Mg基合金的可规模化制备。所得的富Mg的Mg3.15Bi1.5Sb0.49Te0.01具有互连的富Mg区域和多尺度缺陷，协同促进电输运并抑制晶格热导率，实现了41.7 µW cm−1 K−2的超高功率因数、323 K下1.2 ± 0.1的ZT值以及523 K下1.8 ± 0.1的峰值ZT。MRAS还与传统成分工程兼容：在Mg位进行Ba掺杂可通过p</w:t>
      </w:r>
    </w:p>
    <w:p>
      <w:pPr>
        <w:spacing w:before="0" w:after="200" w:lineRule="auto" w:line="276"/>
      </w:pPr>
      <w:r>
        <w:rPr>
          <w:b/>
        </w:rPr>
        <w:t xml:space="preserve">Abstract (EN): </w:t>
      </w:r>
      <w:r>
        <w:t>For decades, performance optimization of Mg</w:t>
      </w:r>
      <w:r>
        <w:rPr>
          <w:vertAlign w:val="subscript"/>
        </w:rPr>
        <w:t>3</w:t>
      </w:r>
      <w:r>
        <w:t>(Bi, Sb)</w:t>
      </w:r>
      <w:r>
        <w:rPr>
          <w:vertAlign w:val="subscript"/>
        </w:rPr>
        <w:t>2</w:t>
      </w:r>
      <w:r>
        <w:t>‐based thermoelectric materials has mainly relied on doping and alloying strategies, while the influence of synthesis‐process innovation on thermoelectric mechanisms and properties has remained largely unexplored. Here, we develop a magnesium‐retention assisted synthesis (MRAS) strategy that stabilizes Mg through a sacrificial Mg reservoir and an inert‐gas‐regulated melting environment, effectively suppressing Mg volatilization and chemical instability during high‐temperature synthesis. MRAS enables scalable fabrication of phase‐pure, compositionally uniform Mg‐based alloys without costly tantalum encapsulation. The resulting Mg‐rich Mg</w:t>
      </w:r>
      <w:r>
        <w:t xml:space="preserve"> </w:t>
      </w:r>
      <w:r>
        <w:t>3.15</w:t>
      </w:r>
      <w:r>
        <w:t xml:space="preserve"> </w:t>
      </w:r>
      <w:r>
        <w:t>Bi</w:t>
      </w:r>
      <w:r>
        <w:t xml:space="preserve"> </w:t>
      </w:r>
      <w:r>
        <w:t>1.5</w:t>
      </w:r>
      <w:r>
        <w:t xml:space="preserve"> </w:t>
      </w:r>
      <w:r>
        <w:t>Sb</w:t>
      </w:r>
      <w:r>
        <w:t xml:space="preserve"> </w:t>
      </w:r>
      <w:r>
        <w:t>0.49</w:t>
      </w:r>
      <w:r>
        <w:t xml:space="preserve"> </w:t>
      </w:r>
      <w:r>
        <w:t>Te</w:t>
      </w:r>
      <w:r>
        <w:t xml:space="preserve"> </w:t>
      </w:r>
      <w:r>
        <w:t>0.01</w:t>
      </w:r>
      <w:r>
        <w:t xml:space="preserve"> </w:t>
      </w:r>
      <w:r>
        <w:t>features interconnected Mg‐rich regions and multiscale defects that synergistically promote electrical transport and suppress lattice thermal conductivity, delivering an ultrahigh power factor of 41.7 µW cm</w:t>
      </w:r>
      <w:r>
        <w:t xml:space="preserve"> </w:t>
      </w:r>
      <w:r>
        <w:t>−1</w:t>
      </w:r>
      <w:r>
        <w:t xml:space="preserve"> </w:t>
      </w:r>
      <w:r>
        <w:t>K</w:t>
      </w:r>
      <w:r>
        <w:t xml:space="preserve"> </w:t>
      </w:r>
      <w:r>
        <w:t>−2</w:t>
      </w:r>
      <w:r>
        <w:t xml:space="preserve"> </w:t>
      </w:r>
      <w:r>
        <w:t>, a</w:t>
      </w:r>
      <w:r>
        <w:t xml:space="preserve"> </w:t>
      </w:r>
      <w:r>
        <w:t>ZT</w:t>
      </w:r>
      <w:r>
        <w:t xml:space="preserve"> </w:t>
      </w:r>
      <w:r>
        <w:t>of 1.2 ± 0.1 at 323 K, and a peak</w:t>
      </w:r>
      <w:r>
        <w:t xml:space="preserve"> </w:t>
      </w:r>
      <w:r>
        <w:t>ZT</w:t>
      </w:r>
      <w:r>
        <w:t xml:space="preserve"> </w:t>
      </w:r>
      <w:r>
        <w:t>of 1.8 ± 0.1 at 523 K. MRAS is also compatible with conventional compositional engineering: Ba doping at the Mg site further reduces thermal conductivity through point‐defect scattering while largely preserving the power factor, yielding a</w:t>
      </w:r>
      <w:r>
        <w:t xml:space="preserve"> </w:t>
      </w:r>
      <w:r>
        <w:t>ZT</w:t>
      </w:r>
      <w:r>
        <w:t xml:space="preserve"> </w:t>
      </w:r>
      <w:r>
        <w:t>around 1.9 ± 0.1 at 523 K in Mg</w:t>
      </w:r>
      <w:r>
        <w:t xml:space="preserve"> </w:t>
      </w:r>
      <w:r>
        <w:t>3.144</w:t>
      </w:r>
      <w:r>
        <w:t xml:space="preserve"> </w:t>
      </w:r>
      <w:r>
        <w:t>Ba</w:t>
      </w:r>
      <w:r>
        <w:t xml:space="preserve"> </w:t>
      </w:r>
      <w:r>
        <w:t>0.006</w:t>
      </w:r>
      <w:r>
        <w:t xml:space="preserve"> </w:t>
      </w:r>
      <w:r>
        <w:t>Bi</w:t>
      </w:r>
      <w:r>
        <w:t xml:space="preserve"> </w:t>
      </w:r>
      <w:r>
        <w:t>1.5</w:t>
      </w:r>
      <w:r>
        <w:t xml:space="preserve"> </w:t>
      </w:r>
      <w:r>
        <w:t>Sb</w:t>
      </w:r>
      <w:r>
        <w:t xml:space="preserve"> </w:t>
      </w:r>
      <w:r>
        <w:t>0.49</w:t>
      </w:r>
      <w:r>
        <w:t xml:space="preserve"> </w:t>
      </w:r>
      <w:r>
        <w:t>Te</w:t>
      </w:r>
      <w:r>
        <w:t xml:space="preserve"> </w:t>
      </w:r>
      <w:r>
        <w:t>0.01</w:t>
      </w:r>
      <w:r>
        <w:t xml:space="preserve"> </w:t>
      </w:r>
      <w:r>
        <w:t>. Moreover, successful extension to MgCu</w:t>
      </w:r>
      <w:r>
        <w:rPr>
          <w:vertAlign w:val="subscript"/>
        </w:rPr>
        <w:t>2</w:t>
      </w:r>
      <w:r>
        <w:t>and MgAgSb highlights the broad applicability of MRAS as a scalable synthesis platform for high‐performance Mg‐based materials.</w:t>
      </w:r>
    </w:p>
    <w:p>
      <w:pPr>
        <w:spacing w:before="120" w:after="120"/>
      </w:pPr>
      <w:r>
        <w:rPr>
          <w:sz w:val="18"/>
        </w:rPr>
        <w:t>——————————————————————————————————————————————————————————————————————</w:t>
      </w:r>
    </w:p>
    <w:p>
      <w:pPr>
        <w:spacing w:before="160" w:after="40" w:line="240" w:lineRule="auto"/>
      </w:pPr>
      <w:r>
        <w:rPr>
          <w:b/>
        </w:rPr>
        <w:t xml:space="preserve">[4] </w:t>
      </w:r>
      <w:hyperlink r:id="rId242">
        <w:r>
          <w:rPr>
            <w:color w:val="1155CC"/>
            <w:u w:val="single"/>
          </w:rPr>
          <w:t>富含羰基的非离子共价有机框架纳米通道用于高盐度离子热电</w:t>
        </w:r>
      </w:hyperlink>
    </w:p>
    <w:p>
      <w:pPr>
        <w:spacing w:before="0" w:after="80"/>
      </w:pPr>
      <w:r>
        <w:rPr>
          <w:i/>
          <w:sz w:val="20"/>
        </w:rPr>
        <w:t>EN: Carbonyl‐Enriched Nonionic Covalent Organic Framework Nanochannels for High‐Salinity Ionic Thermoelectrics</w:t>
      </w:r>
    </w:p>
    <w:p>
      <w:pPr>
        <w:spacing w:before="0" w:after="120"/>
      </w:pPr>
      <w:r>
        <w:rPr>
          <w:b/>
        </w:rPr>
        <w:t xml:space="preserve">Source: </w:t>
      </w:r>
      <w:r>
        <w:t>Wiley: Angewandte Chemie International Edition: Table of Contents</w:t>
      </w:r>
      <w:r>
        <w:t xml:space="preserve">    </w:t>
      </w:r>
      <w:r>
        <w:rPr>
          <w:b/>
        </w:rPr>
        <w:t xml:space="preserve">Pub date: </w:t>
      </w:r>
      <w:r>
        <w:t>2026-08-29 05:05:54+00:00</w:t>
      </w:r>
      <w:r>
        <w:t xml:space="preserve">    </w:t>
      </w:r>
      <w:r>
        <w:rPr>
          <w:b/>
        </w:rPr>
        <w:t xml:space="preserve">DOI: </w:t>
      </w:r>
      <w:hyperlink r:id="rId243">
        <w:r>
          <w:rPr>
            <w:color w:val="1155CC"/>
            <w:u w:val="single"/>
          </w:rPr>
          <w:t>10.1002/anie.4046032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盐度电解质与低品位热的结合为离子热电转换提供了诱人的机会，然而传统的固定电荷膜在浓介质中会因Donnan排斥被强烈屏蔽而迅速失去离子选择性渗透能力。在此，我们报道了一系列具有可比一维纳米通道但孔壁氧化学体系系统性变化的同网格非离子型共价有机框架膜。羟基取代调控的腙向β-酮烯胺互变异构产生了富含羰基的BthTb-3OH纳米通道，其可优先分配和传输阳离子并抑制阴离子迁移，而无需依赖共价锚定的电荷。在多种电解质中，BthTb-3OH表现出广泛的阳离子优先传输，在含硫酸盐和磷酸盐的介质中具有特别强的阳/阴离子迁移率对比。实验和分子动力学模拟进一步揭示，富含羰基的通道在浓盐条件下兼具高K⁺选择性渗透和快速K⁺传导。K₃PO₄预处理通过在富含羰基的纳米通道内滞留的磷酸盐/K⁺物种重组受限传输格局，促进K⁺传输并放大热扩散阳/阴离子对比</w:t>
      </w:r>
    </w:p>
    <w:p>
      <w:pPr>
        <w:spacing w:before="0" w:after="200" w:lineRule="auto" w:line="276"/>
      </w:pPr>
      <w:r>
        <w:rPr>
          <w:b/>
        </w:rPr>
        <w:t xml:space="preserve">Abstract (EN): </w:t>
      </w:r>
      <w:r>
        <w:t>High‐salinity electrolytes coupled with low‐grade heat offer an attractive opportunity for ionic thermoelectric conversion, yet conventional fixed‐charge membranes rapidly lose ion permselectivity in concentrated media because Donnan exclusion is strongly screened. Here, we report an isoreticular series of nonionic covalent organic framework membranes with comparable one‐dimensional nanochannels but systematically varied pore‐wall oxygen chemistry. Hydroxyl‐substitution‐regulated hydrazone‐to‐β‐ketoenamine tautomerism generates carbonyl‐enriched BthTb‐3OH nanochannels, which preferentially partition and transport cations while suppressing anion migration without relying on covalently anchored charges. Across diverse electrolytes, BthTb‐3OH exhibits broadly cation‐favored transport, with particularly strong cation/anion mobility contrasts in sulfate‐ and phosphate‐containing media. Experiments and molecular dynamics simulations further reveal that the carbonyl‐rich channels couple high K</w:t>
      </w:r>
      <w:r>
        <w:t xml:space="preserve"> </w:t>
      </w:r>
      <w:r>
        <w:t>+</w:t>
      </w:r>
      <w:r>
        <w:t xml:space="preserve"> </w:t>
      </w:r>
      <w:r>
        <w:t>permselectivity with rapid K</w:t>
      </w:r>
      <w:r>
        <w:t xml:space="preserve"> </w:t>
      </w:r>
      <w:r>
        <w:t>+</w:t>
      </w:r>
      <w:r>
        <w:t xml:space="preserve"> </w:t>
      </w:r>
      <w:r>
        <w:t>conduction under concentrated‐salt conditions. K</w:t>
      </w:r>
      <w:r>
        <w:rPr>
          <w:vertAlign w:val="subscript"/>
        </w:rPr>
        <w:t>3</w:t>
      </w:r>
      <w:r>
        <w:t>PO</w:t>
      </w:r>
      <w:r>
        <w:rPr>
          <w:vertAlign w:val="subscript"/>
        </w:rPr>
        <w:t>4</w:t>
      </w:r>
      <w:r>
        <w:t>preconditioning reorganizes the confined transport landscape through retained phosphate/K</w:t>
      </w:r>
      <w:r>
        <w:t xml:space="preserve"> </w:t>
      </w:r>
      <w:r>
        <w:t>+</w:t>
      </w:r>
      <w:r>
        <w:t xml:space="preserve"> </w:t>
      </w:r>
      <w:r>
        <w:t>species within the carbonyl‐rich nanochannels, facilitating K</w:t>
      </w:r>
      <w:r>
        <w:t xml:space="preserve"> </w:t>
      </w:r>
      <w:r>
        <w:t>+</w:t>
      </w:r>
      <w:r>
        <w:t xml:space="preserve"> </w:t>
      </w:r>
      <w:r>
        <w:t>transport and amplifying thermodiffusive cation/anion contrast in sulfate media. Consequently, the conditioned membrane delivers a peak power density of 224.2 W m</w:t>
      </w:r>
      <w:r>
        <w:t xml:space="preserve"> </w:t>
      </w:r>
      <w:r>
        <w:t>−2</w:t>
      </w:r>
      <w:r>
        <w:t xml:space="preserve"> </w:t>
      </w:r>
      <w:r>
        <w:t>in saturated K</w:t>
      </w:r>
      <w:r>
        <w:rPr>
          <w:vertAlign w:val="subscript"/>
        </w:rPr>
        <w:t>2</w:t>
      </w:r>
      <w:r>
        <w:t>SO</w:t>
      </w:r>
      <w:r>
        <w:rPr>
          <w:vertAlign w:val="subscript"/>
        </w:rPr>
        <w:t>4</w:t>
      </w:r>
      <w:r>
        <w:t>under a 50 K temperature difference, establishing nonionic COF nanochannels as a charge‐screening‐resistant platform for high‐salinity ionic thermoelectrics.</w:t>
      </w:r>
    </w:p>
    <w:p>
      <w:pPr>
        <w:spacing w:before="120" w:after="120"/>
      </w:pPr>
      <w:r>
        <w:rPr>
          <w:sz w:val="18"/>
        </w:rPr>
        <w:t>——————————————————————————————————————————————————————————————————————</w:t>
      </w:r>
    </w:p>
    <w:p>
      <w:pPr>
        <w:spacing w:before="160" w:after="40" w:line="240" w:lineRule="auto"/>
      </w:pPr>
      <w:r>
        <w:rPr>
          <w:b/>
        </w:rPr>
        <w:t xml:space="preserve">[5] </w:t>
      </w:r>
      <w:hyperlink r:id="rId244">
        <w:r>
          <w:rPr>
            <w:color w:val="1155CC"/>
            <w:u w:val="single"/>
          </w:rPr>
          <w:t>弱化局部化学键以提升YbMg2Sb2 Zintl化合物的热电性能</w:t>
        </w:r>
      </w:hyperlink>
    </w:p>
    <w:p>
      <w:pPr>
        <w:spacing w:before="0" w:after="80"/>
      </w:pPr>
      <w:r>
        <w:rPr>
          <w:i/>
          <w:sz w:val="20"/>
        </w:rPr>
        <w:t>EN: Weakening Local Chemical Bonds for Enhanced Thermoelectric Performance in YbMg2Sb2 Zintl Compounds</w:t>
      </w:r>
    </w:p>
    <w:p>
      <w:pPr>
        <w:spacing w:before="0" w:after="120"/>
      </w:pPr>
      <w:r>
        <w:rPr>
          <w:b/>
        </w:rPr>
        <w:t xml:space="preserve">Source: </w:t>
      </w:r>
      <w:r>
        <w:t>Wiley: Advanced Energy Materials: Table of Contents</w:t>
      </w:r>
      <w:r>
        <w:t xml:space="preserve">    </w:t>
      </w:r>
      <w:r>
        <w:rPr>
          <w:b/>
        </w:rPr>
        <w:t xml:space="preserve">Pub date: </w:t>
      </w:r>
      <w:r>
        <w:t>2026-08-30 10:09:12+00:00</w:t>
      </w:r>
      <w:r>
        <w:t xml:space="preserve">    </w:t>
      </w:r>
      <w:r>
        <w:rPr>
          <w:b/>
        </w:rPr>
        <w:t xml:space="preserve">DOI: </w:t>
      </w:r>
      <w:hyperlink r:id="rId245">
        <w:r>
          <w:rPr>
            <w:color w:val="1155CC"/>
            <w:u w:val="single"/>
          </w:rPr>
          <w:t>10.1002/aenm.71529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合金化是降低晶格热导率（κ_L）并提升材料热电性能的成熟策略，通常由 Klemens 模型解释，该模型通过质量和尺寸差异描述点缺陷声子散射。然而，在某些等价合金化热电材料中，我们观察到异常低的 κ_L，低于 Klemens 模型的预测。在此，以 YbMg₂Sb₂ 作为模型体系，我们表明用等价的 Zn 或 Cd 对 Mg 进行合金化会引起 κ_L 的大幅降低，超出仅由掺杂剂的质量和尺寸效应所能解释的范围。密度泛函理论计算表明，这源于局部化学键的减弱，使声学声子和光学声子均发生软化并减速。原子间力常数的降低还导致避免交叉，进一步抑制声学声子的传播。形变电子密度分析揭示，弱的 Zn-Sb 和 Cd-Sb 键来自 Zn₂Sb₂ 和 Cd₂Sb₂ 菱形环内的离域电子。得益于这种显著的 κ_L 降低</w:t>
      </w:r>
    </w:p>
    <w:p>
      <w:pPr>
        <w:spacing w:before="0" w:after="200" w:lineRule="auto" w:line="276"/>
      </w:pPr>
      <w:r>
        <w:rPr>
          <w:b/>
        </w:rPr>
        <w:t xml:space="preserve">Abstract (EN): </w:t>
      </w:r>
      <w:r>
        <w:t>Alloying is a well‐established strategy for reducing lattice thermal conductivity (</w:t>
      </w:r>
      <w:r>
        <w:t xml:space="preserve"> </w:t>
      </w:r>
      <w:r>
        <w:t>κ</w:t>
      </w:r>
      <w:r>
        <w:t xml:space="preserve"> </w:t>
      </w:r>
      <w:r>
        <w:t>L</w:t>
      </w:r>
      <w:r>
        <w:t xml:space="preserve"> </w:t>
      </w:r>
      <w:r>
        <w:t>) and enhancing thermoelectric performance of materials, typically explained by the Klemens model, which describes the point‐defect phonon scattering via mass and size contrasts. Yet, in certain isovalent alloyed thermoelectrics, we observe an anomalously low</w:t>
      </w:r>
      <w:r>
        <w:t xml:space="preserve"> </w:t>
      </w:r>
      <w:r>
        <w:t>κ</w:t>
      </w:r>
      <w:r>
        <w:t xml:space="preserve"> </w:t>
      </w:r>
      <w:r>
        <w:t>L</w:t>
      </w:r>
      <w:r>
        <w:t xml:space="preserve"> </w:t>
      </w:r>
      <w:r>
        <w:t>that falls below Klemens model predictions. Here, using YbMg</w:t>
      </w:r>
      <w:r>
        <w:rPr>
          <w:vertAlign w:val="subscript"/>
        </w:rPr>
        <w:t>2</w:t>
      </w:r>
      <w:r>
        <w:t>Sb</w:t>
      </w:r>
      <w:r>
        <w:rPr>
          <w:vertAlign w:val="subscript"/>
        </w:rPr>
        <w:t>2</w:t>
      </w:r>
      <w:r>
        <w:t>as a model system, we show that alloying Mg with isovalent Zn or Cd induces a substantial reduction in</w:t>
      </w:r>
      <w:r>
        <w:t xml:space="preserve"> </w:t>
      </w:r>
      <w:r>
        <w:t>κ</w:t>
      </w:r>
      <w:r>
        <w:t xml:space="preserve"> </w:t>
      </w:r>
      <w:r>
        <w:t>L</w:t>
      </w:r>
      <w:r>
        <w:t xml:space="preserve"> </w:t>
      </w:r>
      <w:r>
        <w:t>beyond that attributable to mass and size effects of the dopants alone. Density‐functional‐theory calculations demonstrate that this stems from weakened local chemical bonds, which soften and slow both acoustic and optical phonons. Reduced interatomic force constants also lead to avoided crossing, further suppressing acoustic phonon propagation. Deformation electron density analyses reveal that the weak Zn‐Sb and Cd‐Sb bonds arise from delocalized electrons within Zn</w:t>
      </w:r>
      <w:r>
        <w:rPr>
          <w:vertAlign w:val="subscript"/>
        </w:rPr>
        <w:t>2</w:t>
      </w:r>
      <w:r>
        <w:t>Sb</w:t>
      </w:r>
      <w:r>
        <w:rPr>
          <w:vertAlign w:val="subscript"/>
        </w:rPr>
        <w:t>2</w:t>
      </w:r>
      <w:r>
        <w:t>and Cd</w:t>
      </w:r>
      <w:r>
        <w:rPr>
          <w:vertAlign w:val="subscript"/>
        </w:rPr>
        <w:t>2</w:t>
      </w:r>
      <w:r>
        <w:t>Sb</w:t>
      </w:r>
      <w:r>
        <w:rPr>
          <w:vertAlign w:val="subscript"/>
        </w:rPr>
        <w:t>2</w:t>
      </w:r>
      <w:r>
        <w:t>rhomboid rings. Benefiting from this pronounced</w:t>
      </w:r>
      <w:r>
        <w:t xml:space="preserve"> </w:t>
      </w:r>
      <w:r>
        <w:t>κ</w:t>
      </w:r>
      <w:r>
        <w:t xml:space="preserve"> </w:t>
      </w:r>
      <w:r>
        <w:t>L</w:t>
      </w:r>
      <w:r>
        <w:t xml:space="preserve"> </w:t>
      </w:r>
      <w:r>
        <w:t>reduction and an enhanced density‐of‐states effective mass by band alignment, Cd‐alloyed YbMg</w:t>
      </w:r>
      <w:r>
        <w:rPr>
          <w:vertAlign w:val="subscript"/>
        </w:rPr>
        <w:t>2</w:t>
      </w:r>
      <w:r>
        <w:t>Sb</w:t>
      </w:r>
      <w:r>
        <w:rPr>
          <w:vertAlign w:val="subscript"/>
        </w:rPr>
        <w:t>2</w:t>
      </w:r>
      <w:r>
        <w:t>achieves a record‐high</w:t>
      </w:r>
      <w:r>
        <w:t xml:space="preserve"> </w:t>
      </w:r>
      <w:r>
        <w:t>ZT</w:t>
      </w:r>
      <w:r>
        <w:t xml:space="preserve"> </w:t>
      </w:r>
      <w:r>
        <w:t>of 1.4 at 873 K. These findings highlight the critical role of chemical bonds in reducing</w:t>
      </w:r>
      <w:r>
        <w:t xml:space="preserve"> </w:t>
      </w:r>
      <w:r>
        <w:t>κ</w:t>
      </w:r>
      <w:r>
        <w:t xml:space="preserve"> </w:t>
      </w:r>
      <w:r>
        <w:t>L</w:t>
      </w:r>
      <w:r>
        <w:t xml:space="preserve"> </w:t>
      </w:r>
      <w:r>
        <w:t>and provide a design principle for enabling materials with ultralow thermal conductivity through local bond tailoring.</w:t>
      </w:r>
    </w:p>
    <w:p>
      <w:pPr>
        <w:spacing w:before="120" w:after="120"/>
      </w:pPr>
      <w:r>
        <w:rPr>
          <w:sz w:val="18"/>
        </w:rPr>
        <w:t>——————————————————————————————————————————————————————————————————————</w:t>
      </w:r>
    </w:p>
    <w:p>
      <w:pPr>
        <w:spacing w:before="160" w:after="40" w:line="240" w:lineRule="auto"/>
      </w:pPr>
      <w:r>
        <w:rPr>
          <w:b/>
        </w:rPr>
        <w:t xml:space="preserve">[6] </w:t>
      </w:r>
      <w:hyperlink r:id="rId246">
        <w:r>
          <w:rPr>
            <w:color w:val="1155CC"/>
            <w:u w:val="single"/>
          </w:rPr>
          <w:t>用于热管理的柔性气凝胶：能量调节途径、性能权衡与设计策略</w:t>
        </w:r>
      </w:hyperlink>
    </w:p>
    <w:p>
      <w:pPr>
        <w:spacing w:before="0" w:after="80"/>
      </w:pPr>
      <w:r>
        <w:rPr>
          <w:i/>
          <w:sz w:val="20"/>
        </w:rPr>
        <w:t>EN: Flexible Aerogels for Thermal Management: Energy-Regulation Pathways, Performance Trade-Offs, and Design Strategies</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246">
        <w:r>
          <w:rPr>
            <w:color w:val="1155CC"/>
            <w:u w:val="single"/>
          </w:rPr>
          <w:t>10.1021/acsami.6c08856</w:t>
        </w:r>
      </w:hyperlink>
    </w:p>
    <w:p>
      <w:pPr>
        <w:spacing w:before="0" w:after="120"/>
      </w:pPr>
      <w:r>
        <w:rPr>
          <w:b/>
        </w:rPr>
        <w:t xml:space="preserve">Notes: </w:t>
      </w:r>
      <w:r>
        <w:t>abstract_source=crossref</w:t>
      </w:r>
    </w:p>
    <w:p>
      <w:pPr>
        <w:spacing w:before="0" w:after="80" w:lineRule="auto" w:line="276"/>
      </w:pPr>
      <w:r>
        <w:rPr>
          <w:b/>
        </w:rPr>
        <w:t xml:space="preserve">摘要（ZH）: </w:t>
      </w:r>
      <w:r>
        <w:t>摘要 柔性气凝胶具有高度多孔的结构以及可调控的热学、光谱和电学性能，已成为多功能热管理的理想平台。其功能包括隔热、辐射制冷、光热与电热加热以及热缓冲，这些功能由抑制传热、太阳反射与辐射耗散、能量转换以及热量存储与释放等能量调控途径实现。更重要的是，柔性气凝胶的独特优势在于其能够在机械载荷下保持维持这些途径的结构基础。本综述提出了一个以能量流为中心的框架，将功能特性、稳定的能量调控途径、设计策略与应用层功能联系起来。我们首先介绍气凝胶的可测量的热学、光谱、电学和存储特性，然后考察其相应途径的机械稳定性。接着，从变形下保持功能结构的角度，讨论了柔性气凝胶的设计原则、权衡与构筑策略。我们还对最新进展进行了批判性比较，重点讨论功能–机械耦合、性能保持以及特定应用的权衡。最后，我们强调了关键挑战与未来方向，着重指出下一代柔性气凝胶需要在机械适应性、耐久性与多功能效能之间取得平衡。</w:t>
      </w:r>
    </w:p>
    <w:p>
      <w:pPr>
        <w:spacing w:before="0" w:after="200" w:lineRule="auto" w:line="276"/>
      </w:pPr>
      <w:r>
        <w:rPr>
          <w:b/>
        </w:rPr>
        <w:t xml:space="preserve">Abstract (EN): </w:t>
      </w:r>
      <w:r>
        <w:t>Flexible aerogels, with highly porous architectures and tunable thermal, spectral, and electrical properties, have emerged as promising platforms for multifunctional thermal management. The functions, including thermal insulation, radiative cooling, photothermal and electrothermal heating, and thermal buffering, are enabled by energy regulation pathways for heat transfer suppression, solar rejection and radiative dissipation, energy conversion, and heat storage and release. More importantly, the distinctive advantage of flexible aerogels lies in their ability to preserve the structural basis that sustains these pathways under mechanical loading. This review presents an energy-flow-centered framework that connects functional properties, stable energy-regulation pathways, design strategies, and application-level functions. We first introduce the measurable thermal, spectral, electrical, and storage properties of aerogels and then examine the mechanical stability of their corresponding pathways. Then, design principles, trade-offs, and construction strategies of flexible aerogels are discussed in terms of preserving functional structures under deformation. Recent advances are critically compared, with emphasis on functional–mechanical coupling, performance retention, and application-specific trade-offs. Finally, we highlight key challenges and future directions, emphasizing the need to balance mechanical adaptability, durability, and multifunctional efficacy in next-generation flexible aerogels.</w:t>
      </w:r>
    </w:p>
    <w:p>
      <w:pPr>
        <w:spacing w:before="120" w:after="120"/>
      </w:pPr>
      <w:r>
        <w:rPr>
          <w:sz w:val="18"/>
        </w:rPr>
        <w:t>——————————————————————————————————————————————————————————————————————</w:t>
      </w:r>
    </w:p>
    <w:p>
      <w:pPr>
        <w:spacing w:before="160" w:after="40" w:line="240" w:lineRule="auto"/>
      </w:pPr>
      <w:r>
        <w:rPr>
          <w:b/>
        </w:rPr>
        <w:t xml:space="preserve">[7] </w:t>
      </w:r>
      <w:hyperlink r:id="rId247">
        <w:r>
          <w:rPr>
            <w:color w:val="1155CC"/>
            <w:u w:val="single"/>
          </w:rPr>
          <w:t>原位光热化异黑素本体水凝胶实现高效太阳能海水淡化</w:t>
        </w:r>
      </w:hyperlink>
    </w:p>
    <w:p>
      <w:pPr>
        <w:spacing w:before="0" w:after="80"/>
      </w:pPr>
      <w:r>
        <w:rPr>
          <w:i/>
          <w:sz w:val="20"/>
        </w:rPr>
        <w:t>EN: In Situ Photothermalized Allomelanin Bulk Hydrogels Enable Efficient Solar Water Desalination</w:t>
      </w:r>
    </w:p>
    <w:p>
      <w:pPr>
        <w:spacing w:before="0" w:after="120"/>
      </w:pPr>
      <w:r>
        <w:rPr>
          <w:b/>
        </w:rPr>
        <w:t xml:space="preserve">Source: </w:t>
      </w:r>
      <w:r>
        <w:t>Wiley: Advanced Materials: Table of Contents</w:t>
      </w:r>
      <w:r>
        <w:t xml:space="preserve">    </w:t>
      </w:r>
      <w:r>
        <w:rPr>
          <w:b/>
        </w:rPr>
        <w:t xml:space="preserve">Pub date: </w:t>
      </w:r>
      <w:r>
        <w:t>2026-08-31 14:30:52+00:00</w:t>
      </w:r>
      <w:r>
        <w:t xml:space="preserve">    </w:t>
      </w:r>
      <w:r>
        <w:rPr>
          <w:b/>
        </w:rPr>
        <w:t xml:space="preserve">DOI: </w:t>
      </w:r>
      <w:hyperlink r:id="rId248">
        <w:r>
          <w:rPr>
            <w:color w:val="1155CC"/>
            <w:u w:val="single"/>
          </w:rPr>
          <w:t>10.1002/adma.74783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水凝胶的界面太阳能蒸发在海水淡化方面展现出巨大前景。然而,传统水凝胶依赖外源性光热剂,在高负载、分散不足或界面相容性差的情况下,可能会损害水传输并使水凝胶内的热量传递复杂化。为解决这些关键问题,我们提出了一种简便且模块化的策略来构建坚固的全黑色素体相水凝胶,其中光热前体(1,8-二羟基萘)作为交联剂与亲水性聚合物(氧化多糖)直接偶联实现水凝胶凝胶化,同时作为功能单体在固化过程中发生自发反应原位生成光热剂。该策略避免了外源性光热剂的引入,同时实现了原位生成的光热剂与水凝胶网络的无缝集成,从而显著提升了水传输、水活化和热管理的性能。所得的全黑色素体相水凝胶令人惊喜地在1个太阳辐照下实现了4.26 kg·m−2·h−1的出色蒸发速率。此外,技术经济分析估计该水凝胶的清洁水生产成本为每吨1.66美元,具有竞争力,可与反渗透相媲美。这项工作为设计高效的海水淡化水凝胶器件开创了一条新途径,并</w:t>
      </w:r>
    </w:p>
    <w:p>
      <w:pPr>
        <w:spacing w:before="0" w:after="200" w:lineRule="auto" w:line="276"/>
      </w:pPr>
      <w:r>
        <w:rPr>
          <w:b/>
        </w:rPr>
        <w:t xml:space="preserve">Abstract (EN): </w:t>
      </w:r>
      <w:r>
        <w:t>Hydrogel‐based interfacial solar evaporation shows great promise for desalination. However, conventional hydrogels rely on exogenous photothermal agents, which may compromise water transport and complicate heat transfer within the hydrogel under conditions of high loading, insufficient dispersion, or poor interfacial compatibility. To address those critical issues, we have presented a facile and modular strategy for constructing robust allomelanin bulk hydrogels, where photothermal precursors (1,8‐dihydroxynaphthalene) act as crosslinkers to directly couple with hydrophilic polymers (oxidized polysaccharides) for hydrogel gelation, while serving simultaneously as functional monomers that undergo spontaneous reactions to in situ form photothermal agents during the curing process. This strategy avoids the introduction of exogenous photothermal agents while achieving seamless integration of the in situ‐generated photothermal agents with the hydrogel network, thereby remarkably boosting the performances of water transport, water activation, and thermal management. The resulting allomelanin bulk hydrogel interestingly achieved an impressive evaporation rate of 4.26 kg·m</w:t>
      </w:r>
      <w:r>
        <w:t xml:space="preserve"> </w:t>
      </w:r>
      <w:r>
        <w:t>−2</w:t>
      </w:r>
      <w:r>
        <w:t xml:space="preserve"> </w:t>
      </w:r>
      <w:r>
        <w:t>·h</w:t>
      </w:r>
      <w:r>
        <w:t xml:space="preserve"> </w:t>
      </w:r>
      <w:r>
        <w:t>−1</w:t>
      </w:r>
      <w:r>
        <w:t xml:space="preserve"> </w:t>
      </w:r>
      <w:r>
        <w:t>under 1 sun irradiation. Moreover, techno‐economic analysis estimated a competitive clean water production cost of $1.66 per ton for the hydrogel, rivalling reverse osmosis. This work pioneers a novel pathway for designing highly efficient hydrogel‐based desalination devices, presenting a sustainable solution to water scarcity challenges.</w:t>
      </w:r>
    </w:p>
    <w:p>
      <w:pPr>
        <w:spacing w:before="120" w:after="120"/>
      </w:pPr>
      <w:r>
        <w:rPr>
          <w:sz w:val="18"/>
        </w:rPr>
        <w:t>——————————————————————————————————————————————————————————————————————</w:t>
      </w:r>
    </w:p>
    <w:p>
      <w:pPr>
        <w:spacing w:before="160" w:after="40" w:line="240" w:lineRule="auto"/>
      </w:pPr>
      <w:r>
        <w:rPr>
          <w:b/>
        </w:rPr>
        <w:t xml:space="preserve">[8] </w:t>
      </w:r>
      <w:hyperlink r:id="rId249">
        <w:r>
          <w:rPr>
            <w:color w:val="1155CC"/>
            <w:u w:val="single"/>
          </w:rPr>
          <w:t>半导体晶体中的一维塑性</w:t>
        </w:r>
      </w:hyperlink>
    </w:p>
    <w:p>
      <w:pPr>
        <w:spacing w:before="0" w:after="80"/>
      </w:pPr>
      <w:r>
        <w:rPr>
          <w:i/>
          <w:sz w:val="20"/>
        </w:rPr>
        <w:t>EN: 1D Plasticity in Semiconductor Crystals</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250">
        <w:r>
          <w:rPr>
            <w:color w:val="1155CC"/>
            <w:u w:val="single"/>
          </w:rPr>
          <w:t>10.1002/adma.74898</w:t>
        </w:r>
      </w:hyperlink>
    </w:p>
    <w:p>
      <w:pPr>
        <w:spacing w:before="0" w:after="120"/>
      </w:pPr>
      <w:r>
        <w:rPr>
          <w:b/>
        </w:rPr>
        <w:t xml:space="preserve">Notes: </w:t>
      </w:r>
      <w:r>
        <w:t>abstract_source=crossref</w:t>
      </w:r>
    </w:p>
    <w:p>
      <w:pPr>
        <w:spacing w:before="0" w:after="80" w:lineRule="auto" w:line="276"/>
      </w:pPr>
      <w:r>
        <w:rPr>
          <w:b/>
        </w:rPr>
        <w:t xml:space="preserve">摘要（ZH）: </w:t>
      </w:r>
      <w:r>
        <w:t>摘要 最近在无机半导体中发现的卓越塑性可分为两类：多晶中的三维（3D）取向不敏感变形能力，以及层状晶体中的二维（2D）各向异性情形。因此，人们高度期待一维（1D）塑性的存在，但至今尚未被发现。本工作报道了硒化锡（SnSe）半导体晶体中优异的1D塑性。在面内方向上，沿zig-zag方向排列的样品（塑性）弯曲应变可高达约22.7%，而沿armchair方向排列的样品（脆性）弯曲应变仅约1.4%。这种1D塑性归因于沿b轴的连贯且更强的键合拓扑，其允许多种变形机制，包括层片段、层间滑移、桥接、晶格畸变和位错。这种键合拓扑使得在同构的SnS和GeSe晶体中也能观察到1D塑性。随后，利用具有1D塑性的材料成功开发了高性能的形状可贴合热电发生器。本工作丰富了塑性图谱，从而为延性半导体的设计与发现提供了新方向。</w:t>
      </w:r>
    </w:p>
    <w:p>
      <w:pPr>
        <w:spacing w:before="0" w:after="200" w:lineRule="auto" w:line="276"/>
      </w:pPr>
      <w:r>
        <w:rPr>
          <w:b/>
        </w:rPr>
        <w:t xml:space="preserve">Abstract (EN): </w:t>
      </w:r>
      <w:r>
        <w:t>The exceptional plasticity recently found in inorganic semiconductors can be classified into two types: the three‐dimensional (3D) orientation‐insensitive deformability in polycrystals, and the two‐dimensional (2D) anisotropic case in layered crystals. It is thus highly anticipated that one‐dimensional (1D) plasticity should also exist but it has not been found yet. Here this work reports the excellent 1D plasticity in tin selenide (SnSe) semiconductor crystals. In in‐plane directions, the bending strain is as large as ∼22.7% for the zig‐zag‐aligned specimen (plasticity) while as small as ∼1.4% for the armchair‐aligned one (brittleness). Such 1D plasticity is ascribed to the coherent and stronger bond topology along b ‐axis that allows for multiple deformation mechanisms including layer segments, interlayer slip, bridging, lattice distortion, and dislocations. This bonding topology enables that the 1D plasticity is also observed in isostructural SnS and GeSe crystals. High‐performance shape‐conformable thermoelectric generators are then successfully developed using materials with 1D plasticity. This work enriches the diagram for plasticity and thus provides a new direction for the design and discovery of ductile semiconductors.</w:t>
      </w:r>
    </w:p>
    <w:p>
      <w:pPr>
        <w:spacing w:before="120" w:after="120"/>
      </w:pPr>
      <w:r>
        <w:rPr>
          <w:sz w:val="18"/>
        </w:rPr>
        <w:t>——————————————————————————————————————————————————————————————————————</w:t>
      </w:r>
    </w:p>
    <w:p>
      <w:pPr>
        <w:spacing w:before="160" w:after="40" w:line="240" w:lineRule="auto"/>
      </w:pPr>
      <w:r>
        <w:rPr>
          <w:b/>
        </w:rPr>
        <w:t xml:space="preserve">[9] </w:t>
      </w:r>
      <w:hyperlink r:id="rId251">
        <w:r>
          <w:rPr>
            <w:color w:val="1155CC"/>
            <w:u w:val="single"/>
          </w:rPr>
          <w:t>重构孤对电子实现高性能n型SnSe热电材料</w:t>
        </w:r>
      </w:hyperlink>
    </w:p>
    <w:p>
      <w:pPr>
        <w:spacing w:before="0" w:after="80"/>
      </w:pPr>
      <w:r>
        <w:rPr>
          <w:i/>
          <w:sz w:val="20"/>
        </w:rPr>
        <w:t>EN: Reconfiguring Lone-Pair Electrons for High-Performance n-Type SnSe Thermoelectrics</w:t>
      </w:r>
    </w:p>
    <w:p>
      <w:pPr>
        <w:spacing w:before="0" w:after="120"/>
      </w:pPr>
      <w:r>
        <w:rPr>
          <w:b/>
        </w:rPr>
        <w:t xml:space="preserve">Source: </w:t>
      </w:r>
      <w:r>
        <w:t>Journal of the American Chemical Society</w:t>
      </w:r>
      <w:r>
        <w:t xml:space="preserve">    </w:t>
      </w:r>
      <w:r>
        <w:rPr>
          <w:b/>
        </w:rPr>
        <w:t xml:space="preserve">Pub date: </w:t>
      </w:r>
      <w:r>
        <w:t>2026-09-01 00:00:00+00:00</w:t>
      </w:r>
      <w:r>
        <w:t xml:space="preserve">    </w:t>
      </w:r>
      <w:r>
        <w:rPr>
          <w:b/>
        </w:rPr>
        <w:t xml:space="preserve">DOI: </w:t>
      </w:r>
      <w:hyperlink r:id="rId251">
        <w:r>
          <w:rPr>
            <w:color w:val="1155CC"/>
            <w:u w:val="single"/>
          </w:rPr>
          <w:t>10.1021/jacs.6c15566</w:t>
        </w:r>
      </w:hyperlink>
    </w:p>
    <w:p>
      <w:pPr>
        <w:spacing w:before="0" w:after="120"/>
      </w:pPr>
      <w:r>
        <w:rPr>
          <w:b/>
        </w:rPr>
        <w:t xml:space="preserve">Notes: </w:t>
      </w:r>
      <w:r>
        <w:t>abstract_source=crossref</w:t>
      </w:r>
    </w:p>
    <w:p>
      <w:pPr>
        <w:spacing w:before="0" w:after="80" w:lineRule="auto" w:line="276"/>
      </w:pPr>
      <w:r>
        <w:rPr>
          <w:b/>
        </w:rPr>
        <w:t xml:space="preserve">摘要（ZH）: </w:t>
      </w:r>
      <w:r>
        <w:t>摘要 将丰富的废热直接转化为电力为更高效的能源利用提供了一条有前景的途径，推动了具有高品质因数（ZT）的热电材料的发展。在SnSe中，Sn 5s2孤对电子（LPEs）被广泛认为是超低晶格热导率的根源。然而，它们在电荷输运中的作用仍未被充分理解。在此，通过引入缺乏立体化学活性LPEs的痕量Ce3+，我们重构了SnSe中LPEs的集体活性，从而通过增强层间轨道重叠和改善载流子迁移率，实现了稳健的n型导电和增强的三维（3D）电荷输运。因此，Sn0.99Ce0.01Se晶体在745 K下实现了约3.0的峰值ZT，最大发电效率约为10.4%。这项工作为优化含LPEs材料的热电性能建立了新范式。</w:t>
      </w:r>
    </w:p>
    <w:p>
      <w:pPr>
        <w:spacing w:before="0" w:after="200" w:lineRule="auto" w:line="276"/>
      </w:pPr>
      <w:r>
        <w:rPr>
          <w:b/>
        </w:rPr>
        <w:t xml:space="preserve">Abstract (EN): </w:t>
      </w:r>
      <w:r>
        <w:t>Direct conversion of abundant waste heat into electricity offers a promising route to more efficient energy use, motivating the development of thermoelectric materials with high figure of merit (ZT). In SnSe, Sn 5s2 LPEs are widely recognized as the origin of ultralow lattice thermal conductivity. However, their role in charge transport remains insufficiently understood. Here, by introducing trace Ce3+ that lack stereochemically active LPEs, we reconfigure the collective activity of LPEs in SnSe, thereby enabling robust n-type conduction and enhanced three-dimensional (3D) charge transport through strengthened interlayer orbital overlap and improved carrier mobility. Consequently, Sn0.99Ce0.01Se crystal achieves a peak ZT of ∼3.0 at 745 K and a maximum power-generation efficiency of ∼10.4%. This work establishes a new paradigm for optimizing the thermoelectric performance of materials containing LPEs.</w:t>
      </w:r>
    </w:p>
    <w:p>
      <w:pPr>
        <w:spacing w:before="120" w:after="120"/>
      </w:pPr>
      <w:r>
        <w:rPr>
          <w:sz w:val="18"/>
        </w:rPr>
        <w:t>——————————————————————————————————————————————————————————————————————</w:t>
      </w:r>
    </w:p>
    <w:p>
      <w:pPr>
        <w:spacing w:before="160" w:after="40" w:line="240" w:lineRule="auto"/>
      </w:pPr>
      <w:r>
        <w:rPr>
          <w:b/>
        </w:rPr>
        <w:t xml:space="preserve">[10] </w:t>
      </w:r>
      <w:hyperlink r:id="rId252">
        <w:r>
          <w:rPr>
            <w:color w:val="1155CC"/>
            <w:u w:val="single"/>
          </w:rPr>
          <w:t>通过新型两步策略改进热化学水分解太阳能还原的反应器设计与性能</w:t>
        </w:r>
      </w:hyperlink>
    </w:p>
    <w:p>
      <w:pPr>
        <w:spacing w:before="0" w:after="80"/>
      </w:pPr>
      <w:r>
        <w:rPr>
          <w:i/>
          <w:sz w:val="20"/>
        </w:rPr>
        <w:t>EN: Improved reactor design and performance for solar reduction in thermochemical water splitting through a novel two-step strategy</w:t>
      </w:r>
    </w:p>
    <w:p>
      <w:pPr>
        <w:spacing w:before="0" w:after="120"/>
      </w:pPr>
      <w:r>
        <w:rPr>
          <w:b/>
        </w:rPr>
        <w:t xml:space="preserve">Source: </w:t>
      </w:r>
      <w:r>
        <w:t>ScienceDirect Publication: Applied Energy</w:t>
      </w:r>
      <w:r>
        <w:t xml:space="preserve">    </w:t>
      </w:r>
      <w:r>
        <w:rPr>
          <w:b/>
        </w:rPr>
        <w:t xml:space="preserve">Pub date: </w:t>
      </w:r>
      <w:r>
        <w:t>2026-09-03 00:00:00+00:00</w:t>
      </w:r>
      <w:r>
        <w:t xml:space="preserve">    </w:t>
      </w:r>
      <w:r>
        <w:rPr>
          <w:b/>
        </w:rPr>
        <w:t xml:space="preserve">DOI: </w:t>
      </w:r>
      <w:hyperlink r:id="rId253">
        <w:r>
          <w:rPr>
            <w:color w:val="1155CC"/>
            <w:u w:val="single"/>
          </w:rPr>
          <w:t>10.1016/j.apenergy.2026.128779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254">
        <w:r>
          <w:rPr>
            <w:color w:val="1155CC"/>
            <w:u w:val="single"/>
          </w:rPr>
          <w:t>以安全优先的评估揭示中国煤电改核电的改造潜力</w:t>
        </w:r>
      </w:hyperlink>
    </w:p>
    <w:p>
      <w:pPr>
        <w:spacing w:before="0" w:after="80"/>
      </w:pPr>
      <w:r>
        <w:rPr>
          <w:i/>
          <w:sz w:val="20"/>
        </w:rPr>
        <w:t>EN: Unveil the coal-to-nuclear retrofitting potential in China by a safety-first assessment</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255">
        <w:r>
          <w:rPr>
            <w:color w:val="1155CC"/>
            <w:u w:val="single"/>
          </w:rPr>
          <w:t>10.1016/j.apenergy.2026.128750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56">
        <w:r>
          <w:rPr>
            <w:color w:val="1155CC"/>
            <w:u w:val="single"/>
          </w:rPr>
          <w:t>ITER中ELM控制场引起的alpha粒子输运的详细建模：对PFC和诊断设计的影响</w:t>
        </w:r>
      </w:hyperlink>
    </w:p>
    <w:p>
      <w:pPr>
        <w:spacing w:before="0" w:after="80"/>
      </w:pPr>
      <w:r>
        <w:rPr>
          <w:i/>
          <w:sz w:val="20"/>
        </w:rPr>
        <w:t>EN: Detailed modelling of alpha transport due to ELM control fields in ITER: implications for PFCs and diagnostic design</w:t>
      </w:r>
    </w:p>
    <w:p>
      <w:pPr>
        <w:spacing w:before="0" w:after="120"/>
      </w:pPr>
      <w:r>
        <w:rPr>
          <w:b/>
        </w:rPr>
        <w:t xml:space="preserve">Source: </w:t>
      </w:r>
      <w:r>
        <w:t>Nuclear Fusion - latest papers</w:t>
      </w:r>
      <w:r>
        <w:t xml:space="preserve">    </w:t>
      </w:r>
      <w:r>
        <w:rPr>
          <w:b/>
        </w:rPr>
        <w:t xml:space="preserve">Pub date: </w:t>
      </w:r>
      <w:r>
        <w:t>2026-08-31 23:00:00+00:00</w:t>
      </w:r>
      <w:r>
        <w:t xml:space="preserve">    </w:t>
      </w:r>
      <w:r>
        <w:rPr>
          <w:b/>
        </w:rPr>
        <w:t xml:space="preserve">DOI: </w:t>
      </w:r>
      <w:hyperlink r:id="rId257">
        <w:r>
          <w:rPr>
            <w:color w:val="1155CC"/>
            <w:u w:val="single"/>
          </w:rPr>
          <w:t>10.1088/1741-4326/ae96bf</w:t>
        </w:r>
      </w:hyperlink>
    </w:p>
    <w:p>
      <w:pPr>
        <w:spacing w:before="0" w:after="120"/>
      </w:pPr>
      <w:r>
        <w:rPr>
          <w:b/>
        </w:rPr>
        <w:t xml:space="preserve">Notes: </w:t>
      </w:r>
      <w:r>
        <w:t>abstract_source=rss_description</w:t>
      </w:r>
    </w:p>
    <w:p>
      <w:pPr>
        <w:spacing w:before="0" w:after="80" w:lineRule="auto" w:line="276"/>
      </w:pPr>
      <w:r>
        <w:rPr>
          <w:b/>
        </w:rPr>
        <w:t xml:space="preserve">摘要（ZH）: </w:t>
      </w:r>
      <w:r>
        <w:t>本文介绍了ITER中由静态三维磁场扰动驱动的α粒子输运模拟，研究的是高性能基线运行情景，特别是由边缘局域模（ELM）控制线圈产生的共振磁扰动，并结合环向场纹波及铁磁材料效应。我们采用用于仿星器和托卡马克的洛伦兹轨道代码（LOCUST），该代码在洛伦兹力和与体等离子体的蒙特卡罗碰撞下跟踪快离子轨道，同时考虑ITER面向等离子体部件的详细几何结构。LOCUST使用GPU卡来实现高分辨率建模，从而准确分辨具有复杂形态的表面上的功率通量，包括偏滤器穹顶下方无保护的冷却管道，并为ITER快离子损失探测器（FILD）的合成诊断提供可靠结果以支持其设计。模拟包括了环向模数n = 3的一系列ELM控制线圈电流分布。结果表明，损失的总α粒子能量对等离子体性能的影响可以忽略，保持在D–T反应产生的α能量的1%以下。此外，偏滤器结构和第一壁上的功率通量密度远低于设计限值，与热负荷和辐射负荷相当。FILD闪烁体板上的模拟α通量远高于噪声阈值，并且可能显著高于保守估计值。</w:t>
      </w:r>
    </w:p>
    <w:p>
      <w:pPr>
        <w:spacing w:before="0" w:after="200" w:lineRule="auto" w:line="276"/>
      </w:pPr>
      <w:r>
        <w:rPr>
          <w:b/>
        </w:rPr>
        <w:t xml:space="preserve">Abstract (EN): </w:t>
      </w:r>
      <w:r>
        <w:t>This paper presents simulations of alpha-particle transport in ITER driven by static 3D magnetic field perturbations in the high-performance baseline scenario, specifically resonant magnetic perturbations arising from edge-localized mode (ELM) control coils, combined with toroidal field ripple and effects from ferromagnetic materials. We employ the Lorentz-Orbit Code for Use in Stellarators and Tokamaks (LOCUST), which tracks fast-ion orbits under the Lorentz force and Monte Carlo collisions with the bulk plasma, taking into account the detailed geometry of ITER plasma-facing components. LOCUST uses GPU cards to enable the high-resolution modelling required to accurately resolve power fluxes across surfaces with complex morphologies, including unprotected cooling pipes beneath the dome divertor, and the generation of reliable synthetic diagnostics for the ITER Fast Ion Loss Detector (FILD) to support its design. The simulations include a range of ELM control coil current profiles with toroidal mode number n = 3. The results indicate that the total alpha-particle energy lost has a negligible impact on plasma performance, remaining below 1% of the alpha energy produced in D–T reactions. Furthermore, the power flux density on the divertor structures and the first wall remains well below design limits and is comparable to thermal and radiative loads. The simulated alpha flux on the FILD scintillator plate is well above the noise threshold and can be significantly higher than conservative estimates.</w:t>
      </w:r>
    </w:p>
    <w:p>
      <w:pPr>
        <w:spacing w:before="120" w:after="120"/>
      </w:pPr>
      <w:r>
        <w:rPr>
          <w:sz w:val="18"/>
        </w:rPr>
        <w:t>——————————————————————————————————————————————————————————————————————</w:t>
      </w:r>
    </w:p>
    <w:p>
      <w:pPr>
        <w:spacing w:before="160" w:after="40" w:line="240" w:lineRule="auto"/>
      </w:pPr>
      <w:r>
        <w:rPr>
          <w:b/>
        </w:rPr>
        <w:t xml:space="preserve">[3] </w:t>
      </w:r>
      <w:hyperlink r:id="rId258">
        <w:r>
          <w:rPr>
            <w:color w:val="1155CC"/>
            <w:u w:val="single"/>
          </w:rPr>
          <w:t>利用简化模型建模NSTX台基区的温度分布</w:t>
        </w:r>
      </w:hyperlink>
    </w:p>
    <w:p>
      <w:pPr>
        <w:spacing w:before="0" w:after="80"/>
      </w:pPr>
      <w:r>
        <w:rPr>
          <w:i/>
          <w:sz w:val="20"/>
        </w:rPr>
        <w:t>EN: Modeling temperature profiles in the pedestal of NSTX with reduced models</w:t>
      </w:r>
    </w:p>
    <w:p>
      <w:pPr>
        <w:spacing w:before="0" w:after="120"/>
      </w:pPr>
      <w:r>
        <w:rPr>
          <w:b/>
        </w:rPr>
        <w:t xml:space="preserve">Source: </w:t>
      </w:r>
      <w:r>
        <w:t>Nuclear Fusion - latest papers</w:t>
      </w:r>
      <w:r>
        <w:t xml:space="preserve">    </w:t>
      </w:r>
      <w:r>
        <w:rPr>
          <w:b/>
        </w:rPr>
        <w:t xml:space="preserve">Pub date: </w:t>
      </w:r>
      <w:r>
        <w:t>2026-08-31 23:00:00+00:00</w:t>
      </w:r>
      <w:r>
        <w:t xml:space="preserve">    </w:t>
      </w:r>
      <w:r>
        <w:rPr>
          <w:b/>
        </w:rPr>
        <w:t xml:space="preserve">DOI: </w:t>
      </w:r>
      <w:hyperlink r:id="rId259">
        <w:r>
          <w:rPr>
            <w:color w:val="1155CC"/>
            <w:u w:val="single"/>
          </w:rPr>
          <w:t>10.1088/1741-4326/ae9bd5</w:t>
        </w:r>
      </w:hyperlink>
    </w:p>
    <w:p>
      <w:pPr>
        <w:spacing w:before="0" w:after="120"/>
      </w:pPr>
      <w:r>
        <w:rPr>
          <w:b/>
        </w:rPr>
        <w:t xml:space="preserve">Notes: </w:t>
      </w:r>
      <w:r>
        <w:t>abstract_source=rss_description</w:t>
      </w:r>
    </w:p>
    <w:p>
      <w:pPr>
        <w:spacing w:before="0" w:after="80" w:lineRule="auto" w:line="276"/>
      </w:pPr>
      <w:r>
        <w:rPr>
          <w:b/>
        </w:rPr>
        <w:t xml:space="preserve">摘要（ZH）: </w:t>
      </w:r>
      <w:r>
        <w:t>本文描述了用于预测球形托卡马克H模台基分布的新建模能力。NSTX放电132543（窄台基）和132588（宽台基、锂化）的温度分布通过将astra输运求解器与新经典输运以及基于回旋动理学的电子温度梯度（ETG）和动能气球模（KBM）不稳定性简化模型相耦合进行建模。基于线性gene计算构建了一个经验归一化的离子尺度输运准线性代理模型。其单一全局系数通过无ELM放电132588进行标定，并保留用于132543，从而提供了跨放电的可迁移性检验。对温度进行时间演化得到了良好的分布恢复，证实了继承自线性计算的结构一致性。对输运机制的系统分析表明，对于离子通道，新经典输运在整个台基区域都很显著。ETG湍流在等离子体边缘和低密度梯度区域很大，对电子通道贡献显著。然而，KBM/类MHD模在离子和电子热通道中均驱动显著输运，因此对于精确的台基建模至关重要。进一步的改进，包括显式的剪切抑制和改进的ETG输运模型，带来了定量而非定性的改善。这一原理验证研究为经验约束的预测框架迈出了有希望的第一步。</w:t>
      </w:r>
    </w:p>
    <w:p>
      <w:pPr>
        <w:spacing w:before="0" w:after="200" w:lineRule="auto" w:line="276"/>
      </w:pPr>
      <w:r>
        <w:rPr>
          <w:b/>
        </w:rPr>
        <w:t xml:space="preserve">Abstract (EN): </w:t>
      </w:r>
      <w:r>
        <w:t>This paper describes new modeling capabilities for predicting H-mode pedestal profiles in spherical tokamaks. Temperature profiles for NSTX discharges 132543 (narrow pedestal) and 132588 (wide pedestal, lithiated) are modeled by coupling the astra transport solver with neoclassical transport and gyrokinetic-based reduced models for electron temperature gradient (ETG) and kinetic ballooning mode (KBM) instabilities. An empirically normalized quasilinear proxy for ion-scale transport is constructed from linear gene calculations. Its single global coefficient is calibrated to the ELM-free discharge 132588 and retained for 132543, providing a cross-discharge test of transferability. Time-evolving the temperatures yields good profile recovery, confirming the structural consistency inherited from the linear calculations. Systematic analysis of the transport mechanisms reveals that neoclassical transport is substantial across the entire pedestal region for the ion channel. ETG turbulence is large in the plasma edge and low density gradient region, contributing substantially to the electron channel. However, KBM/MHD-like modes also drive significant transport in both the ion and electron thermal channels, making them essential for accurate pedestal modeling. Further refinements, including explicit shear suppression and a refined model for ETG transport, produce quantitative but not qualitative improvements. This proof-of-principle study provides a promising first step toward an empirically constrained predictive framework.</w:t>
      </w:r>
    </w:p>
    <w:p>
      <w:pPr>
        <w:spacing w:before="120" w:after="120"/>
      </w:pPr>
      <w:r>
        <w:rPr>
          <w:sz w:val="18"/>
        </w:rPr>
        <w:t>——————————————————————————————————————————————————————————————————————</w:t>
      </w:r>
    </w:p>
    <w:p>
      <w:pPr>
        <w:spacing w:before="160" w:after="40" w:line="240" w:lineRule="auto"/>
      </w:pPr>
      <w:r>
        <w:rPr>
          <w:b/>
        </w:rPr>
        <w:t xml:space="preserve">[4] </w:t>
      </w:r>
      <w:hyperlink r:id="rId260">
        <w:r>
          <w:rPr>
            <w:color w:val="1155CC"/>
            <w:u w:val="single"/>
          </w:rPr>
          <w:t>使用UEDGE代码建模NSTX-U偏滤器热通量极限与锂蒸气屏蔽</w:t>
        </w:r>
      </w:hyperlink>
    </w:p>
    <w:p>
      <w:pPr>
        <w:spacing w:before="0" w:after="80"/>
      </w:pPr>
      <w:r>
        <w:rPr>
          <w:i/>
          <w:sz w:val="20"/>
        </w:rPr>
        <w:t>EN: Modeling of divertor heat flux limits and lithium vapor shielding in NSTX-U using UEDGE code</w:t>
      </w:r>
    </w:p>
    <w:p>
      <w:pPr>
        <w:spacing w:before="0" w:after="120"/>
      </w:pPr>
      <w:r>
        <w:rPr>
          <w:b/>
        </w:rPr>
        <w:t xml:space="preserve">Source: </w:t>
      </w:r>
      <w:r>
        <w:t>Nuclear Fusion - latest papers</w:t>
      </w:r>
      <w:r>
        <w:t xml:space="preserve">    </w:t>
      </w:r>
      <w:r>
        <w:rPr>
          <w:b/>
        </w:rPr>
        <w:t xml:space="preserve">Pub date: </w:t>
      </w:r>
      <w:r>
        <w:t>2026-08-31 23:00:00+00:00</w:t>
      </w:r>
      <w:r>
        <w:t xml:space="preserve">    </w:t>
      </w:r>
      <w:r>
        <w:rPr>
          <w:b/>
        </w:rPr>
        <w:t xml:space="preserve">DOI: </w:t>
      </w:r>
      <w:hyperlink r:id="rId261">
        <w:r>
          <w:rPr>
            <w:color w:val="1155CC"/>
            <w:u w:val="single"/>
          </w:rPr>
          <w:t>10.1088/1741-4326/ae9a44</w:t>
        </w:r>
      </w:hyperlink>
    </w:p>
    <w:p>
      <w:pPr>
        <w:spacing w:before="0" w:after="120"/>
      </w:pPr>
      <w:r>
        <w:rPr>
          <w:b/>
        </w:rPr>
        <w:t xml:space="preserve">Notes: </w:t>
      </w:r>
      <w:r>
        <w:t>abstract_source=rss_description</w:t>
      </w:r>
    </w:p>
    <w:p>
      <w:pPr>
        <w:spacing w:before="0" w:after="80" w:lineRule="auto" w:line="276"/>
      </w:pPr>
      <w:r>
        <w:rPr>
          <w:b/>
        </w:rPr>
        <w:t xml:space="preserve">摘要（ZH）: </w:t>
      </w:r>
      <w:r>
        <w:t>管理打到偏滤器靶板上的极端热负荷和粒子通量仍然是NSTX-U等高功率球形托卡马克面临的严峻挑战。本工作中，与二维壁输运求解器（Wall-Li）自洽耦合的UEDGE模拟被用于研究对NSTX-U运行重要的两个密切相关的问题：（1）标准偏滤器和雪花（SF）偏滤器在输入功率增加下石墨面向等离子体部件（PFC）的等离子体-表面相互作用；（2）标准下单零偏滤器石墨瓦片上覆盖5 mm锂层时，锂PFC蒸气屏蔽及其对上游等离子体条件的依赖。采用石墨靶板PFC的模拟表明，表面温度随打到靶板上的热通量增加而单调上升。在很宽的运行条件范围内，一旦峰值热通量超过7 MW m，表面温度就会超过石墨升华温度（此时石墨开始大量升华）。即使碳辐射增强（在10 MW输入功率情形下高达2.5 MW），这种情况仍然发生，表明仅靠碳辐射不足以耗散带有石墨PFC的NSTX-U偏滤器热负荷。分析了SF-minus偏滤器位形，以评估在磁场线入射和交叉场输运均不确定的条件下，第二打击点（SP#2）上的偏滤器热处理能力。采用极向非均匀输运模型来近似SF区中与搅动模（CM）等离子体对流相关的增强交叉场输运。模拟</w:t>
      </w:r>
    </w:p>
    <w:p>
      <w:pPr>
        <w:spacing w:before="0" w:after="200" w:lineRule="auto" w:line="276"/>
      </w:pPr>
      <w:r>
        <w:rPr>
          <w:b/>
        </w:rPr>
        <w:t xml:space="preserve">Abstract (EN): </w:t>
      </w:r>
      <w:r>
        <w:t>Managing extreme heat and particle fluxes to divertor targets remains a critical challenge for high-power spherical tokamaks such as NSTX-U. In this work, UEDGE simulations coupled self-consistently with a two-dimensional wall transport solver (Wall-Li) are used to investigate two closely related issues important for NSTX-U operation: (1) plasma-surface interactions of graphite plasma-facing components (PFCs) under increasing input power for standard and snowflake (SF) divertors and (2) lithium PFC vapor shielding and its dependence on upstream plasma conditions for a standard lower single null divertor with a 5 mm layer of lithium on the graphite tiles. Simulations with graphite target PFCs show a monotonic increase in surface temperature with increasing heat flux incident on the target plates. For a broad range of operating conditions, surface temperatures exceed the graphite sublimation temperature , when graphite starts massively sublimating) once peak heat fluxes exceed 7 MW m . This occurs despite enhanced carbon radiation (up to 2.5 MW for a 10 MW input-power case), indicating that carbon radiation alone is insufficient to dissipate NSTX-U divertor heat loads with graphite PFCs. A SF-minus divertor configuration is analyzed to assess divertor heat handling on the secondary strike point (SP#2) under conditions where both magnetic field-line incidence and cross-field transport are uncertain. A poloidally non-uniform transport model is employed to approximate the enhanced cross-field transport associated with churning-mode (CM) plasma convection in the SF zone. Simulation results indicate that the heat flux to SP#2 is dominated by enhanced CM transport rather than parallel conduction, leading to increased deposited heat flux with increasing CM strength and incidence angle. Lithium vapor shielding is investigated using a self-consistent model in which lithium sourcing depends on local plasma and surface conditions. The model demonstrates that lithium vapor shielding provides passive thermal cooling, maintaining surface temperatures below C even as the core power increases. However, lithium accumulation upstream increases once surface temperatures exceed C. Increasing the core density augments the drag force on impurity ions due to the parallel plasma flow in the scrape-off layer, confining lithium closer to the target and thereby extending the operational window for effective vapor shielding. Overall, these results highlight the necessity of (1) thick lithium layers to prevent strike-point depletion, (2) active cooling mechanisms (such as fast-flowing liquid lithium) to suppress excessive surface temperatures and evaporation, as lithium operation is constrained by surface temperature, and/or (3) deuterium gas puffing near the divertor to further increase SOL flow and density, leading to higher frictional drag on lithium impurities.</w:t>
      </w:r>
    </w:p>
    <w:p>
      <w:pPr>
        <w:spacing w:before="120" w:after="120"/>
      </w:pPr>
      <w:r>
        <w:rPr>
          <w:sz w:val="18"/>
        </w:rPr>
        <w:t>——————————————————————————————————————————————————————————————————————</w:t>
      </w:r>
    </w:p>
    <w:p>
      <w:pPr>
        <w:spacing w:before="160" w:after="40" w:line="240" w:lineRule="auto"/>
      </w:pPr>
      <w:r>
        <w:rPr>
          <w:b/>
        </w:rPr>
        <w:t xml:space="preserve">[5] </w:t>
      </w:r>
      <w:hyperlink r:id="rId262">
        <w:r>
          <w:rPr>
            <w:color w:val="1155CC"/>
            <w:u w:val="single"/>
          </w:rPr>
          <w:t>HELIAS 5-B欧洲增殖包层计划概述：双冷却剂铅锂设计、集成与工具</w:t>
        </w:r>
      </w:hyperlink>
    </w:p>
    <w:p>
      <w:pPr>
        <w:spacing w:before="0" w:after="80"/>
      </w:pPr>
      <w:r>
        <w:rPr>
          <w:i/>
          <w:sz w:val="20"/>
        </w:rPr>
        <w:t>EN: Overview of the European breeding blanket programme for HELIAS 5-B: dual coolant lead–lithium design, integration and tools</w:t>
      </w:r>
    </w:p>
    <w:p>
      <w:pPr>
        <w:spacing w:before="0" w:after="120"/>
      </w:pPr>
      <w:r>
        <w:rPr>
          <w:b/>
        </w:rPr>
        <w:t xml:space="preserve">Source: </w:t>
      </w:r>
      <w:r>
        <w:t>Nuclear Fusion - latest papers</w:t>
      </w:r>
      <w:r>
        <w:t xml:space="preserve">    </w:t>
      </w:r>
      <w:r>
        <w:rPr>
          <w:b/>
        </w:rPr>
        <w:t xml:space="preserve">Pub date: </w:t>
      </w:r>
      <w:r>
        <w:t>2026-08-31 23:00:00+00:00</w:t>
      </w:r>
      <w:r>
        <w:t xml:space="preserve">    </w:t>
      </w:r>
      <w:r>
        <w:rPr>
          <w:b/>
        </w:rPr>
        <w:t xml:space="preserve">DOI: </w:t>
      </w:r>
      <w:hyperlink r:id="rId263">
        <w:r>
          <w:rPr>
            <w:color w:val="1155CC"/>
            <w:u w:val="single"/>
          </w:rPr>
          <w:t>10.1088/1741-4326/ae99f2</w:t>
        </w:r>
      </w:hyperlink>
    </w:p>
    <w:p>
      <w:pPr>
        <w:spacing w:before="0" w:after="120"/>
      </w:pPr>
      <w:r>
        <w:rPr>
          <w:b/>
        </w:rPr>
        <w:t xml:space="preserve">Notes: </w:t>
      </w:r>
      <w:r>
        <w:t>abstract_source=rss_description</w:t>
      </w:r>
    </w:p>
    <w:p>
      <w:pPr>
        <w:spacing w:before="0" w:after="80" w:lineRule="auto" w:line="276"/>
      </w:pPr>
      <w:r>
        <w:rPr>
          <w:b/>
        </w:rPr>
        <w:t xml:space="preserve">摘要（ZH）: </w:t>
      </w:r>
      <w:r>
        <w:t>作为EUROfusion使仿星器走向技术成熟使命的一部分，仿星器电站研究（SPPS）工作包前瞻性研发（WPPRD）于2021年启动，旨在开发HELIAS级聚变电站。基于DEMO托卡马克的经验，欧洲团队正在为HELIAS设计双冷却剂铅锂（DCLL）增殖包层（BB）。该概念使用液态PbLi作为增殖剂/冷却剂，并采用解耦的氦气冷却用于第一壁（FW）。两项关键改进解决了HELIAS复杂几何结构的问题：采用毛细多孔系统（CPS）技术的可分离FW，以及PbLi流动沿磁力线排列的准环向分段（QTS）。QTS可将磁流体动力学（MHD）压降降低多达两个数量级，有可能消除电绝缘需求。针对三维仿星器重新考虑了远程操作（RH），因为传统的垂直端口提取不切实际。备选方案包括放大的固定线圈、用于临时大端口的可移动线圈以及可拆卸的容器周期段。可分离FW策略将维护从大型BB段转移到更小、更易更换的FW面板，从而延长BB寿命。对钨基体中含锂的CPS设计进行了热学、水力学和中子学分析，结果显示在维持氚增殖的同时有望降低每原子位移（dpa）损伤。FW CPS基体后方基于Be的慢化剂在减少背结构损伤的同时提高了氚增殖比（TTR）。为加速设计和分析，开发了HeliasGeom和SHANE工具，以快速生成真实的3D参数化几</w:t>
      </w:r>
    </w:p>
    <w:p>
      <w:pPr>
        <w:spacing w:before="0" w:after="200" w:lineRule="auto" w:line="276"/>
      </w:pPr>
      <w:r>
        <w:rPr>
          <w:b/>
        </w:rPr>
        <w:t xml:space="preserve">Abstract (EN): </w:t>
      </w:r>
      <w:r>
        <w:t>As part of EUROfusion’s mission to bring stellarators to technological maturity, the stellarator power plant studies (SPPS) work package prospective R&amp;D (WPPRD) began in 2021 to develop a HELIAS-class power plant. Building on DEMO tokamak experience, European teams are designing a dual coolant lead–lithium (DCLL) breeding blanket (BB) for HELIAS. This concept uses liquid PbLi as breeder/coolant and decoupled helium cooling for the first wall (FW). Two key adaptations address HELIAS’s complex geometry: a detached FW using capillary porous system (CPS) technology, and a quasi-toroidal segmentation (QTS) with PbLi flow aligned to magnetic field lines. QTS reduces magnetohydrodynamic (MHD) pressure drop by up to two orders of magnitude, potentially eliminating electrical insulation needs. Remote handling (RH) is rethought for 3D stellarators, where traditional vertical-port extraction is impractical. Alternatives include enlarged fixed coils, movable coils for temporary large ports, and detachable vessel periods. The detached FW strategy shifts maintenance from large BB segments to smaller, easily replaceable FW panels, extending BB lifetime. CPS designs with Li in tungsten matrices were analysed thermally, hydraulically, and neutronically, showing potential to lower displacement-per-atom (dpa) damage while maintaining tritium breeding. Be-based moderators behind the FW CPS matrix improved tritium breeding ratio (TBR) while reducing back-structure damage. To accelerate design and analysis, HeliasGeom and SHANE tools were developed to rapidly generate realistic 3D parametric geometries for CAD, neutronic, and thermal-hydraulic coupling. Preliminary 3D studies addressed TBR optimization, shielding, MHD in non-uniform fields (via GridapMHD), and multi-scale thermal–mechanical assessments. These innovations collectively advance stellarator blanket technology, integration, and maintainability toward viable power plant concepts.</w:t>
      </w:r>
    </w:p>
    <w:p>
      <w:pPr>
        <w:spacing w:before="120" w:after="120"/>
      </w:pPr>
      <w:r>
        <w:rPr>
          <w:sz w:val="18"/>
        </w:rPr>
        <w:t>——————————————————————————————————————————————————————————————————————</w:t>
      </w:r>
    </w:p>
    <w:p>
      <w:pPr>
        <w:spacing w:before="160" w:after="40" w:line="240" w:lineRule="auto"/>
      </w:pPr>
      <w:r>
        <w:rPr>
          <w:b/>
        </w:rPr>
        <w:t xml:space="preserve">[6] </w:t>
      </w:r>
      <w:hyperlink r:id="rId264">
        <w:r>
          <w:rPr>
            <w:color w:val="1155CC"/>
            <w:u w:val="single"/>
          </w:rPr>
          <w:t>EAST中性束注入加热等离子体中存在剪切流时芯部beta感应Alfvén本征模的特性</w:t>
        </w:r>
      </w:hyperlink>
    </w:p>
    <w:p>
      <w:pPr>
        <w:spacing w:before="0" w:after="80"/>
      </w:pPr>
      <w:r>
        <w:rPr>
          <w:i/>
          <w:sz w:val="20"/>
        </w:rPr>
        <w:t>EN: Characteristics of core beta-induced Alfvén eigenmodes with shear flow in EAST NBI heating plasmas</w:t>
      </w:r>
    </w:p>
    <w:p>
      <w:pPr>
        <w:spacing w:before="0" w:after="120"/>
      </w:pPr>
      <w:r>
        <w:rPr>
          <w:b/>
        </w:rPr>
        <w:t xml:space="preserve">Source: </w:t>
      </w:r>
      <w:r>
        <w:t>Nuclear Fusion - latest papers</w:t>
      </w:r>
      <w:r>
        <w:t xml:space="preserve">    </w:t>
      </w:r>
      <w:r>
        <w:rPr>
          <w:b/>
        </w:rPr>
        <w:t xml:space="preserve">Pub date: </w:t>
      </w:r>
      <w:r>
        <w:t>2026-08-31 23:00:00+00:00</w:t>
      </w:r>
      <w:r>
        <w:t xml:space="preserve">    </w:t>
      </w:r>
      <w:r>
        <w:rPr>
          <w:b/>
        </w:rPr>
        <w:t xml:space="preserve">DOI: </w:t>
      </w:r>
      <w:hyperlink r:id="rId265">
        <w:r>
          <w:rPr>
            <w:color w:val="1155CC"/>
            <w:u w:val="single"/>
          </w:rPr>
          <w:t>10.1088/1741-4326/ae9b20</w:t>
        </w:r>
      </w:hyperlink>
    </w:p>
    <w:p>
      <w:pPr>
        <w:spacing w:before="0" w:after="120"/>
      </w:pPr>
      <w:r>
        <w:rPr>
          <w:b/>
        </w:rPr>
        <w:t xml:space="preserve">Notes: </w:t>
      </w:r>
      <w:r>
        <w:t>abstract_source=rss_description</w:t>
      </w:r>
    </w:p>
    <w:p>
      <w:pPr>
        <w:spacing w:before="0" w:after="80" w:lineRule="auto" w:line="276"/>
      </w:pPr>
      <w:r>
        <w:rPr>
          <w:b/>
        </w:rPr>
        <w:t xml:space="preserve">摘要（ZH）: </w:t>
      </w:r>
      <w:r>
        <w:t>在EAST托卡马克中研究了β诱导阿尔芬本征模（BAE）多个分支的基本特征及其与带状流的关系。这些由切向注入中性束注入激发的BAE分支位于中心区域（ ），频率在50 70 kHz范围内，且环向模数 较低。BAE的激发以三个典型特征清晰地表征：局部 剪切的增加，同时伴随中心旋转速度和电子温度的同时上升。来自电子回旋辐射（ECE）诊断的模相位角径向分布随 显著变化。在线性和非线性两种情形下对芯部BAE进行了全局回旋动理学模拟。在线性情形下，不稳定的BAE分支在环向模数、实频率和模结构相位角上与实验一致。BAE相位角的径向变化主要由体等离子体动理学效应引起，而非高能粒子（EP）的非微扰驱动。在非线性情形下，没有带状场的单个 BAE在大振幅下饱和，在亚毫秒的快时间尺度上触发非绝热频率啁啾，而由BAE拍驱动的自组织带状流则大大降低了BAE饱和振幅至啁啾阈值以下，这与实验观测一致。此外，证实了带状流对耗散型不稳定性（如AE）的调节判据变为 ，而非传统的针对反应型的</w:t>
      </w:r>
    </w:p>
    <w:p>
      <w:pPr>
        <w:spacing w:before="0" w:after="200" w:lineRule="auto" w:line="276"/>
      </w:pPr>
      <w:r>
        <w:rPr>
          <w:b/>
        </w:rPr>
        <w:t xml:space="preserve">Abstract (EN): </w:t>
      </w:r>
      <w:r>
        <w:t>The basic features and relationship with zonal flows of multiple branches of beta-induced Alfvén eigenmodes (BAEs) are investigated in the EAST tokamak. Those branches of BAEs, excited by tangentially injected neutral beam injection, are located in the central region ( ), with frequencies in the range of 50 70 kHz and low toroidal mode numbers . The excitation of BAEs is clearly characterized by three typical features: an increase in the shear locally, accompanied by simultaneous rises in both central rotation velocity and electron temperature. Radial profiles of the mode phase angle from electron cyclotron emission (ECE) diagnostics vary significantly with . Global gyrokinetic simulations of core BAEs are performed in both linear and nonlinear regimes. In the linear regime, the unstable BAE branches are consistent with experiment on toroidal mode number, real frequency and the mode structure phase angle. The radial variation of BAE phase angle is primarily caused by bulk plasma kinetic effects rather than the energetic particle (EP) non-perturbative drive. In the nonlinear regime, single- BAE without zonal fields saturates at a large amplitude that triggers the non-adiabatic frequency chirping on a fast timescale of sub-millisecond, while the self-organized zonal flow beat-driven by BAE greatly reduces BAE saturation amplitude below the chirping threshold, which is in consistency with experimental observation. Moreover, it is confirmed that the criterion of zonal flow regulation on dissipative-type instability (such as AEs) becomes rather than traditional for reactive-type instability. In general,the self-organized zonal flow can improve plasma confinement through regulating both BAEs and drift-wave turbulence.</w:t>
      </w:r>
    </w:p>
    <w:p>
      <w:pPr>
        <w:spacing w:before="120" w:after="120"/>
      </w:pPr>
      <w:r>
        <w:rPr>
          <w:sz w:val="18"/>
        </w:rPr>
        <w:t>——————————————————————————————————————————————————————————————————————</w:t>
      </w:r>
    </w:p>
    <w:p>
      <w:pPr>
        <w:spacing w:before="160" w:after="40" w:line="240" w:lineRule="auto"/>
      </w:pPr>
      <w:r>
        <w:rPr>
          <w:b/>
        </w:rPr>
        <w:t xml:space="preserve">[7] </w:t>
      </w:r>
      <w:hyperlink r:id="rId266">
        <w:r>
          <w:rPr>
            <w:color w:val="1155CC"/>
            <w:u w:val="single"/>
          </w:rPr>
          <w:t>EAST上4.6 GHz低杂波电流驱动实验在长脉冲和高功率运行方面的进展</w:t>
        </w:r>
      </w:hyperlink>
    </w:p>
    <w:p>
      <w:pPr>
        <w:spacing w:before="0" w:after="80"/>
      </w:pPr>
      <w:r>
        <w:rPr>
          <w:i/>
          <w:sz w:val="20"/>
        </w:rPr>
        <w:t>EN: Progress of LHCD experiment at 4.6 GHz towards long-pulse and high-power operation on EAST</w:t>
      </w:r>
    </w:p>
    <w:p>
      <w:pPr>
        <w:spacing w:before="0" w:after="120"/>
      </w:pPr>
      <w:r>
        <w:rPr>
          <w:b/>
        </w:rPr>
        <w:t xml:space="preserve">Source: </w:t>
      </w:r>
      <w:r>
        <w:t>Nuclear Fusion - latest papers</w:t>
      </w:r>
      <w:r>
        <w:t xml:space="preserve">    </w:t>
      </w:r>
      <w:r>
        <w:rPr>
          <w:b/>
        </w:rPr>
        <w:t xml:space="preserve">Pub date: </w:t>
      </w:r>
      <w:r>
        <w:t>2026-08-31 23:00:00+00:00</w:t>
      </w:r>
      <w:r>
        <w:t xml:space="preserve">    </w:t>
      </w:r>
      <w:r>
        <w:rPr>
          <w:b/>
        </w:rPr>
        <w:t xml:space="preserve">DOI: </w:t>
      </w:r>
      <w:hyperlink r:id="rId267">
        <w:r>
          <w:rPr>
            <w:color w:val="1155CC"/>
            <w:u w:val="single"/>
          </w:rPr>
          <w:t>10.1088/1741-4326/ae99f0</w:t>
        </w:r>
      </w:hyperlink>
    </w:p>
    <w:p>
      <w:pPr>
        <w:spacing w:before="0" w:after="120"/>
      </w:pPr>
      <w:r>
        <w:rPr>
          <w:b/>
        </w:rPr>
        <w:t xml:space="preserve">Notes: </w:t>
      </w:r>
      <w:r>
        <w:t>abstract_source=rss_description</w:t>
      </w:r>
    </w:p>
    <w:p>
      <w:pPr>
        <w:spacing w:before="0" w:after="80" w:lineRule="auto" w:line="276"/>
      </w:pPr>
      <w:r>
        <w:rPr>
          <w:b/>
        </w:rPr>
        <w:t xml:space="preserve">摘要（ZH）: </w:t>
      </w:r>
      <w:r>
        <w:t>报道了EAST托卡马克上4.6 GHz低杂波电流驱动（LHCD）实验在长脉冲和高功率运行方面的最新进展。长脉冲等离子体的持续时间已延长至I模下1.1 MW LH功率的1056 s和H模下0.92 MW的1066 s。给出了仅用LH以及LH与电子回旋（EC）波联合实现全非感应放电的等离子体电流和线平均密度的运行域。量化了以剩余环电压Vloop = 0为特征的L模和H模放电中LHCD效率对等离子体密度的依赖关系。发现由于电子温度的提高，EC加热显著改善了LHCD效率。总结并讨论了长脉冲和高功率运行中的主要问题，包括功率耦合不平衡、天线前方的热点和电弧事件，以及高LH功率下等离子体加热效果的恶化。最后，展望了正在研发中的4.6 GHz新型4 MW LHCD系统的前景。</w:t>
      </w:r>
    </w:p>
    <w:p>
      <w:pPr>
        <w:spacing w:before="0" w:after="200" w:lineRule="auto" w:line="276"/>
      </w:pPr>
      <w:r>
        <w:rPr>
          <w:b/>
        </w:rPr>
        <w:t xml:space="preserve">Abstract (EN): </w:t>
      </w:r>
      <w:r>
        <w:t>Recent achievements of lower hybrid current drive (LHCD) experiment at 4.6 GHz towards long-pulse and high-power operation on EAST tokamak are reported. The duration of long-pulse plasmas has been extended to 1056 s with 1.1 MW LH power in I-mode and 1066 s with 0.92 MW in H-mode. The operational domains in plasma current and line-averaged density for fully non-inductive discharges with LH alone and with the combined LH and electron cyclotron (EC) waves are presented. The dependence of LHCD efficiency on plasma density in both L- and H-mode discharges characterized by residual loop voltage Vloop = 0 is quantified. It is found that the LHCD efficiency is improved significantly by EC heating due to the increase of electron temperature. The dominant issues in long-pulse and high-power operation are summarized and discussed, including the power coupling imbalance, the hot spot and arc events in front of the antenna, and the deteriorated plasma heating effect with high LH power. Finally, prospects with a new 4 MW LHCD system at 4.6 GHz which is under development are given.</w:t>
      </w:r>
    </w:p>
    <w:p>
      <w:pPr>
        <w:spacing w:before="120" w:after="120"/>
      </w:pPr>
      <w:r>
        <w:rPr>
          <w:sz w:val="18"/>
        </w:rPr>
        <w:t>——————————————————————————————————————————————————————————————————————</w:t>
      </w:r>
    </w:p>
    <w:p>
      <w:pPr>
        <w:spacing w:before="160" w:after="40" w:line="240" w:lineRule="auto"/>
      </w:pPr>
      <w:r>
        <w:rPr>
          <w:b/>
        </w:rPr>
        <w:t xml:space="preserve">[8] </w:t>
      </w:r>
      <w:hyperlink r:id="rId268">
        <w:r>
          <w:rPr>
            <w:color w:val="1155CC"/>
            <w:u w:val="single"/>
          </w:rPr>
          <w:t>利用结构化MOF复合材料连续流去除水相废物中的碘</w:t>
        </w:r>
      </w:hyperlink>
    </w:p>
    <w:p>
      <w:pPr>
        <w:spacing w:before="0" w:after="80"/>
      </w:pPr>
      <w:r>
        <w:rPr>
          <w:i/>
          <w:sz w:val="20"/>
        </w:rPr>
        <w:t>EN: Continuous-Flow Iodine Removal from Aqueous Wastes Using Structured MOF Composites</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268">
        <w:r>
          <w:rPr>
            <w:color w:val="1155CC"/>
            <w:u w:val="single"/>
          </w:rPr>
          <w:t>10.1021/acsami.6c08367</w:t>
        </w:r>
      </w:hyperlink>
    </w:p>
    <w:p>
      <w:pPr>
        <w:spacing w:before="0" w:after="120"/>
      </w:pPr>
      <w:r>
        <w:rPr>
          <w:b/>
        </w:rPr>
        <w:t xml:space="preserve">Notes: </w:t>
      </w:r>
      <w:r>
        <w:t>abstract_source=crossref</w:t>
      </w:r>
    </w:p>
    <w:p>
      <w:pPr>
        <w:spacing w:before="0" w:after="80" w:lineRule="auto" w:line="276"/>
      </w:pPr>
      <w:r>
        <w:rPr>
          <w:b/>
        </w:rPr>
        <w:t xml:space="preserve">摘要（ZH）: </w:t>
      </w:r>
      <w:r>
        <w:t>摘要 在连续流条件下有效固定和回收放射性碘仍是核废料管理中的关键挑战。尽管金属有机骨架（MOFs）表现出优异的碘捕获性能，但其在实际流通系统中的应用受到粉末处理、成型以及加工成可用形式过程中引起的结构变化等固有挑战的限制。本工作系统阐明了通过挤出、相转化和表面涂覆制备的UiO-66-NH2（U66-NH2）基成型吸附剂的结构演变，并揭示了不同结构特征如何主导I2吸附性能。挤出样品（U66-Clay）呈现致密堆积的颗粒结构，而相转化样品（U66-PVDF和U66-PES）形成了相互连通的大孔网络，其中MOF颗粒部分嵌入连续聚合物相中。相比之下，表面涂覆样品（U66-PVDF-C）在保持结构稳定性的同时最大化了MOF颗粒的暴露，尽管其MOF负载量相对较低。批量吸附实验表明，碘的吸收主要受UiO-66-NH2负载量和可及性的控制，其中U66-Clay的吸附容量（46.3 mg/g）与原始UiO-66-NH2粉末相当。在连续流条件下，U66-Clay表现出最快的吸附动力学和最高的Thomas速率常数（3.75 × 10–3 L/mg·min），这归因于其活性位点的更大暴露以及</w:t>
      </w:r>
    </w:p>
    <w:p>
      <w:pPr>
        <w:spacing w:before="0" w:after="200" w:lineRule="auto" w:line="276"/>
      </w:pPr>
      <w:r>
        <w:rPr>
          <w:b/>
        </w:rPr>
        <w:t xml:space="preserve">Abstract (EN): </w:t>
      </w:r>
      <w:r>
        <w:t>The effective immobilization and recovery of radioactive iodine under continuous-flow conditions remain critical challenges in nuclear waste management. Although metal-organic frameworks (MOFs) exhibit outstanding iodine capture performance, their application in practical flow-through systems is limited by the inherent challenges associated with powder handling, shaping, and the structural changes induced during fabrication into usable forms. In this work, the structural evolution of UiO-66-NH2 (U66-NH2) based structured adsorbents fabricated via extrusion, phase inversion, and surface coating was systematically elucidated, and revealed how distinct structural characteristics govern I2 adsorption performance. The extruded sample (U66-Clay) exhibited a densely packed particle structure, whereas the phase inversion-derived samples (U66-PVDF and U66-PES) formed interconnected macroporous networks with MOF particles partially embedded within a continuous polymer phase. In contrast, the surface-coated sample (U66-PVDF-C) maximized the exposure of MOF particles while maintaining structural stability, although its MOF loading was relatively low. Batch adsorption experiments revealed that iodine uptake was primarily governed by the loading and accessibility of UiO-66-NH2, with U66-Clay exhibiting an adsorption capacity (46.3 mg/g) comparable to that of pristine UiO-66-NH2 powder. Under continuous-flow conditions, U66-Clay exhibited the fastest adsorption kinetics and the highest Thomas rate constant (3.75 × 10–3 L/mg·min), owing to its greater exposure of active sites and more efficient mass transfer, significantly outperforming the polymer-based structured adsorbents (U66-PVDF, U66-PES). Spectroscopic analysis further revealed that iodine capture proceeded through a synergistic mechanism involving charge-transfer chemisorption at the electron-rich amino and aromatic sites, together with physical adsorption within the porous framework. Furthermore, all structured adsorbents exhibited rapid regeneration (∼30 min), minimal iodine leaching (∼6%), and excellent cyclic stability over repeated cycles. Overall, this work elucidates the structural evolution of MOFs during shaping process and establishes the relationship between structuring strategies and adsorption performance, providing general design principles for developing high-performance structured adsorbents for the continuous capture of iodine and other environmental pollutants.</w:t>
      </w:r>
    </w:p>
    <w:p>
      <w:pPr>
        <w:spacing w:before="120" w:after="120"/>
      </w:pPr>
      <w:r>
        <w:rPr>
          <w:sz w:val="18"/>
        </w:rPr>
        <w:t>——————————————————————————————————————————————————————————————————————</w:t>
      </w:r>
    </w:p>
    <w:p>
      <w:pPr>
        <w:spacing w:before="160" w:after="40" w:line="240" w:lineRule="auto"/>
      </w:pPr>
      <w:r>
        <w:rPr>
          <w:b/>
        </w:rPr>
        <w:t xml:space="preserve">[9] </w:t>
      </w:r>
      <w:hyperlink r:id="rId269">
        <w:r>
          <w:rPr>
            <w:color w:val="1155CC"/>
            <w:u w:val="single"/>
          </w:rPr>
          <w:t>高熵效应诱导的原位表面羟基化用于从真实核废水中实现稳健的电辅助铀矿化</w:t>
        </w:r>
      </w:hyperlink>
    </w:p>
    <w:p>
      <w:pPr>
        <w:spacing w:before="0" w:after="80"/>
      </w:pPr>
      <w:r>
        <w:rPr>
          <w:i/>
          <w:sz w:val="20"/>
        </w:rPr>
        <w:t>EN: High Entropy Effect Induced In-situ Surface Hydroxylation for Robust Electro-assisted Uranium Mineralization from Real Nuclear Wastewater</w:t>
      </w:r>
    </w:p>
    <w:p>
      <w:pPr>
        <w:spacing w:before="0" w:after="120"/>
      </w:pPr>
      <w:r>
        <w:rPr>
          <w:b/>
        </w:rPr>
        <w:t xml:space="preserve">Source: </w:t>
      </w:r>
      <w:r>
        <w:t>Physical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探索具有配位位点原位再生能力的高活性、低成本电催化剂，对于电辅助铀提取技术的大规模应用至关重要，可有效解决传统催化剂配位位点有限的问题。本文通过高熵效应调控La(CrFeCoNiCu)O3的电荷分布，诱导表面原位点羟基化，从而实现从含氟含铀废水中稳定回收铀。所制备的La(CrFeCoNiCu)O3表现出优异的铀提取性能，在含氟含铀废水中提取效率达97.8%，在实际含铀废水中仍保持91.3%以上。借助原位衰减全反射表面增强红外吸收光谱（ATR-SEIRAS）和准原位X射线光电子能谱（XPS），我们证实Cu位点作为羟基化活性位点，能够精确捕获氟铀配合物，随后通过电子还原-自由基再氧化途径实现铀的矿化。此外，在自主设计的流动电解装置上开展了真实核废水的规模化应用验证，证实了其成本优势。</w:t>
      </w:r>
    </w:p>
    <w:p>
      <w:pPr>
        <w:spacing w:before="0" w:after="200" w:lineRule="auto" w:line="276"/>
      </w:pPr>
      <w:r>
        <w:rPr>
          <w:b/>
        </w:rPr>
        <w:t xml:space="preserve">Abstract (EN): </w:t>
      </w:r>
      <w:r>
        <w:t>Exploring highly active and cost-efficient electrocatalysts with in-situ regeneration of coordination sites is crucial for the large-scale application of electro-assisted uranium extraction technology, which can effectively solve the problem of limited coordination sites for traditional catalysts. Herein, we tailor the charge distribution of La(CrFeCoNiCu)O3 via high-entropy effect to induce in-situ surface hydroxylation, thereby enabling robust uranium recovery from fluoride-containing uranium wastewater. The as-prepared La(CrFeCoNiCu)O3 exhibits high uranium extraction performance, achieving a 97.8% extraction efficiency in fluoride-containing uranium wastewater and still maintaining over 91.3% with real uranium wastewater. Relying on in-situ attenuated total reflection surface-enhanced infrared absorption spectroscopy (ATR-SEIRAS) and quasi-in-situ X-ray photoelectron spectroscopy (XPS), we confirm that Cu sites serve as hydroxylation active sites, enabling precise capture of fluoro-uranium complexes, followed by uranium mineralization via electron reduction-free radical reoxidation pathway. In addition, large-scale application verification of real nuclear wastewater is conducted on the self-designed flow electrolysis device, confirming its cost advantage.</w:t>
      </w:r>
    </w:p>
    <w:p>
      <w:pPr>
        <w:spacing w:before="120" w:after="120"/>
      </w:pPr>
      <w:r>
        <w:rPr>
          <w:sz w:val="18"/>
        </w:rPr>
        <w:t>——————————————————————————————————————————————————————————————————————</w:t>
      </w:r>
    </w:p>
    <w:p>
      <w:pPr>
        <w:spacing w:before="160" w:after="40" w:line="240" w:lineRule="auto"/>
      </w:pPr>
      <w:r>
        <w:rPr>
          <w:b/>
        </w:rPr>
        <w:t xml:space="preserve">[10] </w:t>
      </w:r>
      <w:hyperlink r:id="rId270">
        <w:r>
          <w:rPr>
            <w:color w:val="1155CC"/>
            <w:u w:val="single"/>
          </w:rPr>
          <w:t>用于清洁制氢的核能混合能源系统：时间步长优化的实时多域硬件仿真</w:t>
        </w:r>
      </w:hyperlink>
    </w:p>
    <w:p>
      <w:pPr>
        <w:spacing w:before="0" w:after="80"/>
      </w:pPr>
      <w:r>
        <w:rPr>
          <w:i/>
          <w:sz w:val="20"/>
        </w:rPr>
        <w:t>EN: Nuclear-Powered Hybrid Energy System for Clean Hydrogen Production: Time-Step-Optimized Real-Time Multi-Domain Hardware Emulation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271">
        <w:r>
          <w:rPr>
            <w:color w:val="1155CC"/>
            <w:u w:val="single"/>
          </w:rPr>
          <w:t>10.1109/tec.2026.3658726</w:t>
        </w:r>
      </w:hyperlink>
    </w:p>
    <w:p>
      <w:pPr>
        <w:spacing w:before="0" w:after="120"/>
      </w:pPr>
      <w:r>
        <w:rPr>
          <w:b/>
        </w:rPr>
        <w:t xml:space="preserve">Notes: </w:t>
      </w:r>
      <w:r>
        <w:t>abstract_source=semanticscholar</w:t>
      </w:r>
    </w:p>
    <w:p>
      <w:pPr>
        <w:spacing w:before="0" w:after="80" w:lineRule="auto" w:line="276"/>
      </w:pPr>
      <w:r>
        <w:rPr>
          <w:b/>
        </w:rPr>
        <w:t xml:space="preserve">摘要（ZH）: </w:t>
      </w:r>
      <w:r>
        <w:t>全球对脱碳的日益重视以及可再生能源、储能和核电的快速普及，正在推动对综合可持续能源建模、仿真、运行与控制的研究热潮。传统电磁暂态（EMT）方法通常采用梯形法对电网进行离散化。然而，当与其他物理域的常微分方程（ODEs）耦合时，数值积分格式的绝对稳定区域可能发生偏移，且各子系统之间时间常数的差异进一步增加了不同模型集成的复杂性。尽管将EMT与多域联合仿真的集成需求日益增长，现有商业EMT仿真工具要么缺乏对多域物理耦合的支持，要么未针对此类混合仿真进行专门优化。为弥补这一空白，本文提出了一种鲁棒多尺度时间步长估计（RMTE）框架，可实现EMT电网与多域子系统的实时联合仿真。该框架包含一种快速、高效且自适应的方法，用于在异构物理域之间选择最优的最大时间步长。所提出的方法通过一个涉及小型模块化反应堆（SMRs）、风电场、光伏（PV）以及用于清洁制氢的低温质子交换膜（PEM）电解的案例研究进行了验证。基于现场可编程门阵列（FPGA）的平台实现了实时硬件联合仿真。结果证明了仿真性能的显著提升</w:t>
      </w:r>
    </w:p>
    <w:p>
      <w:pPr>
        <w:spacing w:before="0" w:after="200" w:lineRule="auto" w:line="276"/>
      </w:pPr>
      <w:r>
        <w:rPr>
          <w:b/>
        </w:rPr>
        <w:t xml:space="preserve">Abstract (EN): </w:t>
      </w:r>
      <w:r>
        <w:t>Increasing global emphasis on decarbonization and the proliferation of renewable energy, energy storage, and nuclear power is driving a surge of research interest into integrated sustainable energy modeling, simulation, operation and control. Traditional electromagnetic transient (EMT) methods typically discretize electrical networks using the trapezoidal rule. When coupled with the ordinary differential equations (ODEs) of other physical domains, however, the absolute stability region of the numerical integration scheme can shift, and discrepancies in time constants across subsystems further complicate integration of disparate models. While the demand for integrating EMT with multi-domain co-simulations is increasing, existing commercial EMT simulation tools either lack support for multi-domain physical coupling or are not specifically optimized for such hybrid simulations. To address this gap, this paper proposes a robust multiscale time-step estimation (RMTE) framework that enables real-time co-simulation of EMT networks and multi-domain subsystems. The framework includes a fast, efficient, and adaptive approach for selecting the optimal maximum time-step across heterogeneous physical domains. The proposed method is validated through a case study involving small modular reactors (SMRs), wind farm, photovoltaics (PV) and low-temperature proton exchange membrane (PEM) electrolysis for clean hydrogen production. Real-time hardware co-emulation is achieved on a field-programmable gate array (FPGA)-based platform. The results demonstrate significant improvements in simulation efficiency and execution time.</w:t>
      </w:r>
    </w:p>
    <w:p>
      <w:pPr>
        <w:spacing w:before="120" w:after="120"/>
      </w:pPr>
      <w:r>
        <w:rPr>
          <w:sz w:val="18"/>
        </w:rPr>
        <w:t>——————————————————————————————————————————————————————————————————————</w:t>
      </w:r>
    </w:p>
    <w:p>
      <w:pPr>
        <w:spacing w:before="160" w:after="40" w:line="240" w:lineRule="auto"/>
      </w:pPr>
      <w:r>
        <w:rPr>
          <w:b/>
        </w:rPr>
        <w:t xml:space="preserve">[11] </w:t>
      </w:r>
      <w:hyperlink r:id="rId271">
        <w:r>
          <w:rPr>
            <w:color w:val="1155CC"/>
            <w:u w:val="single"/>
          </w:rPr>
          <w:t>用于清洁制氢的核能混合能源系统：时间步长优化的实时多域硬件仿真</w:t>
        </w:r>
      </w:hyperlink>
    </w:p>
    <w:p>
      <w:pPr>
        <w:spacing w:before="0" w:after="80"/>
      </w:pPr>
      <w:r>
        <w:rPr>
          <w:i/>
          <w:sz w:val="20"/>
        </w:rPr>
        <w:t>EN: Nuclear-Powered Hybrid Energy System for Clean Hydrogen Production: Time-Step-Optimized Real-Time Multi-Domain Hardware Emulation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271">
        <w:r>
          <w:rPr>
            <w:color w:val="1155CC"/>
            <w:u w:val="single"/>
          </w:rPr>
          <w:t>10.1109/tec.2026.3658726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72">
        <w:r>
          <w:rPr>
            <w:color w:val="1155CC"/>
            <w:u w:val="single"/>
          </w:rPr>
          <w:t>原子核中短程核子对与核子三体丰度的建模研究</w:t>
        </w:r>
      </w:hyperlink>
    </w:p>
    <w:p>
      <w:pPr>
        <w:spacing w:before="0" w:after="80"/>
      </w:pPr>
      <w:r>
        <w:rPr>
          <w:i/>
          <w:sz w:val="20"/>
        </w:rPr>
        <w:t>EN: Modeling short-range nucleon pair and triplet abundances in atomic nuclei</w:t>
      </w:r>
    </w:p>
    <w:p>
      <w:pPr>
        <w:spacing w:before="0" w:after="120"/>
      </w:pPr>
      <w:r>
        <w:rPr>
          <w:b/>
        </w:rPr>
        <w:t xml:space="preserve">Source: </w:t>
      </w:r>
      <w:r>
        <w:t>Recent Articles in Phys. Rev. C</w:t>
      </w:r>
      <w:r>
        <w:t xml:space="preserve">    </w:t>
      </w:r>
      <w:r>
        <w:rPr>
          <w:b/>
        </w:rPr>
        <w:t xml:space="preserve">Pub date: </w:t>
      </w:r>
      <w:r>
        <w:t>2026-09-01 10:00:00+00:00</w:t>
      </w:r>
      <w:r>
        <w:t xml:space="preserve">    </w:t>
      </w:r>
      <w:r>
        <w:rPr>
          <w:b/>
        </w:rPr>
        <w:t xml:space="preserve">DOI: </w:t>
      </w:r>
      <w:hyperlink r:id="rId273">
        <w:r>
          <w:rPr>
            <w:color w:val="1155CC"/>
            <w:u w:val="single"/>
          </w:rPr>
          <w:t>10.1103/cctz-56dl</w:t>
        </w:r>
      </w:hyperlink>
    </w:p>
    <w:p>
      <w:pPr>
        <w:spacing w:before="0" w:after="120"/>
      </w:pPr>
      <w:r>
        <w:rPr>
          <w:b/>
        </w:rPr>
        <w:t xml:space="preserve">Notes: </w:t>
      </w:r>
      <w:r>
        <w:t>abstract_source=rss_description</w:t>
      </w:r>
    </w:p>
    <w:p>
      <w:pPr>
        <w:spacing w:before="0" w:after="80" w:lineRule="auto" w:line="276"/>
      </w:pPr>
      <w:r>
        <w:rPr>
          <w:b/>
        </w:rPr>
        <w:t xml:space="preserve">摘要（ZH）: </w:t>
      </w:r>
      <w:r>
        <w:t>作者：I. Wischnevsky Shlush、I. Korover、E. Piasetzky、A. Denniston 和 R. Wagner 短程关联（SRC）核子对为研究原子核的短距结构以及底层核子-核子（NN）相互作用提供了灵敏的探针。我们提出了一种简单的数值方法，利用独立粒子……来估计二核子和三核子 SRC 团簇的数量[Phys. Rev. C 114, 034002] 发布于 2026年9月1日（星期二）</w:t>
      </w:r>
    </w:p>
    <w:p>
      <w:pPr>
        <w:spacing w:before="0" w:after="200" w:lineRule="auto" w:line="276"/>
      </w:pPr>
      <w:r>
        <w:rPr>
          <w:b/>
        </w:rPr>
        <w:t xml:space="preserve">Abstract (EN): </w:t>
      </w:r>
      <w:r>
        <w:t>Author(s): I. Wischnevsky Shlush, I. Korover, E. Piasetzky, A. Denniston, and R. WagnerShort-range correlated (SRC) nucleon pairs provide a sensitive probe of the short-distance structure of atomic nuclei and the underlying nucleon-nucleon (NN) interaction. We present a simple numerical method to estimate the number of two- and three-nucleon SRC clusters using an independent-particle …[Phys. Rev. C 114, 034002] Published Tue Sep 01, 2026</w:t>
      </w:r>
    </w:p>
    <w:p>
      <w:pPr>
        <w:spacing w:before="120" w:after="120"/>
      </w:pPr>
      <w:r>
        <w:rPr>
          <w:sz w:val="18"/>
        </w:rPr>
        <w:t>——————————————————————————————————————————————————————————————————————</w:t>
      </w:r>
    </w:p>
    <w:p>
      <w:pPr>
        <w:spacing w:before="160" w:after="40" w:line="240" w:lineRule="auto"/>
      </w:pPr>
      <w:r>
        <w:rPr>
          <w:b/>
        </w:rPr>
        <w:t xml:space="preserve">[13] </w:t>
      </w:r>
      <w:hyperlink r:id="rId274">
        <w:r>
          <w:rPr>
            <w:color w:val="1155CC"/>
            <w:u w:val="single"/>
          </w:rPr>
          <w:t>Magnum-PSI中偏滤器位形下闭合蒸汽盒模块的实验研究</w:t>
        </w:r>
      </w:hyperlink>
    </w:p>
    <w:p>
      <w:pPr>
        <w:spacing w:before="0" w:after="80"/>
      </w:pPr>
      <w:r>
        <w:rPr>
          <w:i/>
          <w:sz w:val="20"/>
        </w:rPr>
        <w:t>EN: Experimental investigation of a closed vapour box module for a divertor-like configuration in Magnum-PSI</w:t>
      </w:r>
    </w:p>
    <w:p>
      <w:pPr>
        <w:spacing w:before="0" w:after="120"/>
      </w:pPr>
      <w:r>
        <w:rPr>
          <w:b/>
        </w:rPr>
        <w:t xml:space="preserve">Source: </w:t>
      </w:r>
      <w:r>
        <w:t>Nuclear Fusion - latest papers</w:t>
      </w:r>
      <w:r>
        <w:t xml:space="preserve">    </w:t>
      </w:r>
      <w:r>
        <w:rPr>
          <w:b/>
        </w:rPr>
        <w:t xml:space="preserve">Pub date: </w:t>
      </w:r>
      <w:r>
        <w:t>2026-09-01 23:00:00+00:00</w:t>
      </w:r>
      <w:r>
        <w:t xml:space="preserve">    </w:t>
      </w:r>
      <w:r>
        <w:rPr>
          <w:b/>
        </w:rPr>
        <w:t xml:space="preserve">DOI: </w:t>
      </w:r>
      <w:hyperlink r:id="rId275">
        <w:r>
          <w:rPr>
            <w:color w:val="1155CC"/>
            <w:u w:val="single"/>
          </w:rPr>
          <w:t>10.1088/1741-4326/ae8fe6</w:t>
        </w:r>
      </w:hyperlink>
    </w:p>
    <w:p>
      <w:pPr>
        <w:spacing w:before="0" w:after="120"/>
      </w:pPr>
      <w:r>
        <w:rPr>
          <w:b/>
        </w:rPr>
        <w:t xml:space="preserve">Notes: </w:t>
      </w:r>
      <w:r>
        <w:t>abstract_source=rss_description</w:t>
      </w:r>
    </w:p>
    <w:p>
      <w:pPr>
        <w:spacing w:before="0" w:after="80" w:lineRule="auto" w:line="276"/>
      </w:pPr>
      <w:r>
        <w:rPr>
          <w:b/>
        </w:rPr>
        <w:t xml:space="preserve">摘要（ZH）: </w:t>
      </w:r>
      <w:r>
        <w:t>在偏滤器区域高效管理极端热通量以延长部件寿命，仍然是实现核聚变发电厂所面临的关键挑战。在为偏滤器区域探索的替代概念中，液态金属（尤其是锂）的使用因其能够通过蒸汽屏蔽效应（VS）耗散入射等离子体热通量而备受关注。在本工作中，我们在直线等离子体装置 Magnum-PSI 中对专用蒸汽箱模块（VBM）的“封闭”构型进行了实验研究。这些实验的目的是模拟蒸汽箱偏滤器环境条件，并评估其在功率缓解与再分配以及锂约束方面的性能。无锂的初步测试证明了封闭式 VBM 结构通过中性气体积累诱导脱靶的有效性。因此添加了开孔，使不冷凝的气体能够被有效抽走，同时确保锂在内表面冷凝。使用锂毛细多孔结构靶时，锂被等离子体直接汽化，形成与入射等离子体相互作用的稠密锂蒸气云。这导致靶温度显著降低至少 48%，并伴随温度锁定效应，这是 VS 区域中典型观察到的现象。VBM 内的锂蒸气约束与壁温密切相关。相对较冷的壁面促进锂的再冷凝，从而改善锂的约束，尽管存在预期</w:t>
      </w:r>
    </w:p>
    <w:p>
      <w:pPr>
        <w:spacing w:before="0" w:after="200" w:lineRule="auto" w:line="276"/>
      </w:pPr>
      <w:r>
        <w:rPr>
          <w:b/>
        </w:rPr>
        <w:t xml:space="preserve">Abstract (EN): </w:t>
      </w:r>
      <w:r>
        <w:t>Efficient management of extreme heat fluxes in the divertor region to extend the lifetime of the components remains a critical challenge for the realization of nuclear fusion-based power plants. Among the alternative concepts explored for the divertor region, the use of liquid metals, particularly lithium, is of interest due its ability to dissipate the incoming plasma heat flux through the vapour shielding effect (VS). In this work, we experimentally investigated a ‘closed’ configuration of a dedicated Vapour Box Module (VBM) in the linear plasma device Magnum-PSI. The goal of the experiments is to simulate the vapour box divertor environment conditions and assess its performance in terms of power mitigation and redistribution and lithium confinement. Initial testing without Li demonstrated the efficacy of a closed VBM structure in inducing detachment via neutral gas accumulation. Apertures which enabled non-condensing gas to be effectively pumped while ensuring lithium condensed on the inner surfaces were therefore added. With a lithium capillary porous structure target used, lithium is directly vaporized by the plasma, forming a dense lithium vapour cloud that interacts with the incoming plasma. This resulted in a significant reduction of the target temperature of at least 48%, together with a temperature locking effect, a phenomenon typically observed in the VS regime. Lithium vapour confinement within the VBM was strongly correlated with the wall temperature. Relatively cold walls promoted Li re-condensation and therefore improved Li confinement, although with the expected trade-off of increased hydrogenic retention on lithium-wetted surfaces. As the wall temperature increased, the confinement efficiency decreased, consistent with reduced Li re-condensation and thermally activated Li–H chemistry and remobilization at the walls. Diagnostic measurements through embedded thermocouples and calorimetry revealed that lithium vaporization and re-condensation processes also playedsignificant roles in plasma power dissipation. The results advance the case for a closed divertor chamber with direct lithium evaporation from the strike-points as a viable method to manage divertor heat fluxes in future fusion reactors.</w:t>
      </w:r>
    </w:p>
    <w:p>
      <w:pPr>
        <w:spacing w:before="120" w:after="120"/>
      </w:pPr>
      <w:r>
        <w:rPr>
          <w:sz w:val="18"/>
        </w:rPr>
        <w:t>——————————————————————————————————————————————————————————————————————</w:t>
      </w:r>
    </w:p>
    <w:p>
      <w:pPr>
        <w:spacing w:before="160" w:after="40" w:line="240" w:lineRule="auto"/>
      </w:pPr>
      <w:r>
        <w:rPr>
          <w:b/>
        </w:rPr>
        <w:t xml:space="preserve">[14] </w:t>
      </w:r>
      <w:hyperlink r:id="rId276">
        <w:r>
          <w:rPr>
            <w:color w:val="1155CC"/>
            <w:u w:val="single"/>
          </w:rPr>
          <w:t>利用TMAP8中的代理模型对聚变先导示范堆初步设计中的氚行为进行多尺度评估</w:t>
        </w:r>
      </w:hyperlink>
    </w:p>
    <w:p>
      <w:pPr>
        <w:spacing w:before="0" w:after="80"/>
      </w:pPr>
      <w:r>
        <w:rPr>
          <w:i/>
          <w:sz w:val="20"/>
        </w:rPr>
        <w:t>EN: Multiscale assessment of tritium behavior in preliminary fusion pilot plant design using surrogate models in TMAP8</w:t>
      </w:r>
    </w:p>
    <w:p>
      <w:pPr>
        <w:spacing w:before="0" w:after="120"/>
      </w:pPr>
      <w:r>
        <w:rPr>
          <w:b/>
        </w:rPr>
        <w:t xml:space="preserve">Source: </w:t>
      </w:r>
      <w:r>
        <w:t>Nuclear Fusion - latest papers</w:t>
      </w:r>
      <w:r>
        <w:t xml:space="preserve">    </w:t>
      </w:r>
      <w:r>
        <w:rPr>
          <w:b/>
        </w:rPr>
        <w:t xml:space="preserve">Pub date: </w:t>
      </w:r>
      <w:r>
        <w:t>2026-09-01 23:00:00+00:00</w:t>
      </w:r>
      <w:r>
        <w:t xml:space="preserve">    </w:t>
      </w:r>
      <w:r>
        <w:rPr>
          <w:b/>
        </w:rPr>
        <w:t xml:space="preserve">DOI: </w:t>
      </w:r>
      <w:hyperlink r:id="rId277">
        <w:r>
          <w:rPr>
            <w:color w:val="1155CC"/>
            <w:u w:val="single"/>
          </w:rPr>
          <w:t>10.1088/1741-4326/ae9965</w:t>
        </w:r>
      </w:hyperlink>
    </w:p>
    <w:p>
      <w:pPr>
        <w:spacing w:before="0" w:after="120"/>
      </w:pPr>
      <w:r>
        <w:rPr>
          <w:b/>
        </w:rPr>
        <w:t xml:space="preserve">Notes: </w:t>
      </w:r>
      <w:r>
        <w:t>abstract_source=rss_description</w:t>
      </w:r>
    </w:p>
    <w:p>
      <w:pPr>
        <w:spacing w:before="0" w:after="80" w:lineRule="auto" w:line="276"/>
      </w:pPr>
      <w:r>
        <w:rPr>
          <w:b/>
        </w:rPr>
        <w:t xml:space="preserve">摘要（ZH）: </w:t>
      </w:r>
      <w:r>
        <w:t>聚变能系统中多尺度现象的复杂性和重要性使得先进建模对于聚变电站的设计、优化和安全部署成为必要。氚衡算正是氘-氚聚变系统面临的挑战之一。氚的可用性受限于其较短的半衰期（12.33 年）和有限的天然丰度，这要求聚变发电厂在现场增殖氚。因此，准确的氚衡算对于聚变发电厂的有效资源管理、安全性和经济性至关重要。通过美国能源部的里程碑计划，Tokamak Energy Ltd 正在开发聚变示范电厂设计，并评估氚在关键部件中的滞留与损失及其对燃料循环的影响。为了快速探索设计权衡并量化氚管理方面的设计决策，本研究提出了一种多尺度分析，以研究氚在关键等离子体面对部件中的扩散、捕集和回收。为了提高计算效率，我们将部件层面的代理模型与系统层面的燃料循环模型相结合，从而能够快速评估各种运行情景下的氚再循环动力学和滞留量。本研究的目标有两个：(1) 证明利用代理模型提高燃料循环建模准确性的可行性，以及 (2) 快速评估聚变技术的性能以加速设计迭代。该多尺度模型提供了氚的输运和滞留行为，并支持等离子体面对部件的设计优化</w:t>
      </w:r>
    </w:p>
    <w:p>
      <w:pPr>
        <w:spacing w:before="0" w:after="200" w:lineRule="auto" w:line="276"/>
      </w:pPr>
      <w:r>
        <w:rPr>
          <w:b/>
        </w:rPr>
        <w:t xml:space="preserve">Abstract (EN): </w:t>
      </w:r>
      <w:r>
        <w:t>The complexity and significance of multiscale phenomena in fusion energy systems make advanced modeling necessary for designing, optimizing, and safely deploying fusion plants. Tritium accountancy is one of those challenges for deuterium–tritium fusion systems. Its availability is constrained by its short half-life (12.33 years) and limited natural abundance, which require fusion plants to breed tritium onsite. Therefore, accurate tritium accountancy is essential for effective resource management, safety, and economics in fusion plants. Through the U.S. Department of Energy milestone program, Tokamak Energy Ltd is developing a fusion pilot plant design and evaluating tritium retention and loss in key components and their effect on the fuel cycle. To rapidly explore design trade-offs and quantify design decisions on tritium management, this study presents a multiscale analysis to investigate tritium diffusion, trapping, and recovery in key plasma-facing components. To enhance computational efficiency, we integrate surrogate models at the component-level within a fuel cycle model at the system-level, enabling rapid evaluation of tritium recycling dynamics and inventory under various operational scenarios. The goal of this study is twofold: (1) demonstrate the feasibility of utilizing surrogate models to increase the accuracy of fuel cycle modeling, and (2) rapidly evaluate the performance of fusion technologies to accelerate design iterations. This multiscale model provides the tritium transport and retention behavior and supports the plasma-facing components design optimization in normal and bake-out operations. The work is implemented using the Tritium Migration Analysis Program, Version 8 (TMAP8), an open-source application for tritium transport analysis in fusion systems.</w:t>
      </w:r>
    </w:p>
    <w:p>
      <w:pPr>
        <w:spacing w:before="120" w:after="120"/>
      </w:pPr>
      <w:r>
        <w:rPr>
          <w:sz w:val="18"/>
        </w:rPr>
        <w:t>——————————————————————————————————————————————————————————————————————</w:t>
      </w:r>
    </w:p>
    <w:p>
      <w:pPr>
        <w:spacing w:before="160" w:after="40" w:line="240" w:lineRule="auto"/>
      </w:pPr>
      <w:r>
        <w:rPr>
          <w:b/>
        </w:rPr>
        <w:t xml:space="preserve">[15] </w:t>
      </w:r>
      <w:hyperlink r:id="rId278">
        <w:r>
          <w:rPr>
            <w:color w:val="1155CC"/>
            <w:u w:val="single"/>
          </w:rPr>
          <w:t>EUROfusion托卡马克中气球模极限无ELM运行机制的物理研究</w:t>
        </w:r>
      </w:hyperlink>
    </w:p>
    <w:p>
      <w:pPr>
        <w:spacing w:before="0" w:after="80"/>
      </w:pPr>
      <w:r>
        <w:rPr>
          <w:i/>
          <w:sz w:val="20"/>
        </w:rPr>
        <w:t>EN: The physics of ballooning-limited ELM-free regimes in EUROfusion tokamaks</w:t>
      </w:r>
    </w:p>
    <w:p>
      <w:pPr>
        <w:spacing w:before="0" w:after="120"/>
      </w:pPr>
      <w:r>
        <w:rPr>
          <w:b/>
        </w:rPr>
        <w:t xml:space="preserve">Source: </w:t>
      </w:r>
      <w:r>
        <w:t>Nuclear Fusion - latest papers</w:t>
      </w:r>
      <w:r>
        <w:t xml:space="preserve">    </w:t>
      </w:r>
      <w:r>
        <w:rPr>
          <w:b/>
        </w:rPr>
        <w:t xml:space="preserve">Pub date: </w:t>
      </w:r>
      <w:r>
        <w:t>2026-09-01 23:00:00+00:00</w:t>
      </w:r>
      <w:r>
        <w:t xml:space="preserve">    </w:t>
      </w:r>
      <w:r>
        <w:rPr>
          <w:b/>
        </w:rPr>
        <w:t xml:space="preserve">DOI: </w:t>
      </w:r>
      <w:hyperlink r:id="rId279">
        <w:r>
          <w:rPr>
            <w:color w:val="1155CC"/>
            <w:u w:val="single"/>
          </w:rPr>
          <w:t>10.1088/1741-4326/ae99f1</w:t>
        </w:r>
      </w:hyperlink>
    </w:p>
    <w:p>
      <w:pPr>
        <w:spacing w:before="0" w:after="120"/>
      </w:pPr>
      <w:r>
        <w:rPr>
          <w:b/>
        </w:rPr>
        <w:t xml:space="preserve">Notes: </w:t>
      </w:r>
      <w:r>
        <w:t>abstract_source=rss_description</w:t>
      </w:r>
    </w:p>
    <w:p>
      <w:pPr>
        <w:spacing w:before="0" w:after="80" w:lineRule="auto" w:line="276"/>
      </w:pPr>
      <w:r>
        <w:rPr>
          <w:b/>
        </w:rPr>
        <w:t xml:space="preserve">摘要（ZH）: </w:t>
      </w:r>
      <w:r>
        <w:t>开发无大型 Type-I ELM 的运行方案对于未来托卡马克的稳定运行和寿命至关重要。因此，EUROfusion 托卡马克利用计划将理解无 ELM 运行机制作为其所有参与装置（ASDEX Upgrade、JET、MAST-Upgrade、TCV 和 WEST）的主要探索课题。一项研究一系列无 Type-I ELM 运行机制的综合计划已经制定，涵盖增强 D-alpha（EDA）、磁扰动（MP）、负三角形变（NT）、准连续排气（QCE）、静态 H 模（QH）、基线小 ELM（SE）、I 模以及 X 点辐射体（XPR）等运行机制。本文重点介绍 NT 和 QCE 机制在 ASDEX Upgrade、JET 和 TCV 上的发展与理解。文中强调了两种机制中通过气球模输运的重要性，以及基于理想 MHD 建立进入条件模型的进展。对于 QCE 而言，这还可以表示为最小分界面密度，其与实验测得的分界面密度符合良好。本文特别关注 QCE 在实现的台基顶值方面的性能，经适当归一化后，这些值与有 ELM 的 H 模等离子体没有显著差异。这一点，加上对 15 MA ITER 基线等离子体预测的最小分界面密度，凸显了 QCE 作为 ITER 和未来反应堆潜在运行方案的重要性。</w:t>
      </w:r>
    </w:p>
    <w:p>
      <w:pPr>
        <w:spacing w:before="0" w:after="200" w:lineRule="auto" w:line="276"/>
      </w:pPr>
      <w:r>
        <w:rPr>
          <w:b/>
        </w:rPr>
        <w:t xml:space="preserve">Abstract (EN): </w:t>
      </w:r>
      <w:r>
        <w:t>The development of operational scenarios without large Type-I ELMs is of utmost importance for the stable operation and longevity of future tokamaks. The EUROfusion tokamak exploitation program has therefore made the understanding of ELM-free regimes a major topic of exploration across all its contributing devices (ASDEX Upgrade, JET, MAST-Upgrade, TCV, and WEST). An integrated program to investigate a range of Type-I ELM-free regimes has been developed covering the enhanced D-alpha (EDA), magnetic perturbations (MP), negative triangularity (NT), quasi-continuous exhaust (QCE), quiescent H-mode (QH), the baseline small ELMs (SE), I-mode, and X-point radiator (XPR) regimes. This contribution focuses on the development and understanding of the NT and QCE regimes on ASDEX Upgrade, JET, and TCV. The importance of transport via ballooning modes in both regimes is highlighted, as well as the progress in developing access models based on ideal-MHD. In the case of the QCE, this can also be expressed as a minimum separatrix density, which corresponds well to experimentally measured separatrix densities. Particular focus is paid to the performance of the QCE in terms of the achieved pedestal top values, which, when appropriately normalised, do not differ significantly from ELMy H-mode plasmas. This, combined with the predicted minimum separatrix density for the 15 MA ITER baseline plasma, highlight the relevance of the QCE as a potential operational scenario for both ITER and future reactors.</w:t>
      </w:r>
    </w:p>
    <w:p>
      <w:pPr>
        <w:spacing w:before="120" w:after="120"/>
      </w:pPr>
      <w:r>
        <w:rPr>
          <w:sz w:val="18"/>
        </w:rPr>
        <w:t>——————————————————————————————————————————————————————————————————————</w:t>
      </w:r>
    </w:p>
    <w:p>
      <w:pPr>
        <w:spacing w:before="160" w:after="40" w:line="240" w:lineRule="auto"/>
      </w:pPr>
      <w:r>
        <w:rPr>
          <w:b/>
        </w:rPr>
        <w:t xml:space="preserve">[16] </w:t>
      </w:r>
      <w:hyperlink r:id="rId280">
        <w:r>
          <w:rPr>
            <w:color w:val="1155CC"/>
            <w:u w:val="single"/>
          </w:rPr>
          <w:t>EAST上氦浓度对离子-电子碰撞及能量约束影响的研究进展</w:t>
        </w:r>
      </w:hyperlink>
    </w:p>
    <w:p>
      <w:pPr>
        <w:spacing w:before="0" w:after="80"/>
      </w:pPr>
      <w:r>
        <w:rPr>
          <w:i/>
          <w:sz w:val="20"/>
        </w:rPr>
        <w:t>EN: Progress of understanding the effect of helium concentration on ion–electron collision and energy confinement on EAST</w:t>
      </w:r>
    </w:p>
    <w:p>
      <w:pPr>
        <w:spacing w:before="0" w:after="120"/>
      </w:pPr>
      <w:r>
        <w:rPr>
          <w:b/>
        </w:rPr>
        <w:t xml:space="preserve">Source: </w:t>
      </w:r>
      <w:r>
        <w:t>Nuclear Fusion - latest papers</w:t>
      </w:r>
      <w:r>
        <w:t xml:space="preserve">    </w:t>
      </w:r>
      <w:r>
        <w:rPr>
          <w:b/>
        </w:rPr>
        <w:t xml:space="preserve">Pub date: </w:t>
      </w:r>
      <w:r>
        <w:t>2026-09-01 23:00:00+00:00</w:t>
      </w:r>
      <w:r>
        <w:t xml:space="preserve">    </w:t>
      </w:r>
      <w:r>
        <w:rPr>
          <w:b/>
        </w:rPr>
        <w:t xml:space="preserve">DOI: </w:t>
      </w:r>
      <w:hyperlink r:id="rId281">
        <w:r>
          <w:rPr>
            <w:color w:val="1155CC"/>
            <w:u w:val="single"/>
          </w:rPr>
          <w:t>10.1088/1741-4326/ae9c56</w:t>
        </w:r>
      </w:hyperlink>
    </w:p>
    <w:p>
      <w:pPr>
        <w:spacing w:before="0" w:after="120"/>
      </w:pPr>
      <w:r>
        <w:rPr>
          <w:b/>
        </w:rPr>
        <w:t xml:space="preserve">Notes: </w:t>
      </w:r>
      <w:r>
        <w:t>abstract_source=rss_description</w:t>
      </w:r>
    </w:p>
    <w:p>
      <w:pPr>
        <w:spacing w:before="0" w:after="80" w:lineRule="auto" w:line="276"/>
      </w:pPr>
      <w:r>
        <w:rPr>
          <w:b/>
        </w:rPr>
        <w:t xml:space="preserve">摘要（ZH）: </w:t>
      </w:r>
      <w:r>
        <w:t>在不同托卡马克上开展的氦等离子体实验均表明，在相似运行条件下其能量约束低于氘等离子体。然而，氦与氢同位素之间约束差异的起源仍不清楚。为理解氦浓度（其导致离子质量和电荷数的变化）对能量约束的影响，2025年在具有主导电子加热和钨偏滤器的EAST托卡马克上开展了新的氦实验。在有效扩散系数中观察到对离子质量和电荷数的显著依赖性，与回旋玻姆（gyro-Bohm）定标律预测的趋势一致。离子质量较低时观察到更高的能量约束时间。相反，当离子质量和电荷数均增加时，发现能量约束时间相近。功率平衡和输运分析表明，受离子质量和电荷数变化显著影响的离子-电子碰撞，似乎在氦H模放电中对调节离子尺度湍流起主导作用。此外，线性电磁回旋动理学模拟揭示，在L模放电中电子温度梯度（ETG）模的线性增长率可能因离子-电子能量交换的增强而降低。因此，考虑电子-离子碰撞/能量交换的作用对于理解离子质量和电荷数对能量约束的影响至关重要。这些结果有助于更好地</w:t>
      </w:r>
    </w:p>
    <w:p>
      <w:pPr>
        <w:spacing w:before="0" w:after="200" w:lineRule="auto" w:line="276"/>
      </w:pPr>
      <w:r>
        <w:rPr>
          <w:b/>
        </w:rPr>
        <w:t xml:space="preserve">Abstract (EN): </w:t>
      </w:r>
      <w:r>
        <w:t>Helium plasma experiments conducted on different tokamaks all demonstrate that the energy confinement are lower than those of deuterium plasmas under similar operation conditions. However, the origin of the difference in confinement between helium and hydrogen isotopes remains unclear. To understand the influence of helium concentration, which leads to the variation of ion mass and charge number, on energy confinement, new helium experiments were conducted in the EAST tokamak with dominant electron heating and a tungsten divertor in 2025. A notable dependence on both ion mass and charge number is observed in the effective diffusion coefficient, consistent with the trend predicted by the gyro-Bohm scaling . The higher energy confinement time is observed with a lower ion mass. Conversely, when both the ion mass and charge number are increased, the energy confinement time is found to be similar. Power balance and transport analyses indicate that the ion-electron collision, significantly influenced by the variation of ion mass and charge number, appears to play a dominant role in regulating ion-scale turbulence in helium H-mode discharges. Furthermore, linear electromagnetic gyrokinetic simulation reveals that the linear growth rates of electron temperature gradient (ETG) modes might be reduced by the enhancement of ion-electron energy exchange in L-mode discharges. Consequently, it is crucial to take into account the role of electron-ion collision/energy exchange to understand the influence of ion mass and chargenumber on energy confinement. These results contribute to a better understanding of the transport characteristics in multi-ion-component plasma.</w:t>
      </w:r>
    </w:p>
    <w:p>
      <w:pPr>
        <w:spacing w:before="120" w:after="120"/>
      </w:pPr>
      <w:r>
        <w:rPr>
          <w:sz w:val="18"/>
        </w:rPr>
        <w:t>——————————————————————————————————————————————————————————————————————</w:t>
      </w:r>
    </w:p>
    <w:p>
      <w:pPr>
        <w:spacing w:before="160" w:after="40" w:line="240" w:lineRule="auto"/>
      </w:pPr>
      <w:r>
        <w:rPr>
          <w:b/>
        </w:rPr>
        <w:t xml:space="preserve">[17] </w:t>
      </w:r>
      <w:hyperlink r:id="rId282">
        <w:r>
          <w:rPr>
            <w:color w:val="1155CC"/>
            <w:u w:val="single"/>
          </w:rPr>
          <w:t>Wendelstein 7-X中磁场位形与径向电场对湍流输运影响的全局回旋动理学模拟</w:t>
        </w:r>
      </w:hyperlink>
    </w:p>
    <w:p>
      <w:pPr>
        <w:spacing w:before="0" w:after="80"/>
      </w:pPr>
      <w:r>
        <w:rPr>
          <w:i/>
          <w:sz w:val="20"/>
        </w:rPr>
        <w:t>EN: Global gyrokinetic simulations of magnetic geometry and radial electric field effects on turbulent transport in Wendelstein 7-X</w:t>
      </w:r>
    </w:p>
    <w:p>
      <w:pPr>
        <w:spacing w:before="0" w:after="120"/>
      </w:pPr>
      <w:r>
        <w:rPr>
          <w:b/>
        </w:rPr>
        <w:t xml:space="preserve">Source: </w:t>
      </w:r>
      <w:r>
        <w:t>Nuclear Fusion - latest papers</w:t>
      </w:r>
      <w:r>
        <w:t xml:space="preserve">    </w:t>
      </w:r>
      <w:r>
        <w:rPr>
          <w:b/>
        </w:rPr>
        <w:t xml:space="preserve">Pub date: </w:t>
      </w:r>
      <w:r>
        <w:t>2026-09-01 23:00:00+00:00</w:t>
      </w:r>
      <w:r>
        <w:t xml:space="preserve">    </w:t>
      </w:r>
      <w:r>
        <w:rPr>
          <w:b/>
        </w:rPr>
        <w:t xml:space="preserve">DOI: </w:t>
      </w:r>
      <w:hyperlink r:id="rId283">
        <w:r>
          <w:rPr>
            <w:color w:val="1155CC"/>
            <w:u w:val="single"/>
          </w:rPr>
          <w:t>10.1088/1741-4326/ae9c53</w:t>
        </w:r>
      </w:hyperlink>
    </w:p>
    <w:p>
      <w:pPr>
        <w:spacing w:before="0" w:after="120"/>
      </w:pPr>
      <w:r>
        <w:rPr>
          <w:b/>
        </w:rPr>
        <w:t xml:space="preserve">Notes: </w:t>
      </w:r>
      <w:r>
        <w:t>abstract_source=rss_description</w:t>
      </w:r>
    </w:p>
    <w:p>
      <w:pPr>
        <w:spacing w:before="0" w:after="80" w:lineRule="auto" w:line="276"/>
      </w:pPr>
      <w:r>
        <w:rPr>
          <w:b/>
        </w:rPr>
        <w:t xml:space="preserve">摘要（ZH）: </w:t>
      </w:r>
      <w:r>
        <w:t>我们对Bähner等（W7-X团队）2026 Nucl. Fusion 66 016007的GENE-3D整体模拟进行了更详细的数值分析，重点关注Wendelstein 7-X（W7-X）中镜像比和旋转变换（ ）构型扫描中的湍流热输运与粒子输运以及平衡径向电场的作用。离子和电子热通量对两个构型参数仅表现出轻微的敏感性。然而，粒子通量对镜像比表现出显著的依赖性，低镜像构型驱动强的向内粒子箍缩，而高镜像构型产生净向外通量。在固定等离子体剖面下的密度涨落水平未重现实验中观察到的镜像扫描构型依赖性，这一差异可理解为模拟不满足功率平衡所致。应用于模拟的合成相位衬度成像（PCI）诊断在旋转变换扫描中重现了实验中波数和频谱的排序，但在镜像扫描中未能重现，与上述解释一致。平衡径向电场会改变湍流输运，对强剪切区的电子热通量影响最大。一项系统改变剖面幅度和径向位置的受控参数化研究证实，输运抑制遵循经典的剪切退相关判据，在剪切率超过线性增长率的径向范围最宽处最强。</w:t>
      </w:r>
    </w:p>
    <w:p>
      <w:pPr>
        <w:spacing w:before="0" w:after="200" w:lineRule="auto" w:line="276"/>
      </w:pPr>
      <w:r>
        <w:rPr>
          <w:b/>
        </w:rPr>
        <w:t xml:space="preserve">Abstract (EN): </w:t>
      </w:r>
      <w:r>
        <w:t>We present a more detailed numerical analysis of the global GENE-3D simulations of Bähner et al (the W7-X Team) 2026 Nucl. Fusion66 016007, focusing on turbulent heat and particle transport and the role of the equilibrium radial electric field across mirror ratio and rotational transform ( ) configuration scans in Wendelstein 7-X (W7-X). Ion and electron heat fluxes show only mild sensitivity to both configuration parameters. The particle flux, however, exhibits a pronounced dependence on the mirror ratio, with the low-mirror configuration driving a strong inward particle pinch and the high-mirror configuration producing a net outward flux. Density fluctuation levels at fixed plasma profiles do not reproduce the experimentally observed configuration dependence in the mirror scan, a discrepancy that can be understood in terms of the simulations not satisfying power balance. A synthetic phase contrast imaging (PCI) diagnostic applied to the simulations reproduces the experimental ordering of the wavenumber and frequency spectra in the scan but not in the mirror scan, consistent with the same interpretation. The equilibrium radial electric field modifies turbulent transport, with the largest effect on the electron heat flux in regions of strong shear. A controlled parametric study, in which the profile is systematically varied in amplitude and radial location, confirms that transport suppression follows the classical shear decorrelation criterion, being strongest where the shear rate exceeds the linear growth rate over the widest radial extent.</w:t>
      </w:r>
    </w:p>
    <w:p>
      <w:pPr>
        <w:spacing w:before="120" w:after="120"/>
      </w:pPr>
      <w:r>
        <w:rPr>
          <w:sz w:val="18"/>
        </w:rPr>
        <w:t>——————————————————————————————————————————————————————————————————————</w:t>
      </w:r>
    </w:p>
    <w:p>
      <w:pPr>
        <w:spacing w:before="160" w:after="40" w:line="240" w:lineRule="auto"/>
      </w:pPr>
      <w:r>
        <w:rPr>
          <w:b/>
        </w:rPr>
        <w:t xml:space="preserve">[18] </w:t>
      </w:r>
      <w:hyperlink r:id="rId284">
        <w:r>
          <w:rPr>
            <w:color w:val="1155CC"/>
            <w:u w:val="single"/>
          </w:rPr>
          <w:t>CN-H1 heliac螺旋磁环装置的磁平衡：设计位形、实际建造位形与历史建造位形的对比研究</w:t>
        </w:r>
      </w:hyperlink>
    </w:p>
    <w:p>
      <w:pPr>
        <w:spacing w:before="0" w:after="80"/>
      </w:pPr>
      <w:r>
        <w:rPr>
          <w:i/>
          <w:sz w:val="20"/>
        </w:rPr>
        <w:t>EN: Magnetic equilibrium of the CN-H1 heliac: a comparative study of design, as-built, and historically built configurations</w:t>
      </w:r>
    </w:p>
    <w:p>
      <w:pPr>
        <w:spacing w:before="0" w:after="120"/>
      </w:pPr>
      <w:r>
        <w:rPr>
          <w:b/>
        </w:rPr>
        <w:t xml:space="preserve">Source: </w:t>
      </w:r>
      <w:r>
        <w:t>Nuclear Fusion - latest papers</w:t>
      </w:r>
      <w:r>
        <w:t xml:space="preserve">    </w:t>
      </w:r>
      <w:r>
        <w:rPr>
          <w:b/>
        </w:rPr>
        <w:t xml:space="preserve">Pub date: </w:t>
      </w:r>
      <w:r>
        <w:t>2026-09-01 23:00:00+00:00</w:t>
      </w:r>
      <w:r>
        <w:t xml:space="preserve">    </w:t>
      </w:r>
      <w:r>
        <w:rPr>
          <w:b/>
        </w:rPr>
        <w:t xml:space="preserve">DOI: </w:t>
      </w:r>
      <w:hyperlink r:id="rId285">
        <w:r>
          <w:rPr>
            <w:color w:val="1155CC"/>
            <w:u w:val="single"/>
          </w:rPr>
          <w:t>10.1088/1741-4326/ae9bd6</w:t>
        </w:r>
      </w:hyperlink>
    </w:p>
    <w:p>
      <w:pPr>
        <w:spacing w:before="0" w:after="120"/>
      </w:pPr>
      <w:r>
        <w:rPr>
          <w:b/>
        </w:rPr>
        <w:t xml:space="preserve">Notes: </w:t>
      </w:r>
      <w:r>
        <w:t>abstract_source=rss_description</w:t>
      </w:r>
    </w:p>
    <w:p>
      <w:pPr>
        <w:spacing w:before="0" w:after="80" w:lineRule="auto" w:line="276"/>
      </w:pPr>
      <w:r>
        <w:rPr>
          <w:b/>
        </w:rPr>
        <w:t xml:space="preserve">摘要（ZH）: </w:t>
      </w:r>
      <w:r>
        <w:t>澳大利亚H-1国家装置（H-1 NF）迁往中国并重建为CN-H1装置，需要对其磁构型进行严格重新评估，以解决工程过程中引入的系统偏差。本文对装置三种不同定义下的磁平衡进行了全面的对比研究：理想化的H-1设计、历史上建成的H-1 NF以及新重建的CN-H1。采用高精度激光跟踪仪计量为CN-H1生成了高保真线圈模型，纳入了重新制造的极向和螺旋绕组。真空磁场计算表明，与H-1 NF相比，CN-H1的磁轴表现出系统性的向内径向偏移，旋转变换略有增加，同时保持相近水平的仿星器对称性破缺。使用VMEC程序重建了三维MHD平衡，并通过磁力线追踪加以验证。为简化此过程，开发了一条新的开源流程coils2vmec，可直接由线圈几何输入自动生成稳健的VMEC输入文件。对代表性构型的对比分析表明，这种柔性heliac的决定性特征——包括高旋转变换、剪切可调性和磁阱深度——在CN-H1中得以保留。尽管存在线圈定位误差，CN-H1在Boozer坐标下的磁谱与历史上建成的H-1 NF基线几乎无法区分</w:t>
      </w:r>
    </w:p>
    <w:p>
      <w:pPr>
        <w:spacing w:before="0" w:after="200" w:lineRule="auto" w:line="276"/>
      </w:pPr>
      <w:r>
        <w:rPr>
          <w:b/>
        </w:rPr>
        <w:t xml:space="preserve">Abstract (EN): </w:t>
      </w:r>
      <w:r>
        <w:t>The relocation of the Australian H-1 National Facility (H-1 NF) to China and its reconstruction into the CN-H1 device necessitated a rigorous reassessment of its magnetic configuration to address systematic deviations introduced during the engineering process.This paper presents a comprehensive comparative study of the magnetic equilibrium across three distinct definitions of the device: the idealized H-1 Design, the historically built as-built H-1 NF, and the newly reconstructed CN-H1. High-precision laser tracker metrology was employed to generate a high-fidelity coil model for CN-H1, incorporating the remanufactured poloidal and helical windings. Calculations of the vacuum magnetic field reveal that, compared to the H-1 NF, the CN-H1 exhibits a systematic inward radial shift of the magnetic axis, a slight increase in the rotational transform, while maintaining a comparable level of stellarator symmetry breaking. Three-dimensional MHD equilibria were reconstructed using the VMEC code and validated against field-line tracing. To streamline this process, a new open-source pipeline, coils2vmec, was developed to automatically generate robust VMEC input files directly from coil geometry inputs. Comparative analysis across representative configurations demonstrates that the defining characteristics of the flexible heliac—including high rotational transform, shear tunability, and magnetic well depth—are preserved in CN-H1. Magnetic spectra in Boozer coordinates of CN-H1 are nearly indistinguishable from the H-1 NF historically built baseline, despite coilpositioning errors in the millimeter range. These results validate the engineering fidelity of the CN-H1 reconstruction and establish a precise equilibrium basis for future finite-beta plasma experiments.</w:t>
      </w:r>
    </w:p>
    <w:p>
      <w:pPr>
        <w:spacing w:before="120" w:after="120"/>
      </w:pPr>
      <w:r>
        <w:rPr>
          <w:sz w:val="18"/>
        </w:rPr>
        <w:t>——————————————————————————————————————————————————————————————————————</w:t>
      </w:r>
    </w:p>
    <w:p>
      <w:pPr>
        <w:spacing w:before="160" w:after="40" w:line="240" w:lineRule="auto"/>
      </w:pPr>
      <w:r>
        <w:rPr>
          <w:b/>
        </w:rPr>
        <w:t xml:space="preserve">[19] </w:t>
      </w:r>
      <w:hyperlink r:id="rId286">
        <w:r>
          <w:rPr>
            <w:color w:val="1155CC"/>
            <w:u w:val="single"/>
          </w:rPr>
          <w:t>基于SOLPS-ITER的托卡马克输运垒及台基区中新经典杂质输运研究</w:t>
        </w:r>
      </w:hyperlink>
    </w:p>
    <w:p>
      <w:pPr>
        <w:spacing w:before="0" w:after="80"/>
      </w:pPr>
      <w:r>
        <w:rPr>
          <w:i/>
          <w:sz w:val="20"/>
        </w:rPr>
        <w:t>EN: Neoclassical impurity transport in the tokamak transport barrier and pedestal with SOLPS-ITER</w:t>
      </w:r>
    </w:p>
    <w:p>
      <w:pPr>
        <w:spacing w:before="0" w:after="120"/>
      </w:pPr>
      <w:r>
        <w:rPr>
          <w:b/>
        </w:rPr>
        <w:t xml:space="preserve">Source: </w:t>
      </w:r>
      <w:r>
        <w:t>Nuclear Fusion - latest papers</w:t>
      </w:r>
      <w:r>
        <w:t xml:space="preserve">    </w:t>
      </w:r>
      <w:r>
        <w:rPr>
          <w:b/>
        </w:rPr>
        <w:t xml:space="preserve">Pub date: </w:t>
      </w:r>
      <w:r>
        <w:t>2026-09-01 23:00:00+00:00</w:t>
      </w:r>
      <w:r>
        <w:t xml:space="preserve">    </w:t>
      </w:r>
      <w:r>
        <w:rPr>
          <w:b/>
        </w:rPr>
        <w:t xml:space="preserve">DOI: </w:t>
      </w:r>
      <w:hyperlink r:id="rId287">
        <w:r>
          <w:rPr>
            <w:color w:val="1155CC"/>
            <w:u w:val="single"/>
          </w:rPr>
          <w:t>10.1088/1741-4326/ae9bd3</w:t>
        </w:r>
      </w:hyperlink>
    </w:p>
    <w:p>
      <w:pPr>
        <w:spacing w:before="0" w:after="120"/>
      </w:pPr>
      <w:r>
        <w:rPr>
          <w:b/>
        </w:rPr>
        <w:t xml:space="preserve">Notes: </w:t>
      </w:r>
      <w:r>
        <w:t>abstract_source=rss_description</w:t>
      </w:r>
    </w:p>
    <w:p>
      <w:pPr>
        <w:spacing w:before="0" w:after="80" w:lineRule="auto" w:line="276"/>
      </w:pPr>
      <w:r>
        <w:rPr>
          <w:b/>
        </w:rPr>
        <w:t xml:space="preserve">摘要（ZH）: </w:t>
      </w:r>
      <w:r>
        <w:t>在SOLPS-ITER程序包中实现了新的新经典修正，可用于含漂移的模拟。引入这些修正是为了在开启漂移的情况下，当主离子密度和温度梯度非陡峭时，在堆芯获得标准的新经典杂质通量。用SOLPS-ITER模拟了ITER、JET和ASDEX Upgrade的H模。结果表明，标准新经典理论不适用于具有陡峭密度和温度梯度的输运垒内部，至少对JET和ASDEX Upgrade如此。观察到杂质分布的高场侧-低场侧（HFS-LFS）不对称性，这与解析结果一致。由此产生的径向对流通量与标准新经典理论的预测显著不同。讨论了ITER台基区的Ne输运。此处Ne的杂质输运不应适用标准新经典理论，但SOLPS-ITER模拟显示台基中的Ne漂移通量接近标准新经典预测。还进一步讨论了JET和ITER台基中的钨输运。根据所提供的估计，碰撞性钨在台基中将表现出HFS-LFS不对称性，其径向输运相比标准新经典预测将被抑制。</w:t>
      </w:r>
    </w:p>
    <w:p>
      <w:pPr>
        <w:spacing w:before="0" w:after="200" w:lineRule="auto" w:line="276"/>
      </w:pPr>
      <w:r>
        <w:rPr>
          <w:b/>
        </w:rPr>
        <w:t xml:space="preserve">Abstract (EN): </w:t>
      </w:r>
      <w:r>
        <w:t>New neoclassical corrections are implemented in the SOLPS-ITER code package and can be used for modeling with drifts. These corrections are introduced to obtain standard neoclassical impurity flux in the core for non-steep main ion density and temperature gradients if drifts are switched on. ITER, JET and ASDEX Upgrade H-modes are simulated with SOLPS-ITER. It is demonstrated that standard neoclassical theory is not applicable inside a transport barrier with steep density and temperature gradients, at least for JET and ASDEX Upgrade. High field side-low field side (HFS-LFS) asymmetry in impurity distribution is observed, which is consistent with analytical results. Resulting radial convective fluxes significantly differ from predictions of the standard neoclassical theory. Ne transport in the ITER pedestal is discussed. Standard neoclassical theory of impurity transport should not be applicable to Ne here, yet SOLPS-ITER modeling shows a Ne drift flux that is close to the standard neoclassical prediction in the pedestal. Additional discussion of tungsten transport in the JET and ITER pedestals is provided. According to the provided estimates, collisional tungsten will exhibit HFS-LFS asymmetry in the pedestal, and its radial transport will be suppressed compared to standard neoclassical predictions.</w:t>
      </w:r>
    </w:p>
    <w:p>
      <w:pPr>
        <w:spacing w:before="120" w:after="120"/>
      </w:pPr>
      <w:r>
        <w:rPr>
          <w:sz w:val="18"/>
        </w:rPr>
        <w:t>——————————————————————————————————————————————————————————————————————</w:t>
      </w:r>
    </w:p>
    <w:p>
      <w:pPr>
        <w:spacing w:before="160" w:after="40" w:line="240" w:lineRule="auto"/>
      </w:pPr>
      <w:r>
        <w:rPr>
          <w:b/>
        </w:rPr>
        <w:t xml:space="preserve">[20] </w:t>
      </w:r>
      <w:hyperlink r:id="rId288">
        <w:r>
          <w:rPr>
            <w:color w:val="1155CC"/>
            <w:u w:val="single"/>
          </w:rPr>
          <w:t>LIPAc低能束流传输段中外部场作用下背景等离子体行为分析</w:t>
        </w:r>
      </w:hyperlink>
    </w:p>
    <w:p>
      <w:pPr>
        <w:spacing w:before="0" w:after="80"/>
      </w:pPr>
      <w:r>
        <w:rPr>
          <w:i/>
          <w:sz w:val="20"/>
        </w:rPr>
        <w:t>EN: Analysis of background plasma behaviour under external fields in the low-energy beam transport section of LIPAc</w:t>
      </w:r>
    </w:p>
    <w:p>
      <w:pPr>
        <w:spacing w:before="0" w:after="120"/>
      </w:pPr>
      <w:r>
        <w:rPr>
          <w:b/>
        </w:rPr>
        <w:t xml:space="preserve">Source: </w:t>
      </w:r>
      <w:r>
        <w:t>Nuclear Fusion - latest papers</w:t>
      </w:r>
      <w:r>
        <w:t xml:space="preserve">    </w:t>
      </w:r>
      <w:r>
        <w:rPr>
          <w:b/>
        </w:rPr>
        <w:t xml:space="preserve">Pub date: </w:t>
      </w:r>
      <w:r>
        <w:t>2026-09-01 23:00:00+00:00</w:t>
      </w:r>
      <w:r>
        <w:t xml:space="preserve">    </w:t>
      </w:r>
      <w:r>
        <w:rPr>
          <w:b/>
        </w:rPr>
        <w:t xml:space="preserve">DOI: </w:t>
      </w:r>
      <w:hyperlink r:id="rId289">
        <w:r>
          <w:rPr>
            <w:color w:val="1155CC"/>
            <w:u w:val="single"/>
          </w:rPr>
          <w:t>10.1088/1741-4326/ae9b1f</w:t>
        </w:r>
      </w:hyperlink>
    </w:p>
    <w:p>
      <w:pPr>
        <w:spacing w:before="0" w:after="120"/>
      </w:pPr>
      <w:r>
        <w:rPr>
          <w:b/>
        </w:rPr>
        <w:t xml:space="preserve">Notes: </w:t>
      </w:r>
      <w:r>
        <w:t>abstract_source=rss_description</w:t>
      </w:r>
    </w:p>
    <w:p>
      <w:pPr>
        <w:spacing w:before="0" w:after="80" w:lineRule="auto" w:line="276"/>
      </w:pPr>
      <w:r>
        <w:rPr>
          <w:b/>
        </w:rPr>
        <w:t xml:space="preserve">摘要（ZH）: </w:t>
      </w:r>
      <w:r>
        <w:t>利用三维粒子模拟（PIC）分析了线性IFMIF原型加速器低能输运段的背景等离子体行为。模拟显示了低能束流输运中外场元件下的一些特征效应：带正偏压的斩波器吸收了周围漂移区的电子等离子体。斩波器的这种吸收在空间上受螺线管透镜的限制。然而，部分电子等离子体会穿过螺线管。将解析估算的穿过螺线管的电子泄漏通量与模拟结果进行了比较。实验结果仍显示束流脉冲形状的神秘瞬态运动，这在模拟中未出现，而饱和态在模拟中大致得到重现。此外，我们开发了一维电子流体模拟以研究背景电子等离子体热化引起的效应，但这也无法重现实验中观察到的瞬态运动。作为次要成果，该流体模拟在饱和态下以小得多的计算资源显示了与粒子模拟定性相近的结果。</w:t>
      </w:r>
    </w:p>
    <w:p>
      <w:pPr>
        <w:spacing w:before="0" w:after="200" w:lineRule="auto" w:line="276"/>
      </w:pPr>
      <w:r>
        <w:rPr>
          <w:b/>
        </w:rPr>
        <w:t xml:space="preserve">Abstract (EN): </w:t>
      </w:r>
      <w:r>
        <w:t>Background plasma behaviour in the low-energy transport section of the Linear IFMIF Prototype Accelerator is analyzed with 3D particle-in-cell simulation. The simulation showed some characteristic effects under external field elements in the low-energy beam transport; a positively biased chopper absorbed the electron plasma in the surrounding drift region. This absorption by the chopper is limited spatially by the solenoid lenses. However, some of the electron plasma flows through the solenoid. Analytically estimated flux of the electron leakages through the solenoid is compared to the simulation results. Experimental results still show mysterious transient motion of the beam pulse shape that is not shown in the simulations, while the saturated state is roughly reproduced in them. In addition, we developed a 1D electron fluid simulation to investigate effects due to thermalization of the background electron plasma, but this also could not reproduce the transient motion observed in the experiment. As a secondary outcome, the fluid simulation showed qualitatively close results to those of the particle-in-cell simulation in saturated states with much smaller computational resources.</w:t>
      </w:r>
    </w:p>
    <w:p>
      <w:pPr>
        <w:spacing w:before="120" w:after="120"/>
      </w:pPr>
      <w:r>
        <w:rPr>
          <w:sz w:val="18"/>
        </w:rPr>
        <w:t>——————————————————————————————————————————————————————————————————————</w:t>
      </w:r>
    </w:p>
    <w:p>
      <w:pPr>
        <w:spacing w:before="160" w:after="40" w:line="240" w:lineRule="auto"/>
      </w:pPr>
      <w:r>
        <w:rPr>
          <w:b/>
        </w:rPr>
        <w:t xml:space="preserve">[21] </w:t>
      </w:r>
      <w:hyperlink r:id="rId290">
        <w:r>
          <w:rPr>
            <w:color w:val="1155CC"/>
            <w:u w:val="single"/>
          </w:rPr>
          <w:t>新兴国家实现可持续发展目标7的核能采纳路径：准备障碍、技术选择与政策框架</w:t>
        </w:r>
      </w:hyperlink>
    </w:p>
    <w:p>
      <w:pPr>
        <w:spacing w:before="0" w:after="80"/>
      </w:pPr>
      <w:r>
        <w:rPr>
          <w:i/>
          <w:sz w:val="20"/>
        </w:rPr>
        <w:t>EN: Nuclear energy adoption pathways for SDG 7 in newcomer countries: Readiness barriers, technology options, and policy frameworks</w:t>
      </w:r>
    </w:p>
    <w:p>
      <w:pPr>
        <w:spacing w:before="0" w:after="120"/>
      </w:pPr>
      <w:r>
        <w:rPr>
          <w:b/>
        </w:rPr>
        <w:t xml:space="preserve">Source: </w:t>
      </w:r>
      <w:r>
        <w:t>ScienceDirect Publication: Applied Energy</w:t>
      </w:r>
      <w:r>
        <w:t xml:space="preserve">    </w:t>
      </w:r>
      <w:r>
        <w:rPr>
          <w:b/>
        </w:rPr>
        <w:t xml:space="preserve">Pub date: </w:t>
      </w:r>
      <w:r>
        <w:t>2026-09-02 00:00:00+00:00</w:t>
      </w:r>
      <w:r>
        <w:t xml:space="preserve">    </w:t>
      </w:r>
      <w:r>
        <w:rPr>
          <w:b/>
        </w:rPr>
        <w:t xml:space="preserve">DOI: </w:t>
      </w:r>
      <w:hyperlink r:id="rId291">
        <w:r>
          <w:rPr>
            <w:color w:val="1155CC"/>
            <w:u w:val="single"/>
          </w:rPr>
          <w:t>10.1016/j.apenergy.2026.128701</w:t>
        </w:r>
      </w:hyperlink>
    </w:p>
    <w:p>
      <w:pPr>
        <w:spacing w:before="0" w:after="120"/>
      </w:pPr>
      <w:r>
        <w:rPr>
          <w:b/>
        </w:rPr>
        <w:t xml:space="preserve">Notes: </w:t>
      </w:r>
      <w:r>
        <w:t>abstract_source=openalex</w:t>
      </w:r>
    </w:p>
    <w:p>
      <w:pPr>
        <w:spacing w:before="0" w:after="80" w:lineRule="auto" w:line="276"/>
      </w:pPr>
      <w:r>
        <w:rPr>
          <w:b/>
        </w:rPr>
        <w:t xml:space="preserve">摘要（ZH）: </w:t>
      </w:r>
      <w:r>
        <w:t>世界向低碳能源的转型给无核电国家带来了新挑战。由于化石燃料电厂的退役和可再生能源的部署，对可靠、低碳且可调度的能源生产的需求变得更加重要。在此背景下，核能因其容量因子、较低的生命周期温室气体排放以及电网稳定能力，成为可再生电力发电的潜在补充。然而，目前仍缺乏在符合可持续发展目标（SDG）的前提下，针对无核电国家和有核雄心国家，综合考虑核电采纳的技术、经济与政策整合的研究。为填补这一空白，本综述分析了不同国家的现代反应堆发展、全球政策、经济现实、SDG 符合性以及就绪性障碍。该分析评估了第三代/三代+（Generation III/III+）反应堆、小型模块化反应堆和聚变技术在多大程度上能够解决与安全性、成本和部署灵活性相关的挑战。随后，文章考察了核能采纳的全球趋势、核政策中使用的工具、融资问题以及现有核电国家和新加入国家的案例。此外，本文基于分析提出了一个多维度的核能采纳就绪性模型。所综述的证据表明，核能可对 SDG 7 及其他 SDG 产生积极影响，但这需要一个完善的核能治理体系及相关法规</w:t>
      </w:r>
    </w:p>
    <w:p>
      <w:pPr>
        <w:spacing w:before="0" w:after="200" w:lineRule="auto" w:line="276"/>
      </w:pPr>
      <w:r>
        <w:rPr>
          <w:b/>
        </w:rPr>
        <w:t xml:space="preserve">Abstract (EN): </w:t>
      </w:r>
      <w:r>
        <w:t>The world’s shift toward low-carbon energy presents new challenges for non-nuclear countries. Due to the decommissioning of fossil-fuel power plants and the deployment of renewable energy sources, the need for reliable, low-carbon, and dispatchable energy production becomes more relevant. In this context, nuclear energy emerges as a potential complement to renewable electricity generation because of its capacity factor, low life cycle greenhouse gas emissions, and grid-stabilizing capacity. However, there is still a lack of studies that consider the integration of the technology, economics, and policy of nuclear adoption in light of Sustainable Development Goal (SDG) compliance while focusing on non-nuclear and nuclear-aspiring countries. To fill this gap, the current review provides an analysis of modern reactor development, global policies, economic realities, SDG compliance, and readiness barriers in different countries. The analysis assesses the extent to which Generation III/III + reactors, small modular reactors, and fusion technologies may address challenges related to safety, cost, and deployment flexibility. It then examines global trends in nuclear adoption, tools used in nuclear policies, financing issues, and existing cases in nuclear countries and newcomer countries. Moreover, the paper proposes a multi-dimensional model of readiness for nuclear energy adoption based on the analysis. The reviewed evidence indicates that nuclear energy can positively impact SDG 7 and other SDGs, but this requires a comprehensive nuclear energy governance system with regulations on safety, waste management, funding, workforce, grid capacity, and public acceptance. Thus, nuclear energy adoption should not be assessed solely in terms of technological capability; it also requires a comprehensive readiness framework for non-nuclear countries.</w:t>
      </w:r>
    </w:p>
    <w:p>
      <w:pPr>
        <w:spacing w:before="120" w:after="120"/>
      </w:pPr>
      <w:r>
        <w:rPr>
          <w:sz w:val="18"/>
        </w:rPr>
        <w:t>——————————————————————————————————————————————————————————————————————</w:t>
      </w:r>
    </w:p>
    <w:p>
      <w:pPr>
        <w:spacing w:before="160" w:after="40" w:line="240" w:lineRule="auto"/>
      </w:pPr>
      <w:r>
        <w:rPr>
          <w:b/>
        </w:rPr>
        <w:t xml:space="preserve">[22] </w:t>
      </w:r>
      <w:hyperlink r:id="rId292">
        <w:r>
          <w:rPr>
            <w:color w:val="1155CC"/>
            <w:u w:val="single"/>
          </w:rPr>
          <w:t>量化锆及氢化物中的纳米尺度三维应力</w:t>
        </w:r>
      </w:hyperlink>
    </w:p>
    <w:p>
      <w:pPr>
        <w:spacing w:before="0" w:after="80"/>
      </w:pPr>
      <w:r>
        <w:rPr>
          <w:i/>
          <w:sz w:val="20"/>
        </w:rPr>
        <w:t>EN: Quantifying nanoscale 3D stresses in zirconium and hydrides</w:t>
      </w:r>
    </w:p>
    <w:p>
      <w:pPr>
        <w:spacing w:before="0" w:after="120"/>
      </w:pPr>
      <w:r>
        <w:rPr>
          <w:b/>
        </w:rPr>
        <w:t xml:space="preserve">Source: </w:t>
      </w:r>
      <w:r>
        <w:t>Physical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锆合金被广泛用于制造核反应堆的堆芯部件。尽管具有良好的力学性能，它们仍易发生氢脆和氢化物形成。在本研究中，采用三维同步辐射X射线衍射扫描技术，首次以 200 nm 的空间分辨率测定了氢化物内部及其周围锆基体中的三维内应力。将实验测得的三维晶粒形貌导入晶体塑性有限元模型，以模拟氢化物析出所引起的局部应力演化。实验与数值结果一致地表明，氢化物内部存在超过 1 GPa 的显著静水压应力，并伴随各应力分量的显著变化。应力和位错密度局域于氢化物-锆边界处。力平衡分析表明，周围锆基体中测得的应力足以恢复氢化物内部的内应力，进一步验证了测量值的有效性。</w:t>
      </w:r>
    </w:p>
    <w:p>
      <w:pPr>
        <w:spacing w:before="0" w:after="200" w:lineRule="auto" w:line="276"/>
      </w:pPr>
      <w:r>
        <w:rPr>
          <w:b/>
        </w:rPr>
        <w:t xml:space="preserve">Abstract (EN): </w:t>
      </w:r>
      <w:r>
        <w:t>Zirconium alloys are widely used to manufacture the core components of nuclear reactors. Despite having good mechanical properties, they are susceptible to hydrogen embrittlement and hydride formation. In this study, scanning three-dimensional synchrotron X-ray diffraction is employed to determine, for the first time, the 3D internal stresses within hydrides and the surrounding zirconium matrix at 200 nm spatial resolution. The three-dimensional measured grain morphologies are imported into a crystal plasticity finite element model to simulate the evolution of localized stresses induced by hydride precipitation. Both experimental and numerical results consistently reveal significant compressive hydrostatic stresses within hydrides, with magnitudes exceeding 1 GPa, accompanied by pronounced variations in the individual stress components. Stresses and dislocation densities are localized at the hydride-zirconium boundaries. A force equilibrium analysis demonstrates that the measured stresses in the surrounding zirconium matrix are sufficient to recover internal stresses within hydrides, further validating the measured values.</w:t>
      </w:r>
    </w:p>
    <w:p>
      <w:pPr>
        <w:spacing w:before="120" w:after="120"/>
      </w:pPr>
      <w:r>
        <w:rPr>
          <w:sz w:val="18"/>
        </w:rPr>
        <w:t>——————————————————————————————————————————————————————————————————————</w:t>
      </w:r>
    </w:p>
    <w:p>
      <w:pPr>
        <w:spacing w:before="160" w:after="40" w:line="240" w:lineRule="auto"/>
      </w:pPr>
      <w:r>
        <w:rPr>
          <w:b/>
        </w:rPr>
        <w:t xml:space="preserve">[23] </w:t>
      </w:r>
      <w:hyperlink r:id="rId293">
        <w:r>
          <w:rPr>
            <w:color w:val="1155CC"/>
            <w:u w:val="single"/>
          </w:rPr>
          <w:t>介孔salen聚合物纳米球的合成用于高效光催化从海水中提取铀</w:t>
        </w:r>
      </w:hyperlink>
    </w:p>
    <w:p>
      <w:pPr>
        <w:spacing w:before="0" w:after="80"/>
      </w:pPr>
      <w:r>
        <w:rPr>
          <w:i/>
          <w:sz w:val="20"/>
        </w:rPr>
        <w:t>EN: Synthesis of mesoporous salen polymer nanospheres for highly efficient photocatalytic extraction of uranium from seawater</w:t>
      </w:r>
    </w:p>
    <w:p>
      <w:pPr>
        <w:spacing w:before="0" w:after="120"/>
      </w:pPr>
      <w:r>
        <w:rPr>
          <w:b/>
        </w:rPr>
        <w:t xml:space="preserve">Source: </w:t>
      </w:r>
      <w:r>
        <w:t>National Science Review Advance Access</w:t>
      </w:r>
      <w:r>
        <w:t xml:space="preserve">    </w:t>
      </w:r>
      <w:r>
        <w:rPr>
          <w:b/>
        </w:rPr>
        <w:t xml:space="preserve">Pub date: </w:t>
      </w:r>
      <w:r>
        <w:t>2026-09-03 00:00:00+00:00</w:t>
      </w:r>
      <w:r>
        <w:t xml:space="preserve">    </w:t>
      </w:r>
      <w:r>
        <w:rPr>
          <w:b/>
        </w:rPr>
        <w:t xml:space="preserve">DOI: </w:t>
      </w:r>
      <w:hyperlink r:id="rId294">
        <w:r>
          <w:rPr>
            <w:color w:val="1155CC"/>
            <w:u w:val="single"/>
          </w:rPr>
          <w:t>10.1093/nsr/nwag569</w:t>
        </w:r>
      </w:hyperlink>
    </w:p>
    <w:p>
      <w:pPr>
        <w:spacing w:before="0" w:after="120"/>
      </w:pPr>
      <w:r>
        <w:rPr>
          <w:b/>
        </w:rPr>
        <w:t xml:space="preserve">Notes: </w:t>
      </w:r>
      <w:r>
        <w:t>abstract_source=rss_oup</w:t>
      </w:r>
    </w:p>
    <w:p>
      <w:pPr>
        <w:spacing w:before="0" w:after="80" w:lineRule="auto" w:line="276"/>
      </w:pPr>
      <w:r>
        <w:rPr>
          <w:b/>
        </w:rPr>
        <w:t xml:space="preserve">摘要（ZH）: </w:t>
      </w:r>
      <w:r>
        <w:t>从海水中高效提取铀对于核能的长期可持续性至关重要，但为此目的合理设计高性能材料仍然是一项艰巨的挑战。在此，我们开发了一种电离调节的自组装策略来合成用于光催化铀提取的介孔 Salen 聚合物纳米球（mDSR）。部分电离提高了不溶性 Salen 配体的水溶性，并增强了它们对甲醛的反应性，同时保留了足够的前体-胶束相互作用以进行共组装，从而引导有序介观结构的形成。该策略简单、通用，并且可以容纳一系列结构不同的 Salen 配体，从而实现具有可编程分子功能的介孔聚合物的模块化构建。 mDSR 纳米球具有大孔径（6.2 nm）、高表面积（68 m2 g−1）和固有的光催化活性。因此，在模拟阳光下且无需牺牲剂的情况下，mDSR 从 10 ppm U(VI) 溶液中实现了 867 mg U g−1 的高铀吸收能力，优于大多数吸附剂。该协议为功能性介孔聚合物建立了新的范例。</w:t>
      </w:r>
    </w:p>
    <w:p>
      <w:pPr>
        <w:spacing w:before="0" w:after="200" w:lineRule="auto" w:line="276"/>
      </w:pPr>
      <w:r>
        <w:rPr>
          <w:b/>
        </w:rPr>
        <w:t xml:space="preserve">Abstract (EN): </w:t>
      </w:r>
      <w:r>
        <w:t>Efficient uranium extraction from seawater is essential to the long-term sustainability of nuclear energy, yet the rational design of high-performance materials for this purpose remains a formidable challenge. Herein, we develop an ionization regulated self-assembly strategy to synthesize mesoporous Salen polymer nanospheres (mDSR) for photocatalytic uranium extraction. Partial ionization improves the aqueous solubility of otherwise insoluble Salen ligands and enhances their reactivity towards formaldehyde, while preserving sufficient precursor-micelle interactions for co-assembly, thereby directing the formation of ordered mesostructures. This strategy is facile, universal, and it can accommodate a series of structurally distinct Salen ligands, enabling the modular construction of mesoporous polymers with programmable molecular functions. The mDSR nanospheres feature a large pore size (6.2 nm), a high surface area (68 m2 g−1), and intrinsic photocatalytic activity. As a result, under simulated sunlight and without sacrificial agents, mDSR achieves a high uranium uptake capacity of 867 mg U g−1 from a 10 ppm U(VI) solution, outperforming most adsorbents. This protocol establishes a new paradigm for functional mesoporous polymers.</w:t>
      </w:r>
    </w:p>
    <w:p>
      <w:pPr>
        <w:spacing w:before="120" w:after="120"/>
      </w:pPr>
      <w:r>
        <w:rPr>
          <w:sz w:val="18"/>
        </w:rPr>
        <w:t>——————————————————————————————————————————————————————————————————————</w:t>
      </w:r>
    </w:p>
    <w:p>
      <w:pPr>
        <w:spacing w:before="160" w:after="40" w:line="240" w:lineRule="auto"/>
      </w:pPr>
      <w:r>
        <w:rPr>
          <w:b/>
        </w:rPr>
        <w:t xml:space="preserve">[24] </w:t>
      </w:r>
      <w:hyperlink r:id="rId295">
        <w:r>
          <w:rPr>
            <w:color w:val="1155CC"/>
            <w:u w:val="single"/>
          </w:rPr>
          <w:t>小Dirac分量对固体中锕系元素原子核处价电子密度的影响</w:t>
        </w:r>
      </w:hyperlink>
    </w:p>
    <w:p>
      <w:pPr>
        <w:spacing w:before="0" w:after="80"/>
      </w:pPr>
      <w:r>
        <w:rPr>
          <w:i/>
          <w:sz w:val="20"/>
        </w:rPr>
        <w:t>EN: Impact of the small Dirac component on the valence electron density of actinides at their nuclei in solids</w:t>
      </w:r>
    </w:p>
    <w:p>
      <w:pPr>
        <w:spacing w:before="0" w:after="120"/>
      </w:pPr>
      <w:r>
        <w:rPr>
          <w:b/>
        </w:rPr>
        <w:t xml:space="preserve">Source: </w:t>
      </w:r>
      <w:r>
        <w:t>Recent Articles in Phys. Rev. C</w:t>
      </w:r>
      <w:r>
        <w:t xml:space="preserve">    </w:t>
      </w:r>
      <w:r>
        <w:rPr>
          <w:b/>
        </w:rPr>
        <w:t xml:space="preserve">Pub date: </w:t>
      </w:r>
      <w:r>
        <w:t>2026-09-03 10:00:00+00:00</w:t>
      </w:r>
      <w:r>
        <w:t xml:space="preserve">    </w:t>
      </w:r>
      <w:r>
        <w:rPr>
          <w:b/>
        </w:rPr>
        <w:t xml:space="preserve">DOI: </w:t>
      </w:r>
      <w:hyperlink r:id="rId296">
        <w:r>
          <w:rPr>
            <w:color w:val="1155CC"/>
            <w:u w:val="single"/>
          </w:rPr>
          <w:t>10.1103/fmc6-8f4q</w:t>
        </w:r>
      </w:hyperlink>
    </w:p>
    <w:p>
      <w:pPr>
        <w:spacing w:before="0" w:after="120"/>
      </w:pPr>
      <w:r>
        <w:rPr>
          <w:b/>
        </w:rPr>
        <w:t xml:space="preserve">Notes: </w:t>
      </w:r>
      <w:r>
        <w:t>abstract_source=rss_description</w:t>
      </w:r>
    </w:p>
    <w:p>
      <w:pPr>
        <w:spacing w:before="0" w:after="80" w:lineRule="auto" w:line="276"/>
      </w:pPr>
      <w:r>
        <w:rPr>
          <w:b/>
        </w:rPr>
        <w:t xml:space="preserve">摘要（ZH）: </w:t>
      </w:r>
      <w:r>
        <w:t>作者：A. V. Nikolaev、U. N. Kurelchuk 和 E. V. Tkalya 介绍了一种增强的全势线性增强平面波 (FLAPW) 方法，该方法结合了锕系固体（例如 Ac、Th、ThO2 和 UO2）中价态（特别是 6p1/2 半核态）的小狄拉克分量。通过考虑这些小成分，证明原子核处的价电子密度增加了 2.4 至 4.3 倍，修正了计算物理学中忽略原子核附近显着价电子密度的标准近似。这些精炼的相对论狄拉克计算提高了内转换、穆斯堡尔光谱和电子桥效应等核现象的理论精度，提供了与基于 229Th 的固态核钟等技术相关的基础电子结构见解。修订版 C 114, 034601] 于 2026 年 9 月 3 日星期四发布</w:t>
      </w:r>
    </w:p>
    <w:p>
      <w:pPr>
        <w:spacing w:before="0" w:after="200" w:lineRule="auto" w:line="276"/>
      </w:pPr>
      <w:r>
        <w:rPr>
          <w:b/>
        </w:rPr>
        <w:t xml:space="preserve">Abstract (EN): </w:t>
      </w:r>
      <w:r>
        <w:t>Author(s): A. V. Nikolaev, U. N. Kurelchuk, and E. V. TkalyaAn enhanced Full-Potential Linear Augmented Plane Wave (FLAPW) method is introduced which incorporates the small Dirac components of valence states—specifically the 6p1/2 semicore states—in actinide solids such as Ac, Th, ThO2, and UO2. By accounting for these small components, it is demonstrated that the valence electron density at the nucleus increases by a factor of 2.4 to 4.3, correcting standard approximations in computational physics that omit significant valence electron density near the atomic nucleus. These refined relativistic Dirac calculations offer improved theoretical precision for nuclear phenomena such as internal conversion, Mossbauer spectroscopy, and electron bridge effects, providing foundational electronic structure insights relevant to technologies like 229Th-based solid-state nuclear clocks.[Phys. Rev. C 114, 034601] Published Thu Sep 03, 2026</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297">
        <w:r>
          <w:rPr>
            <w:color w:val="1155CC"/>
            <w:u w:val="single"/>
          </w:rPr>
          <w:t>高度有序、超密度金属间化合物纳米晶体将重型燃料电池预计寿命延长至24万小时以上</w:t>
        </w:r>
      </w:hyperlink>
    </w:p>
    <w:p>
      <w:pPr>
        <w:spacing w:before="0" w:after="80"/>
      </w:pPr>
      <w:r>
        <w:rPr>
          <w:i/>
          <w:sz w:val="20"/>
        </w:rPr>
        <w:t>EN: Highly ordered, ultra-dense intermetallic nanocrystals extend heavy-duty fuel cell projected lifetime beyond 240,000 h</w:t>
      </w:r>
    </w:p>
    <w:p>
      <w:pPr>
        <w:spacing w:before="0" w:after="120"/>
      </w:pPr>
      <w:r>
        <w:rPr>
          <w:b/>
        </w:rPr>
        <w:t xml:space="preserve">Source: </w:t>
      </w:r>
      <w:r>
        <w:t>Nature Catalysis</w:t>
      </w:r>
      <w:r>
        <w:t xml:space="preserve">    </w:t>
      </w:r>
      <w:r>
        <w:rPr>
          <w:b/>
        </w:rPr>
        <w:t xml:space="preserve">Pub date: </w:t>
      </w:r>
      <w:r>
        <w:t>2026-08-28 00:00:00+00:00</w:t>
      </w:r>
      <w:r>
        <w:t xml:space="preserve">    </w:t>
      </w:r>
      <w:r>
        <w:rPr>
          <w:b/>
        </w:rPr>
        <w:t xml:space="preserve">DOI: </w:t>
      </w:r>
      <w:hyperlink r:id="rId298">
        <w:r>
          <w:rPr>
            <w:color w:val="1155CC"/>
            <w:u w:val="single"/>
          </w:rPr>
          <w:t>10.1038/s41929-026-01607-7</w:t>
        </w:r>
      </w:hyperlink>
    </w:p>
    <w:p>
      <w:pPr>
        <w:spacing w:before="0" w:after="120"/>
      </w:pPr>
      <w:r>
        <w:rPr>
          <w:b/>
        </w:rPr>
        <w:t xml:space="preserve">Notes: </w:t>
      </w:r>
      <w:r>
        <w:t>abstract_source=rss_nature</w:t>
      </w:r>
    </w:p>
    <w:p>
      <w:pPr>
        <w:spacing w:before="0" w:after="80" w:lineRule="auto" w:line="276"/>
      </w:pPr>
      <w:r>
        <w:rPr>
          <w:b/>
        </w:rPr>
        <w:t xml:space="preserve">摘要（ZH）: </w:t>
      </w:r>
      <w:r>
        <w:t>氧还原催化剂对于提升质子交换膜燃料电池（PEMFC）的耐久性和效率至关重要。如今，嵌段共聚物胶束限域策略被证明能够实现高有序、超致密Pt基金属间化合物纳米晶体的解耦合成，从而获得具有高活性和长预期寿命的PEMFC催化剂。</w:t>
      </w:r>
    </w:p>
    <w:p>
      <w:pPr>
        <w:spacing w:before="0" w:after="200" w:lineRule="auto" w:line="276"/>
      </w:pPr>
      <w:r>
        <w:rPr>
          <w:b/>
        </w:rPr>
        <w:t xml:space="preserve">Abstract (EN): </w:t>
      </w:r>
      <w:r>
        <w:t>Oxygen reduction catalysts are critical for advancing the durability and efficiency of proton-exchange membrane fuel cells (PEMFCs). Now a block-copolymer micelle confinement strategy is shown to enable the decoupled synthesis of highly ordered, ultra-dense Pt-based intermetallic nanocrystals, yielding PEMFC catalysts with high activity and long projected lifetimes.</w:t>
      </w:r>
    </w:p>
    <w:p>
      <w:pPr>
        <w:spacing w:before="120" w:after="120"/>
      </w:pPr>
      <w:r>
        <w:rPr>
          <w:sz w:val="18"/>
        </w:rPr>
        <w:t>——————————————————————————————————————————————————————————————————————</w:t>
      </w:r>
    </w:p>
    <w:p>
      <w:pPr>
        <w:spacing w:before="160" w:after="40" w:line="240" w:lineRule="auto"/>
      </w:pPr>
      <w:r>
        <w:rPr>
          <w:b/>
        </w:rPr>
        <w:t xml:space="preserve">[2] </w:t>
      </w:r>
      <w:hyperlink r:id="rId299">
        <w:r>
          <w:rPr>
            <w:color w:val="1155CC"/>
            <w:u w:val="single"/>
          </w:rPr>
          <w:t>锰单原子工程化TiO2助力高性能质子交换膜燃料电池Pt催化剂</w:t>
        </w:r>
      </w:hyperlink>
    </w:p>
    <w:p>
      <w:pPr>
        <w:spacing w:before="0" w:after="80"/>
      </w:pPr>
      <w:r>
        <w:rPr>
          <w:i/>
          <w:sz w:val="20"/>
        </w:rPr>
        <w:t>EN: Manganese Single-Atom-Engineered TiO2 Enables High-Performance Pt Catalysts for Proton Exchange Membrane Fuel Cells</w:t>
      </w:r>
    </w:p>
    <w:p>
      <w:pPr>
        <w:spacing w:before="0" w:after="120"/>
      </w:pPr>
      <w:r>
        <w:rPr>
          <w:b/>
        </w:rPr>
        <w:t xml:space="preserve">Source: </w:t>
      </w:r>
      <w:r>
        <w:t>Journal of the American Chemical Society</w:t>
      </w:r>
      <w:r>
        <w:t xml:space="preserve">    </w:t>
      </w:r>
      <w:r>
        <w:rPr>
          <w:b/>
        </w:rPr>
        <w:t xml:space="preserve">Pub date: </w:t>
      </w:r>
      <w:r>
        <w:t>2026-08-28 00:00:00+00:00</w:t>
      </w:r>
      <w:r>
        <w:t xml:space="preserve">    </w:t>
      </w:r>
      <w:r>
        <w:rPr>
          <w:b/>
        </w:rPr>
        <w:t xml:space="preserve">DOI: </w:t>
      </w:r>
      <w:hyperlink r:id="rId299">
        <w:r>
          <w:rPr>
            <w:color w:val="1155CC"/>
            <w:u w:val="single"/>
          </w:rPr>
          <w:t>10.1021/jacs.6c10619</w:t>
        </w:r>
      </w:hyperlink>
    </w:p>
    <w:p>
      <w:pPr>
        <w:spacing w:before="0" w:after="120"/>
      </w:pPr>
      <w:r>
        <w:rPr>
          <w:b/>
        </w:rPr>
        <w:t xml:space="preserve">Notes: </w:t>
      </w:r>
      <w:r>
        <w:t>abstract_source=crossref</w:t>
      </w:r>
    </w:p>
    <w:p>
      <w:pPr>
        <w:spacing w:before="0" w:after="80" w:lineRule="auto" w:line="276"/>
      </w:pPr>
      <w:r>
        <w:rPr>
          <w:b/>
        </w:rPr>
        <w:t xml:space="preserve">摘要（ZH）: </w:t>
      </w:r>
      <w:r>
        <w:t>摘要 铂（Pt）基催化剂中碳载体在高电位下的不稳定性严重阻碍了相应质子交换膜燃料电池（PEMFC）的长期性能。开发既能稳定 Pt 纳米颗粒又能调控其本征催化性能的稳健氧化物载体仍是一项重要挑战。在本工作中，我们报道了一种单原子工程策略，用以增强金属-载体相互作用，并构建了 Mn 单原子修饰的 TiO2 负载 Pt 催化剂（Pt/Mn1–TiO2），从而显著提升 PEMFC 的性能。原子级分散的 Mn 位点诱导显著的界面电荷转移，优化了 Pt 的电子结构并使其 d 带中心下移，从而调控含氧中间体的吸附并增强本征氧还原反应（ORR）活性。同时，增强的界面锚定作用可有效抑制 Pt 的氧化、迁移和团聚，带来优异的结构稳定性。因此，Pt–Mn1/TiO2 在酸性介质中表现出 0.937 V（vs RHE）的高半波电位以及显著提升的质量/比活性。在实际 H2–O2 燃料电池中，其峰值功率密度达 2.37 W cm–2，优于商用 Pt/C，且长期运行中性能衰减极小。本工作为通过单原子界面工程实现氧化物负载 Pt 催化剂活性与耐久性协同提升提供了一种通用策略。</w:t>
      </w:r>
    </w:p>
    <w:p>
      <w:pPr>
        <w:spacing w:before="0" w:after="200" w:lineRule="auto" w:line="276"/>
      </w:pPr>
      <w:r>
        <w:rPr>
          <w:b/>
        </w:rPr>
        <w:t xml:space="preserve">Abstract (EN): </w:t>
      </w:r>
      <w:r>
        <w:t>The instability of carbon supports in platinum (Pt)-based catalysts under high potentials severely hinders the long-term performance of the corresponding proton exchange membrane fuel cells (PEMFCs). Developing robust oxide supports that can simultaneously stabilize Pt nanoparticles and regulate their intrinsic catalytic properties remains an important challenge. In this work, we report a single-atom engineering strategy to strengthen metal–support interactions and construct a Mn single-atom-modified TiO2-supported Pt catalyst (Pt/Mn1–TiO2) to significantly improve the performance of PEMFCs. The atomically dispersed Mn sites induce pronounced interfacial charge transfer, leading to an optimized electronic structure and a downshifted d-band center of Pt, thereby modulating the adsorption of oxygenated intermediates and enhancing intrinsic oxygen reduction reaction (ORR) activity. Meanwhile, the strengthened interfacial anchoring can effectively suppress Pt oxidation, migration, and agglomeration, resulting in a superior structural stability. As a result, Pt–Mn1/TiO2 exhibits a high half-wave potential of 0.937 V (vs RHE) and significantly enhanced mass/specific activities in acidic media. In a practical H2–O2 fuel cell, it delivers a peak power density of 2.37 W cm–2, outperforming commercial Pt/C, while maintaining minimal performance degradation during long-term operation. This work provides a general strategy for achieving synergistic enhancement of activity and durability in oxide-supported Pt catalysts via single-atom interfacial engineering.</w:t>
      </w:r>
    </w:p>
    <w:p>
      <w:pPr>
        <w:spacing w:before="120" w:after="120"/>
      </w:pPr>
      <w:r>
        <w:rPr>
          <w:sz w:val="18"/>
        </w:rPr>
        <w:t>——————————————————————————————————————————————————————————————————————</w:t>
      </w:r>
    </w:p>
    <w:p>
      <w:pPr>
        <w:spacing w:before="160" w:after="40" w:line="240" w:lineRule="auto"/>
      </w:pPr>
      <w:r>
        <w:rPr>
          <w:b/>
        </w:rPr>
        <w:t xml:space="preserve">[3] </w:t>
      </w:r>
      <w:hyperlink r:id="rId300">
        <w:r>
          <w:rPr>
            <w:color w:val="1155CC"/>
            <w:u w:val="single"/>
          </w:rPr>
          <w:t>通过部门耦合能源系统建模和区域差异化氢能战略减少中国钢铁行业的碳足迹</w:t>
        </w:r>
      </w:hyperlink>
    </w:p>
    <w:p>
      <w:pPr>
        <w:spacing w:before="0" w:after="80"/>
      </w:pPr>
      <w:r>
        <w:rPr>
          <w:i/>
          <w:sz w:val="20"/>
        </w:rPr>
        <w:t>EN: Reducing carbon footprints in China's steel industry through sector-coupled energy system modeling and regionally differentiated hydrogen strategies</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301">
        <w:r>
          <w:rPr>
            <w:color w:val="1155CC"/>
            <w:u w:val="single"/>
          </w:rPr>
          <w:t>10.1016/j.apenergy.2026.128744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302">
        <w:r>
          <w:rPr>
            <w:color w:val="1155CC"/>
            <w:u w:val="single"/>
          </w:rPr>
          <w:t>用于增强直接氨固体氧化物燃料电池热管理和热电化学均匀性的互连结构优化设计</w:t>
        </w:r>
      </w:hyperlink>
    </w:p>
    <w:p>
      <w:pPr>
        <w:spacing w:before="0" w:after="80"/>
      </w:pPr>
      <w:r>
        <w:rPr>
          <w:i/>
          <w:sz w:val="20"/>
        </w:rPr>
        <w:t>EN: Strategic interconnect design for enhanced thermal management and thermo-electrochemical uniformity in direct ammonia solid oxide fuel cells</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303">
        <w:r>
          <w:rPr>
            <w:color w:val="1155CC"/>
            <w:u w:val="single"/>
          </w:rPr>
          <w:t>10.1016/j.apenergy.2026.128740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304">
        <w:r>
          <w:rPr>
            <w:color w:val="1155CC"/>
            <w:u w:val="single"/>
          </w:rPr>
          <w:t>面向服务运营船舶的氢能与甲醇混合动力系统多目标优化：技术经济与环境分析</w:t>
        </w:r>
      </w:hyperlink>
    </w:p>
    <w:p>
      <w:pPr>
        <w:spacing w:before="0" w:after="80"/>
      </w:pPr>
      <w:r>
        <w:rPr>
          <w:i/>
          <w:sz w:val="20"/>
        </w:rPr>
        <w:t>EN: Multi-objective optimisation of hydrogen and methanol-based hybrid power systems for service operation vessels: A techno-economic and environmental analysis</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305">
        <w:r>
          <w:rPr>
            <w:color w:val="1155CC"/>
            <w:u w:val="single"/>
          </w:rPr>
          <w:t>10.1016/j.apenergy.2026.128679</w:t>
        </w:r>
      </w:hyperlink>
    </w:p>
    <w:p>
      <w:pPr>
        <w:spacing w:before="0" w:after="120"/>
      </w:pPr>
      <w:r>
        <w:rPr>
          <w:b/>
        </w:rPr>
        <w:t xml:space="preserve">Notes: </w:t>
      </w:r>
      <w:r>
        <w:t>abstract_source=openalex</w:t>
      </w:r>
    </w:p>
    <w:p>
      <w:pPr>
        <w:spacing w:before="0" w:after="80" w:lineRule="auto" w:line="276"/>
      </w:pPr>
      <w:r>
        <w:rPr>
          <w:b/>
        </w:rPr>
        <w:t xml:space="preserve">摘要（ZH）: </w:t>
      </w:r>
      <w:r>
        <w:t>海上风电运维船（SOV）的脱碳需要在成本、排放和船载集成之间取得平衡的燃料路径选择。本研究针对一艘5 000 GT的海上风电场SOV开发了双层技术经济与环境优化框架，将NSGA-II架构设计与逐秒规则能量管理相耦合。比较的三种替代路径为：双燃料甲醇发动机（DFME）、液氢质子交换膜燃料电池（PEMFC）和甲醇重整燃料电池（MRFC）。该框架在代表性的14天任务剖面下最小化资本支出、全生命周期运营支出和井口到尾流（well-to-wake）碳强度，并采用TOPSIS从每个帕累托前沿中选出一个均衡决策方案。研究引入了统一的β ∗ / Γ ∗指标，以量化与每种路径相关的重量重新分配或甲板体积扩展。相对于柴油基线，TOPSIS设计将井口到尾流碳强度分别降低68.7%（DFME）、83.3%（MRFC）和93.6%（PEMFC），同时全生命周期成本从29.14 MUSD增至96.89–110.72 MUSD。没有任何一种路径在成本、排放和集成相关指标上全面占优。DFME具有最低的全生命周期成本和最高的技术成熟度。MRFC在深度脱碳选项中提供了最有利的重量与体积适配性。PEMFC只有在绿氢生产排放因子保持在约2.1 kgCO 2 e/kgH 2以下时才能实现最大的碳减排。</w:t>
      </w:r>
    </w:p>
    <w:p>
      <w:pPr>
        <w:spacing w:before="0" w:after="200" w:lineRule="auto" w:line="276"/>
      </w:pPr>
      <w:r>
        <w:rPr>
          <w:b/>
        </w:rPr>
        <w:t xml:space="preserve">Abstract (EN): </w:t>
      </w:r>
      <w:r>
        <w:t>Decarbonising offshore-wind service operation vessels (SOVs) requires fuel-pathway choices that balance cost, emissions, and onboard integration. This study develops a bi-level techno-economic and environmental optimisation framework for a 5 000 GT offshore wind farm SOV, coupling NSGA-II architecture sizing with second-by-second rule-based energy management. The three alternative pathways compared are dual-fuel methanol engines (DFME), liquid-hydrogen proton-exchange membrane fuel cells (PEMFC), and methanol-reforming fuel cells (MRFC). The framework minimises capital expenditure, lifecycle operating expenditure, and well-to-wake carbon intensity over a representative 14-day mission profile, with TOPSIS used to select one balanced decision case from each Pareto front. A unified β ∗ / Γ ∗ metric is introduced to quantify the weight reallocation or deck-volume expansion associated with each pathway. Relative to the diesel baseline, the TOPSIS designs reduce well-to-wake carbon intensity by 68.7% for DFME, 83.3% for MRFC, and 93.6% for PEMFC, while increasing lifecycle cost from 29.14 MUSD to 96.89–110.72 MUSD. No pathway is universally dominant across cost, emissions, and integration-related indicators. DFME provides the lowest lifecycle cost and highest technology readiness. MRFC offers the most favourable weight-and-volume fit among the deep-decarbonisation options. PEMFC achieves the largest carbon reduction only when the green-hydrogen production emission factor remains below approximately 2.1 kgCO 2 e/kgH 2 .</w:t>
      </w:r>
    </w:p>
    <w:p>
      <w:pPr>
        <w:spacing w:before="120" w:after="120"/>
      </w:pPr>
      <w:r>
        <w:rPr>
          <w:sz w:val="18"/>
        </w:rPr>
        <w:t>——————————————————————————————————————————————————————————————————————</w:t>
      </w:r>
    </w:p>
    <w:p>
      <w:pPr>
        <w:spacing w:before="160" w:after="40" w:line="240" w:lineRule="auto"/>
      </w:pPr>
      <w:r>
        <w:rPr>
          <w:b/>
        </w:rPr>
        <w:t xml:space="preserve">[6] </w:t>
      </w:r>
      <w:hyperlink r:id="rId306">
        <w:r>
          <w:rPr>
            <w:color w:val="1155CC"/>
            <w:u w:val="single"/>
          </w:rPr>
          <w:t>用于含醇废水升级回收的无膜电化学系统</w:t>
        </w:r>
      </w:hyperlink>
    </w:p>
    <w:p>
      <w:pPr>
        <w:spacing w:before="0" w:after="80"/>
      </w:pPr>
      <w:r>
        <w:rPr>
          <w:i/>
          <w:sz w:val="20"/>
        </w:rPr>
        <w:t>EN: A membraneless electrochemical system for alcohol-laden wastewater upcycling</w:t>
      </w:r>
    </w:p>
    <w:p>
      <w:pPr>
        <w:spacing w:before="0" w:after="120"/>
      </w:pPr>
      <w:r>
        <w:rPr>
          <w:b/>
        </w:rPr>
        <w:t xml:space="preserve">Source: </w:t>
      </w:r>
      <w:r>
        <w:t>Nature Sustainability</w:t>
      </w:r>
      <w:r>
        <w:t xml:space="preserve">    </w:t>
      </w:r>
      <w:r>
        <w:rPr>
          <w:b/>
        </w:rPr>
        <w:t xml:space="preserve">Pub date: </w:t>
      </w:r>
      <w:r>
        <w:t>2026-08-28 00:00:00+00:00</w:t>
      </w:r>
      <w:r>
        <w:t xml:space="preserve">    </w:t>
      </w:r>
      <w:r>
        <w:rPr>
          <w:b/>
        </w:rPr>
        <w:t xml:space="preserve">DOI: </w:t>
      </w:r>
      <w:hyperlink r:id="rId307">
        <w:r>
          <w:rPr>
            <w:color w:val="1155CC"/>
            <w:u w:val="single"/>
          </w:rPr>
          <w:t>10.1038/s41893-026-01928-2</w:t>
        </w:r>
      </w:hyperlink>
    </w:p>
    <w:p>
      <w:pPr>
        <w:spacing w:before="0" w:after="120"/>
      </w:pPr>
      <w:r>
        <w:rPr>
          <w:b/>
        </w:rPr>
        <w:t xml:space="preserve">Notes: </w:t>
      </w:r>
      <w:r>
        <w:t>abstract_source=rss_nature</w:t>
      </w:r>
    </w:p>
    <w:p>
      <w:pPr>
        <w:spacing w:before="0" w:after="80" w:lineRule="auto" w:line="276"/>
      </w:pPr>
      <w:r>
        <w:rPr>
          <w:b/>
        </w:rPr>
        <w:t xml:space="preserve">摘要（ZH）: </w:t>
      </w:r>
      <w:r>
        <w:t>由于现有处理技术的固有局限，从含醇废水中回收资源仍然充满挑战。本研究引入一种无膜电化学系统，可将含醇废水安全高效地升级转化为有价值的化学品和氢气。</w:t>
      </w:r>
    </w:p>
    <w:p>
      <w:pPr>
        <w:spacing w:before="0" w:after="200" w:lineRule="auto" w:line="276"/>
      </w:pPr>
      <w:r>
        <w:rPr>
          <w:b/>
        </w:rPr>
        <w:t xml:space="preserve">Abstract (EN): </w:t>
      </w:r>
      <w:r>
        <w:t>Resource recovery from alcohol-laden wastewater remains challenging due to intrinsic limitations of current treatment technologies. This study introduces a membrane-free electrochemical system that safely and efficiently upcycles alcohol wastewater into valuable chemicals and hydrogen.</w:t>
      </w:r>
    </w:p>
    <w:p>
      <w:pPr>
        <w:spacing w:before="120" w:after="120"/>
      </w:pPr>
      <w:r>
        <w:rPr>
          <w:sz w:val="18"/>
        </w:rPr>
        <w:t>——————————————————————————————————————————————————————————————————————</w:t>
      </w:r>
    </w:p>
    <w:p>
      <w:pPr>
        <w:spacing w:before="160" w:after="40" w:line="240" w:lineRule="auto"/>
      </w:pPr>
      <w:r>
        <w:rPr>
          <w:b/>
        </w:rPr>
        <w:t xml:space="preserve">[7] </w:t>
      </w:r>
      <w:hyperlink r:id="rId308">
        <w:r>
          <w:rPr>
            <w:color w:val="1155CC"/>
            <w:u w:val="single"/>
          </w:rPr>
          <w:t>单原子催化实现全氢二苄基甲苯的优先中环脱氢用于低温制氢</w:t>
        </w:r>
      </w:hyperlink>
    </w:p>
    <w:p>
      <w:pPr>
        <w:spacing w:before="0" w:after="80"/>
      </w:pPr>
      <w:r>
        <w:rPr>
          <w:i/>
          <w:sz w:val="20"/>
        </w:rPr>
        <w:t>EN: Single Atom Catalysis Enables Preferential Middle‐Ring Dehydrogenation of Perhydro‐Dibenzyltoluene for Low‐Temperature Hydrogen Production</w:t>
      </w:r>
    </w:p>
    <w:p>
      <w:pPr>
        <w:spacing w:before="0" w:after="120"/>
      </w:pPr>
      <w:r>
        <w:rPr>
          <w:b/>
        </w:rPr>
        <w:t xml:space="preserve">Source: </w:t>
      </w:r>
      <w:r>
        <w:t>Wiley: Angewandte Chemie International Edition: Table of Contents</w:t>
      </w:r>
      <w:r>
        <w:t xml:space="preserve">    </w:t>
      </w:r>
      <w:r>
        <w:rPr>
          <w:b/>
        </w:rPr>
        <w:t xml:space="preserve">Pub date: </w:t>
      </w:r>
      <w:r>
        <w:t>2026-08-28 16:42:41+00:00</w:t>
      </w:r>
      <w:r>
        <w:t xml:space="preserve">    </w:t>
      </w:r>
      <w:r>
        <w:rPr>
          <w:b/>
        </w:rPr>
        <w:t xml:space="preserve">DOI: </w:t>
      </w:r>
      <w:hyperlink r:id="rId309">
        <w:r>
          <w:rPr>
            <w:color w:val="1155CC"/>
            <w:u w:val="single"/>
          </w:rPr>
          <w:t>10.1002/anie.6119233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利用二苄基甲苯/全氢二苄基甲苯（DBT/H18-DBT）进行氢气（H2）的储存/释放为 H2 运输提供了一条安全途径，但由于 H18-DBT 侧环较大的 C–H 解离能，其脱氢温度较高。在本工作中，我们设计了一种具有良好控制的 Pt–O 配位数（CN Pt–O）的单 Pt 原子催化剂。在 CeO2 台阶位点上 CN Pt–O ≈ 4 的 Pt 单原子催化剂（SAC）导致了一种独特的反应机制，即优先脱除 H18-DBT 中间环的氢，使 H18-DBT 在 200°C 下即可产生 H2——这一温度远低于文献报道值（≥ 260°C），并在 300°C 下实现了 83430.0 mol H2 mol Pt^−1 h^−1 的析氢速率（），比已发表的数值高 7 倍，同时在 50 次储氢/放氢循环中保持约 90% 的稳定 H18-DBT 转化率。</w:t>
      </w:r>
    </w:p>
    <w:p>
      <w:pPr>
        <w:spacing w:before="0" w:after="200" w:lineRule="auto" w:line="276"/>
      </w:pPr>
      <w:r>
        <w:rPr>
          <w:b/>
        </w:rPr>
        <w:t xml:space="preserve">Abstract (EN): </w:t>
      </w:r>
      <w:r>
        <w:t>Hydrogen (H</w:t>
      </w:r>
      <w:r>
        <w:rPr>
          <w:vertAlign w:val="subscript"/>
        </w:rPr>
        <w:t>2</w:t>
      </w:r>
      <w:r>
        <w:t>) storage/release using dibenzyltoluene/perhydro‐dibenzyltoluene (DBT/H18‐DBT) provides a safe route for H</w:t>
      </w:r>
      <w:r>
        <w:rPr>
          <w:vertAlign w:val="subscript"/>
        </w:rPr>
        <w:t>2</w:t>
      </w:r>
      <w:r>
        <w:t>transportation but suffers from high dehydrogenation temperature due to the large C–H dissociation energy of the H18‐DBT side rings. In this work, we design a single Pt atom catalyst with well controlled Pt–O coordination number (CN</w:t>
      </w:r>
      <w:r>
        <w:t xml:space="preserve"> </w:t>
      </w:r>
      <w:r>
        <w:t>Pt–O</w:t>
      </w:r>
      <w:r>
        <w:t xml:space="preserve"> </w:t>
      </w:r>
      <w:r>
        <w:t>). The Pt single atom catalyst (SAC) with CN</w:t>
      </w:r>
      <w:r>
        <w:t xml:space="preserve"> </w:t>
      </w:r>
      <w:r>
        <w:t>Pt–O</w:t>
      </w:r>
      <w:r>
        <w:t xml:space="preserve"> </w:t>
      </w:r>
      <w:r>
        <w:t>≈ 4 on the step site of CeO</w:t>
      </w:r>
      <w:r>
        <w:rPr>
          <w:vertAlign w:val="subscript"/>
        </w:rPr>
        <w:t>2</w:t>
      </w:r>
      <w:r>
        <w:t>results in a unique reaction mechanism of preferential dehydrogenation of the H18‐DBT middle ring, enabling H</w:t>
      </w:r>
      <w:r>
        <w:rPr>
          <w:vertAlign w:val="subscript"/>
        </w:rPr>
        <w:t>2</w:t>
      </w:r>
      <w:r>
        <w:t>production from H18‐DBT at 200°C — a temperature far below those reported in the literature (≥ 260°C), which achieves a 7 times higher H</w:t>
      </w:r>
      <w:r>
        <w:rPr>
          <w:vertAlign w:val="subscript"/>
        </w:rPr>
        <w:t>2</w:t>
      </w:r>
      <w:r>
        <w:t>evolution rate () of 83430.0 mol</w:t>
      </w:r>
      <w:r>
        <w:t xml:space="preserve"> </w:t>
      </w:r>
      <w:r>
        <w:t>H2</w:t>
      </w:r>
      <w:r>
        <w:t xml:space="preserve"> </w:t>
      </w:r>
      <w:r>
        <w:t>mol</w:t>
      </w:r>
      <w:r>
        <w:t xml:space="preserve"> </w:t>
      </w:r>
      <w:r>
        <w:t>Pt</w:t>
      </w:r>
      <w:r>
        <w:t xml:space="preserve"> </w:t>
      </w:r>
      <w:r>
        <w:t>−1</w:t>
      </w:r>
      <w:r>
        <w:t xml:space="preserve"> </w:t>
      </w:r>
      <w:r>
        <w:t>h</w:t>
      </w:r>
      <w:r>
        <w:t xml:space="preserve"> </w:t>
      </w:r>
      <w:r>
        <w:t>−1</w:t>
      </w:r>
      <w:r>
        <w:t xml:space="preserve"> </w:t>
      </w:r>
      <w:r>
        <w:t>at 300°C as compared to the published values with stable H18‐DBT conversion of ∼90% during 50 repeated hydrogen storage/release cycles.</w:t>
      </w:r>
    </w:p>
    <w:p>
      <w:pPr>
        <w:spacing w:before="120" w:after="120"/>
      </w:pPr>
      <w:r>
        <w:rPr>
          <w:sz w:val="18"/>
        </w:rPr>
        <w:t>——————————————————————————————————————————————————————————————————————</w:t>
      </w:r>
    </w:p>
    <w:p>
      <w:pPr>
        <w:spacing w:before="160" w:after="40" w:line="240" w:lineRule="auto"/>
      </w:pPr>
      <w:r>
        <w:rPr>
          <w:b/>
        </w:rPr>
        <w:t xml:space="preserve">[8] </w:t>
      </w:r>
      <w:hyperlink r:id="rId310">
        <w:r>
          <w:rPr>
            <w:color w:val="1155CC"/>
            <w:u w:val="single"/>
          </w:rPr>
          <w:t>基于植根型高熵钙钛矿负载Ir催化剂的动态电子再分布用于耐久性质子交换膜电解水</w:t>
        </w:r>
      </w:hyperlink>
    </w:p>
    <w:p>
      <w:pPr>
        <w:spacing w:before="0" w:after="80"/>
      </w:pPr>
      <w:r>
        <w:rPr>
          <w:i/>
          <w:sz w:val="20"/>
        </w:rPr>
        <w:t>EN: Dynamic Electron Redistribution on Rooted-Type High-Entropy Perovskite-Supported Ir Catalysts for Durable Proton-Exchange-Membrane Water Electrolysis</w:t>
      </w:r>
    </w:p>
    <w:p>
      <w:pPr>
        <w:spacing w:before="0" w:after="120"/>
      </w:pPr>
      <w:r>
        <w:rPr>
          <w:b/>
        </w:rPr>
        <w:t xml:space="preserve">Source: </w:t>
      </w:r>
      <w:r>
        <w:t>Journal of the American Chemical Society</w:t>
      </w:r>
      <w:r>
        <w:t xml:space="preserve">    </w:t>
      </w:r>
      <w:r>
        <w:rPr>
          <w:b/>
        </w:rPr>
        <w:t xml:space="preserve">Pub date: </w:t>
      </w:r>
      <w:r>
        <w:t>2026-08-29 00:00:00+00:00</w:t>
      </w:r>
      <w:r>
        <w:t xml:space="preserve">    </w:t>
      </w:r>
      <w:r>
        <w:rPr>
          <w:b/>
        </w:rPr>
        <w:t xml:space="preserve">DOI: </w:t>
      </w:r>
      <w:hyperlink r:id="rId310">
        <w:r>
          <w:rPr>
            <w:color w:val="1155CC"/>
            <w:u w:val="single"/>
          </w:rPr>
          <w:t>10.1021/jacs.6c13780</w:t>
        </w:r>
      </w:hyperlink>
    </w:p>
    <w:p>
      <w:pPr>
        <w:spacing w:before="0" w:after="120"/>
      </w:pPr>
      <w:r>
        <w:rPr>
          <w:b/>
        </w:rPr>
        <w:t xml:space="preserve">Notes: </w:t>
      </w:r>
      <w:r>
        <w:t>abstract_source=crossref</w:t>
      </w:r>
    </w:p>
    <w:p>
      <w:pPr>
        <w:spacing w:before="0" w:after="80" w:lineRule="auto" w:line="276"/>
      </w:pPr>
      <w:r>
        <w:rPr>
          <w:b/>
        </w:rPr>
        <w:t xml:space="preserve">摘要（ZH）: </w:t>
      </w:r>
      <w:r>
        <w:t>摘要 解决低铱载量与运行耐久性之间的固有权衡，对于推动质子交换膜水电解（PEMWE）技术迈向绿氢生产至关重要，然而这仍然是一项艰巨的挑战。在此，我们开发了一种多级稳定化策略，以在工业电流密度下动态稳定 Ir。该策略结合了通过在高熵钙钛矿载体（Ir/HESIO）上构建扎根型嵌入结构所实现的强物理锚定，以及通过原位电子再分配对活性负载层进行的动态电子态调控。原位光谱表征和理论模拟共同验证了结构限域与原位电子调控之间的协同作用有效抑制了 Ir 活性物种的迁移、过度氧化及随后的溶解。得益于这些特性，所开发的 Ir/HESIO 在实现 2 和 3 A cm^−2 的工业电流密度时表现出 1.71 和 1.80 V 的低槽压，达到美国能源部（DOE）2026 年目标（1.80 V @ 3 A cm^−2），并优于大多数已报道的催化剂。此外，它还展现出卓越的运行稳定性，在 2 A cm^−2 下稳定运行超过 3800 h，电位衰减仅 2.2%；在 3 A cm^−2 下稳定运行超过 3200 h，电位衰减仅 4.7%。这项工作不仅提供了一种极具前景的电解水催化剂，还建立了一种广泛适用于稳定其他非均相催……</w:t>
      </w:r>
    </w:p>
    <w:p>
      <w:pPr>
        <w:spacing w:before="0" w:after="200" w:lineRule="auto" w:line="276"/>
      </w:pPr>
      <w:r>
        <w:rPr>
          <w:b/>
        </w:rPr>
        <w:t xml:space="preserve">Abstract (EN): </w:t>
      </w:r>
      <w:r>
        <w:t>Addressing the inherent trade-off between low iridium loading and operational durability is of paramount importance for advancing proton-exchange-membrane water electrolysis (PEMWE) technology toward green hydrogen production, yet it remains a formidable challenge. Here, we develop a multilevel stabilization strategy to dynamically stabilize Ir under industrial current densities. This approach combines strong physical anchoring, achieved by constructing a rooted-type embedded architecture on a high-entropy perovskite support (Ir/HESIO), with dynamic electronic state regulation of the active supported layer via in situ electron redistribution. In situ spectroscopic characterization and theoretical simulations jointly verify that the synergy between structural confinement and in situ electronic regulation effectively suppresses the migration, overoxidation, and subsequent dissolution of Ir active species. Owing to these attributes, the developed Ir/HESIO exhibits a low cell voltage of 1.71 and 1.80 V to achieve industrial current densities of 2 and 3 A cm–2, meeting the DOE 2026 target (1.80 V @ 3A cm–2) and outperforming most reported catalysts. Moreover, it demonstrates outstanding operational stability, maintaining stable operation over 3800 h at 2 A cm–2 with just 2.2% potential decay and over 3200 h at 3 A cm–2 with just 4.7% potential decay. This work not only presents a highly promising electrocatalyst for water electrolysis but also establishes a dynamic electronic structure regulation strategy that is broadly applicable for stabilizing other heterogeneous catalysts.</w:t>
      </w:r>
    </w:p>
    <w:p>
      <w:pPr>
        <w:spacing w:before="120" w:after="120"/>
      </w:pPr>
      <w:r>
        <w:rPr>
          <w:sz w:val="18"/>
        </w:rPr>
        <w:t>——————————————————————————————————————————————————————————————————————</w:t>
      </w:r>
    </w:p>
    <w:p>
      <w:pPr>
        <w:spacing w:before="160" w:after="40" w:line="240" w:lineRule="auto"/>
      </w:pPr>
      <w:r>
        <w:rPr>
          <w:b/>
        </w:rPr>
        <w:t xml:space="preserve">[9] </w:t>
      </w:r>
      <w:hyperlink r:id="rId311">
        <w:r>
          <w:rPr>
            <w:color w:val="1155CC"/>
            <w:u w:val="single"/>
          </w:rPr>
          <w:t>通过表面固定化铵阳离子实现界面氢键链工程以加速碱性析氢</w:t>
        </w:r>
      </w:hyperlink>
    </w:p>
    <w:p>
      <w:pPr>
        <w:spacing w:before="0" w:after="80"/>
      </w:pPr>
      <w:r>
        <w:rPr>
          <w:i/>
          <w:sz w:val="20"/>
        </w:rPr>
        <w:t>EN: Interfacial Hydrogen-Bond Chain Engineering via Surface-Immobilized Ammonium Cations for Accelerated Alkaline Hydrogen Evolution</w:t>
      </w:r>
    </w:p>
    <w:p>
      <w:pPr>
        <w:spacing w:before="0" w:after="120"/>
      </w:pPr>
      <w:r>
        <w:rPr>
          <w:b/>
        </w:rPr>
        <w:t xml:space="preserve">Source: </w:t>
      </w:r>
      <w:r>
        <w:t>Journal of the American Chemical Society</w:t>
      </w:r>
      <w:r>
        <w:t xml:space="preserve">    </w:t>
      </w:r>
      <w:r>
        <w:rPr>
          <w:b/>
        </w:rPr>
        <w:t xml:space="preserve">Pub date: </w:t>
      </w:r>
      <w:r>
        <w:t>2026-08-29 00:00:00+00:00</w:t>
      </w:r>
      <w:r>
        <w:t xml:space="preserve">    </w:t>
      </w:r>
      <w:r>
        <w:rPr>
          <w:b/>
        </w:rPr>
        <w:t xml:space="preserve">DOI: </w:t>
      </w:r>
      <w:hyperlink r:id="rId311">
        <w:r>
          <w:rPr>
            <w:color w:val="1155CC"/>
            <w:u w:val="single"/>
          </w:rPr>
          <w:t>10.1021/jacs.6c06025</w:t>
        </w:r>
      </w:hyperlink>
    </w:p>
    <w:p>
      <w:pPr>
        <w:spacing w:before="0" w:after="120"/>
      </w:pPr>
      <w:r>
        <w:rPr>
          <w:b/>
        </w:rPr>
        <w:t xml:space="preserve">Notes: </w:t>
      </w:r>
      <w:r>
        <w:t>abstract_source=crossref</w:t>
      </w:r>
    </w:p>
    <w:p>
      <w:pPr>
        <w:spacing w:before="0" w:after="80" w:lineRule="auto" w:line="276"/>
      </w:pPr>
      <w:r>
        <w:rPr>
          <w:b/>
        </w:rPr>
        <w:t xml:space="preserve">摘要（ZH）: </w:t>
      </w:r>
      <w:r>
        <w:t>摘要 工程化电极–电解质界面已成为克服碱性析氢反应（HER）动力学缓慢的关键策略。然而，双电层的动态和复杂特性使得分子层面的机理认识和合理的界面调控极具挑战性。本文中，我们证明用两性离子分子对Ni掺杂MoS2催化剂进行分子修饰（z-Ni-MoS2）可显著增强碱性HER动力学。原位拉曼光谱结合从头算分子动力学（AIMD）模拟表明，季铵阳离子通过将钾离子从z-Ni-MoS2表面静电排斥，将界面水重构为线性氢键链。这种独特的界面微环境使氢键链内的水分子能够通过Grotthuss关联机制将质子直接传递至硫位点。与传统的扩散主导、非Grotthuss关联机制不同，该机制降低了水解离势垒并促进界面质子传输，从而加速碱性HER动力学。为评估器件级应用性，将z-Ni-MoS2集成到阴离子交换膜水电解槽（AEM-WE）中。该系统在80 °C、1.8 V下输出5.21 A cm–2，2 V下输出9.57 A cm–2的优异性能，超过美国能源部（DOE）2026年目标（1.8 V下3 A cm–2）。这项工作为界面水重构作为设计原…提供了分子层面的洞察</w:t>
      </w:r>
    </w:p>
    <w:p>
      <w:pPr>
        <w:spacing w:before="0" w:after="200" w:lineRule="auto" w:line="276"/>
      </w:pPr>
      <w:r>
        <w:rPr>
          <w:b/>
        </w:rPr>
        <w:t xml:space="preserve">Abstract (EN): </w:t>
      </w:r>
      <w:r>
        <w:t>Engineering the electrode–electrolyte interface has emerged as a critical strategy to overcome sluggish kinetics of alkaline hydrogen evolution reaction (HER). However, the dynamic and complex nature of the double electric layer makes mechanistic understanding at the molecular level and rational interfacial regulation highly challenging. Herein, we demonstrate that molecular modification of Ni-doped MoS2 catalyst with a zwitterionic molecule (z-Ni-MoS2) markedly enhances alkaline HER kinetics. In-situ Raman spectroscopy combined with ab initio molecular dynamics (AIMD) simulations reveals that the quaternary ammonium cation reconstructs interfacial water into linear hydrogen-bond chains via electrostatic repulsion of potassium ions from the z-Ni-MoS2 surface. This distinctive interfacial microenvironment enables water molecules within hydrogen-bond chains to directly relay protons to sulfur sites via a Grotthuss-associated mechanism. In contrast to the conventional diffusion-dominated, non-Grotthuss-associated mechanism, this mechanism lowers the water-dissociation barrier and promotes interfacial proton transport, thereby accelerating alkaline HER kinetics. To evaluate device-level applicability, z-Ni-MoS2 was incorporated into an anion exchange membrane water electrolyzer (AEM-WE). The system delivers outstanding performance of 5.21 A cm–2 at 1.8 V and 9.57 A cm–2 at 2 V, 80 °C, surpassing the United States Department of Energy (DOE) 2026 target (3 A cm–2 at 1.8 V). This work provides molecular-level insight for interfacial water restructuring as a design principle for high-performance alkaline HER catalysts.</w:t>
      </w:r>
    </w:p>
    <w:p>
      <w:pPr>
        <w:spacing w:before="120" w:after="120"/>
      </w:pPr>
      <w:r>
        <w:rPr>
          <w:sz w:val="18"/>
        </w:rPr>
        <w:t>——————————————————————————————————————————————————————————————————————</w:t>
      </w:r>
    </w:p>
    <w:p>
      <w:pPr>
        <w:spacing w:before="160" w:after="40" w:line="240" w:lineRule="auto"/>
      </w:pPr>
      <w:r>
        <w:rPr>
          <w:b/>
        </w:rPr>
        <w:t xml:space="preserve">[10] </w:t>
      </w:r>
      <w:hyperlink r:id="rId312">
        <w:r>
          <w:rPr>
            <w:color w:val="1155CC"/>
            <w:u w:val="single"/>
          </w:rPr>
          <w:t>考虑时间分辨率的PEM水电解槽动态电化学阻抗谱提取方法</w:t>
        </w:r>
      </w:hyperlink>
    </w:p>
    <w:p>
      <w:pPr>
        <w:spacing w:before="0" w:after="80"/>
      </w:pPr>
      <w:r>
        <w:rPr>
          <w:i/>
          <w:sz w:val="20"/>
        </w:rPr>
        <w:t>EN: A dynamic electrochemical impedance spectroscopy extraction method for PEM water electrolyzers considering time resolution</w:t>
      </w:r>
    </w:p>
    <w:p>
      <w:pPr>
        <w:spacing w:before="0" w:after="120"/>
      </w:pPr>
      <w:r>
        <w:rPr>
          <w:b/>
        </w:rPr>
        <w:t xml:space="preserve">Source: </w:t>
      </w:r>
      <w:r>
        <w:t>ScienceDirect Publication: Applied Energy</w:t>
      </w:r>
      <w:r>
        <w:t xml:space="preserve">    </w:t>
      </w:r>
      <w:r>
        <w:rPr>
          <w:b/>
        </w:rPr>
        <w:t xml:space="preserve">Pub date: </w:t>
      </w:r>
      <w:r>
        <w:t>2026-08-29 00:00:00+00:00</w:t>
      </w:r>
      <w:r>
        <w:t xml:space="preserve">    </w:t>
      </w:r>
      <w:r>
        <w:rPr>
          <w:b/>
        </w:rPr>
        <w:t xml:space="preserve">DOI: </w:t>
      </w:r>
      <w:hyperlink r:id="rId313">
        <w:r>
          <w:rPr>
            <w:color w:val="1155CC"/>
            <w:u w:val="single"/>
          </w:rPr>
          <w:t>10.1016/j.apenergy.2026.128647</w:t>
        </w:r>
      </w:hyperlink>
    </w:p>
    <w:p>
      <w:pPr>
        <w:spacing w:before="0" w:after="120"/>
      </w:pPr>
      <w:r>
        <w:rPr>
          <w:b/>
        </w:rPr>
        <w:t xml:space="preserve">Notes: </w:t>
      </w:r>
      <w:r>
        <w:t>abstract_source=openalex</w:t>
      </w:r>
    </w:p>
    <w:p>
      <w:pPr>
        <w:spacing w:before="0" w:after="80" w:lineRule="auto" w:line="276"/>
      </w:pPr>
      <w:r>
        <w:rPr>
          <w:b/>
        </w:rPr>
        <w:t xml:space="preserve">摘要（ZH）: </w:t>
      </w:r>
      <w:r>
        <w:t>电化学阻抗谱（EIS）是一种高效的原位表征工具，可用于分析质子交换膜水电解槽（PEMWE）的内部过程。然而，传统的EIS要求系统在稳态条件下运行，这限制了其在实际系统中的适用性。动态EIS（DEIS）提供了一种捕捉运行条件随时间变化所引起的内部物理状态变化的潜在方法。然而，现有的阻抗计算方法（如快速傅里叶变换和基于小波变换的方法）在分析整个频率范围内的非平稳信号方面能力有限。为解决这些局限性，本文提出了一种混合方法，结合了多种现有时频和瞬时特征提取技术的优点，以在动态条件下精确获取DEIS。本研究基于运行变化对扰动信号进行分段，并采用自适应处理以确保精确提取阻抗。本文在PEMWE的不同输入功率曲线下进行了仿真和实验验证。结果表明，所提出的混合方法的DEIS精度超过96%，验证了其在PEMWE应用中的有效性以及对其他电化学装置的潜在应用价值。</w:t>
      </w:r>
    </w:p>
    <w:p>
      <w:pPr>
        <w:spacing w:before="0" w:after="200" w:lineRule="auto" w:line="276"/>
      </w:pPr>
      <w:r>
        <w:rPr>
          <w:b/>
        </w:rPr>
        <w:t xml:space="preserve">Abstract (EN): </w:t>
      </w:r>
      <w:r>
        <w:t>Electrochemical impedance spectroscopy (EIS) is an efficient in-operando characterization tool for analyzing the internal processes of proton exchange membrane water electrolyzers (PEMWE). However, conventional EIS requires the system to operate under steady-state conditions, which limits its applicability in real-world systems. Dynamic EIS (DEIS) provides a potential approach to capture the variation of internal physical states caused by changes in operating conditions over time. However, existing impedance calculation methods, such as fast Fourier transform and wavelet transform-based approaches, are limited in their ability to analyse nonstationary signals across the entire frequency range. To address these limitations, this paper proposes a hybrid method that combines the advantages of several existing time–frequency and instantaneous feature extraction techniques to accurately obtain DEIS under dynamic conditions. This study segments the perturbation signals based on operating variations and applies adaptive processing to ensure accurate impedance extraction. Simulation and experimental verification under different input power profiles to a PEMWE are conducted in this work. The results demonstrate that the proposed hybrid method achieves a DEIS accuracy exceeding 96%, verifying its effectiveness for PEMWE applications and potential for other electrochemical devices.</w:t>
      </w:r>
    </w:p>
    <w:p>
      <w:pPr>
        <w:spacing w:before="120" w:after="120"/>
      </w:pPr>
      <w:r>
        <w:rPr>
          <w:sz w:val="18"/>
        </w:rPr>
        <w:t>——————————————————————————————————————————————————————————————————————</w:t>
      </w:r>
    </w:p>
    <w:p>
      <w:pPr>
        <w:spacing w:before="160" w:after="40" w:line="240" w:lineRule="auto"/>
      </w:pPr>
      <w:r>
        <w:rPr>
          <w:b/>
        </w:rPr>
        <w:t xml:space="preserve">[11] </w:t>
      </w:r>
      <w:hyperlink r:id="rId314">
        <w:r>
          <w:rPr>
            <w:color w:val="1155CC"/>
            <w:u w:val="single"/>
          </w:rPr>
          <w:t>用于海水光催化的共价有机框架中偶联控制的一维离子响应</w:t>
        </w:r>
      </w:hyperlink>
    </w:p>
    <w:p>
      <w:pPr>
        <w:spacing w:before="0" w:after="80"/>
      </w:pPr>
      <w:r>
        <w:rPr>
          <w:i/>
          <w:sz w:val="20"/>
        </w:rPr>
        <w:t>EN: Conjugation‐Controlled Ion Response in One‐Dimensional Covalent Organic Frameworks for Seawater Photocatalysis</w:t>
      </w:r>
    </w:p>
    <w:p>
      <w:pPr>
        <w:spacing w:before="0" w:after="120"/>
      </w:pPr>
      <w:r>
        <w:rPr>
          <w:b/>
        </w:rPr>
        <w:t xml:space="preserve">Source: </w:t>
      </w:r>
      <w:r>
        <w:t>Wiley: Angewandte Chemie International Edition: Table of Contents</w:t>
      </w:r>
      <w:r>
        <w:t xml:space="preserve">    </w:t>
      </w:r>
      <w:r>
        <w:rPr>
          <w:b/>
        </w:rPr>
        <w:t xml:space="preserve">Pub date: </w:t>
      </w:r>
      <w:r>
        <w:t>2026-08-29 04:55:37+00:00</w:t>
      </w:r>
      <w:r>
        <w:t xml:space="preserve">    </w:t>
      </w:r>
      <w:r>
        <w:rPr>
          <w:b/>
        </w:rPr>
        <w:t xml:space="preserve">DOI: </w:t>
      </w:r>
      <w:hyperlink r:id="rId315">
        <w:r>
          <w:rPr>
            <w:color w:val="1155CC"/>
            <w:u w:val="single"/>
          </w:rPr>
          <w:t>10.1002/anie.7279758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海水光催化产氢提供了一条可持续的能源生产途径，但溶解离子在调控载流子动力学中的作用仍知之甚少。在此，我们展示了通过离子诱导极化调控一维共价有机框架（1D COFs）中电荷分离的共轭控制的离子响应，用于海水光催化。构建了两种分别具有定域共轭（DHP-COF）和扩展共轭（DHPPD-COF）的COFs。在天然海水中，DHP-COF的产氢速率达到246.9 mmol g⁻¹ h⁻¹，比在纯水中（49.1 mmol g⁻¹ h⁻¹）高5.03倍，而DHPD-COF仅表现出2.48倍的增强（从38.9到96.5 mmol g⁻¹ h⁻¹），揭示了定域共轭框架中显著更强的离子响应敏感性。机理研究表明，定域共轭保留了由分段π电子分布产生的空间不均匀极性结构域，使其与海水离子强耦合，从而放大局部偶极子以产生增强的内建电场，实现高效的电荷分离。相比之下，扩展的π离域导致电子均匀化，削弱了离子诱导的极化。除产氢之外，该系统还同时实现了</w:t>
      </w:r>
    </w:p>
    <w:p>
      <w:pPr>
        <w:spacing w:before="0" w:after="200" w:lineRule="auto" w:line="276"/>
      </w:pPr>
      <w:r>
        <w:rPr>
          <w:b/>
        </w:rPr>
        <w:t xml:space="preserve">Abstract (EN): </w:t>
      </w:r>
      <w:r>
        <w:t>Photocatalytic hydrogen evolution from seawater offers a sustainable route for energy production, yet the role of dissolved ions in modulating carrier dynamics remains poorly understood. Herein, we demonstrate conjugation‐controlled ion responses that regulate charge separation in one‐dimensional covalent organic frameworks (1D COFs) through ion‐induced polarization for seawater photocatalysis. Two COFs featuring localized (DHP‐COF) and extended (DHPD‐COF) conjugation are constructed. In natural seawater, DHP‐COF achieves 246.9 mmol g</w:t>
      </w:r>
      <w:r>
        <w:t xml:space="preserve"> </w:t>
      </w:r>
      <w:r>
        <w:t>−1</w:t>
      </w:r>
      <w:r>
        <w:t xml:space="preserve"> </w:t>
      </w:r>
      <w:r>
        <w:t>h</w:t>
      </w:r>
      <w:r>
        <w:t xml:space="preserve"> </w:t>
      </w:r>
      <w:r>
        <w:t>−1</w:t>
      </w:r>
      <w:r>
        <w:t xml:space="preserve"> </w:t>
      </w:r>
      <w:r>
        <w:t>for hydrogen evolution, 5.03‐fold higher than in pure water (49.1 mmol g</w:t>
      </w:r>
      <w:r>
        <w:t xml:space="preserve"> </w:t>
      </w:r>
      <w:r>
        <w:t>−1</w:t>
      </w:r>
      <w:r>
        <w:t xml:space="preserve"> </w:t>
      </w:r>
      <w:r>
        <w:t>h</w:t>
      </w:r>
      <w:r>
        <w:t xml:space="preserve"> </w:t>
      </w:r>
      <w:r>
        <w:t>−1</w:t>
      </w:r>
      <w:r>
        <w:t xml:space="preserve"> </w:t>
      </w:r>
      <w:r>
        <w:t>), whereas DHPD‐COF shows only 2.48‐fold enhancement (from 38.9 to 96.5 mmol g</w:t>
      </w:r>
      <w:r>
        <w:t xml:space="preserve"> </w:t>
      </w:r>
      <w:r>
        <w:t>−1</w:t>
      </w:r>
      <w:r>
        <w:t xml:space="preserve"> </w:t>
      </w:r>
      <w:r>
        <w:t>h</w:t>
      </w:r>
      <w:r>
        <w:t xml:space="preserve"> </w:t>
      </w:r>
      <w:r>
        <w:t>−1</w:t>
      </w:r>
      <w:r>
        <w:t xml:space="preserve"> </w:t>
      </w:r>
      <w:r>
        <w:t>), revealing markedly stronger ion‐responsive sensitivity in the locally conjugated framework. Mechanistic investigations reveal that localized conjugation preserves spatially inhomogeneous polar domains arising from segmented π‐electron distribution, enabling strong coupling with seawater ions and thereby amplifying local dipoles to generate enhanced internal electric fields for efficient charge separation. In contrast, extended π‐delocalization leads to electronic homogenization that attenuates ion‐induced polarization. Beyond hydrogen production, this system simultaneously achieves chemoselective hydrogenation of</w:t>
      </w:r>
      <w:r>
        <w:t xml:space="preserve"> </w:t>
      </w:r>
      <w:r>
        <w:t>α</w:t>
      </w:r>
      <w:r>
        <w:t xml:space="preserve"> </w:t>
      </w:r>
      <w:r>
        <w:t>,</w:t>
      </w:r>
      <w:r>
        <w:t xml:space="preserve"> </w:t>
      </w:r>
      <w:r>
        <w:t>β</w:t>
      </w:r>
      <w:r>
        <w:t xml:space="preserve"> </w:t>
      </w:r>
      <w:r>
        <w:t>‐unsaturated carbonyl compounds to high‐value pharmaceutical intermediates in natural seawater/CH</w:t>
      </w:r>
      <w:r>
        <w:rPr>
          <w:vertAlign w:val="subscript"/>
        </w:rPr>
        <w:t>3</w:t>
      </w:r>
      <w:r>
        <w:t>OH. These findings establish conjugation‐controlled ion response as a key design principle for charge separation in saline photocatalysis and provide general guidelines for environment‐adaptive catalysts.</w:t>
      </w:r>
    </w:p>
    <w:p>
      <w:pPr>
        <w:spacing w:before="120" w:after="120"/>
      </w:pPr>
      <w:r>
        <w:rPr>
          <w:sz w:val="18"/>
        </w:rPr>
        <w:t>——————————————————————————————————————————————————————————————————————</w:t>
      </w:r>
    </w:p>
    <w:p>
      <w:pPr>
        <w:spacing w:before="160" w:after="40" w:line="240" w:lineRule="auto"/>
      </w:pPr>
      <w:r>
        <w:rPr>
          <w:b/>
        </w:rPr>
        <w:t xml:space="preserve">[12] </w:t>
      </w:r>
      <w:hyperlink r:id="rId316">
        <w:r>
          <w:rPr>
            <w:color w:val="1155CC"/>
            <w:u w:val="single"/>
          </w:rPr>
          <w:t>一种三活性位点工程化异质结光催化剂通过协同促进水氧化与硝酸盐还原实现全光谱NH3合成</w:t>
        </w:r>
      </w:hyperlink>
    </w:p>
    <w:p>
      <w:pPr>
        <w:spacing w:before="0" w:after="80"/>
      </w:pPr>
      <w:r>
        <w:rPr>
          <w:i/>
          <w:sz w:val="20"/>
        </w:rPr>
        <w:t>EN: A Triple‐Site Engineered Heterojunction Photocatalyst for Full‐Spectrum NH3 Synthesis via Synergistic Promotion of Water Oxidation and Nitrate Reduction</w:t>
      </w:r>
    </w:p>
    <w:p>
      <w:pPr>
        <w:spacing w:before="0" w:after="120"/>
      </w:pPr>
      <w:r>
        <w:rPr>
          <w:b/>
        </w:rPr>
        <w:t xml:space="preserve">Source: </w:t>
      </w:r>
      <w:r>
        <w:t>Wiley: Angewandte Chemie International Edition: Table of Contents</w:t>
      </w:r>
      <w:r>
        <w:t xml:space="preserve">    </w:t>
      </w:r>
      <w:r>
        <w:rPr>
          <w:b/>
        </w:rPr>
        <w:t xml:space="preserve">Pub date: </w:t>
      </w:r>
      <w:r>
        <w:t>2026-08-29 05:40:45+00:00</w:t>
      </w:r>
      <w:r>
        <w:t xml:space="preserve">    </w:t>
      </w:r>
      <w:r>
        <w:rPr>
          <w:b/>
        </w:rPr>
        <w:t xml:space="preserve">DOI: </w:t>
      </w:r>
      <w:hyperlink r:id="rId317">
        <w:r>
          <w:rPr>
            <w:color w:val="1155CC"/>
            <w:u w:val="single"/>
          </w:rPr>
          <w:t>10.1002/anie.9657393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硝酸盐还原反应（NitRR）是一种将硝酸盐污染物转化为有价值NH3的可持续途径。然而，最先进光催化剂的性能受限于近红外（NIR）光利用率不足以及加氢步骤和耦合水氧化反应（WOR）的缓慢动力学。本文报道了一种具有工程化三重活性位点、用于NH3生产的NIR响应S型异质结光催化剂。将窄带隙CuS与钴基金属有机框架（Co-MOF）集成形成S型异质结，增强了NIR光捕获和电荷分离。在异质界面处，Cu位点和Co位点分别驱动WOR和NitRR。桥连S位点作为动态质子继电器，从H2O中捕获质子以促进其在Cu位点上的解离，并依次将质子传递至Co位点以促进加氢步骤。Cu、S和Co位点的协同作用由此诱导界面动态质子转移机制，以平衡两个耦合反应的动力学。综上，实现了5750.06 µmol g−1 h−1的NH3产率，在600 nm和1000 nm处的表观量子产率分别为13.27%和11.63%，太阳能到化学能的转换效率为0.11%。这项工作</w:t>
      </w:r>
    </w:p>
    <w:p>
      <w:pPr>
        <w:spacing w:before="0" w:after="200" w:lineRule="auto" w:line="276"/>
      </w:pPr>
      <w:r>
        <w:rPr>
          <w:b/>
        </w:rPr>
        <w:t xml:space="preserve">Abstract (EN): </w:t>
      </w:r>
      <w:r>
        <w:t>Photocatalytic nitrate reduction reaction (NitRR) represents a sustainable approach to convert nitrate pollutants to valuable NH</w:t>
      </w:r>
      <w:r>
        <w:rPr>
          <w:vertAlign w:val="subscript"/>
        </w:rPr>
        <w:t>3</w:t>
      </w:r>
      <w:r>
        <w:t>. However, the performance of state‐of‐the‐art photocatalysts is hampered by insufficient near‐infrared (NIR) light utilization and sluggish kinetics of hydrogenation steps and coupled water‐oxygen reaction (WOR). Herein, we report a NIR‐response S‐scheme heterojunction photocatalyst with engineered triple‐active sites for NH</w:t>
      </w:r>
      <w:r>
        <w:rPr>
          <w:vertAlign w:val="subscript"/>
        </w:rPr>
        <w:t>3</w:t>
      </w:r>
      <w:r>
        <w:t>production. The integration of narrow‐bandgap CuS and Co‐based metal–organic framework (Co‐MOF) into an S‐scheme heterojunction enhances the NIR light harvesting and charge separation. At the heterointerface, the Cu and Co sites drive WOR and NitRR, respectively. Acting as a dynamic proton relay, the bridging S sites capture protons from H</w:t>
      </w:r>
      <w:r>
        <w:rPr>
          <w:vertAlign w:val="subscript"/>
        </w:rPr>
        <w:t>2</w:t>
      </w:r>
      <w:r>
        <w:t>O to facilitate its dissociation at Cu sites and sequentially transport the protons to Co sites to promote the hydrogenation steps. The synergy of Cu, S, and Co sites thereby induces an interfacial dynamic proton transfer mechanism for balancing the kinetics of the two coupled reactions. Taken together, an NH</w:t>
      </w:r>
      <w:r>
        <w:rPr>
          <w:vertAlign w:val="subscript"/>
        </w:rPr>
        <w:t>3</w:t>
      </w:r>
      <w:r>
        <w:t>production rate of 5750.06 µmol g</w:t>
      </w:r>
      <w:r>
        <w:t xml:space="preserve"> </w:t>
      </w:r>
      <w:r>
        <w:t>−1</w:t>
      </w:r>
      <w:r>
        <w:t xml:space="preserve"> </w:t>
      </w:r>
      <w:r>
        <w:t>h</w:t>
      </w:r>
      <w:r>
        <w:t xml:space="preserve"> </w:t>
      </w:r>
      <w:r>
        <w:t>−1</w:t>
      </w:r>
      <w:r>
        <w:t xml:space="preserve"> </w:t>
      </w:r>
      <w:r>
        <w:t>is achieved with an apparent quantum yield of 13.27% at 600 nm and 11.63% at 1000 nm, and a solar‐to‐chemical conversion efficiency of 0.11%. This work provides valuable perspectives into the design principles of advanced nitrate reduction photocatalysts.</w:t>
      </w:r>
    </w:p>
    <w:p>
      <w:pPr>
        <w:spacing w:before="120" w:after="120"/>
      </w:pPr>
      <w:r>
        <w:rPr>
          <w:sz w:val="18"/>
        </w:rPr>
        <w:t>——————————————————————————————————————————————————————————————————————</w:t>
      </w:r>
    </w:p>
    <w:p>
      <w:pPr>
        <w:spacing w:before="160" w:after="40" w:line="240" w:lineRule="auto"/>
      </w:pPr>
      <w:r>
        <w:rPr>
          <w:b/>
        </w:rPr>
        <w:t xml:space="preserve">[13] </w:t>
      </w:r>
      <w:hyperlink r:id="rId318">
        <w:r>
          <w:rPr>
            <w:color w:val="1155CC"/>
            <w:u w:val="single"/>
          </w:rPr>
          <w:t>揭示MOF基光催化剂中的协同催化效应</w:t>
        </w:r>
      </w:hyperlink>
    </w:p>
    <w:p>
      <w:pPr>
        <w:spacing w:before="0" w:after="80"/>
      </w:pPr>
      <w:r>
        <w:rPr>
          <w:i/>
          <w:sz w:val="20"/>
        </w:rPr>
        <w:t>EN: Unraveling the Synergistic Catalysis Effect in MOF‐Based Photocatalysts</w:t>
      </w:r>
    </w:p>
    <w:p>
      <w:pPr>
        <w:spacing w:before="0" w:after="120"/>
      </w:pPr>
      <w:r>
        <w:rPr>
          <w:b/>
        </w:rPr>
        <w:t xml:space="preserve">Source: </w:t>
      </w:r>
      <w:r>
        <w:t>Wiley: Advanced Materials: Table of Contents</w:t>
      </w:r>
      <w:r>
        <w:t xml:space="preserve">    </w:t>
      </w:r>
      <w:r>
        <w:rPr>
          <w:b/>
        </w:rPr>
        <w:t xml:space="preserve">Pub date: </w:t>
      </w:r>
      <w:r>
        <w:t>2026-08-29 16:52:46+00:00</w:t>
      </w:r>
      <w:r>
        <w:t xml:space="preserve">    </w:t>
      </w:r>
      <w:r>
        <w:rPr>
          <w:b/>
        </w:rPr>
        <w:t xml:space="preserve">DOI: </w:t>
      </w:r>
      <w:hyperlink r:id="rId319">
        <w:r>
          <w:rPr>
            <w:color w:val="1155CC"/>
            <w:u w:val="single"/>
          </w:rPr>
          <w:t>10.1002/adma.74863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有机框架因具有可定制的结构、大的比表面积、可调的活性位点和可调控的孔道微环境，已成为太阳-化学能转化的多孔晶体催化剂。然而，它们仍存在光吸收窄、电荷复合快、活性位点不足和稳定性差等局限。协同催化工程是克服这些瓶颈、提升MOF基光催化剂性能的关键策略。本综述系统总结了MOF基材料中协同催化效应的最新进展，重点关注四种核心协同模式：金属-配体协同、双金属位点协同、配体-配体协同和MOF基复合材料协同。从光吸收调控、光生电荷分离与迁移、能带结构工程和活性位点调制的角度阐明了这些协同作用的内在机制。同时，概述了其在光催化水分解、CO2选择性还原为C1和C2+产物以及有机转化中的应用，并重点阐明了协同构型与光催化性能之间的构效关系。最后，还提出了面临的挑战和未来研究方向，旨在</w:t>
      </w:r>
    </w:p>
    <w:p>
      <w:pPr>
        <w:spacing w:before="0" w:after="200" w:lineRule="auto" w:line="276"/>
      </w:pPr>
      <w:r>
        <w:rPr>
          <w:b/>
        </w:rPr>
        <w:t xml:space="preserve">Abstract (EN): </w:t>
      </w:r>
      <w:r>
        <w:t>Metal–organic frameworks (MOFs) have emerged as promising porous crystalline catalysts for solar‐to‐chemical energy conversion, owing to their customizable structures, large specific surface areas, tunable active sites, and regulatable pore microenvironments. Nevertheless, they still suffer from limitations such as narrow light absorption, rapid charge recombination, insufficient active sites, and poor stability. Synergistic catalysis engineering represents a key strategy to overcome these bottlenecks and enhance the photocatalytic performance of MOF‐based photocatalysts. This review systematically summarizes recent advances in synergistic catalytic effects within MOF‐based materials, focusing on four core synergistic modes: metal‐ligand synergy, bimetallic sites synergy, ligand‐ligand synergy, and MOF‐based composite synergy. The underlying mechanisms of these synergies are elucidated from the perspectives of light absorption regulation, photogenerated charge separation and migration, band structure engineering, and active site modulation. Meanwhile, their applications in photocatalytic water splitting, selective CO</w:t>
      </w:r>
      <w:r>
        <w:rPr>
          <w:vertAlign w:val="subscript"/>
        </w:rPr>
        <w:t>2</w:t>
      </w:r>
      <w:r>
        <w:t>reduction to C</w:t>
      </w:r>
      <w:r>
        <w:rPr>
          <w:vertAlign w:val="subscript"/>
        </w:rPr>
        <w:t>1</w:t>
      </w:r>
      <w:r>
        <w:t>and C</w:t>
      </w:r>
      <w:r>
        <w:t xml:space="preserve"> </w:t>
      </w:r>
      <w:r>
        <w:t>2+</w:t>
      </w:r>
      <w:r>
        <w:t xml:space="preserve"> </w:t>
      </w:r>
      <w:r>
        <w:t>products, and organic transformations are overviewed, with an emphasis on elucidating the structure–activity relationship between synergistic configuration and photocatalytic performance. Finally, the challenges and future research directions are also proposed, aiming to provide guidance for the rational design of high‐efficiency MOF‐based photocatalysts for solar‐to‐chemical conversion.</w:t>
      </w:r>
    </w:p>
    <w:p>
      <w:pPr>
        <w:spacing w:before="120" w:after="120"/>
      </w:pPr>
      <w:r>
        <w:rPr>
          <w:sz w:val="18"/>
        </w:rPr>
        <w:t>——————————————————————————————————————————————————————————————————————</w:t>
      </w:r>
    </w:p>
    <w:p>
      <w:pPr>
        <w:spacing w:before="160" w:after="40" w:line="240" w:lineRule="auto"/>
      </w:pPr>
      <w:r>
        <w:rPr>
          <w:b/>
        </w:rPr>
        <w:t xml:space="preserve">[14] </w:t>
      </w:r>
      <w:hyperlink r:id="rId320">
        <w:r>
          <w:rPr>
            <w:color w:val="1155CC"/>
            <w:u w:val="single"/>
          </w:rPr>
          <w:t>生态友好型AgInGaS/ZnSe核/壳量子点用于太阳能驱动产氢</w:t>
        </w:r>
      </w:hyperlink>
    </w:p>
    <w:p>
      <w:pPr>
        <w:spacing w:before="0" w:after="80"/>
      </w:pPr>
      <w:r>
        <w:rPr>
          <w:i/>
          <w:sz w:val="20"/>
        </w:rPr>
        <w:t>EN: Eco-Friendly AgInGaS/ZnSe Core/Shell Quantum Dots for Solar-Driven Hydrogen Evolution</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320">
        <w:r>
          <w:rPr>
            <w:color w:val="1155CC"/>
            <w:u w:val="single"/>
          </w:rPr>
          <w:t>10.1021/acsami.6c05866</w:t>
        </w:r>
      </w:hyperlink>
    </w:p>
    <w:p>
      <w:pPr>
        <w:spacing w:before="0" w:after="120"/>
      </w:pPr>
      <w:r>
        <w:rPr>
          <w:b/>
        </w:rPr>
        <w:t xml:space="preserve">Notes: </w:t>
      </w:r>
      <w:r>
        <w:t>abstract_source=crossref</w:t>
      </w:r>
    </w:p>
    <w:p>
      <w:pPr>
        <w:spacing w:before="0" w:after="80" w:lineRule="auto" w:line="276"/>
      </w:pPr>
      <w:r>
        <w:rPr>
          <w:b/>
        </w:rPr>
        <w:t xml:space="preserve">摘要（ZH）: </w:t>
      </w:r>
      <w:r>
        <w:t>摘要 无重金属胶体量子点 (QDs) 是光电化学 (PEC) 析氢的有前景的敏化剂，但其光响应和工作稳定性仍然有限。本文合成并评估了两种 AIGS 核组分 的 AgInGaS (AIGS)/ZnSe 核/壳 QDs，作为 PEC 析氢的敏化剂。In/Ga 比例的变化产生了组分依赖的吸收和光致发光光谱，而 ZnSe 的生长拓宽了可见光吸收响应并增加了平均 PL 衰减寿命。在相同的两循环 ZnS 后处理下，AIGS/ZnSe-QD 敏化光电阳极相比相应的 AIGS 核 QD 敏化光电阳极表现出显著更高的光电流密度和改善的光电流保持率。性能最佳的 AIGS/ZnSe #2 光电阳极在 AM 1.5G 光照下、0.9 V (相对于 RHE) 条件下达到 4.1 mA cm–2 的光电流密度，并在 2 h 内产生 63.4 μmol cm–2 的累计 H2 量，对应的法拉第效率为 70.9%。在连续光照 2 h 后，其仍保持约 50% 的初始光电流。这些结果表明，AIGS 核组分控制和 ZnSe 壳层生长可以改善无重金属 QD 敏化剂的 PEC 响应，尽管工作稳定性仍是需要进一步改进的重要目标。</w:t>
      </w:r>
    </w:p>
    <w:p>
      <w:pPr>
        <w:spacing w:before="0" w:after="200" w:lineRule="auto" w:line="276"/>
      </w:pPr>
      <w:r>
        <w:rPr>
          <w:b/>
        </w:rPr>
        <w:t xml:space="preserve">Abstract (EN): </w:t>
      </w:r>
      <w:r>
        <w:t>Heavy-metal-free colloidal quantum dots (QDs) are promising sensitizers for photoelectrochemical (PEC) H2 evolution, but their photoresponse and operational stability remain limited. Here, AgInGaS (AIGS)/ZnSe core/shell QDs with two AIGS core compositions were synthesized and evaluated as sensitizers for PEC H2 evolution. Variation of the In/Ga ratio produced composition-dependent absorption and photoluminescence spectra, while ZnSe growth broadened the visible-light absorption response and increased the average PL decay lifetimes. Under the same two-cycle ZnS post-treatment, the AIGS/ZnSe-QD-sensitized photoanodes exhibited substantially higher photocurrent densities and improved photocurrent retention than the corresponding AIGS-core-QD-sensitized photoanodes. The best-performing AIGS/ZnSe #2 photoanode reached a photocurrent density of 4.1 mA cm–2 at 0.9 V versus RHE under AM 1.5G illumination and produced a cumulative H2 amount of 63.4 μmol cm–2 over 2 h, corresponding to a Faradaic efficiency of 70.9%. It retained approximately 50% of its initial photocurrent after 2 h of continuous illumination. These results demonstrate that AIGS core-composition control and ZnSe shell growth can improve the PEC response of heavy-metal-free QD sensitizers, although operational stability remains an important target for further improvement.</w:t>
      </w:r>
    </w:p>
    <w:p>
      <w:pPr>
        <w:spacing w:before="120" w:after="120"/>
      </w:pPr>
      <w:r>
        <w:rPr>
          <w:sz w:val="18"/>
        </w:rPr>
        <w:t>——————————————————————————————————————————————————————————————————————</w:t>
      </w:r>
    </w:p>
    <w:p>
      <w:pPr>
        <w:spacing w:before="160" w:after="40" w:line="240" w:lineRule="auto"/>
      </w:pPr>
      <w:r>
        <w:rPr>
          <w:b/>
        </w:rPr>
        <w:t xml:space="preserve">[15] </w:t>
      </w:r>
      <w:hyperlink r:id="rId321">
        <w:r>
          <w:rPr>
            <w:color w:val="1155CC"/>
            <w:u w:val="single"/>
          </w:rPr>
          <w:t>借助模板外延生长在Al2O3上强增强Y掺杂BaZrO3薄膜的氢离子电导率</w:t>
        </w:r>
      </w:hyperlink>
    </w:p>
    <w:p>
      <w:pPr>
        <w:spacing w:before="0" w:after="80"/>
      </w:pPr>
      <w:r>
        <w:rPr>
          <w:i/>
          <w:sz w:val="20"/>
        </w:rPr>
        <w:t>EN: Strong Enhancement of Hydrogen Ion Conductivity in Y-Doped BaZrO3 Films on Al2O3 with the Assistance of Templated Epitaxy</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321">
        <w:r>
          <w:rPr>
            <w:color w:val="1155CC"/>
            <w:u w:val="single"/>
          </w:rPr>
          <w:t>10.1021/acsami.6c11152</w:t>
        </w:r>
      </w:hyperlink>
    </w:p>
    <w:p>
      <w:pPr>
        <w:spacing w:before="0" w:after="120"/>
      </w:pPr>
      <w:r>
        <w:rPr>
          <w:b/>
        </w:rPr>
        <w:t xml:space="preserve">Notes: </w:t>
      </w:r>
      <w:r>
        <w:t>abstract_source=crossref</w:t>
      </w:r>
    </w:p>
    <w:p>
      <w:pPr>
        <w:spacing w:before="0" w:after="80" w:lineRule="auto" w:line="276"/>
      </w:pPr>
      <w:r>
        <w:rPr>
          <w:b/>
        </w:rPr>
        <w:t xml:space="preserve">摘要（ZH）: </w:t>
      </w:r>
      <w:r>
        <w:t>摘要 氢离子导体是固态离子学的关键组成部分，应用包括人工智能器件、传感器、催化剂和燃料电池。在固态氢离子导体中，人们的关注点集中于BaZr1–xYxO3（BZYO，通常x = 0.2），但高电导率仅在沉积于不实用的立方基板上的无晶界BZYO外延薄膜中观察到。本文中，借助模板外延，当我们在工业实用的(0001)Al2O3上以MgO模板层生长BZYO薄膜时，其氢离子电导率显著提升了一个数量级。X射线衍射和透射电子显微镜表明，外延驱动的优异BZYO薄膜结晶质量可抑制阻挡氢离子的晶界，使氢离子得以顺畅移动。在Al2O3上BZYO外延薄膜中快速氢离子传导的发现，将引起基于结构–性能关系设计无机氢离子导体的极大关注，并促进氢经济的经济效益。</w:t>
      </w:r>
    </w:p>
    <w:p>
      <w:pPr>
        <w:spacing w:before="0" w:after="200" w:lineRule="auto" w:line="276"/>
      </w:pPr>
      <w:r>
        <w:rPr>
          <w:b/>
        </w:rPr>
        <w:t xml:space="preserve">Abstract (EN): </w:t>
      </w:r>
      <w:r>
        <w:t>Hydrogen ion conductors are a key component of solid-state ionics, including artificial intelligence devices, sensors, catalysts, and fuel cells. The interest has been focused on BaZr1–xYxO3 (BZYO, typically x = 0.2) among solid-state hydrogen ion conductors, but high conductivity is only observed in the grain-boundary-free BZYO epitaxial films deposited on impractical cubic substrates. Here, by virtue of a templated epitaxy, we significantly enhance hydrogen ion conductivity of BZYO films by one order of magnitude when we grow the films on industrially practical (0001)Al2O3 with the MgO template layer. X-ray diffraction and transmission electron microscopy reveal that the epitaxy-driven excellent crystallinity of BZYO films allows the suppression of hydrogen-blocking grain boundaries, enabling the facile movement of hydrogen ions. The discovery of fast hydrogen ion conduction in BZYO epitaxial films on Al2O3 will attract great attention for designing inorganic hydrogen ion conductors based on the structure–property relationship and promote economic benefits in hydrogen economy.</w:t>
      </w:r>
    </w:p>
    <w:p>
      <w:pPr>
        <w:spacing w:before="120" w:after="120"/>
      </w:pPr>
      <w:r>
        <w:rPr>
          <w:sz w:val="18"/>
        </w:rPr>
        <w:t>——————————————————————————————————————————————————————————————————————</w:t>
      </w:r>
    </w:p>
    <w:p>
      <w:pPr>
        <w:spacing w:before="160" w:after="40" w:line="240" w:lineRule="auto"/>
      </w:pPr>
      <w:r>
        <w:rPr>
          <w:b/>
        </w:rPr>
        <w:t xml:space="preserve">[16] </w:t>
      </w:r>
      <w:hyperlink r:id="rId322">
        <w:r>
          <w:rPr>
            <w:color w:val="1155CC"/>
            <w:u w:val="single"/>
          </w:rPr>
          <w:t>MXene耦合硫化策略构建MnCo2O4/MnCo2S4异质结以增强全解水性能</w:t>
        </w:r>
      </w:hyperlink>
    </w:p>
    <w:p>
      <w:pPr>
        <w:spacing w:before="0" w:after="80"/>
      </w:pPr>
      <w:r>
        <w:rPr>
          <w:i/>
          <w:sz w:val="20"/>
        </w:rPr>
        <w:t>EN: MXene-Coupled Sulfurization Strategy for MnCo2O4/MnCo2S4 Heterojunctions for Enhanced Overall Water Splitting</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322">
        <w:r>
          <w:rPr>
            <w:color w:val="1155CC"/>
            <w:u w:val="single"/>
          </w:rPr>
          <w:t>10.1021/acsami.6c11395</w:t>
        </w:r>
      </w:hyperlink>
    </w:p>
    <w:p>
      <w:pPr>
        <w:spacing w:before="0" w:after="120"/>
      </w:pPr>
      <w:r>
        <w:rPr>
          <w:b/>
        </w:rPr>
        <w:t xml:space="preserve">Notes: </w:t>
      </w:r>
      <w:r>
        <w:t>abstract_source=crossref</w:t>
      </w:r>
    </w:p>
    <w:p>
      <w:pPr>
        <w:spacing w:before="0" w:after="80" w:lineRule="auto" w:line="276"/>
      </w:pPr>
      <w:r>
        <w:rPr>
          <w:b/>
        </w:rPr>
        <w:t xml:space="preserve">摘要（ZH）: </w:t>
      </w:r>
      <w:r>
        <w:t>摘要 开发低成本、耐用且具有工程化异质界面的电催化剂以加速反应动力学,仍然是推进高效电解水的一条关键而富有挑战性的路径。在本研究中,我们提出了一种简便的两步水热策略,用于制备与MXene纳米片集成的MnCo2O4/MnCo2S4纳米阵列。综合实验表征表明,MXene的引入显著增强了该复合结构的电子电导率和界面电荷转移能力,从而促进水解离动力学并提升本征电催化活性。得益于MnCo2O4、MnCo2S4与MXene之间的协同耦合,优化后的MnCo2O4/MnCo2S4@MXene在1.0 M KOH中表现出优异的双功能电催化性能。该催化剂在HER和OER中分别仅需155.2 mV和216.6 mV的超低过电位即可达到10 mA cm–2。值得注意的是,OER过程达到50 mA cm–2仅需288.4 mV的过电位。当MnCo2O4/MnCo2S4@MXene异质结构作为阴极和阳极构建无贵金属的全解水体系时,所组装的电解槽在10 mA cm–2下仅需1.56 V的低槽压,与基准RuO2//Pt/C器件(1.53 V)相当。此外,该电解槽在100 h连续电解中表现出优异的运行耐久性。DFT结果表明,电荷从MCO/MCS向MXene转移调控了异质结构的电子结构</w:t>
      </w:r>
    </w:p>
    <w:p>
      <w:pPr>
        <w:spacing w:before="0" w:after="200" w:lineRule="auto" w:line="276"/>
      </w:pPr>
      <w:r>
        <w:rPr>
          <w:b/>
        </w:rPr>
        <w:t xml:space="preserve">Abstract (EN): </w:t>
      </w:r>
      <w:r>
        <w:t>Developing low-cost and durable electrocatalysts with engineered heterogeneous interfaces to accelerate reaction kinetics remains a critical yet challenging path for advancing efficient water electrolysis. In this study, we present a facile two-step hydrothermal strategy for the fabrication of MnCo2O4/MnCo2S4 nanoarrays integrated with MXene nanosheets. Comprehensive experimental characterizations reveal that the incorporation of MXene significantly enhances the electronic conductivity and interfacial charge-transfer capability of the hybrid architecture, thereby facilitating water dissociation kinetics and boosting intrinsic electrocatalytic activity. Benefiting from the synergistic coupling among MnCo2O4, MnCo2S4, and MXene, the optimized MnCo2O4/MnCo2S4@MXene exhibits outstanding bifunctional electrocatalytic performance in 1.0 M KOH. The catalyst requires ultralow overpotentials of only 155.2 mV for HER and 216.6 mV for OER to achieve 10 mA cm–2. Remarkably, an overpotential of 288.4 mV is needed to deliver 50 mA cm–2 for the OER process. When the MnCo2O4/MnCo2S4@MXene heterostructure is employed as the cathode and anode as a noble metal-free overall water-splitting system, the assembled electrolyzer delivers a low cell voltage of 1.56 V at 10 mA cm–2, closely comparable to that of the benchmark RuO2//Pt/C device (1.53 V). In addition, the electrolyzer demonstrates excellent operational durability over 100 h of continuous electrolysis. The DFT results demonstrate that charge transfer from MCO/MCS to MXene modulates the electronic structure of the heterostructure, leading to enhanced electronic conductivity and accelerated charge-transport kinetics. These findings highlight the significant potential of interfacial MXene-engineered spinel/sulfide heterostructures as efficient and economically viable electrocatalysts for sustainable hydrogen production.</w:t>
      </w:r>
    </w:p>
    <w:p>
      <w:pPr>
        <w:spacing w:before="120" w:after="120"/>
      </w:pPr>
      <w:r>
        <w:rPr>
          <w:sz w:val="18"/>
        </w:rPr>
        <w:t>——————————————————————————————————————————————————————————————————————</w:t>
      </w:r>
    </w:p>
    <w:p>
      <w:pPr>
        <w:spacing w:before="160" w:after="40" w:line="240" w:lineRule="auto"/>
      </w:pPr>
      <w:r>
        <w:rPr>
          <w:b/>
        </w:rPr>
        <w:t xml:space="preserve">[17] </w:t>
      </w:r>
      <w:hyperlink r:id="rId323">
        <w:r>
          <w:rPr>
            <w:color w:val="1155CC"/>
            <w:u w:val="single"/>
          </w:rPr>
          <w:t>三蝶烯支化聚(靛红-联亚苯)电解质用于双极膜水电解器</w:t>
        </w:r>
      </w:hyperlink>
    </w:p>
    <w:p>
      <w:pPr>
        <w:spacing w:before="0" w:after="80"/>
      </w:pPr>
      <w:r>
        <w:rPr>
          <w:i/>
          <w:sz w:val="20"/>
        </w:rPr>
        <w:t>EN: Triptycene Branched Poly(Isatin-Biphenylene) Electrolytes for Bipolar Membrane Water Electrolyzers</w:t>
      </w:r>
    </w:p>
    <w:p>
      <w:pPr>
        <w:spacing w:before="0" w:after="120"/>
      </w:pPr>
      <w:r>
        <w:rPr>
          <w:b/>
        </w:rPr>
        <w:t xml:space="preserve">Source: </w:t>
      </w:r>
      <w:r>
        <w:t>ACS Energy Letters</w:t>
      </w:r>
      <w:r>
        <w:t xml:space="preserve">    </w:t>
      </w:r>
      <w:r>
        <w:rPr>
          <w:b/>
        </w:rPr>
        <w:t xml:space="preserve">Pub date: </w:t>
      </w:r>
      <w:r>
        <w:t>2026-08-31 00:00:00+00:00</w:t>
      </w:r>
      <w:r>
        <w:t xml:space="preserve">    </w:t>
      </w:r>
      <w:r>
        <w:rPr>
          <w:b/>
        </w:rPr>
        <w:t xml:space="preserve">DOI: </w:t>
      </w:r>
      <w:hyperlink r:id="rId323">
        <w:r>
          <w:rPr>
            <w:color w:val="1155CC"/>
            <w:u w:val="single"/>
          </w:rPr>
          <w:t>10.1021/acsenergylett.6c01498</w:t>
        </w:r>
      </w:hyperlink>
    </w:p>
    <w:p>
      <w:pPr>
        <w:spacing w:before="0" w:after="120"/>
      </w:pPr>
      <w:r>
        <w:rPr>
          <w:b/>
        </w:rPr>
        <w:t xml:space="preserve">Notes: </w:t>
      </w:r>
      <w:r>
        <w:t>abstract_source=crossref</w:t>
      </w:r>
    </w:p>
    <w:p>
      <w:pPr>
        <w:spacing w:before="0" w:after="80" w:lineRule="auto" w:line="276"/>
      </w:pPr>
      <w:r>
        <w:rPr>
          <w:b/>
        </w:rPr>
        <w:t xml:space="preserve">摘要（ZH）: </w:t>
      </w:r>
      <w:r>
        <w:t>摘要 双极膜水电解的性能取决于两层离子交换层的性质及其界面相容性。本文基于相同的聚(联苯-靛红)骨架合成了线性阴离子和阳离子交换离聚物(PIB-QA和PIB-BS),并通过超声喷涂制备了具有纳米SnO2催化中间层的线性双极膜。引入刚性三蝶烯结构单元以制备支化离聚物(PIB-QA-5%和PIB-BS-5%)及相应的双极膜。支化结构增加了自由体积分数和离子传输通道的连通性,同时提供高吸水率、低溶胀和尺寸稳定性,促进水解离和界面稳定性。在60 °C下,PIB-Trip5%在纯水电解中于2.00 V下达到0.7 A cm−2,于1.0 A cm−2下为2.29 V,并在非对称酸碱电解槽中于2.00 V下达到1.5 A cm−2。该电解槽在0.5 A cm−2下运行200 h,电压衰减率为0.87 mV h−1。</w:t>
      </w:r>
    </w:p>
    <w:p>
      <w:pPr>
        <w:spacing w:before="0" w:after="200" w:lineRule="auto" w:line="276"/>
      </w:pPr>
      <w:r>
        <w:rPr>
          <w:b/>
        </w:rPr>
        <w:t xml:space="preserve">Abstract (EN): </w:t>
      </w:r>
      <w:r>
        <w:t>Bipolar membrane water electrolysis (BPMWE) performance depends on the properties of two ion exchange layers and their interfacial compatibility. Herein, linear anion and cation exchange ionomers (PIB-QA and PIB-BS) are synthesized based on the same poly(biphenyl-isatin) backbone, and a linear BPM (PIB-L) with a nano-SnO2 catalytic interlayer is prepared via ultrasonic spray coating. A rigid triptycene moiety is introduced to prepare branched ionomers (PIB-QA-5% and PIB-BS-5%) and the corresponding BPM (PIB-Trip5%). The branching structure increases fractional free volume and ion-transport channel connectivity while providing high water uptake, low swelling, and dimensional stability, facilitating water dissociation, and interfacial stability. At 60 °C, PIB-Trip5% achieves 0.7 A cm−2 at 2.00 V and 2.29 V at 1.0 A cm−2 in pure-water electrolysis, and 1.5 A cm−2 at 2.00 V in an asymmetric acid-base electrolyzer. The electrolyzer operates at 0.5 A cm−2 for 200 h with a voltage decay rate of 0.87 mV h−1.</w:t>
      </w:r>
    </w:p>
    <w:p>
      <w:pPr>
        <w:spacing w:before="120" w:after="120"/>
      </w:pPr>
      <w:r>
        <w:rPr>
          <w:sz w:val="18"/>
        </w:rPr>
        <w:t>——————————————————————————————————————————————————————————————————————</w:t>
      </w:r>
    </w:p>
    <w:p>
      <w:pPr>
        <w:spacing w:before="160" w:after="40" w:line="240" w:lineRule="auto"/>
      </w:pPr>
      <w:r>
        <w:rPr>
          <w:b/>
        </w:rPr>
        <w:t xml:space="preserve">[18] </w:t>
      </w:r>
      <w:hyperlink r:id="rId324">
        <w:r>
          <w:rPr>
            <w:color w:val="1155CC"/>
            <w:u w:val="single"/>
          </w:rPr>
          <w:t>风-氢系统中多堆集成碱性电解槽的区域驱动两层精细化调度</w:t>
        </w:r>
      </w:hyperlink>
    </w:p>
    <w:p>
      <w:pPr>
        <w:spacing w:before="0" w:after="80"/>
      </w:pPr>
      <w:r>
        <w:rPr>
          <w:i/>
          <w:sz w:val="20"/>
        </w:rPr>
        <w:t>EN: Region-Driven Two-Layer Refined Scheduling for Multi-Stack-Integrated Alkaline Electrolyzer in Wind-Hydrogen System</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325">
        <w:r>
          <w:rPr>
            <w:color w:val="1155CC"/>
            <w:u w:val="single"/>
          </w:rPr>
          <w:t>10.1109/tsg.2026.3668984</w:t>
        </w:r>
      </w:hyperlink>
    </w:p>
    <w:p>
      <w:pPr>
        <w:spacing w:before="0" w:after="120"/>
      </w:pPr>
      <w:r>
        <w:rPr>
          <w:b/>
        </w:rPr>
        <w:t xml:space="preserve">Notes: </w:t>
      </w:r>
      <w:r>
        <w:t>abstract_source=semanticscholar</w:t>
      </w:r>
    </w:p>
    <w:p>
      <w:pPr>
        <w:spacing w:before="0" w:after="80" w:lineRule="auto" w:line="276"/>
      </w:pPr>
      <w:r>
        <w:rPr>
          <w:b/>
        </w:rPr>
        <w:t xml:space="preserve">摘要（ZH）: </w:t>
      </w:r>
      <w:r>
        <w:t>为了缓解可再生能源间歇性对电力系统稳定性的影响，通过电转氢（P2H）实现就地消纳成为一种有前景的解决方案。作为最成熟的P2H技术，共享辅助系统（BOP）的多堆集成碱性水电解（MSI-AWE）系统兼具高灵活性和成本优势。然而，消纳高度波动的风电需要以分钟级间隔对MSI-AWE系统进行调度，给实时能量管理带来巨大的计算负担。为此，本文首先引入运行域的概念，以高效表征MSI-AWE系统的时变功率边界，并提出一种基于剪枝的算法加速区域计算。其次，提出了一种基于分钟级模型预测控制（MPC）的风-氢运行框架，将精细化调度问题解耦为嵌入运行域的上层功率分配和下层电解液/冷却流量调节。案例研究表明，与传统单层方法相比，该两层框架将风电全额消纳时长延长了8.7%，状态调节精度提高了4.6%，平均计算时间减少了50.2%，验证了其在提升可再生能源消纳和促进智能电网并网方面的有效性。</w:t>
      </w:r>
    </w:p>
    <w:p>
      <w:pPr>
        <w:spacing w:before="0" w:after="200" w:lineRule="auto" w:line="276"/>
      </w:pPr>
      <w:r>
        <w:rPr>
          <w:b/>
        </w:rPr>
        <w:t xml:space="preserve">Abstract (EN): </w:t>
      </w:r>
      <w:r>
        <w:t>To mitigate the stability impacts of renewable intermittency on power systems, on-site accommodation via Power-to-Hydrogen (P2H) stands out as a promising solution. As the most mature P2H technology, balance-of-plant (BOP)-shared multi-stack integrated alkaline water electrolyzer (MSI-AWE) systems offer both high flexibility and cost advantages. However, accommodating highly fluctuating wind power requires scheduling MSI-AWE system at minute-level intervals, posing significant computational burdens for real-time energy management. To address this, this paper first introduces the concept of operational regions to efficiently characterize the time-varying power boundaries of MSI-AWE systems, along with a pruning-based algorithm to accelerate region computation. Further, a minute-level model predictive control (MPC)-based wind-hydrogen operational framework is proposed, which decouples the refined scheduling problem into region-embedded upper-layer power allocation and lower-layer electrolyte/cooling flow regulation. Case studies demonstrate that the two-layer framework extends full wind power utilization duration by 8.7%, improves state regulation accuracy by 4.6%, and reduces average computation time by 50.2% compared to traditional single-layer approaches, validating its effectiveness in enhancing renewable energy accommodation and facilitating smart grid integration.</w:t>
      </w:r>
    </w:p>
    <w:p>
      <w:pPr>
        <w:spacing w:before="120" w:after="120"/>
      </w:pPr>
      <w:r>
        <w:rPr>
          <w:sz w:val="18"/>
        </w:rPr>
        <w:t>——————————————————————————————————————————————————————————————————————</w:t>
      </w:r>
    </w:p>
    <w:p>
      <w:pPr>
        <w:spacing w:before="160" w:after="40" w:line="240" w:lineRule="auto"/>
      </w:pPr>
      <w:r>
        <w:rPr>
          <w:b/>
        </w:rPr>
        <w:t xml:space="preserve">[19] </w:t>
      </w:r>
      <w:hyperlink r:id="rId326">
        <w:r>
          <w:rPr>
            <w:color w:val="1155CC"/>
            <w:u w:val="single"/>
          </w:rPr>
          <w:t>考虑秒级响应特性的ALK-PEM电解槽制氢系统最优功率分配策略</w:t>
        </w:r>
      </w:hyperlink>
    </w:p>
    <w:p>
      <w:pPr>
        <w:spacing w:before="0" w:after="80"/>
      </w:pPr>
      <w:r>
        <w:rPr>
          <w:i/>
          <w:sz w:val="20"/>
        </w:rPr>
        <w:t>EN: Optimal Power Allocation Strategy for Hydrogen Production System of ALK-PEM Electrolyzer Considering Second-Level Response Characteristics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327">
        <w:r>
          <w:rPr>
            <w:color w:val="1155CC"/>
            <w:u w:val="single"/>
          </w:rPr>
          <w:t>10.1109/tsg.2026.3676791</w:t>
        </w:r>
      </w:hyperlink>
    </w:p>
    <w:p>
      <w:pPr>
        <w:spacing w:before="0" w:after="120"/>
      </w:pPr>
      <w:r>
        <w:rPr>
          <w:b/>
        </w:rPr>
        <w:t xml:space="preserve">Notes: </w:t>
      </w:r>
      <w:r>
        <w:t>abstract_source=semanticscholar</w:t>
      </w:r>
    </w:p>
    <w:p>
      <w:pPr>
        <w:spacing w:before="0" w:after="80" w:lineRule="auto" w:line="276"/>
      </w:pPr>
      <w:r>
        <w:rPr>
          <w:b/>
        </w:rPr>
        <w:t xml:space="preserve">摘要（ZH）: </w:t>
      </w:r>
      <w:r>
        <w:t>大多数电解槽调度模型在分钟至小时级分辨率下运行，因而忽略了跟踪快速可再生能源波动所需的秒级动态特性，导致离网风电制氢系统产生可避免的弃风和收益损失。本文提出了一种由碱性（ALK）和质子交换膜（PEM）电解槽组成的混合电解槽系统的最优功率分配框架。ALK提供低成本、大容量的基线产能但响应缓慢，而PEM具备秒级敏捷性，可吸收高频功率波动。设计了双阶段策略，在显式的启停、爬坡速率和容量约束下，将面向效率的功率分配与精细的功率动态调节相耦合。此外，引入双层阵列轮换机制，以平衡各电解槽之间的运行应力，防止特定机组过度使用。基于中国东北某实际项目实测数据的案例研究表明，与传统功率分配方法相比，所提方法使氢气产量提高3.3%-5.6%，弃风减少70.6%-94.7%，氢气收益提升21.9%-32.0%，增强了可再生能源的利用率和盈利能力。</w:t>
      </w:r>
    </w:p>
    <w:p>
      <w:pPr>
        <w:spacing w:before="0" w:after="200" w:lineRule="auto" w:line="276"/>
      </w:pPr>
      <w:r>
        <w:rPr>
          <w:b/>
        </w:rPr>
        <w:t xml:space="preserve">Abstract (EN): </w:t>
      </w:r>
      <w:r>
        <w:t>Most electrolyzer scheduling models operate at minute-to-hour resolutions and thus overlook the second-level dynamics required to track fast renewable fluctuations, leading to avoidable wind curtailment and revenue loss for off-grid wind-to-hydrogen systems. This paper proposes an optimal power allocation framework for a hybrid electrolyzer system composed of alkaline (ALK) and proton exchange membrane (PEM). ALK provides low-cost, large-capacity baseline production but responds slowly, whereas PEM delivers second-level agility to absorb high-frequency power variations. A two-stage strategy is designed to couple efficiency-oriented power allocation with refined power dynamic regulation under explicit start/stop, ramp-rate, and capacity constraints. Moreover, a dual-layer array-rotation mechanism is incorporated to balance operating stress across stacks and prevent unit-specific overuse. Case studies using measured data from a practical project in Northeast China show that, compared with traditional power allocation methods, the proposed method increases hydrogen production by 3.3%-5.6%, reduces wind curtailment by 70.6%-94.7%, and improves hydrogen revenue by 21.9%-32.0%, enhancing renewable utilization and profitability.</w:t>
      </w:r>
    </w:p>
    <w:p>
      <w:pPr>
        <w:spacing w:before="120" w:after="120"/>
      </w:pPr>
      <w:r>
        <w:rPr>
          <w:sz w:val="18"/>
        </w:rPr>
        <w:t>——————————————————————————————————————————————————————————————————————</w:t>
      </w:r>
    </w:p>
    <w:p>
      <w:pPr>
        <w:spacing w:before="160" w:after="40" w:line="240" w:lineRule="auto"/>
      </w:pPr>
      <w:r>
        <w:rPr>
          <w:b/>
        </w:rPr>
        <w:t xml:space="preserve">[20] </w:t>
      </w:r>
      <w:hyperlink r:id="rId328">
        <w:r>
          <w:rPr>
            <w:color w:val="1155CC"/>
            <w:u w:val="single"/>
          </w:rPr>
          <w:t>多能源配电系统中电转气的规划框架</w:t>
        </w:r>
      </w:hyperlink>
    </w:p>
    <w:p>
      <w:pPr>
        <w:spacing w:before="0" w:after="80"/>
      </w:pPr>
      <w:r>
        <w:rPr>
          <w:i/>
          <w:sz w:val="20"/>
        </w:rPr>
        <w:t>EN: A Planning Framework for Power-to-Gas in Multi-Energy Distribution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329">
        <w:r>
          <w:rPr>
            <w:color w:val="1155CC"/>
            <w:u w:val="single"/>
          </w:rPr>
          <w:t>10.1109/tpwrs.2026.3675148</w:t>
        </w:r>
      </w:hyperlink>
    </w:p>
    <w:p>
      <w:pPr>
        <w:spacing w:before="0" w:after="120"/>
      </w:pPr>
      <w:r>
        <w:rPr>
          <w:b/>
        </w:rPr>
        <w:t xml:space="preserve">Notes: </w:t>
      </w:r>
      <w:r>
        <w:t>abstract_source=semanticscholar</w:t>
      </w:r>
    </w:p>
    <w:p>
      <w:pPr>
        <w:spacing w:before="0" w:after="80" w:lineRule="auto" w:line="276"/>
      </w:pPr>
      <w:r>
        <w:rPr>
          <w:b/>
        </w:rPr>
        <w:t xml:space="preserve">摘要（ZH）: </w:t>
      </w:r>
      <w:r>
        <w:t>电转气（P2G）系统可在多能源系统（MES）中提供超越传统角色的多方面服务。若进行战略性部署，P2G系统可缓解电网阻塞、通过利用废热推进供热转型，并优化现有燃气网络的利用。本研究提出了一个P2G设施的联合运行与规划模型，包括配电、配气和配热系统的扩展。该模型被表述为混合整数二阶锥规划（MISOCP）。模型纳入了电解槽的可变效率以及电解槽废热提取系统（EHES）的详细表征，以解决热需求与供给之间在空间、时间和温度上的不匹配。该模型在一个22节点电气互联测试网络和荷兰一个95节点实际电气网络上进行了演示。结果揭示了缓解电网阻塞、防止燃气网阻塞和最大化废热销售之间的权衡。最优分布式部署的P2G减轻了配电网的阻塞，但引发了配气网的阻塞。未来的研究应侧重于管理具有分布式P2G的有源配气网（AGDN），并在MES中部署P2G的收益与挑战之间找到平衡。</w:t>
      </w:r>
    </w:p>
    <w:p>
      <w:pPr>
        <w:spacing w:before="0" w:after="200" w:lineRule="auto" w:line="276"/>
      </w:pPr>
      <w:r>
        <w:rPr>
          <w:b/>
        </w:rPr>
        <w:t xml:space="preserve">Abstract (EN): </w:t>
      </w:r>
      <w:r>
        <w:t>Power-to-gas (P2G) systems can provide multifaceted services within Multi-Energy Systems (MES) beyond traditional roles. When strategically deployed, P2G systems can mitigate congestion in the electricity grid, advance the heat transition through the utilization of their waste heat, and optimize the usage of existing gas grids. This research introduces a joint operations and planning model for P2G facilities, including the expansion of electricity, gas, and heat distribution systems. The model is formulated as a mixed integer second order cone program (MISOCP). It incorporates the variable efficiency of electrolyzers and a detailed representation of the electrolyzer waste heat extraction system (EHES), addressing spatial, temporal, and temperature mismatches between heat demand and supply. The model is demonstrated on a 22-node interconnected electricity–gas test network and a 95-node real-world electricity–gas network in the Netherlands. Results reveal tradeoffs in alleviating congestion in the electricity grid, preventing congestion in the gas grid, and maximizing waste heat sales. Optimally distributed P2G reduced congestion in the electricity distribution grid, but induced congestion in the gas distribution grid. Future research should focus on managing such Active Gas Distribution Networks (AGDNs) with distributed P2G and finding a balance between the benefits and challenges of P2G deployment in MES.</w:t>
      </w:r>
    </w:p>
    <w:p>
      <w:pPr>
        <w:spacing w:before="120" w:after="120"/>
      </w:pPr>
      <w:r>
        <w:rPr>
          <w:sz w:val="18"/>
        </w:rPr>
        <w:t>——————————————————————————————————————————————————————————————————————</w:t>
      </w:r>
    </w:p>
    <w:p>
      <w:pPr>
        <w:spacing w:before="160" w:after="40" w:line="240" w:lineRule="auto"/>
      </w:pPr>
      <w:r>
        <w:rPr>
          <w:b/>
        </w:rPr>
        <w:t xml:space="preserve">[21] </w:t>
      </w:r>
      <w:hyperlink r:id="rId330">
        <w:r>
          <w:rPr>
            <w:color w:val="1155CC"/>
            <w:u w:val="single"/>
          </w:rPr>
          <w:t>铝板中单原子合金与有序铟团簇的协同催化增强制氢</w:t>
        </w:r>
      </w:hyperlink>
    </w:p>
    <w:p>
      <w:pPr>
        <w:spacing w:before="0" w:after="80"/>
      </w:pPr>
      <w:r>
        <w:rPr>
          <w:i/>
          <w:sz w:val="20"/>
        </w:rPr>
        <w:t>EN: Synergistic Catalysis of Single‐Atom Alloys and Ordered Indium Clusters in Aluminum Sheet for Enhanced Hydrogen Production</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331">
        <w:r>
          <w:rPr>
            <w:color w:val="1155CC"/>
            <w:u w:val="single"/>
          </w:rPr>
          <w:t>10.1002/adma.74867</w:t>
        </w:r>
      </w:hyperlink>
    </w:p>
    <w:p>
      <w:pPr>
        <w:spacing w:before="0" w:after="120"/>
      </w:pPr>
      <w:r>
        <w:rPr>
          <w:b/>
        </w:rPr>
        <w:t xml:space="preserve">Notes: </w:t>
      </w:r>
      <w:r>
        <w:t>abstract_source=crossref</w:t>
      </w:r>
    </w:p>
    <w:p>
      <w:pPr>
        <w:spacing w:before="0" w:after="80" w:lineRule="auto" w:line="276"/>
      </w:pPr>
      <w:r>
        <w:rPr>
          <w:b/>
        </w:rPr>
        <w:t xml:space="preserve">摘要（ZH）: </w:t>
      </w:r>
      <w:r>
        <w:t>摘要 铝（Al）在纯水中的水解由于Al的高能量密度和工艺操作简单而被视为按需供氢的极具前景的策略。然而，其精确的反应机理仍不清楚。本文报道了一种高效熔炼方法制备AlGaIn合金片，并阐明了水解过程的原子尺度反应路径。球差校正电子显微镜、X射线吸收精细结构和原位扫描电子显微镜表明，AlGaIn合金片呈现具有丰富晶界的典型层状结构，由均匀的反应性表面AlGa膜、AlGa1单原子合金和高度有序的In原子团簇组成。优化的AlGaIn合金片在室温下直接浸入纯水中无需预先粉碎即可表现出优异的水解性能。近常压X射线光电子能谱和密度泛函理论（DFT）计算证实，水解反应在反应性AlGa膜的活性位点上引发，并被AlGa1单原子合金和高度有序In原子团簇的协同催化效应进一步加速。特别是，In团簇主要促进水分解，而AlGa1单原子合金负责增强*H复合和Al溢流。</w:t>
      </w:r>
    </w:p>
    <w:p>
      <w:pPr>
        <w:spacing w:before="0" w:after="200" w:lineRule="auto" w:line="276"/>
      </w:pPr>
      <w:r>
        <w:rPr>
          <w:b/>
        </w:rPr>
        <w:t xml:space="preserve">Abstract (EN): </w:t>
      </w:r>
      <w:r>
        <w:t>The hydrolysis of aluminum (Al) in pure water is regarded as a greatly promising strategy for on‐demand hydrogen supply due to the high energy density of Al and the operational simplicity of the process. However, its precise reaction mechanism remains poorly understood. Here, we report an efficient smelting method to fabricate AlGaIn alloy sheet and elucidate the atomic‐scale reaction pathways of the hydrolysis process. Spherical aberration correction electron microscopy, X‐ray absorption fine structure, and in situ scanning electron microscopy reveal that AlGaIn alloy sheet shows a typical layered structure with rich grain boundaries and is composed of a uniform reactive surface AlGa film, AlGa 1 single‐atom alloys, and highly ordered In atom clusters. An optimized AlGaIn alloy sheet demonstrates excellent hydrolysis performance at room temperature when directly immersed in pure water without prior pulverization. Ambient‐pressure x‐ray photoelectron spectroscopy and density functional theory (DFT) calculations confirm that the hydrolysis reaction is initiated at the active sites on the reactive AlGa film and is further accelerated by a cooperative catalytic effect of AlGa 1 single‐atom alloys and highly ordered In atom clusters. In particular, In clusters mainly facilitate water dissociation, while AlGa 1 single‐atom alloys are responsible for enhancing *H combination and Al spillover.</w:t>
      </w:r>
    </w:p>
    <w:p>
      <w:pPr>
        <w:spacing w:before="120" w:after="120"/>
      </w:pPr>
      <w:r>
        <w:rPr>
          <w:sz w:val="18"/>
        </w:rPr>
        <w:t>——————————————————————————————————————————————————————————————————————</w:t>
      </w:r>
    </w:p>
    <w:p>
      <w:pPr>
        <w:spacing w:before="160" w:after="40" w:line="240" w:lineRule="auto"/>
      </w:pPr>
      <w:r>
        <w:rPr>
          <w:b/>
        </w:rPr>
        <w:t xml:space="preserve">[22] </w:t>
      </w:r>
      <w:hyperlink r:id="rId332">
        <w:r>
          <w:rPr>
            <w:color w:val="1155CC"/>
            <w:u w:val="single"/>
          </w:rPr>
          <w:t>近临界超薄聚乙烯膜电极中厚度门控的水与电子传输</w:t>
        </w:r>
      </w:hyperlink>
    </w:p>
    <w:p>
      <w:pPr>
        <w:spacing w:before="0" w:after="80"/>
      </w:pPr>
      <w:r>
        <w:rPr>
          <w:i/>
          <w:sz w:val="20"/>
        </w:rPr>
        <w:t>EN: Thickness‐Gated Water and Electron Transport in Near‐Critical Ultrathin Polyethylene Membrane Electrodes</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333">
        <w:r>
          <w:rPr>
            <w:color w:val="1155CC"/>
            <w:u w:val="single"/>
          </w:rPr>
          <w:t>10.1002/adma.74297</w:t>
        </w:r>
      </w:hyperlink>
    </w:p>
    <w:p>
      <w:pPr>
        <w:spacing w:before="0" w:after="120"/>
      </w:pPr>
      <w:r>
        <w:rPr>
          <w:b/>
        </w:rPr>
        <w:t xml:space="preserve">Notes: </w:t>
      </w:r>
      <w:r>
        <w:t>abstract_source=crossref</w:t>
      </w:r>
    </w:p>
    <w:p>
      <w:pPr>
        <w:spacing w:before="0" w:after="80" w:lineRule="auto" w:line="276"/>
      </w:pPr>
      <w:r>
        <w:rPr>
          <w:b/>
        </w:rPr>
        <w:t xml:space="preserve">摘要（ZH）: </w:t>
      </w:r>
      <w:r>
        <w:t>摘要 电化学系统受制于一个材料悖论：化学性质稳健的多孔隔膜通常是疏水且电绝缘的，迫使人们采用笨重的富碳界面来耦合传质与电接触。在此我们表明，将独立式多孔聚乙烯推入近临界超薄状态后，厚度可转变为一种几何门控，使这些功能无需化学修饰即可切换。在接近推断的下限（约10 nm）时，60 nm的膜已进入该状态：液体侵入压力骤降至亚巴级窗口，使水性电解质得以渗透，同时电阈值转变为亚伏级软介质击穿，产生持久的贯穿平面导电性。同一支架通过高贴合性和真实接触面积增强了纳米线-基质耦合，实现了无粘结剂、无碳的约300 nm超薄膜电极。作为严格的液相电化学验证，该膜电极在流动碱性电解质中驱动选择性硝酸盐还原为氨的电还原反应，并保持持续性能。近临界超薄性由此成为一种可门控的设计维度，用于将大宗塑料重新构想为跨膜活性平台。</w:t>
      </w:r>
    </w:p>
    <w:p>
      <w:pPr>
        <w:spacing w:before="0" w:after="200" w:lineRule="auto" w:line="276"/>
      </w:pPr>
      <w:r>
        <w:rPr>
          <w:b/>
        </w:rPr>
        <w:t xml:space="preserve">Abstract (EN): </w:t>
      </w:r>
      <w:r>
        <w:t>Electrochemical systems are constrained by a materials paradox: chemically robust porous separators are typically hydrophobic and electronically insulating, forcing bulky, carbon‐rich interfaces to couple mass transport and electrical contact. Here we show that pushing freestanding porous polyethylene into a near‐critical ultrathin regime turns thickness into a geometric gate, enabling these functions to be switched without chemical modification. Near an inferred lower bound (∼10 nm), a 60 nm membrane already enters this regime: liquid‐entry pressure collapses into a sub‐bar window, enabling aqueous‐electrolyte permeation, while the electrical threshold shifts to sub‐volt soft dielectric breakdown, yielding persistent through‐plane conductivity. The same scaffold enhances nanowire‐matrix coupling via high conformability and real contact area, enabling a binder‐ and carbon‐free ∼300 nm ultrathin membrane electrode. As a stringent liquid‐phase electrochemical validation, this membrane electrode drives selective nitrate‐to‐ammonia electroreduction in flowing alkaline electrolytes with sustained performance. Near‐critical ultrathinness thus emerges as a gateable design dimension for re‐imagining commodity plastics as transmembrane‐active platforms.</w:t>
      </w:r>
    </w:p>
    <w:p>
      <w:pPr>
        <w:spacing w:before="120" w:after="120"/>
      </w:pPr>
      <w:r>
        <w:rPr>
          <w:sz w:val="18"/>
        </w:rPr>
        <w:t>——————————————————————————————————————————————————————————————————————</w:t>
      </w:r>
    </w:p>
    <w:p>
      <w:pPr>
        <w:spacing w:before="160" w:after="40" w:line="240" w:lineRule="auto"/>
      </w:pPr>
      <w:r>
        <w:rPr>
          <w:b/>
        </w:rPr>
        <w:t xml:space="preserve">[23] </w:t>
      </w:r>
      <w:hyperlink r:id="rId334">
        <w:r>
          <w:rPr>
            <w:color w:val="1155CC"/>
            <w:u w:val="single"/>
          </w:rPr>
          <w:t>阳离子···π锚定诱导原位生长构建二维共轭聚合物/MIS异质结用于高效光催化产氢</w:t>
        </w:r>
      </w:hyperlink>
    </w:p>
    <w:p>
      <w:pPr>
        <w:spacing w:before="0" w:after="80"/>
      </w:pPr>
      <w:r>
        <w:rPr>
          <w:i/>
          <w:sz w:val="20"/>
        </w:rPr>
        <w:t>EN: Cation···π Anchoring Induced In Situ Growth for Constructing 2D Conjugated Polymer/MIS Heterojunctions Toward Efficient Photocatalytic Hydrogen Evolution</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334">
        <w:r>
          <w:rPr>
            <w:color w:val="1155CC"/>
            <w:u w:val="single"/>
          </w:rPr>
          <w:t>10.1021/acsami.6c10518</w:t>
        </w:r>
      </w:hyperlink>
    </w:p>
    <w:p>
      <w:pPr>
        <w:spacing w:before="0" w:after="120"/>
      </w:pPr>
      <w:r>
        <w:rPr>
          <w:b/>
        </w:rPr>
        <w:t xml:space="preserve">Notes: </w:t>
      </w:r>
      <w:r>
        <w:t>abstract_source=crossref</w:t>
      </w:r>
    </w:p>
    <w:p>
      <w:pPr>
        <w:spacing w:before="0" w:after="80" w:lineRule="auto" w:line="276"/>
      </w:pPr>
      <w:r>
        <w:rPr>
          <w:b/>
        </w:rPr>
        <w:t xml:space="preserve">摘要（ZH）: </w:t>
      </w:r>
      <w:r>
        <w:t>摘要 构建具有紧密界面接触和高效电荷分离的异质结对于提升光催化产氢至关重要。本文报道了一种阳离子···π锚定诱导的原位生长策略，可精确制备用于高效光催化产氢的2D/2D聚(3,4-二甲基噻吩-alt-4,7-二噻吩基-2,1,3-苯并噻二唑)/铟镁硫化物（PDDB/MIS）异质结。具有交替π/π空穴排列的2D PDDB富含电子给体π位点，可通过稳定的阳离子···π相互作用选择性锚定Mg2+/In3+。这些锚定的金属阳离子作为均匀的成核位点，诱导MIS在PDDB表面原位生长，实现紧密的界面接触。密度泛函理论（DFT）计算和综合表征结果证实，PDDB的S–p/C–p轨道与MIS的In–p/Mg–s/p轨道之间的轨道杂化有效降低了界面电荷转移势垒，并实现了高效的光生载流子分离。优化后的5PDDB/MIS在可见光照射下表现出10.1 mmol h−1 g−1的优异光催化产氢速率，分别是MIS和PDDB的18.0倍和9.7倍。此外，在600 nm下获得了8.62%的高表观量子产率，优于大多数已报道的基于MIS的光催化剂。本工作阐述了一种构建具有高效电荷分离的2D/2D异质结的普适性界面工程策略，并为可持续太阳能提供了 insights</w:t>
      </w:r>
    </w:p>
    <w:p>
      <w:pPr>
        <w:spacing w:before="0" w:after="200" w:lineRule="auto" w:line="276"/>
      </w:pPr>
      <w:r>
        <w:rPr>
          <w:b/>
        </w:rPr>
        <w:t xml:space="preserve">Abstract (EN): </w:t>
      </w:r>
      <w:r>
        <w:t>Constructing heterojunctions with intimate interfacial contact and efficient charge separation is crucial for boosting photocatalytic hydrogen evolution. Herein, we report a cation···π anchoring induced in situ growth strategy to precisely fabricate 2D/2D poly(3,4-dimethylthiophene-alt-4,7-dithienyl-2,1,3-benzothiadiazole)/magnesium indium sulfide (PDDB/MIS) heterojunctions for highly efficient photocatalytic hydrogen evolution. The 2D PDDB with alternating π/π-hole arrangement features abundant electron-rich π-sites, which can selectively anchor Mg2+/In3+ via stable cation···π interactions. These anchored metal cations act as uniform nucleation sites to induce the in situ growth of MIS on PDDB surface, achieving intimate interfacial contact. Density functional theory (DFT) calculations and comprehensive characterization results confirm that the orbital hybridization between S–p/C–p orbitals of PDDB and In–p/Mg–s/p orbitals of MIS effectively reduces the interfacial charge transfer barrier and enables efficient photogenerated carrier separation. The optimized 5PDDB/MIS exhibits excellent photocatalytic hydrogen evolution rate of 10.1 mmol h−1 g−1 under visible light irradiation, which is 18.0 and 9.7 times higher than those of MIS and PDDB, respectively. Furthermore, the high apparent quantum yield of 8.62% under 600 nm is obtained, outperforming most reported MIS-based photocatalysts. This work illustrates a universal interfacial engineering strategy for constructing 2D/2D heterojunction with efficient charge separation and offering insights for sustainable solar energy conversion.</w:t>
      </w:r>
    </w:p>
    <w:p>
      <w:pPr>
        <w:spacing w:before="120" w:after="120"/>
      </w:pPr>
      <w:r>
        <w:rPr>
          <w:sz w:val="18"/>
        </w:rPr>
        <w:t>——————————————————————————————————————————————————————————————————————</w:t>
      </w:r>
    </w:p>
    <w:p>
      <w:pPr>
        <w:spacing w:before="160" w:after="40" w:line="240" w:lineRule="auto"/>
      </w:pPr>
      <w:r>
        <w:rPr>
          <w:b/>
        </w:rPr>
        <w:t xml:space="preserve">[24] </w:t>
      </w:r>
      <w:hyperlink r:id="rId335">
        <w:r>
          <w:rPr>
            <w:color w:val="1155CC"/>
            <w:u w:val="single"/>
          </w:rPr>
          <w:t>具有本征硫空位的非晶ZnWO4/CuIn4S6.5：Urbach尾调制反常电荷转移实现高效光催化H2析出</w:t>
        </w:r>
      </w:hyperlink>
    </w:p>
    <w:p>
      <w:pPr>
        <w:spacing w:before="0" w:after="80"/>
      </w:pPr>
      <w:r>
        <w:rPr>
          <w:i/>
          <w:sz w:val="20"/>
        </w:rPr>
        <w:t>EN: Amorphous ZnWO4/CuIn4S6.5 with Intrinsic Sulfur Vacancies: Urbach Tail-Modulated Anomalous Charge Transfer toward Efficient Photocatalytic H2 Evolution</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335">
        <w:r>
          <w:rPr>
            <w:color w:val="1155CC"/>
            <w:u w:val="single"/>
          </w:rPr>
          <w:t>10.1021/acsami.6c11441</w:t>
        </w:r>
      </w:hyperlink>
    </w:p>
    <w:p>
      <w:pPr>
        <w:spacing w:before="0" w:after="120"/>
      </w:pPr>
      <w:r>
        <w:rPr>
          <w:b/>
        </w:rPr>
        <w:t xml:space="preserve">Notes: </w:t>
      </w:r>
      <w:r>
        <w:t>abstract_source=crossref</w:t>
      </w:r>
    </w:p>
    <w:p>
      <w:pPr>
        <w:spacing w:before="0" w:after="80" w:lineRule="auto" w:line="276"/>
      </w:pPr>
      <w:r>
        <w:rPr>
          <w:b/>
        </w:rPr>
        <w:t xml:space="preserve">摘要（ZH）: </w:t>
      </w:r>
      <w:r>
        <w:t>摘要 非晶半导体具有固有的晶格无序和丰富的缺陷态，传统上被认为不利于光生电荷分离和光催化。然而，非晶体系中的晶格对称性破缺会诱导局域偶极极化和显著的Urbach带尾态，为载流子调控提供了独特策略。本文通过简便的水热策略制备了具有本征硫空位的非晶ZnWO4/CuIn4S6.5异质结。非晶晶格极化与硫空位的协同效应有效优化了界面电子结构和电荷迁移行为。长程无序结构诱导偶极矩以调控电荷转移路径，而硫空位则作为活性缺陷中心捕获光生电子并抑制电荷复合。通过将系统的光谱和电化学测试与DFT计算相结合，阐明了非晶异质结独特的光催化机理。优化后的A-ZC 0.6S表现出61.70 mmol g–1 h–1的显著产氢速率，分别是原始CuIn4S6.5及其晶态对应物的1028倍和6.0倍，在365 nm下的表观量子产率为8.75%。DFT计算进一步证实硫空位显著优化了界面电子结构并改善了载流子动力学。本工作揭示了非晶极化与硫空位诱导的Urbach的协同调控机理</w:t>
      </w:r>
    </w:p>
    <w:p>
      <w:pPr>
        <w:spacing w:before="0" w:after="200" w:lineRule="auto" w:line="276"/>
      </w:pPr>
      <w:r>
        <w:rPr>
          <w:b/>
        </w:rPr>
        <w:t xml:space="preserve">Abstract (EN): </w:t>
      </w:r>
      <w:r>
        <w:t>Amorphous semiconductors feature intrinsic lattice disorder and abundant defect states, conventionally regarded as detrimental to photogenerated charge separation and photocatalysis. Nevertheless, lattice symmetry breaking in amorphous systems induces local dipole polarization and prominent Urbach tail band-edge states, providing a unique strategy for carrier regulation. Herein, an amorphous ZnWO4/CuIn4S6.5 heterojunction with intrinsic sulfur vacancies was fabricated via a facile hydrothermal strategy. The synergistic effect of amorphous lattice polarization and sulfur vacancies effectively optimizes the interfacial electronic structure and charge migration behavior. The long-range disordered structure induces dipole moments to modulate the charge transfer pathway, while sulfur vacancies serve as active defect centers to trap photogenerated electrons and suppress charge recombination. By combining systematic spectroscopic and electrochemical tests with DFT calculations, the unique photocatalytic mechanism of the amorphous heterojunction was clarified. The optimized A-ZC 0.6S exhibits a prominent hydrogen evolution rate of 61.70 mmol g–1 h–1, which is 1028 times and 6.0 times higher than those of pristine CuIn4S6.5 and its crystalline counterpart, respectively, with an apparent quantum yield of 8.75% at 365 nm. DFT calculations further confirm that sulfur vacancies significantly optimize the interfacial electronic structure and improve carrier dynamics. This work reveals the synergistic regulation mechanism of amorphous polarization and sulfur-vacancy-induced Urbach tail states, breaking the conventional cognition of the inferior photocatalytic performance of amorphous materials and offering a feasible guideline for the rational design of high-efficiency amorphous photocatalysts.</w:t>
      </w:r>
    </w:p>
    <w:p>
      <w:pPr>
        <w:spacing w:before="120" w:after="120"/>
      </w:pPr>
      <w:r>
        <w:rPr>
          <w:sz w:val="18"/>
        </w:rPr>
        <w:t>——————————————————————————————————————————————————————————————————————</w:t>
      </w:r>
    </w:p>
    <w:p>
      <w:pPr>
        <w:spacing w:before="160" w:after="40" w:line="240" w:lineRule="auto"/>
      </w:pPr>
      <w:r>
        <w:rPr>
          <w:b/>
        </w:rPr>
        <w:t xml:space="preserve">[25] </w:t>
      </w:r>
      <w:hyperlink r:id="rId336">
        <w:r>
          <w:rPr>
            <w:color w:val="1155CC"/>
            <w:u w:val="single"/>
          </w:rPr>
          <w:t>载氢体释氢的催化策略</w:t>
        </w:r>
      </w:hyperlink>
    </w:p>
    <w:p>
      <w:pPr>
        <w:spacing w:before="0" w:after="80"/>
      </w:pPr>
      <w:r>
        <w:rPr>
          <w:i/>
          <w:sz w:val="20"/>
        </w:rPr>
        <w:t>EN: Catalytic strategies for hydrogen release from carriers</w:t>
      </w:r>
    </w:p>
    <w:p>
      <w:pPr>
        <w:spacing w:before="0" w:after="120"/>
      </w:pPr>
      <w:r>
        <w:rPr>
          <w:b/>
        </w:rPr>
        <w:t xml:space="preserve">Source: </w:t>
      </w:r>
      <w:r>
        <w:t>Joule</w:t>
      </w:r>
      <w:r>
        <w:t xml:space="preserve">    </w:t>
      </w:r>
      <w:r>
        <w:rPr>
          <w:b/>
        </w:rPr>
        <w:t xml:space="preserve">Pub date: </w:t>
      </w:r>
      <w:r>
        <w:t>2026-09-01 00:00:00+00:00</w:t>
      </w:r>
      <w:r>
        <w:t xml:space="preserve">    </w:t>
      </w:r>
      <w:r>
        <w:rPr>
          <w:b/>
        </w:rPr>
        <w:t xml:space="preserve">DOI: </w:t>
      </w:r>
      <w:hyperlink r:id="rId336">
        <w:r>
          <w:rPr>
            <w:color w:val="1155CC"/>
            <w:u w:val="single"/>
          </w:rPr>
          <w:t>10.1016/j.joule.2026.102650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337">
        <w:r>
          <w:rPr>
            <w:color w:val="1155CC"/>
            <w:u w:val="single"/>
          </w:rPr>
          <w:t>光驱动主动分离维持跨膜质子活度差以调控电化学微环境</w:t>
        </w:r>
      </w:hyperlink>
    </w:p>
    <w:p>
      <w:pPr>
        <w:spacing w:before="0" w:after="80"/>
      </w:pPr>
      <w:r>
        <w:rPr>
          <w:i/>
          <w:sz w:val="20"/>
        </w:rPr>
        <w:t>EN: Light-Driven Active Separation Sustains a Transmembrane Proton-Activity Difference for Electrochemical Microenvironment Regulation</w:t>
      </w:r>
    </w:p>
    <w:p>
      <w:pPr>
        <w:spacing w:before="0" w:after="120"/>
      </w:pPr>
      <w:r>
        <w:rPr>
          <w:b/>
        </w:rPr>
        <w:t xml:space="preserve">Source: </w:t>
      </w:r>
      <w:r>
        <w:t>Journal of the American Chemical Society</w:t>
      </w:r>
      <w:r>
        <w:t xml:space="preserve">    </w:t>
      </w:r>
      <w:r>
        <w:rPr>
          <w:b/>
        </w:rPr>
        <w:t xml:space="preserve">Pub date: </w:t>
      </w:r>
      <w:r>
        <w:t>2026-09-01 00:00:00+00:00</w:t>
      </w:r>
      <w:r>
        <w:t xml:space="preserve">    </w:t>
      </w:r>
      <w:r>
        <w:rPr>
          <w:b/>
        </w:rPr>
        <w:t xml:space="preserve">DOI: </w:t>
      </w:r>
      <w:hyperlink r:id="rId337">
        <w:r>
          <w:rPr>
            <w:color w:val="1155CC"/>
            <w:u w:val="single"/>
          </w:rPr>
          <w:t>10.1021/jacs.6c10380</w:t>
        </w:r>
      </w:hyperlink>
    </w:p>
    <w:p>
      <w:pPr>
        <w:spacing w:before="0" w:after="120"/>
      </w:pPr>
      <w:r>
        <w:rPr>
          <w:b/>
        </w:rPr>
        <w:t xml:space="preserve">Notes: </w:t>
      </w:r>
      <w:r>
        <w:t>abstract_source=crossref</w:t>
      </w:r>
    </w:p>
    <w:p>
      <w:pPr>
        <w:spacing w:before="0" w:after="80" w:lineRule="auto" w:line="276"/>
      </w:pPr>
      <w:r>
        <w:rPr>
          <w:b/>
        </w:rPr>
        <w:t xml:space="preserve">摘要（ZH）: </w:t>
      </w:r>
      <w:r>
        <w:t>摘要 电化学水技术通常需要空间上不同的质子活度，而无源膜会使这些微环境趋于平衡。在此，我们构建了一系列拓扑明确的给体–受体共价有机框架（COF）膜，分别具有菱形、蜂窝和kagome晶格，并建立了局部光诱导响应与膜尺度主动离子输运之间的联系。其中，菱形COF-PY-BT在单侧光照下表现出最强的局部光响应和最大的光诱导跨膜偏压。交叉对照实验证实宏观响应的方向遵循光照方向，而周期性Berry相位计算揭示了依赖于框架的偶极分量的保留与抵消。由此产生的跨膜偏压抵消了质子回流，实现了质子的逆浓度梯度输运，有助于在近中性的阳极区和酸性的阴极区之间维持大于4的整体ΔpH。作为双室电解槽中的活性隔膜集成时，COF-PY-BT在稀释条件下将表观全电池电压降低约45%，并改善了电压稳定性。这些结果确立了光驱动的主动膜调控作为在电化学运行过程中维持非平衡质子环境的一种策略。</w:t>
      </w:r>
    </w:p>
    <w:p>
      <w:pPr>
        <w:spacing w:before="0" w:after="200" w:lineRule="auto" w:line="276"/>
      </w:pPr>
      <w:r>
        <w:rPr>
          <w:b/>
        </w:rPr>
        <w:t xml:space="preserve">Abstract (EN): </w:t>
      </w:r>
      <w:r>
        <w:t>Electrochemical water technologies often require spatially distinct proton activities, yet passive membranes allow these microenvironments to equilibrate. Here we construct a topology-defined series of donor–acceptor covalent organic framework (COF) membranes with rhombic, honeycomb, and kagome lattices and establish a connection between local photoinduced responses and membrane-scale active ion transport. Among them, rhombic COF-PY-BT exhibits the strongest local photoresponse and the largest light-induced transmembrane bias under one-sided illumination. Crossed-control experiments establish that the direction of the macroscopic response follows the illumination direction, while periodic Berry-phase calculations reveal framework-dependent retention and cancellation of dipolar components. The resulting transmembrane bias counteracts proton back-diffusion and enables uphill proton transport, helping sustain a bulk ΔpH &gt; 4 between near-neutral anodic and acidic cathodic compartments. When integrated as an active separator in a two-compartment electrolysis cell, COF-PY-BT lowers the apparent full-cell voltage by approximately 45% under dilute conditions and improves voltage stability. These results establish light-driven active membrane regulation as a strategy for sustaining nonequilibrium proton environments during electrochemical operation.</w:t>
      </w:r>
    </w:p>
    <w:p>
      <w:pPr>
        <w:spacing w:before="120" w:after="120"/>
      </w:pPr>
      <w:r>
        <w:rPr>
          <w:sz w:val="18"/>
        </w:rPr>
        <w:t>——————————————————————————————————————————————————————————————————————</w:t>
      </w:r>
    </w:p>
    <w:p>
      <w:pPr>
        <w:spacing w:before="160" w:after="40" w:line="240" w:lineRule="auto"/>
      </w:pPr>
      <w:r>
        <w:rPr>
          <w:b/>
        </w:rPr>
        <w:t xml:space="preserve">[27] </w:t>
      </w:r>
      <w:hyperlink r:id="rId338">
        <w:r>
          <w:rPr>
            <w:color w:val="1155CC"/>
            <w:u w:val="single"/>
          </w:rPr>
          <w:t>考虑氢电解 contingency 频率服务的节点频率最低值机会约束经济调度</w:t>
        </w:r>
      </w:hyperlink>
    </w:p>
    <w:p>
      <w:pPr>
        <w:spacing w:before="0" w:after="80"/>
      </w:pPr>
      <w:r>
        <w:rPr>
          <w:i/>
          <w:sz w:val="20"/>
        </w:rPr>
        <w:t>EN: Nodal Frequency Nadir Chance-Constrained Economic Dispatch Considering Contingency Frequency Service From Hydrogen Electrolysis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339">
        <w:r>
          <w:rPr>
            <w:color w:val="1155CC"/>
            <w:u w:val="single"/>
          </w:rPr>
          <w:t>10.1109/tsg.2026.3684658</w:t>
        </w:r>
      </w:hyperlink>
    </w:p>
    <w:p>
      <w:pPr>
        <w:spacing w:before="0" w:after="120"/>
      </w:pPr>
      <w:r>
        <w:rPr>
          <w:b/>
        </w:rPr>
        <w:t xml:space="preserve">Notes: </w:t>
      </w:r>
      <w:r>
        <w:t>abstract_source=semanticscholar</w:t>
      </w:r>
    </w:p>
    <w:p>
      <w:pPr>
        <w:spacing w:before="0" w:after="80" w:lineRule="auto" w:line="276"/>
      </w:pPr>
      <w:r>
        <w:rPr>
          <w:b/>
        </w:rPr>
        <w:t xml:space="preserve">摘要（ZH）: </w:t>
      </w:r>
      <w:r>
        <w:t>通过构网型（GFM）变换器接口资源（CIR）提供应急频率服务（CFS）是增强低惯量电力系统频率稳定性的一种技术有效方法。然而，这种方法往往会导致显著的功率削减或高昂的资本投入。此外，CIR的异质动态特性以及可再生能源（RES）日益增长的不确定性，使得确定性条件下的系统级频率指标不再充分，需要纳入不确定的节点频率最低值（NFN）以确保全面的频率稳定性。为弥补这些不足，本文提出了一种新颖的NFN机会约束经济调度框架，利用氢电解系统（HES）作为低成本CFS来源。该框架首先建立了跟网型RES与GFM HES的协同运行策略，以在随机故障下实现CFS的高效交付。随后，对系统级功率调度决策和设备级CIR设置（即控制模式）进行联合优化，在确保系统级和节点级频率稳定性的同时最小化运行成本。最后，为克服非线性NFN机会约束的计算负担，开发了一种计算上易于处理的求解方法，该方法利用输入凸神经网络结合解析灵敏度分析和Benders分解方法。通过在两个测试系统上的数值仿真验证了所提方法的有效性和可扩展性。</w:t>
      </w:r>
    </w:p>
    <w:p>
      <w:pPr>
        <w:spacing w:before="0" w:after="200" w:lineRule="auto" w:line="276"/>
      </w:pPr>
      <w:r>
        <w:rPr>
          <w:b/>
        </w:rPr>
        <w:t xml:space="preserve">Abstract (EN): </w:t>
      </w:r>
      <w:r>
        <w:t>Providing contingency frequency services (CFSs) through grid-forming (GFM) converter-interfaced resources (CIRs) is a technically effective method for bolstering the frequency stability of low-inertia power systems. However, this approach often causes significant power curtailment or high capital investment. Moreover, the heterogeneous dynamic characteristics of CIRs and increasing uncertainty of renewable energy sources (RESs) renders system-level frequency metrics under deterministic conditions insufficient, necessitating the incorporation of uncertain nodal frequency nadir (NFN) to ensure comprehensive frequency stability. To address these gaps, this paper proposes a novel NFN chance-constrained economic dispatch framework, which leverages hydrogen electrolysis systems (HESs) as cost-effective sources of CFSs. The framework first establishes a synergistic operation strategy for integrated grid-following RESs and GFM HESs to enable efficient delivery of CFSs under stochastic contingencies. System-level power dispatch decisions and device-level CIR settings (i.e., control mode) are then co-optimized to minimize operation costs while ensuring both the system-level and node-level frequency stability. Finally, to overcome the computational burden of the nonlinear NFN chance constraints, a computationally tractable solution methodology is developed that leverages input convex neural networks with analytical sensitivity analysis and Benders decomposition methods. The effectiveness and scalability of the proposed approach are validated through numerical simulations on two test systems.</w:t>
      </w:r>
    </w:p>
    <w:p>
      <w:pPr>
        <w:spacing w:before="120" w:after="120"/>
      </w:pPr>
      <w:r>
        <w:rPr>
          <w:sz w:val="18"/>
        </w:rPr>
        <w:t>——————————————————————————————————————————————————————————————————————</w:t>
      </w:r>
    </w:p>
    <w:p>
      <w:pPr>
        <w:spacing w:before="160" w:after="40" w:line="240" w:lineRule="auto"/>
      </w:pPr>
      <w:r>
        <w:rPr>
          <w:b/>
        </w:rPr>
        <w:t xml:space="preserve">[28] </w:t>
      </w:r>
      <w:hyperlink r:id="rId340">
        <w:r>
          <w:rPr>
            <w:color w:val="1155CC"/>
            <w:u w:val="single"/>
          </w:rPr>
          <w:t>库仑表面偶极捕获离聚物用于高效质子交换膜燃料电池</w:t>
        </w:r>
      </w:hyperlink>
    </w:p>
    <w:p>
      <w:pPr>
        <w:spacing w:before="0" w:after="80"/>
      </w:pPr>
      <w:r>
        <w:rPr>
          <w:i/>
          <w:sz w:val="20"/>
        </w:rPr>
        <w:t>EN: Coulombic surface dipole trapping ionomer for efficient proton exchange membrane fuel cells</w:t>
      </w:r>
    </w:p>
    <w:p>
      <w:pPr>
        <w:spacing w:before="0" w:after="120"/>
      </w:pPr>
      <w:r>
        <w:rPr>
          <w:b/>
        </w:rPr>
        <w:t xml:space="preserve">Source: </w:t>
      </w:r>
      <w:r>
        <w:t>Physical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均匀的离聚物分布和可控的磺酸根吸附对于低Pt载量的质子交换膜燃料电池膜电极组件（MEAs）至关重要，尤其是在高电流密度下。在传统的Pt/C催化剂中，Pt表面与碳表面的差异促进磺酸根在Pt上吸附以及离聚物在碳上聚集，从而限制了质子和氧传输。在此，我们表明覆盖Pt/C的单Co原子偶极层（SCDC-Pt）通过带正电的Co位点与磺酸基团之间的静电吸引来调控催化剂-离聚物界面。所得MEA的峰值功率密度达1.4 W cm−2，且在30,000次方波循环后于0.8 A cm−2下仅损失26 mV，而商业Pt/C在相同条件下分别为0.86 W cm−2和75 mV损失。工况表征和模拟表明，表面偶极促进更均匀的离聚物分布，抑制磺酸根对Pt的毒化，并稳定Pt结构。电化学诊断显示其表观磺酸根覆盖率（约8%）和局部O2传输阻力（38.6 S m−1）均低于商业Pt/C（约20%和48.1 S m−1）。</w:t>
      </w:r>
    </w:p>
    <w:p>
      <w:pPr>
        <w:spacing w:before="0" w:after="200" w:lineRule="auto" w:line="276"/>
      </w:pPr>
      <w:r>
        <w:rPr>
          <w:b/>
        </w:rPr>
        <w:t xml:space="preserve">Abstract (EN): </w:t>
      </w:r>
      <w:r>
        <w:t>Uniform ionomer distribution and controlled sulfonate adsorption are critical for low-Pt-loading proton exchange membrane fuel-cell membrane electrode assemblies (MEAs), especially at high current density. In conventional Pt/C catalysts, differences between Pt and carbon surfaces promote sulfonate adsorption on Pt and ionomer aggregation on carbon, thereby limiting proton and oxygen transport. Here we show that a single Co atom dipole layer covering Pt/C (SCDC-Pt) regulates the catalyst-ionomer interface through electrostatic attraction between positively charged Co sites and sulfonate groups. The resulting MEA delivers a peak power density of 1.4 W cm−2 and only 26 mV loss at 0.8 A cm−2 after 30,000 square-wave cycles, compared with 0.86 W cm−2 and 75 mV loss for commercial Pt/C under identical conditions. Operando characterization and simulations indicate that surface dipoles promote a more uniform ionomer distribution, suppress sulfonate poisoning of Pt, and stabilize the Pt structure. Electrochemical diagnostics show lower apparent sulfonate coverage ( ~ 8%) and local O2 transport resistance (38.6 S m−1) than those of commercial Pt/C ( ~ 20% and 48.1 S m−1).</w:t>
      </w:r>
    </w:p>
    <w:p>
      <w:pPr>
        <w:spacing w:before="120" w:after="120"/>
      </w:pPr>
      <w:r>
        <w:rPr>
          <w:sz w:val="18"/>
        </w:rPr>
        <w:t>——————————————————————————————————————————————————————————————————————</w:t>
      </w:r>
    </w:p>
    <w:p>
      <w:pPr>
        <w:spacing w:before="160" w:after="40" w:line="240" w:lineRule="auto"/>
      </w:pPr>
      <w:r>
        <w:rPr>
          <w:b/>
        </w:rPr>
        <w:t xml:space="preserve">[29] </w:t>
      </w:r>
      <w:hyperlink r:id="rId341">
        <w:r>
          <w:rPr>
            <w:color w:val="1155CC"/>
            <w:u w:val="single"/>
          </w:rPr>
          <w:t>通过亲核掺杂解析界面水构型：高连通氢键网络实现高效中性析氢</w:t>
        </w:r>
      </w:hyperlink>
    </w:p>
    <w:p>
      <w:pPr>
        <w:spacing w:before="0" w:after="80"/>
      </w:pPr>
      <w:r>
        <w:rPr>
          <w:i/>
          <w:sz w:val="20"/>
        </w:rPr>
        <w:t>EN: Deciphering Interfacial Water Configuration via Nucleophilic Doping: Highly Connected H‐Bond Networks for Efficient Neutral Hydrogen Evolution</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342">
        <w:r>
          <w:rPr>
            <w:color w:val="1155CC"/>
            <w:u w:val="single"/>
          </w:rPr>
          <w:t>10.1002/aenm.71527</w:t>
        </w:r>
      </w:hyperlink>
    </w:p>
    <w:p>
      <w:pPr>
        <w:spacing w:before="0" w:after="120"/>
      </w:pPr>
      <w:r>
        <w:rPr>
          <w:b/>
        </w:rPr>
        <w:t xml:space="preserve">Notes: </w:t>
      </w:r>
      <w:r>
        <w:t>abstract_source=crossref</w:t>
      </w:r>
    </w:p>
    <w:p>
      <w:pPr>
        <w:spacing w:before="0" w:after="80" w:lineRule="auto" w:line="276"/>
      </w:pPr>
      <w:r>
        <w:rPr>
          <w:b/>
        </w:rPr>
        <w:t xml:space="preserve">摘要（ZH）: </w:t>
      </w:r>
      <w:r>
        <w:t>摘要 中性析氢反应（HER）由于强阳离子水合作用破坏界面氢键（H-bond）网络、阻碍传质而面临缓慢的动力学。本文提出一种亲核掺杂策略以重构界面水结构并提升中性HER性能。通过在碳布上构筑亲核氧掺杂硒化钼/磷化钼杂化物（Ox-MoSe2-x/MoP/CC），我们成功调控了局部电子环境以削弱阳离子水合效应。从头算分子动力学（AIMD）模拟结合原位拉曼光谱提供了有力证据，表明引入的亲核O物种引发了界面水的重构，促进形成高度连通的氢键网络。这些优化的网络作为中间产物传输的高效通道，显著降低了传质阻力。此外，密度泛函理论（DFT）计算揭示了协同机制：MoP相作为高效的水解离促进剂，加速了Volmer步骤。因此，Ox-MoSe2-x/MoP/CC电极在1 M磷酸盐缓冲溶液中于10 mA cm−2下仅表现出34 mV的优异过电位，超越了商用Pt/C，并展现出优异的长期稳定性。这项工作不仅提供了一种高性能电催化剂，还强调了亲核调控在构筑高效中性电催化界面氢键网络中的关键作用。</w:t>
      </w:r>
    </w:p>
    <w:p>
      <w:pPr>
        <w:spacing w:before="0" w:after="200" w:lineRule="auto" w:line="276"/>
      </w:pPr>
      <w:r>
        <w:rPr>
          <w:b/>
        </w:rPr>
        <w:t xml:space="preserve">Abstract (EN): </w:t>
      </w:r>
      <w:r>
        <w:t>Neutral hydrogen evolution reaction (HER) faces sluggish kinetics due to strong cation hydration disrupting interfacial hydrogen‐bond (H‐bond) networks, impeding mass transport. Herein, we propose a nucleophilic doping strategy to reconstruct the interfacial water structure and boost neutral HER performance. By engineering a nucleophilic oxygen‐doped molybdenum selenide/molybdenum phosphide hybrid on carbon cloth (O x ‐MoSe 2‐x /MoP/CC), we successfully manipulate the local electronic environment to attenuate cation hydration effects. Ab initio molecular dynamics (AIMD) simulations coupled with in situ Raman spectroscopy provide compelling evidence that the incorporated nucleophilic O species trigger a reconfiguration of interfacial water, fostering the formation of highly connected H‐bond networks. These optimized networks serve as efficient highways for intermediate transport, significantly lowering the mass transfer resistance. Furthermore, density functional theory (DFT) calculations reveal a synergistic mechanism where the MoP phase acts as a potent water dissociation promoter, facilitating the Volmer step. Consequently, the O x ‐MoSe 2‐x /MoP/CC electrode delivers a remarkable overpotential of only 34 mV at 10 mA cm −2 in 1 M phosphate buffer solution, surpassing commercial Pt/C, and exhibits superior long‐term stability. This work not only presents a high‐performance electrocatalyst but also highlights the pivotal role of nucleophilic modulation in engineering interfacial H‐bond networks for efficient neutral electrocatalysis.</w:t>
      </w:r>
    </w:p>
    <w:p>
      <w:pPr>
        <w:spacing w:before="120" w:after="120"/>
      </w:pPr>
      <w:r>
        <w:rPr>
          <w:sz w:val="18"/>
        </w:rPr>
        <w:t>——————————————————————————————————————————————————————————————————————</w:t>
      </w:r>
    </w:p>
    <w:p>
      <w:pPr>
        <w:spacing w:before="160" w:after="40" w:line="240" w:lineRule="auto"/>
      </w:pPr>
      <w:r>
        <w:rPr>
          <w:b/>
        </w:rPr>
        <w:t xml:space="preserve">[30] </w:t>
      </w:r>
      <w:hyperlink r:id="rId270">
        <w:r>
          <w:rPr>
            <w:color w:val="1155CC"/>
            <w:u w:val="single"/>
          </w:rPr>
          <w:t>用于清洁制氢的核能混合能源系统：时间步长优化的实时多域硬件仿真</w:t>
        </w:r>
      </w:hyperlink>
    </w:p>
    <w:p>
      <w:pPr>
        <w:spacing w:before="0" w:after="80"/>
      </w:pPr>
      <w:r>
        <w:rPr>
          <w:i/>
          <w:sz w:val="20"/>
        </w:rPr>
        <w:t>EN: Nuclear-Powered Hybrid Energy System for Clean Hydrogen Production: Time-Step-Optimized Real-Time Multi-Domain Hardware Emulation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271">
        <w:r>
          <w:rPr>
            <w:color w:val="1155CC"/>
            <w:u w:val="single"/>
          </w:rPr>
          <w:t>10.1109/tec.2026.3658726</w:t>
        </w:r>
      </w:hyperlink>
    </w:p>
    <w:p>
      <w:pPr>
        <w:spacing w:before="0" w:after="120"/>
      </w:pPr>
      <w:r>
        <w:rPr>
          <w:b/>
        </w:rPr>
        <w:t xml:space="preserve">Notes: </w:t>
      </w:r>
      <w:r>
        <w:t>abstract_source=semanticscholar</w:t>
      </w:r>
    </w:p>
    <w:p>
      <w:pPr>
        <w:spacing w:before="0" w:after="80" w:lineRule="auto" w:line="276"/>
      </w:pPr>
      <w:r>
        <w:rPr>
          <w:b/>
        </w:rPr>
        <w:t xml:space="preserve">摘要（ZH）: </w:t>
      </w:r>
      <w:r>
        <w:t>全球对脱碳的日益重视以及可再生能源、储能和核电的快速普及，正在推动对综合可持续能源建模、仿真、运行与控制的研究热潮。传统电磁暂态（EMT）方法通常采用梯形法对电网进行离散化。然而，当与其他物理域的常微分方程（ODEs）耦合时，数值积分格式的绝对稳定区域可能发生偏移，且各子系统之间时间常数的差异进一步增加了不同模型集成的复杂性。尽管将EMT与多域联合仿真的集成需求日益增长，现有商业EMT仿真工具要么缺乏对多域物理耦合的支持，要么未针对此类混合仿真进行专门优化。为弥补这一空白，本文提出了一种鲁棒多尺度时间步长估计（RMTE）框架，可实现EMT电网与多域子系统的实时联合仿真。该框架包含一种快速、高效且自适应的方法，用于在异构物理域之间选择最优的最大时间步长。所提出的方法通过一个涉及小型模块化反应堆（SMRs）、风电场、光伏（PV）以及用于清洁制氢的低温质子交换膜（PEM）电解的案例研究进行了验证。基于现场可编程门阵列（FPGA）的平台实现了实时硬件联合仿真。结果证明了仿真性能的显著提升</w:t>
      </w:r>
    </w:p>
    <w:p>
      <w:pPr>
        <w:spacing w:before="0" w:after="200" w:lineRule="auto" w:line="276"/>
      </w:pPr>
      <w:r>
        <w:rPr>
          <w:b/>
        </w:rPr>
        <w:t xml:space="preserve">Abstract (EN): </w:t>
      </w:r>
      <w:r>
        <w:t>Increasing global emphasis on decarbonization and the proliferation of renewable energy, energy storage, and nuclear power is driving a surge of research interest into integrated sustainable energy modeling, simulation, operation and control. Traditional electromagnetic transient (EMT) methods typically discretize electrical networks using the trapezoidal rule. When coupled with the ordinary differential equations (ODEs) of other physical domains, however, the absolute stability region of the numerical integration scheme can shift, and discrepancies in time constants across subsystems further complicate integration of disparate models. While the demand for integrating EMT with multi-domain co-simulations is increasing, existing commercial EMT simulation tools either lack support for multi-domain physical coupling or are not specifically optimized for such hybrid simulations. To address this gap, this paper proposes a robust multiscale time-step estimation (RMTE) framework that enables real-time co-simulation of EMT networks and multi-domain subsystems. The framework includes a fast, efficient, and adaptive approach for selecting the optimal maximum time-step across heterogeneous physical domains. The proposed method is validated through a case study involving small modular reactors (SMRs), wind farm, photovoltaics (PV) and low-temperature proton exchange membrane (PEM) electrolysis for clean hydrogen production. Real-time hardware co-emulation is achieved on a field-programmable gate array (FPGA)-based platform. The results demonstrate significant improvements in simulation efficiency and execution time.</w:t>
      </w:r>
    </w:p>
    <w:p>
      <w:pPr>
        <w:spacing w:before="120" w:after="120"/>
      </w:pPr>
      <w:r>
        <w:rPr>
          <w:sz w:val="18"/>
        </w:rPr>
        <w:t>——————————————————————————————————————————————————————————————————————</w:t>
      </w:r>
    </w:p>
    <w:p>
      <w:pPr>
        <w:spacing w:before="160" w:after="40" w:line="240" w:lineRule="auto"/>
      </w:pPr>
      <w:r>
        <w:rPr>
          <w:b/>
        </w:rPr>
        <w:t xml:space="preserve">[31] </w:t>
      </w:r>
      <w:hyperlink r:id="rId325">
        <w:r>
          <w:rPr>
            <w:color w:val="1155CC"/>
            <w:u w:val="single"/>
          </w:rPr>
          <w:t>风-氢系统中多堆集成碱性电解槽的区域驱动两层精细化调度</w:t>
        </w:r>
      </w:hyperlink>
    </w:p>
    <w:p>
      <w:pPr>
        <w:spacing w:before="0" w:after="80"/>
      </w:pPr>
      <w:r>
        <w:rPr>
          <w:i/>
          <w:sz w:val="20"/>
        </w:rPr>
        <w:t>EN: Region-Driven Two-Layer Refined Scheduling for Multi-Stack-Integrated Alkaline Electrolyzer in Wind-Hydrogen System</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325">
        <w:r>
          <w:rPr>
            <w:color w:val="1155CC"/>
            <w:u w:val="single"/>
          </w:rPr>
          <w:t>10.1109/tsg.2026.3668984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 </w:t>
      </w:r>
      <w:hyperlink r:id="rId327">
        <w:r>
          <w:rPr>
            <w:color w:val="1155CC"/>
            <w:u w:val="single"/>
          </w:rPr>
          <w:t>考虑秒级响应特性的ALK-PEM电解槽制氢系统最优功率分配策略</w:t>
        </w:r>
      </w:hyperlink>
    </w:p>
    <w:p>
      <w:pPr>
        <w:spacing w:before="0" w:after="80"/>
      </w:pPr>
      <w:r>
        <w:rPr>
          <w:i/>
          <w:sz w:val="20"/>
        </w:rPr>
        <w:t>EN: Optimal Power Allocation Strategy for Hydrogen Production System of ALK-PEM Electrolyzer Considering Second-Level Response Characteristics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327">
        <w:r>
          <w:rPr>
            <w:color w:val="1155CC"/>
            <w:u w:val="single"/>
          </w:rPr>
          <w:t>10.1109/tsg.2026.3676791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343">
        <w:r>
          <w:rPr>
            <w:color w:val="1155CC"/>
            <w:u w:val="single"/>
          </w:rPr>
          <w:t>考虑极端天气事件的氢能建筑能源系统风险感知经济调度</w:t>
        </w:r>
      </w:hyperlink>
    </w:p>
    <w:p>
      <w:pPr>
        <w:spacing w:before="0" w:after="80"/>
      </w:pPr>
      <w:r>
        <w:rPr>
          <w:i/>
          <w:sz w:val="20"/>
        </w:rPr>
        <w:t>EN: Risk-Aware Economic Scheduling for Hydrogen-Enabled Building Energy Systems Considering Extreme Weather Events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343">
        <w:r>
          <w:rPr>
            <w:color w:val="1155CC"/>
            <w:u w:val="single"/>
          </w:rPr>
          <w:t>10.1109/tsg.2026.3688050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 </w:t>
      </w:r>
      <w:hyperlink r:id="rId271">
        <w:r>
          <w:rPr>
            <w:color w:val="1155CC"/>
            <w:u w:val="single"/>
          </w:rPr>
          <w:t>用于清洁制氢的核能混合能源系统：时间步长优化的实时多域硬件仿真</w:t>
        </w:r>
      </w:hyperlink>
    </w:p>
    <w:p>
      <w:pPr>
        <w:spacing w:before="0" w:after="80"/>
      </w:pPr>
      <w:r>
        <w:rPr>
          <w:i/>
          <w:sz w:val="20"/>
        </w:rPr>
        <w:t>EN: Nuclear-Powered Hybrid Energy System for Clean Hydrogen Production: Time-Step-Optimized Real-Time Multi-Domain Hardware Emulation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271">
        <w:r>
          <w:rPr>
            <w:color w:val="1155CC"/>
            <w:u w:val="single"/>
          </w:rPr>
          <w:t>10.1109/tec.2026.3658726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 </w:t>
      </w:r>
      <w:hyperlink r:id="rId342">
        <w:r>
          <w:rPr>
            <w:color w:val="1155CC"/>
            <w:u w:val="single"/>
          </w:rPr>
          <w:t>通过亲核掺杂解析界面水构型：用于高效中性析氢的高度连通氢键网络</w:t>
        </w:r>
      </w:hyperlink>
    </w:p>
    <w:p>
      <w:pPr>
        <w:spacing w:before="0" w:after="80"/>
      </w:pPr>
      <w:r>
        <w:rPr>
          <w:i/>
          <w:sz w:val="20"/>
        </w:rPr>
        <w:t>EN: Deciphering Interfacial Water Configuration via Nucleophilic Doping: Highly Connected H‐Bond Networks for Efficient Neutral Hydrogen Evolution</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342">
        <w:r>
          <w:rPr>
            <w:color w:val="1155CC"/>
            <w:u w:val="single"/>
          </w:rPr>
          <w:t>10.1002/aenm.71527</w:t>
        </w:r>
      </w:hyperlink>
    </w:p>
    <w:p>
      <w:pPr>
        <w:spacing w:before="0" w:after="120"/>
      </w:pPr>
      <w:r>
        <w:rPr>
          <w:b/>
        </w:rPr>
        <w:t xml:space="preserve">Notes: </w:t>
      </w:r>
      <w:r>
        <w:t>abstract_source=crossref</w:t>
      </w:r>
    </w:p>
    <w:p>
      <w:pPr>
        <w:spacing w:before="0" w:after="80" w:lineRule="auto" w:line="276"/>
      </w:pPr>
      <w:r>
        <w:rPr>
          <w:b/>
        </w:rPr>
        <w:t xml:space="preserve">摘要（ZH）: </w:t>
      </w:r>
      <w:r>
        <w:t>摘要 中性析氢反应（HER）由于强阳离子水合作用破坏界面氢键（H键）网络、阻碍传质，面临缓慢的动力学。在此，我们提出一种亲核掺杂策略来重构界面水结构并提升中性HER性能。通过在碳布上构筑亲核氧掺杂的硒化钼/磷化钼杂化物（Ox-MoSe2-x/MoP/CC），我们成功调控了局域电子环境以削弱阳离子水合效应。从头算分子动力学（AIMD）模拟结合原位拉曼光谱提供了有力证据，表明引入的亲核O物种触发了界面水的重构，促进形成高度连通的氢键网络。这些优化的网络作为中间体传输的高效通道，显著降低了传质阻力。此外，密度泛函理论（DFT）计算揭示了协同机制：MoP相作为强效水分解促进剂，加速Volmer步骤。因此，Ox-MoSe2-x/MoP/CC电极在1 M磷酸盐缓冲溶液中于10 mA cm−2下仅表现出34 mV的过电位，超越商用Pt/C，并展现出优异的长期稳定性。这项工作不仅提供了一种高性能电催化剂，还凸显了亲核调控在构筑高效中性电催化界面氢键网络中的关键作用。</w:t>
      </w:r>
    </w:p>
    <w:p>
      <w:pPr>
        <w:spacing w:before="0" w:after="200" w:lineRule="auto" w:line="276"/>
      </w:pPr>
      <w:r>
        <w:rPr>
          <w:b/>
        </w:rPr>
        <w:t xml:space="preserve">Abstract (EN): </w:t>
      </w:r>
      <w:r>
        <w:t>Neutral hydrogen evolution reaction (HER) faces sluggish kinetics due to strong cation hydration disrupting interfacial hydrogen‐bond (H‐bond) networks, impeding mass transport. Herein, we propose a nucleophilic doping strategy to reconstruct the interfacial water structure and boost neutral HER performance. By engineering a nucleophilic oxygen‐doped molybdenum selenide/molybdenum phosphide hybrid on carbon cloth (O x ‐MoSe 2‐x /MoP/CC), we successfully manipulate the local electronic environment to attenuate cation hydration effects. Ab initio molecular dynamics (AIMD) simulations coupled with in situ Raman spectroscopy provide compelling evidence that the incorporated nucleophilic O species trigger a reconfiguration of interfacial water, fostering the formation of highly connected H‐bond networks. These optimized networks serve as efficient highways for intermediate transport, significantly lowering the mass transfer resistance. Furthermore, density functional theory (DFT) calculations reveal a synergistic mechanism where the MoP phase acts as a potent water dissociation promoter, facilitating the Volmer step. Consequently, the O x ‐MoSe 2‐x /MoP/CC electrode delivers a remarkable overpotential of only 34 mV at 10 mA cm −2 in 1 M phosphate buffer solution, surpassing commercial Pt/C, and exhibits superior long‐term stability. This work not only presents a high‐performance electrocatalyst but also highlights the pivotal role of nucleophilic modulation in engineering interfacial H‐bond networks for efficient neutral electrocatalysis.</w:t>
      </w:r>
    </w:p>
    <w:p>
      <w:pPr>
        <w:spacing w:before="120" w:after="120"/>
      </w:pPr>
      <w:r>
        <w:rPr>
          <w:sz w:val="18"/>
        </w:rPr>
        <w:t>——————————————————————————————————————————————————————————————————————</w:t>
      </w:r>
    </w:p>
    <w:p>
      <w:pPr>
        <w:spacing w:before="160" w:after="40" w:line="240" w:lineRule="auto"/>
      </w:pPr>
      <w:r>
        <w:rPr>
          <w:b/>
        </w:rPr>
        <w:t xml:space="preserve">[36] </w:t>
      </w:r>
      <w:hyperlink r:id="rId331">
        <w:r>
          <w:rPr>
            <w:color w:val="1155CC"/>
            <w:u w:val="single"/>
          </w:rPr>
          <w:t>铝片中单原子合金与有序铟簇的协同催化用于增强产氢</w:t>
        </w:r>
      </w:hyperlink>
    </w:p>
    <w:p>
      <w:pPr>
        <w:spacing w:before="0" w:after="80"/>
      </w:pPr>
      <w:r>
        <w:rPr>
          <w:i/>
          <w:sz w:val="20"/>
        </w:rPr>
        <w:t>EN: Synergistic Catalysis of Single‐Atom Alloys and Ordered Indium Clusters in Aluminum Sheet for Enhanced Hydrogen Production</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331">
        <w:r>
          <w:rPr>
            <w:color w:val="1155CC"/>
            <w:u w:val="single"/>
          </w:rPr>
          <w:t>10.1002/adma.74867</w:t>
        </w:r>
      </w:hyperlink>
    </w:p>
    <w:p>
      <w:pPr>
        <w:spacing w:before="0" w:after="120"/>
      </w:pPr>
      <w:r>
        <w:rPr>
          <w:b/>
        </w:rPr>
        <w:t xml:space="preserve">Notes: </w:t>
      </w:r>
      <w:r>
        <w:t>abstract_source=crossref</w:t>
      </w:r>
    </w:p>
    <w:p>
      <w:pPr>
        <w:spacing w:before="0" w:after="80" w:lineRule="auto" w:line="276"/>
      </w:pPr>
      <w:r>
        <w:rPr>
          <w:b/>
        </w:rPr>
        <w:t xml:space="preserve">摘要（ZH）: </w:t>
      </w:r>
      <w:r>
        <w:t>摘要 铝（Al）在纯水中的水解因Al的高能量密度和该工艺操作简单而被视为一种极具前景的按需供氢策略。然而，其精确的反应机理仍不清楚。本文报道了一种高效的熔炼方法来制备AlGaIn合金片，并阐明了水解过程的原子尺度反应路径。球差校正电子显微镜、X射线吸收精细结构和原位扫描电子显微镜表明，AlGaIn合金片呈现出具有丰富晶界的典型层状结构，由均匀的反应性表面AlGa膜、AlGa1单原子合金以及高度有序的In原子团簇组成。优化后的AlGaIn合金片在无需预先粉碎的情况下直接浸入纯水中，在室温下表现出优异的水解性能。环境压力X射线光电子能谱和密度泛函理论（DFT）计算证实，水解反应在反应性AlGa膜的活性位点上引发，并进一步被AlGa1单原子合金和高度有序In原子团簇的协同催化效应加速。特别是，In团簇主要促进水的解离，而AlGa1单原子合金则负责增强*H的复合和Al的溢流。</w:t>
      </w:r>
    </w:p>
    <w:p>
      <w:pPr>
        <w:spacing w:before="0" w:after="200" w:lineRule="auto" w:line="276"/>
      </w:pPr>
      <w:r>
        <w:rPr>
          <w:b/>
        </w:rPr>
        <w:t xml:space="preserve">Abstract (EN): </w:t>
      </w:r>
      <w:r>
        <w:t>The hydrolysis of aluminum (Al) in pure water is regarded as a greatly promising strategy for on‐demand hydrogen supply due to the high energy density of Al and the operational simplicity of the process. However, its precise reaction mechanism remains poorly understood. Here, we report an efficient smelting method to fabricate AlGaIn alloy sheet and elucidate the atomic‐scale reaction pathways of the hydrolysis process. Spherical aberration correction electron microscopy, X‐ray absorption fine structure, and in situ scanning electron microscopy reveal that AlGaIn alloy sheet shows a typical layered structure with rich grain boundaries and is composed of a uniform reactive surface AlGa film, AlGa 1 single‐atom alloys, and highly ordered In atom clusters. An optimized AlGaIn alloy sheet demonstrates excellent hydrolysis performance at room temperature when directly immersed in pure water without prior pulverization. Ambient‐pressure x‐ray photoelectron spectroscopy and density functional theory (DFT) calculations confirm that the hydrolysis reaction is initiated at the active sites on the reactive AlGa film and is further accelerated by a cooperative catalytic effect of AlGa 1 single‐atom alloys and highly ordered In atom clusters. In particular, In clusters mainly facilitate water dissociation, while AlGa 1 single‐atom alloys are responsible for enhancing *H combination and Al spillover.</w:t>
      </w:r>
    </w:p>
    <w:p>
      <w:pPr>
        <w:spacing w:before="120" w:after="120"/>
      </w:pPr>
      <w:r>
        <w:rPr>
          <w:sz w:val="18"/>
        </w:rPr>
        <w:t>——————————————————————————————————————————————————————————————————————</w:t>
      </w:r>
    </w:p>
    <w:p>
      <w:pPr>
        <w:spacing w:before="160" w:after="40" w:line="240" w:lineRule="auto"/>
      </w:pPr>
      <w:r>
        <w:rPr>
          <w:b/>
        </w:rPr>
        <w:t xml:space="preserve">[37] </w:t>
      </w:r>
      <w:hyperlink r:id="rId333">
        <w:r>
          <w:rPr>
            <w:color w:val="1155CC"/>
            <w:u w:val="single"/>
          </w:rPr>
          <w:t>近临界超薄聚乙烯膜电极中厚度门控的水与电子传输</w:t>
        </w:r>
      </w:hyperlink>
    </w:p>
    <w:p>
      <w:pPr>
        <w:spacing w:before="0" w:after="80"/>
      </w:pPr>
      <w:r>
        <w:rPr>
          <w:i/>
          <w:sz w:val="20"/>
        </w:rPr>
        <w:t>EN: Thickness‐Gated Water and Electron Transport in Near‐Critical Ultrathin Polyethylene Membrane Electrodes</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333">
        <w:r>
          <w:rPr>
            <w:color w:val="1155CC"/>
            <w:u w:val="single"/>
          </w:rPr>
          <w:t>10.1002/adma.74297</w:t>
        </w:r>
      </w:hyperlink>
    </w:p>
    <w:p>
      <w:pPr>
        <w:spacing w:before="0" w:after="120"/>
      </w:pPr>
      <w:r>
        <w:rPr>
          <w:b/>
        </w:rPr>
        <w:t xml:space="preserve">Notes: </w:t>
      </w:r>
      <w:r>
        <w:t>abstract_source=crossref</w:t>
      </w:r>
    </w:p>
    <w:p>
      <w:pPr>
        <w:spacing w:before="0" w:after="80" w:lineRule="auto" w:line="276"/>
      </w:pPr>
      <w:r>
        <w:rPr>
          <w:b/>
        </w:rPr>
        <w:t xml:space="preserve">摘要（ZH）: </w:t>
      </w:r>
      <w:r>
        <w:t>摘要 电化学系统受制于一种材料悖论：化学性质稳健的多孔隔膜通常具有疏水性和电子绝缘性，迫使采用笨重的富碳界面来兼顾传质与电接触。在这里，我们展示了将独立多孔聚乙烯推向近临界超薄状态可使厚度成为一种几何门控，从而在无需化学改性的情况下切换这些功能。在推测的下限（约10 nm）附近，厚度为60 nm的膜已进入该状态：液体侵入压力骤降至亚巴级窗口，使水性电解液得以渗透；同时电学阈值转变为亚伏级的软介质击穿，产生持久的面外导电性。同一骨架通过高柔顺性和真实接触面积增强了纳米线与基体的耦合，实现了无粘结剂、无碳的约300 nm超薄膜电极。作为严格的液相电化学验证，该膜电极在流动碱性电解液中驱动了持续高性能的选择性硝酸盐电还原制氨。近临界超薄性由此成为一种可门控的设计维度，用于将大宗塑料重新构想为跨膜活性平台。</w:t>
      </w:r>
    </w:p>
    <w:p>
      <w:pPr>
        <w:spacing w:before="0" w:after="200" w:lineRule="auto" w:line="276"/>
      </w:pPr>
      <w:r>
        <w:rPr>
          <w:b/>
        </w:rPr>
        <w:t xml:space="preserve">Abstract (EN): </w:t>
      </w:r>
      <w:r>
        <w:t>Electrochemical systems are constrained by a materials paradox: chemically robust porous separators are typically hydrophobic and electronically insulating, forcing bulky, carbon‐rich interfaces to couple mass transport and electrical contact. Here we show that pushing freestanding porous polyethylene into a near‐critical ultrathin regime turns thickness into a geometric gate, enabling these functions to be switched without chemical modification. Near an inferred lower bound (∼10 nm), a 60 nm membrane already enters this regime: liquid‐entry pressure collapses into a sub‐bar window, enabling aqueous‐electrolyte permeation, while the electrical threshold shifts to sub‐volt soft dielectric breakdown, yielding persistent through‐plane conductivity. The same scaffold enhances nanowire‐matrix coupling via high conformability and real contact area, enabling a binder‐ and carbon‐free ∼300 nm ultrathin membrane electrode. As a stringent liquid‐phase electrochemical validation, this membrane electrode drives selective nitrate‐to‐ammonia electroreduction in flowing alkaline electrolytes with sustained performance. Near‐critical ultrathinness thus emerges as a gateable design dimension for re‐imagining commodity plastics as transmembrane‐active platforms.</w:t>
      </w:r>
    </w:p>
    <w:p>
      <w:pPr>
        <w:spacing w:before="120" w:after="120"/>
      </w:pPr>
      <w:r>
        <w:rPr>
          <w:sz w:val="18"/>
        </w:rPr>
        <w:t>——————————————————————————————————————————————————————————————————————</w:t>
      </w:r>
    </w:p>
    <w:p>
      <w:pPr>
        <w:spacing w:before="160" w:after="40" w:line="240" w:lineRule="auto"/>
      </w:pPr>
      <w:r>
        <w:rPr>
          <w:b/>
        </w:rPr>
        <w:t xml:space="preserve">[38] </w:t>
      </w:r>
      <w:hyperlink r:id="rId344">
        <w:r>
          <w:rPr>
            <w:color w:val="1155CC"/>
            <w:u w:val="single"/>
          </w:rPr>
          <w:t>纳米纤维素/COF复合膜的超分子工程：多维质子通路与框架锚定的协调</w:t>
        </w:r>
      </w:hyperlink>
    </w:p>
    <w:p>
      <w:pPr>
        <w:spacing w:before="0" w:after="80"/>
      </w:pPr>
      <w:r>
        <w:rPr>
          <w:i/>
          <w:sz w:val="20"/>
        </w:rPr>
        <w:t>EN: Supramolecular Engineering of Nanocellulose/COF Composite Membranes: Reconciling Multidimensional Proton Pathways With Framework Anchoring</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344">
        <w:r>
          <w:rPr>
            <w:color w:val="1155CC"/>
            <w:u w:val="single"/>
          </w:rPr>
          <w:t>10.1002/aenm.71416</w:t>
        </w:r>
      </w:hyperlink>
    </w:p>
    <w:p>
      <w:pPr>
        <w:spacing w:before="0" w:after="120"/>
      </w:pPr>
      <w:r>
        <w:rPr>
          <w:b/>
        </w:rPr>
        <w:t xml:space="preserve">Notes: </w:t>
      </w:r>
      <w:r>
        <w:t>abstract_source=crossref</w:t>
      </w:r>
    </w:p>
    <w:p>
      <w:pPr>
        <w:spacing w:before="0" w:after="80" w:lineRule="auto" w:line="276"/>
      </w:pPr>
      <w:r>
        <w:rPr>
          <w:b/>
        </w:rPr>
        <w:t xml:space="preserve">摘要（ZH）: </w:t>
      </w:r>
      <w:r>
        <w:t>摘要 在保持尺寸稳定性的同时实现高质子传导性仍是纳米纤维素基质子交换膜（NC-PEMs）面临的关键挑战，因为必要的酸功能化 invariably 会引发严重的溶胀。在此，我们报道了一种超分子工程策略，将磺化纳米纤维素（SO3H-NC）与二维共价有机框架（TFP-DABA）集成，制备出克服这一长期权衡关系的SO3H-NC@TFP-DABA膜。在机理上，SO3H-NC作为功能性插层剂诱导TFP-DABA层的剥离，暴露被屏蔽的酸性位点，并将氢键网络重组为连续的多维质子传输通道。同时，TFP-DABA框架施加刚性尺寸约束，有效抑制SO3H-NC的水化诱导溶胀。因此，优化后的SO3H-NC@TFP-DABA 3/7膜在80°C、98%和33%相对湿度（RH）下分别实现了590.6和281.5 mS cm−1的破纪录质子电导率，分别比Nafion 212提高13.4倍和5.1倍。卓越的传输效率使单电池测试中的峰值功率密度达到240 mW cm−2，比商业标准提高三倍。同时，该膜的溶胀率保持在5%以下，比Nafion 212低近四倍。这项工作为构建在宽湿度范围内兼具高导电性和尺寸稳定性的生物基质子交换膜（bio-PEMs）确立了实用的超分子设计原则。</w:t>
      </w:r>
    </w:p>
    <w:p>
      <w:pPr>
        <w:spacing w:before="0" w:after="200" w:lineRule="auto" w:line="276"/>
      </w:pPr>
      <w:r>
        <w:rPr>
          <w:b/>
        </w:rPr>
        <w:t xml:space="preserve">Abstract (EN): </w:t>
      </w:r>
      <w:r>
        <w:t>Achieving high proton conductivity with dimensional stability remains a critical challenge for nanocellulose‐based proton exchange membranes (NC‐PEMs), as necessary acid functionalization invariably triggers severe swelling. Here we report a supramolecular engineering strategy that integrates sulfonated nanocellulose (SO 3 H‐NC) with a —2D covalent organic framework (TFP‐DABA), yielding a SO 3 H‐NC@TFP‐DABA membrane that overcomes this long‐standing trade‐off. Mechanistically, SO 3 H‐NC acts as a functional intercalator to induce the exfoliation of TFP‐DABA layers, exposing shielded acidic sites and reorganizing the hydrogen‐bond network into a continuous, multidimensional proton‐transport pathway. Simultaneously, TFP‐DABA framework imposes rigid dimensional confinement, effectively constraining the hydration‐induced swelling of the SO 3 H‐NC. Consequently, the optimized SO 3 H‐NC@TFP‐DABA 3/7 membrane delivers record‐breaking proton conductivities of 590.6 and 281.5 mS cm −1 at 80°C under 98% and 33% relative humidity (RH), respectively, corresponding to 13.4‐ and 5.1‐fold enhancements over Nafion 212. The superior transport efficiency facilitates a peak power density of 240 mW cm −2 in single‐cell tests, a threefold performance increase over the commercial standard. Meanwhile, the membrane maintains a swelling ratio of below 5%, nearly four times lower than that of Nafion 212. This work establishes a practical supramolecular design principle for constructing bio‐PEMs that are highly conductive yet dimensionally stable across a wide range of humidity conditions.</w:t>
      </w:r>
    </w:p>
    <w:p>
      <w:pPr>
        <w:spacing w:before="120" w:after="120"/>
      </w:pPr>
      <w:r>
        <w:rPr>
          <w:sz w:val="18"/>
        </w:rPr>
        <w:t>——————————————————————————————————————————————————————————————————————</w:t>
      </w:r>
    </w:p>
    <w:p>
      <w:pPr>
        <w:spacing w:before="160" w:after="40" w:line="240" w:lineRule="auto"/>
      </w:pPr>
      <w:r>
        <w:rPr>
          <w:b/>
        </w:rPr>
        <w:t xml:space="preserve">[39] </w:t>
      </w:r>
      <w:hyperlink r:id="rId345">
        <w:r>
          <w:rPr>
            <w:color w:val="1155CC"/>
            <w:u w:val="single"/>
          </w:rPr>
          <w:t>共边RuO2单层用于稳定低过电位酸性电解水</w:t>
        </w:r>
      </w:hyperlink>
    </w:p>
    <w:p>
      <w:pPr>
        <w:spacing w:before="0" w:after="80"/>
      </w:pPr>
      <w:r>
        <w:rPr>
          <w:i/>
          <w:sz w:val="20"/>
        </w:rPr>
        <w:t>EN: Edge-sharing RuO2 single layer for stable and low overpotential acidic water electrolysis</w:t>
      </w:r>
    </w:p>
    <w:p>
      <w:pPr>
        <w:spacing w:before="0" w:after="120"/>
      </w:pPr>
      <w:r>
        <w:rPr>
          <w:b/>
        </w:rPr>
        <w:t xml:space="preserve">Source: </w:t>
      </w:r>
      <w:r>
        <w:t>Nature Nanotechnology</w:t>
      </w:r>
      <w:r>
        <w:t xml:space="preserve">    </w:t>
      </w:r>
      <w:r>
        <w:rPr>
          <w:b/>
        </w:rPr>
        <w:t xml:space="preserve">Pub date: </w:t>
      </w:r>
      <w:r>
        <w:t>2026-09-01 00:00:00+00:00</w:t>
      </w:r>
      <w:r>
        <w:t xml:space="preserve">    </w:t>
      </w:r>
      <w:r>
        <w:rPr>
          <w:b/>
        </w:rPr>
        <w:t xml:space="preserve">DOI: </w:t>
      </w:r>
      <w:hyperlink r:id="rId346">
        <w:r>
          <w:rPr>
            <w:color w:val="1155CC"/>
            <w:u w:val="single"/>
          </w:rPr>
          <w:t>10.1038/s41565-026-02255-5</w:t>
        </w:r>
      </w:hyperlink>
    </w:p>
    <w:p>
      <w:pPr>
        <w:spacing w:before="0" w:after="120"/>
      </w:pPr>
      <w:r>
        <w:rPr>
          <w:b/>
        </w:rPr>
        <w:t xml:space="preserve">Notes: </w:t>
      </w:r>
      <w:r>
        <w:t>abstract_source=pubmed</w:t>
      </w:r>
    </w:p>
    <w:p>
      <w:pPr>
        <w:spacing w:before="0" w:after="80" w:lineRule="auto" w:line="276"/>
      </w:pPr>
      <w:r>
        <w:rPr>
          <w:b/>
        </w:rPr>
        <w:t xml:space="preserve">摘要（ZH）: </w:t>
      </w:r>
      <w:r>
        <w:t>酸性析氧反应本质上动力学缓慢，需要较大的过电位，这构成了质子交换膜电解水技术的关键瓶颈。在此，我们展示了一种边共享单层氧化物——1T相氧化钌（1T-RuO2）。边共享构型使相邻RuO6八面体簇之间的钌4d轨道能够平行排列，从而促进位间电子传输，这与具有角共享/边共享结构的常规金红石型RuO2形成对比。1T-RuO2表现出高酸性析氧反应活性，在10 mA cm-2下过电位低至77 mV。它还在1.50 V（相对于可逆氢电极）下提供了3 , 743 . 43 A g Ru - 1的质量活性和23.99 s-1的转换频率，超过了金红石型RuO2，并在所述实验框架下表现出极具竞争力的性能。此外，在质子交换膜电解槽中，1T-RuO2在1.70 V的槽电压下维持~2.9 A cm-2的电流密度超过1,100小时。</w:t>
      </w:r>
    </w:p>
    <w:p>
      <w:pPr>
        <w:spacing w:before="0" w:after="200" w:lineRule="auto" w:line="276"/>
      </w:pPr>
      <w:r>
        <w:rPr>
          <w:b/>
        </w:rPr>
        <w:t xml:space="preserve">Abstract (EN): </w:t>
      </w:r>
      <w:r>
        <w:t>The acidic oxygen-evolution reaction is intrinsically sluggish and requires large overpotentials, creating a key bottleneck for proton-exchange membrane water electrolysis technology. Here we show an edge-sharing single-layer oxide, 1T-phase ruthenium oxide (1T-RuO2). The edge-sharing configuration enables parallel alignment of ruthenium 4d orbitals across adjacent RuO6 octahedral clusters, facilitating intersite electron transport, in contrast to conventional rutile-type RuO2 with corner-/edge-sharing structures. 1T-RuO2 exhibits high acidic oxygen-evolution reaction activity with a low overpotential of 77 mV at 10 mA cm-2. It also delivers a mass activity of 3 , 743 . 43  A  g Ru - 1    and a turnover frequency of 23.99 s-1 at 1.50 V versus the reversible hydrogen electrode, exceeding those of rutile-RuO2 and showing highly competitive performance under the described experimental framework. In addition, 1T-RuO2 maintains a current density of ∼2.9 A cm-2 at a cell voltage of 1.70 V for over 1,100 h in a proton-exchange membrane water electrolyser.</w:t>
      </w:r>
    </w:p>
    <w:p>
      <w:pPr>
        <w:spacing w:before="120" w:after="120"/>
      </w:pPr>
      <w:r>
        <w:rPr>
          <w:sz w:val="18"/>
        </w:rPr>
        <w:t>——————————————————————————————————————————————————————————————————————</w:t>
      </w:r>
    </w:p>
    <w:p>
      <w:pPr>
        <w:spacing w:before="160" w:after="40" w:line="240" w:lineRule="auto"/>
      </w:pPr>
      <w:r>
        <w:rPr>
          <w:b/>
        </w:rPr>
        <w:t xml:space="preserve">[40] </w:t>
      </w:r>
      <w:hyperlink r:id="rId347">
        <w:r>
          <w:rPr>
            <w:color w:val="1155CC"/>
            <w:u w:val="single"/>
          </w:rPr>
          <w:t>季节性储氢系统的多阶段不确定性配置优化</w:t>
        </w:r>
      </w:hyperlink>
    </w:p>
    <w:p>
      <w:pPr>
        <w:spacing w:before="0" w:after="80"/>
      </w:pPr>
      <w:r>
        <w:rPr>
          <w:i/>
          <w:sz w:val="20"/>
        </w:rPr>
        <w:t>EN: Multi-stage uncertainty configuration optimization of seasonal hydrogen storage system</w:t>
      </w:r>
    </w:p>
    <w:p>
      <w:pPr>
        <w:spacing w:before="0" w:after="120"/>
      </w:pPr>
      <w:r>
        <w:rPr>
          <w:b/>
        </w:rPr>
        <w:t xml:space="preserve">Source: </w:t>
      </w:r>
      <w:r>
        <w:t>ScienceDirect Publication: Applied Energy</w:t>
      </w:r>
      <w:r>
        <w:t xml:space="preserve">    </w:t>
      </w:r>
      <w:r>
        <w:rPr>
          <w:b/>
        </w:rPr>
        <w:t xml:space="preserve">Pub date: </w:t>
      </w:r>
      <w:r>
        <w:t>2026-09-01 00:00:00+00:00</w:t>
      </w:r>
      <w:r>
        <w:t xml:space="preserve">    </w:t>
      </w:r>
      <w:r>
        <w:rPr>
          <w:b/>
        </w:rPr>
        <w:t xml:space="preserve">DOI: </w:t>
      </w:r>
      <w:hyperlink r:id="rId348">
        <w:r>
          <w:rPr>
            <w:color w:val="1155CC"/>
            <w:u w:val="single"/>
          </w:rPr>
          <w:t>10.1016/j.apenergy.2026.128720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 </w:t>
      </w:r>
      <w:hyperlink r:id="rId349">
        <w:r>
          <w:rPr>
            <w:color w:val="1155CC"/>
            <w:u w:val="single"/>
          </w:rPr>
          <w:t>卤素离子调控聚三嗪酰亚胺结晶实现高效光催化全分解水</w:t>
        </w:r>
      </w:hyperlink>
    </w:p>
    <w:p>
      <w:pPr>
        <w:spacing w:before="0" w:after="80"/>
      </w:pPr>
      <w:r>
        <w:rPr>
          <w:i/>
          <w:sz w:val="20"/>
        </w:rPr>
        <w:t>EN: Halide ion-modulated crystallization of poly(triazine imide) for efficient photocatalytic overall water splitting</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349">
        <w:r>
          <w:rPr>
            <w:color w:val="1155CC"/>
            <w:u w:val="single"/>
          </w:rPr>
          <w:t>10.1016/j.matt.2026.102861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 </w:t>
      </w:r>
      <w:hyperlink r:id="rId350">
        <w:r>
          <w:rPr>
            <w:color w:val="1155CC"/>
            <w:u w:val="single"/>
          </w:rPr>
          <w:t>用于高温质子交换膜燃料电池阴极中磷酸分布与保持的黏结剂工程</w:t>
        </w:r>
      </w:hyperlink>
    </w:p>
    <w:p>
      <w:pPr>
        <w:spacing w:before="0" w:after="80"/>
      </w:pPr>
      <w:r>
        <w:rPr>
          <w:i/>
          <w:sz w:val="20"/>
        </w:rPr>
        <w:t>EN: Binder Engineering for Phosphoric Acid Distribution and Retention in High‐Temperature Proton Exchange Membrane Fuel Cell Cathodes</w:t>
      </w:r>
    </w:p>
    <w:p>
      <w:pPr>
        <w:spacing w:before="0" w:after="120"/>
      </w:pPr>
      <w:r>
        <w:rPr>
          <w:b/>
        </w:rPr>
        <w:t xml:space="preserve">Source: </w:t>
      </w:r>
      <w:r>
        <w:t>Advanced Materials</w:t>
      </w:r>
      <w:r>
        <w:t xml:space="preserve">    </w:t>
      </w:r>
      <w:r>
        <w:rPr>
          <w:b/>
        </w:rPr>
        <w:t xml:space="preserve">Pub date: </w:t>
      </w:r>
      <w:r>
        <w:t>2026-09-02 00:00:00+00:00</w:t>
      </w:r>
      <w:r>
        <w:t xml:space="preserve">    </w:t>
      </w:r>
      <w:r>
        <w:rPr>
          <w:b/>
        </w:rPr>
        <w:t xml:space="preserve">DOI: </w:t>
      </w:r>
      <w:hyperlink r:id="rId351">
        <w:r>
          <w:rPr>
            <w:color w:val="1155CC"/>
            <w:u w:val="single"/>
          </w:rPr>
          <w:t>10.1002/adma.74884</w:t>
        </w:r>
      </w:hyperlink>
    </w:p>
    <w:p>
      <w:pPr>
        <w:spacing w:before="0" w:after="120"/>
      </w:pPr>
      <w:r>
        <w:rPr>
          <w:b/>
        </w:rPr>
        <w:t xml:space="preserve">Notes: </w:t>
      </w:r>
      <w:r>
        <w:t>abstract_source=crossref</w:t>
      </w:r>
    </w:p>
    <w:p>
      <w:pPr>
        <w:spacing w:before="0" w:after="80" w:lineRule="auto" w:line="276"/>
      </w:pPr>
      <w:r>
        <w:rPr>
          <w:b/>
        </w:rPr>
        <w:t xml:space="preserve">摘要（ZH）: </w:t>
      </w:r>
      <w:r>
        <w:t>摘要 高温质子交换膜燃料电池（HT-PEMFC）在能量转换方面具有显著优势，包括简化的水和热管理以及对燃料杂质的高耐受性。在这些系统中，磷酸（PA）作为主要的质子导体，实现无水质子输运。然而，阴极性能和耐久性仍受缓慢的氧还原动力学以及控制 PA 分布与保持的挑战所限制。不均匀的酸分布表现为局部淹渍（堵塞气体通道并覆盖活性位点）或局部耗竭（破坏质子传导网络），导致严重的传质损失和性能衰减。同时，运行过程中 PA 的逐渐迁移和损失会逐步劣化质子传导路径，加速电压衰减。近期研究表明，阴极黏结剂工程是调控 PA 分布与保持的有效策略。本综述系统考察了阴极黏结剂体系的设计——包括聚合物黏结剂优化和功能添加剂集成——以及用于评估其在 PA 管理中效能的表征与诊断框架。我们进一步将先进的 PA 表征技术与全面的电化学性能评估框架相结合。通过在黏结剂设计、PA 分布与保持行为以及器件级性能评估之间建立明确联系，本综述为高性能（材料）的合理开发提供了指导性指南。</w:t>
      </w:r>
    </w:p>
    <w:p>
      <w:pPr>
        <w:spacing w:before="0" w:after="200" w:lineRule="auto" w:line="276"/>
      </w:pPr>
      <w:r>
        <w:rPr>
          <w:b/>
        </w:rPr>
        <w:t xml:space="preserve">Abstract (EN): </w:t>
      </w:r>
      <w:r>
        <w:t>High‐temperature proton exchange membrane fuel cells (HT‐PEMFCs) offer compelling advantages for energy conversion, including simplified water and thermal management and high tolerance to fuel impurities. In these systems, phosphoric acid (PA) serves as the primary proton conductor, enabling anhydrous proton transport. However, cathode performance and durability remain constrained by sluggish oxygen reduction kinetics and the challenge of controlling PA distribution and retention. Uneven acid distribution, manifesting as local flooding that blocks gas pathways and covers active sites or local depletion that disrupts proton‐conducting networks, causes severe mass‐transport losses and performance decay. Concurrently, gradual PA migration and loss during operation progressively degrade proton conduction pathways, accelerating voltage decay. Recent studies have established cathode binder engineering as an effective strategy to regulate both PA distribution and retention. This review systematically examines the design of cathode binder systems—encompassing polymer binder optimization and functional additive integration—and the characterization and diagnostic frameworks for evaluating their efficacy in PA management. We further integrate advanced PA characterization techniques with a comprehensive electrochemical performance evaluation framework. By establishing explicit connections among binder design, PA distribution and retention behavior, and device‐level performance assessment, this review provides an instructive guide for the rational development of high‐performance, durable HT‐PEMFC cathodes.</w:t>
      </w:r>
    </w:p>
    <w:p>
      <w:pPr>
        <w:spacing w:before="120" w:after="120"/>
      </w:pPr>
      <w:r>
        <w:rPr>
          <w:sz w:val="18"/>
        </w:rPr>
        <w:t>——————————————————————————————————————————————————————————————————————</w:t>
      </w:r>
    </w:p>
    <w:p>
      <w:pPr>
        <w:spacing w:before="160" w:after="40" w:line="240" w:lineRule="auto"/>
      </w:pPr>
      <w:r>
        <w:rPr>
          <w:b/>
        </w:rPr>
        <w:t xml:space="preserve">[43] </w:t>
      </w:r>
      <w:hyperlink r:id="rId352">
        <w:r>
          <w:rPr>
            <w:color w:val="1155CC"/>
            <w:u w:val="single"/>
          </w:rPr>
          <w:t>氨重整氢双燃料电动动力系统的协调自适应控制：按需制氢与发电的优化</w:t>
        </w:r>
      </w:hyperlink>
    </w:p>
    <w:p>
      <w:pPr>
        <w:spacing w:before="0" w:after="80"/>
      </w:pPr>
      <w:r>
        <w:rPr>
          <w:i/>
          <w:sz w:val="20"/>
        </w:rPr>
        <w:t>EN: Coordinated adaptive control for an ammonia-reformed hydrogen dual-fuel e-powertrain: Optimizing on-demand hydrogen production and power generation</w:t>
      </w:r>
    </w:p>
    <w:p>
      <w:pPr>
        <w:spacing w:before="0" w:after="120"/>
      </w:pPr>
      <w:r>
        <w:rPr>
          <w:b/>
        </w:rPr>
        <w:t xml:space="preserve">Source: </w:t>
      </w:r>
      <w:r>
        <w:t>ScienceDirect Publication: Applied Energy</w:t>
      </w:r>
      <w:r>
        <w:t xml:space="preserve">    </w:t>
      </w:r>
      <w:r>
        <w:rPr>
          <w:b/>
        </w:rPr>
        <w:t xml:space="preserve">Pub date: </w:t>
      </w:r>
      <w:r>
        <w:t>2026-09-02 00:00:00+00:00</w:t>
      </w:r>
      <w:r>
        <w:t xml:space="preserve">    </w:t>
      </w:r>
      <w:r>
        <w:rPr>
          <w:b/>
        </w:rPr>
        <w:t xml:space="preserve">DOI: </w:t>
      </w:r>
      <w:hyperlink r:id="rId353">
        <w:r>
          <w:rPr>
            <w:color w:val="1155CC"/>
            <w:u w:val="single"/>
          </w:rPr>
          <w:t>10.1016/j.apenergy.2026.128730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354">
        <w:r>
          <w:rPr>
            <w:color w:val="1155CC"/>
            <w:u w:val="single"/>
          </w:rPr>
          <w:t>氢能综合能源系统的数据驱动调度：一种基于约束感知安全投影的离线强化学习方法</w:t>
        </w:r>
      </w:hyperlink>
    </w:p>
    <w:p>
      <w:pPr>
        <w:spacing w:before="0" w:after="80"/>
      </w:pPr>
      <w:r>
        <w:rPr>
          <w:i/>
          <w:sz w:val="20"/>
        </w:rPr>
        <w:t>EN: Data-driven scheduling of hydrogen-integrated energy systems: An offline reinforcement learning approach with constraint-aware safety projection</w:t>
      </w:r>
    </w:p>
    <w:p>
      <w:pPr>
        <w:spacing w:before="0" w:after="120"/>
      </w:pPr>
      <w:r>
        <w:rPr>
          <w:b/>
        </w:rPr>
        <w:t xml:space="preserve">Source: </w:t>
      </w:r>
      <w:r>
        <w:t>ScienceDirect Publication: Applied Energy</w:t>
      </w:r>
      <w:r>
        <w:t xml:space="preserve">    </w:t>
      </w:r>
      <w:r>
        <w:rPr>
          <w:b/>
        </w:rPr>
        <w:t xml:space="preserve">Pub date: </w:t>
      </w:r>
      <w:r>
        <w:t>2026-09-02 00:00:00+00:00</w:t>
      </w:r>
      <w:r>
        <w:t xml:space="preserve">    </w:t>
      </w:r>
      <w:r>
        <w:rPr>
          <w:b/>
        </w:rPr>
        <w:t xml:space="preserve">DOI: </w:t>
      </w:r>
      <w:hyperlink r:id="rId355">
        <w:r>
          <w:rPr>
            <w:color w:val="1155CC"/>
            <w:u w:val="single"/>
          </w:rPr>
          <w:t>10.1016/j.apenergy.2026.128751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356">
        <w:r>
          <w:rPr>
            <w:color w:val="1155CC"/>
            <w:u w:val="single"/>
          </w:rPr>
          <w:t>界面水结构的晶面调控调节电催化氢反应动力学</w:t>
        </w:r>
      </w:hyperlink>
    </w:p>
    <w:p>
      <w:pPr>
        <w:spacing w:before="0" w:after="80"/>
      </w:pPr>
      <w:r>
        <w:rPr>
          <w:i/>
          <w:sz w:val="20"/>
        </w:rPr>
        <w:t>EN: Facet Modulation of Interfacial Water Structure Tunes Electrocatalytic Hydrogen Reaction Kinetics</w:t>
      </w:r>
    </w:p>
    <w:p>
      <w:pPr>
        <w:spacing w:before="0" w:after="120"/>
      </w:pPr>
      <w:r>
        <w:rPr>
          <w:b/>
        </w:rPr>
        <w:t xml:space="preserve">Source: </w:t>
      </w:r>
      <w:r>
        <w:t>Journal of the American Chemical Society: Latest Articles (ACS Publications)</w:t>
      </w:r>
      <w:r>
        <w:t xml:space="preserve">    </w:t>
      </w:r>
      <w:r>
        <w:rPr>
          <w:b/>
        </w:rPr>
        <w:t xml:space="preserve">Pub date: </w:t>
      </w:r>
      <w:r>
        <w:t>2026-09-02 00:00:00+00:00</w:t>
      </w:r>
      <w:r>
        <w:t xml:space="preserve">    </w:t>
      </w:r>
      <w:r>
        <w:rPr>
          <w:b/>
        </w:rPr>
        <w:t xml:space="preserve">DOI: </w:t>
      </w:r>
      <w:hyperlink r:id="rId357">
        <w:r>
          <w:rPr>
            <w:color w:val="1155CC"/>
            <w:u w:val="single"/>
          </w:rPr>
          <w:t>10.1021/jacs.6c11313</w:t>
        </w:r>
      </w:hyperlink>
    </w:p>
    <w:p>
      <w:pPr>
        <w:spacing w:before="0" w:after="120"/>
      </w:pPr>
      <w:r>
        <w:rPr>
          <w:b/>
        </w:rPr>
        <w:t xml:space="preserve">Notes: </w:t>
      </w:r>
      <w:r>
        <w:t>abstract_source=crossref</w:t>
      </w:r>
    </w:p>
    <w:p>
      <w:pPr>
        <w:spacing w:before="0" w:after="80" w:lineRule="auto" w:line="276"/>
      </w:pPr>
      <w:r>
        <w:rPr>
          <w:b/>
        </w:rPr>
        <w:t xml:space="preserve">摘要（ZH）: </w:t>
      </w:r>
      <w:r>
        <w:t>摘要 界面水结构在理论上被视为电催化反应动力学的主调控者，但对这一作用的直接实验验证一直是重大挑战。探测动力学同位素效应（KIEs）对于解析碱性介质中难以捉摸的质子耦合电子转移（PCET）机制至关重要，这是电催化领域长期存在的谜题。然而，这种精度需要原子级精确单晶电极和超纯D2O的严格保障，以确保结果的确定性。在此，我们发现析氢反应KIE随表面结构急剧变化：Pt(100)约为6，Pt(111)约为1，Pt(110)为中间值。通过结合核–电子轨道密度泛函理论（NEO-DFT）与原位激光诱导温度跃变（LITJ）实验，我们提出这种差异源于Pt(111)上刚性的六方形氢键网络与Pt(100)上更为无序、柔性的界面层（后者对同位素取代更敏感），以及H/D吸附位点的差异（其会影响有效质子转移距离）。此外，台阶表面的测量表明，台阶密度是调控这些水环境的关键旋钮。最后，为弥合体相单晶与实用纳米颗粒之间的知识鸿沟，{100}取向的Pt纳米立方体和{111}取向的Pt纳米四面体揭示了与其单晶对应物相当的晶面依赖KIE趋势</w:t>
      </w:r>
    </w:p>
    <w:p>
      <w:pPr>
        <w:spacing w:before="0" w:after="200" w:lineRule="auto" w:line="276"/>
      </w:pPr>
      <w:r>
        <w:rPr>
          <w:b/>
        </w:rPr>
        <w:t xml:space="preserve">Abstract (EN): </w:t>
      </w:r>
      <w:r>
        <w:t>Interfacial water structure is theoretically envisioned as the master regulator of electrocatalytic reaction kinetics, but the direct experimental validation of this role has remained a formidable challenge. Probing kinetic isotope effects (KIEs) is paramount to deciphering the elusive proton-coupled electron transfer (PCET) mechanisms in alkaline media, a long-standing enigma in electrocatalysis. Such precision, however, demands the uncompromising rigor of atomic-level-precise single-crystal electrodes and ultrapure D2O to ensure definitive results. Here, we uncover a hydrogen evolution reaction KIE that varies sharply with the surface structure: ∼6 for Pt(100), ∼1 for Pt(111), and intermediate values for Pt(110). Through a combination of nuclear–electronic orbital density functional theory (NEO-DFT) and in situ laser-induced temperature-jump (LITJ) experiments, we propose that this disparity originates from the difference between a rigid, hexagonal H-bonded network on Pt(111) and a more disordered, flexible interfacial layer on Pt(100) that would be more sensitive to isotopic substitution, as well as from differences in H/D adsorption sites, which would influence the effective proton transfer distances. Furthermore, measurements with stepped surfaces show that step density acts as a critical dial to tune these water environments. Finally, to bridge the knowledge gap between bulk single-crystals and practical nanoparticles, {100}-oriented Pt nanocubes and {111}-oriented Pt nanotetrahedrons reveal a facet-dependent KIE trend comparable to their single-crystal counterparts. These insights provide a transformative framework for the rational design of high-performance interfaces for green hydrogen production.</w:t>
      </w:r>
    </w:p>
    <w:p>
      <w:pPr>
        <w:spacing w:before="120" w:after="120"/>
      </w:pPr>
      <w:r>
        <w:rPr>
          <w:sz w:val="18"/>
        </w:rPr>
        <w:t>——————————————————————————————————————————————————————————————————————</w:t>
      </w:r>
    </w:p>
    <w:p>
      <w:pPr>
        <w:spacing w:before="160" w:after="40" w:line="240" w:lineRule="auto"/>
      </w:pPr>
      <w:r>
        <w:rPr>
          <w:b/>
        </w:rPr>
        <w:t xml:space="preserve">[46] </w:t>
      </w:r>
      <w:hyperlink r:id="rId357">
        <w:r>
          <w:rPr>
            <w:color w:val="1155CC"/>
            <w:u w:val="single"/>
          </w:rPr>
          <w:t>界面水结构的晶面调控调谐电催化氢反应动力学</w:t>
        </w:r>
      </w:hyperlink>
    </w:p>
    <w:p>
      <w:pPr>
        <w:spacing w:before="0" w:after="80"/>
      </w:pPr>
      <w:r>
        <w:rPr>
          <w:i/>
          <w:sz w:val="20"/>
        </w:rPr>
        <w:t>EN: Facet Modulation of Interfacial Water Structure Tunes Electrocatalytic Hydrogen Reaction Kinetics</w:t>
      </w:r>
    </w:p>
    <w:p>
      <w:pPr>
        <w:spacing w:before="0" w:after="120"/>
      </w:pPr>
      <w:r>
        <w:rPr>
          <w:b/>
        </w:rPr>
        <w:t xml:space="preserve">Source: </w:t>
      </w:r>
      <w:r>
        <w:t>Journal of the American Chemical Society</w:t>
      </w:r>
      <w:r>
        <w:t xml:space="preserve">    </w:t>
      </w:r>
      <w:r>
        <w:rPr>
          <w:b/>
        </w:rPr>
        <w:t xml:space="preserve">Pub date: </w:t>
      </w:r>
      <w:r>
        <w:t>2026-09-02 00:00:00+00:00</w:t>
      </w:r>
      <w:r>
        <w:t xml:space="preserve">    </w:t>
      </w:r>
      <w:r>
        <w:rPr>
          <w:b/>
        </w:rPr>
        <w:t xml:space="preserve">DOI: </w:t>
      </w:r>
      <w:hyperlink r:id="rId357">
        <w:r>
          <w:rPr>
            <w:color w:val="1155CC"/>
            <w:u w:val="single"/>
          </w:rPr>
          <w:t>10.1021/jacs.6c11313</w:t>
        </w:r>
      </w:hyperlink>
    </w:p>
    <w:p>
      <w:pPr>
        <w:spacing w:before="0" w:after="120"/>
      </w:pPr>
      <w:r>
        <w:rPr>
          <w:b/>
        </w:rPr>
        <w:t xml:space="preserve">Notes: </w:t>
      </w:r>
      <w:r>
        <w:t>abstract_source=crossref</w:t>
      </w:r>
    </w:p>
    <w:p>
      <w:pPr>
        <w:spacing w:before="0" w:after="80" w:lineRule="auto" w:line="276"/>
      </w:pPr>
      <w:r>
        <w:rPr>
          <w:b/>
        </w:rPr>
        <w:t xml:space="preserve">摘要（ZH）: </w:t>
      </w:r>
      <w:r>
        <w:t>摘要 界面水结构在理论上被视为电催化反应动力学的主调控因素，但对这一作用的直接实验验证一直是一项艰巨的挑战。探测动力学同位素效应（KIE）对于解密碱性介质中难以捉摸的质子耦合电子转移（PCET）机制至关重要，这是电催化领域长期存在的谜题。然而，这种精度需要原子级精确单晶电极和超纯D2O的严格保证，以确保结果的确定性。在此，我们发现析氢反应KIE随表面结构剧烈变化：Pt(100)约为6，Pt(111)约为1，Pt(110)为中间值。通过核–电子轨道密度泛函理论（NEO-DFT）与原位激光诱导温度跳跃（LITJ）实验相结合，我们提出这种差异源于Pt(111)上刚性的六方氢键网络与Pt(100)上更无序、更柔性的界面层之间的差别，后者对同位素取代更为敏感，同时也源于H/D吸附位点的差异，这会影响有效的质子转移距离。此外，台阶表面的测量表明台阶密度是调控这些水环境的关键旋钮。最后，为弥合体相单晶与实用纳米颗粒之间的知识差距，{100}取向的Pt纳米立方体和{111}取向的Pt纳米四面体揭示了与其单晶对应物相当的晶面依赖性KIE趋势</w:t>
      </w:r>
    </w:p>
    <w:p>
      <w:pPr>
        <w:spacing w:before="0" w:after="200" w:lineRule="auto" w:line="276"/>
      </w:pPr>
      <w:r>
        <w:rPr>
          <w:b/>
        </w:rPr>
        <w:t xml:space="preserve">Abstract (EN): </w:t>
      </w:r>
      <w:r>
        <w:t>Interfacial water structure is theoretically envisioned as the master regulator of electrocatalytic reaction kinetics, but the direct experimental validation of this role has remained a formidable challenge. Probing kinetic isotope effects (KIEs) is paramount to deciphering the elusive proton-coupled electron transfer (PCET) mechanisms in alkaline media, a long-standing enigma in electrocatalysis. Such precision, however, demands the uncompromising rigor of atomic-level-precise single-crystal electrodes and ultrapure D2O to ensure definitive results. Here, we uncover a hydrogen evolution reaction KIE that varies sharply with the surface structure: ∼6 for Pt(100), ∼1 for Pt(111), and intermediate values for Pt(110). Through a combination of nuclear–electronic orbital density functional theory (NEO-DFT) and in situ laser-induced temperature-jump (LITJ) experiments, we propose that this disparity originates from the difference between a rigid, hexagonal H-bonded network on Pt(111) and a more disordered, flexible interfacial layer on Pt(100) that would be more sensitive to isotopic substitution, as well as from differences in H/D adsorption sites, which would influence the effective proton transfer distances. Furthermore, measurements with stepped surfaces show that step density acts as a critical dial to tune these water environments. Finally, to bridge the knowledge gap between bulk single-crystals and practical nanoparticles, {100}-oriented Pt nanocubes and {111}-oriented Pt nanotetrahedrons reveal a facet-dependent KIE trend comparable to their single-crystal counterparts. These insights provide a transformative framework for the rational design of high-performance interfaces for green hydrogen production.</w:t>
      </w:r>
    </w:p>
    <w:p>
      <w:pPr>
        <w:spacing w:before="120" w:after="120"/>
      </w:pPr>
      <w:r>
        <w:rPr>
          <w:sz w:val="18"/>
        </w:rPr>
        <w:t>——————————————————————————————————————————————————————————————————————</w:t>
      </w:r>
    </w:p>
    <w:p>
      <w:pPr>
        <w:spacing w:before="160" w:after="40" w:line="240" w:lineRule="auto"/>
      </w:pPr>
      <w:r>
        <w:rPr>
          <w:b/>
        </w:rPr>
        <w:t xml:space="preserve">[47] </w:t>
      </w:r>
      <w:hyperlink r:id="rId358">
        <w:r>
          <w:rPr>
            <w:color w:val="1155CC"/>
            <w:u w:val="single"/>
          </w:rPr>
          <w:t>温度依赖的伏安法揭示Pt上氨氧化反应中反应物种的电位依赖性形成及其对界面过剩电荷的影响</w:t>
        </w:r>
      </w:hyperlink>
    </w:p>
    <w:p>
      <w:pPr>
        <w:spacing w:before="0" w:after="80"/>
      </w:pPr>
      <w:r>
        <w:rPr>
          <w:i/>
          <w:sz w:val="20"/>
        </w:rPr>
        <w:t>EN: Temperature-Dependent Voltammetry Reveals the Potential-Dependent Formation of Reaction Species and Their Impact on Interfacial Excess Charge during the Ammonia Oxidation Reaction on Pt</w:t>
      </w:r>
    </w:p>
    <w:p>
      <w:pPr>
        <w:spacing w:before="0" w:after="120"/>
      </w:pPr>
      <w:r>
        <w:rPr>
          <w:b/>
        </w:rPr>
        <w:t xml:space="preserve">Source: </w:t>
      </w:r>
      <w:r>
        <w:t>Journal of the American Chemical Society: Latest Articles (ACS Publications)</w:t>
      </w:r>
      <w:r>
        <w:t xml:space="preserve">    </w:t>
      </w:r>
      <w:r>
        <w:rPr>
          <w:b/>
        </w:rPr>
        <w:t xml:space="preserve">Pub date: </w:t>
      </w:r>
      <w:r>
        <w:t>2026-09-03 00:00:00+00:00</w:t>
      </w:r>
      <w:r>
        <w:t xml:space="preserve">    </w:t>
      </w:r>
      <w:r>
        <w:rPr>
          <w:b/>
        </w:rPr>
        <w:t xml:space="preserve">DOI: </w:t>
      </w:r>
      <w:hyperlink r:id="rId359">
        <w:r>
          <w:rPr>
            <w:color w:val="1155CC"/>
            <w:u w:val="single"/>
          </w:rPr>
          <w:t>10.1021/jacs.6c04573</w:t>
        </w:r>
      </w:hyperlink>
    </w:p>
    <w:p>
      <w:pPr>
        <w:spacing w:before="0" w:after="120"/>
      </w:pPr>
      <w:r>
        <w:rPr>
          <w:b/>
        </w:rPr>
        <w:t xml:space="preserve">Notes: </w:t>
      </w:r>
      <w:r>
        <w:t>abstract_source=crossref</w:t>
      </w:r>
    </w:p>
    <w:p>
      <w:pPr>
        <w:spacing w:before="0" w:after="80" w:lineRule="auto" w:line="276"/>
      </w:pPr>
      <w:r>
        <w:rPr>
          <w:b/>
        </w:rPr>
        <w:t xml:space="preserve">摘要（ZH）: </w:t>
      </w:r>
      <w:r>
        <w:t>摘要 电催化氨氧化反应（AOR）历来引起了人们的极大兴趣，因为氨可以用作无碳燃料和方便的氢气载体。阻碍其应用的主要挑战是高过电势和快速催化剂中毒，但人们对此仍知之甚少。在这里，我们通过温度依赖性循环伏安法和多晶 Pt 的电化学阿伦尼乌斯分析结合红外光谱研究了反应物种的过电势依赖性形成。此外，我们通过 CO 位移测量将动力学参数的演变与极化程度和过量电荷联系起来。引人注目的是，随着超电势的增加，我们发现了一种反应物质（不是直接中间体）的平行形成，它调节电子化学势，从而调节零电荷的电势。由于这种耦合，这种“中毒”物质的平行形成似乎随着过电势的增加而使表面去极化。为了恢复界面极化，需要进一步增加过电势，然后才能恢复活性并产生大量法拉第电流。出现的是一个新的动力学图，其中界面过量电荷的形成和稳定对于催化剂活性都具有决定性作用。总的来说，该研究证明了执行温度依赖性循环伏安法对于揭示局部化学物质的瞬态变化如何调节整体内球动力学的效用。</w:t>
      </w:r>
    </w:p>
    <w:p>
      <w:pPr>
        <w:spacing w:before="0" w:after="200" w:lineRule="auto" w:line="276"/>
      </w:pPr>
      <w:r>
        <w:rPr>
          <w:b/>
        </w:rPr>
        <w:t xml:space="preserve">Abstract (EN): </w:t>
      </w:r>
      <w:r>
        <w:t>The electrocatalytic ammonia oxidation reaction (AOR) has historically garnered significant interest, since ammonia could be used as a carbon-free fuel and convenient H2 carrier. Key challenges hindering its application are the high overpotentials and rapid catalyst poisoning, which remain poorly understood. Here, we study the overpotential-dependent formation of reaction species via temperature-dependent cyclic voltammetry and electrochemical Arrhenius analysis on polycrystalline Pt in conjunction with infrared spectroscopy. Further, we link the evolution of the kinetic parameters to the degree of polarization and excess charge via CO-displacement measurements. Strikingly, with increasing overpotential, we discover the parallel formation of a reaction species (not a direct intermediate) that modulates the electron chemical potential and, thus, the potential of zero charge. Due to this coupling, the parallel formation of this “poisoning” species appears to depolarize the surface with increasing overpotential. To recover the interfacial polarization, the overpotential needs to be increased further, before the activity can be restored and substantial Faradiac current can arise. What emerges is a new kinetic picture, where not only formation but also stabilization of interfacial excess charge are decisive for the catalyst activity. In general, the study demonstrates the utility of performing temperature-dependent cyclic voltammetry for revealing how transient changes in local chemicals modulate the overall inner-sphere kinetics.</w:t>
      </w:r>
    </w:p>
    <w:p>
      <w:pPr>
        <w:spacing w:before="120" w:after="120"/>
      </w:pPr>
      <w:r>
        <w:rPr>
          <w:sz w:val="18"/>
        </w:rPr>
        <w:t>——————————————————————————————————————————————————————————————————————</w:t>
      </w:r>
    </w:p>
    <w:p>
      <w:pPr>
        <w:spacing w:before="160" w:after="40" w:line="240" w:lineRule="auto"/>
      </w:pPr>
      <w:r>
        <w:rPr>
          <w:b/>
        </w:rPr>
        <w:t xml:space="preserve">[48] </w:t>
      </w:r>
      <w:hyperlink r:id="rId360">
        <w:r>
          <w:rPr>
            <w:color w:val="1155CC"/>
            <w:u w:val="single"/>
          </w:rPr>
          <w:t>整合机器学习与高通量计算用于光催化2D-COFs全分解水的合理设计</w:t>
        </w:r>
      </w:hyperlink>
    </w:p>
    <w:p>
      <w:pPr>
        <w:spacing w:before="0" w:after="80"/>
      </w:pPr>
      <w:r>
        <w:rPr>
          <w:i/>
          <w:sz w:val="20"/>
        </w:rPr>
        <w:t>EN: Integrating Machine Learning and High‐Throughput Calculations for the Rational Design of Photocatalytic 2D‐COFs on Overall Water Splitting</w:t>
      </w:r>
    </w:p>
    <w:p>
      <w:pPr>
        <w:spacing w:before="0" w:after="120"/>
      </w:pPr>
      <w:r>
        <w:rPr>
          <w:b/>
        </w:rPr>
        <w:t xml:space="preserve">Source: </w:t>
      </w:r>
      <w:r>
        <w:t>Advanced Energy Materials</w:t>
      </w:r>
      <w:r>
        <w:t xml:space="preserve">    </w:t>
      </w:r>
      <w:r>
        <w:rPr>
          <w:b/>
        </w:rPr>
        <w:t xml:space="preserve">Pub date: </w:t>
      </w:r>
      <w:r>
        <w:t>2026-09-03 00:00:00+00:00</w:t>
      </w:r>
      <w:r>
        <w:t xml:space="preserve">    </w:t>
      </w:r>
      <w:r>
        <w:rPr>
          <w:b/>
        </w:rPr>
        <w:t xml:space="preserve">DOI: </w:t>
      </w:r>
      <w:hyperlink r:id="rId361">
        <w:r>
          <w:rPr>
            <w:color w:val="1155CC"/>
            <w:u w:val="single"/>
          </w:rPr>
          <w:t>10.1002/aenm.71537</w:t>
        </w:r>
      </w:hyperlink>
    </w:p>
    <w:p>
      <w:pPr>
        <w:spacing w:before="0" w:after="120"/>
      </w:pPr>
      <w:r>
        <w:rPr>
          <w:b/>
        </w:rPr>
        <w:t xml:space="preserve">Notes: </w:t>
      </w:r>
      <w:r>
        <w:t>abstract_source=crossref</w:t>
      </w:r>
    </w:p>
    <w:p>
      <w:pPr>
        <w:spacing w:before="0" w:after="80" w:lineRule="auto" w:line="276"/>
      </w:pPr>
      <w:r>
        <w:rPr>
          <w:b/>
        </w:rPr>
        <w:t xml:space="preserve">摘要（ZH）: </w:t>
      </w:r>
      <w:r>
        <w:t>摘要 具有可调结构的二维共价有机框架（2D‐COFs）为可见光下光催化全解水（OWS）提供了有前景的平台。然而，从海量2D‐COFs中快速找到光催化OWS材料并实现精准合成极具挑战。本工作中，我们通过组装28种构筑单元和9种连接方式构建了11 934种hcb型2D‐COFs。结合机器学习（ML）与高通量计算（HTC）来预测可行的光催化OWS hcb型2D‐COFs。通过训练10种初始算法并对性能排名前4的算法进行超参数优化，建立了预测带边能级的ETR模型（R²分别为0.97和0.99），以及预测ΔG*H和ΔG*OH的KNR和RFR模型（R²分别为0.99和0.83）。筛选出2581种2D‐COFs（占数据集的21.63%）作为可见光驱动水分解的潜在结构。在所有组装的2D‐COFs上应用最优ML模型后，首次提出了一份高频构筑单元和连接方式清单，作为合适候选。随后组装并实验合成了TBTZ_FBN0_Imine（TBTZ‐FBN0‐COF），其OWS活性验证了我们的ML‐HTC范式，为研究者构建光催化OWS 2D‐COFs提供了推荐。</w:t>
      </w:r>
    </w:p>
    <w:p>
      <w:pPr>
        <w:spacing w:before="0" w:after="200" w:lineRule="auto" w:line="276"/>
      </w:pPr>
      <w:r>
        <w:rPr>
          <w:b/>
        </w:rPr>
        <w:t xml:space="preserve">Abstract (EN): </w:t>
      </w:r>
      <w:r>
        <w:t>Two‐dimensional covalent organic frameworks (2D‐COFs) with tunable structures offer a promising platform for photocatalytic overall water splitting (OWS) under visible‐light. However, it is challenging to quickly find photocatalytic OWS materials from the massive amounts of 2D‐COFs and then achieve precise synthesis. In this work, we constructed 11 934 hcb‐type 2D‐COFs by assembling 28 building blocks and 9 linkages. The machine learning (ML) and high‐throughput computation (HTC) were integrated to predict feasible photocatalytic OWS hcb‐type 2D‐COFs. Through training 10 initial algorithms and optimizing the hyperparameters of top 4 algorithms in terms of performance, the ETR model for predicting the band‐edge levels with R 2 of 0.97 and 0.99 was developed, and the KNR and RFR models were built for predicting Δ G *H and Δ G *OH with R 2 of 0.99 and 0.83, respectively. 2581 2D‑COFs (21.63% of dataset) are screened to be potential structures for visible‑light‑driven water splitting. After applying the optimal ML models on all assembled 2D‐COFs, a list of high‐frequency building blocks and linkages is suggested as a set of suitable candidates for the first time. Then TBTZ_FBN0_Imine (TBTZ‐FBN0‐COF) was assembled and experimentally synthesized. Its OWS activity verified our ML‐HTC paradigm, which provides the researchers recommendation to construct photocatalytic OWS 2D‐COFs.</w:t>
      </w:r>
    </w:p>
    <w:p>
      <w:pPr>
        <w:spacing w:before="120" w:after="120"/>
      </w:pPr>
      <w:r>
        <w:rPr>
          <w:sz w:val="18"/>
        </w:rPr>
        <w:t>——————————————————————————————————————————————————————————————————————</w:t>
      </w:r>
    </w:p>
    <w:p>
      <w:pPr>
        <w:spacing w:before="160" w:after="40" w:line="240" w:lineRule="auto"/>
      </w:pPr>
      <w:r>
        <w:rPr>
          <w:b/>
        </w:rPr>
        <w:t xml:space="preserve">[49] </w:t>
      </w:r>
      <w:hyperlink r:id="rId362">
        <w:r>
          <w:rPr>
            <w:color w:val="1155CC"/>
            <w:u w:val="single"/>
          </w:rPr>
          <w:t>包含战略可靠性决策的绿氢生产系统设计优化</w:t>
        </w:r>
      </w:hyperlink>
    </w:p>
    <w:p>
      <w:pPr>
        <w:spacing w:before="0" w:after="80"/>
      </w:pPr>
      <w:r>
        <w:rPr>
          <w:i/>
          <w:sz w:val="20"/>
        </w:rPr>
        <w:t>EN: Green hydrogen production system design optimisation with strategic reliability decisions</w:t>
      </w:r>
    </w:p>
    <w:p>
      <w:pPr>
        <w:spacing w:before="0" w:after="120"/>
      </w:pPr>
      <w:r>
        <w:rPr>
          <w:b/>
        </w:rPr>
        <w:t xml:space="preserve">Source: </w:t>
      </w:r>
      <w:r>
        <w:t>ScienceDirect Publication: Applied Energy</w:t>
      </w:r>
      <w:r>
        <w:t xml:space="preserve">    </w:t>
      </w:r>
      <w:r>
        <w:rPr>
          <w:b/>
        </w:rPr>
        <w:t xml:space="preserve">Pub date: </w:t>
      </w:r>
      <w:r>
        <w:t>2026-09-03 00:00:00+00:00</w:t>
      </w:r>
      <w:r>
        <w:t xml:space="preserve">    </w:t>
      </w:r>
      <w:r>
        <w:rPr>
          <w:b/>
        </w:rPr>
        <w:t xml:space="preserve">DOI: </w:t>
      </w:r>
      <w:hyperlink r:id="rId363">
        <w:r>
          <w:rPr>
            <w:color w:val="1155CC"/>
            <w:u w:val="single"/>
          </w:rPr>
          <w:t>10.1016/j.apenergy.2026.128759</w:t>
        </w:r>
      </w:hyperlink>
    </w:p>
    <w:p>
      <w:pPr>
        <w:spacing w:before="0" w:after="120"/>
      </w:pPr>
      <w:r>
        <w:rPr>
          <w:b/>
        </w:rPr>
        <w:t xml:space="preserve">Notes: </w:t>
      </w:r>
      <w:r>
        <w:t>abstract_source=openalex</w:t>
      </w:r>
    </w:p>
    <w:p>
      <w:pPr>
        <w:spacing w:before="0" w:after="80" w:lineRule="auto" w:line="276"/>
      </w:pPr>
      <w:r>
        <w:rPr>
          <w:b/>
        </w:rPr>
        <w:t xml:space="preserve">摘要（ZH）: </w:t>
      </w:r>
      <w:r>
        <w:t>绿色氢（GH）是全球脱碳战略的核心，但其大规模部署仍然受到高成本、有限的运营经验以及缺乏综合规划框架的限制，这些框架无法共同考虑不同电网连接和需求条件下的可靠性、维护和可再生资源的可变性。本研究开发了一种新型的基于可靠性的混合整数非线性规划（MINLP）框架，该框架使用随机优化来同时优化 GH 生产系统的技术选择、子系统规模、维护规划和可用性投资决策，其中绿色氨作为长距离运输的下游能源载体。加拿大东部的一项案例研究确定了以风为主并补充太阳能和电池存储的配置作为最佳解决方案，实现了 4.44 美元 kg -1 的平准化氢成本 (LCOH)。比较地理分析表明，在最佳到最差的运行条件下，以风能为主的地区的成本比以太阳能为主的地区低18%至41%，在这些地区，较低的太阳能容量系数和较强的季节性发电模式需要大幅增加存储投资，而生产效益有限。该框架还确定了可再生能源削减的两个主要来源：可再生能源装机容量与电解槽吸收能力之间的不匹配，以及电解槽的停机时间。提高电解槽的可用性可将总弃电量减少高达 48%，但实施更严格的弃电限制会增加</w:t>
      </w:r>
    </w:p>
    <w:p>
      <w:pPr>
        <w:spacing w:before="0" w:after="200" w:lineRule="auto" w:line="276"/>
      </w:pPr>
      <w:r>
        <w:rPr>
          <w:b/>
        </w:rPr>
        <w:t xml:space="preserve">Abstract (EN): </w:t>
      </w:r>
      <w:r>
        <w:t>Green hydrogen (GH) is central to global decarbonisation strategies, yet its large-scale deployment remains constrained by high costs, limited operational experience, and the lack of integrated planning frameworks that jointly account for reliability, maintenance, and renewable resource variability across diverse grid connectivity and demand conditions. This study develops a novel reliability-based mixed-integer nonlinear programming (MINLP) framework that uses stochastic optimisation to simultaneously optimise technology selection, subsystem sizing, maintenance planning, and availability investment decisions for GH production systems, with green ammonia serving as the downstream energy carrier for long-distance transport. A case study in Eastern Canada identifies a wind-dominated configuration with supplemental solar and battery storage as the optimal solution, achieving a levelised cost of hydrogen (LCOH) of $4.44 kg −1 . Comparative geographic analyses reveal that wind-dominant regions achieve costs 18% to 41% lower than solar-dominant regions across best- to worst-case operating conditions, where lower solar capacity factors and stronger seasonal generation patterns necessitate substantially larger storage investments with limited production benefits. The framework also identifies two primary sources of renewable energy curtailment: the mismatch between installed renewable capacity and electrolyser absorption capability, and electrolyser downtime. Improving electrolyser availability reduces total curtailment by up to 48%, yet imposing stricter curtailment limits increases system costs without improving hydrogen production, with low-demand systems experiencing the greatest economic penalty due to higher incremental maintenance requirements. The findings demonstrate that maintenance strategies, curtailment management, grid interaction, and technology configuration must be jointly optimised under region-specific resource and demand conditions to achieve viable GH production. This study provides a practical framework to support these decisions during the design phase.</w:t>
      </w:r>
    </w:p>
    <w:p>
      <w:pPr>
        <w:spacing w:before="120" w:after="120"/>
      </w:pPr>
      <w:r>
        <w:rPr>
          <w:sz w:val="18"/>
        </w:rPr>
        <w:t>——————————————————————————————————————————————————————————————————————</w:t>
      </w:r>
    </w:p>
    <w:p>
      <w:pPr>
        <w:spacing w:before="160" w:after="40" w:line="240" w:lineRule="auto"/>
      </w:pPr>
      <w:r>
        <w:rPr>
          <w:b/>
        </w:rPr>
        <w:t xml:space="preserve">[50] </w:t>
      </w:r>
      <w:hyperlink r:id="rId252">
        <w:r>
          <w:rPr>
            <w:color w:val="1155CC"/>
            <w:u w:val="single"/>
          </w:rPr>
          <w:t>通过新型两步策略改进热化学水分解太阳能还原的反应器设计与性能</w:t>
        </w:r>
      </w:hyperlink>
    </w:p>
    <w:p>
      <w:pPr>
        <w:spacing w:before="0" w:after="80"/>
      </w:pPr>
      <w:r>
        <w:rPr>
          <w:i/>
          <w:sz w:val="20"/>
        </w:rPr>
        <w:t>EN: Improved reactor design and performance for solar reduction in thermochemical water splitting through a novel two-step strategy</w:t>
      </w:r>
    </w:p>
    <w:p>
      <w:pPr>
        <w:spacing w:before="0" w:after="120"/>
      </w:pPr>
      <w:r>
        <w:rPr>
          <w:b/>
        </w:rPr>
        <w:t xml:space="preserve">Source: </w:t>
      </w:r>
      <w:r>
        <w:t>ScienceDirect Publication: Applied Energy</w:t>
      </w:r>
      <w:r>
        <w:t xml:space="preserve">    </w:t>
      </w:r>
      <w:r>
        <w:rPr>
          <w:b/>
        </w:rPr>
        <w:t xml:space="preserve">Pub date: </w:t>
      </w:r>
      <w:r>
        <w:t>2026-09-03 00:00:00+00:00</w:t>
      </w:r>
      <w:r>
        <w:t xml:space="preserve">    </w:t>
      </w:r>
      <w:r>
        <w:rPr>
          <w:b/>
        </w:rPr>
        <w:t xml:space="preserve">DOI: </w:t>
      </w:r>
      <w:hyperlink r:id="rId253">
        <w:r>
          <w:rPr>
            <w:color w:val="1155CC"/>
            <w:u w:val="single"/>
          </w:rPr>
          <w:t>10.1016/j.apenergy.2026.128779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 </w:t>
      </w:r>
      <w:hyperlink r:id="rId364">
        <w:r>
          <w:rPr>
            <w:color w:val="1155CC"/>
            <w:u w:val="single"/>
          </w:rPr>
          <w:t>表面应变NiMo阴极实现动力学解耦的氢气泡管理以实现稳定的近中性电解水</w:t>
        </w:r>
      </w:hyperlink>
    </w:p>
    <w:p>
      <w:pPr>
        <w:spacing w:before="0" w:after="80"/>
      </w:pPr>
      <w:r>
        <w:rPr>
          <w:i/>
          <w:sz w:val="20"/>
        </w:rPr>
        <w:t>EN: Surface‐Strained NiMo Cathodes Enable Kinetics‐Decoupled Hydrogen Bubble Management for Stable Near‐Neutral Water Electrolysis</w:t>
      </w:r>
    </w:p>
    <w:p>
      <w:pPr>
        <w:spacing w:before="0" w:after="120"/>
      </w:pPr>
      <w:r>
        <w:rPr>
          <w:b/>
        </w:rPr>
        <w:t xml:space="preserve">Source: </w:t>
      </w:r>
      <w:r>
        <w:t>Advanced Energy Materials</w:t>
      </w:r>
      <w:r>
        <w:t xml:space="preserve">    </w:t>
      </w:r>
      <w:r>
        <w:rPr>
          <w:b/>
        </w:rPr>
        <w:t xml:space="preserve">Pub date: </w:t>
      </w:r>
      <w:r>
        <w:t>2026-09-03 00:00:00+00:00</w:t>
      </w:r>
      <w:r>
        <w:t xml:space="preserve">    </w:t>
      </w:r>
      <w:r>
        <w:rPr>
          <w:b/>
        </w:rPr>
        <w:t xml:space="preserve">DOI: </w:t>
      </w:r>
      <w:hyperlink r:id="rId365">
        <w:r>
          <w:rPr>
            <w:color w:val="1155CC"/>
            <w:u w:val="single"/>
          </w:rPr>
          <w:t>10.1002/aenm.71545</w:t>
        </w:r>
      </w:hyperlink>
    </w:p>
    <w:p>
      <w:pPr>
        <w:spacing w:before="0" w:after="120"/>
      </w:pPr>
      <w:r>
        <w:rPr>
          <w:b/>
        </w:rPr>
        <w:t xml:space="preserve">Notes: </w:t>
      </w:r>
      <w:r>
        <w:t>abstract_source=crossref</w:t>
      </w:r>
    </w:p>
    <w:p>
      <w:pPr>
        <w:spacing w:before="0" w:after="80" w:lineRule="auto" w:line="276"/>
      </w:pPr>
      <w:r>
        <w:rPr>
          <w:b/>
        </w:rPr>
        <w:t xml:space="preserve">摘要（ZH）: </w:t>
      </w:r>
      <w:r>
        <w:t>摘要 电解水过程中的产气会形成气泡层，堵塞活性位点并增加传质和欧姆损耗。由于表面修饰同时影响活性和气泡动力学，将气泡介导的传质与本征析氢反应（HER）动力学解耦仍具挑战性。在此，一种表面应变NiMo阴极（s‐NiMo）可在近中性电解液中实现动力学解耦的氢气泡管理。在0.5 m磷酸钾缓冲液（pH 7.0）中，NiMo与s‐NiMo表现出几乎相同的本征HER动力学，与其相似的H*吸附能量一致。在气泡调控运行条件下，s‐NiMo在−20 mA cm⁻²下稳态过电位低63 mV。高速成像显示H₂气泡更小、脱离更快，平均停留时间从0.5 s降至0.2 s。界面分析表明亲水性增强且表面电荷相关特性更负。基于原子普适模型的系综计算表明，在s‐NiMo代表性环境中表面相关的*H₂态高0.52 eV，而电化学荧光寿命成像显微技术显示纳米气泡事件密度提高1.5倍。在300 mA cm⁻²的单电解槽中，s‐NiMo在100 h内维持低280 mV的槽电压。这些发现确立了气泡管理作为近中性稳定电解水的独立设计维度。</w:t>
      </w:r>
    </w:p>
    <w:p>
      <w:pPr>
        <w:spacing w:before="0" w:after="200" w:lineRule="auto" w:line="276"/>
      </w:pPr>
      <w:r>
        <w:rPr>
          <w:b/>
        </w:rPr>
        <w:t xml:space="preserve">Abstract (EN): </w:t>
      </w:r>
      <w:r>
        <w:t>Gas evolution during water electrolysis forms bubble layers that block active sites and increase transport and ohmic losses. Decoupling bubble‐mediated mass transport from intrinsic hydrogen evolution reaction (HER) kinetics remains challenging because surface modifications affect both activity and bubble dynamics. Here, a surface‐strained NiMo cathode ( s ‐NiMo) enables kinetics‐decoupled hydrogen bubble management in a near‐neutral electrolyte. In 0.5 m potassium phosphate buffer (pH 7.0), NiMo and s ‐NiMo exhibit nearly identical intrinsic HER kinetics, consistent with similar H* adsorption energetics. Under bubble‐regulated operation, s ‐NiMo shows a 63 mV lower steady‐state overpotential at −20 mA cm −2 . High‐speed imaging reveals smaller, faster‐departing H 2 bubbles, reducing the mean residence time from 0.5 s to 0.2 s. Interfacial analyses indicate enhanced hydrophilicity and more negative surface‐charge‐related characteristics. Ensemble calculations based on the Universal Model for Atoms show that the surface‐associated *H 2 state is 0.52 eV higher in the s ‐NiMo‐representative environment, while electrochemical fluorescence lifetime imaging microscopy reveals a 1.5‐fold higher nanobubble event density. In a single‐cell electrolyzer at 300 mA cm −2 , s‐NiMo maintains a 280 mV lower cell voltage over 100 h. These findings establish bubble management as an independent design axis for stable near‐neutral water electrolysis.</w:t>
      </w:r>
    </w:p>
    <w:p>
      <w:pPr>
        <w:spacing w:before="120" w:after="120"/>
      </w:pPr>
      <w:r>
        <w:rPr>
          <w:sz w:val="18"/>
        </w:rPr>
        <w:t>——————————————————————————————————————————————————————————————————————</w:t>
      </w:r>
    </w:p>
    <w:p>
      <w:pPr>
        <w:spacing w:before="160" w:after="40" w:line="240" w:lineRule="auto"/>
      </w:pPr>
      <w:r>
        <w:rPr>
          <w:b/>
        </w:rPr>
        <w:t xml:space="preserve">[52] </w:t>
      </w:r>
      <w:hyperlink r:id="rId366">
        <w:r>
          <w:rPr>
            <w:color w:val="1155CC"/>
            <w:u w:val="single"/>
          </w:rPr>
          <w:t>自热甲烷热解：面向氢气和石墨生产的可规模化热集成</w:t>
        </w:r>
      </w:hyperlink>
    </w:p>
    <w:p>
      <w:pPr>
        <w:spacing w:before="0" w:after="80"/>
      </w:pPr>
      <w:r>
        <w:rPr>
          <w:i/>
          <w:sz w:val="20"/>
        </w:rPr>
        <w:t>EN: Autothermal methane pyrolysis: Scalable heat integration for hydrogen and graphite production</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367">
        <w:r>
          <w:rPr>
            <w:color w:val="1155CC"/>
            <w:u w:val="single"/>
          </w:rPr>
          <w:t>10.1126/science.aed4911</w:t>
        </w:r>
      </w:hyperlink>
    </w:p>
    <w:p>
      <w:pPr>
        <w:spacing w:before="0" w:after="120"/>
      </w:pPr>
      <w:r>
        <w:rPr>
          <w:b/>
        </w:rPr>
        <w:t xml:space="preserve">Notes: </w:t>
      </w:r>
      <w:r>
        <w:t>abstract_source=crossref</w:t>
      </w:r>
    </w:p>
    <w:p>
      <w:pPr>
        <w:spacing w:before="0" w:after="80" w:lineRule="auto" w:line="276"/>
      </w:pPr>
      <w:r>
        <w:rPr>
          <w:b/>
        </w:rPr>
        <w:t xml:space="preserve">摘要（ZH）: </w:t>
      </w:r>
      <w:r>
        <w:t>甲烷热解（MP）提供了利用现有能源基础设施满足低碳氢需求的绝佳机会。扩展 MP 的一个关键限制是将高温热量有效地输送到反应器中。我们表明，氢燃料自热操作克服了这一限制，使得商业相关床直径的反应器吞吐量增加了几个数量级。它还产生石墨化度为 96.0% 的碳副产品，满足石墨前体规格，并能够使用低成本氧化铁催化剂从天然气中生产国内石墨。我们进一步展示了一种抑制自热操作固有的直接排放的策略，将其减少到接近零。过程级生命周期评估估计，自热甲烷热解的碳强度可低至每千克 H 2 1.9 至 4.5 千克 (kg) CO 2,eq。</w:t>
      </w:r>
    </w:p>
    <w:p>
      <w:pPr>
        <w:spacing w:before="0" w:after="200" w:lineRule="auto" w:line="276"/>
      </w:pPr>
      <w:r>
        <w:rPr>
          <w:b/>
        </w:rPr>
        <w:t xml:space="preserve">Abstract (EN): </w:t>
      </w:r>
      <w:r>
        <w:t>Methane pyrolysis (MP) offers a compelling opportunity to meet low-carbon hydrogen demand using existing energy infrastructure. A key limitation in scaling MP is the efficient delivery of high-temperature heat into the reactor. We show that hydrogen-fueled autothermal operation overcomes this limitation, enabling an increase of several orders of magnitude in the reactor throughput for commercially relevant bed diameters. It also yields a carbon coproduct of 96.0% degrees of graphitization, meeting graphite precursor specifications and enabling domestic graphite production from natural gas using low-cost iron oxide catalysts. We further demonstrate a strategy to suppress the direct emissions inherent to autothermal operation, reducing them to near zero. A process-level life cycle assessment estimates that carbon intensities for autothermal methane pyrolysis can be as low as 1.9 to 4.5 kilograms (kg) of CO 2,eq per kg H 2 .</w:t>
      </w:r>
    </w:p>
    <w:p>
      <w:pPr>
        <w:spacing w:before="120" w:after="120"/>
      </w:pPr>
      <w:r>
        <w:rPr>
          <w:sz w:val="18"/>
        </w:rPr>
        <w:t>——————————————————————————————————————————————————————————————————————</w:t>
      </w:r>
    </w:p>
    <w:p>
      <w:pPr>
        <w:spacing w:before="160" w:after="40" w:line="240" w:lineRule="auto"/>
      </w:pPr>
      <w:r>
        <w:rPr>
          <w:b/>
        </w:rPr>
        <w:t xml:space="preserve">[53] </w:t>
      </w:r>
      <w:hyperlink r:id="rId359">
        <w:r>
          <w:rPr>
            <w:color w:val="1155CC"/>
            <w:u w:val="single"/>
          </w:rPr>
          <w:t>温度依赖伏安法揭示Pt上氨氧化反应中反应物种的电位依赖性形成及其对界面过剩电荷的影响</w:t>
        </w:r>
      </w:hyperlink>
    </w:p>
    <w:p>
      <w:pPr>
        <w:spacing w:before="0" w:after="80"/>
      </w:pPr>
      <w:r>
        <w:rPr>
          <w:i/>
          <w:sz w:val="20"/>
        </w:rPr>
        <w:t>EN: Temperature-Dependent Voltammetry Reveals the Potential-Dependent Formation of Reaction Species and Their Impact on Interfacial Excess Charge during the Ammonia Oxidation Reaction on Pt</w:t>
      </w:r>
    </w:p>
    <w:p>
      <w:pPr>
        <w:spacing w:before="0" w:after="120"/>
      </w:pPr>
      <w:r>
        <w:rPr>
          <w:b/>
        </w:rPr>
        <w:t xml:space="preserve">Source: </w:t>
      </w:r>
      <w:r>
        <w:t>Journal of the American Chemical Society</w:t>
      </w:r>
      <w:r>
        <w:t xml:space="preserve">    </w:t>
      </w:r>
      <w:r>
        <w:rPr>
          <w:b/>
        </w:rPr>
        <w:t xml:space="preserve">Pub date: </w:t>
      </w:r>
      <w:r>
        <w:t>2026-09-03 00:00:00+00:00</w:t>
      </w:r>
      <w:r>
        <w:t xml:space="preserve">    </w:t>
      </w:r>
      <w:r>
        <w:rPr>
          <w:b/>
        </w:rPr>
        <w:t xml:space="preserve">DOI: </w:t>
      </w:r>
      <w:hyperlink r:id="rId359">
        <w:r>
          <w:rPr>
            <w:color w:val="1155CC"/>
            <w:u w:val="single"/>
          </w:rPr>
          <w:t>10.1021/jacs.6c04573</w:t>
        </w:r>
      </w:hyperlink>
    </w:p>
    <w:p>
      <w:pPr>
        <w:spacing w:before="0" w:after="120"/>
      </w:pPr>
      <w:r>
        <w:rPr>
          <w:b/>
        </w:rPr>
        <w:t xml:space="preserve">Notes: </w:t>
      </w:r>
      <w:r>
        <w:t>abstract_source=crossref</w:t>
      </w:r>
    </w:p>
    <w:p>
      <w:pPr>
        <w:spacing w:before="0" w:after="80" w:lineRule="auto" w:line="276"/>
      </w:pPr>
      <w:r>
        <w:rPr>
          <w:b/>
        </w:rPr>
        <w:t xml:space="preserve">摘要（ZH）: </w:t>
      </w:r>
      <w:r>
        <w:t>摘要 电催化氨氧化反应（AOR）历来引起了人们的极大兴趣，因为氨可以用作无碳燃料和方便的氢气载体。阻碍其应用的主要挑战是高过电势和快速催化剂中毒，但人们对此仍知之甚少。在这里，我们通过温度依赖性循环伏安法和多晶 Pt 的电化学阿伦尼乌斯分析结合红外光谱研究了反应物种的过电势依赖性形成。此外，我们通过 CO 位移测量将动力学参数的演变与极化程度和过量电荷联系起来。引人注目的是，随着超电势的增加，我们发现了一种反应物质（不是直接中间体）的平行形成，它调节电子化学势，从而调节零电荷的电势。由于这种耦合，这种“中毒”物质的平行形成似乎随着过电势的增加而使表面去极化。为了恢复界面极化，需要进一步增加过电势，然后才能恢复活性并产生大量法拉第电流。出现的是一个新的动力学图，其中界面过量电荷的形成和稳定对于催化剂活性都具有决定性作用。总的来说，该研究证明了执行温度依赖性循环伏安法对于揭示局部化学物质的瞬态变化如何调节整体内球动力学的效用。</w:t>
      </w:r>
    </w:p>
    <w:p>
      <w:pPr>
        <w:spacing w:before="0" w:after="200" w:lineRule="auto" w:line="276"/>
      </w:pPr>
      <w:r>
        <w:rPr>
          <w:b/>
        </w:rPr>
        <w:t xml:space="preserve">Abstract (EN): </w:t>
      </w:r>
      <w:r>
        <w:t>The electrocatalytic ammonia oxidation reaction (AOR) has historically garnered significant interest, since ammonia could be used as a carbon-free fuel and convenient H2 carrier. Key challenges hindering its application are the high overpotentials and rapid catalyst poisoning, which remain poorly understood. Here, we study the overpotential-dependent formation of reaction species via temperature-dependent cyclic voltammetry and electrochemical Arrhenius analysis on polycrystalline Pt in conjunction with infrared spectroscopy. Further, we link the evolution of the kinetic parameters to the degree of polarization and excess charge via CO-displacement measurements. Strikingly, with increasing overpotential, we discover the parallel formation of a reaction species (not a direct intermediate) that modulates the electron chemical potential and, thus, the potential of zero charge. Due to this coupling, the parallel formation of this “poisoning” species appears to depolarize the surface with increasing overpotential. To recover the interfacial polarization, the overpotential needs to be increased further, before the activity can be restored and substantial Faradiac current can arise. What emerges is a new kinetic picture, where not only formation but also stabilization of interfacial excess charge are decisive for the catalyst activity. In general, the study demonstrates the utility of performing temperature-dependent cyclic voltammetry for revealing how transient changes in local chemicals modulate the overall inner-sphere kinetics.</w:t>
      </w:r>
    </w:p>
    <w:p>
      <w:pPr>
        <w:spacing w:before="120" w:after="120"/>
      </w:pPr>
      <w:r>
        <w:rPr>
          <w:sz w:val="18"/>
        </w:rPr>
        <w:t>——————————————————————————————————————————————————————————————————————</w:t>
      </w:r>
    </w:p>
    <w:p>
      <w:pPr>
        <w:spacing w:before="160" w:after="40" w:line="240" w:lineRule="auto"/>
      </w:pPr>
      <w:r>
        <w:rPr>
          <w:b/>
        </w:rPr>
        <w:t xml:space="preserve">[54] </w:t>
      </w:r>
      <w:hyperlink r:id="rId368">
        <w:r>
          <w:rPr>
            <w:color w:val="1155CC"/>
            <w:u w:val="single"/>
          </w:rPr>
          <w:t>通过氢氧化物表面工程加速层状双钙钛矿的析氧动力学用于阴离子交换膜电解水（Adv. Energy Mater. 33/2026）</w:t>
        </w:r>
      </w:hyperlink>
    </w:p>
    <w:p>
      <w:pPr>
        <w:spacing w:before="0" w:after="80"/>
      </w:pPr>
      <w:r>
        <w:rPr>
          <w:i/>
          <w:sz w:val="20"/>
        </w:rPr>
        <w:t>EN: Accelerated Oxygen Evolution Kinetics in Layered Double Perovskites via Hydroxide Surface Engineering for Anion Exchange Membrane Water Electrolysis (Adv. Energy Mater. 33/2026)</w:t>
      </w:r>
    </w:p>
    <w:p>
      <w:pPr>
        <w:spacing w:before="0" w:after="120"/>
      </w:pPr>
      <w:r>
        <w:rPr>
          <w:b/>
        </w:rPr>
        <w:t xml:space="preserve">Source: </w:t>
      </w:r>
      <w:r>
        <w:t>Advanced Energy Materials</w:t>
      </w:r>
      <w:r>
        <w:t xml:space="preserve">    </w:t>
      </w:r>
      <w:r>
        <w:rPr>
          <w:b/>
        </w:rPr>
        <w:t xml:space="preserve">Pub date: </w:t>
      </w:r>
      <w:r>
        <w:t>2026-09-03 00:00:00+00:00</w:t>
      </w:r>
      <w:r>
        <w:t xml:space="preserve">    </w:t>
      </w:r>
      <w:r>
        <w:rPr>
          <w:b/>
        </w:rPr>
        <w:t xml:space="preserve">DOI: </w:t>
      </w:r>
      <w:hyperlink r:id="rId368">
        <w:r>
          <w:rPr>
            <w:color w:val="1155CC"/>
            <w:u w:val="single"/>
          </w:rPr>
          <w:t>10.1002/aenm.71349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 </w:t>
      </w:r>
      <w:hyperlink r:id="rId367">
        <w:r>
          <w:rPr>
            <w:color w:val="1155CC"/>
            <w:u w:val="single"/>
          </w:rPr>
          <w:t>自热甲烷热解：面向氢气和石墨生产的规模化热集成</w:t>
        </w:r>
      </w:hyperlink>
    </w:p>
    <w:p>
      <w:pPr>
        <w:spacing w:before="0" w:after="80"/>
      </w:pPr>
      <w:r>
        <w:rPr>
          <w:i/>
          <w:sz w:val="20"/>
        </w:rPr>
        <w:t>EN: Autothermal methane pyrolysis: Scalable heat integration for hydrogen and graphite production</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367">
        <w:r>
          <w:rPr>
            <w:color w:val="1155CC"/>
            <w:u w:val="single"/>
          </w:rPr>
          <w:t>10.1126/science.aed4911</w:t>
        </w:r>
      </w:hyperlink>
    </w:p>
    <w:p>
      <w:pPr>
        <w:spacing w:before="0" w:after="120"/>
      </w:pPr>
      <w:r>
        <w:rPr>
          <w:b/>
        </w:rPr>
        <w:t xml:space="preserve">Notes: </w:t>
      </w:r>
      <w:r>
        <w:t>abstract_source=crossref</w:t>
      </w:r>
    </w:p>
    <w:p>
      <w:pPr>
        <w:spacing w:before="0" w:after="80" w:lineRule="auto" w:line="276"/>
      </w:pPr>
      <w:r>
        <w:rPr>
          <w:b/>
        </w:rPr>
        <w:t xml:space="preserve">摘要（ZH）: </w:t>
      </w:r>
      <w:r>
        <w:t>甲烷热解（MP）提供了利用现有能源基础设施满足低碳氢需求的绝佳机会。扩展 MP 的一个关键限制是将高温热量有效地输送到反应器中。我们表明，氢燃料自热操作克服了这一限制，使得商业相关床直径的反应器吞吐量增加了几个数量级。它还产生石墨化度为 96.0% 的碳副产品，满足石墨前体规格，并能够使用低成本氧化铁催化剂从天然气中生产国内石墨。我们进一步展示了一种抑制自热操作固有的直接排放的策略，将其减少到接近零。过程级生命周期评估估计，自热甲烷热解的碳强度可低至每千克 H 2 1.9 至 4.5 千克 (kg) CO 2,eq。</w:t>
      </w:r>
    </w:p>
    <w:p>
      <w:pPr>
        <w:spacing w:before="0" w:after="200" w:lineRule="auto" w:line="276"/>
      </w:pPr>
      <w:r>
        <w:rPr>
          <w:b/>
        </w:rPr>
        <w:t xml:space="preserve">Abstract (EN): </w:t>
      </w:r>
      <w:r>
        <w:t>Methane pyrolysis (MP) offers a compelling opportunity to meet low-carbon hydrogen demand using existing energy infrastructure. A key limitation in scaling MP is the efficient delivery of high-temperature heat into the reactor. We show that hydrogen-fueled autothermal operation overcomes this limitation, enabling an increase of several orders of magnitude in the reactor throughput for commercially relevant bed diameters. It also yields a carbon coproduct of 96.0% degrees of graphitization, meeting graphite precursor specifications and enabling domestic graphite production from natural gas using low-cost iron oxide catalysts. We further demonstrate a strategy to suppress the direct emissions inherent to autothermal operation, reducing them to near zero. A process-level life cycle assessment estimates that carbon intensities for autothermal methane pyrolysis can be as low as 1.9 to 4.5 kilograms (kg) of CO 2,eq per kg H 2 .</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300">
        <w:r>
          <w:rPr>
            <w:color w:val="1155CC"/>
            <w:u w:val="single"/>
          </w:rPr>
          <w:t>通过部门耦合能源系统建模和区域差异化氢能战略减少中国钢铁行业的碳足迹</w:t>
        </w:r>
      </w:hyperlink>
    </w:p>
    <w:p>
      <w:pPr>
        <w:spacing w:before="0" w:after="80"/>
      </w:pPr>
      <w:r>
        <w:rPr>
          <w:i/>
          <w:sz w:val="20"/>
        </w:rPr>
        <w:t>EN: Reducing carbon footprints in China's steel industry through sector-coupled energy system modeling and regionally differentiated hydrogen strategies</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301">
        <w:r>
          <w:rPr>
            <w:color w:val="1155CC"/>
            <w:u w:val="single"/>
          </w:rPr>
          <w:t>10.1016/j.apenergy.2026.128744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369">
        <w:r>
          <w:rPr>
            <w:color w:val="1155CC"/>
            <w:u w:val="single"/>
          </w:rPr>
          <w:t>更多电气化与全电气化渔船中的电池储能：实时仿真与实验验证</w:t>
        </w:r>
      </w:hyperlink>
    </w:p>
    <w:p>
      <w:pPr>
        <w:spacing w:before="0" w:after="80"/>
      </w:pPr>
      <w:r>
        <w:rPr>
          <w:i/>
          <w:sz w:val="20"/>
        </w:rPr>
        <w:t>EN: Battery Storage in More- and All-Electric Fishing Vessels: Real-Time Simulation and Experimental Verification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370">
        <w:r>
          <w:rPr>
            <w:color w:val="1155CC"/>
            <w:u w:val="single"/>
          </w:rPr>
          <w:t>10.1109/tec.2026.3679977</w:t>
        </w:r>
      </w:hyperlink>
    </w:p>
    <w:p>
      <w:pPr>
        <w:spacing w:before="0" w:after="120"/>
      </w:pPr>
      <w:r>
        <w:rPr>
          <w:b/>
        </w:rPr>
        <w:t xml:space="preserve">Notes: </w:t>
      </w:r>
      <w:r>
        <w:t>abstract_source=semanticscholar</w:t>
      </w:r>
    </w:p>
    <w:p>
      <w:pPr>
        <w:spacing w:before="0" w:after="80" w:lineRule="auto" w:line="276"/>
      </w:pPr>
      <w:r>
        <w:rPr>
          <w:b/>
        </w:rPr>
        <w:t xml:space="preserve">摘要（ZH）: </w:t>
      </w:r>
      <w:r>
        <w:t>将依赖燃料的渔船过渡到更多电气化和全电气化的替代方案,对于减少渔业对燃料的依赖至关重要。大多数关于海事行业能源转型的研究都聚焦于大型船舶。大型船舶通常配备多个发电机组;然而,渔船的船载资源较少,使其控制与运行更具挑战性。本文介绍了利用两台Typhoon HIL 604实时仿真器开发的小型渔船实时仿真测试平台。从一艘实际围网渔船获得的数据被用于开发、验证和基准化船舶动力学、螺旋桨行为以及液压性能模型。这些模型具有适应性,代表一艘58英尺渔船,包括其推进系统、液压负载以及能够在构网型和跟网型两种模式下运行的电池储能系统。该测试平台随后被用于研究电池储能系统(BESS)的集成:在航行期间、在捕鱼作业期间,以及在航行和捕鱼作业期间。结果展示了小型和大型电池装置在渔船上的独特优势,包括缩短港口与渔场之间的航行时间、在各种运行模式下保持稳定的电压和频率,以及在捕鱼作业期间降低噪声。</w:t>
      </w:r>
    </w:p>
    <w:p>
      <w:pPr>
        <w:spacing w:before="0" w:after="200" w:lineRule="auto" w:line="276"/>
      </w:pPr>
      <w:r>
        <w:rPr>
          <w:b/>
        </w:rPr>
        <w:t xml:space="preserve">Abstract (EN): </w:t>
      </w:r>
      <w:r>
        <w:t>The transition of fuel-reliant fishing vessels to more- and all-electric alternatives is essential to reduce the fishing industry’s dependence on fuel. Most research on the energy transition in the maritime industry has focused on larger vessels. Larger vessels typically have multiple generation units; however, fishing vessels have fewer onboard resources, making control and operation more challenging. This paper introduces the development of a real-time simulation testbed for small fishing vessels using two Typhoon HIL 604 real-time simulators. Data obtained from an actual purse seine fishing vessel are applied in developing, validating, and benchmarking models for vessel dynamics, propeller behavior, and hydraulic performance. The models are adaptable and represent a 58-foot fishing vessel, including its propulsion system, hydraulic load, and battery storage capable of operating in both grid-forming and grid-following modes. The testbed is then used to examine integration of a battery energy storage system (BESS): during transit, during fishing operations, and during both transit and fishing operations. The results demonstrate the distinct benefits of both small and large battery installations on fishing vessels, including shorter travel time between the harbor and fishing grounds, stable voltage and frequency across operating modes, and reduced noise during fishing operations.</w:t>
      </w:r>
    </w:p>
    <w:p>
      <w:pPr>
        <w:spacing w:before="120" w:after="120"/>
      </w:pPr>
      <w:r>
        <w:rPr>
          <w:sz w:val="18"/>
        </w:rPr>
        <w:t>——————————————————————————————————————————————————————————————————————</w:t>
      </w:r>
    </w:p>
    <w:p>
      <w:pPr>
        <w:spacing w:before="160" w:after="40" w:line="240" w:lineRule="auto"/>
      </w:pPr>
      <w:r>
        <w:rPr>
          <w:b/>
        </w:rPr>
        <w:t xml:space="preserve">[3] </w:t>
      </w:r>
      <w:hyperlink r:id="rId371">
        <w:r>
          <w:rPr>
            <w:color w:val="1155CC"/>
            <w:u w:val="single"/>
          </w:rPr>
          <w:t>非晶NiFeB合金的缺陷工程用于KA油选择性转化为己二酸</w:t>
        </w:r>
      </w:hyperlink>
    </w:p>
    <w:p>
      <w:pPr>
        <w:spacing w:before="0" w:after="80"/>
      </w:pPr>
      <w:r>
        <w:rPr>
          <w:i/>
          <w:sz w:val="20"/>
        </w:rPr>
        <w:t>EN: Defect Engineering on Amorphous NiFeB Alloys for the Selective Conversion of KA Oil Into Adipic Acid</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371">
        <w:r>
          <w:rPr>
            <w:color w:val="1155CC"/>
            <w:u w:val="single"/>
          </w:rPr>
          <w:t>10.1002/anie.3494903</w:t>
        </w:r>
      </w:hyperlink>
    </w:p>
    <w:p>
      <w:pPr>
        <w:spacing w:before="0" w:after="120"/>
      </w:pPr>
      <w:r>
        <w:rPr>
          <w:b/>
        </w:rPr>
        <w:t xml:space="preserve">Notes: </w:t>
      </w:r>
      <w:r>
        <w:t>abstract_source=crossref</w:t>
      </w:r>
    </w:p>
    <w:p>
      <w:pPr>
        <w:spacing w:before="0" w:after="80" w:lineRule="auto" w:line="276"/>
      </w:pPr>
      <w:r>
        <w:rPr>
          <w:b/>
        </w:rPr>
        <w:t xml:space="preserve">摘要（ZH）: </w:t>
      </w:r>
      <w:r>
        <w:t>摘要 开发高性能电催化剂以实现KA油（环己醇和环己酮的混合物）向己二酸的高效转化具有重要意义。本文合成了一系列Ni基催化剂，包括NiM（M = Fe、Cr和Mn）层状双氢氧化物（LDH）、NiMB LDH以及非晶NiMB合金，用于KA油的转化。在所有样品中，Ni4Fe1B合金表现出最高的ECSA归一化电流密度581.5 mA cm−2，并在1.6 V下实现52.7%的己二酸选择性。这种优异的催化性能归因于硼掺入诱导的丰富缺陷，其改变了镍位点的电子结构，并优化了对KA油及中间体的吸附。Operando电化学X射线吸收精细结构分析结合operando拉曼光谱表明，Ni4Fe1B合金氧化KA油涉及Ni2+向更高价态的转变，表明可能存在间接氧化路径。相反，Ni4Fe1B和Ni4Fe1 LDH中Ni2+的价态保持不变，表明可能存在直接氧化机理。理论计算表明，Ni4Fe1B合金对环己醇和环己酮分子表现出强吸附，且速率决定步骤的能垒较低（0.76 eV），与实验结果一致。</w:t>
      </w:r>
    </w:p>
    <w:p>
      <w:pPr>
        <w:spacing w:before="0" w:after="200" w:lineRule="auto" w:line="276"/>
      </w:pPr>
      <w:r>
        <w:rPr>
          <w:b/>
        </w:rPr>
        <w:t xml:space="preserve">Abstract (EN): </w:t>
      </w:r>
      <w:r>
        <w:t>Developing high‐performance electrocatalysts for the efficient conversion of KA oil (a mixture of cyclohexanol and cyclohexanone) to adipic acid holds great significance. Herein, a series of Ni‐based catalysts, including NiM (M = Fe, Cr, and Mn) layered double hydroxides (LDHs), NiMB LDHs and amorphous NiMB alloys, were synthesized for KA oil conversion. Among the samples, Ni 4 Fe 1 B alloy exhibited the highest ECSA‐normalized current density of 581.5 mA cm −2 and adipic acid selectivity of 52.7% at 1.6 V. Such superior catalytic performance is attributed to the abundant defects induced by boron incorporation, leading to modified electronic structures of nickel sites and optimized adsorption toward KA oil and intermediates. Operando electrochemical x‐ray absorption fine structure analyses, combined with operando Raman spectra, suggested that the oxidation of KA oil by Ni 4 Fe 1 B alloy involved the transformation of Ni 2+ into higher valence states, indicative of a possible indirect oxidation pathway. In contrast, the valence state of Ni 2+ in the Ni 4 Fe 1 B and Ni 4 Fe 1 LDHs remained unchanged, suggesting a possible direct oxidation mechanism. Theoretical calculations revealed that the Ni 4 Fe 1 B alloy exhibited strong adsorption toward cyclohexanol and cyclohexanone molecules and a low energy barrier (0.76 eV) for the rate‐determining step, consistent with the experimental results.</w:t>
      </w:r>
    </w:p>
    <w:p>
      <w:pPr>
        <w:spacing w:before="120" w:after="120"/>
      </w:pPr>
      <w:r>
        <w:rPr>
          <w:sz w:val="18"/>
        </w:rPr>
        <w:t>——————————————————————————————————————————————————————————————————————</w:t>
      </w:r>
    </w:p>
    <w:p>
      <w:pPr>
        <w:spacing w:before="160" w:after="40" w:line="240" w:lineRule="auto"/>
      </w:pPr>
      <w:r>
        <w:rPr>
          <w:b/>
        </w:rPr>
        <w:t xml:space="preserve">[4] </w:t>
      </w:r>
      <w:hyperlink r:id="rId372">
        <w:r>
          <w:rPr>
            <w:color w:val="1155CC"/>
            <w:u w:val="single"/>
          </w:rPr>
          <w:t>基于超材料反应器的电气化热化学反应工程</w:t>
        </w:r>
      </w:hyperlink>
    </w:p>
    <w:p>
      <w:pPr>
        <w:spacing w:before="0" w:after="80"/>
      </w:pPr>
      <w:r>
        <w:rPr>
          <w:i/>
          <w:sz w:val="20"/>
        </w:rPr>
        <w:t>EN: Electrified thermochemical reaction engineering with metamaterial reactors</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373">
        <w:r>
          <w:rPr>
            <w:color w:val="1155CC"/>
            <w:u w:val="single"/>
          </w:rPr>
          <w:t>10.1126/sciadv.aeg7217</w:t>
        </w:r>
      </w:hyperlink>
    </w:p>
    <w:p>
      <w:pPr>
        <w:spacing w:before="0" w:after="120"/>
      </w:pPr>
      <w:r>
        <w:rPr>
          <w:b/>
        </w:rPr>
        <w:t xml:space="preserve">Notes: </w:t>
      </w:r>
      <w:r>
        <w:t>abstract_source=crossref</w:t>
      </w:r>
    </w:p>
    <w:p>
      <w:pPr>
        <w:spacing w:before="0" w:after="80" w:lineRule="auto" w:line="276"/>
      </w:pPr>
      <w:r>
        <w:rPr>
          <w:b/>
        </w:rPr>
        <w:t xml:space="preserve">摘要（ZH）: </w:t>
      </w:r>
      <w:r>
        <w:t>热化学反应器的电气化不仅可以使高品位热量的产生脱碳，还可以定制加热和传热过程，从而促进过程强化和提高转化率。我们提出了超材料反应器，利用轴向定制超材料挡板的高频磁感应产生定制的轴向加热分布。挡板由两种具有不同加热特性的晶格的组合序列构成，该序列可围绕反应器的反应工程特性进行逆向设计，以产生针对特定反应、流动条件和最高温度而定制的温度分布。我们利用这些超材料反应器提高了一系列填充床流动反应器中的温度均匀性，每个反应器在不同最高温度和流量条件下驱动逆水煤气变换反应，与均匀加热系统相比，转化率实现了系统性提升。这些理念概括了电气化热化学反应工程中的新机遇，即电气化供能与反应和传热过程协同设计，以提高化学转化率。</w:t>
      </w:r>
    </w:p>
    <w:p>
      <w:pPr>
        <w:spacing w:before="0" w:after="200" w:lineRule="auto" w:line="276"/>
      </w:pPr>
      <w:r>
        <w:rPr>
          <w:b/>
        </w:rPr>
        <w:t xml:space="preserve">Abstract (EN): </w:t>
      </w:r>
      <w:r>
        <w:t>The electrification of thermochemical reactors presents an opportunity to not only decarbonize high-grade heat generation but also to customize heating and heat transfer processes in a manner that facilitates process intensification and enhanced conversion. We present metamaterial reactors that use the high-frequency magnetic induction of axially tailored metamaterial baffles to produce customized axial heating profiles. The baffle consists of a combinatorial sequence of two types of lattices each with distinctive heating properties, and the sequence can be inverse designed around the reaction engineering properties of the reactor to produce temperature profiles tailored for a given reaction, flow condition, and maximum temperature. We use these metamaterial reactors to enhance the temperature uniformity in a set of packed bed flow reactors, each driving the reverse water gas shift reaction under different maximum temperature and flow conditions, demonstrating systematic increases in conversion compared to uniformly heated systems. These concepts encapsulate new opportunities in electrified thermochemical reaction engineering in which electrified powering is codesigned with reaction and heat transfer processes to enhance chemical conversion.</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374">
        <w:r>
          <w:rPr>
            <w:color w:val="1155CC"/>
            <w:u w:val="single"/>
          </w:rPr>
          <w:t>铁酸锶间隔的结构可逆锶掺杂铁基载氧体实现稳定化学链CO2分解</w:t>
        </w:r>
      </w:hyperlink>
    </w:p>
    <w:p>
      <w:pPr>
        <w:spacing w:before="0" w:after="80"/>
      </w:pPr>
      <w:r>
        <w:rPr>
          <w:i/>
          <w:sz w:val="20"/>
        </w:rPr>
        <w:t>EN: Enabling Stable Chemical Looping CO2-Splitting with Strontium Ferrate-Spaced Structurally Reversible Strontium-Doped Iron Oxygen Carriers</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374">
        <w:r>
          <w:rPr>
            <w:color w:val="1155CC"/>
            <w:u w:val="single"/>
          </w:rPr>
          <w:t>10.1021/acsami.6c14147</w:t>
        </w:r>
      </w:hyperlink>
    </w:p>
    <w:p>
      <w:pPr>
        <w:spacing w:before="0" w:after="120"/>
      </w:pPr>
      <w:r>
        <w:rPr>
          <w:b/>
        </w:rPr>
        <w:t xml:space="preserve">Notes: </w:t>
      </w:r>
      <w:r>
        <w:t>abstract_source=crossref</w:t>
      </w:r>
    </w:p>
    <w:p>
      <w:pPr>
        <w:spacing w:before="0" w:after="80" w:lineRule="auto" w:line="276"/>
      </w:pPr>
      <w:r>
        <w:rPr>
          <w:b/>
        </w:rPr>
        <w:t xml:space="preserve">摘要（ZH）: </w:t>
      </w:r>
      <w:r>
        <w:t>摘要 化学链CO2分解作为一种有前景的碳利用技术，可与大规模集中排放源集成。与化学链燃烧不同，由于热力学限制，CO2分解主要采用铁基载氧体（OCs）。然而，铁/铁氧化物的相变往往在几个循环内导致严重烧结。为缓解这一问题，我们将碱土金属（镁、钙和锶）引入铁氧化物载氧体中。其中，通过分子级混合制备的掺锶铁基载氧体表现出优异的分散性和抗烧结性能。它演变为铁酸锶与掺锶铁氧化物的混合物。铁酸锶颗粒成为稳定的间隔体，将掺锶铁氧化物颗粒隔开以避免严重烧结，从而实现方铁矿（FeO）与磁铁矿（Fe3O4）之间的可逆转变。因此，Sr改性载氧体在700 °C下化学链CO2分解与乙烷裂解耦合的100次循环中保持了稳定性能。相比之下，掺镁和掺钙的样品形成了大尺寸单相氧化物材料，或对CO2分解无活性，或因晶格中离子扩散受抑制而表现出缓慢的动力学。</w:t>
      </w:r>
    </w:p>
    <w:p>
      <w:pPr>
        <w:spacing w:before="0" w:after="200" w:lineRule="auto" w:line="276"/>
      </w:pPr>
      <w:r>
        <w:rPr>
          <w:b/>
        </w:rPr>
        <w:t xml:space="preserve">Abstract (EN): </w:t>
      </w:r>
      <w:r>
        <w:t>Chemical looping CO2-splitting has emerged as a promising carbon utilization technique for integration with large-scale centralized emission sources. Unlike chemical looping combustion, CO2-splitting is predominantly conducted using iron-based oxygen carriers (OCs) due to thermodynamic constraints. However, the phase transformation of iron/iron oxide often leads to severe sintering within a few cycles. To mitigate this issue, we incorporated alkaline earth metals (magnesium, calcium, and strontium) into iron oxide OCs. Among these, the strontium-incorporated iron oxygen carrier, prepared with molecular-level mixing, demonstrated superior dispersion and anti-sintering properties. It evolved into a mixture of strontium ferrate and strontium-doped iron oxide. The strontium ferrate particles became stable spacers that separated the strontium-doped iron oxide particles from severe sintering, allowing for reversible transitions between wustite (FeO) and magnetite (Fe3O4). Consequently, the Sr-modified OC sustained stable performance over 100 cycles of chemical looping CO2-splitting coupled with ethane cracking at 700 °C. In contrast, magnesium- and calcium-incorporated samples formed large single-phase oxide materials that were either inactive toward CO2-splitting or exhibited slow kinetics due to inhibited ion diffusion through the crystal lattice.</w:t>
      </w:r>
    </w:p>
    <w:p>
      <w:pPr>
        <w:spacing w:before="120" w:after="120"/>
      </w:pPr>
      <w:r>
        <w:rPr>
          <w:sz w:val="18"/>
        </w:rPr>
        <w:t>——————————————————————————————————————————————————————————————————————</w:t>
      </w:r>
    </w:p>
    <w:p>
      <w:pPr>
        <w:spacing w:before="160" w:after="40" w:line="240" w:lineRule="auto"/>
      </w:pPr>
      <w:r>
        <w:rPr>
          <w:b/>
        </w:rPr>
        <w:t xml:space="preserve">[2] </w:t>
      </w:r>
      <w:hyperlink r:id="rId375">
        <w:r>
          <w:rPr>
            <w:color w:val="1155CC"/>
            <w:u w:val="single"/>
          </w:rPr>
          <w:t>硬球混合物热力学对于捕捉CO2–to–CO电还原中的混合阳离子效应必不可少</w:t>
        </w:r>
      </w:hyperlink>
    </w:p>
    <w:p>
      <w:pPr>
        <w:spacing w:before="0" w:after="80"/>
      </w:pPr>
      <w:r>
        <w:rPr>
          <w:i/>
          <w:sz w:val="20"/>
        </w:rPr>
        <w:t>EN: Hard-Sphere Mixture Thermodynamics Are Necessary to Capture Mixed Cation Effects in CO2–to–CO Electroreduction</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375">
        <w:r>
          <w:rPr>
            <w:color w:val="1155CC"/>
            <w:u w:val="single"/>
          </w:rPr>
          <w:t>10.1021/acsami.6c12178</w:t>
        </w:r>
      </w:hyperlink>
    </w:p>
    <w:p>
      <w:pPr>
        <w:spacing w:before="0" w:after="120"/>
      </w:pPr>
      <w:r>
        <w:rPr>
          <w:b/>
        </w:rPr>
        <w:t xml:space="preserve">Notes: </w:t>
      </w:r>
      <w:r>
        <w:t>abstract_source=crossref</w:t>
      </w:r>
    </w:p>
    <w:p>
      <w:pPr>
        <w:spacing w:before="0" w:after="80" w:lineRule="auto" w:line="276"/>
      </w:pPr>
      <w:r>
        <w:rPr>
          <w:b/>
        </w:rPr>
        <w:t xml:space="preserve">摘要（ZH）: </w:t>
      </w:r>
      <w:r>
        <w:t>摘要 CO2电化学还原（CO2RR）的速率对碱金属阳离子的种类敏感，许多机理研究考察了它们在单一阳离子电解质中的界面效应。然而，混合阳离子电解质中的阳离子效应仍待深入探索，尽管其在零间距阴离子交换膜电解槽中具有相关性，或被有意用作本体电解质。本文探讨了混合阳离子体系中尺寸敏感的竞争性界面阳离子组装的影响，并预测其对CO2RR速率的影响。在Cs:X碳酸氢盐混合体系中考察了Au催化CO2RR生成CO的速率，其中X为Li或Na，Cs摩尔分数范围为1.0至0.0。电解实验表明，CO生成速率随Cs摩尔分数和施加电位的增加而增加但收益递减，暗示Cs阳离子在界面上优先于共阳离子积累。考虑有限尺寸效应的连续尺度模型表明，在极化条件下Cs在界面上胜过Li和Na。该效应与采用Boublík–Mansoori–Carnahan–Starling–Leland（BMCSL）模型的实验定性一致，该模型可刻画硬球混合物热力学。这项工作展示了混合阳离子电解质作为减少CO2RR装置中Cs用量的平台的价值，并确立了采用BMCSL描述混合阳离子界面CO2RR效应的必要性。</w:t>
      </w:r>
    </w:p>
    <w:p>
      <w:pPr>
        <w:spacing w:before="0" w:after="200" w:lineRule="auto" w:line="276"/>
      </w:pPr>
      <w:r>
        <w:rPr>
          <w:b/>
        </w:rPr>
        <w:t xml:space="preserve">Abstract (EN): </w:t>
      </w:r>
      <w:r>
        <w:t>The rate of the electrochemical reduction of CO2 (CO2RR) is sensitive to the identity of the alkali metal cation, with many mechanistic studies examining their interfacial effect in single cation electrolytes. However, cation effects in mixed cation electrolytes remain underexplored, despite their relevance in zero-gap, anion exchange membrane electrolyzers or in their deliberate use as bulk electrolytes. We herein explore the impact of size-sensitive, competitive interfacial assembly of cations in mixed cation systems and predict their resultant influence on the rate of CO2RR. The rate of Au-catalyzed CO2RR to CO was examined in Cs:X bicarbonate mixtures, where X is either Li or Na, with Cs mole fractions ranging from 1.0 to 0.0. Electrolysis experiments reveal that CO production rates increase with diminishing returns with increasing Cs mole fraction and applied potential, implying preferential accumulation of Cs cations over the cocation at the interface. Continuum scale modeling with finite-size effects demonstrates that Cs outcompetes Li and Na at the interface under polarization. This effect qualitatively agrees with experiment using the Boublík–Mansoori–Carnahan–Starling–Leland (BMCSL) model, which captures hard-sphere mixture thermodynamics. This work demonstrates the utility of mixed cation electrolytes as a platform to reduce the usage of Cs in CO2RR devices, as well as establishing the necessity of BMCSL to capture CO2RR effects in mixed cationic interfaces.</w:t>
      </w:r>
    </w:p>
    <w:p>
      <w:pPr>
        <w:spacing w:before="120" w:after="120"/>
      </w:pPr>
      <w:r>
        <w:rPr>
          <w:sz w:val="18"/>
        </w:rPr>
        <w:t>——————————————————————————————————————————————————————————————————————</w:t>
      </w:r>
    </w:p>
    <w:p>
      <w:pPr>
        <w:spacing w:before="160" w:after="40" w:line="240" w:lineRule="auto"/>
      </w:pPr>
      <w:r>
        <w:rPr>
          <w:b/>
        </w:rPr>
        <w:t xml:space="preserve">[3] </w:t>
      </w:r>
      <w:hyperlink r:id="rId376">
        <w:r>
          <w:rPr>
            <w:color w:val="1155CC"/>
            <w:u w:val="single"/>
          </w:rPr>
          <w:t>钴酞菁催化CO2还原为甲醇机理的分子层面研究</w:t>
        </w:r>
      </w:hyperlink>
    </w:p>
    <w:p>
      <w:pPr>
        <w:spacing w:before="0" w:after="80"/>
      </w:pPr>
      <w:r>
        <w:rPr>
          <w:i/>
          <w:sz w:val="20"/>
        </w:rPr>
        <w:t>EN: Molecular Approaches to the Mechanism of CO2 Reduction to Methanol by Cobalt Phthalocyanine</w:t>
      </w:r>
    </w:p>
    <w:p>
      <w:pPr>
        <w:spacing w:before="0" w:after="120"/>
      </w:pPr>
      <w:r>
        <w:rPr>
          <w:b/>
        </w:rPr>
        <w:t xml:space="preserve">Source: </w:t>
      </w:r>
      <w:r>
        <w:t>Journal of the American Chemical Society</w:t>
      </w:r>
      <w:r>
        <w:t xml:space="preserve">    </w:t>
      </w:r>
      <w:r>
        <w:rPr>
          <w:b/>
        </w:rPr>
        <w:t xml:space="preserve">Pub date: </w:t>
      </w:r>
      <w:r>
        <w:t>2026-08-28 00:00:00+00:00</w:t>
      </w:r>
      <w:r>
        <w:t xml:space="preserve">    </w:t>
      </w:r>
      <w:r>
        <w:rPr>
          <w:b/>
        </w:rPr>
        <w:t xml:space="preserve">DOI: </w:t>
      </w:r>
      <w:hyperlink r:id="rId376">
        <w:r>
          <w:rPr>
            <w:color w:val="1155CC"/>
            <w:u w:val="single"/>
          </w:rPr>
          <w:t>10.1021/jacs.6c06970</w:t>
        </w:r>
      </w:hyperlink>
    </w:p>
    <w:p>
      <w:pPr>
        <w:spacing w:before="0" w:after="120"/>
      </w:pPr>
      <w:r>
        <w:rPr>
          <w:b/>
        </w:rPr>
        <w:t xml:space="preserve">Notes: </w:t>
      </w:r>
      <w:r>
        <w:t>abstract_source=crossref</w:t>
      </w:r>
    </w:p>
    <w:p>
      <w:pPr>
        <w:spacing w:before="0" w:after="80" w:lineRule="auto" w:line="276"/>
      </w:pPr>
      <w:r>
        <w:rPr>
          <w:b/>
        </w:rPr>
        <w:t xml:space="preserve">摘要（ZH）: </w:t>
      </w:r>
      <w:r>
        <w:t>摘要 过去二十年来，CO2 电化学还原作为将 CO2 合成为可燃燃料的关键步骤受到了广泛关注。吸附在碳纳米管上的酞菁钴（CoPc）已成为罕见的可将 CO2 还原至两电子以上、特别是还原为甲醇的电催化剂。近期的努力提高了该过程的效率，并确认甲醇生成经由游离 CO 中间体的还原进行，但催化路径的许多方面仍不清楚，这可能制约着持续存在的稳定性与选择性问题。在此，我们采用电化学、光谱电化学、X 射线吸收光谱（XAS）、催化中间体合成以及密度泛函理论（DFT）计算来理解催化机理并鉴定特征分子性质。我们发现 CoPc 在 0 至 −2.5（vs NHE）之间经历三次 sequential 还原：第一次还原发生在 Co 中心，后两次还原进入 Pc 环。XAS 和理论计算表明 Pc 配体是非惰性的，与 Co 中心的电子结构相互作用，使 Co 在配合物经历第二和第三次还原时采取 Co(II) 态。与既往研究一致，[CoPc]2– 被发现具有 CO2 还原活性，但我们发现催化剂必须被进一步还原为 [CoPc]3– 才能在 Co 位点结合 CO。在非质子条件下 [CoPc]3– 的羰基化导致快速分解，生成 [Co(CO)4]−。然而，我们表明 [CoPc]3– 若被冲</w:t>
      </w:r>
    </w:p>
    <w:p>
      <w:pPr>
        <w:spacing w:before="0" w:after="200" w:lineRule="auto" w:line="276"/>
      </w:pPr>
      <w:r>
        <w:rPr>
          <w:b/>
        </w:rPr>
        <w:t xml:space="preserve">Abstract (EN): </w:t>
      </w:r>
      <w:r>
        <w:t>The electrochemical reduction of CO2 has received significant scientific interest over the past two decades as a key step in the synthesis of CO2 into combustible fuels. Cobalt phthalocyanine (CoPc) adsorbed on carbon nanotubes has risen as a rare electrocatalyst that reduces CO2 beyond two electrons, specifically to methanol. Recent efforts have improved the efficiency of this process and established that methanol production proceeds by reduction of a free CO intermediate, however, many aspects of the catalytic pathway remain unclear, which may underpin persistent issues of stability and selectivity. Here we employ electrochemistry, spectroelectrochemistry, X-ray adsorption spectroscopy (XAS), synthesis of catalytic intermediates, and density functional theory (DFT) calculations to understand the catalytic mechanism and identify distinguishing molecular features. We find that CoPc undergoes three sequential reductions between 0 and −2.5 vs NHE; the first reduction occurring at the Co center, and the second two reductions populating the Pc ring. XAS and theory show the Pc ligand to be noninnocent, interacting with the electronic structure of the Co center and causing Co to adopt a Co(II) state as the complex undergoes the second and third reductions. Consistent with previous studies, [CoPc]2– is found to be active for CO2 reduction, however, we find that the catalyst must be reduced further to [CoPc]3– to bind CO at the Co site. Carbonylation of [CoPc]3– under aprotic conditions leads to fast decomposition, forming [Co(CO)4]−. However, we show that [CoPc]3–, if ring protonated by weak acid to form [CoPc-H]2–, reacts with CO to generate a formyl without decomposition, the first step in methanol synthesis. DFT calculations of the mechanism indicate that the reaction of [CoPc-H]2– with CO to generate the formyl in solution proceeds by an intermolecular proton transfer between the Pc ring of [CoPc-H]2– and the Co–CO of [Co-COPc-H]2–. Overall, this study points to the importance of the Pc ligand in determining the catalytic behavior of CoPc and provides the first examples of several isolated reduced CoPc complexes and catalytic intermediates that we hope will guide future work.</w:t>
      </w:r>
    </w:p>
    <w:p>
      <w:pPr>
        <w:spacing w:before="120" w:after="120"/>
      </w:pPr>
      <w:r>
        <w:rPr>
          <w:sz w:val="18"/>
        </w:rPr>
        <w:t>——————————————————————————————————————————————————————————————————————</w:t>
      </w:r>
    </w:p>
    <w:p>
      <w:pPr>
        <w:spacing w:before="160" w:after="40" w:line="240" w:lineRule="auto"/>
      </w:pPr>
      <w:r>
        <w:rPr>
          <w:b/>
        </w:rPr>
        <w:t xml:space="preserve">[4] </w:t>
      </w:r>
      <w:hyperlink r:id="rId377">
        <w:r>
          <w:rPr>
            <w:color w:val="1155CC"/>
            <w:u w:val="single"/>
          </w:rPr>
          <w:t>通过加压兼容的工况拉曼光谱筛选高效CO转化为乙酸盐的电催化剂</w:t>
        </w:r>
      </w:hyperlink>
    </w:p>
    <w:p>
      <w:pPr>
        <w:spacing w:before="0" w:after="80"/>
      </w:pPr>
      <w:r>
        <w:rPr>
          <w:i/>
          <w:sz w:val="20"/>
        </w:rPr>
        <w:t>EN: Efficient CO-to-Acetate Conversion Electrocatalyst Screened by Pressurization-Compatible Operando Raman Spectroscopy</w:t>
      </w:r>
    </w:p>
    <w:p>
      <w:pPr>
        <w:spacing w:before="0" w:after="120"/>
      </w:pPr>
      <w:r>
        <w:rPr>
          <w:b/>
        </w:rPr>
        <w:t xml:space="preserve">Source: </w:t>
      </w:r>
      <w:r>
        <w:t>Journal of the American Chemical Society</w:t>
      </w:r>
      <w:r>
        <w:t xml:space="preserve">    </w:t>
      </w:r>
      <w:r>
        <w:rPr>
          <w:b/>
        </w:rPr>
        <w:t xml:space="preserve">Pub date: </w:t>
      </w:r>
      <w:r>
        <w:t>2026-08-29 00:00:00+00:00</w:t>
      </w:r>
      <w:r>
        <w:t xml:space="preserve">    </w:t>
      </w:r>
      <w:r>
        <w:rPr>
          <w:b/>
        </w:rPr>
        <w:t xml:space="preserve">DOI: </w:t>
      </w:r>
      <w:hyperlink r:id="rId377">
        <w:r>
          <w:rPr>
            <w:color w:val="1155CC"/>
            <w:u w:val="single"/>
          </w:rPr>
          <w:t>10.1021/jacs.6c14072</w:t>
        </w:r>
      </w:hyperlink>
    </w:p>
    <w:p>
      <w:pPr>
        <w:spacing w:before="0" w:after="120"/>
      </w:pPr>
      <w:r>
        <w:rPr>
          <w:b/>
        </w:rPr>
        <w:t xml:space="preserve">Notes: </w:t>
      </w:r>
      <w:r>
        <w:t>abstract_source=crossref</w:t>
      </w:r>
    </w:p>
    <w:p>
      <w:pPr>
        <w:spacing w:before="0" w:after="80" w:lineRule="auto" w:line="276"/>
      </w:pPr>
      <w:r>
        <w:rPr>
          <w:b/>
        </w:rPr>
        <w:t xml:space="preserve">摘要（ZH）: </w:t>
      </w:r>
      <w:r>
        <w:t>摘要 将 CO 转化为乙酸酯是 CO2/CO 到 C2+ 电还原路线中一条选择性且高效的途径，近期的进展部分归功于加压电解槽设计。加压建立了体相 CO 富集以增强传质，然而设计催化剂表面以高效容纳并电还原高密度 *CO 中间体的方法仍然不成熟。我们系统研究了具有不同结构特征的铜表面的 *CO 吸附覆盖度和亲和力，并将这些性质与 CO 到乙酸酯的性能相关联。值得注意的是，在复现加压环境的定制流通式反应器中进行的工况拉曼光谱揭示了不同 Cu 表面上依赖压力的 *CO 吸附与转化动力学。我们发现 Cu 孪晶界能够最优地同时支持加压增强的 CO 吸附及随后的转化步骤，在 10 atm CO 压力下，总 C2+ 产物的法拉第效率达到 91%，乙酸酯达到 82%，超越了所有已报道的单金属 Cu 催化剂。我们为加压气相进料电催化过程的工况表征贡献了一种实用工具。</w:t>
      </w:r>
    </w:p>
    <w:p>
      <w:pPr>
        <w:spacing w:before="0" w:after="200" w:lineRule="auto" w:line="276"/>
      </w:pPr>
      <w:r>
        <w:rPr>
          <w:b/>
        </w:rPr>
        <w:t xml:space="preserve">Abstract (EN): </w:t>
      </w:r>
      <w:r>
        <w:t>The conversion of CO to acetate represents a selective and efficient pathway among CO2/CO-to-C2+ electroreduction routes, with recent advancements being partly attributed to pressurized electrolyzer designs. Pressurization establishes bulk CO enrichment that enhances mass transport, yet methodologies for designing catalyst surfaces to efficiently accommodate and electroreduce dense *CO intermediates remain underdeveloped. We systematically investigate *CO adsorption coverage and affinity across copper surfaces with varying structural features, correlating these properties with CO-to-acetate performance. Notably, operando Raman spectroscopy conducted in a custom flow reactor replicating pressurized environments reveals pressure-dependent *CO adsorption and conversion dynamics on distinct Cu surfaces. We discover that Cu twin boundaries optimally support both pressurization-enhanced CO adsorption and subsequent conversion steps, achieving Faradaic efficiencies of 91% for total C2+ products and 82% for acetate at 10 atm CO pressure, surpassing all reported monometallic Cu catalysts. We contributed a practical tool for the operando characterization of pressurized gas-fed electrocatalytic processes.</w:t>
      </w:r>
    </w:p>
    <w:p>
      <w:pPr>
        <w:spacing w:before="120" w:after="120"/>
      </w:pPr>
      <w:r>
        <w:rPr>
          <w:sz w:val="18"/>
        </w:rPr>
        <w:t>——————————————————————————————————————————————————————————————————————</w:t>
      </w:r>
    </w:p>
    <w:p>
      <w:pPr>
        <w:spacing w:before="160" w:after="40" w:line="240" w:lineRule="auto"/>
      </w:pPr>
      <w:r>
        <w:rPr>
          <w:b/>
        </w:rPr>
        <w:t xml:space="preserve">[5] </w:t>
      </w:r>
      <w:hyperlink r:id="rId378">
        <w:r>
          <w:rPr>
            <w:color w:val="1155CC"/>
            <w:u w:val="single"/>
          </w:rPr>
          <w:t>一种双齿螯合策略用于打破热力学疏水性-活性权衡以促进CO2电还原生成甲酸盐</w:t>
        </w:r>
      </w:hyperlink>
    </w:p>
    <w:p>
      <w:pPr>
        <w:spacing w:before="0" w:after="80"/>
      </w:pPr>
      <w:r>
        <w:rPr>
          <w:i/>
          <w:sz w:val="20"/>
        </w:rPr>
        <w:t>EN: A Bidentate Chelation Strategy for Breaking the Thermodynamic Hydrophobicity‐Activity Trade‐Off to Boost the Electroreduction of CO2 to Formate</w:t>
      </w:r>
    </w:p>
    <w:p>
      <w:pPr>
        <w:spacing w:before="0" w:after="120"/>
      </w:pPr>
      <w:r>
        <w:rPr>
          <w:b/>
        </w:rPr>
        <w:t xml:space="preserve">Source: </w:t>
      </w:r>
      <w:r>
        <w:t>Wiley: Angewandte Chemie International Edition: Table of Contents</w:t>
      </w:r>
      <w:r>
        <w:t xml:space="preserve">    </w:t>
      </w:r>
      <w:r>
        <w:rPr>
          <w:b/>
        </w:rPr>
        <w:t xml:space="preserve">Pub date: </w:t>
      </w:r>
      <w:r>
        <w:t>2026-08-29 04:46:22+00:00</w:t>
      </w:r>
      <w:r>
        <w:t xml:space="preserve">    </w:t>
      </w:r>
      <w:r>
        <w:rPr>
          <w:b/>
        </w:rPr>
        <w:t xml:space="preserve">DOI: </w:t>
      </w:r>
      <w:hyperlink r:id="rId379">
        <w:r>
          <w:rPr>
            <w:color w:val="1155CC"/>
            <w:u w:val="single"/>
          </w:rPr>
          <w:t>10.1002/anie.9439653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工业相关的电化学CO2还原（CO2RR）制甲酸，需要催化剂同时具备高本征活性和表面疏水性。然而，高本征活性在疏水表面上被认为是热力学上相互矛盾的，因为高疏水性对应于低表面能，从而导致低本征活性。在此，我们通过双齿螯合策略克服了这种疏水性-活性权衡，该策略将具有可调烷基链长度的羧酸分子接枝到Bi2O2CO3上（XC-BOC，其中X表示碳数）。所获得的10C-BOC在不牺牲活性的情况下保持了高疏水性。这种疏水性-活性平衡是通过重构界面氢键（HB）网络来抑制不需要的析氢反应（HER），并确保关键*OCHO中间体的及时加氢速率，同时通过羧基-O/Bi双齿螯合调节Bi位点电子结构以保证高本征活性而实现的。因此，10C-BOC在100–1000 mA cm−2下实现了安培级性能，FEHCOO− &gt; 90%，在60</w:t>
      </w:r>
    </w:p>
    <w:p>
      <w:pPr>
        <w:spacing w:before="0" w:after="200" w:lineRule="auto" w:line="276"/>
      </w:pPr>
      <w:r>
        <w:rPr>
          <w:b/>
        </w:rPr>
        <w:t xml:space="preserve">Abstract (EN): </w:t>
      </w:r>
      <w:r>
        <w:t>Achieving industrially relevant electrochemical CO</w:t>
      </w:r>
      <w:r>
        <w:rPr>
          <w:vertAlign w:val="subscript"/>
        </w:rPr>
        <w:t>2</w:t>
      </w:r>
      <w:r>
        <w:t>reduction (CO</w:t>
      </w:r>
      <w:r>
        <w:rPr>
          <w:vertAlign w:val="subscript"/>
        </w:rPr>
        <w:t>2</w:t>
      </w:r>
      <w:r>
        <w:t>RR) to formic acid requires catalyst that simultaneously exhibits high intrinsic activity and surface hydrophobicity. However, high intrinsic activity is considered thermodynamically contradictory on a hydrophobic surface since high hydrophobicity corresponds to low surface energy, thereby leading to low intrinsic activity. Here we overcome this hydrophobicity‐activity trade‐off via a bidentate chelation strategy that grafts carboxylic acid molecules with tunable alkyl chain lengths on Bi</w:t>
      </w:r>
      <w:r>
        <w:rPr>
          <w:vertAlign w:val="subscript"/>
        </w:rPr>
        <w:t>2</w:t>
      </w:r>
      <w:r>
        <w:t>O</w:t>
      </w:r>
      <w:r>
        <w:rPr>
          <w:vertAlign w:val="subscript"/>
        </w:rPr>
        <w:t>2</w:t>
      </w:r>
      <w:r>
        <w:t>CO</w:t>
      </w:r>
      <w:r>
        <w:rPr>
          <w:vertAlign w:val="subscript"/>
        </w:rPr>
        <w:t>3</w:t>
      </w:r>
      <w:r>
        <w:t>(XC‐BOC, where X denotes the carbon number). The obtained 10C‐BOC sustains high hydrophobicity without sacrificing activity. This hydrophobicity‐activity balance is achieved by restructuring the interfacial hydrogen‐bond (HB) network to suppress the undesired hydrogen evolution reaction (HER) and ensure the timely hydrogenation rate for the key *OCHO intermediate, in conjunction with modulating the Bi site electronic structure via the carboxyl‐O/Bi bidentate chelation to guarantee the high intrinsic activity. Consequently, 10C‐BOC achieves ampere‐level performance with FE</w:t>
      </w:r>
      <w:r>
        <w:t xml:space="preserve"> </w:t>
      </w:r>
      <w:r>
        <w:t>HCOO‐</w:t>
      </w:r>
      <w:r>
        <w:t xml:space="preserve"> </w:t>
      </w:r>
      <w:r>
        <w:t>&amp;gt; 90% from 100–1000 mA cm</w:t>
      </w:r>
      <w:r>
        <w:t xml:space="preserve"> </w:t>
      </w:r>
      <w:r>
        <w:t>−2</w:t>
      </w:r>
      <w:r>
        <w:t xml:space="preserve"> </w:t>
      </w:r>
      <w:r>
        <w:t>, with an optimal FE</w:t>
      </w:r>
      <w:r>
        <w:t xml:space="preserve"> </w:t>
      </w:r>
      <w:r>
        <w:t>HCOO‐</w:t>
      </w:r>
      <w:r>
        <w:t xml:space="preserve"> </w:t>
      </w:r>
      <w:r>
        <w:t>of 97.7% at 600 mA cm</w:t>
      </w:r>
      <w:r>
        <w:t xml:space="preserve"> </w:t>
      </w:r>
      <w:r>
        <w:t>−2</w:t>
      </w:r>
      <w:r>
        <w:t xml:space="preserve"> </w:t>
      </w:r>
      <w:r>
        <w:t>(vs. 83.2% for bare BOC), and maintains FE</w:t>
      </w:r>
      <w:r>
        <w:t xml:space="preserve"> </w:t>
      </w:r>
      <w:r>
        <w:t>HCOO‐</w:t>
      </w:r>
      <w:r>
        <w:t xml:space="preserve"> </w:t>
      </w:r>
      <w:r>
        <w:t>&amp;gt; 93% at 200 mA cm</w:t>
      </w:r>
      <w:r>
        <w:t xml:space="preserve"> </w:t>
      </w:r>
      <w:r>
        <w:t>−2</w:t>
      </w:r>
      <w:r>
        <w:t xml:space="preserve"> </w:t>
      </w:r>
      <w:r>
        <w:t>for 200 h. This work offers a general strategy to decouple hydrophobicity from intrinsic activity for advanced CO</w:t>
      </w:r>
      <w:r>
        <w:rPr>
          <w:vertAlign w:val="subscript"/>
        </w:rPr>
        <w:t>2</w:t>
      </w:r>
      <w:r>
        <w:t>RR electrocatalysts.</w:t>
      </w:r>
    </w:p>
    <w:p>
      <w:pPr>
        <w:spacing w:before="120" w:after="120"/>
      </w:pPr>
      <w:r>
        <w:rPr>
          <w:sz w:val="18"/>
        </w:rPr>
        <w:t>——————————————————————————————————————————————————————————————————————</w:t>
      </w:r>
    </w:p>
    <w:p>
      <w:pPr>
        <w:spacing w:before="160" w:after="40" w:line="240" w:lineRule="auto"/>
      </w:pPr>
      <w:r>
        <w:rPr>
          <w:b/>
        </w:rPr>
        <w:t xml:space="preserve">[6] </w:t>
      </w:r>
      <w:hyperlink r:id="rId380">
        <w:r>
          <w:rPr>
            <w:color w:val="1155CC"/>
            <w:u w:val="single"/>
          </w:rPr>
          <w:t>原位衍生La-Ni基钙钛矿上模拟叶绿体界面用于太阳能驱动CO2还原为CH4</w:t>
        </w:r>
      </w:hyperlink>
    </w:p>
    <w:p>
      <w:pPr>
        <w:spacing w:before="0" w:after="80"/>
      </w:pPr>
      <w:r>
        <w:rPr>
          <w:i/>
          <w:sz w:val="20"/>
        </w:rPr>
        <w:t>EN: Chloroplast‐Mimicking Interfaces on In Situ Derived La‐Ni Based Perovskite for Solar‐Driven CO2 Reduction to CH4</w:t>
      </w:r>
    </w:p>
    <w:p>
      <w:pPr>
        <w:spacing w:before="0" w:after="120"/>
      </w:pPr>
      <w:r>
        <w:rPr>
          <w:b/>
        </w:rPr>
        <w:t xml:space="preserve">Source: </w:t>
      </w:r>
      <w:r>
        <w:t>Wiley: Advanced Materials: Table of Contents</w:t>
      </w:r>
      <w:r>
        <w:t xml:space="preserve">    </w:t>
      </w:r>
      <w:r>
        <w:rPr>
          <w:b/>
        </w:rPr>
        <w:t xml:space="preserve">Pub date: </w:t>
      </w:r>
      <w:r>
        <w:t>2026-08-29 07:24:36+00:00</w:t>
      </w:r>
      <w:r>
        <w:t xml:space="preserve">    </w:t>
      </w:r>
      <w:r>
        <w:rPr>
          <w:b/>
        </w:rPr>
        <w:t xml:space="preserve">DOI: </w:t>
      </w:r>
      <w:hyperlink r:id="rId381">
        <w:r>
          <w:rPr>
            <w:color w:val="1155CC"/>
            <w:u w:val="single"/>
          </w:rPr>
          <w:t>10.1002/adma.74829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工光合技术在水可持续能源转化和高附加值化学品合成方面前景广阔，但将高效光吸收与高产物选择性相结合仍是一项重大挑战。本研究通过钙钛矿原位衍生构建了Ni-La₂O₃/La₂NiO₄催化剂，通过耦合光催化与光热催化，并整合宽谱光捕获、定向电荷转移以及CO₂吸附与加氢，在机制和功能上模拟叶绿体进行人工光合。形成了三个功能界面：La₂O₃-La₂NiO₄(Z型机制)、Ni-La₂NiO₄(肖特基结)以及La₂O₃(吸附)-Ni(活化)。两种异质结促进电子向金属Ni纳米粒子转移，通过收集光生和光热生电子，将H⁺活化形成类NADPH的表面Ni-H物种。同时，路易斯碱性的La</w:t>
      </w:r>
    </w:p>
    <w:p>
      <w:pPr>
        <w:spacing w:before="0" w:after="200" w:lineRule="auto" w:line="276"/>
      </w:pPr>
      <w:r>
        <w:rPr>
          <w:b/>
        </w:rPr>
        <w:t xml:space="preserve">Abstract (EN): </w:t>
      </w:r>
      <w:r>
        <w:t>Artificial photosynthesis technology holds great promise for sustainable energy conversion and value‐added chemical synthesis, yet integrating efficient light absorption with high product selectivity remains a major challenge. This study constructs an Ni‐La</w:t>
      </w:r>
      <w:r>
        <w:rPr>
          <w:vertAlign w:val="subscript"/>
        </w:rPr>
        <w:t>2</w:t>
      </w:r>
      <w:r>
        <w:t>O</w:t>
      </w:r>
      <w:r>
        <w:rPr>
          <w:vertAlign w:val="subscript"/>
        </w:rPr>
        <w:t>3</w:t>
      </w:r>
      <w:r>
        <w:t>/La</w:t>
      </w:r>
      <w:r>
        <w:rPr>
          <w:vertAlign w:val="subscript"/>
        </w:rPr>
        <w:t>2</w:t>
      </w:r>
      <w:r>
        <w:t>NiO</w:t>
      </w:r>
      <w:r>
        <w:rPr>
          <w:vertAlign w:val="subscript"/>
        </w:rPr>
        <w:t>4</w:t>
      </w:r>
      <w:r>
        <w:t>catalyst through in situ perovskite derivation that mechanistically and functionally mimics the chloroplast for artificial photosynthesis by coupling photo and photothermal catalysis with the integration of broad‐spectrum light harvesting, directional charge transfer, as well as CO</w:t>
      </w:r>
      <w:r>
        <w:rPr>
          <w:vertAlign w:val="subscript"/>
        </w:rPr>
        <w:t>2</w:t>
      </w:r>
      <w:r>
        <w:t>adsorption and hydrogenation. Three functional interfaces are formed: La</w:t>
      </w:r>
      <w:r>
        <w:rPr>
          <w:vertAlign w:val="subscript"/>
        </w:rPr>
        <w:t>2</w:t>
      </w:r>
      <w:r>
        <w:t>O</w:t>
      </w:r>
      <w:r>
        <w:rPr>
          <w:vertAlign w:val="subscript"/>
        </w:rPr>
        <w:t>3</w:t>
      </w:r>
      <w:r>
        <w:t>‐La</w:t>
      </w:r>
      <w:r>
        <w:rPr>
          <w:vertAlign w:val="subscript"/>
        </w:rPr>
        <w:t>2</w:t>
      </w:r>
      <w:r>
        <w:t>NiO</w:t>
      </w:r>
      <w:r>
        <w:rPr>
          <w:vertAlign w:val="subscript"/>
        </w:rPr>
        <w:t>4</w:t>
      </w:r>
      <w:r>
        <w:t>(Z‐scheme), Ni‐La</w:t>
      </w:r>
      <w:r>
        <w:rPr>
          <w:vertAlign w:val="subscript"/>
        </w:rPr>
        <w:t>2</w:t>
      </w:r>
      <w:r>
        <w:t>NiO</w:t>
      </w:r>
      <w:r>
        <w:rPr>
          <w:vertAlign w:val="subscript"/>
        </w:rPr>
        <w:t>4</w:t>
      </w:r>
      <w:r>
        <w:t>(Schottky junction), and La</w:t>
      </w:r>
      <w:r>
        <w:rPr>
          <w:vertAlign w:val="subscript"/>
        </w:rPr>
        <w:t>2</w:t>
      </w:r>
      <w:r>
        <w:t>O</w:t>
      </w:r>
      <w:r>
        <w:rPr>
          <w:vertAlign w:val="subscript"/>
        </w:rPr>
        <w:t>3</w:t>
      </w:r>
      <w:r>
        <w:t>(adsorption)‐Ni(activation). The two heterojunctions facilitate electron transfer to metallic Ni nanoparticles, which activates H</w:t>
      </w:r>
      <w:r>
        <w:t xml:space="preserve"> </w:t>
      </w:r>
      <w:r>
        <w:t>+</w:t>
      </w:r>
      <w:r>
        <w:t xml:space="preserve"> </w:t>
      </w:r>
      <w:r>
        <w:t>to form an NADPH‐like surface Ni‐H species by enabling the collection of photo and photothermal generated electrons. Meanwhile, the Lewis‐basic La</w:t>
      </w:r>
      <w:r>
        <w:rPr>
          <w:vertAlign w:val="subscript"/>
        </w:rPr>
        <w:t>2</w:t>
      </w:r>
      <w:r>
        <w:t>O</w:t>
      </w:r>
      <w:r>
        <w:rPr>
          <w:vertAlign w:val="subscript"/>
        </w:rPr>
        <w:t>3</w:t>
      </w:r>
      <w:r>
        <w:t>captures CO</w:t>
      </w:r>
      <w:r>
        <w:rPr>
          <w:vertAlign w:val="subscript"/>
        </w:rPr>
        <w:t>2</w:t>
      </w:r>
      <w:r>
        <w:t>and promotes its activation at the La</w:t>
      </w:r>
      <w:r>
        <w:rPr>
          <w:vertAlign w:val="subscript"/>
        </w:rPr>
        <w:t>2</w:t>
      </w:r>
      <w:r>
        <w:t>O</w:t>
      </w:r>
      <w:r>
        <w:rPr>
          <w:vertAlign w:val="subscript"/>
        </w:rPr>
        <w:t>3</w:t>
      </w:r>
      <w:r>
        <w:t>‐Ni interface. In CO</w:t>
      </w:r>
      <w:r>
        <w:rPr>
          <w:vertAlign w:val="subscript"/>
        </w:rPr>
        <w:t>2</w:t>
      </w:r>
      <w:r>
        <w:t>‐to‐CH</w:t>
      </w:r>
      <w:r>
        <w:rPr>
          <w:vertAlign w:val="subscript"/>
        </w:rPr>
        <w:t>4</w:t>
      </w:r>
      <w:r>
        <w:t>conversion, Ni‐La</w:t>
      </w:r>
      <w:r>
        <w:rPr>
          <w:vertAlign w:val="subscript"/>
        </w:rPr>
        <w:t>2</w:t>
      </w:r>
      <w:r>
        <w:t>O</w:t>
      </w:r>
      <w:r>
        <w:rPr>
          <w:vertAlign w:val="subscript"/>
        </w:rPr>
        <w:t>3</w:t>
      </w:r>
      <w:r>
        <w:t>/La</w:t>
      </w:r>
      <w:r>
        <w:rPr>
          <w:vertAlign w:val="subscript"/>
        </w:rPr>
        <w:t>2</w:t>
      </w:r>
      <w:r>
        <w:t>NiO</w:t>
      </w:r>
      <w:r>
        <w:rPr>
          <w:vertAlign w:val="subscript"/>
        </w:rPr>
        <w:t>4</w:t>
      </w:r>
      <w:r>
        <w:t>demonstrates an exceptional CH</w:t>
      </w:r>
      <w:r>
        <w:rPr>
          <w:vertAlign w:val="subscript"/>
        </w:rPr>
        <w:t>4</w:t>
      </w:r>
      <w:r>
        <w:t>production rate of 9.96 µmol h</w:t>
      </w:r>
      <w:r>
        <w:t xml:space="preserve"> </w:t>
      </w:r>
      <w:r>
        <w:t>−1</w:t>
      </w:r>
      <w:r>
        <w:t xml:space="preserve"> </w:t>
      </w:r>
      <w:r>
        <w:t>g</w:t>
      </w:r>
      <w:r>
        <w:t xml:space="preserve"> </w:t>
      </w:r>
      <w:r>
        <w:t>−1</w:t>
      </w:r>
      <w:r>
        <w:t xml:space="preserve"> </w:t>
      </w:r>
      <w:r>
        <w:t>and a selectivity of 92.5% under natural conditions (i.e., AM 1.5 irradiation, ambient temperature, and atmospheric pressure) without external assistance, which outperforms pure La</w:t>
      </w:r>
      <w:r>
        <w:rPr>
          <w:vertAlign w:val="subscript"/>
        </w:rPr>
        <w:t>2</w:t>
      </w:r>
      <w:r>
        <w:t>NiO</w:t>
      </w:r>
      <w:r>
        <w:rPr>
          <w:vertAlign w:val="subscript"/>
        </w:rPr>
        <w:t>4</w:t>
      </w:r>
      <w:r>
        <w:t>by 10.2 and 4.6 times, respectively. This work advances a new strategy for efficient solar‐to‐fuel conversion.</w:t>
      </w:r>
    </w:p>
    <w:p>
      <w:pPr>
        <w:spacing w:before="120" w:after="120"/>
      </w:pPr>
      <w:r>
        <w:rPr>
          <w:sz w:val="18"/>
        </w:rPr>
        <w:t>——————————————————————————————————————————————————————————————————————</w:t>
      </w:r>
    </w:p>
    <w:p>
      <w:pPr>
        <w:spacing w:before="160" w:after="40" w:line="240" w:lineRule="auto"/>
      </w:pPr>
      <w:r>
        <w:rPr>
          <w:b/>
        </w:rPr>
        <w:t xml:space="preserve">[7] </w:t>
      </w:r>
      <w:hyperlink r:id="rId318">
        <w:r>
          <w:rPr>
            <w:color w:val="1155CC"/>
            <w:u w:val="single"/>
          </w:rPr>
          <w:t>揭示MOF基光催化剂中的协同催化效应</w:t>
        </w:r>
      </w:hyperlink>
    </w:p>
    <w:p>
      <w:pPr>
        <w:spacing w:before="0" w:after="80"/>
      </w:pPr>
      <w:r>
        <w:rPr>
          <w:i/>
          <w:sz w:val="20"/>
        </w:rPr>
        <w:t>EN: Unraveling the Synergistic Catalysis Effect in MOF‐Based Photocatalysts</w:t>
      </w:r>
    </w:p>
    <w:p>
      <w:pPr>
        <w:spacing w:before="0" w:after="120"/>
      </w:pPr>
      <w:r>
        <w:rPr>
          <w:b/>
        </w:rPr>
        <w:t xml:space="preserve">Source: </w:t>
      </w:r>
      <w:r>
        <w:t>Wiley: Advanced Materials: Table of Contents</w:t>
      </w:r>
      <w:r>
        <w:t xml:space="preserve">    </w:t>
      </w:r>
      <w:r>
        <w:rPr>
          <w:b/>
        </w:rPr>
        <w:t xml:space="preserve">Pub date: </w:t>
      </w:r>
      <w:r>
        <w:t>2026-08-29 16:52:46+00:00</w:t>
      </w:r>
      <w:r>
        <w:t xml:space="preserve">    </w:t>
      </w:r>
      <w:r>
        <w:rPr>
          <w:b/>
        </w:rPr>
        <w:t xml:space="preserve">DOI: </w:t>
      </w:r>
      <w:hyperlink r:id="rId319">
        <w:r>
          <w:rPr>
            <w:color w:val="1155CC"/>
            <w:u w:val="single"/>
          </w:rPr>
          <w:t>10.1002/adma.74863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有机框架因具有可定制的结构、大的比表面积、可调的活性位点和可调控的孔道微环境，已成为太阳-化学能转化的多孔晶体催化剂。然而，它们仍存在光吸收窄、电荷复合快、活性位点不足和稳定性差等局限。协同催化工程是克服这些瓶颈、提升MOF基光催化剂性能的关键策略。本综述系统总结了MOF基材料中协同催化效应的最新进展，重点关注四种核心协同模式：金属-配体协同、双金属位点协同、配体-配体协同和MOF基复合材料协同。从光吸收调控、光生电荷分离与迁移、能带结构工程和活性位点调制的角度阐明了这些协同作用的内在机制。同时，概述了其在光催化水分解、CO2选择性还原为C1和C2+产物以及有机转化中的应用，并重点阐明了协同构型与光催化性能之间的构效关系。最后，还提出了面临的挑战和未来研究方向，旨在</w:t>
      </w:r>
    </w:p>
    <w:p>
      <w:pPr>
        <w:spacing w:before="0" w:after="200" w:lineRule="auto" w:line="276"/>
      </w:pPr>
      <w:r>
        <w:rPr>
          <w:b/>
        </w:rPr>
        <w:t xml:space="preserve">Abstract (EN): </w:t>
      </w:r>
      <w:r>
        <w:t>Metal–organic frameworks (MOFs) have emerged as promising porous crystalline catalysts for solar‐to‐chemical energy conversion, owing to their customizable structures, large specific surface areas, tunable active sites, and regulatable pore microenvironments. Nevertheless, they still suffer from limitations such as narrow light absorption, rapid charge recombination, insufficient active sites, and poor stability. Synergistic catalysis engineering represents a key strategy to overcome these bottlenecks and enhance the photocatalytic performance of MOF‐based photocatalysts. This review systematically summarizes recent advances in synergistic catalytic effects within MOF‐based materials, focusing on four core synergistic modes: metal‐ligand synergy, bimetallic sites synergy, ligand‐ligand synergy, and MOF‐based composite synergy. The underlying mechanisms of these synergies are elucidated from the perspectives of light absorption regulation, photogenerated charge separation and migration, band structure engineering, and active site modulation. Meanwhile, their applications in photocatalytic water splitting, selective CO</w:t>
      </w:r>
      <w:r>
        <w:rPr>
          <w:vertAlign w:val="subscript"/>
        </w:rPr>
        <w:t>2</w:t>
      </w:r>
      <w:r>
        <w:t>reduction to C</w:t>
      </w:r>
      <w:r>
        <w:rPr>
          <w:vertAlign w:val="subscript"/>
        </w:rPr>
        <w:t>1</w:t>
      </w:r>
      <w:r>
        <w:t>and C</w:t>
      </w:r>
      <w:r>
        <w:t xml:space="preserve"> </w:t>
      </w:r>
      <w:r>
        <w:t>2+</w:t>
      </w:r>
      <w:r>
        <w:t xml:space="preserve"> </w:t>
      </w:r>
      <w:r>
        <w:t>products, and organic transformations are overviewed, with an emphasis on elucidating the structure–activity relationship between synergistic configuration and photocatalytic performance. Finally, the challenges and future research directions are also proposed, aiming to provide guidance for the rational design of high‐efficiency MOF‐based photocatalysts for solar‐to‐chemical conversion.</w:t>
      </w:r>
    </w:p>
    <w:p>
      <w:pPr>
        <w:spacing w:before="120" w:after="120"/>
      </w:pPr>
      <w:r>
        <w:rPr>
          <w:sz w:val="18"/>
        </w:rPr>
        <w:t>——————————————————————————————————————————————————————————————————————</w:t>
      </w:r>
    </w:p>
    <w:p>
      <w:pPr>
        <w:spacing w:before="160" w:after="40" w:line="240" w:lineRule="auto"/>
      </w:pPr>
      <w:r>
        <w:rPr>
          <w:b/>
        </w:rPr>
        <w:t xml:space="preserve">[8] </w:t>
      </w:r>
      <w:hyperlink r:id="rId382">
        <w:r>
          <w:rPr>
            <w:color w:val="1155CC"/>
            <w:u w:val="single"/>
          </w:rPr>
          <w:t>用于CO2选择性电还原的质子通量工程</w:t>
        </w:r>
      </w:hyperlink>
    </w:p>
    <w:p>
      <w:pPr>
        <w:spacing w:before="0" w:after="80"/>
      </w:pPr>
      <w:r>
        <w:rPr>
          <w:i/>
          <w:sz w:val="20"/>
        </w:rPr>
        <w:t>EN: Proton Flux Engineering for Selective CO2 Electroreduction</w:t>
      </w:r>
    </w:p>
    <w:p>
      <w:pPr>
        <w:spacing w:before="0" w:after="120"/>
      </w:pPr>
      <w:r>
        <w:rPr>
          <w:b/>
        </w:rPr>
        <w:t xml:space="preserve">Source: </w:t>
      </w:r>
      <w:r>
        <w:t>Wiley: Advanced Energy Materials: Table of Contents</w:t>
      </w:r>
      <w:r>
        <w:t xml:space="preserve">    </w:t>
      </w:r>
      <w:r>
        <w:rPr>
          <w:b/>
        </w:rPr>
        <w:t xml:space="preserve">Pub date: </w:t>
      </w:r>
      <w:r>
        <w:t>2026-08-30 10:05:59+00:00</w:t>
      </w:r>
      <w:r>
        <w:t xml:space="preserve">    </w:t>
      </w:r>
      <w:r>
        <w:rPr>
          <w:b/>
        </w:rPr>
        <w:t xml:space="preserve">DOI: </w:t>
      </w:r>
      <w:hyperlink r:id="rId383">
        <w:r>
          <w:rPr>
            <w:color w:val="1155CC"/>
            <w:u w:val="single"/>
          </w:rPr>
          <w:t>10.1002/aenm.71519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二氧化碳还原反应（CO</w:t>
      </w:r>
      <w:r>
        <w:rPr>
          <w:vertAlign w:val="subscript"/>
        </w:rPr>
        <w:t>2</w:t>
      </w:r>
      <w:r>
        <w:t>RR）是碳资源化利用和可再生电力存储的核心，但其选择性、效率和耐久性取决于在动态电化学界面上协调质子供给与电子转移。尽管在催化剂、电解质、析氢抑制和器件方面取得了进展，质子效应仍由分散的描述符来描述，如pH、水活度、缓冲容量、阳离子种类、疏水性、离聚物化学和局部碱性。这种碎片化掩盖了质子如何调控起始、*COOH形成、*CO/甲酸分支、*CO覆盖、C─C偶联、析氢以及高通量衰减。需要一种以质子为中心的视角，将原子级质子转移事件与界面微环境和器件运行联系起来。本综述通过考察质子来源、传输路径、界面可及性、氢键网络重组、局部电场和质子耦合电子转移时序，建立了质子调控作为CO</w:t>
      </w:r>
      <w:r>
        <w:rPr>
          <w:vertAlign w:val="subscript"/>
        </w:rPr>
        <w:t>2</w:t>
      </w:r>
      <w:r>
        <w:t>RR的机理框架。通过整合分子机制、微环境调控、原位表征以及气体扩散或膜电极架构，我们将分散的观测结果组织成一个来源-传输-利用框架。该框架展示了质子的位置、剂量和时间可用性如何界定析氢、单碳（C</w:t>
      </w:r>
    </w:p>
    <w:p>
      <w:pPr>
        <w:spacing w:before="0" w:after="200" w:lineRule="auto" w:line="276"/>
      </w:pPr>
      <w:r>
        <w:rPr>
          <w:b/>
        </w:rPr>
        <w:t xml:space="preserve">Abstract (EN): </w:t>
      </w:r>
      <w:r>
        <w:t>The carbon dioxide reduction reaction (CO</w:t>
      </w:r>
      <w:r>
        <w:rPr>
          <w:vertAlign w:val="subscript"/>
        </w:rPr>
        <w:t>2</w:t>
      </w:r>
      <w:r>
        <w:t>RR) is central to carbon valorization and renewable electricity storage, yet its selectivity, efficiency, and durability depend on coordinating proton availability with electron transfer at dynamic electrochemical interfaces. Despite advances in catalysts, electrolytes, hydrogen evolution suppression, and devices, proton effects are described by isolated descriptors, such as pH, water activity, buffer capacity, cation identity, hydrophobicity, ionomer chemistry, and local alkalinity. This fragmentation obscures how protons regulate initiation, *COOH formation, *CO/formate branching, *CO coverage, C─C coupling, hydrogen evolution, and high‐flux decay. A proton‐centered perspective is needed to link atomic proton‐transfer events with interfacial microenvironments and device operation. This review establishes proton regulation as a mechanistic framework for CO</w:t>
      </w:r>
      <w:r>
        <w:rPr>
          <w:vertAlign w:val="subscript"/>
        </w:rPr>
        <w:t>2</w:t>
      </w:r>
      <w:r>
        <w:t>RR by examining proton sources, transport pathways, interfacial accessibility, hydrogen‐bond‐network reorganization, local electric fields, and proton‐coupled electron‐transfer timing. By integrating molecular mechanisms, microenvironment modulation, in situ characterization, and gas‐diffusion or membrane‐electrode architectures, we organize dispersed observations into a source–transport–utilization framework. This framework shows how proton location, dose, and temporal availability define kinetic boundaries between hydrogen evolution, one‐carbon (C</w:t>
      </w:r>
      <w:r>
        <w:rPr>
          <w:vertAlign w:val="subscript"/>
        </w:rPr>
        <w:t>1</w:t>
      </w:r>
      <w:r>
        <w:t>) products, and multicarbon (C</w:t>
      </w:r>
      <w:r>
        <w:t xml:space="preserve"> </w:t>
      </w:r>
      <w:r>
        <w:t>2+</w:t>
      </w:r>
      <w:r>
        <w:t xml:space="preserve"> </w:t>
      </w:r>
      <w:r>
        <w:t>) pathways, while governing stability under practical fluxes. Proton regulation guides selective, scalable, and durable CO</w:t>
      </w:r>
      <w:r>
        <w:rPr>
          <w:vertAlign w:val="subscript"/>
        </w:rPr>
        <w:t>2</w:t>
      </w:r>
      <w:r>
        <w:t>electroconversion.</w:t>
      </w:r>
    </w:p>
    <w:p>
      <w:pPr>
        <w:spacing w:before="120" w:after="120"/>
      </w:pPr>
      <w:r>
        <w:rPr>
          <w:sz w:val="18"/>
        </w:rPr>
        <w:t>——————————————————————————————————————————————————————————————————————</w:t>
      </w:r>
    </w:p>
    <w:p>
      <w:pPr>
        <w:spacing w:before="160" w:after="40" w:line="240" w:lineRule="auto"/>
      </w:pPr>
      <w:r>
        <w:rPr>
          <w:b/>
        </w:rPr>
        <w:t xml:space="preserve">[9] </w:t>
      </w:r>
      <w:hyperlink r:id="rId384">
        <w:r>
          <w:rPr>
            <w:color w:val="1155CC"/>
            <w:u w:val="single"/>
          </w:rPr>
          <w:t>去溶剂化阳离子通过部分共价相互作用促进CO2电还原</w:t>
        </w:r>
      </w:hyperlink>
    </w:p>
    <w:p>
      <w:pPr>
        <w:spacing w:before="0" w:after="80"/>
      </w:pPr>
      <w:r>
        <w:rPr>
          <w:i/>
          <w:sz w:val="20"/>
        </w:rPr>
        <w:t>EN: Desolvated cations promote CO2 electroreduction through partial covalent interactions</w:t>
      </w:r>
    </w:p>
    <w:p>
      <w:pPr>
        <w:spacing w:before="0" w:after="120"/>
      </w:pPr>
      <w:r>
        <w:rPr>
          <w:b/>
        </w:rPr>
        <w:t xml:space="preserve">Source: </w:t>
      </w:r>
      <w:r>
        <w:t>Nature Catalysis</w:t>
      </w:r>
      <w:r>
        <w:t xml:space="preserve">    </w:t>
      </w:r>
      <w:r>
        <w:rPr>
          <w:b/>
        </w:rPr>
        <w:t xml:space="preserve">Pub date: </w:t>
      </w:r>
      <w:r>
        <w:t>2026-08-31 00:00:00+00:00</w:t>
      </w:r>
      <w:r>
        <w:t xml:space="preserve">    </w:t>
      </w:r>
      <w:r>
        <w:rPr>
          <w:b/>
        </w:rPr>
        <w:t xml:space="preserve">DOI: </w:t>
      </w:r>
      <w:hyperlink r:id="rId385">
        <w:r>
          <w:rPr>
            <w:color w:val="1155CC"/>
            <w:u w:val="single"/>
          </w:rPr>
          <w:t>10.1038/s41929-026-01604-w</w:t>
        </w:r>
      </w:hyperlink>
    </w:p>
    <w:p>
      <w:pPr>
        <w:spacing w:before="0" w:after="120"/>
      </w:pPr>
      <w:r>
        <w:rPr>
          <w:b/>
        </w:rPr>
        <w:t xml:space="preserve">Notes: </w:t>
      </w:r>
      <w:r>
        <w:t>abstract_source=rss_nature</w:t>
      </w:r>
    </w:p>
    <w:p>
      <w:pPr>
        <w:spacing w:before="0" w:after="80" w:lineRule="auto" w:line="276"/>
      </w:pPr>
      <w:r>
        <w:rPr>
          <w:b/>
        </w:rPr>
        <w:t xml:space="preserve">摘要（ZH）: </w:t>
      </w:r>
      <w:r>
        <w:t>电催化 CO2 还原中阳离子增强的机制一直存在广泛争议，但缺乏操作条件下的光谱证据。如今，原位 X 射线与表面增强红外光谱与理论相结合，揭示了去溶剂化的 Cs+ 阳离子通过部分共价相互作用在大幅降低的过电位下实现 CO2 活化。</w:t>
      </w:r>
    </w:p>
    <w:p>
      <w:pPr>
        <w:spacing w:before="0" w:after="200" w:lineRule="auto" w:line="276"/>
      </w:pPr>
      <w:r>
        <w:rPr>
          <w:b/>
        </w:rPr>
        <w:t xml:space="preserve">Abstract (EN): </w:t>
      </w:r>
      <w:r>
        <w:t>The mechanism of cation enhancement in electrocatalytic CO2 reduction has been widely debated but spectroscopic evidence under operating conditions is lacking. Now operando X-ray and surface-enhanced infrared spectroscopy are combined with theory to reveal that desolvated Cs+ cations enable CO2 activation at substantially reduced overpotentials through partial covalent interactions.</w:t>
      </w:r>
    </w:p>
    <w:p>
      <w:pPr>
        <w:spacing w:before="120" w:after="120"/>
      </w:pPr>
      <w:r>
        <w:rPr>
          <w:sz w:val="18"/>
        </w:rPr>
        <w:t>——————————————————————————————————————————————————————————————————————</w:t>
      </w:r>
    </w:p>
    <w:p>
      <w:pPr>
        <w:spacing w:before="160" w:after="40" w:line="240" w:lineRule="auto"/>
      </w:pPr>
      <w:r>
        <w:rPr>
          <w:b/>
        </w:rPr>
        <w:t xml:space="preserve">[10] </w:t>
      </w:r>
      <w:hyperlink r:id="rId386">
        <w:r>
          <w:rPr>
            <w:color w:val="1155CC"/>
            <w:u w:val="single"/>
          </w:rPr>
          <w:t>通过生物杂化反应–扩散纳米限域将CO2可利用性与整体溶解度解耦</w:t>
        </w:r>
      </w:hyperlink>
    </w:p>
    <w:p>
      <w:pPr>
        <w:spacing w:before="0" w:after="80"/>
      </w:pPr>
      <w:r>
        <w:rPr>
          <w:i/>
          <w:sz w:val="20"/>
        </w:rPr>
        <w:t>EN: Decoupling CO2 Availability from Bulk Solubility via Biohybrid Reaction–Diffusion Nanoconfinement</w:t>
      </w:r>
    </w:p>
    <w:p>
      <w:pPr>
        <w:spacing w:before="0" w:after="120"/>
      </w:pPr>
      <w:r>
        <w:rPr>
          <w:b/>
        </w:rPr>
        <w:t xml:space="preserve">Source: </w:t>
      </w:r>
      <w:r>
        <w:t>Journal of the American Chemical Society</w:t>
      </w:r>
      <w:r>
        <w:t xml:space="preserve">    </w:t>
      </w:r>
      <w:r>
        <w:rPr>
          <w:b/>
        </w:rPr>
        <w:t xml:space="preserve">Pub date: </w:t>
      </w:r>
      <w:r>
        <w:t>2026-08-31 00:00:00+00:00</w:t>
      </w:r>
      <w:r>
        <w:t xml:space="preserve">    </w:t>
      </w:r>
      <w:r>
        <w:rPr>
          <w:b/>
        </w:rPr>
        <w:t xml:space="preserve">DOI: </w:t>
      </w:r>
      <w:hyperlink r:id="rId386">
        <w:r>
          <w:rPr>
            <w:color w:val="1155CC"/>
            <w:u w:val="single"/>
          </w:rPr>
          <w:t>10.1021/jacs.6c12039</w:t>
        </w:r>
      </w:hyperlink>
    </w:p>
    <w:p>
      <w:pPr>
        <w:spacing w:before="0" w:after="120"/>
      </w:pPr>
      <w:r>
        <w:rPr>
          <w:b/>
        </w:rPr>
        <w:t xml:space="preserve">Notes: </w:t>
      </w:r>
      <w:r>
        <w:t>abstract_source=crossref</w:t>
      </w:r>
    </w:p>
    <w:p>
      <w:pPr>
        <w:spacing w:before="0" w:after="80" w:lineRule="auto" w:line="276"/>
      </w:pPr>
      <w:r>
        <w:rPr>
          <w:b/>
        </w:rPr>
        <w:t xml:space="preserve">摘要（ZH）: </w:t>
      </w:r>
      <w:r>
        <w:t>摘要 尽管当代CO2还原研究主要集中于寻找新型活性位点，但即使是最先进的催化剂，其性能仍从根本上受到溶解CO2缓慢传质的制约。本文证明，调控局部化学微环境与调节本征催化活性同等重要。受蓝细菌羧酶体功能协同作用的启发，我们报道了一种仿生界面，将碳酸酐酶整合到磷酸铜纳米花中，构建了反应-扩散纳米反应器。高光谱显微FTIR成像显示，在生物杂化界面处存在空间局域化且定量增强的CO2相关信号，这与酶促碳酸氢盐脱水所维持的界面CO2储库的形成相一致。这种界面CO2富集直接转化为更高的碳利用率，表现为相对于无酶对照组更高的转化速率和对碳基还原产物更好的选择性。实时在线电化学质谱证实，在传统电极受传质限制的条件下，选择性向碳基产物转移。这项工作确立了将关注点从材料束缚的动力学转向界面驱动的碳管理，同样是推进电合成的有效策略。</w:t>
      </w:r>
    </w:p>
    <w:p>
      <w:pPr>
        <w:spacing w:before="0" w:after="200" w:lineRule="auto" w:line="276"/>
      </w:pPr>
      <w:r>
        <w:rPr>
          <w:b/>
        </w:rPr>
        <w:t xml:space="preserve">Abstract (EN): </w:t>
      </w:r>
      <w:r>
        <w:t>Although contemporary CO2 reduction research is largely dominated by the search for novel active sites, the performance of even the most sophisticated catalysts remains fundamentally constrained by the sluggish mass transport of dissolved CO2. Here, we demonstrate that engineering the local chemical microenvironment is as critical as tuning intrinsic catalytic activity. Inspired by the functional orchestration of cyanobacterial carboxysomes, we report a biomimetic interface that integrates carbonic anhydrase within copper phosphate nanoflowers to establish a reaction–diffusion nanoreactor. Hyperspectral micro-FTIR imaging reveals a spatially localized and quantitatively enhanced CO2-associated signal at the biohybrid interface, consistent with the formation of an interfacial CO2 reservoir sustained by enzymatic bicarbonate dehydration. This interfacial CO2 enrichment directly translates into enhanced carbon utilization, manifested by higher conversion rates and improved selectivity toward carbon-derived reduction products relative to the enzyme-free control. Real-time online electrochemical mass spectrometry confirms a shift in selectivity toward carbon-derived products under conditions where conventional electrodes are transport-limited. This work establishes that shifting the focus from material-bound kinetics to interface-driven carbon management is also a strategy for advancing electrosynthesis.</w:t>
      </w:r>
    </w:p>
    <w:p>
      <w:pPr>
        <w:spacing w:before="120" w:after="120"/>
      </w:pPr>
      <w:r>
        <w:rPr>
          <w:sz w:val="18"/>
        </w:rPr>
        <w:t>——————————————————————————————————————————————————————————————————————</w:t>
      </w:r>
    </w:p>
    <w:p>
      <w:pPr>
        <w:spacing w:before="160" w:after="40" w:line="240" w:lineRule="auto"/>
      </w:pPr>
      <w:r>
        <w:rPr>
          <w:b/>
        </w:rPr>
        <w:t xml:space="preserve">[11] </w:t>
      </w:r>
      <w:hyperlink r:id="rId387">
        <w:r>
          <w:rPr>
            <w:color w:val="1155CC"/>
            <w:u w:val="single"/>
          </w:rPr>
          <w:t>各向异性缺陷诱导的轨道重排实现相干电荷重新分布及金属–有机框架中的选择性光催化CO2还原</w:t>
        </w:r>
      </w:hyperlink>
    </w:p>
    <w:p>
      <w:pPr>
        <w:spacing w:before="0" w:after="80"/>
      </w:pPr>
      <w:r>
        <w:rPr>
          <w:i/>
          <w:sz w:val="20"/>
        </w:rPr>
        <w:t>EN: Anisotropic Defect-Induced Orbital Reordering Enables Coherent Charge Redistribution and Selective Photocatalytic CO2 Reduction in Metal–Organic Frameworks</w:t>
      </w:r>
    </w:p>
    <w:p>
      <w:pPr>
        <w:spacing w:before="0" w:after="120"/>
      </w:pPr>
      <w:r>
        <w:rPr>
          <w:b/>
        </w:rPr>
        <w:t xml:space="preserve">Source: </w:t>
      </w:r>
      <w:r>
        <w:t>Journal of the American Chemical Society</w:t>
      </w:r>
      <w:r>
        <w:t xml:space="preserve">    </w:t>
      </w:r>
      <w:r>
        <w:rPr>
          <w:b/>
        </w:rPr>
        <w:t xml:space="preserve">Pub date: </w:t>
      </w:r>
      <w:r>
        <w:t>2026-08-31 00:00:00+00:00</w:t>
      </w:r>
      <w:r>
        <w:t xml:space="preserve">    </w:t>
      </w:r>
      <w:r>
        <w:rPr>
          <w:b/>
        </w:rPr>
        <w:t xml:space="preserve">DOI: </w:t>
      </w:r>
      <w:hyperlink r:id="rId387">
        <w:r>
          <w:rPr>
            <w:color w:val="1155CC"/>
            <w:u w:val="single"/>
          </w:rPr>
          <w:t>10.1021/jacs.6c11795</w:t>
        </w:r>
      </w:hyperlink>
    </w:p>
    <w:p>
      <w:pPr>
        <w:spacing w:before="0" w:after="120"/>
      </w:pPr>
      <w:r>
        <w:rPr>
          <w:b/>
        </w:rPr>
        <w:t xml:space="preserve">Notes: </w:t>
      </w:r>
      <w:r>
        <w:t>abstract_source=crossref</w:t>
      </w:r>
    </w:p>
    <w:p>
      <w:pPr>
        <w:spacing w:before="0" w:after="80" w:lineRule="auto" w:line="276"/>
      </w:pPr>
      <w:r>
        <w:rPr>
          <w:b/>
        </w:rPr>
        <w:t xml:space="preserve">摘要（ZH）: </w:t>
      </w:r>
      <w:r>
        <w:t>摘要 金属有机骨架（MOFs）中的光催化CO2还原往往受限于低效的电荷分离和定义不明确的活性位点，而晶体学缺陷非均质性的作用仍不清楚。以MIL-125-NH2为典型体系，我们证明了不等价氧空位通过依赖缺陷位点的轨道重构决定光催化行为。通过将含时密度泛函理论与非绝热分子动力学相结合，我们表明TiO6笼的轴向和赤道空位诱导出截然不同的Ti 3d电子组态，导致明显不同的载流子动力学。轴向空位引发协同的t2g–eg轨道重排，抑制相干的电子–空穴重叠，加速退相干并延长载流子寿命，而赤道空位则表现出相反的行为。这种电子结构差异直接转化为催化结果：轴向空位通过σ型和π型协同相互作用实现高效的CO2活化，稳定弯曲中间体并以低于0.05 eV的过电位选择性驱动HCOOH生成，而赤道空位基本无活性。这些发现将缺陷位点各向异性确定为决定性描述符，并确立了轨道级缺陷工程作为设计高性能光催化剂的通用策略。</w:t>
      </w:r>
    </w:p>
    <w:p>
      <w:pPr>
        <w:spacing w:before="0" w:after="200" w:lineRule="auto" w:line="276"/>
      </w:pPr>
      <w:r>
        <w:rPr>
          <w:b/>
        </w:rPr>
        <w:t xml:space="preserve">Abstract (EN): </w:t>
      </w:r>
      <w:r>
        <w:t>Photocatalytic CO2 reduction in metal–organic frameworks (MOFs) is often limited by inefficient charge separation and poorly defined active sites, while the role of crystallographic defect heterogeneity remains unclear. Taking MIL-125-NH2 as a prototypical system, we demonstrate that inequivalent oxygen vacancies dictate photocatalytic behavior through defect-site-dependent orbital reconstruction. By combining time-dependent density functional theory with nonadiabatic molecular dynamics, we show that axial and equatorial vacancies of TiO6 cage induce distinct Ti 3d electronic configurations, leading to markedly different carrier dynamics. Axial vacancies trigger cooperative t2g–eg orbital reordering, suppress coherent electron–hole overlap, accelerate decoherence, and prolong carrier lifetime, whereas equatorial vacancies exhibit the opposite behavior. This electronic disparity directly translates into catalytic outcomes: axial vacancies enable efficient CO2 activation via synergistic σ-type and π-type interactions, stabilizing bent intermediates and selectively driving HCOOH formation with overpotentials of less than 0.05 eV, while equatorial vacancies remain largely inactive. These findings identify defect-site anisotropy as a decisive descriptor and establish orbital-level defect engineering as a general strategy for designing high-performance photocatalysts.</w:t>
      </w:r>
    </w:p>
    <w:p>
      <w:pPr>
        <w:spacing w:before="120" w:after="120"/>
      </w:pPr>
      <w:r>
        <w:rPr>
          <w:sz w:val="18"/>
        </w:rPr>
        <w:t>——————————————————————————————————————————————————————————————————————</w:t>
      </w:r>
    </w:p>
    <w:p>
      <w:pPr>
        <w:spacing w:before="160" w:after="40" w:line="240" w:lineRule="auto"/>
      </w:pPr>
      <w:r>
        <w:rPr>
          <w:b/>
        </w:rPr>
        <w:t xml:space="preserve">[12] </w:t>
      </w:r>
      <w:hyperlink r:id="rId388">
        <w:r>
          <w:rPr>
            <w:color w:val="1155CC"/>
            <w:u w:val="single"/>
          </w:rPr>
          <w:t>波纹通道中的疏水-极性协同微环境实现卓越的耐湿CO2捕集</w:t>
        </w:r>
      </w:hyperlink>
    </w:p>
    <w:p>
      <w:pPr>
        <w:spacing w:before="0" w:after="80"/>
      </w:pPr>
      <w:r>
        <w:rPr>
          <w:i/>
          <w:sz w:val="20"/>
        </w:rPr>
        <w:t>EN: Synergistic Hydrophobic‐Polar Microenvironments in Corrugated Channels Enable Exceptional Moisture‐Tolerant CO2 Capture</w:t>
      </w:r>
    </w:p>
    <w:p>
      <w:pPr>
        <w:spacing w:before="0" w:after="120"/>
      </w:pPr>
      <w:r>
        <w:rPr>
          <w:b/>
        </w:rPr>
        <w:t xml:space="preserve">Source: </w:t>
      </w:r>
      <w:r>
        <w:t>Wiley: Angewandte Chemie International Edition: Table of Contents</w:t>
      </w:r>
      <w:r>
        <w:t xml:space="preserve">    </w:t>
      </w:r>
      <w:r>
        <w:rPr>
          <w:b/>
        </w:rPr>
        <w:t xml:space="preserve">Pub date: </w:t>
      </w:r>
      <w:r>
        <w:t>2026-08-31 03:48:37+00:00</w:t>
      </w:r>
      <w:r>
        <w:t xml:space="preserve">    </w:t>
      </w:r>
      <w:r>
        <w:rPr>
          <w:b/>
        </w:rPr>
        <w:t xml:space="preserve">DOI: </w:t>
      </w:r>
      <w:hyperlink r:id="rId389">
        <w:r>
          <w:rPr>
            <w:color w:val="1155CC"/>
            <w:u w:val="single"/>
          </w:rPr>
          <w:t>10.1002/anie.9003794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克服多孔吸附剂的湿敏性仍然是工业碳捕集面临的关键挑战，其瓶颈在于强CO</w:t>
      </w:r>
      <w:r>
        <w:rPr>
          <w:vertAlign w:val="subscript"/>
        </w:rPr>
        <w:t>2</w:t>
      </w:r>
      <w:r>
        <w:t>亲和力与竞争性水吸附之间固有的权衡。在此，我们报道了一系列同构多孔配位聚合物（PCP‐H、PCP‐NH</w:t>
      </w:r>
      <w:r>
        <w:rPr>
          <w:vertAlign w:val="subscript"/>
        </w:rPr>
        <w:t>2</w:t>
      </w:r>
      <w:r>
        <w:t>和PCP‐OH），其波纹状通道中受限的疏水平行芳香壁与可调的孤立极性位点协同形成钳状陷阱，实现耐湿CO</w:t>
      </w:r>
      <w:r>
        <w:rPr>
          <w:vertAlign w:val="subscript"/>
        </w:rPr>
        <w:t>2</w:t>
      </w:r>
      <w:r>
        <w:t>捕集。PCP‐NH</w:t>
      </w:r>
      <w:r>
        <w:rPr>
          <w:vertAlign w:val="subscript"/>
        </w:rPr>
        <w:t>2</w:t>
      </w:r>
      <w:r>
        <w:t>作为示范，实现了卓越的CO</w:t>
      </w:r>
      <w:r>
        <w:rPr>
          <w:vertAlign w:val="subscript"/>
        </w:rPr>
        <w:t>2</w:t>
      </w:r>
      <w:r>
        <w:t>/N</w:t>
      </w:r>
      <w:r>
        <w:rPr>
          <w:vertAlign w:val="subscript"/>
        </w:rPr>
        <w:t>2</w:t>
      </w:r>
      <w:r>
        <w:t>选择性，尽管框架拓扑结构完全相同，仍显著优于其非功能化和羟基化类似物。至关重要的是，PCP‐NH</w:t>
      </w:r>
      <w:r>
        <w:rPr>
          <w:vertAlign w:val="subscript"/>
        </w:rPr>
        <w:t>2</w:t>
      </w:r>
      <w:r>
        <w:t>在模拟烟气条件下将优异的CO</w:t>
      </w:r>
      <w:r>
        <w:rPr>
          <w:vertAlign w:val="subscript"/>
        </w:rPr>
        <w:t>2</w:t>
      </w:r>
      <w:r>
        <w:t>穿透性能与卓越的耐湿性（在70%RH下保持95%的容量，即使存在痕量SO</w:t>
      </w:r>
      <w:r>
        <w:rPr>
          <w:vertAlign w:val="subscript"/>
        </w:rPr>
        <w:t>2</w:t>
      </w:r>
      <w:r>
        <w:t>）以及99次循环的稳定性能和快速动力学相结合。原位单晶X射线衍射和漫反射红外傅里叶变换光谱以及巨正则蒙特卡罗模拟表明，CO</w:t>
      </w:r>
      <w:r>
        <w:rPr>
          <w:vertAlign w:val="subscript"/>
        </w:rPr>
        <w:t>2</w:t>
      </w:r>
    </w:p>
    <w:p>
      <w:pPr>
        <w:spacing w:before="0" w:after="200" w:lineRule="auto" w:line="276"/>
      </w:pPr>
      <w:r>
        <w:rPr>
          <w:b/>
        </w:rPr>
        <w:t xml:space="preserve">Abstract (EN): </w:t>
      </w:r>
      <w:r>
        <w:t>Overcoming the moisture sensitivity of porous adsorbents remains a critical challenge for industrial carbon capture, hindered by the inherent trade‐off between strong CO</w:t>
      </w:r>
      <w:r>
        <w:rPr>
          <w:vertAlign w:val="subscript"/>
        </w:rPr>
        <w:t>2</w:t>
      </w:r>
      <w:r>
        <w:t>affinity and competitive water adsorption. Here, we report a series of isostructural porous coordination polymers (PCP‐H, PCP‐NH</w:t>
      </w:r>
      <w:r>
        <w:rPr>
          <w:vertAlign w:val="subscript"/>
        </w:rPr>
        <w:t>2</w:t>
      </w:r>
      <w:r>
        <w:t>, and PCP‐OH) that realize corrugated channels where confined hydrophobic parallel aromatic walls and tunable isolated polar sites cooperate to form clip‐like traps for moisture‐tolerant CO</w:t>
      </w:r>
      <w:r>
        <w:rPr>
          <w:vertAlign w:val="subscript"/>
        </w:rPr>
        <w:t>2</w:t>
      </w:r>
      <w:r>
        <w:t>capture. PCP‐NH</w:t>
      </w:r>
      <w:r>
        <w:rPr>
          <w:vertAlign w:val="subscript"/>
        </w:rPr>
        <w:t>2</w:t>
      </w:r>
      <w:r>
        <w:t>is presented as the demonstration that achieves an exceptional CO</w:t>
      </w:r>
      <w:r>
        <w:rPr>
          <w:vertAlign w:val="subscript"/>
        </w:rPr>
        <w:t>2</w:t>
      </w:r>
      <w:r>
        <w:t>/N</w:t>
      </w:r>
      <w:r>
        <w:rPr>
          <w:vertAlign w:val="subscript"/>
        </w:rPr>
        <w:t>2</w:t>
      </w:r>
      <w:r>
        <w:t>selectivity, significantly outperforming its non‐functionalized and hydroxylated analogues despite identical framework topologies. Critically, PCP‐NH</w:t>
      </w:r>
      <w:r>
        <w:rPr>
          <w:vertAlign w:val="subscript"/>
        </w:rPr>
        <w:t>2</w:t>
      </w:r>
      <w:r>
        <w:t>integrates excellent CO</w:t>
      </w:r>
      <w:r>
        <w:rPr>
          <w:vertAlign w:val="subscript"/>
        </w:rPr>
        <w:t>2</w:t>
      </w:r>
      <w:r>
        <w:t>breakthrough performance with exceptional moisture tolerance (retained 95% capacity at 70%RH, even with trace SO</w:t>
      </w:r>
      <w:r>
        <w:rPr>
          <w:vertAlign w:val="subscript"/>
        </w:rPr>
        <w:t>2</w:t>
      </w:r>
      <w:r>
        <w:t>present) and stable performance over 99 cycles with fast kinetics under simulated flue gas conditions. In situ single‐crystal x‐ray diffraction and diffuse reflectance infrared Fourier transform spectroscopy, together with grand canonical Monte Carlo simulations, reveal that CO</w:t>
      </w:r>
      <w:r>
        <w:rPr>
          <w:vertAlign w:val="subscript"/>
        </w:rPr>
        <w:t>2</w:t>
      </w:r>
      <w:r>
        <w:t>molecules are stabilized through cooperative C═O···H and π···π interactions within the clip‐like traps, while hydrophobic channel surfaces and spatially separated polar sites suppress H</w:t>
      </w:r>
      <w:r>
        <w:rPr>
          <w:vertAlign w:val="subscript"/>
        </w:rPr>
        <w:t>2</w:t>
      </w:r>
      <w:r>
        <w:t>O uptake and preserve CO</w:t>
      </w:r>
      <w:r>
        <w:rPr>
          <w:vertAlign w:val="subscript"/>
        </w:rPr>
        <w:t>2</w:t>
      </w:r>
      <w:r>
        <w:t>selectivity at high humidity. These findings reveal a general design principle whereby synergistic hydrophobic–polar microenvironments reconcile strong target binding with hydrolytic robustness for challenging gas separations.</w:t>
      </w:r>
    </w:p>
    <w:p>
      <w:pPr>
        <w:spacing w:before="120" w:after="120"/>
      </w:pPr>
      <w:r>
        <w:rPr>
          <w:sz w:val="18"/>
        </w:rPr>
        <w:t>——————————————————————————————————————————————————————————————————————</w:t>
      </w:r>
    </w:p>
    <w:p>
      <w:pPr>
        <w:spacing w:before="160" w:after="40" w:line="240" w:lineRule="auto"/>
      </w:pPr>
      <w:r>
        <w:rPr>
          <w:b/>
        </w:rPr>
        <w:t xml:space="preserve">[13] </w:t>
      </w:r>
      <w:hyperlink r:id="rId390">
        <w:r>
          <w:rPr>
            <w:color w:val="1155CC"/>
            <w:u w:val="single"/>
          </w:rPr>
          <w:t>阐明光热逆向水煤气变换反应中的光动力学调控</w:t>
        </w:r>
      </w:hyperlink>
    </w:p>
    <w:p>
      <w:pPr>
        <w:spacing w:before="0" w:after="80"/>
      </w:pPr>
      <w:r>
        <w:rPr>
          <w:i/>
          <w:sz w:val="20"/>
        </w:rPr>
        <w:t>EN: Elucidating Photo‐Kinetic Control in Photothermal Reverse Water‐Gas Shift Reaction</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391">
        <w:r>
          <w:rPr>
            <w:color w:val="1155CC"/>
            <w:u w:val="single"/>
          </w:rPr>
          <w:t>10.1002/anie.4338333</w:t>
        </w:r>
      </w:hyperlink>
    </w:p>
    <w:p>
      <w:pPr>
        <w:spacing w:before="0" w:after="120"/>
      </w:pPr>
      <w:r>
        <w:rPr>
          <w:b/>
        </w:rPr>
        <w:t xml:space="preserve">Notes: </w:t>
      </w:r>
      <w:r>
        <w:t>abstract_source=crossref</w:t>
      </w:r>
    </w:p>
    <w:p>
      <w:pPr>
        <w:spacing w:before="0" w:after="80" w:lineRule="auto" w:line="276"/>
      </w:pPr>
      <w:r>
        <w:rPr>
          <w:b/>
        </w:rPr>
        <w:t xml:space="preserve">摘要（ZH）: </w:t>
      </w:r>
      <w:r>
        <w:t>摘要 与传统光催化中众所周知的载流子动力学不同，非均相光热催化中的光动力学效应仍存在认知空白。传统上，光主要被视为载流子和局部加热的来源，但这些光诱导效应如何改变本征反应动力学，尤其是速控步骤（RDS），仍不清楚。在此，我们提供了直接的动力学证据，表明光照可以调节In掺杂MoO2上典型Mars-van Krevelen（MvK）逆水煤气变换（RWGS）反应中的RDS。在光照下，光生电子富集于In位点，促进H2的活化与溢流，同时加速H2O的脱附，从而将RDS从H2还原半反应转变为CO2氧化半反应。这种动力学调控显著提升了催化性能并降低了表观活化能。总体而言，本工作阐明了光在光热CO2转化中的动力学作用，为优化太阳能驱动的催化过程提供了新见解。</w:t>
      </w:r>
    </w:p>
    <w:p>
      <w:pPr>
        <w:spacing w:before="0" w:after="200" w:lineRule="auto" w:line="276"/>
      </w:pPr>
      <w:r>
        <w:rPr>
          <w:b/>
        </w:rPr>
        <w:t xml:space="preserve">Abstract (EN): </w:t>
      </w:r>
      <w:r>
        <w:t>Unlike the well‐known charge‐carrier kinetics in traditional photocatalysis, a knowledge gap remains regarding the photo‐kinetic effects in heterogeneous photothermal catalysis. Conventionally, light is mainly regarded as a source of charge carriers and localized heating, yet how these light‐induced effects alter intrinsic reaction kinetics, particularly the rate‐determining step (RDS), remains unclear. Here, we provide direct kinetic evidence that illumination tunes the RDS in an archetypal Mars‐van Krevelen (MvK) reverse water‐gas shift (RWGS) reaction over In‐doped MoO 2 . Under illumination, photogenerated electrons enrich In sites, promoting H 2 activation and spillover while accelerating H 2 O desorption, thereby shifting the RDS from the H 2 ‐reduction half‐reaction to the CO 2 ‐oxidation half‐reaction. This kinetic modulation significantly enhances catalytic performance and lowers the apparent activation energy. Overall, this work elucidates the kinetic role of light in photothermal CO 2 conversion, offering new insights into optimizing solar‐driven catalytic processes.</w:t>
      </w:r>
    </w:p>
    <w:p>
      <w:pPr>
        <w:spacing w:before="120" w:after="120"/>
      </w:pPr>
      <w:r>
        <w:rPr>
          <w:sz w:val="18"/>
        </w:rPr>
        <w:t>——————————————————————————————————————————————————————————————————————</w:t>
      </w:r>
    </w:p>
    <w:p>
      <w:pPr>
        <w:spacing w:before="160" w:after="40" w:line="240" w:lineRule="auto"/>
      </w:pPr>
      <w:r>
        <w:rPr>
          <w:b/>
        </w:rPr>
        <w:t xml:space="preserve">[14] </w:t>
      </w:r>
      <w:hyperlink r:id="rId392">
        <w:r>
          <w:rPr>
            <w:color w:val="1155CC"/>
            <w:u w:val="single"/>
          </w:rPr>
          <w:t>PEI诱导RHO拓扑ZIF(Cu)的同时功能化与缺陷工程以增强混合基质膜的CO2分离性能</w:t>
        </w:r>
      </w:hyperlink>
    </w:p>
    <w:p>
      <w:pPr>
        <w:spacing w:before="0" w:after="80"/>
      </w:pPr>
      <w:r>
        <w:rPr>
          <w:i/>
          <w:sz w:val="20"/>
        </w:rPr>
        <w:t>EN: PEI-Induced Simultaneous Functionalization and Defect Engineering of RHO-Topology ZIF(Cu) for Enhanced CO2 Separation Performance in Mixed Matrix Membranes</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392">
        <w:r>
          <w:rPr>
            <w:color w:val="1155CC"/>
            <w:u w:val="single"/>
          </w:rPr>
          <w:t>10.1021/acsami.6c12606</w:t>
        </w:r>
      </w:hyperlink>
    </w:p>
    <w:p>
      <w:pPr>
        <w:spacing w:before="0" w:after="120"/>
      </w:pPr>
      <w:r>
        <w:rPr>
          <w:b/>
        </w:rPr>
        <w:t xml:space="preserve">Notes: </w:t>
      </w:r>
      <w:r>
        <w:t>abstract_source=crossref</w:t>
      </w:r>
    </w:p>
    <w:p>
      <w:pPr>
        <w:spacing w:before="0" w:after="80" w:lineRule="auto" w:line="276"/>
      </w:pPr>
      <w:r>
        <w:rPr>
          <w:b/>
        </w:rPr>
        <w:t xml:space="preserve">摘要（ZH）: </w:t>
      </w:r>
      <w:r>
        <w:t>摘要 缺陷工程和金属有机框架（MOFs）的功能化被认为是提升混合基质膜（MMMs）分离能力的有效方法。然而，这些过程通常分别进行，难以同时实现两个目标。本文提出了一种聚乙烯亚胺（PEI）诱导的同时功能化和缺陷工程策略，在RHO拓扑ZIF(Cu)合成过程中引入PEI，通过与Cu2+中心的竞争性配位原位产生结构缺陷。PEI通过氢键相互作用增强了填料与Pebax基质之间的界面相容性，并引入了促进传递效应。同时，缺陷工程暴露了能够吸附CO2的额外Cu2+路易斯酸位点，并产生了额外的传递路径。胺功能化与缺陷工程之间的协同作用使MMMs的分离性能大幅提升。在潮湿条件下，含5 wt% PEI-RHO ZIF(Cu)的MMM的CO2渗透性为188.1 Barrer，CO2/N2分离因子为73.0，相比Pebax分别提高了95.10%和78.14%，超越了2008年Robeson上限。这种将缺陷工程与胺功能化相结合的集成策略，为开发高效CO2捕集MMMs提供了一条有前景的途径。</w:t>
      </w:r>
    </w:p>
    <w:p>
      <w:pPr>
        <w:spacing w:before="0" w:after="200" w:lineRule="auto" w:line="276"/>
      </w:pPr>
      <w:r>
        <w:rPr>
          <w:b/>
        </w:rPr>
        <w:t xml:space="preserve">Abstract (EN): </w:t>
      </w:r>
      <w:r>
        <w:t>Defect engineering and the functionalization of metal-organic frameworks (MOFs) are acknowledged as an effective method to boost the separation capability of mixed-matrix membranes (MMMs). However, these processes are often carried out separately, making it difficult to achieve both objectives simultaneously. Herein, a polyethyleneimine (PEI)-induced simultaneous functionalization and defect engineering strategy is proposed, in which PEI is introduced during the synthesis of RHO-topology ZIF(Cu) to in situ generate structural defects through competitive coordination with Cu2+ centers. PEI enhanced the interfacial compatibility between the filler and the Pebax matrix through hydrogen-bonding interactions and introduced a facilitated transport effect. Meanwhile, defect engineering exposed additional Cu2+ Lewis acid sites capable of adsorbing CO2 and generated additional transport pathways. The synergy between amine functionalization and defect engineering resulted in a substantial enhancement in the separation performance of the MMMs. Under humid conditions, the MMM containing 5 wt % PEI-RHO ZIF(Cu) presented a CO2 permeability of 188.1 Barrer and a CO2/N2 separation factor of 73.0, representing increases of 95.10% and 78.14%, respectively, relative to Pebax, and surpassing the 2008 Robeson upper bound. This integrated strategy, combining defect engineering with amine functionalization, provides a promising avenue for the development of high-efficiency CO2 capture MMMs.</w:t>
      </w:r>
    </w:p>
    <w:p>
      <w:pPr>
        <w:spacing w:before="120" w:after="120"/>
      </w:pPr>
      <w:r>
        <w:rPr>
          <w:sz w:val="18"/>
        </w:rPr>
        <w:t>——————————————————————————————————————————————————————————————————————</w:t>
      </w:r>
    </w:p>
    <w:p>
      <w:pPr>
        <w:spacing w:before="160" w:after="40" w:line="240" w:lineRule="auto"/>
      </w:pPr>
      <w:r>
        <w:rPr>
          <w:b/>
        </w:rPr>
        <w:t xml:space="preserve">[15] </w:t>
      </w:r>
      <w:hyperlink r:id="rId393">
        <w:r>
          <w:rPr>
            <w:color w:val="1155CC"/>
            <w:u w:val="single"/>
          </w:rPr>
          <w:t>环氧化物介导的二氧化碳偶联在cytosporin生物合成中生成五元环状碳酸酯</w:t>
        </w:r>
      </w:hyperlink>
    </w:p>
    <w:p>
      <w:pPr>
        <w:spacing w:before="0" w:after="80"/>
      </w:pPr>
      <w:r>
        <w:rPr>
          <w:i/>
          <w:sz w:val="20"/>
        </w:rPr>
        <w:t>EN: Epoxide-Mediated Carbon Dioxide Coupling Yields the Five-Membered Cyclic Carbonate in Cytosporin Biosynthesis</w:t>
      </w:r>
    </w:p>
    <w:p>
      <w:pPr>
        <w:spacing w:before="0" w:after="120"/>
      </w:pPr>
      <w:r>
        <w:rPr>
          <w:b/>
        </w:rPr>
        <w:t xml:space="preserve">Source: </w:t>
      </w:r>
      <w:r>
        <w:t>Journal of the American Chemical Society</w:t>
      </w:r>
      <w:r>
        <w:t xml:space="preserve">    </w:t>
      </w:r>
      <w:r>
        <w:rPr>
          <w:b/>
        </w:rPr>
        <w:t xml:space="preserve">Pub date: </w:t>
      </w:r>
      <w:r>
        <w:t>2026-09-01 00:00:00+00:00</w:t>
      </w:r>
      <w:r>
        <w:t xml:space="preserve">    </w:t>
      </w:r>
      <w:r>
        <w:rPr>
          <w:b/>
        </w:rPr>
        <w:t xml:space="preserve">DOI: </w:t>
      </w:r>
      <w:hyperlink r:id="rId393">
        <w:r>
          <w:rPr>
            <w:color w:val="1155CC"/>
            <w:u w:val="single"/>
          </w:rPr>
          <w:t>10.1021/jacs.6c12612</w:t>
        </w:r>
      </w:hyperlink>
    </w:p>
    <w:p>
      <w:pPr>
        <w:spacing w:before="0" w:after="120"/>
      </w:pPr>
      <w:r>
        <w:rPr>
          <w:b/>
        </w:rPr>
        <w:t xml:space="preserve">Notes: </w:t>
      </w:r>
      <w:r>
        <w:t>abstract_source=crossref</w:t>
      </w:r>
    </w:p>
    <w:p>
      <w:pPr>
        <w:spacing w:before="0" w:after="80" w:lineRule="auto" w:line="276"/>
      </w:pPr>
      <w:r>
        <w:rPr>
          <w:b/>
        </w:rPr>
        <w:t xml:space="preserve">摘要（ZH）: </w:t>
      </w:r>
      <w:r>
        <w:t>摘要 有机碳酸酯（OCs）在材料科学、合成化学和医学领域具有广泛应用。开发将二氧化碳（CO2）高效催化转化为OCs的过程是可持续化学与能源研究中的关键目标。在现有策略中，CO2与环氧化物的偶联形成环状碳酸酯是CO2资源化利用在技术和经济上最具前景的路线之一。尽管在设计用于该转化的高性能催化剂方面已取得相当进展，但仍存在若干局限，包括对有机溶剂的依赖、基于过渡金属的催化体系以及高能耗条件（通常涉及高温和高CO2压力）。虽然已鉴定出越来越多的天然OCs，但其形成的生物合成机制，尤其是真菌来源的五元环状碳酸酯，仍在很大程度上未知。在本研究中，我们鉴定并对细胞孢子菌素生物合成所涉及的所有酶进行了功能表征，阐明了完整的生物合成途径。我们证明了细胞孢子菌素E中的五元环状碳酸酯部分是在中性水条件下通过非酶促的、环氧化物介导的CO2偶联反应形成的。这种构建五元环状碳酸酯的策略在天然产物生物合成中前所未有，可能为开发环境友好的OCs合成路线提供宝贵见解。</w:t>
      </w:r>
    </w:p>
    <w:p>
      <w:pPr>
        <w:spacing w:before="0" w:after="200" w:lineRule="auto" w:line="276"/>
      </w:pPr>
      <w:r>
        <w:rPr>
          <w:b/>
        </w:rPr>
        <w:t xml:space="preserve">Abstract (EN): </w:t>
      </w:r>
      <w:r>
        <w:t>Organic carbonates (OCs) have a wide range of applications across materials science, synthetic chemistry, and medicine. The development of efficient catalytic processes for converting carbon dioxide (CO2) into OCs represents a crucial objective in sustainable chemistry and energy research. Among available strategies, the coupling of CO2 with epoxides to form cyclic carbonates is one of the most technologically and economically promising routes for CO2 valorization. Although considerable progress has been made in designing high-performance catalysts for this transformation, several limitations remain, including dependence on organic solvents, transition metal-based catalytic systems, and energy-intensive conditions, typically involving elevated temperatures and high CO2 pressures. While an increasing number of naturally occurring OCs have been identified, the biosynthetic mechanisms underlying their formation, especially for fungal-derived five-membered cyclic carbonates, remain largely unknown. In this study, we identified and functionally characterized all enzymes involved in cytosporin biosynthesis and elucidated the complete biosynthetic pathway. We demonstrated that the five-membered cyclic carbonate moiety in cytosporin E arises through a nonenzymatic, epoxide-mediated CO2 coupling reaction under neutral aqueous conditions. This strategy for constructing a five-membered cyclic carbonate is unprecedented in natural product biosynthesis and may offer valuable insights for developing environmentally benign synthetic routes toward OCs.</w:t>
      </w:r>
    </w:p>
    <w:p>
      <w:pPr>
        <w:spacing w:before="120" w:after="120"/>
      </w:pPr>
      <w:r>
        <w:rPr>
          <w:sz w:val="18"/>
        </w:rPr>
        <w:t>——————————————————————————————————————————————————————————————————————</w:t>
      </w:r>
    </w:p>
    <w:p>
      <w:pPr>
        <w:spacing w:before="160" w:after="40" w:line="240" w:lineRule="auto"/>
      </w:pPr>
      <w:r>
        <w:rPr>
          <w:b/>
        </w:rPr>
        <w:t xml:space="preserve">[16] </w:t>
      </w:r>
      <w:hyperlink r:id="rId394">
        <w:r>
          <w:rPr>
            <w:color w:val="1155CC"/>
            <w:u w:val="single"/>
          </w:rPr>
          <w:t>具有核壳给体/受体结构及超长寿命电荷分离态的共价有机框架胶体</w:t>
        </w:r>
      </w:hyperlink>
    </w:p>
    <w:p>
      <w:pPr>
        <w:spacing w:before="0" w:after="80"/>
      </w:pPr>
      <w:r>
        <w:rPr>
          <w:i/>
          <w:sz w:val="20"/>
        </w:rPr>
        <w:t>EN: Covalent Organic Framework Colloids With Core‐Shell Donor/Acceptor Architecture and Ultralong‐Lived Charge‐Separated States</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395">
        <w:r>
          <w:rPr>
            <w:color w:val="1155CC"/>
            <w:u w:val="single"/>
          </w:rPr>
          <w:t>10.1002/anie.8901776</w:t>
        </w:r>
      </w:hyperlink>
    </w:p>
    <w:p>
      <w:pPr>
        <w:spacing w:before="0" w:after="120"/>
      </w:pPr>
      <w:r>
        <w:rPr>
          <w:b/>
        </w:rPr>
        <w:t xml:space="preserve">Notes: </w:t>
      </w:r>
      <w:r>
        <w:t>abstract_source=crossref</w:t>
      </w:r>
    </w:p>
    <w:p>
      <w:pPr>
        <w:spacing w:before="0" w:after="80" w:lineRule="auto" w:line="276"/>
      </w:pPr>
      <w:r>
        <w:rPr>
          <w:b/>
        </w:rPr>
        <w:t xml:space="preserve">摘要（ZH）: </w:t>
      </w:r>
      <w:r>
        <w:t>摘要 共价有机框架（COFs）具有结构可调性、高比表面积和π电子的扩展离域，但在构建能够实现高效电荷分离的明确结构方面仍面临挑战。在此，我们通过使用同构但电子性质不同的给体（D）和受体（A）COFs构建核壳胶体COF颗粒来解决这一局限。所得的p-n异质结结构实现了光生电子和空穴的高效空间分离，同时保持了高结晶度。纳米级相分离通过高角环形暗场扫描透射电子显微镜结合能量色散X射线光谱（HAADF-EDS）面扫以及X射线光电子能谱（XPS）分析得到证实。光诱导电子顺磁共振（EPR）测量表明，与单相对应物相比，核壳COFs中电荷分离态的数量增多且寿命显著延长，表明电荷复合被抑制、电荷分离得到改善。所得异质结构可高效地将CO₂光还原为CO和HCOOH，并耦合H₂O氧化，因此无需牺牲剂。这些结果展示了明确的D/A界面在COF光催化中的重要性。</w:t>
      </w:r>
    </w:p>
    <w:p>
      <w:pPr>
        <w:spacing w:before="0" w:after="200" w:lineRule="auto" w:line="276"/>
      </w:pPr>
      <w:r>
        <w:rPr>
          <w:b/>
        </w:rPr>
        <w:t xml:space="preserve">Abstract (EN): </w:t>
      </w:r>
      <w:r>
        <w:t>Covalent organic frameworks (COFs) possess structural tunability, high surface area, and extended delocalization of π‐electrons but remain limited by challenges in constructing well‐defined structures that enable efficient charge separation. Here, we address this limitation through the construction of core‐shell colloidal COF particles using isostructural but electronically distinct donor (D) and acceptor (A) COFs. The resulting p‐n heterojunction architecture enables efficient spatial separation of photogenerated electrons and holes, while preserving high crystallinity. Nanoscale phase separation is confirmed by high‐angle annular dark‐field scanning transmission electron microscopy coupled with energy‐dispersive X‐ray spectroscopy (HAADF‐EDS) mapping and X‐ray photoelectron spectroscopy (XPS) analysis. Light‐induced electron paramagnetic resonance (EPR) measurements reveal enhanced populations and significantly longer lifetimes of charge‐separated states in the core‐shell COFs compared to their single‐phase counterparts, indicating suppressed charge recombination and improved charge separation. The resulting heterostructures show efficient CO 2 photoreduction to CO and HCOOH, coupled with H 2 O oxidation, thereby requiring no sacrificial agents. The results demonstrate the importance of well‐defined D/A interfaces in COF photocatalysis.</w:t>
      </w:r>
    </w:p>
    <w:p>
      <w:pPr>
        <w:spacing w:before="120" w:after="120"/>
      </w:pPr>
      <w:r>
        <w:rPr>
          <w:sz w:val="18"/>
        </w:rPr>
        <w:t>——————————————————————————————————————————————————————————————————————</w:t>
      </w:r>
    </w:p>
    <w:p>
      <w:pPr>
        <w:spacing w:before="160" w:after="40" w:line="240" w:lineRule="auto"/>
      </w:pPr>
      <w:r>
        <w:rPr>
          <w:b/>
        </w:rPr>
        <w:t xml:space="preserve">[17] </w:t>
      </w:r>
      <w:hyperlink r:id="rId396">
        <w:r>
          <w:rPr>
            <w:color w:val="1155CC"/>
            <w:u w:val="single"/>
          </w:rPr>
          <w:t>羟基桥连磷掺杂诱导电荷极化增强电子离域以实现CO 2的高效光还原</w:t>
        </w:r>
      </w:hyperlink>
    </w:p>
    <w:p>
      <w:pPr>
        <w:spacing w:before="0" w:after="80"/>
      </w:pPr>
      <w:r>
        <w:rPr>
          <w:i/>
          <w:sz w:val="20"/>
        </w:rPr>
        <w:t>EN: Hydroxyl‐Bridged Phosphorus Doping‐Induced Charge Polarization Enhancing Electron Delocalization for Efficient Photoreduction of CO 2</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397">
        <w:r>
          <w:rPr>
            <w:color w:val="1155CC"/>
            <w:u w:val="single"/>
          </w:rPr>
          <w:t>10.1002/anie.3254251</w:t>
        </w:r>
      </w:hyperlink>
    </w:p>
    <w:p>
      <w:pPr>
        <w:spacing w:before="0" w:after="120"/>
      </w:pPr>
      <w:r>
        <w:rPr>
          <w:b/>
        </w:rPr>
        <w:t xml:space="preserve">Notes: </w:t>
      </w:r>
      <w:r>
        <w:t>abstract_source=crossref</w:t>
      </w:r>
    </w:p>
    <w:p>
      <w:pPr>
        <w:spacing w:before="0" w:after="80" w:lineRule="auto" w:line="276"/>
      </w:pPr>
      <w:r>
        <w:rPr>
          <w:b/>
        </w:rPr>
        <w:t xml:space="preserve">摘要（ZH）: </w:t>
      </w:r>
      <w:r>
        <w:t>摘要 具有广泛π–π共轭结构的二维无金属氮化碳（CN）由于pz轨道重叠而存在电子局域化问题，这严重限制了其光催化CO2还原性能。本文提出了一种通过官能团修饰杂原子掺杂实现电子离域的策略。通过DFT筛选以及植酸与尿素的三步共聚，我们精确合成了4配位OH桥联P掺杂氮化碳（CN−POH），其在七嗪单元内具有独特的2N–P═OOH微结构。CN−POH的CO产率达1.82 mmol g−1 h−1，是原始CN的15倍。实验和理论结果表明，P掺杂破坏了π–π共轭，引发电子离域并将电子转移到相邻的活性N位点。OH修饰的P原子形成2N–P═OOH配位，在VBM与CBM之间诱导空间电荷极化，显著增强了电荷分离和电子离域。这种独特结构还在水溶剂作用下将CO2吸附从物理模式转变为化学模式，并通过与水溶剂的氢键作用促进CO2到CO的转化。综上所述，CN−POH成为一种高效的CO2还原光催化剂。这项工作为CN材料中的电子离域提供了一种有前景的策略，并引入了纳入溶剂分子相互作用的新反应机制。</w:t>
      </w:r>
    </w:p>
    <w:p>
      <w:pPr>
        <w:spacing w:before="0" w:after="200" w:lineRule="auto" w:line="276"/>
      </w:pPr>
      <w:r>
        <w:rPr>
          <w:b/>
        </w:rPr>
        <w:t xml:space="preserve">Abstract (EN): </w:t>
      </w:r>
      <w:r>
        <w:t>2D metal‐free carbon nitride (CN) with extensive π–π conjugated structures suffers from electron localization due to p z orbital overlap, which severely limits its photocatalytic CO 2 reduction performance. Herein, we propose an electron delocalization strategy via functional group‐modified heteroatom doping. Through DFT screening and three‐step copolymerization of phytic acid and urea, we precisely synthesized a 4‐coordinated OH‐bridged P‐doped carbon nitride (CN−POH) featuring a unique 2N–P═OOH microstructure within heptazine units. CN−POH achieves a CO production rate of 1.82 mmol g −1 h −1 , 15 times higher than pristine CN. Experimental and theoretical results reveal that P doping disrupts the π–π conjugation, triggering electron delocalization and transferring electrons to adjacent active N sites. The OH‐modified P atom forms 2N–P═OOH coordination, inducing spatial charge polarization between VBM and CBM, which significantly enhances charge separation and electron delocalization. This unique structure also converts CO 2 adsorption from physical to chemical mode under the effect of water solvents and facilitates CO 2 ‐to‐CO conversion via hydrogen bonding with the water solvent. Collectively, CN−POH emerges as a highly efficient photocatalyst for CO 2 reduction. This work provides a promising strategy for electron delocalization in CN materials and introduces a new reaction mechanism incorporating solvent molecule interactions.</w:t>
      </w:r>
    </w:p>
    <w:p>
      <w:pPr>
        <w:spacing w:before="120" w:after="120"/>
      </w:pPr>
      <w:r>
        <w:rPr>
          <w:sz w:val="18"/>
        </w:rPr>
        <w:t>——————————————————————————————————————————————————————————————————————</w:t>
      </w:r>
    </w:p>
    <w:p>
      <w:pPr>
        <w:spacing w:before="160" w:after="40" w:line="240" w:lineRule="auto"/>
      </w:pPr>
      <w:r>
        <w:rPr>
          <w:b/>
        </w:rPr>
        <w:t xml:space="preserve">[18] </w:t>
      </w:r>
      <w:hyperlink r:id="rId398">
        <w:r>
          <w:rPr>
            <w:color w:val="1155CC"/>
            <w:u w:val="single"/>
          </w:rPr>
          <w:t>磁场诱导的传质加速与自旋极化实现高效光催化尿素合成</w:t>
        </w:r>
      </w:hyperlink>
    </w:p>
    <w:p>
      <w:pPr>
        <w:spacing w:before="0" w:after="80"/>
      </w:pPr>
      <w:r>
        <w:rPr>
          <w:i/>
          <w:sz w:val="20"/>
        </w:rPr>
        <w:t>EN: Magnetic Field‐Induced Mass Transfer Acceleration and Spin Polarization for Highly Efficient Photocatalytic Urea Synthesis</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399">
        <w:r>
          <w:rPr>
            <w:color w:val="1155CC"/>
            <w:u w:val="single"/>
          </w:rPr>
          <w:t>10.1002/aenm.71526</w:t>
        </w:r>
      </w:hyperlink>
    </w:p>
    <w:p>
      <w:pPr>
        <w:spacing w:before="0" w:after="120"/>
      </w:pPr>
      <w:r>
        <w:rPr>
          <w:b/>
        </w:rPr>
        <w:t xml:space="preserve">Notes: </w:t>
      </w:r>
      <w:r>
        <w:t>abstract_source=crossref</w:t>
      </w:r>
    </w:p>
    <w:p>
      <w:pPr>
        <w:spacing w:before="0" w:after="80" w:lineRule="auto" w:line="276"/>
      </w:pPr>
      <w:r>
        <w:rPr>
          <w:b/>
        </w:rPr>
        <w:t xml:space="preserve">摘要（ZH）: </w:t>
      </w:r>
      <w:r>
        <w:t>摘要 与传统上利用NH3和CO2合成尿素的工业工艺不同，多相光催化可实现以N2和CO2在水相中直接合成尿素，其中水既作为溶剂又作为氢源。其产率低主要受限于反应物活化效率差、反应动力学不匹配、C─N偶联缓慢以及气体通过水氢键网络的传质缓慢。本文采用外磁场来促进光催化尿素合成。在磁-光催化作用下，水氢键被扰动，形成气体扩散通道并释放充足的氢质子。在洛伦兹力和磁流体动力学对流的驱动下，电子-质子相互作用得到增强。同时，自旋极化电子和经调控的活性位点活化了N2和CO2并加速了C─N偶联。在环境条件和40 mT磁场下，ZIF-67@MIL-101(Fe)实现了高达147.28 µmol g−1 h−1的尿素产率。通过实验和模拟结果阐明了增强机理及反应路径。利用模拟烟气验证了其实际适用性，所得尿素溶液可用于培育小麦幼苗。总体而言，本研究提出了一种磁场增强的光催化尿素生产策略，为高效活化N2以合成尿素及其他含氮化学品提供了普适性方法。</w:t>
      </w:r>
    </w:p>
    <w:p>
      <w:pPr>
        <w:spacing w:before="0" w:after="200" w:lineRule="auto" w:line="276"/>
      </w:pPr>
      <w:r>
        <w:rPr>
          <w:b/>
        </w:rPr>
        <w:t xml:space="preserve">Abstract (EN): </w:t>
      </w:r>
      <w:r>
        <w:t>Different from traditional industrial urea synthesis using NH 3 and CO 2 , heterogeneous photocatalysis enables direct urea synthesis from N 2 and CO 2 in aqueous, where water acts as both solvent and hydrogen source. Its low yield is mainly restricted by poor reactant activation efficiency, mismatched reaction kinetics, slow C─N coupling and slow gas mass transfer via water hydrogen bond networks. Herein, an external magnetic field was adopted to boost photocatalytic urea synthesis. Upon magneto‐photocatalysis, water hydrogen bonds were disturbed to form gas diffusion channel and release sufficient hydrogen protons. Driven by the Lorentz force and magnetohydrodynamic convection, electron‐proton interactions were strengthened. Meanwhile, spin‐polarized electrons and regulated active sites activated N 2 and CO 2 and accelerated C─N coupling. Under ambient conditions and a 40‐mT magnetic field, ZIF‐67@MIL‐101(Fe) achieved a urea yield as high as 147.28 µmol g −1 h −1 . Mechanism to the enhancement along with reaction pathways were clarified via experimental and simulation results. Practical applicability was confirmed using simulated flue gas, and the obtained urea solution could cultivate wheat seedlings. Overall, this work proposed a magnetic field‐enhanced photocatalytic urea production strategy, offering a universal approach for efficient N 2 activation toward urea and other nitrogen‐containing chemicals.</w:t>
      </w:r>
    </w:p>
    <w:p>
      <w:pPr>
        <w:spacing w:before="120" w:after="120"/>
      </w:pPr>
      <w:r>
        <w:rPr>
          <w:sz w:val="18"/>
        </w:rPr>
        <w:t>——————————————————————————————————————————————————————————————————————</w:t>
      </w:r>
    </w:p>
    <w:p>
      <w:pPr>
        <w:spacing w:before="160" w:after="40" w:line="240" w:lineRule="auto"/>
      </w:pPr>
      <w:r>
        <w:rPr>
          <w:b/>
        </w:rPr>
        <w:t xml:space="preserve">[19] </w:t>
      </w:r>
      <w:hyperlink r:id="rId400">
        <w:r>
          <w:rPr>
            <w:color w:val="1155CC"/>
            <w:u w:val="single"/>
          </w:rPr>
          <w:t>质子环境优化增强CO2还原制正丙醇的不对称C1–C2中间体耦合</w:t>
        </w:r>
      </w:hyperlink>
    </w:p>
    <w:p>
      <w:pPr>
        <w:spacing w:before="0" w:after="80"/>
      </w:pPr>
      <w:r>
        <w:rPr>
          <w:i/>
          <w:sz w:val="20"/>
        </w:rPr>
        <w:t>EN: Proton Environment Optimization Enhanced Asymmetric C 1 –C 2 Intermediate Coupling for CO 2 Reduction to n‐Propanol</w:t>
      </w:r>
    </w:p>
    <w:p>
      <w:pPr>
        <w:spacing w:before="0" w:after="120"/>
      </w:pPr>
      <w:r>
        <w:rPr>
          <w:b/>
        </w:rPr>
        <w:t xml:space="preserve">Source: </w:t>
      </w:r>
      <w:r>
        <w:t>Wiley: Advanced Materials: Table of Contents</w:t>
      </w:r>
      <w:r>
        <w:t xml:space="preserve">    </w:t>
      </w:r>
      <w:r>
        <w:rPr>
          <w:b/>
        </w:rPr>
        <w:t xml:space="preserve">Pub date: </w:t>
      </w:r>
      <w:r>
        <w:t>2026-09-01 00:00:00+00:00</w:t>
      </w:r>
      <w:r>
        <w:t xml:space="preserve">    </w:t>
      </w:r>
      <w:r>
        <w:rPr>
          <w:b/>
        </w:rPr>
        <w:t xml:space="preserve">DOI: </w:t>
      </w:r>
      <w:hyperlink r:id="rId401">
        <w:r>
          <w:rPr>
            <w:color w:val="1155CC"/>
            <w:u w:val="single"/>
          </w:rPr>
          <w:t>10.1002/adma.74875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CO2电化学转化为高附加值的正丙醇（n-PrOH）产物对于建立可持续碳循环至关重要。然而，该过程受到动力学缓慢且不可控的非对称C1–C2偶联步骤的严重阻碍。在此，我们开发了一种质子调控策略来优化CO2到C3的路径。气体扩散电极的结构工程调制了三相界面处的H2O网络环境，建立了梯度H+浓度环境，避免了*C2中间体的直接加氢。在流动池中，正丙醇的法拉第效率（FE）在167.5 mA cm−2的分电流密度下达到21%。在膜电极组件中，FEn-PrOH在132.9 mA cm−2的分电流密度下保持19%。机理研究确定*OCH2CH3是正丙醇形成的关键中间体。C1–C</w:t>
      </w:r>
    </w:p>
    <w:p>
      <w:pPr>
        <w:spacing w:before="0" w:after="200" w:lineRule="auto" w:line="276"/>
      </w:pPr>
      <w:r>
        <w:rPr>
          <w:b/>
        </w:rPr>
        <w:t xml:space="preserve">Abstract (EN): </w:t>
      </w:r>
      <w:r>
        <w:t>The electrochemical conversion of CO</w:t>
      </w:r>
      <w:r>
        <w:rPr>
          <w:vertAlign w:val="subscript"/>
        </w:rPr>
        <w:t>2</w:t>
      </w:r>
      <w:r>
        <w:t>into value‐added n‐propanol (n‐PrOH) product is pivotal for establishing a sustainable carbon cycle. However, the process is severely hindered by the kinetically sluggish and uncontrolled asymmetric C</w:t>
      </w:r>
      <w:r>
        <w:rPr>
          <w:vertAlign w:val="subscript"/>
        </w:rPr>
        <w:t>1</w:t>
      </w:r>
      <w:r>
        <w:t>–C</w:t>
      </w:r>
      <w:r>
        <w:rPr>
          <w:vertAlign w:val="subscript"/>
        </w:rPr>
        <w:t>2</w:t>
      </w:r>
      <w:r>
        <w:t>coupling step. Here, we develop a proton modulation strategy to optimize the CO</w:t>
      </w:r>
      <w:r>
        <w:rPr>
          <w:vertAlign w:val="subscript"/>
        </w:rPr>
        <w:t>2</w:t>
      </w:r>
      <w:r>
        <w:t>‐to‐C</w:t>
      </w:r>
      <w:r>
        <w:rPr>
          <w:vertAlign w:val="subscript"/>
        </w:rPr>
        <w:t>3</w:t>
      </w:r>
      <w:r>
        <w:t>pathway. Structural engineering of the gas diffusion electrode modulates the H</w:t>
      </w:r>
      <w:r>
        <w:rPr>
          <w:vertAlign w:val="subscript"/>
        </w:rPr>
        <w:t>2</w:t>
      </w:r>
      <w:r>
        <w:t>O network environment at the triphasic interface, establishing a gradient H</w:t>
      </w:r>
      <w:r>
        <w:t xml:space="preserve"> </w:t>
      </w:r>
      <w:r>
        <w:t>+</w:t>
      </w:r>
      <w:r>
        <w:t xml:space="preserve"> </w:t>
      </w:r>
      <w:r>
        <w:t>concentration environment that avoids the direct hydrogenation of *C</w:t>
      </w:r>
      <w:r>
        <w:rPr>
          <w:vertAlign w:val="subscript"/>
        </w:rPr>
        <w:t>2</w:t>
      </w:r>
      <w:r>
        <w:t>intermediates. The Faradaic efficiency (FE) for n‐PrOH reaches 21% at a partial current density of 167.5 mA cm</w:t>
      </w:r>
      <w:r>
        <w:t xml:space="preserve"> </w:t>
      </w:r>
      <w:r>
        <w:t>−2</w:t>
      </w:r>
      <w:r>
        <w:t xml:space="preserve"> </w:t>
      </w:r>
      <w:r>
        <w:t>in a flow cell. In the membrane electrode assembly, the FE</w:t>
      </w:r>
      <w:r>
        <w:t xml:space="preserve"> </w:t>
      </w:r>
      <w:r>
        <w:t>n‐PrOH</w:t>
      </w:r>
      <w:r>
        <w:t xml:space="preserve"> </w:t>
      </w:r>
      <w:r>
        <w:t>remains 19% at a partial current density of 132.9 mA cm</w:t>
      </w:r>
      <w:r>
        <w:t xml:space="preserve"> </w:t>
      </w:r>
      <w:r>
        <w:t>−2</w:t>
      </w:r>
      <w:r>
        <w:t xml:space="preserve"> </w:t>
      </w:r>
      <w:r>
        <w:t>. Mechanistic investigations identify *OCH</w:t>
      </w:r>
      <w:r>
        <w:rPr>
          <w:vertAlign w:val="subscript"/>
        </w:rPr>
        <w:t>2</w:t>
      </w:r>
      <w:r>
        <w:t>CH</w:t>
      </w:r>
      <w:r>
        <w:rPr>
          <w:vertAlign w:val="subscript"/>
        </w:rPr>
        <w:t>3</w:t>
      </w:r>
      <w:r>
        <w:t>as the pivotal intermediate in n‐PrOH formation. The simultaneous reduction of the formation energy barriers for both the C</w:t>
      </w:r>
      <w:r>
        <w:rPr>
          <w:vertAlign w:val="subscript"/>
        </w:rPr>
        <w:t>1</w:t>
      </w:r>
      <w:r>
        <w:t>–C</w:t>
      </w:r>
      <w:r>
        <w:rPr>
          <w:vertAlign w:val="subscript"/>
        </w:rPr>
        <w:t>1</w:t>
      </w:r>
      <w:r>
        <w:t>and C</w:t>
      </w:r>
      <w:r>
        <w:rPr>
          <w:vertAlign w:val="subscript"/>
        </w:rPr>
        <w:t>1</w:t>
      </w:r>
      <w:r>
        <w:t>–C</w:t>
      </w:r>
      <w:r>
        <w:rPr>
          <w:vertAlign w:val="subscript"/>
        </w:rPr>
        <w:t>2</w:t>
      </w:r>
      <w:r>
        <w:t>coupling rate‐determining steps drives C</w:t>
      </w:r>
      <w:r>
        <w:rPr>
          <w:vertAlign w:val="subscript"/>
        </w:rPr>
        <w:t>3</w:t>
      </w:r>
      <w:r>
        <w:t>product formation. This work highlights the significant role of proton environment engineering as a crucial parameter in the selection of the C</w:t>
      </w:r>
      <w:r>
        <w:rPr>
          <w:vertAlign w:val="subscript"/>
        </w:rPr>
        <w:t>3</w:t>
      </w:r>
      <w:r>
        <w:t>product pathway.</w:t>
      </w:r>
    </w:p>
    <w:p>
      <w:pPr>
        <w:spacing w:before="120" w:after="120"/>
      </w:pPr>
      <w:r>
        <w:rPr>
          <w:sz w:val="18"/>
        </w:rPr>
        <w:t>——————————————————————————————————————————————————————————————————————</w:t>
      </w:r>
    </w:p>
    <w:p>
      <w:pPr>
        <w:spacing w:before="160" w:after="40" w:line="240" w:lineRule="auto"/>
      </w:pPr>
      <w:r>
        <w:rPr>
          <w:b/>
        </w:rPr>
        <w:t xml:space="preserve">[20] </w:t>
      </w:r>
      <w:hyperlink r:id="rId391">
        <w:r>
          <w:rPr>
            <w:color w:val="1155CC"/>
            <w:u w:val="single"/>
          </w:rPr>
          <w:t>阐明光热逆水煤气变换反应中的光动力学控制</w:t>
        </w:r>
      </w:hyperlink>
    </w:p>
    <w:p>
      <w:pPr>
        <w:spacing w:before="0" w:after="80"/>
      </w:pPr>
      <w:r>
        <w:rPr>
          <w:i/>
          <w:sz w:val="20"/>
        </w:rPr>
        <w:t>EN: Elucidating Photo‐Kinetic Control in Photothermal Reverse Water‐Gas Shift Reaction</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391">
        <w:r>
          <w:rPr>
            <w:color w:val="1155CC"/>
            <w:u w:val="single"/>
          </w:rPr>
          <w:t>10.1002/anie.4338333</w:t>
        </w:r>
      </w:hyperlink>
    </w:p>
    <w:p>
      <w:pPr>
        <w:spacing w:before="0" w:after="120"/>
      </w:pPr>
      <w:r>
        <w:rPr>
          <w:b/>
        </w:rPr>
        <w:t xml:space="preserve">Notes: </w:t>
      </w:r>
      <w:r>
        <w:t>abstract_source=crossref</w:t>
      </w:r>
    </w:p>
    <w:p>
      <w:pPr>
        <w:spacing w:before="0" w:after="80" w:lineRule="auto" w:line="276"/>
      </w:pPr>
      <w:r>
        <w:rPr>
          <w:b/>
        </w:rPr>
        <w:t xml:space="preserve">摘要（ZH）: </w:t>
      </w:r>
      <w:r>
        <w:t>摘要：与传统光催化中广为人知的载流子动力学不同，非均相光热催化中的光动力学效应仍存在认知空白。传统上，光主要被视为载流子和局域热源的来源，但这些光诱导效应如何改变本征反应动力学，尤其是速率控制步骤(RDS)，仍不明确。在此，我们提供了直接的动力学证据，表明光照可调节In掺杂MoO2上典型Mars-van Krevelen(MvK)逆水煤气变换(RWGS)反应中的RDS。在光照下，光生电子富集于In位点，促进H2的活化与溢流，同时加速H2O脱附，从而将RDS从H2还原半反应转变为CO2氧化半反应。这种动力学调控显著提升了催化性能并降低了表观活化能。总之，本工作阐明了光在光热CO2转化中的动力学作用，为优化太阳能驱动的催化过程提供了新见解。</w:t>
      </w:r>
    </w:p>
    <w:p>
      <w:pPr>
        <w:spacing w:before="0" w:after="200" w:lineRule="auto" w:line="276"/>
      </w:pPr>
      <w:r>
        <w:rPr>
          <w:b/>
        </w:rPr>
        <w:t xml:space="preserve">Abstract (EN): </w:t>
      </w:r>
      <w:r>
        <w:t>Unlike the well‐known charge‐carrier kinetics in traditional photocatalysis, a knowledge gap remains regarding the photo‐kinetic effects in heterogeneous photothermal catalysis. Conventionally, light is mainly regarded as a source of charge carriers and localized heating, yet how these light‐induced effects alter intrinsic reaction kinetics, particularly the rate‐determining step (RDS), remains unclear. Here, we provide direct kinetic evidence that illumination tunes the RDS in an archetypal Mars‐van Krevelen (MvK) reverse water‐gas shift (RWGS) reaction over In‐doped MoO 2 . Under illumination, photogenerated electrons enrich In sites, promoting H 2 activation and spillover while accelerating H 2 O desorption, thereby shifting the RDS from the H 2 ‐reduction half‐reaction to the CO 2 ‐oxidation half‐reaction. This kinetic modulation significantly enhances catalytic performance and lowers the apparent activation energy. Overall, this work elucidates the kinetic role of light in photothermal CO 2 conversion, offering new insights into optimizing solar‐driven catalytic processes.</w:t>
      </w:r>
    </w:p>
    <w:p>
      <w:pPr>
        <w:spacing w:before="120" w:after="120"/>
      </w:pPr>
      <w:r>
        <w:rPr>
          <w:sz w:val="18"/>
        </w:rPr>
        <w:t>——————————————————————————————————————————————————————————————————————</w:t>
      </w:r>
    </w:p>
    <w:p>
      <w:pPr>
        <w:spacing w:before="160" w:after="40" w:line="240" w:lineRule="auto"/>
      </w:pPr>
      <w:r>
        <w:rPr>
          <w:b/>
        </w:rPr>
        <w:t xml:space="preserve">[21] </w:t>
      </w:r>
      <w:hyperlink r:id="rId397">
        <w:r>
          <w:rPr>
            <w:color w:val="1155CC"/>
            <w:u w:val="single"/>
          </w:rPr>
          <w:t>羟基桥连磷掺杂诱导电荷极化增强电子离域以实现CO 2的高效光还原</w:t>
        </w:r>
      </w:hyperlink>
    </w:p>
    <w:p>
      <w:pPr>
        <w:spacing w:before="0" w:after="80"/>
      </w:pPr>
      <w:r>
        <w:rPr>
          <w:i/>
          <w:sz w:val="20"/>
        </w:rPr>
        <w:t>EN: Hydroxyl‐Bridged Phosphorus Doping‐Induced Charge Polarization Enhancing Electron Delocalization for Efficient Photoreduction of CO 2</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397">
        <w:r>
          <w:rPr>
            <w:color w:val="1155CC"/>
            <w:u w:val="single"/>
          </w:rPr>
          <w:t>10.1002/anie.3254251</w:t>
        </w:r>
      </w:hyperlink>
    </w:p>
    <w:p>
      <w:pPr>
        <w:spacing w:before="0" w:after="120"/>
      </w:pPr>
      <w:r>
        <w:rPr>
          <w:b/>
        </w:rPr>
        <w:t xml:space="preserve">Notes: </w:t>
      </w:r>
      <w:r>
        <w:t>abstract_source=crossref</w:t>
      </w:r>
    </w:p>
    <w:p>
      <w:pPr>
        <w:spacing w:before="0" w:after="80" w:lineRule="auto" w:line="276"/>
      </w:pPr>
      <w:r>
        <w:rPr>
          <w:b/>
        </w:rPr>
        <w:t xml:space="preserve">摘要（ZH）: </w:t>
      </w:r>
      <w:r>
        <w:t>摘要 具有广延π–π共轭结构的二维无金属氮化碳（CN）因pz轨道重叠而存在电子局域化问题，这严重限制了其光催化CO2还原性能。在此，我们提出一种通过官能团修饰杂原子掺杂实现电子离域的策略。借助DFT筛选以及植酸与尿素的三步共聚，我们精确合成了4配位OH桥连的磷掺杂氮化碳（CN−POH），其七嗪单元内具有独特的2N–P═OOH微观结构。CN−POH的CO生成速率为1.82 mmol g−1 h−1，是原始CN的15倍。实验和理论结果揭示，P掺杂破坏了π–π共轭，引发电子离域并将电子转移到相邻的活性N位点。OH修饰的P原子形成2N–P═OOH配位，在VBM与CBM之间诱导空间电荷极化，显著增强了电荷分离与电子离域。这种独特结构还在水溶剂的作用下将CO2吸附从物理模式转变为化学模式，并通过与水溶剂的氢键作用促进CO2到CO的转化。总之，CN−POH成为一种高效的CO2还原光催化剂。本工作为CN材料的电子离域提供了一种有前景的策略，并引入了一种包含溶剂分子相互作用的新反应机理。</w:t>
      </w:r>
    </w:p>
    <w:p>
      <w:pPr>
        <w:spacing w:before="0" w:after="200" w:lineRule="auto" w:line="276"/>
      </w:pPr>
      <w:r>
        <w:rPr>
          <w:b/>
        </w:rPr>
        <w:t xml:space="preserve">Abstract (EN): </w:t>
      </w:r>
      <w:r>
        <w:t>2D metal‐free carbon nitride (CN) with extensive π–π conjugated structures suffers from electron localization due to p z orbital overlap, which severely limits its photocatalytic CO 2 reduction performance. Herein, we propose an electron delocalization strategy via functional group‐modified heteroatom doping. Through DFT screening and three‐step copolymerization of phytic acid and urea, we precisely synthesized a 4‐coordinated OH‐bridged P‐doped carbon nitride (CN−POH) featuring a unique 2N–P═OOH microstructure within heptazine units. CN−POH achieves a CO production rate of 1.82 mmol g −1 h −1 , 15 times higher than pristine CN. Experimental and theoretical results reveal that P doping disrupts the π–π conjugation, triggering electron delocalization and transferring electrons to adjacent active N sites. The OH‐modified P atom forms 2N–P═OOH coordination, inducing spatial charge polarization between VBM and CBM, which significantly enhances charge separation and electron delocalization. This unique structure also converts CO 2 adsorption from physical to chemical mode under the effect of water solvents and facilitates CO 2 ‐to‐CO conversion via hydrogen bonding with the water solvent. Collectively, CN−POH emerges as a highly efficient photocatalyst for CO 2 reduction. This work provides a promising strategy for electron delocalization in CN materials and introduces a new reaction mechanism incorporating solvent molecule interactions.</w:t>
      </w:r>
    </w:p>
    <w:p>
      <w:pPr>
        <w:spacing w:before="120" w:after="120"/>
      </w:pPr>
      <w:r>
        <w:rPr>
          <w:sz w:val="18"/>
        </w:rPr>
        <w:t>——————————————————————————————————————————————————————————————————————</w:t>
      </w:r>
    </w:p>
    <w:p>
      <w:pPr>
        <w:spacing w:before="160" w:after="40" w:line="240" w:lineRule="auto"/>
      </w:pPr>
      <w:r>
        <w:rPr>
          <w:b/>
        </w:rPr>
        <w:t xml:space="preserve">[22] </w:t>
      </w:r>
      <w:hyperlink r:id="rId395">
        <w:r>
          <w:rPr>
            <w:color w:val="1155CC"/>
            <w:u w:val="single"/>
          </w:rPr>
          <w:t>具有核-壳给体/受体结构及超长寿命电荷分离态的共价有机框架胶体</w:t>
        </w:r>
      </w:hyperlink>
    </w:p>
    <w:p>
      <w:pPr>
        <w:spacing w:before="0" w:after="80"/>
      </w:pPr>
      <w:r>
        <w:rPr>
          <w:i/>
          <w:sz w:val="20"/>
        </w:rPr>
        <w:t>EN: Covalent Organic Framework Colloids With Core‐Shell Donor/Acceptor Architecture and Ultralong‐Lived Charge‐Separated States</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395">
        <w:r>
          <w:rPr>
            <w:color w:val="1155CC"/>
            <w:u w:val="single"/>
          </w:rPr>
          <w:t>10.1002/anie.8901776</w:t>
        </w:r>
      </w:hyperlink>
    </w:p>
    <w:p>
      <w:pPr>
        <w:spacing w:before="0" w:after="120"/>
      </w:pPr>
      <w:r>
        <w:rPr>
          <w:b/>
        </w:rPr>
        <w:t xml:space="preserve">Notes: </w:t>
      </w:r>
      <w:r>
        <w:t>abstract_source=crossref</w:t>
      </w:r>
    </w:p>
    <w:p>
      <w:pPr>
        <w:spacing w:before="0" w:after="80" w:lineRule="auto" w:line="276"/>
      </w:pPr>
      <w:r>
        <w:rPr>
          <w:b/>
        </w:rPr>
        <w:t xml:space="preserve">摘要（ZH）: </w:t>
      </w:r>
      <w:r>
        <w:t>摘要 共价有机框架（COFs）具有结构可调性、高比表面积和π电子的扩展离域等优势，但在构建可实现高效电荷分离的明确结构方面仍面临挑战。在此，我们通过使用同构但电子性质不同的给体（D）和受体（A）COFs构建核-壳胶体COF颗粒来解决这一局限。所得p-n异质结结构在保持高结晶度的同时，实现了光生电子和空穴的高效空间分离。高角环形暗场扫描透射电子显微镜结合能量色散X射线光谱（HAADF-EDS）面扫和X射线光电子能谱（XPS）分析证实了纳米级相分离。光诱导电子顺磁共振（EPR）测量表明，与单相对应物相比，核-壳COFs中电荷分离态的数量增加且寿命显著延长，表明电荷复合受到抑制、电荷分离得到改善。所得异质结构可高效地将CO2光还原为CO和HCOOH，同时耦合H2O氧化，因此无需牺牲试剂。这些结果证明了明确的D/A界面在COF光催化中的重要性。</w:t>
      </w:r>
    </w:p>
    <w:p>
      <w:pPr>
        <w:spacing w:before="0" w:after="200" w:lineRule="auto" w:line="276"/>
      </w:pPr>
      <w:r>
        <w:rPr>
          <w:b/>
        </w:rPr>
        <w:t xml:space="preserve">Abstract (EN): </w:t>
      </w:r>
      <w:r>
        <w:t>Covalent organic frameworks (COFs) possess structural tunability, high surface area, and extended delocalization of π‐electrons but remain limited by challenges in constructing well‐defined structures that enable efficient charge separation. Here, we address this limitation through the construction of core‐shell colloidal COF particles using isostructural but electronically distinct donor (D) and acceptor (A) COFs. The resulting p‐n heterojunction architecture enables efficient spatial separation of photogenerated electrons and holes, while preserving high crystallinity. Nanoscale phase separation is confirmed by high‐angle annular dark‐field scanning transmission electron microscopy coupled with energy‐dispersive X‐ray spectroscopy (HAADF‐EDS) mapping and X‐ray photoelectron spectroscopy (XPS) analysis. Light‐induced electron paramagnetic resonance (EPR) measurements reveal enhanced populations and significantly longer lifetimes of charge‐separated states in the core‐shell COFs compared to their single‐phase counterparts, indicating suppressed charge recombination and improved charge separation. The resulting heterostructures show efficient CO 2 photoreduction to CO and HCOOH, coupled with H 2 O oxidation, thereby requiring no sacrificial agents. The results demonstrate the importance of well‐defined D/A interfaces in COF photocatalysis.</w:t>
      </w:r>
    </w:p>
    <w:p>
      <w:pPr>
        <w:spacing w:before="120" w:after="120"/>
      </w:pPr>
      <w:r>
        <w:rPr>
          <w:sz w:val="18"/>
        </w:rPr>
        <w:t>——————————————————————————————————————————————————————————————————————</w:t>
      </w:r>
    </w:p>
    <w:p>
      <w:pPr>
        <w:spacing w:before="160" w:after="40" w:line="240" w:lineRule="auto"/>
      </w:pPr>
      <w:r>
        <w:rPr>
          <w:b/>
        </w:rPr>
        <w:t xml:space="preserve">[23] </w:t>
      </w:r>
      <w:hyperlink r:id="rId399">
        <w:r>
          <w:rPr>
            <w:color w:val="1155CC"/>
            <w:u w:val="single"/>
          </w:rPr>
          <w:t>磁场诱导的传质加速与自旋极化用于高效光催化尿素合成</w:t>
        </w:r>
      </w:hyperlink>
    </w:p>
    <w:p>
      <w:pPr>
        <w:spacing w:before="0" w:after="80"/>
      </w:pPr>
      <w:r>
        <w:rPr>
          <w:i/>
          <w:sz w:val="20"/>
        </w:rPr>
        <w:t>EN: Magnetic Field‐Induced Mass Transfer Acceleration and Spin Polarization for Highly Efficient Photocatalytic Urea Synthesis</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399">
        <w:r>
          <w:rPr>
            <w:color w:val="1155CC"/>
            <w:u w:val="single"/>
          </w:rPr>
          <w:t>10.1002/aenm.71526</w:t>
        </w:r>
      </w:hyperlink>
    </w:p>
    <w:p>
      <w:pPr>
        <w:spacing w:before="0" w:after="120"/>
      </w:pPr>
      <w:r>
        <w:rPr>
          <w:b/>
        </w:rPr>
        <w:t xml:space="preserve">Notes: </w:t>
      </w:r>
      <w:r>
        <w:t>abstract_source=crossref</w:t>
      </w:r>
    </w:p>
    <w:p>
      <w:pPr>
        <w:spacing w:before="0" w:after="80" w:lineRule="auto" w:line="276"/>
      </w:pPr>
      <w:r>
        <w:rPr>
          <w:b/>
        </w:rPr>
        <w:t xml:space="preserve">摘要（ZH）: </w:t>
      </w:r>
      <w:r>
        <w:t>摘要 不同于传统上利用NH3和CO2的工业尿素合成，多相光催化可在水相中由N2和CO2直接合成尿素，其中水既充当溶剂又充当氢源。其产率较低主要受限于反应物活化效率差、反应动力学不匹配、C─N偶联缓慢以及气体通过水氢键网络的传质缓慢。本文采用外加磁场来促进光催化尿素合成。在磁-光催化过程中，水氢键受到扰动形成气体扩散通道并释放充足的氢质子。在洛伦兹力和磁流体动力学对流的驱动下，电子-质子相互作用得到增强。同时，自旋极化电子和经过调控的活性位点活化了N2和CO2并加速了C─N偶联。在环境条件和40 mT磁场下，ZIF-67@MIL-101(Fe)实现了高达147.28 µmol g−1 h−1的尿素产率。通过实验和模拟结果阐明了增强机理及反应路径。利用模拟烟气验证了其实际适用性，所得尿素溶液可用于培育小麦幼苗。总体而言，本工作提出了一种磁场增强的光催化尿素生产策略，为高效活化N2以合成尿素及其他含氮化学品提供了一种通用途径。</w:t>
      </w:r>
    </w:p>
    <w:p>
      <w:pPr>
        <w:spacing w:before="0" w:after="200" w:lineRule="auto" w:line="276"/>
      </w:pPr>
      <w:r>
        <w:rPr>
          <w:b/>
        </w:rPr>
        <w:t xml:space="preserve">Abstract (EN): </w:t>
      </w:r>
      <w:r>
        <w:t>Different from traditional industrial urea synthesis using NH 3 and CO 2 , heterogeneous photocatalysis enables direct urea synthesis from N 2 and CO 2 in aqueous, where water acts as both solvent and hydrogen source. Its low yield is mainly restricted by poor reactant activation efficiency, mismatched reaction kinetics, slow C─N coupling and slow gas mass transfer via water hydrogen bond networks. Herein, an external magnetic field was adopted to boost photocatalytic urea synthesis. Upon magneto‐photocatalysis, water hydrogen bonds were disturbed to form gas diffusion channel and release sufficient hydrogen protons. Driven by the Lorentz force and magnetohydrodynamic convection, electron‐proton interactions were strengthened. Meanwhile, spin‐polarized electrons and regulated active sites activated N 2 and CO 2 and accelerated C─N coupling. Under ambient conditions and a 40‐mT magnetic field, ZIF‐67@MIL‐101(Fe) achieved a urea yield as high as 147.28 µmol g −1 h −1 . Mechanism to the enhancement along with reaction pathways were clarified via experimental and simulation results. Practical applicability was confirmed using simulated flue gas, and the obtained urea solution could cultivate wheat seedlings. Overall, this work proposed a magnetic field‐enhanced photocatalytic urea production strategy, offering a universal approach for efficient N 2 activation toward urea and other nitrogen‐containing chemicals.</w:t>
      </w:r>
    </w:p>
    <w:p>
      <w:pPr>
        <w:spacing w:before="120" w:after="120"/>
      </w:pPr>
      <w:r>
        <w:rPr>
          <w:sz w:val="18"/>
        </w:rPr>
        <w:t>——————————————————————————————————————————————————————————————————————</w:t>
      </w:r>
    </w:p>
    <w:p>
      <w:pPr>
        <w:spacing w:before="160" w:after="40" w:line="240" w:lineRule="auto"/>
      </w:pPr>
      <w:r>
        <w:rPr>
          <w:b/>
        </w:rPr>
        <w:t xml:space="preserve">[24] </w:t>
      </w:r>
      <w:hyperlink r:id="rId402">
        <w:r>
          <w:rPr>
            <w:color w:val="1155CC"/>
            <w:u w:val="single"/>
          </w:rPr>
          <w:t>CO2反应性捕集的工业化</w:t>
        </w:r>
      </w:hyperlink>
    </w:p>
    <w:p>
      <w:pPr>
        <w:spacing w:before="0" w:after="80"/>
      </w:pPr>
      <w:r>
        <w:rPr>
          <w:i/>
          <w:sz w:val="20"/>
        </w:rPr>
        <w:t>EN: Industrializing reactive capture of CO2</w:t>
      </w:r>
    </w:p>
    <w:p>
      <w:pPr>
        <w:spacing w:before="0" w:after="120"/>
      </w:pPr>
      <w:r>
        <w:rPr>
          <w:b/>
        </w:rPr>
        <w:t xml:space="preserve">Source: </w:t>
      </w:r>
      <w:r>
        <w:t>Nature Energy</w:t>
      </w:r>
      <w:r>
        <w:t xml:space="preserve">    </w:t>
      </w:r>
      <w:r>
        <w:rPr>
          <w:b/>
        </w:rPr>
        <w:t xml:space="preserve">Pub date: </w:t>
      </w:r>
      <w:r>
        <w:t>2026-09-01 00:00:00+00:00</w:t>
      </w:r>
      <w:r>
        <w:t xml:space="preserve">    </w:t>
      </w:r>
      <w:r>
        <w:rPr>
          <w:b/>
        </w:rPr>
        <w:t xml:space="preserve">DOI: </w:t>
      </w:r>
      <w:hyperlink r:id="rId403">
        <w:r>
          <w:rPr>
            <w:color w:val="1155CC"/>
            <w:u w:val="single"/>
          </w:rPr>
          <w:t>10.1038/s41560-026-02113-7</w:t>
        </w:r>
      </w:hyperlink>
    </w:p>
    <w:p>
      <w:pPr>
        <w:spacing w:before="0" w:after="120"/>
      </w:pPr>
      <w:r>
        <w:rPr>
          <w:b/>
        </w:rPr>
        <w:t xml:space="preserve">Notes: </w:t>
      </w:r>
      <w:r>
        <w:t>abstract_source=rss_nature</w:t>
      </w:r>
    </w:p>
    <w:p>
      <w:pPr>
        <w:spacing w:before="0" w:after="80" w:lineRule="auto" w:line="276"/>
      </w:pPr>
      <w:r>
        <w:rPr>
          <w:b/>
        </w:rPr>
        <w:t xml:space="preserve">摘要（ZH）: </w:t>
      </w:r>
      <w:r>
        <w:t>CO2的反应性捕集将捕集与转化集成于一体，省去了再生步骤，并有望简化上下游工艺集成，但其部署就绪度尚不明确。在本视角中，作者论证了如果稳定性和规模化障碍得到解决，CO2的反应性捕集在目前的选择性和电压水平下即可实现工业可行性。</w:t>
      </w:r>
    </w:p>
    <w:p>
      <w:pPr>
        <w:spacing w:before="0" w:after="200" w:lineRule="auto" w:line="276"/>
      </w:pPr>
      <w:r>
        <w:rPr>
          <w:b/>
        </w:rPr>
        <w:t xml:space="preserve">Abstract (EN): </w:t>
      </w:r>
      <w:r>
        <w:t>Reactive capture of CO2 integrates capture and conversion, bypassing regeneration and potentially simplifying upstream–downstream process integration, but its deployment readiness is unclear. In this Perspective the authors argue that reactive capture of CO2 could be industrially viable at present levels of selectivity and voltage if stability and scale barriers are addressed.</w:t>
      </w:r>
    </w:p>
    <w:p>
      <w:pPr>
        <w:spacing w:before="120" w:after="120"/>
      </w:pPr>
      <w:r>
        <w:rPr>
          <w:sz w:val="18"/>
        </w:rPr>
        <w:t>——————————————————————————————————————————————————————————————————————</w:t>
      </w:r>
    </w:p>
    <w:p>
      <w:pPr>
        <w:spacing w:before="160" w:after="40" w:line="240" w:lineRule="auto"/>
      </w:pPr>
      <w:r>
        <w:rPr>
          <w:b/>
        </w:rPr>
        <w:t xml:space="preserve">[25] </w:t>
      </w:r>
      <w:hyperlink r:id="rId404">
        <w:r>
          <w:rPr>
            <w:color w:val="1155CC"/>
            <w:u w:val="single"/>
          </w:rPr>
          <w:t>电化学氧化羰基化：强CO结合抑制C–C偶联并使选择性导向有机碳酸酯</w:t>
        </w:r>
      </w:hyperlink>
    </w:p>
    <w:p>
      <w:pPr>
        <w:spacing w:before="0" w:after="80"/>
      </w:pPr>
      <w:r>
        <w:rPr>
          <w:i/>
          <w:sz w:val="20"/>
        </w:rPr>
        <w:t>EN: Electrochemical Oxidative Carbonylation: Strong CO Binding Suppresses C–C Coupling and Steers Selectivity to Organic Carbonates</w:t>
      </w:r>
    </w:p>
    <w:p>
      <w:pPr>
        <w:spacing w:before="0" w:after="120"/>
      </w:pPr>
      <w:r>
        <w:rPr>
          <w:b/>
        </w:rPr>
        <w:t xml:space="preserve">Source: </w:t>
      </w:r>
      <w:r>
        <w:t>Journal of the American Chemical Society</w:t>
      </w:r>
      <w:r>
        <w:t xml:space="preserve">    </w:t>
      </w:r>
      <w:r>
        <w:rPr>
          <w:b/>
        </w:rPr>
        <w:t xml:space="preserve">Pub date: </w:t>
      </w:r>
      <w:r>
        <w:t>2026-09-02 00:00:00+00:00</w:t>
      </w:r>
      <w:r>
        <w:t xml:space="preserve">    </w:t>
      </w:r>
      <w:r>
        <w:rPr>
          <w:b/>
        </w:rPr>
        <w:t xml:space="preserve">DOI: </w:t>
      </w:r>
      <w:hyperlink r:id="rId404">
        <w:r>
          <w:rPr>
            <w:color w:val="1155CC"/>
            <w:u w:val="single"/>
          </w:rPr>
          <w:t>10.1021/jacs.6c04323</w:t>
        </w:r>
      </w:hyperlink>
    </w:p>
    <w:p>
      <w:pPr>
        <w:spacing w:before="0" w:after="120"/>
      </w:pPr>
      <w:r>
        <w:rPr>
          <w:b/>
        </w:rPr>
        <w:t xml:space="preserve">Notes: </w:t>
      </w:r>
      <w:r>
        <w:t>abstract_source=crossref</w:t>
      </w:r>
    </w:p>
    <w:p>
      <w:pPr>
        <w:spacing w:before="0" w:after="80" w:lineRule="auto" w:line="276"/>
      </w:pPr>
      <w:r>
        <w:rPr>
          <w:b/>
        </w:rPr>
        <w:t xml:space="preserve">摘要（ZH）: </w:t>
      </w:r>
      <w:r>
        <w:t>摘要 电化学氧化羰基化为合成碳酸二甲酯（DMC）等有机碳酸盐提供了一条途径，但其实际应用受到竞争性的C–C偶联路径生成草酸二甲酯（DMO）的阻碍，该路径的起源仍知之甚少。在此，我们研究甲醇羰基化中的选择性如何通过调控关键表面中间体的吸附而受到影响。我们发现，通过利用离聚物和同位素取代溶剂来调节界面环境，强CO吸附会抑制C–C偶联并引导反应朝碳酸酯生成方向进行。增强甲氧基结合可促进深度甲氧化，从而有利于整个甲醇羰基化反应和DMC的生产。我们提出，曾被视为非期望中间体的吸附态甲氧羰基，实际上是碳酸酯路径和草酸酯路径分岔的分支点。在这些描述符认识的指导下，我们开发了一种利用金属–载体相互作用的复合催化剂，增强CO结合并同时加速醇解离，从而相对于基准Pd催化剂将选择性提高了3个数量级，并实现了DMC生成的法拉第效率98%。</w:t>
      </w:r>
    </w:p>
    <w:p>
      <w:pPr>
        <w:spacing w:before="0" w:after="200" w:lineRule="auto" w:line="276"/>
      </w:pPr>
      <w:r>
        <w:rPr>
          <w:b/>
        </w:rPr>
        <w:t xml:space="preserve">Abstract (EN): </w:t>
      </w:r>
      <w:r>
        <w:t>Electrochemical oxidative carbonylation offers a route to the synthesis of organic carbonates such as dimethyl carbonate (DMC), but its practical implementation is hindered by a competing C–C coupling pathway to dimethyl oxalate (DMO), the origins of which remain poorly understood. Here we study how selectivity in methanol carbonylation is influenced by tuning the adsorption of key surface intermediates. We find, by modulating the interfacial environment using ionomers and isotopically substituted solvents, that strong CO adsorption suppresses C–C coupling and directs the reaction toward carbonate formation. Enhancing methoxy binding promotes deep methoxylation that benefits the overall methanol carbonylation reaction and DMC production. We propose that adsorbed methoxycarbonyl, once viewed as an undesired intermediate, in fact serves as a branching point from which the carbonate and oxalate pathways diverge. Guided by knowledge of these descriptors, we develop a composite catalyst that leverages metal–support interactions, strengthening CO binding and simultaneously accelerating alcohol dissociation, thereby increasing selectivity by 3 orders of magnitude relative to a benchmark Pd catalyst and achieving a Faradaic efficiency of 98% for DMC production.</w:t>
      </w:r>
    </w:p>
    <w:p>
      <w:pPr>
        <w:spacing w:before="120" w:after="120"/>
      </w:pPr>
      <w:r>
        <w:rPr>
          <w:sz w:val="18"/>
        </w:rPr>
        <w:t>——————————————————————————————————————————————————————————————————————</w:t>
      </w:r>
    </w:p>
    <w:p>
      <w:pPr>
        <w:spacing w:before="160" w:after="40" w:line="240" w:lineRule="auto"/>
      </w:pPr>
      <w:r>
        <w:rPr>
          <w:b/>
        </w:rPr>
        <w:t xml:space="preserve">[26] </w:t>
      </w:r>
      <w:hyperlink r:id="rId405">
        <w:r>
          <w:rPr>
            <w:color w:val="1155CC"/>
            <w:u w:val="single"/>
          </w:rPr>
          <w:t>痕量Al/Rb调控稳定Cu-Fe5C2活性位点用于环境压力下光热CO2加氢制C2-C4烯烃</w:t>
        </w:r>
      </w:hyperlink>
    </w:p>
    <w:p>
      <w:pPr>
        <w:spacing w:before="0" w:after="80"/>
      </w:pPr>
      <w:r>
        <w:rPr>
          <w:i/>
          <w:sz w:val="20"/>
        </w:rPr>
        <w:t>EN: Trace Al/Rb regulation stabilizes Cu-Fe5C2 active sites for ambient-pressure photothermal CO2 hydrogenation to C2-C4 olefin</w:t>
      </w:r>
    </w:p>
    <w:p>
      <w:pPr>
        <w:spacing w:before="0" w:after="120"/>
      </w:pPr>
      <w:r>
        <w:rPr>
          <w:b/>
        </w:rPr>
        <w:t xml:space="preserve">Source: </w:t>
      </w:r>
      <w:r>
        <w:t>Physical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摘要 CO2光热加氢提供了一条太阳能驱动的多碳烃生成路径，但对于铁基催化剂而言，控制碳化物形成并维持重构活性位点仍然具有挑战性。在此，我们开发了一种微量Al/Rb共助催的CuFe2O4催化剂，可在常压下实现高效、稳定的光热CO2加氢制轻质烯烃。优化后的催化剂实现了约63%的高C2-C4烯烃选择性，抑制了CH4选择性，并保持200 h的稳定光热催化性能。综合实验表征和理论计算表明，CuFe2O4前驱体经历反应诱导重构形成Cu-Fe5C2界面结构。微量Al/Rb助催化促进了重构金属-碳化物界面的形成与稳定，其中Al调控以Fe为中心的配位环境和碳化物稳定性，而Rb则调节界面电子结构和吸附-加氢平衡。这种协同调控稳定了碳化物基界面活性位点，并促使CO2衍生的C1中间体发生C–C偶联和C2中间体稳定化，从而有利于C2-C4烯烃的生成。</w:t>
      </w:r>
    </w:p>
    <w:p>
      <w:pPr>
        <w:spacing w:before="0" w:after="200" w:lineRule="auto" w:line="276"/>
      </w:pPr>
      <w:r>
        <w:rPr>
          <w:b/>
        </w:rPr>
        <w:t xml:space="preserve">Abstract (EN): </w:t>
      </w:r>
      <w:r>
        <w:t>Photothermal hydrogenation of CO2 offers a solar-driven route to multicarbon hydrocarbons, but controlling carbide formation and maintaining reconstructed active sites remain challenging for iron-based catalysts. Here, we develop a trace Al/Rb co-promoted CuFe2O4 catalyst that enables efficient and stable photothermal CO2 hydrogenation to light olefin under ambient pressure. The optimized catalyst achieves high C2-C4 olefin selectivity of approximately 63%, suppressing CH4 selectivity and sustaining stable photothermal-catalytic performance for 200 h. Integrated experimental characterizations and theoretical calculations reveal that the CuFe2O4 precursor undergoes reaction-induced reconstruction to form Cu-Fe5C2 interfacial structures. Trace Al/Rb promotion facilitates the formation and stabilization of reconstructed metal–carbide interfaces, with Al regulating the Fe-centered coordination environment and carbide stability, while Rb tunes the interfacial electronic structure and adsorption–hydrogenation balance. This cooperative regulation stabilizes carbide-based interfacial active sites and promotes CO2-derived C1 intermediates toward C–C coupling and C2-intermediate stabilization, thereby favoring C2-C4 olefin formation.</w:t>
      </w:r>
    </w:p>
    <w:p>
      <w:pPr>
        <w:spacing w:before="120" w:after="120"/>
      </w:pPr>
      <w:r>
        <w:rPr>
          <w:sz w:val="18"/>
        </w:rPr>
        <w:t>——————————————————————————————————————————————————————————————————————</w:t>
      </w:r>
    </w:p>
    <w:p>
      <w:pPr>
        <w:spacing w:before="160" w:after="40" w:line="240" w:lineRule="auto"/>
      </w:pPr>
      <w:r>
        <w:rPr>
          <w:b/>
        </w:rPr>
        <w:t xml:space="preserve">[27] </w:t>
      </w:r>
      <w:hyperlink r:id="rId406">
        <w:r>
          <w:rPr>
            <w:color w:val="1155CC"/>
            <w:u w:val="single"/>
          </w:rPr>
          <w:t>主客体策略实现水相介质中选择性且稳定的CO2到CO电催化</w:t>
        </w:r>
      </w:hyperlink>
    </w:p>
    <w:p>
      <w:pPr>
        <w:spacing w:before="0" w:after="80"/>
      </w:pPr>
      <w:r>
        <w:rPr>
          <w:i/>
          <w:sz w:val="20"/>
        </w:rPr>
        <w:t>EN: A Host–Guest Strategy to Achieve Selective and Robust CO2-to-CO Electrocatalysis in Aqueous Media</w:t>
      </w:r>
    </w:p>
    <w:p>
      <w:pPr>
        <w:spacing w:before="0" w:after="120"/>
      </w:pPr>
      <w:r>
        <w:rPr>
          <w:b/>
        </w:rPr>
        <w:t xml:space="preserve">Source: </w:t>
      </w:r>
      <w:r>
        <w:t>Journal of the American Chemical Society: Latest Articles (ACS Publications)</w:t>
      </w:r>
      <w:r>
        <w:t xml:space="preserve">    </w:t>
      </w:r>
      <w:r>
        <w:rPr>
          <w:b/>
        </w:rPr>
        <w:t xml:space="preserve">Pub date: </w:t>
      </w:r>
      <w:r>
        <w:t>2026-09-03 00:00:00+00:00</w:t>
      </w:r>
      <w:r>
        <w:t xml:space="preserve">    </w:t>
      </w:r>
      <w:r>
        <w:rPr>
          <w:b/>
        </w:rPr>
        <w:t xml:space="preserve">DOI: </w:t>
      </w:r>
      <w:hyperlink r:id="rId407">
        <w:r>
          <w:rPr>
            <w:color w:val="1155CC"/>
            <w:u w:val="single"/>
          </w:rPr>
          <w:t>10.1021/jacs.6c10366</w:t>
        </w:r>
      </w:hyperlink>
    </w:p>
    <w:p>
      <w:pPr>
        <w:spacing w:before="0" w:after="120"/>
      </w:pPr>
      <w:r>
        <w:rPr>
          <w:b/>
        </w:rPr>
        <w:t xml:space="preserve">Notes: </w:t>
      </w:r>
      <w:r>
        <w:t>abstract_source=crossref</w:t>
      </w:r>
    </w:p>
    <w:p>
      <w:pPr>
        <w:spacing w:before="0" w:after="80" w:lineRule="auto" w:line="276"/>
      </w:pPr>
      <w:r>
        <w:rPr>
          <w:b/>
        </w:rPr>
        <w:t xml:space="preserve">摘要（ZH）: </w:t>
      </w:r>
      <w:r>
        <w:t>摘要 结合分子催化剂的异质材料对于高效电催化二氧化碳还原为增值产品具有广阔的前景。虽然活性和选择性传统上是通过配体设计来调节的，但人们越来越关注第二配位球，它调节金属中心以外的反应性。受酶系统的启发，这种外球环境通过空间限制和非共价相互作用增强催化作用。在这里，我们报告了一种主客体策略，使用封装在阴离子笼中的 [bpyMn(CO)3MeCN]+ 催化剂来控制 CO2 还原。当固定在电极表面上时，该组件选择性地产生 CO。机理研究表明，笼子促进质子耦合 CO2 结合，同时防止催化剂失活。这表明超分子第二球体工程是增强电催化性能的有力策略，并为分子电催化剂的未来发展奠定了基础。</w:t>
      </w:r>
    </w:p>
    <w:p>
      <w:pPr>
        <w:spacing w:before="0" w:after="200" w:lineRule="auto" w:line="276"/>
      </w:pPr>
      <w:r>
        <w:rPr>
          <w:b/>
        </w:rPr>
        <w:t xml:space="preserve">Abstract (EN): </w:t>
      </w:r>
      <w:r>
        <w:t>Heterogeneous materials incorporating molecular catalysts hold strong promise for efficient electrocatalytic CO2 reduction to value-added products. While activity and selectivity are traditionally tuned through ligand design, increasing attention is being paid to the second-coordination sphere, which modulates reactivity beyond the metal center. Inspired by enzymatic systems, this outer-sphere environment enhances catalysis through spatial confinement and noncovalent interactions. Here, we report a host–guest strategy to control CO2 reduction using the [bpyMn(CO)3MeCN]+ catalyst encapsulated in an anionic cage. When immobilized on an electrode surface, the assembly selectively produces CO. Mechanistic studies indicate that the cage promotes proton-coupled CO2 binding while preventing catalyst deactivation. This demonstrates that supramolecular second-sphere engineering is a powerful strategy for enhancing electrocatalytic performance and provides a basis for future developments in molecular electrocatalysts.</w:t>
      </w:r>
    </w:p>
    <w:p>
      <w:pPr>
        <w:spacing w:before="120" w:after="120"/>
      </w:pPr>
      <w:r>
        <w:rPr>
          <w:sz w:val="18"/>
        </w:rPr>
        <w:t>——————————————————————————————————————————————————————————————————————</w:t>
      </w:r>
    </w:p>
    <w:p>
      <w:pPr>
        <w:spacing w:before="160" w:after="40" w:line="240" w:lineRule="auto"/>
      </w:pPr>
      <w:r>
        <w:rPr>
          <w:b/>
        </w:rPr>
        <w:t xml:space="preserve">[28] </w:t>
      </w:r>
      <w:hyperlink r:id="rId408">
        <w:r>
          <w:rPr>
            <w:color w:val="1155CC"/>
            <w:u w:val="single"/>
          </w:rPr>
          <w:t>均相铁卟啉作为分子CO穿梭体实现CO2电化学多碳产物生成</w:t>
        </w:r>
      </w:hyperlink>
    </w:p>
    <w:p>
      <w:pPr>
        <w:spacing w:before="0" w:after="80"/>
      </w:pPr>
      <w:r>
        <w:rPr>
          <w:i/>
          <w:sz w:val="20"/>
        </w:rPr>
        <w:t>EN: Homogeneous Iron Porphyrin as a Molecular CO Shuttle Enables Electrochemical Multicarbon Product Formation from CO2</w:t>
      </w:r>
    </w:p>
    <w:p>
      <w:pPr>
        <w:spacing w:before="0" w:after="120"/>
      </w:pPr>
      <w:r>
        <w:rPr>
          <w:b/>
        </w:rPr>
        <w:t xml:space="preserve">Source: </w:t>
      </w:r>
      <w:r>
        <w:t>Journal of the American Chemical Society: Latest Articles (ACS Publications)</w:t>
      </w:r>
      <w:r>
        <w:t xml:space="preserve">    </w:t>
      </w:r>
      <w:r>
        <w:rPr>
          <w:b/>
        </w:rPr>
        <w:t xml:space="preserve">Pub date: </w:t>
      </w:r>
      <w:r>
        <w:t>2026-09-03 00:00:00+00:00</w:t>
      </w:r>
      <w:r>
        <w:t xml:space="preserve">    </w:t>
      </w:r>
      <w:r>
        <w:rPr>
          <w:b/>
        </w:rPr>
        <w:t xml:space="preserve">DOI: </w:t>
      </w:r>
      <w:hyperlink r:id="rId409">
        <w:r>
          <w:rPr>
            <w:color w:val="1155CC"/>
            <w:u w:val="single"/>
          </w:rPr>
          <w:t>10.1021/jacs.6c10179</w:t>
        </w:r>
      </w:hyperlink>
    </w:p>
    <w:p>
      <w:pPr>
        <w:spacing w:before="0" w:after="120"/>
      </w:pPr>
      <w:r>
        <w:rPr>
          <w:b/>
        </w:rPr>
        <w:t xml:space="preserve">Notes: </w:t>
      </w:r>
      <w:r>
        <w:t>abstract_source=crossref</w:t>
      </w:r>
    </w:p>
    <w:p>
      <w:pPr>
        <w:spacing w:before="0" w:after="80" w:lineRule="auto" w:line="276"/>
      </w:pPr>
      <w:r>
        <w:rPr>
          <w:b/>
        </w:rPr>
        <w:t xml:space="preserve">摘要（ZH）: </w:t>
      </w:r>
      <w:r>
        <w:t>摘要 用于电化学 CO2 还原的均相分子催化剂通常仅限于双电子还原的 C1 产物，主要是 CO。在这里，我们提出并证明了分子催化剂的一个根本不同的作用：作为可逆的 CO 穿梭，增强双电层的局部 CO 活性。使用水溶性铁卟啉作为 CO 穿梭，我们观察到在水性电解质中由 CO2 形成经过同位素验证的 C1-C4 碳氢化合物。即使在不存在铁卟啉的 CO 饱和电解质中也观察不到这些产物，这表明穿梭增强了电极表面的局部 CO 活性，超出了本体饱和所能提供的范围。电化学和光谱数据支持在致密层外形成稳定的 FeII-CO 物质，其在电极表面进一步还原时释放 CO，这与电化学门控穿梭机制一致。这些发现提出了一种潜在的设计原理，即均相催化剂在电极表面充当分子中间体穿梭机，并为解释在多相分子催化剂系统中观察到的超越CO产物提供了替代框架。</w:t>
      </w:r>
    </w:p>
    <w:p>
      <w:pPr>
        <w:spacing w:before="0" w:after="200" w:lineRule="auto" w:line="276"/>
      </w:pPr>
      <w:r>
        <w:rPr>
          <w:b/>
        </w:rPr>
        <w:t xml:space="preserve">Abstract (EN): </w:t>
      </w:r>
      <w:r>
        <w:t>Homogeneous molecular catalysts for electrochemical CO2 reduction are generally limited to two-electron-reduced C1 products, primarily CO. Here we propose and demonstrate a fundamentally distinct role for molecular catalysts: as reversible CO shuttles that enhance the local CO activity at the electrical double layer. Using a water-soluble iron porphyrin as a CO shuttle, we observe the formation of isotopically verified C1–C4 hydrocarbons from CO2 in aqueous electrolyte. These products are not observed even in CO-saturated electrolyte in the absence of the iron porphyrin, indicating that the shuttle enhances local CO activity at the electrode surface beyond what bulk saturation can provide. Electrochemical and spectroscopic data support the formation of a stable FeII–CO species outside the compact layer, which releases CO upon further reduction at the electrode surface, consistent with an electrochemically gated shuttle mechanism. These findings suggest a potential design principle in which homogeneous catalysts function as molecular intermediate shuttles at the electrode surface and provide an alternative framework for interpreting beyond-CO products observed in heterogenized molecular catalyst systems.</w:t>
      </w:r>
    </w:p>
    <w:p>
      <w:pPr>
        <w:spacing w:before="120" w:after="120"/>
      </w:pPr>
      <w:r>
        <w:rPr>
          <w:sz w:val="18"/>
        </w:rPr>
        <w:t>——————————————————————————————————————————————————————————————————————</w:t>
      </w:r>
    </w:p>
    <w:p>
      <w:pPr>
        <w:spacing w:before="160" w:after="40" w:line="240" w:lineRule="auto"/>
      </w:pPr>
      <w:r>
        <w:rPr>
          <w:b/>
        </w:rPr>
        <w:t xml:space="preserve">[29] </w:t>
      </w:r>
      <w:hyperlink r:id="rId410">
        <w:r>
          <w:rPr>
            <w:color w:val="1155CC"/>
            <w:u w:val="single"/>
          </w:rPr>
          <w:t>多吡啶配位基元作为有序碳质框架前驱体用于制备高密度Ru单原子催化剂</w:t>
        </w:r>
      </w:hyperlink>
    </w:p>
    <w:p>
      <w:pPr>
        <w:spacing w:before="0" w:after="80"/>
      </w:pPr>
      <w:r>
        <w:rPr>
          <w:i/>
          <w:sz w:val="20"/>
        </w:rPr>
        <w:t>EN: Polypyridyl Coordination Motifs as Precursors for Ordered Carbonaceous Frameworks Toward High‐Density Ru Single‐Atom Catalysts</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411">
        <w:r>
          <w:rPr>
            <w:color w:val="1155CC"/>
            <w:u w:val="single"/>
          </w:rPr>
          <w:t>10.1002/anie.6197340</w:t>
        </w:r>
      </w:hyperlink>
    </w:p>
    <w:p>
      <w:pPr>
        <w:spacing w:before="0" w:after="120"/>
      </w:pPr>
      <w:r>
        <w:rPr>
          <w:b/>
        </w:rPr>
        <w:t xml:space="preserve">Notes: </w:t>
      </w:r>
      <w:r>
        <w:t>abstract_source=crossref</w:t>
      </w:r>
    </w:p>
    <w:p>
      <w:pPr>
        <w:spacing w:before="0" w:after="80" w:lineRule="auto" w:line="276"/>
      </w:pPr>
      <w:r>
        <w:rPr>
          <w:b/>
        </w:rPr>
        <w:t xml:space="preserve">摘要（ZH）: </w:t>
      </w:r>
      <w:r>
        <w:t>摘要 实现高密度单原子催化剂（SAC）仍然是一个基本挑战，特别是对于像钌这样在合成和催化条件下容易聚集的贵金属。在这里，我们报告了一种合理的前体设计策略，用于通过直接碳化制造高密度Ru SAC，产生高Ru负载量高达11.0 wt%的有序碳质骨架（Ru-OCF）。通过将OCF合成前体的范围从传统的大环配位基序扩展到配位柔性聚吡啶基配体，我们表明具有热聚合乙炔基单元的Ru-三联吡啶晶体可以作为将单原子Ru物质固定在三维多孔碳框架内的有效前体，无需金属聚集或合成后处理。所得的Ru-OCF保留了前体晶体的有序结构和配位环境，同时形成了具有高达670 m 2 g -1 的高比表面积的微孔性。作为概念证明，Ru-OCF 中的高密度孤立 Ru 位点能够增强液相 CO 2 加氢中的催化活性，实现高达 19 mmol g cat -1 h -1 的高甲酸生产率，优于代表性的纳米颗粒催化剂。</w:t>
      </w:r>
    </w:p>
    <w:p>
      <w:pPr>
        <w:spacing w:before="0" w:after="200" w:lineRule="auto" w:line="276"/>
      </w:pPr>
      <w:r>
        <w:rPr>
          <w:b/>
        </w:rPr>
        <w:t xml:space="preserve">Abstract (EN): </w:t>
      </w:r>
      <w:r>
        <w:t>Achieving high‐density single‐atom catalysts (SACs) remains a fundamental challenge, particularly for precious metals such as Ru that readily aggregate under synthetic and catalytic conditions. Here, we report a rational precursor design strategy for fabricating high‐density Ru SACs via direct carbonization, yielding ordered carbonaceous frameworks (Ru‐OCFs) with high Ru loadings of up to 11.0 wt%. By expanding the scope of precursors for OCF synthesis beyond conventional macrocyclic coordination motifs to coordinatively flexible polypyridyl ligands, we show that Ru‐terpyridine crystals with thermally polymerizable ethynyl units serve as effective precursors for immobilizing single‐atomic Ru species within three‐dimensional porous carbon frameworks, without metal aggregation or post‐synthetic treatments. The resulting Ru‐OCFs retain the ordered structure and coordination environment of the precursor crystals while simultaneously developing microporosity with high specific surface areas of up to 670 m 2 g −1 . As a proof of concept, the high‐density isolated Ru sites in Ru‐OCFs enable enhanced catalytic activity in liquid‐phase CO 2 hydrogenation, achieving a high formic acid productivity of up to 19 mmol g cat −1 h −1 , outperforming representative nanoparticle catalysts.</w:t>
      </w:r>
    </w:p>
    <w:p>
      <w:pPr>
        <w:spacing w:before="120" w:after="120"/>
      </w:pPr>
      <w:r>
        <w:rPr>
          <w:sz w:val="18"/>
        </w:rPr>
        <w:t>——————————————————————————————————————————————————————————————————————</w:t>
      </w:r>
    </w:p>
    <w:p>
      <w:pPr>
        <w:spacing w:before="160" w:after="40" w:line="240" w:lineRule="auto"/>
      </w:pPr>
      <w:r>
        <w:rPr>
          <w:b/>
        </w:rPr>
        <w:t xml:space="preserve">[30] </w:t>
      </w:r>
      <w:hyperlink r:id="rId412">
        <w:r>
          <w:rPr>
            <w:color w:val="1155CC"/>
            <w:u w:val="single"/>
          </w:rPr>
          <w:t>构建模拟类囊体的VS&amp;Si-CuInS2/SiC异质结用于人工光合作用——双空位辅助机制</w:t>
        </w:r>
      </w:hyperlink>
    </w:p>
    <w:p>
      <w:pPr>
        <w:spacing w:before="0" w:after="80"/>
      </w:pPr>
      <w:r>
        <w:rPr>
          <w:i/>
          <w:sz w:val="20"/>
        </w:rPr>
        <w:t>EN: Building VS&amp;Si-CuInS2/SiC Heterojunctions Mimicking Thylakoid for Artificial Photosynthesis—Dual-Vacancy-Assisted Mechanism</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412">
        <w:r>
          <w:rPr>
            <w:color w:val="1155CC"/>
            <w:u w:val="single"/>
          </w:rPr>
          <w:t>10.1021/acsami.6c13125</w:t>
        </w:r>
      </w:hyperlink>
    </w:p>
    <w:p>
      <w:pPr>
        <w:spacing w:before="0" w:after="120"/>
      </w:pPr>
      <w:r>
        <w:rPr>
          <w:b/>
        </w:rPr>
        <w:t xml:space="preserve">Notes: </w:t>
      </w:r>
      <w:r>
        <w:t>abstract_source=crossref</w:t>
      </w:r>
    </w:p>
    <w:p>
      <w:pPr>
        <w:spacing w:before="0" w:after="80" w:lineRule="auto" w:line="276"/>
      </w:pPr>
      <w:r>
        <w:rPr>
          <w:b/>
        </w:rPr>
        <w:t xml:space="preserve">摘要（ZH）: </w:t>
      </w:r>
      <w:r>
        <w:t>摘要 通过模仿植物光合作用将二氧化碳和水转化为增值化学品是减少大气中二氧化碳浓度的一种有前景的策略。在此，设计、合成了一系列具有丰富S和Si空位的分层空心VS&amp;Si-CuInS2/SiC-X异质结，并将其用于KHCO3水溶液中的光电催化CO2还原。我们的结果表明，独特的分层中空结构、S 和 Si 空位以及 n−n 异质结特性协同促进 CO2 还原性能和 C2 产品的选择性。特别是，最佳异质结VS&amp;Si-CuInS2/SiC-2的碳基产物生成率为79.38 μM h−1 cm−2，液体产物的C2选择性为83.63%。此外，其总电子传输速率（263.19 μM h−1 cm−2）分别是VSi-SiC的3.60倍和VS-CuInS2的3.96倍。 DFT计算表明，S和Si空位可以明显降低CO2还原的反应势垒，促进关键中间体的生成，促进催化剂表面的CC偶联反应。基于通过原位 FTIR 光谱检测并通过 DFT 计算证实的关键中间体 *=C=O、*CHO、*COCHO 和 *COCH3，提出了一种用于光电催化 CO2 还原的双空位辅助机制。</w:t>
      </w:r>
    </w:p>
    <w:p>
      <w:pPr>
        <w:spacing w:before="0" w:after="200" w:lineRule="auto" w:line="276"/>
      </w:pPr>
      <w:r>
        <w:rPr>
          <w:b/>
        </w:rPr>
        <w:t xml:space="preserve">Abstract (EN): </w:t>
      </w:r>
      <w:r>
        <w:t>Converting CO2 and water into value-added chemicals by mimicking plant photosynthesis is a promising strategy to mitigate CO2 concentration in the atmosphere. Herein, a series of hierarchical hollow VS&amp;Si-CuInS2/SiC-X heterojunctions with abundant S and Si vacancies were designed, synthesized, and utilized for photoelectrocatalytic CO2 reduction in an aqueous KHCO3 solution. Our results reveal that the unique hierarchical hollow architecture, S and Si vacancies, and n−n heterojunction property synergistically contribute to CO2 reduction performance and selectivity to C2 products. In particular, the optimal heterojunction VS&amp;Si-CuInS2/SiC-2 achieves a generation rate of 79.38 μM h−1 cm−2 for carbon-based products and a C2 selectivity of 83.63% for liquid products. Moreover, its total electron transfer rate (263.19 μM h−1 cm−2) is 3.60 times higher than that of VSi-SiC and 3.96 times higher than that of VS-CuInS2, respectively. DFT calculations indicate that the S and Si vacancies can evidently reduce the reaction barriers in the CO2 reduction, promoting the generation of crucial intermediates and facilitating the C−C coupling reaction on the catalyst surface. Based on the key intermediates *═C═O, *CHO, *COCHO, and *COCH3 detected through in situ FTIR spectroscopy and confirmed by DFT calculations, a dual-vacancy-assisted mechanism is proposed for photoelectrocatalytic CO2 reduction.</w:t>
      </w:r>
    </w:p>
    <w:p>
      <w:pPr>
        <w:spacing w:before="120" w:after="120"/>
      </w:pPr>
      <w:r>
        <w:rPr>
          <w:sz w:val="18"/>
        </w:rPr>
        <w:t>——————————————————————————————————————————————————————————————————————</w:t>
      </w:r>
    </w:p>
    <w:p>
      <w:pPr>
        <w:spacing w:before="160" w:after="40" w:line="240" w:lineRule="auto"/>
      </w:pPr>
      <w:r>
        <w:rPr>
          <w:b/>
        </w:rPr>
        <w:t xml:space="preserve">[31] </w:t>
      </w:r>
      <w:hyperlink r:id="rId413">
        <w:r>
          <w:rPr>
            <w:color w:val="1155CC"/>
            <w:u w:val="single"/>
          </w:rPr>
          <w:t>面向CO2还原反应的单原子催化剂配位环境调控高通量筛选</w:t>
        </w:r>
      </w:hyperlink>
    </w:p>
    <w:p>
      <w:pPr>
        <w:spacing w:before="0" w:after="80"/>
      </w:pPr>
      <w:r>
        <w:rPr>
          <w:i/>
          <w:sz w:val="20"/>
        </w:rPr>
        <w:t>EN: High-Throughput Screening of Single-Atom Catalyst Coordination Environment Regulation for CO2 Reduction Reactions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413">
        <w:r>
          <w:rPr>
            <w:color w:val="1155CC"/>
            <w:u w:val="single"/>
          </w:rPr>
          <w:t>10.1021/acsami.6c10190</w:t>
        </w:r>
      </w:hyperlink>
    </w:p>
    <w:p>
      <w:pPr>
        <w:spacing w:before="0" w:after="120"/>
      </w:pPr>
      <w:r>
        <w:rPr>
          <w:b/>
        </w:rPr>
        <w:t xml:space="preserve">Notes: </w:t>
      </w:r>
      <w:r>
        <w:t>abstract_source=crossref</w:t>
      </w:r>
    </w:p>
    <w:p>
      <w:pPr>
        <w:spacing w:before="0" w:after="80" w:lineRule="auto" w:line="276"/>
      </w:pPr>
      <w:r>
        <w:rPr>
          <w:b/>
        </w:rPr>
        <w:t xml:space="preserve">摘要（ZH）: </w:t>
      </w:r>
      <w:r>
        <w:t>摘要 最近的研究表明，精确调节金属中心周围的配位环境可以显着影响催化活性，激发了人们对通过配位工程合理设计高效二氧化碳还原反应（CO2RR）催化剂的兴趣。在这项工作中，基于杂原子掺杂石墨烯框架，系统地构建了一系列具有不对称配位环境的单原子催化剂（SAC），旨在阐明控制CO2RR性能的构效关系。通过将密度泛函理论（DFT）计算与机器学习（ML）方法相结合，极限电势（UL）被用作目标描述符。采用EXTreme Gradient Boosting Regression（XGBR）和Sure Independence Screening and Sparsifying Operator（SISSO）算法构建黑盒预测模型。可解释的描述符模型的确定系数分别为 R2 = 0.96 和 R2 = 0.95，验证了所建立模型的可靠性和普遍性。结果表明，与具有对称配位环境的传统M-N4 SAC相比，引入不对称配位可以进一步增强Co、Fe和Mn基SAC的CO2RR催化活性，并且不同金属中心的性能差异显着。确定了四种具有优异催化潜力的 SAC，即 Co-N3O、Co-N3S、Fe-N4O2 和 Mn-N4N3。电子结构分析表明配位环境调制驱动升档</w:t>
      </w:r>
    </w:p>
    <w:p>
      <w:pPr>
        <w:spacing w:before="0" w:after="200" w:lineRule="auto" w:line="276"/>
      </w:pPr>
      <w:r>
        <w:rPr>
          <w:b/>
        </w:rPr>
        <w:t xml:space="preserve">Abstract (EN): </w:t>
      </w:r>
      <w:r>
        <w:t>Recent studies have demonstrated that precise modulation of the coordination environment around metal centers can significantly influence the catalytic activity, inspiring interest in the rational design of efficient CO2 reduction reaction (CO2RR) catalysts through coordination engineering. In this work, a series of single-atom catalysts (SACs) with asymmetric coordination environments were systematically constructed based on heteroatom-doped graphene frameworks, aiming to elucidate the structure−activity relationships governing CO2RR performance. By integrating density functional theory (DFT) calculations with machine learning (ML) approaches, the limiting potential (UL) was employed as the target descriptor. EXtreme Gradient Boosting Regression (XGBR) and Sure Independence Screening and Sparsifying Operator (SISSO) algorithms were adopted to construct a black-box predictive model. An interpretable descriptor model, achieving coefficients of determination of R2 = 0.96 and R2 = 0.95, respectively, validated the reliability and generalizability of the established models. The results revealed that, compared to conventional M-N4 SACs with symmetric coordination environments, the introduction of asymmetric coordination could further enhance the CO2RR catalytic activity of Co-, Fe-, and Mn-based SACs, with notable performance variations across different metal centers. Four SACs with superior catalytic potential, namely, Co-N3O, Co-N3S, Fe-N4O2, and Mn-N4N3, were identified. Electronic structure analysis indicated that coordination environment modulation drove an upshift of the metal center d band toward the Fermi level, strengthening interactions with key reaction intermediates and optimizing adsorption energies to enhance catalytic activity. The DFT−ML strategy established herein provides a systematic framework for the rational design of SACs toward efficient CO2RR and offers generalizable principles for coordination engineering in electrocatalysis.</w:t>
      </w:r>
    </w:p>
    <w:p>
      <w:pPr>
        <w:spacing w:before="120" w:after="120"/>
      </w:pPr>
      <w:r>
        <w:rPr>
          <w:sz w:val="18"/>
        </w:rPr>
        <w:t>——————————————————————————————————————————————————————————————————————</w:t>
      </w:r>
    </w:p>
    <w:p>
      <w:pPr>
        <w:spacing w:before="160" w:after="40" w:line="240" w:lineRule="auto"/>
      </w:pPr>
      <w:r>
        <w:rPr>
          <w:b/>
        </w:rPr>
        <w:t xml:space="preserve">[32] </w:t>
      </w:r>
      <w:hyperlink r:id="rId407">
        <w:r>
          <w:rPr>
            <w:color w:val="1155CC"/>
            <w:u w:val="single"/>
          </w:rPr>
          <w:t>主客体策略实现水相介质中高选择性且稳健的CO2到CO电催化</w:t>
        </w:r>
      </w:hyperlink>
    </w:p>
    <w:p>
      <w:pPr>
        <w:spacing w:before="0" w:after="80"/>
      </w:pPr>
      <w:r>
        <w:rPr>
          <w:i/>
          <w:sz w:val="20"/>
        </w:rPr>
        <w:t>EN: A Host–Guest Strategy to Achieve Selective and Robust CO2-to-CO Electrocatalysis in Aqueous Media</w:t>
      </w:r>
    </w:p>
    <w:p>
      <w:pPr>
        <w:spacing w:before="0" w:after="120"/>
      </w:pPr>
      <w:r>
        <w:rPr>
          <w:b/>
        </w:rPr>
        <w:t xml:space="preserve">Source: </w:t>
      </w:r>
      <w:r>
        <w:t>Journal of the American Chemical Society</w:t>
      </w:r>
      <w:r>
        <w:t xml:space="preserve">    </w:t>
      </w:r>
      <w:r>
        <w:rPr>
          <w:b/>
        </w:rPr>
        <w:t xml:space="preserve">Pub date: </w:t>
      </w:r>
      <w:r>
        <w:t>2026-09-03 00:00:00+00:00</w:t>
      </w:r>
      <w:r>
        <w:t xml:space="preserve">    </w:t>
      </w:r>
      <w:r>
        <w:rPr>
          <w:b/>
        </w:rPr>
        <w:t xml:space="preserve">DOI: </w:t>
      </w:r>
      <w:hyperlink r:id="rId407">
        <w:r>
          <w:rPr>
            <w:color w:val="1155CC"/>
            <w:u w:val="single"/>
          </w:rPr>
          <w:t>10.1021/jacs.6c10366</w:t>
        </w:r>
      </w:hyperlink>
    </w:p>
    <w:p>
      <w:pPr>
        <w:spacing w:before="0" w:after="120"/>
      </w:pPr>
      <w:r>
        <w:rPr>
          <w:b/>
        </w:rPr>
        <w:t xml:space="preserve">Notes: </w:t>
      </w:r>
      <w:r>
        <w:t>abstract_source=crossref</w:t>
      </w:r>
    </w:p>
    <w:p>
      <w:pPr>
        <w:spacing w:before="0" w:after="80" w:lineRule="auto" w:line="276"/>
      </w:pPr>
      <w:r>
        <w:rPr>
          <w:b/>
        </w:rPr>
        <w:t xml:space="preserve">摘要（ZH）: </w:t>
      </w:r>
      <w:r>
        <w:t>摘要 结合分子催化剂的异质材料对于高效电催化二氧化碳还原为增值产品具有广阔的前景。虽然活性和选择性传统上是通过配体设计来调节的，但人们越来越关注第二配位球，它调节金属中心以外的反应性。受酶系统的启发，这种外球环境通过空间限制和非共价相互作用增强催化作用。在这里，我们报告了一种主客体策略，使用封装在阴离子笼中的 [bpyMn(CO)3MeCN]+ 催化剂来控制 CO2 还原。当固定在电极表面上时，该组件选择性地产生 CO。机理研究表明，笼子促进质子耦合 CO2 结合，同时防止催化剂失活。这表明超分子第二球体工程是增强电催化性能的有力策略，并为分子电催化剂的未来发展奠定了基础。</w:t>
      </w:r>
    </w:p>
    <w:p>
      <w:pPr>
        <w:spacing w:before="0" w:after="200" w:lineRule="auto" w:line="276"/>
      </w:pPr>
      <w:r>
        <w:rPr>
          <w:b/>
        </w:rPr>
        <w:t xml:space="preserve">Abstract (EN): </w:t>
      </w:r>
      <w:r>
        <w:t>Heterogeneous materials incorporating molecular catalysts hold strong promise for efficient electrocatalytic CO2 reduction to value-added products. While activity and selectivity are traditionally tuned through ligand design, increasing attention is being paid to the second-coordination sphere, which modulates reactivity beyond the metal center. Inspired by enzymatic systems, this outer-sphere environment enhances catalysis through spatial confinement and noncovalent interactions. Here, we report a host–guest strategy to control CO2 reduction using the [bpyMn(CO)3MeCN]+ catalyst encapsulated in an anionic cage. When immobilized on an electrode surface, the assembly selectively produces CO. Mechanistic studies indicate that the cage promotes proton-coupled CO2 binding while preventing catalyst deactivation. This demonstrates that supramolecular second-sphere engineering is a powerful strategy for enhancing electrocatalytic performance and provides a basis for future developments in molecular electrocatalysts.</w:t>
      </w:r>
    </w:p>
    <w:p>
      <w:pPr>
        <w:spacing w:before="120" w:after="120"/>
      </w:pPr>
      <w:r>
        <w:rPr>
          <w:sz w:val="18"/>
        </w:rPr>
        <w:t>——————————————————————————————————————————————————————————————————————</w:t>
      </w:r>
    </w:p>
    <w:p>
      <w:pPr>
        <w:spacing w:before="160" w:after="40" w:line="240" w:lineRule="auto"/>
      </w:pPr>
      <w:r>
        <w:rPr>
          <w:b/>
        </w:rPr>
        <w:t xml:space="preserve">[33] </w:t>
      </w:r>
      <w:hyperlink r:id="rId409">
        <w:r>
          <w:rPr>
            <w:color w:val="1155CC"/>
            <w:u w:val="single"/>
          </w:rPr>
          <w:t>均相铁卟啉作为分子CO穿梭载体实现CO2电化学多碳产物生成</w:t>
        </w:r>
      </w:hyperlink>
    </w:p>
    <w:p>
      <w:pPr>
        <w:spacing w:before="0" w:after="80"/>
      </w:pPr>
      <w:r>
        <w:rPr>
          <w:i/>
          <w:sz w:val="20"/>
        </w:rPr>
        <w:t>EN: Homogeneous Iron Porphyrin as a Molecular CO Shuttle Enables Electrochemical Multicarbon Product Formation from CO2</w:t>
      </w:r>
    </w:p>
    <w:p>
      <w:pPr>
        <w:spacing w:before="0" w:after="120"/>
      </w:pPr>
      <w:r>
        <w:rPr>
          <w:b/>
        </w:rPr>
        <w:t xml:space="preserve">Source: </w:t>
      </w:r>
      <w:r>
        <w:t>Journal of the American Chemical Society</w:t>
      </w:r>
      <w:r>
        <w:t xml:space="preserve">    </w:t>
      </w:r>
      <w:r>
        <w:rPr>
          <w:b/>
        </w:rPr>
        <w:t xml:space="preserve">Pub date: </w:t>
      </w:r>
      <w:r>
        <w:t>2026-09-03 00:00:00+00:00</w:t>
      </w:r>
      <w:r>
        <w:t xml:space="preserve">    </w:t>
      </w:r>
      <w:r>
        <w:rPr>
          <w:b/>
        </w:rPr>
        <w:t xml:space="preserve">DOI: </w:t>
      </w:r>
      <w:hyperlink r:id="rId409">
        <w:r>
          <w:rPr>
            <w:color w:val="1155CC"/>
            <w:u w:val="single"/>
          </w:rPr>
          <w:t>10.1021/jacs.6c10179</w:t>
        </w:r>
      </w:hyperlink>
    </w:p>
    <w:p>
      <w:pPr>
        <w:spacing w:before="0" w:after="120"/>
      </w:pPr>
      <w:r>
        <w:rPr>
          <w:b/>
        </w:rPr>
        <w:t xml:space="preserve">Notes: </w:t>
      </w:r>
      <w:r>
        <w:t>abstract_source=crossref</w:t>
      </w:r>
    </w:p>
    <w:p>
      <w:pPr>
        <w:spacing w:before="0" w:after="80" w:lineRule="auto" w:line="276"/>
      </w:pPr>
      <w:r>
        <w:rPr>
          <w:b/>
        </w:rPr>
        <w:t xml:space="preserve">摘要（ZH）: </w:t>
      </w:r>
      <w:r>
        <w:t>摘要 用于电化学 CO2 还原的均相分子催化剂通常仅限于双电子还原的 C1 产物，主要是 CO。在这里，我们提出并证明了分子催化剂的一个根本不同的作用：作为可逆的 CO 穿梭，增强双电层的局部 CO 活性。使用水溶性铁卟啉作为 CO 穿梭，我们观察到在水性电解质中由 CO2 形成经过同位素验证的 C1-C4 碳氢化合物。即使在不存在铁卟啉的 CO 饱和电解质中也观察不到这些产物，这表明穿梭增强了电极表面的局部 CO 活性，超出了本体饱和所能提供的范围。电化学和光谱数据支持在致密层外形成稳定的 FeII-CO 物质，其在电极表面进一步还原时释放 CO，这与电化学门控穿梭机制一致。这些发现提出了一种潜在的设计原理，即均相催化剂在电极表面充当分子中间体穿梭机，并为解释在多相分子催化剂系统中观察到的超越CO产物提供了替代框架。</w:t>
      </w:r>
    </w:p>
    <w:p>
      <w:pPr>
        <w:spacing w:before="0" w:after="200" w:lineRule="auto" w:line="276"/>
      </w:pPr>
      <w:r>
        <w:rPr>
          <w:b/>
        </w:rPr>
        <w:t xml:space="preserve">Abstract (EN): </w:t>
      </w:r>
      <w:r>
        <w:t>Homogeneous molecular catalysts for electrochemical CO2 reduction are generally limited to two-electron-reduced C1 products, primarily CO. Here we propose and demonstrate a fundamentally distinct role for molecular catalysts: as reversible CO shuttles that enhance the local CO activity at the electrical double layer. Using a water-soluble iron porphyrin as a CO shuttle, we observe the formation of isotopically verified C1–C4 hydrocarbons from CO2 in aqueous electrolyte. These products are not observed even in CO-saturated electrolyte in the absence of the iron porphyrin, indicating that the shuttle enhances local CO activity at the electrode surface beyond what bulk saturation can provide. Electrochemical and spectroscopic data support the formation of a stable FeII–CO species outside the compact layer, which releases CO upon further reduction at the electrode surface, consistent with an electrochemically gated shuttle mechanism. These findings suggest a potential design principle in which homogeneous catalysts function as molecular intermediate shuttles at the electrode surface and provide an alternative framework for interpreting beyond-CO products observed in heterogenized molecular catalyst systems.</w:t>
      </w:r>
    </w:p>
    <w:p>
      <w:pPr>
        <w:spacing w:before="120" w:after="120"/>
      </w:pPr>
      <w:r>
        <w:rPr>
          <w:sz w:val="18"/>
        </w:rPr>
        <w:t>——————————————————————————————————————————————————————————————————————</w:t>
      </w:r>
    </w:p>
    <w:p>
      <w:pPr>
        <w:spacing w:before="160" w:after="40" w:line="240" w:lineRule="auto"/>
      </w:pPr>
      <w:r>
        <w:rPr>
          <w:b/>
        </w:rPr>
        <w:t xml:space="preserve">[34] </w:t>
      </w:r>
      <w:hyperlink r:id="rId414">
        <w:r>
          <w:rPr>
            <w:color w:val="1155CC"/>
            <w:u w:val="single"/>
          </w:rPr>
          <w:t>用于CO2还原反应的单原子催化剂配位环境调控的高通量筛选</w:t>
        </w:r>
      </w:hyperlink>
    </w:p>
    <w:p>
      <w:pPr>
        <w:spacing w:before="0" w:after="80"/>
      </w:pPr>
      <w:r>
        <w:rPr>
          <w:i/>
          <w:sz w:val="20"/>
        </w:rPr>
        <w:t>EN: High-Throughput Screening of Single-Atom Catalyst Coordination Environment Regulation for CO2 Reduction Reactions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413">
        <w:r>
          <w:rPr>
            <w:color w:val="1155CC"/>
            <w:u w:val="single"/>
          </w:rPr>
          <w:t>10.1021/acsami.6c10190</w:t>
        </w:r>
      </w:hyperlink>
    </w:p>
    <w:p>
      <w:pPr>
        <w:spacing w:before="0" w:after="120"/>
      </w:pPr>
      <w:r>
        <w:rPr>
          <w:b/>
        </w:rPr>
        <w:t xml:space="preserve">Notes: </w:t>
      </w:r>
      <w:r>
        <w:t>abstract_source=crossref</w:t>
      </w:r>
    </w:p>
    <w:p>
      <w:pPr>
        <w:spacing w:before="0" w:after="80" w:lineRule="auto" w:line="276"/>
      </w:pPr>
      <w:r>
        <w:rPr>
          <w:b/>
        </w:rPr>
        <w:t xml:space="preserve">摘要（ZH）: </w:t>
      </w:r>
      <w:r>
        <w:t>摘要 最近的研究表明，精确调节金属中心周围的配位环境可以显着影响催化活性，激发了人们对通过配位工程合理设计高效二氧化碳还原反应（CO2RR）催化剂的兴趣。在这项工作中，基于杂原子掺杂石墨烯框架，系统地构建了一系列具有不对称配位环境的单原子催化剂（SAC），旨在阐明控制CO2RR性能的构效关系。通过将密度泛函理论（DFT）计算与机器学习（ML）方法相结合，极限电势（UL）被用作目标描述符。采用EXTreme Gradient Boosting Regression（XGBR）和Sure Independence Screening and Sparsifying Operator（SISSO）算法构建黑盒预测模型。可解释的描述符模型的确定系数分别为 R2 = 0.96 和 R2 = 0.95，验证了所建立模型的可靠性和普遍性。结果表明，与具有对称配位环境的传统M-N4 SAC相比，引入不对称配位可以进一步增强Co、Fe和Mn基SAC的CO2RR催化活性，并且不同金属中心的性能差异显着。确定了四种具有优异催化潜力的 SAC，即 Co-N3O、Co-N3S、Fe-N4O2 和 Mn-N4N3。电子结构分析表明配位环境调制驱动升档</w:t>
      </w:r>
    </w:p>
    <w:p>
      <w:pPr>
        <w:spacing w:before="0" w:after="200" w:lineRule="auto" w:line="276"/>
      </w:pPr>
      <w:r>
        <w:rPr>
          <w:b/>
        </w:rPr>
        <w:t xml:space="preserve">Abstract (EN): </w:t>
      </w:r>
      <w:r>
        <w:t>Recent studies have demonstrated that precise modulation of the coordination environment around metal centers can significantly influence the catalytic activity, inspiring interest in the rational design of efficient CO2 reduction reaction (CO2RR) catalysts through coordination engineering. In this work, a series of single-atom catalysts (SACs) with asymmetric coordination environments were systematically constructed based on heteroatom-doped graphene frameworks, aiming to elucidate the structure−activity relationships governing CO2RR performance. By integrating density functional theory (DFT) calculations with machine learning (ML) approaches, the limiting potential (UL) was employed as the target descriptor. EXtreme Gradient Boosting Regression (XGBR) and Sure Independence Screening and Sparsifying Operator (SISSO) algorithms were adopted to construct a black-box predictive model. An interpretable descriptor model, achieving coefficients of determination of R2 = 0.96 and R2 = 0.95, respectively, validated the reliability and generalizability of the established models. The results revealed that, compared to conventional M-N4 SACs with symmetric coordination environments, the introduction of asymmetric coordination could further enhance the CO2RR catalytic activity of Co-, Fe-, and Mn-based SACs, with notable performance variations across different metal centers. Four SACs with superior catalytic potential, namely, Co-N3O, Co-N3S, Fe-N4O2, and Mn-N4N3, were identified. Electronic structure analysis indicated that coordination environment modulation drove an upshift of the metal center d band toward the Fermi level, strengthening interactions with key reaction intermediates and optimizing adsorption energies to enhance catalytic activity. The DFT−ML strategy established herein provides a systematic framework for the rational design of SACs toward efficient CO2RR and offers generalizable principles for coordination engineering in electrocatalysis.</w:t>
      </w:r>
    </w:p>
    <w:p>
      <w:pPr>
        <w:spacing w:before="120" w:after="120"/>
      </w:pPr>
      <w:r>
        <w:rPr>
          <w:sz w:val="18"/>
        </w:rPr>
        <w:t>——————————————————————————————————————————————————————————————————————</w:t>
      </w:r>
    </w:p>
    <w:p>
      <w:pPr>
        <w:spacing w:before="160" w:after="40" w:line="240" w:lineRule="auto"/>
      </w:pPr>
      <w:r>
        <w:rPr>
          <w:b/>
        </w:rPr>
        <w:t xml:space="preserve">[35] </w:t>
      </w:r>
      <w:hyperlink r:id="rId415">
        <w:r>
          <w:rPr>
            <w:color w:val="1155CC"/>
            <w:u w:val="single"/>
          </w:rPr>
          <w:t>构建模拟类囊体的VS&amp;Si-CuInS2/SiC异质结用于人工光合作用——双空位辅助机制</w:t>
        </w:r>
      </w:hyperlink>
    </w:p>
    <w:p>
      <w:pPr>
        <w:spacing w:before="0" w:after="80"/>
      </w:pPr>
      <w:r>
        <w:rPr>
          <w:i/>
          <w:sz w:val="20"/>
        </w:rPr>
        <w:t>EN: Building VS&amp;Si-CuInS2/SiC Heterojunctions Mimicking Thylakoid for Artificial Photosynthesis—Dual-Vacancy-Assisted Mechanism</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412">
        <w:r>
          <w:rPr>
            <w:color w:val="1155CC"/>
            <w:u w:val="single"/>
          </w:rPr>
          <w:t>10.1021/acsami.6c13125</w:t>
        </w:r>
      </w:hyperlink>
    </w:p>
    <w:p>
      <w:pPr>
        <w:spacing w:before="0" w:after="120"/>
      </w:pPr>
      <w:r>
        <w:rPr>
          <w:b/>
        </w:rPr>
        <w:t xml:space="preserve">Notes: </w:t>
      </w:r>
      <w:r>
        <w:t>abstract_source=crossref</w:t>
      </w:r>
    </w:p>
    <w:p>
      <w:pPr>
        <w:spacing w:before="0" w:after="80" w:lineRule="auto" w:line="276"/>
      </w:pPr>
      <w:r>
        <w:rPr>
          <w:b/>
        </w:rPr>
        <w:t xml:space="preserve">摘要（ZH）: </w:t>
      </w:r>
      <w:r>
        <w:t>摘要 通过模拟植物光合作用将CO2和水转化为高附加值化学品，是缓解大气中CO2浓度的一种有前景的策略。本文设计、合成了一系列具有丰富S和Si空位的分级空心VS&amp;Si-CuInS2/SiC-X异质结，并将其用于水性KHCO3溶液中的光电催化CO2还原。我们的结果表明，独特的分级空心结构、S和Si空位以及n−n异质结特性协同促进了CO2还原性能及对C2产物的选择性。特别是，最优异质结VS&amp;Si-CuInS2/SiC-2对碳基产物的生成速率为79.38 μM h−1 cm−2，对液态产物的C2选择性为83.63%。此外，其总电子转移速率（263.19 μM h−1 cm−2）分别是VSi-SiC的3.60倍和VS-CuInS2的3.96倍。DFT计算表明，S和Si空位能显著降低CO2还原中的反应能垒，促进关键中间体的生成，并有利于催化剂表面的C−C偶联反应。基于原位FTIR光谱检测到并经DFT计算确认的关键中间体*═C═O、*CHO、*COCHO和*COCH3，提出了光电催化CO2还原的双空位辅助机理。</w:t>
      </w:r>
    </w:p>
    <w:p>
      <w:pPr>
        <w:spacing w:before="0" w:after="200" w:lineRule="auto" w:line="276"/>
      </w:pPr>
      <w:r>
        <w:rPr>
          <w:b/>
        </w:rPr>
        <w:t xml:space="preserve">Abstract (EN): </w:t>
      </w:r>
      <w:r>
        <w:t>Converting CO2 and water into value-added chemicals by mimicking plant photosynthesis is a promising strategy to mitigate CO2 concentration in the atmosphere. Herein, a series of hierarchical hollow VS&amp;Si-CuInS2/SiC-X heterojunctions with abundant S and Si vacancies were designed, synthesized, and utilized for photoelectrocatalytic CO2 reduction in an aqueous KHCO3 solution. Our results reveal that the unique hierarchical hollow architecture, S and Si vacancies, and n−n heterojunction property synergistically contribute to CO2 reduction performance and selectivity to C2 products. In particular, the optimal heterojunction VS&amp;Si-CuInS2/SiC-2 achieves a generation rate of 79.38 μM h−1 cm−2 for carbon-based products and a C2 selectivity of 83.63% for liquid products. Moreover, its total electron transfer rate (263.19 μM h−1 cm−2) is 3.60 times higher than that of VSi-SiC and 3.96 times higher than that of VS-CuInS2, respectively. DFT calculations indicate that the S and Si vacancies can evidently reduce the reaction barriers in the CO2 reduction, promoting the generation of crucial intermediates and facilitating the C−C coupling reaction on the catalyst surface. Based on the key intermediates *═C═O, *CHO, *COCHO, and *COCH3 detected through in situ FTIR spectroscopy and confirmed by DFT calculations, a dual-vacancy-assisted mechanism is proposed for photoelectrocatalytic CO2 reduction.</w:t>
      </w:r>
    </w:p>
    <w:p>
      <w:pPr>
        <w:spacing w:before="120" w:after="120"/>
      </w:pPr>
      <w:r>
        <w:rPr>
          <w:sz w:val="18"/>
        </w:rPr>
        <w:t>——————————————————————————————————————————————————————————————————————</w:t>
      </w:r>
    </w:p>
    <w:p>
      <w:pPr>
        <w:spacing w:before="160" w:after="40" w:line="240" w:lineRule="auto"/>
      </w:pPr>
      <w:r>
        <w:rPr>
          <w:b/>
        </w:rPr>
        <w:t xml:space="preserve">[36] </w:t>
      </w:r>
      <w:hyperlink r:id="rId416">
        <w:r>
          <w:rPr>
            <w:color w:val="1155CC"/>
            <w:u w:val="single"/>
          </w:rPr>
          <w:t>通过Gd掺杂Cu 2 O调控界面水动力学实现高速率选择性CO 2制乙醇转化（Adv. Energy Mater. 33/2026）</w:t>
        </w:r>
      </w:hyperlink>
    </w:p>
    <w:p>
      <w:pPr>
        <w:spacing w:before="0" w:after="80"/>
      </w:pPr>
      <w:r>
        <w:rPr>
          <w:i/>
          <w:sz w:val="20"/>
        </w:rPr>
        <w:t>EN: Tuning Interfacial Water Dynamics via Gd‐Doped Cu 2 O for High‐Rate Selective CO 2 ‐to‐Ethanol Conversion (Adv. Energy Mater. 33/2026)</w:t>
      </w:r>
    </w:p>
    <w:p>
      <w:pPr>
        <w:spacing w:before="0" w:after="120"/>
      </w:pPr>
      <w:r>
        <w:rPr>
          <w:b/>
        </w:rPr>
        <w:t xml:space="preserve">Source: </w:t>
      </w:r>
      <w:r>
        <w:t>Advanced Energy Materials</w:t>
      </w:r>
      <w:r>
        <w:t xml:space="preserve">    </w:t>
      </w:r>
      <w:r>
        <w:rPr>
          <w:b/>
        </w:rPr>
        <w:t xml:space="preserve">Pub date: </w:t>
      </w:r>
      <w:r>
        <w:t>2026-09-03 00:00:00+00:00</w:t>
      </w:r>
      <w:r>
        <w:t xml:space="preserve">    </w:t>
      </w:r>
      <w:r>
        <w:rPr>
          <w:b/>
        </w:rPr>
        <w:t xml:space="preserve">DOI: </w:t>
      </w:r>
      <w:hyperlink r:id="rId416">
        <w:r>
          <w:rPr>
            <w:color w:val="1155CC"/>
            <w:u w:val="single"/>
          </w:rPr>
          <w:t>10.1002/aenm.71348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 </w:t>
      </w:r>
      <w:hyperlink r:id="rId411">
        <w:r>
          <w:rPr>
            <w:color w:val="1155CC"/>
            <w:u w:val="single"/>
          </w:rPr>
          <w:t>多吡啶配位基序作为有序碳质框架的前体用于高密度Ru单原子催化剂</w:t>
        </w:r>
      </w:hyperlink>
    </w:p>
    <w:p>
      <w:pPr>
        <w:spacing w:before="0" w:after="80"/>
      </w:pPr>
      <w:r>
        <w:rPr>
          <w:i/>
          <w:sz w:val="20"/>
        </w:rPr>
        <w:t>EN: Polypyridyl Coordination Motifs as Precursors for Ordered Carbonaceous Frameworks Toward High‐Density Ru Single‐Atom Catalysts</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411">
        <w:r>
          <w:rPr>
            <w:color w:val="1155CC"/>
            <w:u w:val="single"/>
          </w:rPr>
          <w:t>10.1002/anie.6197340</w:t>
        </w:r>
      </w:hyperlink>
    </w:p>
    <w:p>
      <w:pPr>
        <w:spacing w:before="0" w:after="120"/>
      </w:pPr>
      <w:r>
        <w:rPr>
          <w:b/>
        </w:rPr>
        <w:t xml:space="preserve">Notes: </w:t>
      </w:r>
      <w:r>
        <w:t>abstract_source=crossref</w:t>
      </w:r>
    </w:p>
    <w:p>
      <w:pPr>
        <w:spacing w:before="0" w:after="80" w:lineRule="auto" w:line="276"/>
      </w:pPr>
      <w:r>
        <w:rPr>
          <w:b/>
        </w:rPr>
        <w:t xml:space="preserve">摘要（ZH）: </w:t>
      </w:r>
      <w:r>
        <w:t>摘要 实现高密度单原子催化剂（SAC）仍然是一个基本挑战，特别是对于像钌这样在合成和催化条件下容易聚集的贵金属。在这里，我们报告了一种合理的前体设计策略，用于通过直接碳化制造高密度Ru SAC，产生高Ru负载量高达11.0 wt%的有序碳质骨架（Ru-OCF）。通过将OCF合成前体的范围从传统的大环配位基序扩展到配位柔性聚吡啶基配体，我们表明具有热聚合乙炔基单元的Ru-三联吡啶晶体可以作为将单原子Ru物质固定在三维多孔碳框架内的有效前体，无需金属聚集或合成后处理。所得的Ru-OCF保留了前体晶体的有序结构和配位环境，同时形成了具有高达670 m 2 g -1 的高比表面积的微孔性。作为概念证明，Ru-OCF 中的高密度孤立 Ru 位点能够增强液相 CO 2 加氢中的催化活性，实现高达 19 mmol g cat -1 h -1 的高甲酸生产率，优于代表性的纳米颗粒催化剂。</w:t>
      </w:r>
    </w:p>
    <w:p>
      <w:pPr>
        <w:spacing w:before="0" w:after="200" w:lineRule="auto" w:line="276"/>
      </w:pPr>
      <w:r>
        <w:rPr>
          <w:b/>
        </w:rPr>
        <w:t xml:space="preserve">Abstract (EN): </w:t>
      </w:r>
      <w:r>
        <w:t>Achieving high‐density single‐atom catalysts (SACs) remains a fundamental challenge, particularly for precious metals such as Ru that readily aggregate under synthetic and catalytic conditions. Here, we report a rational precursor design strategy for fabricating high‐density Ru SACs via direct carbonization, yielding ordered carbonaceous frameworks (Ru‐OCFs) with high Ru loadings of up to 11.0 wt%. By expanding the scope of precursors for OCF synthesis beyond conventional macrocyclic coordination motifs to coordinatively flexible polypyridyl ligands, we show that Ru‐terpyridine crystals with thermally polymerizable ethynyl units serve as effective precursors for immobilizing single‐atomic Ru species within three‐dimensional porous carbon frameworks, without metal aggregation or post‐synthetic treatments. The resulting Ru‐OCFs retain the ordered structure and coordination environment of the precursor crystals while simultaneously developing microporosity with high specific surface areas of up to 670 m 2 g −1 . As a proof of concept, the high‐density isolated Ru sites in Ru‐OCFs enable enhanced catalytic activity in liquid‐phase CO 2 hydrogenation, achieving a high formic acid productivity of up to 19 mmol g cat −1 h −1 , outperforming representative nanoparticle catalysts.</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417">
        <w:r>
          <w:rPr>
            <w:color w:val="1155CC"/>
            <w:u w:val="single"/>
          </w:rPr>
          <w:t>在多硫化物聚合物上进行直接光图案化以构建工程表面与防伪技术</w:t>
        </w:r>
      </w:hyperlink>
    </w:p>
    <w:p>
      <w:pPr>
        <w:spacing w:before="0" w:after="80"/>
      </w:pPr>
      <w:r>
        <w:rPr>
          <w:i/>
          <w:sz w:val="20"/>
        </w:rPr>
        <w:t>EN: Direct Photopatterning on Polysulfide Polymers for Engineered Surfaces and Anti-Counterfeiting Technology</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417">
        <w:r>
          <w:rPr>
            <w:color w:val="1155CC"/>
            <w:u w:val="single"/>
          </w:rPr>
          <w:t>10.1021/acsami.6c08290</w:t>
        </w:r>
      </w:hyperlink>
    </w:p>
    <w:p>
      <w:pPr>
        <w:spacing w:before="0" w:after="120"/>
      </w:pPr>
      <w:r>
        <w:rPr>
          <w:b/>
        </w:rPr>
        <w:t xml:space="preserve">Notes: </w:t>
      </w:r>
      <w:r>
        <w:t>abstract_source=crossref</w:t>
      </w:r>
    </w:p>
    <w:p>
      <w:pPr>
        <w:spacing w:before="0" w:after="80" w:lineRule="auto" w:line="276"/>
      </w:pPr>
      <w:r>
        <w:rPr>
          <w:b/>
        </w:rPr>
        <w:t xml:space="preserve">摘要（ZH）: </w:t>
      </w:r>
      <w:r>
        <w:t>摘要 激光改性聚合物表面在许多领域至关重要，包括自清洁材料、微电子学和生物医学研究。尽管这类改性聚合物用途广泛，但要获得它们需要昂贵或复杂的材料以及多步制备、掩膜和清洗过程。在此，我们提出一种简单直接的激光写入方法，可在通过逆向硫化制备的聚硫聚合物表面创建多样化、稳定且高度复杂的图案。关键创新在于通过精确控制激光辐照时间实现聚合物表面的空间工程与图案化。该聚合物类玻璃体（vitrimer）的 S–S 键网络能够以高保真度和长期稳定性保存复杂的表面图案。线条、点阵、沟道、网格、液滴形、棋盘格和鱼鳞形等图案均可可靠且重复地制备，凸显了该材料稳健而多样的图案化能力。通过将纳米级热压模板与激光改性相结合，还可实现分级结构图案。这种图案化多样性可调控疏水性、实现金颗粒的模板化自组装，并构建精确的微米级光学结构，包括衍射元件和动态光学条形码，在防伪领域具有应用潜力。</w:t>
      </w:r>
    </w:p>
    <w:p>
      <w:pPr>
        <w:spacing w:before="0" w:after="200" w:lineRule="auto" w:line="276"/>
      </w:pPr>
      <w:r>
        <w:rPr>
          <w:b/>
        </w:rPr>
        <w:t xml:space="preserve">Abstract (EN): </w:t>
      </w:r>
      <w:r>
        <w:t>Laser modification of polymer surfaces is critical in many contexts, including self-cleaning materials, microelectronics, and biomedical research. Despite their utility, accessing these modified polymers requires expensive or complex materials and multistep fabrication, masking, and washing processes. Here, we present a simple and direct laser writing method for creating diverse, stable, and highly complex patterns on a polysulfide polymer made by inverse vulcanization. The key innovation is the spatial engineering and patterning of the polymer surface by precise control of the laser irradiation time. The polymer’s vitrimer-like S–S bond network preserves complex surface patterns with high fidelity and long-term stability. Motifs such as lines, dots, channels, grids, teardrops, checkerboards, and fish scales were reliably and repeatedly created, highlighting the material’s robust and versatile patterning capabilities. Hierarchical patterns could also be achieved by combining nanoscale hot-press templating with laser modification. This patterning versatility allows modulation of hydrophobicity, templated self-assembly of gold particles, and precise micrometer-scale optical structures, including diffraction elements and dynamic optical barcodes, with potential for anti-counterfeiting applications.</w:t>
      </w:r>
    </w:p>
    <w:p>
      <w:pPr>
        <w:spacing w:before="120" w:after="120"/>
      </w:pPr>
      <w:r>
        <w:rPr>
          <w:sz w:val="18"/>
        </w:rPr>
        <w:t>——————————————————————————————————————————————————————————————————————</w:t>
      </w:r>
    </w:p>
    <w:p>
      <w:pPr>
        <w:spacing w:before="160" w:after="40" w:line="240" w:lineRule="auto"/>
      </w:pPr>
      <w:r>
        <w:rPr>
          <w:b/>
        </w:rPr>
        <w:t xml:space="preserve">[2] </w:t>
      </w:r>
      <w:hyperlink r:id="rId418">
        <w:r>
          <w:rPr>
            <w:color w:val="1155CC"/>
            <w:u w:val="single"/>
          </w:rPr>
          <w:t>面向脱碳的塑料制合成燃料与化学品的环境及技术经济评估综述</w:t>
        </w:r>
      </w:hyperlink>
    </w:p>
    <w:p>
      <w:pPr>
        <w:spacing w:before="0" w:after="80"/>
      </w:pPr>
      <w:r>
        <w:rPr>
          <w:i/>
          <w:sz w:val="20"/>
        </w:rPr>
        <w:t>EN: A review of environmental and techno-economic assessments of plastics to synthetic fuels and chemicals towards decarbonization</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419">
        <w:r>
          <w:rPr>
            <w:color w:val="1155CC"/>
            <w:u w:val="single"/>
          </w:rPr>
          <w:t>10.1016/j.apenergy.2026.128711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420">
        <w:r>
          <w:rPr>
            <w:color w:val="1155CC"/>
            <w:u w:val="single"/>
          </w:rPr>
          <w:t>聚甲基丙烯酸酯的低温热解聚</w:t>
        </w:r>
      </w:hyperlink>
    </w:p>
    <w:p>
      <w:pPr>
        <w:spacing w:before="0" w:after="80"/>
      </w:pPr>
      <w:r>
        <w:rPr>
          <w:i/>
          <w:sz w:val="20"/>
        </w:rPr>
        <w:t>EN: Low-Temperature Thermal Depolymerization of Polymethacrylates</w:t>
      </w:r>
    </w:p>
    <w:p>
      <w:pPr>
        <w:spacing w:before="0" w:after="120"/>
      </w:pPr>
      <w:r>
        <w:rPr>
          <w:b/>
        </w:rPr>
        <w:t xml:space="preserve">Source: </w:t>
      </w:r>
      <w:r>
        <w:t>Journal of the American Chemical Society</w:t>
      </w:r>
      <w:r>
        <w:t xml:space="preserve">    </w:t>
      </w:r>
      <w:r>
        <w:rPr>
          <w:b/>
        </w:rPr>
        <w:t xml:space="preserve">Pub date: </w:t>
      </w:r>
      <w:r>
        <w:t>2026-08-29 00:00:00+00:00</w:t>
      </w:r>
      <w:r>
        <w:t xml:space="preserve">    </w:t>
      </w:r>
      <w:r>
        <w:rPr>
          <w:b/>
        </w:rPr>
        <w:t xml:space="preserve">DOI: </w:t>
      </w:r>
      <w:hyperlink r:id="rId420">
        <w:r>
          <w:rPr>
            <w:color w:val="1155CC"/>
            <w:u w:val="single"/>
          </w:rPr>
          <w:t>10.1021/jacs.6c13508</w:t>
        </w:r>
      </w:hyperlink>
    </w:p>
    <w:p>
      <w:pPr>
        <w:spacing w:before="0" w:after="120"/>
      </w:pPr>
      <w:r>
        <w:rPr>
          <w:b/>
        </w:rPr>
        <w:t xml:space="preserve">Notes: </w:t>
      </w:r>
      <w:r>
        <w:t>abstract_source=crossref</w:t>
      </w:r>
    </w:p>
    <w:p>
      <w:pPr>
        <w:spacing w:before="0" w:after="80" w:lineRule="auto" w:line="276"/>
      </w:pPr>
      <w:r>
        <w:rPr>
          <w:b/>
        </w:rPr>
        <w:t xml:space="preserve">摘要（ZH）: </w:t>
      </w:r>
      <w:r>
        <w:t>摘要 聚甲基丙烯酸甲酯（PMMA）的化学回收通常需要高能耗的热解（&gt;450 °C）或受光穿透深度限制的专用光化学装置。本文中，我们报道了一种纯热、低温策略，使用商业易得的过氧化物在170 °C下驱动天然未改性PMMA的高效解聚。通过维持低稳态自由基浓度，可完全消除低聚物的生成，在精心优化的条件下再生单体收率超过95%。机理研究和蒸气捕获实验表明存在双活化路径，其中烷氧自由基与高活性氯自由基协同作用，后者与聚合物主链发生高效的氢原子转移，导致链断裂并随后解聚为单体。也可以完全不使用氯化溶剂，但温度略高。值得注意的是，通过直接解聚商用Plexiglas（尽管其中存在共聚单体、颜料和添加剂）验证了该体系的实际应用价值。</w:t>
      </w:r>
    </w:p>
    <w:p>
      <w:pPr>
        <w:spacing w:before="0" w:after="200" w:lineRule="auto" w:line="276"/>
      </w:pPr>
      <w:r>
        <w:rPr>
          <w:b/>
        </w:rPr>
        <w:t xml:space="preserve">Abstract (EN): </w:t>
      </w:r>
      <w:r>
        <w:t>The chemical recycling of poly(methyl methacrylate) (PMMA) typically requires energy-intensive pyrolysis (&gt;450 °C) or specialized photochemical setups restricted by light penetration depth. Herein, we report a purely thermal, low-temperature strategy that drives the efficient depolymerization of native, unaltered PMMA at 170 °C using commercially accessible peroxides. By maintaining a low steady-state radical concentration, oligomer formation can be fully eliminated, resulting in &gt;95% of regenerated monomer under judiciously optimized conditions. Mechanistic studies and vapor-trapping experiments implicate a dual-activation pathway, where alkoxy radicals work alongside highly reactive chlorine radicals that undergo efficient hydrogen atom transfer with the polymer backbone, resulting in chain scission and subsequent depropagation to monomer. The full omission of chlorinated solvents could also be achieved, albeit at slightly higher temperatures. Notably, the real-world utility of this system is demonstrated by the direct depolymerization of commercial Plexiglas, despite the presence of comonomers, pigments, and additives.</w:t>
      </w:r>
    </w:p>
    <w:p>
      <w:pPr>
        <w:spacing w:before="120" w:after="120"/>
      </w:pPr>
      <w:r>
        <w:rPr>
          <w:sz w:val="18"/>
        </w:rPr>
        <w:t>——————————————————————————————————————————————————————————————————————</w:t>
      </w:r>
    </w:p>
    <w:p>
      <w:pPr>
        <w:spacing w:before="160" w:after="40" w:line="240" w:lineRule="auto"/>
      </w:pPr>
      <w:r>
        <w:rPr>
          <w:b/>
        </w:rPr>
        <w:t xml:space="preserve">[4] </w:t>
      </w:r>
      <w:hyperlink r:id="rId421">
        <w:r>
          <w:rPr>
            <w:color w:val="1155CC"/>
            <w:u w:val="single"/>
          </w:rPr>
          <w:t>用于循环3D打印的可见光介导光点击与热可逆呋喃二硫缩醛化学</w:t>
        </w:r>
      </w:hyperlink>
    </w:p>
    <w:p>
      <w:pPr>
        <w:spacing w:before="0" w:after="80"/>
      </w:pPr>
      <w:r>
        <w:rPr>
          <w:i/>
          <w:sz w:val="20"/>
        </w:rPr>
        <w:t>EN: Visible Light‐Mediated Photoclick and Thermally Reversible Furanic Dithioacetal Chemistry for Circular 3D Printing</w:t>
      </w:r>
    </w:p>
    <w:p>
      <w:pPr>
        <w:spacing w:before="0" w:after="120"/>
      </w:pPr>
      <w:r>
        <w:rPr>
          <w:b/>
        </w:rPr>
        <w:t xml:space="preserve">Source: </w:t>
      </w:r>
      <w:r>
        <w:t>Wiley: Angewandte Chemie International Edition: Table of Contents</w:t>
      </w:r>
      <w:r>
        <w:t xml:space="preserve">    </w:t>
      </w:r>
      <w:r>
        <w:rPr>
          <w:b/>
        </w:rPr>
        <w:t xml:space="preserve">Pub date: </w:t>
      </w:r>
      <w:r>
        <w:t>2026-08-29 05:45:41+00:00</w:t>
      </w:r>
      <w:r>
        <w:t xml:space="preserve">    </w:t>
      </w:r>
      <w:r>
        <w:rPr>
          <w:b/>
        </w:rPr>
        <w:t xml:space="preserve">DOI: </w:t>
      </w:r>
      <w:hyperlink r:id="rId422">
        <w:r>
          <w:rPr>
            <w:color w:val="1155CC"/>
            <w:u w:val="single"/>
          </w:rPr>
          <w:t>10.1002/anie.3093462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点击化学因其快速、选择性以及时空可控的成键能力，已成为光固化3D打印的关键技术。然而，要迈向循环制造，还需要光点击体系同时具备热可逆的断键能力以实现材料回收。为满足这一需求，我们报道了一种基于呋喃二硫缩醛的光点击平台，将可见光诱导聚合与固有的热可逆性相结合。这些单体源自生物基呋喃醛和硫醇，为无溶剂液体，可确保适合3D打印的均匀配方。为解决传统光催化剂的光谱不匹配问题，我们研究了一种基于噻吨酮的光酸体系，使其在兼容商品化数字光处理(DLP)打印的可见光下实现高效成键。所得聚合物网络具有可调的交联密度，可精确调控力学性能。至关重要的是，动态的呋喃二硫缩醛连接使打印材料能够解聚为可再打印的低聚物，且经过多次回收循环后性能无损失。这项工作建立了一种化学集成策略，统一了可见光可加工性、无溶剂配方、生物基来源和闭环可回收性，为循环光聚合物平台奠定了坚实基础。</w:t>
      </w:r>
    </w:p>
    <w:p>
      <w:pPr>
        <w:spacing w:before="0" w:after="200" w:lineRule="auto" w:line="276"/>
      </w:pPr>
      <w:r>
        <w:rPr>
          <w:b/>
        </w:rPr>
        <w:t xml:space="preserve">Abstract (EN): </w:t>
      </w:r>
      <w:r>
        <w:t>Photoclick chemistry has become essential for photocurable 3D printing due to its rapid, selective, and spatiotemporally controlled bond formation. Advancing toward circular manufacturing, however, requires photoclick systems that also enable thermally reversible bond cleavage for material recycling. To meet this requirement, we report a furanic dithioacetal‐based photoclick platform that integrates visible‐light‐induced polymerization with intrinsic thermal reversibility. The monomers, derived from bio‐based furanic aldehydes and thiols, are solvent‐free liquids, ensuring homogeneous formulations well‐suited for 3D printing. To address the spectral mismatch of conventional photocatalysts, a thioxanthone‐based photoacid system is investigated, enabling efficient bond formation under visible light compatible with commercial digital light processing (DLP) printing. The resulting polymer networks exhibit tunable crosslinking densities, allowing precise control over mechanical properties. Crucially, the dynamic furanic dithioacetal linkages enable depolymerization of the printed materials into re‐printable oligomers, with no loss of performance over multiple recycling cycles. This work establishes a chemically integrated strategy that unifies visible‐light processability, solvent‐free formulation, bio‐based origin, and closed‐loop recyclability, thus establishing a robust foundation for circular photopolymer platforms.</w:t>
      </w:r>
    </w:p>
    <w:p>
      <w:pPr>
        <w:spacing w:before="120" w:after="120"/>
      </w:pPr>
      <w:r>
        <w:rPr>
          <w:sz w:val="18"/>
        </w:rPr>
        <w:t>——————————————————————————————————————————————————————————————————————</w:t>
      </w:r>
    </w:p>
    <w:p>
      <w:pPr>
        <w:spacing w:before="160" w:after="40" w:line="240" w:lineRule="auto"/>
      </w:pPr>
      <w:r>
        <w:rPr>
          <w:b/>
        </w:rPr>
        <w:t xml:space="preserve">[5] </w:t>
      </w:r>
      <w:hyperlink r:id="rId423">
        <w:r>
          <w:rPr>
            <w:color w:val="1155CC"/>
            <w:u w:val="single"/>
          </w:rPr>
          <w:t>自给自足的氢转移将塑料升级回收与生物质高值化利用相结合</w:t>
        </w:r>
      </w:hyperlink>
    </w:p>
    <w:p>
      <w:pPr>
        <w:spacing w:before="0" w:after="80"/>
      </w:pPr>
      <w:r>
        <w:rPr>
          <w:i/>
          <w:sz w:val="20"/>
        </w:rPr>
        <w:t>EN: Self-sufficient hydrogen transfer integrates plastic upcycling with biomass valorization</w:t>
      </w:r>
    </w:p>
    <w:p>
      <w:pPr>
        <w:spacing w:before="0" w:after="120"/>
      </w:pPr>
      <w:r>
        <w:rPr>
          <w:b/>
        </w:rPr>
        <w:t xml:space="preserve">Source: </w:t>
      </w:r>
      <w:r>
        <w:t>National Science Review Advance Access</w:t>
      </w:r>
      <w:r>
        <w:t xml:space="preserve">    </w:t>
      </w:r>
      <w:r>
        <w:rPr>
          <w:b/>
        </w:rPr>
        <w:t xml:space="preserve">Pub date: </w:t>
      </w:r>
      <w:r>
        <w:t>2026-08-31 00:00:00+00:00</w:t>
      </w:r>
      <w:r>
        <w:t xml:space="preserve">    </w:t>
      </w:r>
      <w:r>
        <w:rPr>
          <w:b/>
        </w:rPr>
        <w:t xml:space="preserve">DOI: </w:t>
      </w:r>
      <w:hyperlink r:id="rId424">
        <w:r>
          <w:rPr>
            <w:color w:val="1155CC"/>
            <w:u w:val="single"/>
          </w:rPr>
          <w:t>10.1093/nsr/nwag557</w:t>
        </w:r>
      </w:hyperlink>
    </w:p>
    <w:p>
      <w:pPr>
        <w:spacing w:before="0" w:after="120"/>
      </w:pPr>
      <w:r>
        <w:rPr>
          <w:b/>
        </w:rPr>
        <w:t xml:space="preserve">Notes: </w:t>
      </w:r>
      <w:r>
        <w:t>abstract_source=rss_oup</w:t>
      </w:r>
    </w:p>
    <w:p>
      <w:pPr>
        <w:spacing w:before="0" w:after="80" w:lineRule="auto" w:line="276"/>
      </w:pPr>
      <w:r>
        <w:rPr>
          <w:b/>
        </w:rPr>
        <w:t xml:space="preserve">摘要（ZH）: </w:t>
      </w:r>
      <w:r>
        <w:t>废塑料和生物质是丰富的可再生碳资源，但由于低效的回收和资源化策略，两者的利用率仍然不足。在此，我们提出一种化学计量自给自足的氢转移平台，无需外部氢气或还原剂，直接将含氧塑料的资源化与生物质衍生物的还原升级相结合。负载于金红石上的双功能RuPd催化剂介导从塑料（如聚对苯二甲酸乙二醇酯（PET）、聚乳酸（PLA）和聚甲醛（POM））向生物质衍生底物（如乙酰丙酸（LA）和愈创木酚）的选择性氢转移。在温和的水相条件下，该体系以高选择性生成γ-戊内酯（86%）和对苯二甲酸（95%），具有广泛的底物适用范围，并对真实废物流具有稳健的兼容性。基于多个功能单位的生命周期评估表明，该路线相较传统路线具有一致的环境效益，包括温室气体排放降低21–41%，同时减少资源稀缺和生态系统质量影响。这种自给自足的氢转移策略建立了一个模块化合成平台，在单一催化体系中统一了塑料升级回收、制氢和生物质资源化，为以废料衍生原料互补反应性驱动的高级合成精炼厂提供了蓝图。</w:t>
      </w:r>
    </w:p>
    <w:p>
      <w:pPr>
        <w:spacing w:before="0" w:after="200" w:lineRule="auto" w:line="276"/>
      </w:pPr>
      <w:r>
        <w:rPr>
          <w:b/>
        </w:rPr>
        <w:t xml:space="preserve">Abstract (EN): </w:t>
      </w:r>
      <w:r>
        <w:t>Waste plastics and biomass represent abundant renewable carbon resources, yet both remain underutilized due to inefficient recycling and valorization strategies. Here, we present a stoichiometrically self-sufficient hydrogen-transfer platform that directly integrates the valorization of oxygenated plastics with the reductive upgrading of biomass derivatives without external hydrogen or reductants. A bifunctional RuPd catalyst supported on rutile mediates selective hydrogen transfer from plastics, such as polyethylene terephthalate (PET), polylactic acid (PLA), and polyoxymethylene (POM), to biomass-derived substrates such as levulinic acid (LA) and guaiacol. Under mild aqueous conditions, the system delivers γ-valerolactone (86%) and terephthalic acid (95%) with high selectivity, a diverse substrate scope, and robust compatibility with real waste streams. Life cycle assessment across multiple functional units demonstrates consistent environmental benefits over conventional routes, including 21–41% lower greenhouse-gas emissions together with reduced resource scarcity and ecosystem-quality impacts. This self-sufficient hydrogen-transfer strategy establishes a modular synthesis platform that unifies plastic upcycling, hydrogen generation, and biomass valorization within a single catalytic system, providing a blueprint for advanced synthetic refineries powered by the complementary reactivity of waste-derived feedstocks.</w:t>
      </w:r>
    </w:p>
    <w:p>
      <w:pPr>
        <w:spacing w:before="120" w:after="120"/>
      </w:pPr>
      <w:r>
        <w:rPr>
          <w:sz w:val="18"/>
        </w:rPr>
        <w:t>——————————————————————————————————————————————————————————————————————</w:t>
      </w:r>
    </w:p>
    <w:p>
      <w:pPr>
        <w:spacing w:before="160" w:after="40" w:line="240" w:lineRule="auto"/>
      </w:pPr>
      <w:r>
        <w:rPr>
          <w:b/>
        </w:rPr>
        <w:t xml:space="preserve">[6] </w:t>
      </w:r>
      <w:hyperlink r:id="rId425">
        <w:r>
          <w:rPr>
            <w:color w:val="1155CC"/>
            <w:u w:val="single"/>
          </w:rPr>
          <w:t>有序高熵金属间化合物中的电荷限域打破聚对苯二甲酸乙二醇酯电合成羟基乙酸的活性-中毒权衡</w:t>
        </w:r>
      </w:hyperlink>
    </w:p>
    <w:p>
      <w:pPr>
        <w:spacing w:before="0" w:after="80"/>
      </w:pPr>
      <w:r>
        <w:rPr>
          <w:i/>
          <w:sz w:val="20"/>
        </w:rPr>
        <w:t>EN: Charge Confinement in an Ordered High‐Entropy Intermetallic Breaks the Activity‐Poisoning Trade‑Off for Glycolic Acid Electrosynthesis From Polyethylene Terephthalate</w:t>
      </w:r>
    </w:p>
    <w:p>
      <w:pPr>
        <w:spacing w:before="0" w:after="120"/>
      </w:pPr>
      <w:r>
        <w:rPr>
          <w:b/>
        </w:rPr>
        <w:t xml:space="preserve">Source: </w:t>
      </w:r>
      <w:r>
        <w:t>Wiley: Advanced Materials: Table of Contents</w:t>
      </w:r>
      <w:r>
        <w:t xml:space="preserve">    </w:t>
      </w:r>
      <w:r>
        <w:rPr>
          <w:b/>
        </w:rPr>
        <w:t xml:space="preserve">Pub date: </w:t>
      </w:r>
      <w:r>
        <w:t>2026-08-31 13:34:53+00:00</w:t>
      </w:r>
      <w:r>
        <w:t xml:space="preserve">    </w:t>
      </w:r>
      <w:r>
        <w:rPr>
          <w:b/>
        </w:rPr>
        <w:t xml:space="preserve">DOI: </w:t>
      </w:r>
      <w:hyperlink r:id="rId426">
        <w:r>
          <w:rPr>
            <w:color w:val="1155CC"/>
            <w:u w:val="single"/>
          </w:rPr>
          <w:t>10.1002/adma.74877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聚对苯二甲酸乙二醇酯（PET）水解液中的乙二醇（EG）选择性电氧化为乙醇酸（GA）为塑料升级回收提供了一条可持续路线，但该过程受限于工业相关电流密度下活性不足以及中毒中间体引起的严重催化剂失活。在此，我们基于Pd1In1型体心立方框架设计了一种二维有序高熵金属间化合物HEI (PdPtRh)(InBi)ene。有序晶格诱导显著的p-d杂化和电荷重新分布，从而在活性位点产生电荷限域效应。原位红外光谱、CO溶出和理论计算表明，这种限域电子环境可精确调控关键中毒中间体*COCH2OH的演变，削弱其积累的同时保持高效的EG活化。因此，HEI (PdPtRh)(InBi)ene在PET水解液（PETH）中于0.9 V下实现了554.21 mA cm−2的电流密度。此外，它在流通池中以200 mA cm−2的工业相关电流密度稳定运行90 h，平均GA法拉第效率为99.22%，平均GA产率为1.85 mmol h−1。</w:t>
      </w:r>
    </w:p>
    <w:p>
      <w:pPr>
        <w:spacing w:before="0" w:after="200" w:lineRule="auto" w:line="276"/>
      </w:pPr>
      <w:r>
        <w:rPr>
          <w:b/>
        </w:rPr>
        <w:t xml:space="preserve">Abstract (EN): </w:t>
      </w:r>
      <w:r>
        <w:t>Selective electrooxidation of ethylene glycol (EG) from polyethylene terephthalate (PET) hydrolysate to glycolic acid (GA) offers a sustainable route for plastic upcycling but is hindered by insufficient activity at industrially relevant current densities and severe catalyst deactivation caused by poisoning intermediates. Here, we design a two‐dimensional ordered high‐entropy intermetallic, HEI (PdPtRh)(InBi)ene, based on a Pd</w:t>
      </w:r>
      <w:r>
        <w:rPr>
          <w:vertAlign w:val="subscript"/>
        </w:rPr>
        <w:t>1</w:t>
      </w:r>
      <w:r>
        <w:t>In</w:t>
      </w:r>
      <w:r>
        <w:rPr>
          <w:vertAlign w:val="subscript"/>
        </w:rPr>
        <w:t>1</w:t>
      </w:r>
      <w:r>
        <w:t>‐type body‐centered‐cubic framework. The ordered lattice induces pronounced</w:t>
      </w:r>
      <w:r>
        <w:t xml:space="preserve"> </w:t>
      </w:r>
      <w:r>
        <w:t>p‐</w:t>
      </w:r>
      <w:r>
        <w:t xml:space="preserve"> </w:t>
      </w:r>
      <w:r>
        <w:t>‐</w:t>
      </w:r>
      <w:r>
        <w:t xml:space="preserve"> </w:t>
      </w:r>
      <w:r>
        <w:t>d</w:t>
      </w:r>
      <w:r>
        <w:t xml:space="preserve"> </w:t>
      </w:r>
      <w:r>
        <w:t>hybridization and charge redistribution, giving rise to a charge‐confinement effect at the active sites. Operando infrared spectroscopy, CO stripping, and theoretical calculations reveal that this confined electronic environment precisely regulates the evolution of the key poisoning intermediate *COCH</w:t>
      </w:r>
      <w:r>
        <w:rPr>
          <w:vertAlign w:val="subscript"/>
        </w:rPr>
        <w:t>2</w:t>
      </w:r>
      <w:r>
        <w:t>OH, weakening its accumulation while preserving efficient EG activation. As a result, HEI (PdPtRh)(InBi)ene achieves a current density of 554.21 mA cm</w:t>
      </w:r>
      <w:r>
        <w:t xml:space="preserve"> </w:t>
      </w:r>
      <w:r>
        <w:t>−2</w:t>
      </w:r>
      <w:r>
        <w:t xml:space="preserve"> </w:t>
      </w:r>
      <w:r>
        <w:t>at 0.9 V in PET hydrolysate (PETH). Furthermore, it maintains stable operation for 90 h in a flow cell at an industrially relevant current density of 200 mA cm</w:t>
      </w:r>
      <w:r>
        <w:t xml:space="preserve"> </w:t>
      </w:r>
      <w:r>
        <w:t>−2</w:t>
      </w:r>
      <w:r>
        <w:t xml:space="preserve"> </w:t>
      </w:r>
      <w:r>
        <w:t>, delivering an average GA Faradaic efficiency of 99.22% and an average GA production rate of 1.85 mmol h</w:t>
      </w:r>
      <w:r>
        <w:t xml:space="preserve"> </w:t>
      </w:r>
      <w:r>
        <w:t>−1</w:t>
      </w:r>
      <w:r>
        <w:t xml:space="preserve"> </w:t>
      </w:r>
      <w:r>
        <w:t>cm</w:t>
      </w:r>
      <w:r>
        <w:t xml:space="preserve"> </w:t>
      </w:r>
      <w:r>
        <w:t>−2</w:t>
      </w:r>
      <w:r>
        <w:t xml:space="preserve"> </w:t>
      </w:r>
      <w:r>
        <w:t>. These findings demonstrate charge‐confinement engineering as an effective route to regulate poisoning‐intermediate behavior in electrocatalytic alcohol oxidation.</w:t>
      </w:r>
    </w:p>
    <w:p>
      <w:pPr>
        <w:spacing w:before="120" w:after="120"/>
      </w:pPr>
      <w:r>
        <w:rPr>
          <w:sz w:val="18"/>
        </w:rPr>
        <w:t>——————————————————————————————————————————————————————————————————————</w:t>
      </w:r>
    </w:p>
    <w:p>
      <w:pPr>
        <w:spacing w:before="160" w:after="40" w:line="240" w:lineRule="auto"/>
      </w:pPr>
      <w:r>
        <w:rPr>
          <w:b/>
        </w:rPr>
        <w:t xml:space="preserve">[7] </w:t>
      </w:r>
      <w:hyperlink r:id="rId427">
        <w:r>
          <w:rPr>
            <w:color w:val="1155CC"/>
            <w:u w:val="single"/>
          </w:rPr>
          <w:t>液态金属颗粒中Gaδ+/Ga0协同活性位点促进聚氯乙烯（PVC）催化脱氯与H2生成</w:t>
        </w:r>
      </w:hyperlink>
    </w:p>
    <w:p>
      <w:pPr>
        <w:spacing w:before="0" w:after="80"/>
      </w:pPr>
      <w:r>
        <w:rPr>
          <w:i/>
          <w:sz w:val="20"/>
        </w:rPr>
        <w:t>EN: Enhanced Catalytic Dechlorination of Polyvinyl Chloride (PVC) and H2 Production Enabled by Synergistic Gaδ+/Ga0 Active Sites in Liquid Metal Particles</w:t>
      </w:r>
    </w:p>
    <w:p>
      <w:pPr>
        <w:spacing w:before="0" w:after="120"/>
      </w:pPr>
      <w:r>
        <w:rPr>
          <w:b/>
        </w:rPr>
        <w:t xml:space="preserve">Source: </w:t>
      </w:r>
      <w:r>
        <w:t>Journal of the American Chemical Society: Latest Articles (ACS Publications)</w:t>
      </w:r>
      <w:r>
        <w:t xml:space="preserve">    </w:t>
      </w:r>
      <w:r>
        <w:rPr>
          <w:b/>
        </w:rPr>
        <w:t xml:space="preserve">Pub date: </w:t>
      </w:r>
      <w:r>
        <w:t>2026-09-02 00:00:00+00:00</w:t>
      </w:r>
      <w:r>
        <w:t xml:space="preserve">    </w:t>
      </w:r>
      <w:r>
        <w:rPr>
          <w:b/>
        </w:rPr>
        <w:t xml:space="preserve">DOI: </w:t>
      </w:r>
      <w:hyperlink r:id="rId428">
        <w:r>
          <w:rPr>
            <w:color w:val="1155CC"/>
            <w:u w:val="single"/>
          </w:rPr>
          <w:t>10.1021/jacs.6c09418</w:t>
        </w:r>
      </w:hyperlink>
    </w:p>
    <w:p>
      <w:pPr>
        <w:spacing w:before="0" w:after="120"/>
      </w:pPr>
      <w:r>
        <w:rPr>
          <w:b/>
        </w:rPr>
        <w:t xml:space="preserve">Notes: </w:t>
      </w:r>
      <w:r>
        <w:t>abstract_source=crossref</w:t>
      </w:r>
    </w:p>
    <w:p>
      <w:pPr>
        <w:spacing w:before="0" w:after="80" w:lineRule="auto" w:line="276"/>
      </w:pPr>
      <w:r>
        <w:rPr>
          <w:b/>
        </w:rPr>
        <w:t xml:space="preserve">摘要（ZH）: </w:t>
      </w:r>
      <w:r>
        <w:t>摘要 聚氯乙烯（PVC）无处不在，但由于其在250 °C以上易热分解并释放有毒、腐蚀性的氯化物且无法熔融而难以回收。本文报道了一种在160 °C下利用具有动态Ga-GaOOH核壳结构的镓液态金属颗粒（Ga-LMP）进行PVC升级回收的催化策略。这些催化剂可实现同时脱氯和析氢，生成高达7%的H2（以PVC中初始氢原子计），以及高度脱氯（&gt;95%）的碳质固体和水相HCl。结合X射线光电子能谱、红外光谱、固态核磁共振、非弹性中子散射和从头算分子动力学的机理研究揭示了GaOOH壳层中Gaδ+位点与核心中金属Ga0之间的协同作用。阳离子Ga引发C–Cl键活化和HCl生成，而壳层的逐渐还原暴露出Ga0位点，促进C–H活化和H2析出。用Ga盐和块体Ga液态金属进行的对照实验证实，单独任一氧化态均无法高效实现这两种转化。本研究建立了液态金属催化的动态双位点范式，其中氧化物种和金属物种的原位演化与共存实现了顺序且协同的键活化路径。这些发现为在温和条件下针对具有挑战性的聚合物转化的新型液态金属催化剂提供了通用设计原则。</w:t>
      </w:r>
    </w:p>
    <w:p>
      <w:pPr>
        <w:spacing w:before="0" w:after="200" w:lineRule="auto" w:line="276"/>
      </w:pPr>
      <w:r>
        <w:rPr>
          <w:b/>
        </w:rPr>
        <w:t xml:space="preserve">Abstract (EN): </w:t>
      </w:r>
      <w:r>
        <w:t>Polyvinyl chloride (PVC) is ubiquitous yet challenging to recycle due to its tendency to thermally decompose above 250 °C, releasing toxic, corrosive chlorinated compounds, and its inability to melt. Here, we report a catalytic strategy for PVC upcycling at 160 °C using gallium liquid metal particles (Ga-LMP) featuring a dynamic Ga-GaOOH core–shell architecture. These catalysts enable concurrent dechlorination and hydrogen evolution, yielding up to 7% H2 (based on initial hydrogen atoms in PVC) along with a highly dechlorinated (&gt;95%) carbonaceous solid and aqueous HCl. Mechanistic investigations combining X-ray photoelectron spectroscopy, infrared spectroscopy, solid-state NMR, inelastic neutron scattering, and ab initio molecular dynamics reveal a synergistic interplay between Gaδ+ sites in the GaOOH shell and metallic Ga0 in the core. Cationic Ga initiates C–Cl bond activation and HCl formation, while progressive reduction of the shell exposes Ga0 sites that promote C–H activation and H2 evolution. Control experiments with a Ga salt and bulk Ga liquid metal confirmed that neither oxidation state alone can achieve both transformations efficiently. This work establishes a dynamic dual-site paradigm for liquid metal catalysis, in which the in situ evolution and coexistence of oxidized and metallic species enable sequential and cooperative bond activation pathways. These findings provide a general design principle for novel liquid metal catalysts that target challenging polymer transformations under mild conditions.</w:t>
      </w:r>
    </w:p>
    <w:p>
      <w:pPr>
        <w:spacing w:before="120" w:after="120"/>
      </w:pPr>
      <w:r>
        <w:rPr>
          <w:sz w:val="18"/>
        </w:rPr>
        <w:t>——————————————————————————————————————————————————————————————————————</w:t>
      </w:r>
    </w:p>
    <w:p>
      <w:pPr>
        <w:spacing w:before="160" w:after="40" w:line="240" w:lineRule="auto"/>
      </w:pPr>
      <w:r>
        <w:rPr>
          <w:b/>
        </w:rPr>
        <w:t xml:space="preserve">[8] </w:t>
      </w:r>
      <w:hyperlink r:id="rId428">
        <w:r>
          <w:rPr>
            <w:color w:val="1155CC"/>
            <w:u w:val="single"/>
          </w:rPr>
          <w:t>液态金属颗粒中Gaδ+/Ga0协同活性位点促进聚氯乙烯（PVC）催化脱氯与H2生成</w:t>
        </w:r>
      </w:hyperlink>
    </w:p>
    <w:p>
      <w:pPr>
        <w:spacing w:before="0" w:after="80"/>
      </w:pPr>
      <w:r>
        <w:rPr>
          <w:i/>
          <w:sz w:val="20"/>
        </w:rPr>
        <w:t>EN: Enhanced Catalytic Dechlorination of Polyvinyl Chloride (PVC) and H2 Production Enabled by Synergistic Gaδ+/Ga0 Active Sites in Liquid Metal Particles</w:t>
      </w:r>
    </w:p>
    <w:p>
      <w:pPr>
        <w:spacing w:before="0" w:after="120"/>
      </w:pPr>
      <w:r>
        <w:rPr>
          <w:b/>
        </w:rPr>
        <w:t xml:space="preserve">Source: </w:t>
      </w:r>
      <w:r>
        <w:t>Journal of the American Chemical Society</w:t>
      </w:r>
      <w:r>
        <w:t xml:space="preserve">    </w:t>
      </w:r>
      <w:r>
        <w:rPr>
          <w:b/>
        </w:rPr>
        <w:t xml:space="preserve">Pub date: </w:t>
      </w:r>
      <w:r>
        <w:t>2026-09-02 00:00:00+00:00</w:t>
      </w:r>
      <w:r>
        <w:t xml:space="preserve">    </w:t>
      </w:r>
      <w:r>
        <w:rPr>
          <w:b/>
        </w:rPr>
        <w:t xml:space="preserve">DOI: </w:t>
      </w:r>
      <w:hyperlink r:id="rId428">
        <w:r>
          <w:rPr>
            <w:color w:val="1155CC"/>
            <w:u w:val="single"/>
          </w:rPr>
          <w:t>10.1021/jacs.6c09418</w:t>
        </w:r>
      </w:hyperlink>
    </w:p>
    <w:p>
      <w:pPr>
        <w:spacing w:before="0" w:after="120"/>
      </w:pPr>
      <w:r>
        <w:rPr>
          <w:b/>
        </w:rPr>
        <w:t xml:space="preserve">Notes: </w:t>
      </w:r>
      <w:r>
        <w:t>abstract_source=crossref</w:t>
      </w:r>
    </w:p>
    <w:p>
      <w:pPr>
        <w:spacing w:before="0" w:after="80" w:lineRule="auto" w:line="276"/>
      </w:pPr>
      <w:r>
        <w:rPr>
          <w:b/>
        </w:rPr>
        <w:t xml:space="preserve">摘要（ZH）: </w:t>
      </w:r>
      <w:r>
        <w:t>摘要 聚氯乙烯（PVC）无处不在，但由于其在250 °C以上易发生热分解、释放有毒且具有腐蚀性的氯化物化合物，且无法熔融，其回收利用极具挑战性。本文报道了一种在160 °C下利用具有动态Ga-GaOOH核壳结构的镓液态金属颗粒（Ga-LMP）对PVC进行升级回收的催化策略。该催化剂可实现同时脱氯和产氢，最高可产生7%的H2（基于PVC中初始氢原子数），并生成高度脱氯（&gt;95%）的碳质固体和水相HCl。结合X射线光电子能谱、红外光谱、固态核磁共振、非弹性中子散射和从头算分子动力学的机理研究揭示了GaOOH壳层中Gaδ+位点与核心中金属Ga0之间的协同作用。阳离子Ga启动C–Cl键活化和HCl生成，而壳层的逐渐还原暴露出Ga0位点，促进C–H活化和H2释放。采用Ga盐和块体Ga液态金属的对照实验证实，仅凭任一氧化态均无法高效实现这两种转化。本工作确立了液态金属催化的动态双位点范式，其中氧化态与金属态物质的原位演化和共存实现了顺序且协同的键活化路径。这些发现为在温和条件下实现具有挑战性的聚合物转化的新型液态金属催化剂提供了通用的设计原则。</w:t>
      </w:r>
    </w:p>
    <w:p>
      <w:pPr>
        <w:spacing w:before="0" w:after="200" w:lineRule="auto" w:line="276"/>
      </w:pPr>
      <w:r>
        <w:rPr>
          <w:b/>
        </w:rPr>
        <w:t xml:space="preserve">Abstract (EN): </w:t>
      </w:r>
      <w:r>
        <w:t>Polyvinyl chloride (PVC) is ubiquitous yet challenging to recycle due to its tendency to thermally decompose above 250 °C, releasing toxic, corrosive chlorinated compounds, and its inability to melt. Here, we report a catalytic strategy for PVC upcycling at 160 °C using gallium liquid metal particles (Ga-LMP) featuring a dynamic Ga-GaOOH core–shell architecture. These catalysts enable concurrent dechlorination and hydrogen evolution, yielding up to 7% H2 (based on initial hydrogen atoms in PVC) along with a highly dechlorinated (&gt;95%) carbonaceous solid and aqueous HCl. Mechanistic investigations combining X-ray photoelectron spectroscopy, infrared spectroscopy, solid-state NMR, inelastic neutron scattering, and ab initio molecular dynamics reveal a synergistic interplay between Gaδ+ sites in the GaOOH shell and metallic Ga0 in the core. Cationic Ga initiates C–Cl bond activation and HCl formation, while progressive reduction of the shell exposes Ga0 sites that promote C–H activation and H2 evolution. Control experiments with a Ga salt and bulk Ga liquid metal confirmed that neither oxidation state alone can achieve both transformations efficiently. This work establishes a dynamic dual-site paradigm for liquid metal catalysis, in which the in situ evolution and coexistence of oxidized and metallic species enable sequential and cooperative bond activation pathways. These findings provide a general design principle for novel liquid metal catalysts that target challenging polymer transformations under mild conditions.</w:t>
      </w:r>
    </w:p>
    <w:p>
      <w:pPr>
        <w:spacing w:before="120" w:after="120"/>
      </w:pPr>
      <w:r>
        <w:rPr>
          <w:sz w:val="18"/>
        </w:rPr>
        <w:t>——————————————————————————————————————————————————————————————————————</w:t>
      </w:r>
    </w:p>
    <w:p>
      <w:pPr>
        <w:spacing w:before="160" w:after="40" w:line="240" w:lineRule="auto"/>
      </w:pPr>
      <w:r>
        <w:rPr>
          <w:b/>
        </w:rPr>
        <w:t xml:space="preserve">[9] </w:t>
      </w:r>
      <w:hyperlink r:id="rId429">
        <w:r>
          <w:rPr>
            <w:color w:val="1155CC"/>
            <w:u w:val="single"/>
          </w:rPr>
          <w:t>商业聚甲基丙烯酸酯的较低温度本体解聚</w:t>
        </w:r>
      </w:hyperlink>
    </w:p>
    <w:p>
      <w:pPr>
        <w:spacing w:before="0" w:after="80"/>
      </w:pPr>
      <w:r>
        <w:rPr>
          <w:i/>
          <w:sz w:val="20"/>
        </w:rPr>
        <w:t>EN: Lower-temperature bulk depolymerization of commercial polymethacrylates</w:t>
      </w:r>
    </w:p>
    <w:p>
      <w:pPr>
        <w:spacing w:before="0" w:after="120"/>
      </w:pPr>
      <w:r>
        <w:rPr>
          <w:b/>
        </w:rPr>
        <w:t xml:space="preserve">Source: </w:t>
      </w:r>
      <w:r>
        <w:t>Nature Chemistry</w:t>
      </w:r>
      <w:r>
        <w:t xml:space="preserve">    </w:t>
      </w:r>
      <w:r>
        <w:rPr>
          <w:b/>
        </w:rPr>
        <w:t xml:space="preserve">Pub date: </w:t>
      </w:r>
      <w:r>
        <w:t>2026-09-02 00:00:00+00:00</w:t>
      </w:r>
      <w:r>
        <w:t xml:space="preserve">    </w:t>
      </w:r>
      <w:r>
        <w:rPr>
          <w:b/>
        </w:rPr>
        <w:t xml:space="preserve">DOI: </w:t>
      </w:r>
      <w:hyperlink r:id="rId430">
        <w:r>
          <w:rPr>
            <w:color w:val="1155CC"/>
            <w:u w:val="single"/>
          </w:rPr>
          <w:t>10.1038/s41557-026-02232-4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化学回收至单体是解决塑料废弃物的一种颇具吸引力的方法。然而，目前的报道要么聚焦于热不稳定的'设计型'聚合物，要么聚焦于高度稀释的溶液解聚。本文报道了一种简单而高效的本体主链断裂途径：N-羟基酰亚胺（N-hydroxyphthalimides）的存在可在聚合物主链上引发氢原子转移反应，随后实现聚甲基丙烯酸酯的快速且接近定量的解聚。值得注意的是，该策略可直接应用于粗制商业聚合物，不依赖于预安装的末端基团或牺牲性共聚单体，可在相对较低的温度下无需光照即可运行，并且无需使用溶剂，从而能够以高产率（约90%）直接分离出纯净单体。该方法与通过阴离子聚合、自由基聚合或可控自由基聚合合成的聚甲基丙烯酸酯相兼容，并且还可应用于超高分子量材料（&gt;10^6 Da）。</w:t>
      </w:r>
    </w:p>
    <w:p>
      <w:pPr>
        <w:spacing w:before="0" w:after="200" w:lineRule="auto" w:line="276"/>
      </w:pPr>
      <w:r>
        <w:rPr>
          <w:b/>
        </w:rPr>
        <w:t xml:space="preserve">Abstract (EN): </w:t>
      </w:r>
      <w:r>
        <w:t>Chemical recycling back to monomer represents an attractive methodology to tackle plastic waste. However, current reports focus on either thermally unstable ‘designer’ polymers or highly diluted solution depolymerizations. Here we report a simple, yet efficient, bulk main-chain scission pathway, whereby the presence of</w:t>
      </w:r>
      <w:r>
        <w:t xml:space="preserve"> </w:t>
      </w:r>
      <w:r>
        <w:t>N</w:t>
      </w:r>
      <w:r>
        <w:t xml:space="preserve"> </w:t>
      </w:r>
      <w:r>
        <w:t>-hydroxyphthalimides triggers a hydrogen-atom-transfer reaction on the polymer backbone, followed by the rapid and near-quantitative depolymerization of polymethacrylates. Notably, this strategy can be directly applied to crude commercial polymers, does not rely on preinstalled end-groups or sacrificial co-monomers, operates at relatively low temperatures in the absence of light irradiation and precludes the use of a solvent, therefore enabling direct isolation of pristine monomers in high yields (∼90%). The methodology is compatible with polymethacrylates synthesized by either anionic, free radical or controlled radical polymerization and can also be applied to ultrahigh-molecular-weight materials (&amp;gt;10</w:t>
      </w:r>
      <w:r>
        <w:rPr>
          <w:vertAlign w:val="subscript"/>
        </w:rPr>
        <w:t>6</w:t>
      </w:r>
      <w:r>
        <w:t>Da).</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431">
        <w:r>
          <w:rPr>
            <w:color w:val="1155CC"/>
            <w:u w:val="single"/>
          </w:rPr>
          <w:t>III族氮化物异质结构中的本征极化超结用于高效电力电子器件</w:t>
        </w:r>
      </w:hyperlink>
    </w:p>
    <w:p>
      <w:pPr>
        <w:spacing w:before="0" w:after="80"/>
      </w:pPr>
      <w:r>
        <w:rPr>
          <w:i/>
          <w:sz w:val="20"/>
        </w:rPr>
        <w:t>EN: Intrinsic polarization superjunctions in III-nitride heterostructures for efficient power electronics</w:t>
      </w:r>
    </w:p>
    <w:p>
      <w:pPr>
        <w:spacing w:before="0" w:after="120"/>
      </w:pPr>
      <w:r>
        <w:rPr>
          <w:b/>
        </w:rPr>
        <w:t xml:space="preserve">Source: </w:t>
      </w:r>
      <w:r>
        <w:t>Nature Electronics</w:t>
      </w:r>
      <w:r>
        <w:t xml:space="preserve">    </w:t>
      </w:r>
      <w:r>
        <w:rPr>
          <w:b/>
        </w:rPr>
        <w:t xml:space="preserve">Pub date: </w:t>
      </w:r>
      <w:r>
        <w:t>2026-08-28 00:00:00+00:00</w:t>
      </w:r>
      <w:r>
        <w:t xml:space="preserve">    </w:t>
      </w:r>
      <w:r>
        <w:rPr>
          <w:b/>
        </w:rPr>
        <w:t xml:space="preserve">DOI: </w:t>
      </w:r>
      <w:hyperlink r:id="rId432">
        <w:r>
          <w:rPr>
            <w:color w:val="1155CC"/>
            <w:u w:val="single"/>
          </w:rPr>
          <w:t>10.1038/s41928-026-01691-4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III族氮化物半导体兼具宽禁带和低薄层电阻的特点，因而可用于高效电力电子器件。其横向架构还能实现高性价比硅衬底上的单片集成。然而，电场集中以及表面和缓冲层陷阱效应限制了击穿电压，劣化了动态性能并降低了可靠性。本文报道了用于高效电力电子器件的III族氮化物异质结构本征极化超结。我们利用自发极化和压电极化场在二维电子气中感应出匹配的可动电子，并在二维空穴气中感应出可动空穴，从而在无需有意掺杂的情况下形成本征电荷平衡的超结。借助与二维空穴气的欧姆接触，两类载流子在开关过程中均可被动态耗尽，从而保持漂移区电荷中性，产生近乎均匀的电场，并提高工作条件下的击穿电压。我们利用该方法制备了硅上氮化镓极化超结肖特基势垒二极管，其击穿电压超过3.9 kV，比导通电阻低至4.7 mΩ cm2，并制备了击穿电压超过3.4 kV的极化超结晶体管。该器件在3 kV以内表现出低于15%的近理想动态导通电阻退化，并具有可重复、温度稳定且类似雪崩的击穿特性。</w:t>
      </w:r>
    </w:p>
    <w:p>
      <w:pPr>
        <w:spacing w:before="0" w:after="200" w:lineRule="auto" w:line="276"/>
      </w:pPr>
      <w:r>
        <w:rPr>
          <w:b/>
        </w:rPr>
        <w:t xml:space="preserve">Abstract (EN): </w:t>
      </w:r>
      <w:r>
        <w:t>III-nitride semiconductors combine a wide bandgap with low sheet resistance and, thus, can be used for efficient power electronics. Their lateral architecture also enables monolithic integration on cost-effective silicon. However, electric-field crowding, as well as surface and buffer trapping, limit the breakdown voltage, degrade dynamic performance and reduce reliability. Here we report intrinsic polarization superjunctions in III-nitride heterostructures for efficient power electronics. We use the spontaneous and piezoelectric polarization fields to induce matched mobile electrons in a two-dimensional electron gas and mobile holes in a two-dimensional hole gas, forming an intrinsically charge-balanced superjunction without intentional doping. With an ohmic contact to the two-dimensional hole gas, both carrier types can be dynamically depleted during switching, which preserves drift-region charge neutrality, producing a nearly uniform electric field and increasing the breakdown voltage under operating conditions. We use the approach to create gallium-nitride-on-silicon polarization superjunction Schottky barrier diodes with a breakdown voltage exceeding 3.9 kV and a specific ON resistance as low as 4.7 mΩ cm</w:t>
      </w:r>
      <w:r>
        <w:rPr>
          <w:vertAlign w:val="subscript"/>
        </w:rPr>
        <w:t>2</w:t>
      </w:r>
      <w:r>
        <w:t>, as well as polarization superjunction transistors with a breakdown voltage exceeding 3.4 kV. The devices exhibit a near-ideal dynamic ON-resistance degradation of less than 15% up to 3 kV, as well as repeatable, temperature-stable and avalanche-like breakdown.</w:t>
      </w:r>
    </w:p>
    <w:p>
      <w:pPr>
        <w:spacing w:before="120" w:after="120"/>
      </w:pPr>
      <w:r>
        <w:rPr>
          <w:sz w:val="18"/>
        </w:rPr>
        <w:t>——————————————————————————————————————————————————————————————————————</w:t>
      </w:r>
    </w:p>
    <w:p>
      <w:pPr>
        <w:spacing w:before="160" w:after="40" w:line="240" w:lineRule="auto"/>
      </w:pPr>
      <w:r>
        <w:rPr>
          <w:b/>
        </w:rPr>
        <w:t xml:space="preserve">[2] </w:t>
      </w:r>
      <w:hyperlink r:id="rId433">
        <w:r>
          <w:rPr>
            <w:color w:val="1155CC"/>
            <w:u w:val="single"/>
          </w:rPr>
          <w:t>可扩展分级结构实现不锈钢表面稳健的不润湿冷凝与防结霜</w:t>
        </w:r>
      </w:hyperlink>
    </w:p>
    <w:p>
      <w:pPr>
        <w:spacing w:before="0" w:after="80"/>
      </w:pPr>
      <w:r>
        <w:rPr>
          <w:i/>
          <w:sz w:val="20"/>
        </w:rPr>
        <w:t>EN: Scalable Hierarchical Structuring Enables Robust Non-Wetting Condensation and Anti-Frosting on Stainless Steel</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433">
        <w:r>
          <w:rPr>
            <w:color w:val="1155CC"/>
            <w:u w:val="single"/>
          </w:rPr>
          <w:t>10.1021/acsami.6c10570</w:t>
        </w:r>
      </w:hyperlink>
    </w:p>
    <w:p>
      <w:pPr>
        <w:spacing w:before="0" w:after="120"/>
      </w:pPr>
      <w:r>
        <w:rPr>
          <w:b/>
        </w:rPr>
        <w:t xml:space="preserve">Notes: </w:t>
      </w:r>
      <w:r>
        <w:t>abstract_source=crossref</w:t>
      </w:r>
    </w:p>
    <w:p>
      <w:pPr>
        <w:spacing w:before="0" w:after="80" w:lineRule="auto" w:line="276"/>
      </w:pPr>
      <w:r>
        <w:rPr>
          <w:b/>
        </w:rPr>
        <w:t xml:space="preserve">摘要（ZH）: </w:t>
      </w:r>
      <w:r>
        <w:t>摘要 在不锈钢上实现稳定的非润湿冷凝，其关键限制之一仍是如何可规模化地制备具有足够高能垒的表面形貌，因为不锈钢的化学稳定性使可控的表面结构化具有挑战性。在此，我们利用增材制造316L不锈钢固有的微观结构特征生成密集的微针阵列，并进一步以纳米结构修饰，以增强抗润湿性并实现持续的聚并诱导液滴弹跳。该工程表面在纯蒸气条件下保持稳定的液滴脱除，在4.1至11.3 K的过冷度范围内，与膜状冷凝相比传热系数提升2.5–3.7倍。值得注意的是，在连续20小时测试中，在很宽的过饱和度范围内均观察到对润湿转变的强抵抗能力。此外，通过抑制冰成核与扩展，结霜被显著延迟，在–10 °C下180分钟后仍保持约60%的无霜面积，在–13 °C下100分钟后保持50%的无霜面积，而未处理表面在最初的10至30分钟内即被霜完全覆盖。这项工作确立了一种使不锈钢上非润湿冷凝稳定化的可扩展策略，可提升热性能并拓展增材制造金属的应用空间。</w:t>
      </w:r>
    </w:p>
    <w:p>
      <w:pPr>
        <w:spacing w:before="0" w:after="200" w:lineRule="auto" w:line="276"/>
      </w:pPr>
      <w:r>
        <w:rPr>
          <w:b/>
        </w:rPr>
        <w:t xml:space="preserve">Abstract (EN): </w:t>
      </w:r>
      <w:r>
        <w:t>Scalable fabrication of surface morphologies with sufficiently high energy barriers remains a key limitation in achieving stable non-wetting condensation on stainless steel, as its chemical resilience makes controlled surface structuring challenging. Here, we leverage the intrinsic microstructural features of additively manufactured 316L stainless steel to generate dense microneedle arrays, further decorated with nanostructures to enhance wetting resistance and enable sustained coalescence-induced droplet jumping. The engineered surface maintains stable droplet removal under pure vapor conditions, achieving a 2.5–3.7 X enhancement in heat transfer coefficient compared to filmwise condensation, across a subcooling range of 4.1 to 11.3 K. Notably, strong resistance to wetting transitions is observed across a wide range of supersaturation conditions during a continuous 20 h test. In addition, frosting is significantly delayed by suppressing ice nucleation and propagation, retaining approximately 60% frost-free area after 180 min at –10 °C and 50% frost-free area after 100 min at –13 °C whereas the untreated surface is fully covered by frost within the first 10 to 30 min. This work establishes a scalable strategy for stabilizing non-wetting condensation on stainless steel, enabling improved thermal performance and expanding the application space of additively manufactured metals.</w:t>
      </w:r>
    </w:p>
    <w:p>
      <w:pPr>
        <w:spacing w:before="120" w:after="120"/>
      </w:pPr>
      <w:r>
        <w:rPr>
          <w:sz w:val="18"/>
        </w:rPr>
        <w:t>——————————————————————————————————————————————————————————————————————</w:t>
      </w:r>
    </w:p>
    <w:p>
      <w:pPr>
        <w:spacing w:before="160" w:after="40" w:line="240" w:lineRule="auto"/>
      </w:pPr>
      <w:r>
        <w:rPr>
          <w:b/>
        </w:rPr>
        <w:t xml:space="preserve">[3] </w:t>
      </w:r>
      <w:hyperlink r:id="rId434">
        <w:r>
          <w:rPr>
            <w:color w:val="1155CC"/>
            <w:u w:val="single"/>
          </w:rPr>
          <w:t>双氧化物修饰的静电纺丝碳纳米纤维实现分级多孔复合电极用于锌锰液流电池中锌沉积的调控</w:t>
        </w:r>
      </w:hyperlink>
    </w:p>
    <w:p>
      <w:pPr>
        <w:spacing w:before="0" w:after="80"/>
      </w:pPr>
      <w:r>
        <w:rPr>
          <w:i/>
          <w:sz w:val="20"/>
        </w:rPr>
        <w:t>EN: Dual-Oxide-Modified Electrospun Carbon Nanofibers Enabling Hierarchically Porous Composite Electrodes for Regulated Zinc Deposition in Zinc–Manganese Flow Batteries</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434">
        <w:r>
          <w:rPr>
            <w:color w:val="1155CC"/>
            <w:u w:val="single"/>
          </w:rPr>
          <w:t>10.1021/acsami.6c12815</w:t>
        </w:r>
      </w:hyperlink>
    </w:p>
    <w:p>
      <w:pPr>
        <w:spacing w:before="0" w:after="120"/>
      </w:pPr>
      <w:r>
        <w:rPr>
          <w:b/>
        </w:rPr>
        <w:t xml:space="preserve">Notes: </w:t>
      </w:r>
      <w:r>
        <w:t>abstract_source=crossref</w:t>
      </w:r>
    </w:p>
    <w:p>
      <w:pPr>
        <w:spacing w:before="0" w:after="80" w:lineRule="auto" w:line="276"/>
      </w:pPr>
      <w:r>
        <w:rPr>
          <w:b/>
        </w:rPr>
        <w:t xml:space="preserve">摘要（ZH）: </w:t>
      </w:r>
      <w:r>
        <w:t>摘要 锌基液流电池（ZBFBs）是大规模储能的有力候选技术。然而，其实际应用受到锌沉积过程中不均匀的界面电场和不可控的枝晶生长的限制。本文报道了一种分级亲锌复合电极，它将传统碳毡与经ZnO和SiO2修饰的静电纺丝碳纳米纤维骨架相结合。这种多尺度多孔结构同时改善了电解液输运和电荷分布。具体而言，大孔碳毡促进电解液流动，而纳米纤维网络增大电化学活性表面积以均匀化局部电场。此外，双氧化物作为调控的锌成核位点和力学增塑组分，降低了成核过电位，并缓解了反复沉积/剥离过程中的局部应力。因此，该电极在高面载量下促进了均匀且高度可逆的锌沉积。所得ZBFBs在60 mA cm–2下循环超过50,000次仍保持高度稳定的性能，展示了在实际高电流密度运行下卓越的耐久性。</w:t>
      </w:r>
    </w:p>
    <w:p>
      <w:pPr>
        <w:spacing w:before="0" w:after="200" w:lineRule="auto" w:line="276"/>
      </w:pPr>
      <w:r>
        <w:rPr>
          <w:b/>
        </w:rPr>
        <w:t xml:space="preserve">Abstract (EN): </w:t>
      </w:r>
      <w:r>
        <w:t>Zinc-based flow batteries (ZBFBs) are promising candidates for large-scale energy storage. However, their practical application is limited by uneven interfacial electric fields and uncontrolled dendrite growth during zinc deposition. Herein, we report a hierarchical zincophilic composite electrode combining a conventional carbon felt with an electrospun carbon nanofiber scaffold modified by ZnO and SiO2. This multiscale porous structure improves both electrolyte transport and charge distribution. Specifically, the macroporous carbon felt facilitates electrolyte flow, while the nanofiber network increases the electrochemically active surface area to homogenize the local electric field. Furthermore, the dual oxides act as regulated zinc nucleation sites and mechanical plasticizing components, lowering the nucleation overpotential and relieving localized stress during repeated plating and stripping. Consequently, the electrode promotes uniform and highly reversible zinc deposition under high areal loading. The resulting ZBFBs achieve highly stable performance for over 50,000 cycles at 60 mA cm–2, demonstrating exceptional durability under practical, high-current-density operations.</w:t>
      </w:r>
    </w:p>
    <w:p>
      <w:pPr>
        <w:spacing w:before="120" w:after="120"/>
      </w:pPr>
      <w:r>
        <w:rPr>
          <w:sz w:val="18"/>
        </w:rPr>
        <w:t>——————————————————————————————————————————————————————————————————————</w:t>
      </w:r>
    </w:p>
    <w:p>
      <w:pPr>
        <w:spacing w:before="160" w:after="40" w:line="240" w:lineRule="auto"/>
      </w:pPr>
      <w:r>
        <w:rPr>
          <w:b/>
        </w:rPr>
        <w:t xml:space="preserve">[4] </w:t>
      </w:r>
      <w:hyperlink r:id="rId435">
        <w:r>
          <w:rPr>
            <w:color w:val="1155CC"/>
            <w:u w:val="single"/>
          </w:rPr>
          <w:t>纳米金刚石在过滤与吸附体系中的应用于：结构-性能关系、固定化策略及新兴应用</w:t>
        </w:r>
      </w:hyperlink>
    </w:p>
    <w:p>
      <w:pPr>
        <w:spacing w:before="0" w:after="80"/>
      </w:pPr>
      <w:r>
        <w:rPr>
          <w:i/>
          <w:sz w:val="20"/>
        </w:rPr>
        <w:t>EN: Nanodiamonds in Filtration and Adsorption Systems: Structure-Property Relationships, Immobilization Strategies, and Emerging Applications</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435">
        <w:r>
          <w:rPr>
            <w:color w:val="1155CC"/>
            <w:u w:val="single"/>
          </w:rPr>
          <w:t>10.1021/acsami.6c11549</w:t>
        </w:r>
      </w:hyperlink>
    </w:p>
    <w:p>
      <w:pPr>
        <w:spacing w:before="0" w:after="120"/>
      </w:pPr>
      <w:r>
        <w:rPr>
          <w:b/>
        </w:rPr>
        <w:t xml:space="preserve">Notes: </w:t>
      </w:r>
      <w:r>
        <w:t>abstract_source=crossref</w:t>
      </w:r>
    </w:p>
    <w:p>
      <w:pPr>
        <w:spacing w:before="0" w:after="80" w:lineRule="auto" w:line="276"/>
      </w:pPr>
      <w:r>
        <w:rPr>
          <w:b/>
        </w:rPr>
        <w:t xml:space="preserve">摘要（ZH）: </w:t>
      </w:r>
      <w:r>
        <w:t>摘要 纳米金刚石（NDs）兼具块体金刚石卓越的硬度、化学耐久性和热稳定性，以及高比表面积和广泛可调的表面化学。这些性质使其能够对表面电荷、极性、水合及界面相互作用实现广泛调控，使NDs在吸附和水处理应用中颇具吸引力。尽管如此，相对于已积累的物理化学知识的深度，其在这些领域的实际潜力仍未得到充分开发。本综述批判性地考察了ND表面与溶解物种之间已知的、与过滤相关的相互作用，并评估了如何在吸附和过滤技术中利用这些相互作用。我们比较了两类具有技术相关性的ND——爆轰纳米金刚石（DNDs）和高温高压（HPHT）NDs——并分析了表面终端、缺陷结构、氮含量和胶体状态对水相环境中Zeta电位、水合及界面反应性的影响。特别关注了氢化NDs，它们表现出强正电动力学响应、显著界面水结构化以及与电荷转移和颗粒结构相关的表面电子效应的独特组合，这使其区别于氧化NDs和其他碳纳米材料。我们系统综述了ND表面与相关污染物类别（多价金属离子、带电有机分子、PFAS和生物分子）之间已记录的相互作用，并借鉴文</w:t>
      </w:r>
    </w:p>
    <w:p>
      <w:pPr>
        <w:spacing w:before="0" w:after="200" w:lineRule="auto" w:line="276"/>
      </w:pPr>
      <w:r>
        <w:rPr>
          <w:b/>
        </w:rPr>
        <w:t xml:space="preserve">Abstract (EN): </w:t>
      </w:r>
      <w:r>
        <w:t>Nanodiamonds (NDs) combine the exceptional hardness, chemical durability, and thermal stability of bulk diamond with a high surface-to-volume ratio and widely tunable surface chemistry. These properties enable broad control over surface charge, polarity, hydration, and interfacial interactions, making NDs attractive for adsorption and water-treatment applications. Nevertheless, their practical potential in these fields remains substantially underdeveloped relative to the depth of accumulated physicochemical knowledge. This review critically examines known and filtration-relevant interactions between ND surfaces and dissolved species, and evaluates how these interactions could be exploited in adsorption and filtration technologies. We compare the two technologically relevant ND classes—detonation nanodiamonds (DNDs) and high-pressure high-temperature (HPHT) NDs—and analyze the consequences of surface termination, defect structure, nitrogen content, and colloidal state for zeta potential, hydration, and interfacial reactivity in aqueous environments. A particular focus is placed on hydrogenated NDs, which exhibit an unusual combination of strongly positive electrokinetic response, pronounced interfacial water structuring, and surface electronic effects associated with charge transfer and particle structure that distinguish them from oxidized NDs and other carbon nanomaterials. We systematically review documented interactions between ND surfaces and relevant pollutant classes: multivalent metal ions, charged organic molecules, PFAS, and biomolecules, drawing on literature from water treatment, biomedicine, and chromatography to establish the breadth of ND interfacial chemistry. A central argument of this review is that the functional unit in ND-based filtration is the accessible ND surface: immobilization strategies that preserve surface exposure-electrostatic deposition, covalent grafting, and thermally assisted stabilization on inorganic supports-are critically distinguished from embedded composite approaches where ND surfaces are mostly buried and rendered passive. We identify the translation of these immobilization strategies to polymer membrane supports as the principal unresolved engineering challenge, and outline the role of ND structural heterogeneity, long-term surface stability, and scalable deaggregation as key scientific priorities for realizing the full potential of NDs in next-generation filtration systems.</w:t>
      </w:r>
    </w:p>
    <w:p>
      <w:pPr>
        <w:spacing w:before="120" w:after="120"/>
      </w:pPr>
      <w:r>
        <w:rPr>
          <w:sz w:val="18"/>
        </w:rPr>
        <w:t>——————————————————————————————————————————————————————————————————————</w:t>
      </w:r>
    </w:p>
    <w:p>
      <w:pPr>
        <w:spacing w:before="160" w:after="40" w:line="240" w:lineRule="auto"/>
      </w:pPr>
      <w:r>
        <w:rPr>
          <w:b/>
        </w:rPr>
        <w:t xml:space="preserve">[5] </w:t>
      </w:r>
      <w:hyperlink r:id="rId436">
        <w:r>
          <w:rPr>
            <w:color w:val="1155CC"/>
            <w:u w:val="single"/>
          </w:rPr>
          <w:t>引导超薄（&lt;4 nm）Hf0.5Zr0.5O2在锗上的正交相演变</w:t>
        </w:r>
      </w:hyperlink>
    </w:p>
    <w:p>
      <w:pPr>
        <w:spacing w:before="0" w:after="80"/>
      </w:pPr>
      <w:r>
        <w:rPr>
          <w:i/>
          <w:sz w:val="20"/>
        </w:rPr>
        <w:t>EN: Guiding Orthorhombic Phase Evolution in Ultrathin (&amp;lt;4 nm) Hf0.5Zr0.5O2 on Germanium</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436">
        <w:r>
          <w:rPr>
            <w:color w:val="1155CC"/>
            <w:u w:val="single"/>
          </w:rPr>
          <w:t>10.1021/acsami.6c07997</w:t>
        </w:r>
      </w:hyperlink>
    </w:p>
    <w:p>
      <w:pPr>
        <w:spacing w:before="0" w:after="120"/>
      </w:pPr>
      <w:r>
        <w:rPr>
          <w:b/>
        </w:rPr>
        <w:t xml:space="preserve">Notes: </w:t>
      </w:r>
      <w:r>
        <w:t>abstract_source=crossref</w:t>
      </w:r>
    </w:p>
    <w:p>
      <w:pPr>
        <w:spacing w:before="0" w:after="80" w:lineRule="auto" w:line="276"/>
      </w:pPr>
      <w:r>
        <w:rPr>
          <w:b/>
        </w:rPr>
        <w:t xml:space="preserve">摘要（ZH）: </w:t>
      </w:r>
      <w:r>
        <w:t>摘要 将可规模化、高性能的Hf0.5Zr0.5O2（HZO）铁电材料与锗等高迁移率沟道集成，对下一代逻辑和存储器件至关重要。然而，在厚度小于5 nm的薄膜中保持稳健的铁电性仍是一项重大挑战。在本研究中，我们系统研究了集成于氮化钛/HZO/Ge电容器结构中的3.7 nm HZO薄膜。我们证明，常规的单步金属化后退火（PMA）工艺不足以在超薄HZO薄膜中诱导强铁电性。为解决这一局限，我们制定了一种协同策略，将ZrO2终端的界面工程与先沉积后退火（PDA）再PMA的两步退火序列相结合。该方法稳定了铁电正交o(020)/o(002)相，产生了稳健的剩余极化和改善的极化—电压回线（P–V回线）方形度，体现在增强的极化比和(dP/dV)max上。因此，极化翻转更加完全，P–V回线更加矩形。全面的结构、光谱、理论和电学分析进一步证实了该策略的有效性。本研究为超薄铁电HZO与锗基电子平台的集成提供了机理认识。</w:t>
      </w:r>
    </w:p>
    <w:p>
      <w:pPr>
        <w:spacing w:before="0" w:after="200" w:lineRule="auto" w:line="276"/>
      </w:pPr>
      <w:r>
        <w:rPr>
          <w:b/>
        </w:rPr>
        <w:t xml:space="preserve">Abstract (EN): </w:t>
      </w:r>
      <w:r>
        <w:t>The integration of scalable, high-performance Hf0.5Zr0.5O2 (HZO) ferroelectric materials with high-mobility channels such as germanium is critical for next-generation logic and memory devices. However, maintaining robust ferroelectricity in films thinner than 5 nm remains a major challenge. In this study, we systematically investigate 3.7-nm HZO films incorporated into a titanium nitride/HZO/Ge capacitor structure. We demonstrate that a conventional single-step post-metallization annealing (PMA) process is insufficient for inducing strong ferroelectricity in ultrathin HZO films. To address this limitation, we formulate a synergistic strategy combining interface engineering with ZrO2-termination and a two-step annealing sequence comprising post-deposition annealing (PDA) followed by PMA. This approach stabilizes the ferroelectric orthorhombic o(020)/o(002) phase and produces robust remanent polarization and improved polarization–voltage loop (P–V loop) squareness, as reflected by an enhanced polarization ratio and (dP/dV)max. Consequently, polarization switching becomes more complete and the P–V loop becomes more rectangular. Comprehensive structural, spectroscopic, theoretical, and electrical analyses further confirm the effectiveness of this strategy. This study provides mechanistic insights into the integration of ultrathin ferroelectric HZO with Ge-based electronic platforms.</w:t>
      </w:r>
    </w:p>
    <w:p>
      <w:pPr>
        <w:spacing w:before="120" w:after="120"/>
      </w:pPr>
      <w:r>
        <w:rPr>
          <w:sz w:val="18"/>
        </w:rPr>
        <w:t>——————————————————————————————————————————————————————————————————————</w:t>
      </w:r>
    </w:p>
    <w:p>
      <w:pPr>
        <w:spacing w:before="160" w:after="40" w:line="240" w:lineRule="auto"/>
      </w:pPr>
      <w:r>
        <w:rPr>
          <w:b/>
        </w:rPr>
        <w:t xml:space="preserve">[6] </w:t>
      </w:r>
      <w:hyperlink r:id="rId437">
        <w:r>
          <w:rPr>
            <w:color w:val="1155CC"/>
            <w:u w:val="single"/>
          </w:rPr>
          <w:t>结构工程化聚酰亚胺微球/纳米纤维梯度气凝胶增强容尘量用于高温空气过滤</w:t>
        </w:r>
      </w:hyperlink>
    </w:p>
    <w:p>
      <w:pPr>
        <w:spacing w:before="0" w:after="80"/>
      </w:pPr>
      <w:r>
        <w:rPr>
          <w:i/>
          <w:sz w:val="20"/>
        </w:rPr>
        <w:t>EN: Structurally Engineered Polyimide Microsphere/Nanofibrous Gradient Aerogels with Enhanced Dust-Holding Capacity for High-Temperature Air Filtration</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437">
        <w:r>
          <w:rPr>
            <w:color w:val="1155CC"/>
            <w:u w:val="single"/>
          </w:rPr>
          <w:t>10.1021/acsami.6c10042</w:t>
        </w:r>
      </w:hyperlink>
    </w:p>
    <w:p>
      <w:pPr>
        <w:spacing w:before="0" w:after="120"/>
      </w:pPr>
      <w:r>
        <w:rPr>
          <w:b/>
        </w:rPr>
        <w:t xml:space="preserve">Notes: </w:t>
      </w:r>
      <w:r>
        <w:t>abstract_source=crossref</w:t>
      </w:r>
    </w:p>
    <w:p>
      <w:pPr>
        <w:spacing w:before="0" w:after="80" w:lineRule="auto" w:line="276"/>
      </w:pPr>
      <w:r>
        <w:rPr>
          <w:b/>
        </w:rPr>
        <w:t xml:space="preserve">摘要（ZH）: </w:t>
      </w:r>
      <w:r>
        <w:t>摘要 随着工业和交通运输活动中颗粒物（PM）排放的日益增加，对具有高热稳定性和化学稳定性的过滤材料的需求不断增长。纳米纤维材料因其纤维直径小、孔隙率高和比表面积大而备受关注，这些特性提高了其初始过滤效率。然而，其密实堆积的结构和均匀的孔径分布导致表面快速形成滤饼，增大了气流阻力并限制了容尘量。相比之下，三维梯度气凝胶结构包含多尺度孔道，有利于深层过滤。此类结构提供了更大的粉尘储存容量并延缓孔隙堵塞，从而显著提升整体过滤性能。本文基于单组分聚酰亚胺体系成功制备了具有微球结构的梯度纳米纤维气凝胶（MGPAs）。采用单组分材料增强了可回收性，并确保在温度波动下热膨胀均匀，这对高温过滤应用至关重要。所制备的材料呈现双层梯度纳米纤维气凝胶结构，由粗纤维（≈730 nm）和中纤维（≈300 nm）组成。此外，由微球（≈3.34 μm）和超细纤维（≈60 nm）组成的复合功能层沉积于中纤维层表面。得益于这种分级结构，MGPAs对PM0.3的过滤效率达到99.99</w:t>
      </w:r>
    </w:p>
    <w:p>
      <w:pPr>
        <w:spacing w:before="0" w:after="200" w:lineRule="auto" w:line="276"/>
      </w:pPr>
      <w:r>
        <w:rPr>
          <w:b/>
        </w:rPr>
        <w:t xml:space="preserve">Abstract (EN): </w:t>
      </w:r>
      <w:r>
        <w:t>With the increasing emission of particulate matter (PM) from industrial and transportation activities, the demand for filtration materials exhibiting high thermal and chemical stability is growing. Nanofiber materials have attracted significant attention owing to their small fiber diameter, high porosity, and large specific surface area, which enhance their initial filtration efficiency. However, their densely packed architectures and uniform pore distributions lead to rapid surface cake formation, increasing airflow resistance and limiting dust-holding capacity. In contrast, three-dimensional gradient aerogel structures incorporate multiscale pore channels that facilitate depth filtration. Such architectures provide greater dust storage capacity and delay pore blockage, thereby significantly improving overall filtration performance. Here, gradient nanofiber aerogels (MGPAs) with a microsphere structure were successfully fabricated based on a single-component polyimide system. Utilizing single-component materials enhances recyclability and ensures uniform thermal expansion under temperature fluctuations, which is crucial for high-temperature filtration applications. The prepared material exhibits a dual-layer gradient nanofiber aerogel structure, comprising coarse fibers (≈730 nm) and medium fibers (≈300 nm). Furthermore, a composite functional layer composed of microspheres (≈3.34 μm) and ultrafine fibers (≈60 nm) was deposited onto the medium-fiber layer surface. Benefiting from this hierarchical structure, the MGPAs exhibit a PM0.3 filtration efficiency of 99.996%, with an initial pressure drop as low as 45.08 Pa, and a dust-holding capacity of 127 g/m2. Even at 300 °C, it maintains a filtration efficiency of 99.91%. This demonstrates their excellent thermal stability. The developed MGPAs offer significant potential for high-temperature exhaust gas filtration applications.</w:t>
      </w:r>
    </w:p>
    <w:p>
      <w:pPr>
        <w:spacing w:before="120" w:after="120"/>
      </w:pPr>
      <w:r>
        <w:rPr>
          <w:sz w:val="18"/>
        </w:rPr>
        <w:t>——————————————————————————————————————————————————————————————————————</w:t>
      </w:r>
    </w:p>
    <w:p>
      <w:pPr>
        <w:spacing w:before="160" w:after="40" w:line="240" w:lineRule="auto"/>
      </w:pPr>
      <w:r>
        <w:rPr>
          <w:b/>
        </w:rPr>
        <w:t xml:space="preserve">[7] </w:t>
      </w:r>
      <w:hyperlink r:id="rId438">
        <w:r>
          <w:rPr>
            <w:color w:val="1155CC"/>
            <w:u w:val="single"/>
          </w:rPr>
          <w:t>双态发射的咪唑类光开关的设计及其在数据加密中的应用</w:t>
        </w:r>
      </w:hyperlink>
    </w:p>
    <w:p>
      <w:pPr>
        <w:spacing w:before="0" w:after="80"/>
      </w:pPr>
      <w:r>
        <w:rPr>
          <w:i/>
          <w:sz w:val="20"/>
        </w:rPr>
        <w:t>EN: Dual-State Emissive Imidazole-Based Photoswitches by Design and Their Use for Data Encryption</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438">
        <w:r>
          <w:rPr>
            <w:color w:val="1155CC"/>
            <w:u w:val="single"/>
          </w:rPr>
          <w:t>10.1021/acsami.6c10426</w:t>
        </w:r>
      </w:hyperlink>
    </w:p>
    <w:p>
      <w:pPr>
        <w:spacing w:before="0" w:after="120"/>
      </w:pPr>
      <w:r>
        <w:rPr>
          <w:b/>
        </w:rPr>
        <w:t xml:space="preserve">Notes: </w:t>
      </w:r>
      <w:r>
        <w:t>abstract_source=crossref</w:t>
      </w:r>
    </w:p>
    <w:p>
      <w:pPr>
        <w:spacing w:before="0" w:after="80" w:lineRule="auto" w:line="276"/>
      </w:pPr>
      <w:r>
        <w:rPr>
          <w:b/>
        </w:rPr>
        <w:t xml:space="preserve">摘要（ZH）: </w:t>
      </w:r>
      <w:r>
        <w:t>摘要 本文报道了一系列新型N-取代2,4,5-芳基咪唑衍生物的合理设计、合成及光物理表征，该系列衍生物整合了激发态分子内质子转移（ESIPT）与分子内电荷转移（ICT），以实现可逆光致变色。溶剂化变色研究表明，其发射峰发生显著红移（392–457 nm），并具有大的Stokes位移（4252–7776 cm–1），表明N,N-二乙氨基供体基团驱动的显著激发态电荷分离。Lippert–Mataga分析和时间分辨光致发光（TRPL）分析证实了其以ICT特性为主导，尤其是N-芳基衍生物（Δμ = 9.26–9.73 D），其偶极矩变化大于N-烷基衍生物（Δμ = 8.17–8.34 D）。在紫外光照射（395 nm）下，无论在溶液中还是固态中均观察到可逆的E/Z酮式光异构化，并通过紫外-可见、光致发光和红外光谱予以证实。单晶X射线衍射表明，N-烷基链长度增大了扭转角，直接影响了光开关行为和双态发射性能，其中IM-N-Bu在甲苯中的量子产率为Φ = 25%，在固态中为Φ = 77%。热处理（80 °C）使其在甲苯和聚甲基丙烯酸甲酯（PMMA）薄膜中经多个循环后仍能完全可逆，该材料被应用于数据加密，展示了其在光子学与信息安全技术中的潜力。</w:t>
      </w:r>
    </w:p>
    <w:p>
      <w:pPr>
        <w:spacing w:before="0" w:after="200" w:lineRule="auto" w:line="276"/>
      </w:pPr>
      <w:r>
        <w:rPr>
          <w:b/>
        </w:rPr>
        <w:t xml:space="preserve">Abstract (EN): </w:t>
      </w:r>
      <w:r>
        <w:t>Herein, we report the rational design, synthesis, and photophysical characterization of a new family of N-substituted 2,4,5-arylimidazole derivatives that integrate excited-state intramolecular proton transfer (ESIPT) and intramolecular charge transfer (ICT) to achieve reversible photochromism. Solvatochromic studies revealed pronounced shifts in emission (392–457 nm) and large Stokes shifts (4252–7776 cm–1), indicating significant excited-state charge separation driven by the N,N-diethylamino donor group. Lippert–Mataga and time-resolved photoluminescence (TRPL) analysis confirmed the dominant ICT character, particularly for N-aryl derivatives (Δμ = 9.26–9.73 D), which exhibited larger dipole moment changes than N-alkyl derivatives (Δμ = 8.17–8.34 D). Upon UV irradiation (395 nm), reversible E/Z keto photoisomerization was observed both in solution and in the solid state, confirmed by UV-vis, photoluminescence, and infrared spectroscopy. Single crystal X-ray diffraction showed that N-alkyl chain length enhances torsional angles, directly influencing the photoswitching behavior and dual-state emissive properties with quantum yields of Φ = 25% in toluene and Φ = 77% in the solid state for IM-N-Bu. Thermal treatment (80 °C) enabled full reversibility in toluene and poly(methyl methacrylate) (PMMA) films over multiple cycles, which were applied to data encryption, demonstrating their potential in photonic and information security technologies.</w:t>
      </w:r>
    </w:p>
    <w:p>
      <w:pPr>
        <w:spacing w:before="120" w:after="120"/>
      </w:pPr>
      <w:r>
        <w:rPr>
          <w:sz w:val="18"/>
        </w:rPr>
        <w:t>——————————————————————————————————————————————————————————————————————</w:t>
      </w:r>
    </w:p>
    <w:p>
      <w:pPr>
        <w:spacing w:before="160" w:after="40" w:line="240" w:lineRule="auto"/>
      </w:pPr>
      <w:r>
        <w:rPr>
          <w:b/>
        </w:rPr>
        <w:t xml:space="preserve">[8] </w:t>
      </w:r>
      <w:hyperlink r:id="rId439">
        <w:r>
          <w:rPr>
            <w:color w:val="1155CC"/>
            <w:u w:val="single"/>
          </w:rPr>
          <w:t>调控氧化石墨烯分散体中的颗粒间相互作用以增强剪切诱导取向</w:t>
        </w:r>
      </w:hyperlink>
    </w:p>
    <w:p>
      <w:pPr>
        <w:spacing w:before="0" w:after="80"/>
      </w:pPr>
      <w:r>
        <w:rPr>
          <w:i/>
          <w:sz w:val="20"/>
        </w:rPr>
        <w:t>EN: Tuning Interparticle Interactions in Graphene Oxide Dispersions for Enhanced Shear-Induced Alignment</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439">
        <w:r>
          <w:rPr>
            <w:color w:val="1155CC"/>
            <w:u w:val="single"/>
          </w:rPr>
          <w:t>10.1021/acsami.6c12671</w:t>
        </w:r>
      </w:hyperlink>
    </w:p>
    <w:p>
      <w:pPr>
        <w:spacing w:before="0" w:after="120"/>
      </w:pPr>
      <w:r>
        <w:rPr>
          <w:b/>
        </w:rPr>
        <w:t xml:space="preserve">Notes: </w:t>
      </w:r>
      <w:r>
        <w:t>abstract_source=crossref</w:t>
      </w:r>
    </w:p>
    <w:p>
      <w:pPr>
        <w:spacing w:before="0" w:after="80" w:lineRule="auto" w:line="276"/>
      </w:pPr>
      <w:r>
        <w:rPr>
          <w:b/>
        </w:rPr>
        <w:t xml:space="preserve">摘要（ZH）: </w:t>
      </w:r>
      <w:r>
        <w:t>摘要 胶体材料的宏观行为由其微观结构单元之间的相互作用所支配。在各向异性胶体体系中，颗粒间作用力的微小变化可导致相行为、流动响应以及剪切下取向的剧烈改变。本文系统研究了离子强度如何控制水性氧化石墨烯（GO）分散液的结构状态、流变学和取向动力学，以及这些效应如何转化为湿法纺丝纤维的性能。通过改变NaCl浓度，我们将GO体系调节至三种状态：低盐下的阻塞排斥玻璃态、高盐下的聚集主导状态，以及允许结构重排的松弛软玻璃态。在这一中间状态（约1–5 mM NaCl）下，分散液表现出最低的屈服应力和最快的剪切下畴重新取向，这通过剪切偏光显微镜（shear-POM）和流变-小角X射线散射（rheo-SAXS）观察到。当通过湿法纺丝加工成纤维时，来自该状态的分散液相比阻塞态或聚集态均获得了显著更高的取向度、拉伸强度和电导率。这些发现建立了GO分散液中跨尺度的结构−流变−取向−性能关系，其中剪切诱导取向由颗粒间相互作用的平衡及由此产生的结构状态所决定。</w:t>
      </w:r>
    </w:p>
    <w:p>
      <w:pPr>
        <w:spacing w:before="0" w:after="200" w:lineRule="auto" w:line="276"/>
      </w:pPr>
      <w:r>
        <w:rPr>
          <w:b/>
        </w:rPr>
        <w:t xml:space="preserve">Abstract (EN): </w:t>
      </w:r>
      <w:r>
        <w:t>The macroscopic behavior of colloidal materials is governed by interactions between their microscopic building blocks. In anisotropic colloidal systems, subtle variations in interparticle forces can lead to dramatic changes in phase behavior, flow response, and alignment under shear. Here, we systematically investigate how ionic strength controls the structural state, rheology, and alignment dynamics of aqueous graphene oxide (GO) dispersions, and how these effects translate into the performance of wet-spun fibers. By varying the NaCl concentration, we tune the GO system across three regimes: a jammed repulsive glass state at low salt, an aggregation-dominated state at high salt, and a relaxed soft glassy state that allows for structural rearrangement. In this intermediate regime (∼1–5 mM NaCl), the dispersions exhibit the lowest yield stress and the fastest domain reorientation under shear, as observed via shear polarized optical microscopy (shear-POM) and rheo-small-angle X-ray scattering (rheo-SAXS). When processed into fibers via wet spinning, dispersions from this regime yield markedly higher alignment, tensile strength, and electrical conductivity than those from either the jammed or the aggregated state. These findings establish a multiscale structure−rheology−alignment−property relationship in GO dispersions, in which shear-induced alignment is determined by the balance of interparticle interactions and the resulting structural state.</w:t>
      </w:r>
    </w:p>
    <w:p>
      <w:pPr>
        <w:spacing w:before="120" w:after="120"/>
      </w:pPr>
      <w:r>
        <w:rPr>
          <w:sz w:val="18"/>
        </w:rPr>
        <w:t>——————————————————————————————————————————————————————————————————————</w:t>
      </w:r>
    </w:p>
    <w:p>
      <w:pPr>
        <w:spacing w:before="160" w:after="40" w:line="240" w:lineRule="auto"/>
      </w:pPr>
      <w:r>
        <w:rPr>
          <w:b/>
        </w:rPr>
        <w:t xml:space="preserve">[9] </w:t>
      </w:r>
      <w:hyperlink r:id="rId440">
        <w:r>
          <w:rPr>
            <w:color w:val="1155CC"/>
            <w:u w:val="single"/>
          </w:rPr>
          <w:t>具有多尺度结构协同增强的仿生硅藻表面增强拉曼散射微腔阵列</w:t>
        </w:r>
      </w:hyperlink>
    </w:p>
    <w:p>
      <w:pPr>
        <w:spacing w:before="0" w:after="80"/>
      </w:pPr>
      <w:r>
        <w:rPr>
          <w:i/>
          <w:sz w:val="20"/>
        </w:rPr>
        <w:t>EN: Biomimetic Diatom Surface-Enhanced Raman Scattering Microcavity Array with Multiscale Structure Synergy Enhancement</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440">
        <w:r>
          <w:rPr>
            <w:color w:val="1155CC"/>
            <w:u w:val="single"/>
          </w:rPr>
          <w:t>10.1021/acsami.6c14286</w:t>
        </w:r>
      </w:hyperlink>
    </w:p>
    <w:p>
      <w:pPr>
        <w:spacing w:before="0" w:after="120"/>
      </w:pPr>
      <w:r>
        <w:rPr>
          <w:b/>
        </w:rPr>
        <w:t xml:space="preserve">Notes: </w:t>
      </w:r>
      <w:r>
        <w:t>abstract_source=crossref</w:t>
      </w:r>
    </w:p>
    <w:p>
      <w:pPr>
        <w:spacing w:before="0" w:after="80" w:lineRule="auto" w:line="276"/>
      </w:pPr>
      <w:r>
        <w:rPr>
          <w:b/>
        </w:rPr>
        <w:t xml:space="preserve">摘要（ZH）: </w:t>
      </w:r>
      <w:r>
        <w:t>摘要 硅藻是一类具有天然三维多孔筛室结构的生物体。其筛板展现出多级多孔特征，可通过微纳结构控制光场分布，产生共振耦合和局域场增强效应。尽管表面增强拉曼散射（SERS）基底已实现超高灵敏度检测，但常面临信号均匀性差和分子分布不可控等问题。受上述硅藻结构特征的启发，本文模仿其三维多孔筛室结构，构建了仿生三维微腔阵列SERS基底。通过在微纳尺度上结合垂直微腔结构与阵列设计，实现了多尺度协同增强。该基底具有大面积高阶阵列结构、规则的三维微腔以及功能化修饰的可扩展性。通过对微腔高度的系统性调控，实验与模拟结果均揭示了显著的腔高控制的SERS增强行为，这归因于微腔光学共振与局域表面等离激元热点之间的有效耦合。此外，所设计的微腔结构在液滴干燥过程中诱导分子的主动富集，有效抑制了咖啡环效应。罗丹明的最低可检测浓度可达10–12 M，且具有良好的均匀性和重复</w:t>
      </w:r>
    </w:p>
    <w:p>
      <w:pPr>
        <w:spacing w:before="0" w:after="200" w:lineRule="auto" w:line="276"/>
      </w:pPr>
      <w:r>
        <w:rPr>
          <w:b/>
        </w:rPr>
        <w:t xml:space="preserve">Abstract (EN): </w:t>
      </w:r>
      <w:r>
        <w:t>Diatoms are a type of organism with a natural three-dimensional porous sieve chamber structure. Their sieve plates exhibit multi-level porous features and can control the distribution of light fields through micronano structures, generating resonance coupling and local field enhancement effects. Although surface-enhanced Raman scattering (SERS) substrates have achieved ultra-high sensitivity detection, they often encounter problems such as poor signal uniformity and uncontrollable molecular distribution. Inspired by the above-mentioned structural characteristics of diatoms, this paper mimics their three-dimensional porous sieve chamber structure to construct a biomimetic three-dimensional microcavity array SERS substrate. By combining the vertical microcavity structure and array design at the micronano scale, multi-scale collaborative enhancement is achieved. This substrate features a large-area high-order array structure, regular three-dimensional microcavities, and the scalability of functional modification. Through systematic regulation of the microcavity height, both experimental and simulation results reveal a significant cavity height-controlled SERS enhancement behavior, which is attributed to the effective coupling between the microcavity optical resonance and local surface plasmon hotspots. Additionally, the designed microcavity structure induces active enrichment of molecules during the drying of droplets, effectively suppressing the coffee ring effect. The minimum detectable concentration of rhodamine can reach 10–12 M, with good uniformity and repeatability. This biomimetic three-dimensional SERS substrate achieves a unified high sensitivity and uniformity through the collaborative effects at the nano, micro, and macro scales, providing a universal strategy for the structural design of high-performance SERS substrates.</w:t>
      </w:r>
    </w:p>
    <w:p>
      <w:pPr>
        <w:spacing w:before="120" w:after="120"/>
      </w:pPr>
      <w:r>
        <w:rPr>
          <w:sz w:val="18"/>
        </w:rPr>
        <w:t>——————————————————————————————————————————————————————————————————————</w:t>
      </w:r>
    </w:p>
    <w:p>
      <w:pPr>
        <w:spacing w:before="160" w:after="40" w:line="240" w:lineRule="auto"/>
      </w:pPr>
      <w:r>
        <w:rPr>
          <w:b/>
        </w:rPr>
        <w:t xml:space="preserve">[10] </w:t>
      </w:r>
      <w:hyperlink r:id="rId441">
        <w:r>
          <w:rPr>
            <w:color w:val="1155CC"/>
            <w:u w:val="single"/>
          </w:rPr>
          <w:t>吩噻嗪-二芳基乙烯杂化物的光可编程协同响应：从分子工程到电致变色与信息加密</w:t>
        </w:r>
      </w:hyperlink>
    </w:p>
    <w:p>
      <w:pPr>
        <w:spacing w:before="0" w:after="80"/>
      </w:pPr>
      <w:r>
        <w:rPr>
          <w:i/>
          <w:sz w:val="20"/>
        </w:rPr>
        <w:t>EN: Photo-Programmable Synergistic Responses of Phenothiazine-Diarylethene Hybrids: From Molecular Engineering to Electrochromism and Information Encryption</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441">
        <w:r>
          <w:rPr>
            <w:color w:val="1155CC"/>
            <w:u w:val="single"/>
          </w:rPr>
          <w:t>10.1021/acsami.6c12196</w:t>
        </w:r>
      </w:hyperlink>
    </w:p>
    <w:p>
      <w:pPr>
        <w:spacing w:before="0" w:after="120"/>
      </w:pPr>
      <w:r>
        <w:rPr>
          <w:b/>
        </w:rPr>
        <w:t xml:space="preserve">Notes: </w:t>
      </w:r>
      <w:r>
        <w:t>abstract_source=crossref</w:t>
      </w:r>
    </w:p>
    <w:p>
      <w:pPr>
        <w:spacing w:before="0" w:after="80" w:lineRule="auto" w:line="276"/>
      </w:pPr>
      <w:r>
        <w:rPr>
          <w:b/>
        </w:rPr>
        <w:t xml:space="preserve">摘要（ZH）: </w:t>
      </w:r>
      <w:r>
        <w:t>摘要 通过分子工程设计了一系列吩噻嗪修饰的二芳基乙烯衍生物（1z–6z），以实现多刺激响应光致变色材料。通过精确调控供体连接方式和共轭桥长度，有效调节了闭环异构体的吸收波长，实现了从黄色到深紫色的宽泛颜色变化。值得注意的是，具有单苯桥结构的3z和4z表现出优异的多刺激响应性能。除了保留固有的可逆光致变色和荧光开关特性外，它们还展现出独特的“光−氧化”协同机制。紫外光诱导的闭环异构体通过强D−π−A结构重构氧化产物的电子离域路径，诱导精确红移至中可见光区域，并实现不依赖于刺激顺序的高对比度颜色转变（红/紫色变为蓝色）。电化学研究进一步揭示，通过光致构象门控效应调控氧化电位是这种协同行为的基本基础。利用其固态响应特性，制备了凝胶基电致变色器件，并构建了多组分动态信息加密系统，展示了多级防伪和信息隐藏功能。本工作提出了可调谐的多响应光致变色材料，并为设计光−电−化学协同三元体系提供了可借鉴的分子工程策略。</w:t>
      </w:r>
    </w:p>
    <w:p>
      <w:pPr>
        <w:spacing w:before="0" w:after="200" w:lineRule="auto" w:line="276"/>
      </w:pPr>
      <w:r>
        <w:rPr>
          <w:b/>
        </w:rPr>
        <w:t xml:space="preserve">Abstract (EN): </w:t>
      </w:r>
      <w:r>
        <w:t>A series of phenothiazine-modified diarylethene derivatives (1z–6z) were designed via molecular engineering to achieve multi-stimuli responsive photochromic materials. By precisely modulating donor linkage and conjugated bridge length, the absorption wavelengths of closed-ring isomers were effectively tuned, enabling broad color variation from yellow to deep purple. Notably, 3z and 4z, featuring a single benzene bridge, exhibit superior multi-stimuli responsive performance. Beyond retaining intrinsic reversible photochromism and fluorescence switching, they display a distinctive “photo−oxidation” synergistic mechanism. UV-induced closed-ring isomers reconstruct the electron delocalization pathway of oxidized products through a strong D−π−A architecture, inducing a precise red shift to the mid-visible region and enabling high-contrast color transitions (red/purple to blue) independent of stimulus sequence. Electrochemical investigations further reveal that modulation of the oxidation potential via a photoinduced conformational gating effect serves as the fundamental basis for this synergistic behavior. Leveraging their solid-state responsiveness, gel-based electrochromic devices were fabricated, and a multi-component dynamic information encryption system was constructed, demonstrating multilevel anti-counterfeiting and information concealment. This work presents tunable, multi-responsive photochromic materials and a referable molecular engineering strategy for designing photo−electro−chemical synergistic triad systems.</w:t>
      </w:r>
    </w:p>
    <w:p>
      <w:pPr>
        <w:spacing w:before="120" w:after="120"/>
      </w:pPr>
      <w:r>
        <w:rPr>
          <w:sz w:val="18"/>
        </w:rPr>
        <w:t>——————————————————————————————————————————————————————————————————————</w:t>
      </w:r>
    </w:p>
    <w:p>
      <w:pPr>
        <w:spacing w:before="160" w:after="40" w:line="240" w:lineRule="auto"/>
      </w:pPr>
      <w:r>
        <w:rPr>
          <w:b/>
        </w:rPr>
        <w:t xml:space="preserve">[11] </w:t>
      </w:r>
      <w:hyperlink r:id="rId442">
        <w:r>
          <w:rPr>
            <w:color w:val="1155CC"/>
            <w:u w:val="single"/>
          </w:rPr>
          <w:t>酯键锚定TMP基元实现耐用可充电抗生物污染PVDF膜</w:t>
        </w:r>
      </w:hyperlink>
    </w:p>
    <w:p>
      <w:pPr>
        <w:spacing w:before="0" w:after="80"/>
      </w:pPr>
      <w:r>
        <w:rPr>
          <w:i/>
          <w:sz w:val="20"/>
        </w:rPr>
        <w:t>EN: Ester Bond-Anchored TMP Moieties for Durable and Rechargeable Anti-biofouling PVDF Membranes</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442">
        <w:r>
          <w:rPr>
            <w:color w:val="1155CC"/>
            <w:u w:val="single"/>
          </w:rPr>
          <w:t>10.1021/acsami.6c12016</w:t>
        </w:r>
      </w:hyperlink>
    </w:p>
    <w:p>
      <w:pPr>
        <w:spacing w:before="0" w:after="120"/>
      </w:pPr>
      <w:r>
        <w:rPr>
          <w:b/>
        </w:rPr>
        <w:t xml:space="preserve">Notes: </w:t>
      </w:r>
      <w:r>
        <w:t>abstract_source=crossref</w:t>
      </w:r>
    </w:p>
    <w:p>
      <w:pPr>
        <w:spacing w:before="0" w:after="80" w:lineRule="auto" w:line="276"/>
      </w:pPr>
      <w:r>
        <w:rPr>
          <w:b/>
        </w:rPr>
        <w:t xml:space="preserve">摘要（ZH）: </w:t>
      </w:r>
      <w:r>
        <w:t>摘要 全球水资源短缺与污染问题已使膜分离技术成为可持续水净化不可或缺的技术。聚偏氟乙烯（PVDF）因其卓越的化学与机械稳定性而备受推崇，但长期面临性能上的权衡困境：其固有的疏水性导致严重的生物污损，而用于清除生物膜的氯再生处理又会降解表面接枝的抗菌功能层。本文报道了一种高性能可充氯型N-卤胺抗菌膜（记为PPVDF-O-TP-Cl，即接枝了氯化TMP结构单元的PEG共混PVDF），采用“被动防御—主动攻击”一体化策略制备，通过酯键将空间位阻型2,2,6,6-四甲基哌啶（TMP-OH）共价锚定在PVDF主链上。该膜展现出强效的广谱抗菌性能，在30分钟内对革兰氏阴性大肠杆菌实现6.1个对数级的杀灭、对革兰氏阳性金黄色葡萄球菌实现5.5个对数级的杀灭，通量恢复率超过90.0%，且经过10次氯化-再生循环后仍保持99%以上的抗菌活性。值得注意的是，TMP的庞大甲基基团通过空间位阻保护易受水解和氧化降解的酯键，而PEG水化层与N-卤胺结构单元协同缓解了困扰传统膜材料的界面动力学失衡问题。本工作为设计耐久型可再充电抗生物污损膜提供了一种通用策略，其长期性能有待进一步研究。</w:t>
      </w:r>
    </w:p>
    <w:p>
      <w:pPr>
        <w:spacing w:before="0" w:after="200" w:lineRule="auto" w:line="276"/>
      </w:pPr>
      <w:r>
        <w:rPr>
          <w:b/>
        </w:rPr>
        <w:t xml:space="preserve">Abstract (EN): </w:t>
      </w:r>
      <w:r>
        <w:t>Global water scarcity and pollution have elevated membrane separation to an indispensable technology for sustainable water purification. Poly(vinylidene fluoride) (PVDF), prized for its exceptional chemical and mechanical stability, faces a long-standing performance trade-off, as its inherent hydrophobicity causes severe biofouling, while chlorine regeneration for biofilm removal degrades surface-grafted antibacterial functional layers. Herein, we report a high-performance chlorine-rechargeable N-halamine antibacterial membrane (denoted as PPVDF-O-TP-Cl, a PEG-blended PVDF grafted with chlorinated TMP moieties) fabricated via an integrated “passive defense-active attack” strategy, featuring covalent surface anchoring of sterically hindered 2,2,6,6-tetramethylpiperidine (TMP-OH) onto PVDF backbones through ester linkages. The membrane achieved robust broad-spectrum antibacterial efficacy, delivering a 6.1-log reduction against Gram-negative E. coli and a 5.5-log reduction against Gram-positive S. aureus within 30 min, a flux recovery ratio exceeding 90.0%, and retained over 99% antibacterial activity after 10 chlorination-regeneration cycles. Notably, TMP’s bulky methyl groups sterically shield vulnerable ester bonds from hydrolytic and oxidative degradation, while PEG hydration layers and N-halamine moieties synergistically mitigate the interfacial kinetic imbalance plaguing traditional membranes. This work provides a versatile strategy for designing durable rechargeable anti-biofouling membranes, with future investigations warranted into their long-term performance in complex real wastewater matrices and scalable fabrication.</w:t>
      </w:r>
    </w:p>
    <w:p>
      <w:pPr>
        <w:spacing w:before="120" w:after="120"/>
      </w:pPr>
      <w:r>
        <w:rPr>
          <w:sz w:val="18"/>
        </w:rPr>
        <w:t>——————————————————————————————————————————————————————————————————————</w:t>
      </w:r>
    </w:p>
    <w:p>
      <w:pPr>
        <w:spacing w:before="160" w:after="40" w:line="240" w:lineRule="auto"/>
      </w:pPr>
      <w:r>
        <w:rPr>
          <w:b/>
        </w:rPr>
        <w:t xml:space="preserve">[12] </w:t>
      </w:r>
      <w:hyperlink r:id="rId443">
        <w:r>
          <w:rPr>
            <w:color w:val="1155CC"/>
            <w:u w:val="single"/>
          </w:rPr>
          <w:t>纳米药物的两性离子PEG化以降低免疫原性并提高药物递送效率</w:t>
        </w:r>
      </w:hyperlink>
    </w:p>
    <w:p>
      <w:pPr>
        <w:spacing w:before="0" w:after="80"/>
      </w:pPr>
      <w:r>
        <w:rPr>
          <w:i/>
          <w:sz w:val="20"/>
        </w:rPr>
        <w:t>EN: Zwitterionic PEGylation of Nanodrugs for Reduced Immunogenicity and Improved Drug Delivery Efficacy</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443">
        <w:r>
          <w:rPr>
            <w:color w:val="1155CC"/>
            <w:u w:val="single"/>
          </w:rPr>
          <w:t>10.1021/acsami.6c12129</w:t>
        </w:r>
      </w:hyperlink>
    </w:p>
    <w:p>
      <w:pPr>
        <w:spacing w:before="0" w:after="120"/>
      </w:pPr>
      <w:r>
        <w:rPr>
          <w:b/>
        </w:rPr>
        <w:t xml:space="preserve">Notes: </w:t>
      </w:r>
      <w:r>
        <w:t>abstract_source=crossref</w:t>
      </w:r>
    </w:p>
    <w:p>
      <w:pPr>
        <w:spacing w:before="0" w:after="80" w:lineRule="auto" w:line="276"/>
      </w:pPr>
      <w:r>
        <w:rPr>
          <w:b/>
        </w:rPr>
        <w:t xml:space="preserve">摘要（ZH）: </w:t>
      </w:r>
      <w:r>
        <w:t>摘要 PEG化脂质体因其长循环时间和在病理部位的增强蓄积而被广泛用作药物递送载体。然而，反复给药可能引发加速血液清除（ABC）现象，降低递送效率。本文报道了一种两性离子PEG化策略，通过将谷氨酸-赖氨酸（EK）肽接枝到PEG化磷脂衍生物上，构建基于脂质体（Lip）的药物递送系统。小角中子散射分析证实，EK修饰显著增强了脂质体的水合作用，与常规PEG化相比蛋白质吸附减少了40倍，从而降低了免疫细胞摄取、抗PEG抗体产生以及EK-Lip的非特异性肝脏蓄积。此外，即使存在预先形成的APA，EK-Lip也能缓解ABC效应，多次注射后其药代动力学曲线下面积较Lip提高两倍。负载阿霉素后，两性离子型EK-Lip表现出比常规制剂更低的免疫原性和更优的抗肿瘤疗效。本工作提供了一种简便的两性离子脂质体组装策略，通过修饰表面化学性质，为解决PEG化脂质体的ABC效应提供了有前景的方案。</w:t>
      </w:r>
    </w:p>
    <w:p>
      <w:pPr>
        <w:spacing w:before="0" w:after="200" w:lineRule="auto" w:line="276"/>
      </w:pPr>
      <w:r>
        <w:rPr>
          <w:b/>
        </w:rPr>
        <w:t xml:space="preserve">Abstract (EN): </w:t>
      </w:r>
      <w:r>
        <w:t>PEGylated liposomes are widely used as drug delivery carriers due to their prolonged circulation and enhanced accumulation at pathological sites. However, repeated administration can trigger the accelerated blood clearance (ABC) phenomenon, reducing delivery efficacy. Herein, we report a zwitterionic PEGylation strategy by grafting glutamic acid-lysine (EK) peptides onto PEGylated phospholipid derivatives to assemble liposome (Lip)-based drug delivery systems. Small-angle neutron scattering analysis confirmed that EK modification significantly enhanced Lip hydration, leading to a 40-fold reduction in protein adsorption compared to conventional PEGylation, which therefore reduced immune cell uptake, anti-PEG antibody production, and nonspecific hepatic accumulation of EK-Lip. Furthermore, even in the presence of preexisting APAs, EK-Lip could mitigate the ABC effect and exhibit a twofold increase in the area under the curve of the pharmacokinetic profile after multiple injections compared to Lip. When loaded with doxorubicin, the zwitterionic EK-Lip demonstrated lower immunogenicity and superior antitumor efficacy compared to conventional formulations. This work provides a facile strategy to assemble zwitterionic liposomes with modified surface chemistry, offering a promising solution to the ABC effect in PEGylated liposomes.</w:t>
      </w:r>
    </w:p>
    <w:p>
      <w:pPr>
        <w:spacing w:before="120" w:after="120"/>
      </w:pPr>
      <w:r>
        <w:rPr>
          <w:sz w:val="18"/>
        </w:rPr>
        <w:t>——————————————————————————————————————————————————————————————————————</w:t>
      </w:r>
    </w:p>
    <w:p>
      <w:pPr>
        <w:spacing w:before="160" w:after="40" w:line="240" w:lineRule="auto"/>
      </w:pPr>
      <w:r>
        <w:rPr>
          <w:b/>
        </w:rPr>
        <w:t xml:space="preserve">[13] </w:t>
      </w:r>
      <w:hyperlink r:id="rId444">
        <w:r>
          <w:rPr>
            <w:color w:val="1155CC"/>
            <w:u w:val="single"/>
          </w:rPr>
          <w:t>液晶弹性体材料智能驱动的自主转向越障软体机器人</w:t>
        </w:r>
      </w:hyperlink>
    </w:p>
    <w:p>
      <w:pPr>
        <w:spacing w:before="0" w:after="80"/>
      </w:pPr>
      <w:r>
        <w:rPr>
          <w:i/>
          <w:sz w:val="20"/>
        </w:rPr>
        <w:t>EN: Autonomous Self-Turning and Obstacle-Surmounting Soft Robots Enabled by Liquid Crystal Elastomer Material Intelligence</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444">
        <w:r>
          <w:rPr>
            <w:color w:val="1155CC"/>
            <w:u w:val="single"/>
          </w:rPr>
          <w:t>10.1021/acsami.6c13362</w:t>
        </w:r>
      </w:hyperlink>
    </w:p>
    <w:p>
      <w:pPr>
        <w:spacing w:before="0" w:after="120"/>
      </w:pPr>
      <w:r>
        <w:rPr>
          <w:b/>
        </w:rPr>
        <w:t xml:space="preserve">Notes: </w:t>
      </w:r>
      <w:r>
        <w:t>abstract_source=crossref</w:t>
      </w:r>
    </w:p>
    <w:p>
      <w:pPr>
        <w:spacing w:before="0" w:after="80" w:lineRule="auto" w:line="276"/>
      </w:pPr>
      <w:r>
        <w:rPr>
          <w:b/>
        </w:rPr>
        <w:t xml:space="preserve">摘要（ZH）: </w:t>
      </w:r>
      <w:r>
        <w:t>摘要 本研究报道了一种受天然攀援卷须启发、通过低成本且参数可调的方法制备的手性螺旋软体机器人。由于材料内在结构与热场之间的深度耦合，该系统无需外部电源即可将环境热能转化为动能，从而表现出独特的热致解旋行为，产生显著的初始动能，使其最大滚动速度位于已报道的自主机器人速度范围的上段。螺旋LCE条带展现出由形变与能量反馈支配的路径选择行为，使其在复杂环境中具备卓越的适应性、自主转向、避障和越障能力。得益于特定设计，可在制备后诱导非对称形状，实现自运动轨迹的自适应控制。其潜在机制源于热驱动解旋与能量再分布：弹性势能在滚动过程中或接触障碍物时储存于螺旋结构中，并在特定条件下释放。本工作凸显了软体机器人在自主运动、环境交互以及实现物理智能方面的潜力，同时为低功耗、多功能软体机器人系统的设计提供了新策略。</w:t>
      </w:r>
    </w:p>
    <w:p>
      <w:pPr>
        <w:spacing w:before="0" w:after="200" w:lineRule="auto" w:line="276"/>
      </w:pPr>
      <w:r>
        <w:rPr>
          <w:b/>
        </w:rPr>
        <w:t xml:space="preserve">Abstract (EN): </w:t>
      </w:r>
      <w:r>
        <w:t>This study reports the development of a chiral helical soft robot inspired by natural climbing tendrils, fabricated through a low-cost and parameter-tunable approach. Owing to the deep coupling between the intrinsic structure of the material and the thermal field, the system converts ambient thermal energy into kinetic energy without the need for external power sources, thereby exhibiting a unique thermally induced untwisting behavior that generates pronounced initial kinetic energy resulting in a maximum rolling velocity within the upper range of those reported for autonomous robots. The helical LCE strip demonstrates path selection behaviors governed by deformation and energy feedback, enabling remarkable adaptability, self-turning, obstacle avoidance, and obstacle-crossing capabilities in complex environments. Owing to the specific design, an asymmetrical shape can be induced post-fabrication, enabling adaptive control of the self-motion trajectory. The underlying mechanism arises from thermally driven untwisting and energy redistribution; whereby elastic potential energy is stored within the helical architecture during rolling or upon obstacle contact and subsequently released under specific conditions. This work highlights the potential of soft robots for autonomous locomotion, environmental interaction, and the realization of physical intelligence, while offering new strategies for the design of low-power and multifunctional soft robotic systems.</w:t>
      </w:r>
    </w:p>
    <w:p>
      <w:pPr>
        <w:spacing w:before="120" w:after="120"/>
      </w:pPr>
      <w:r>
        <w:rPr>
          <w:sz w:val="18"/>
        </w:rPr>
        <w:t>——————————————————————————————————————————————————————————————————————</w:t>
      </w:r>
    </w:p>
    <w:p>
      <w:pPr>
        <w:spacing w:before="160" w:after="40" w:line="240" w:lineRule="auto"/>
      </w:pPr>
      <w:r>
        <w:rPr>
          <w:b/>
        </w:rPr>
        <w:t xml:space="preserve">[14] </w:t>
      </w:r>
      <w:hyperlink r:id="rId445">
        <w:r>
          <w:rPr>
            <w:color w:val="1155CC"/>
            <w:u w:val="single"/>
          </w:rPr>
          <w:t>撤稿</w:t>
        </w:r>
      </w:hyperlink>
    </w:p>
    <w:p>
      <w:pPr>
        <w:spacing w:before="0" w:after="80"/>
      </w:pPr>
      <w:r>
        <w:rPr>
          <w:i/>
          <w:sz w:val="20"/>
        </w:rPr>
        <w:t>EN: Retraction</w:t>
      </w:r>
    </w:p>
    <w:p>
      <w:pPr>
        <w:spacing w:before="0" w:after="120"/>
      </w:pPr>
      <w:r>
        <w:rPr>
          <w:b/>
        </w:rPr>
        <w:t xml:space="preserve">Source: </w:t>
      </w:r>
      <w:r>
        <w:t>Science Advances</w:t>
      </w:r>
      <w:r>
        <w:t xml:space="preserve">    </w:t>
      </w:r>
      <w:r>
        <w:rPr>
          <w:b/>
        </w:rPr>
        <w:t xml:space="preserve">Pub date: </w:t>
      </w:r>
      <w:r>
        <w:t>2026-08-28 00:00:00+00:00</w:t>
      </w:r>
      <w:r>
        <w:t xml:space="preserve">    </w:t>
      </w:r>
      <w:r>
        <w:rPr>
          <w:b/>
        </w:rPr>
        <w:t xml:space="preserve">DOI: </w:t>
      </w:r>
      <w:hyperlink r:id="rId445">
        <w:r>
          <w:rPr>
            <w:color w:val="1155CC"/>
            <w:u w:val="single"/>
          </w:rPr>
          <w:t>10.1126/sciadv.ael6996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446">
        <w:r>
          <w:rPr>
            <w:color w:val="1155CC"/>
            <w:u w:val="single"/>
          </w:rPr>
          <w:t>烯酮驱动的Mizoroki–Heck交叉偶联</w:t>
        </w:r>
      </w:hyperlink>
    </w:p>
    <w:p>
      <w:pPr>
        <w:spacing w:before="0" w:after="80"/>
      </w:pPr>
      <w:r>
        <w:rPr>
          <w:i/>
          <w:sz w:val="20"/>
        </w:rPr>
        <w:t>EN: Ketene-driven Mizoroki–Heck cross-coupling</w:t>
      </w:r>
    </w:p>
    <w:p>
      <w:pPr>
        <w:spacing w:before="0" w:after="120"/>
      </w:pPr>
      <w:r>
        <w:rPr>
          <w:b/>
        </w:rPr>
        <w:t xml:space="preserve">Source: </w:t>
      </w:r>
      <w:r>
        <w:t>Nature Catalysis</w:t>
      </w:r>
      <w:r>
        <w:t xml:space="preserve">    </w:t>
      </w:r>
      <w:r>
        <w:rPr>
          <w:b/>
        </w:rPr>
        <w:t xml:space="preserve">Pub date: </w:t>
      </w:r>
      <w:r>
        <w:t>2026-08-28 00:00:00+00:00</w:t>
      </w:r>
      <w:r>
        <w:t xml:space="preserve">    </w:t>
      </w:r>
      <w:r>
        <w:rPr>
          <w:b/>
        </w:rPr>
        <w:t xml:space="preserve">DOI: </w:t>
      </w:r>
      <w:hyperlink r:id="rId447">
        <w:r>
          <w:rPr>
            <w:color w:val="1155CC"/>
            <w:u w:val="single"/>
          </w:rPr>
          <w:t>10.1038/s41929-026-01597-6</w:t>
        </w:r>
      </w:hyperlink>
    </w:p>
    <w:p>
      <w:pPr>
        <w:spacing w:before="0" w:after="120"/>
      </w:pPr>
      <w:r>
        <w:rPr>
          <w:b/>
        </w:rPr>
        <w:t xml:space="preserve">Notes: </w:t>
      </w:r>
      <w:r>
        <w:t>abstract_source=rss_nature</w:t>
      </w:r>
    </w:p>
    <w:p>
      <w:pPr>
        <w:spacing w:before="0" w:after="80" w:lineRule="auto" w:line="276"/>
      </w:pPr>
      <w:r>
        <w:rPr>
          <w:b/>
        </w:rPr>
        <w:t xml:space="preserve">摘要（ZH）: </w:t>
      </w:r>
      <w:r>
        <w:t>Mizoroki–Heck反应活性长期以来主要局限于芳基（拟）卤化物与烯烃的偶联。如今，对原位生成烯酮的利用开启了通过Heck型路径直接合成α,β-不饱和羰基化合物和二乙烯基酮的大门。</w:t>
      </w:r>
    </w:p>
    <w:p>
      <w:pPr>
        <w:spacing w:before="0" w:after="200" w:lineRule="auto" w:line="276"/>
      </w:pPr>
      <w:r>
        <w:rPr>
          <w:b/>
        </w:rPr>
        <w:t xml:space="preserve">Abstract (EN): </w:t>
      </w:r>
      <w:r>
        <w:t>Mizoroki–Heck reactivity has mostly been confined to the coupling of aryl (pseudo)halides with olefins. Now, the exploitation of ketenes generated in situ has unlocked direct access to α,β-unsaturated carbonyl compounds and divinyl ketones via a Heck-type pathway.</w:t>
      </w:r>
    </w:p>
    <w:p>
      <w:pPr>
        <w:spacing w:before="120" w:after="120"/>
      </w:pPr>
      <w:r>
        <w:rPr>
          <w:sz w:val="18"/>
        </w:rPr>
        <w:t>——————————————————————————————————————————————————————————————————————</w:t>
      </w:r>
    </w:p>
    <w:p>
      <w:pPr>
        <w:spacing w:before="160" w:after="40" w:line="240" w:lineRule="auto"/>
      </w:pPr>
      <w:r>
        <w:rPr>
          <w:b/>
        </w:rPr>
        <w:t xml:space="preserve">[16] </w:t>
      </w:r>
      <w:hyperlink r:id="rId448">
        <w:r>
          <w:rPr>
            <w:color w:val="1155CC"/>
            <w:u w:val="single"/>
          </w:rPr>
          <w:t>从环境感知到社会聆听</w:t>
        </w:r>
      </w:hyperlink>
    </w:p>
    <w:p>
      <w:pPr>
        <w:spacing w:before="0" w:after="80"/>
      </w:pPr>
      <w:r>
        <w:rPr>
          <w:i/>
          <w:sz w:val="20"/>
        </w:rPr>
        <w:t>EN: From environmental sensing to societal listening</w:t>
      </w:r>
    </w:p>
    <w:p>
      <w:pPr>
        <w:spacing w:before="0" w:after="120"/>
      </w:pPr>
      <w:r>
        <w:rPr>
          <w:b/>
        </w:rPr>
        <w:t xml:space="preserve">Source: </w:t>
      </w:r>
      <w:r>
        <w:t>Nature Sensors</w:t>
      </w:r>
      <w:r>
        <w:t xml:space="preserve">    </w:t>
      </w:r>
      <w:r>
        <w:rPr>
          <w:b/>
        </w:rPr>
        <w:t xml:space="preserve">Pub date: </w:t>
      </w:r>
      <w:r>
        <w:t>2026-08-28 00:00:00+00:00</w:t>
      </w:r>
      <w:r>
        <w:t xml:space="preserve">    </w:t>
      </w:r>
      <w:r>
        <w:rPr>
          <w:b/>
        </w:rPr>
        <w:t xml:space="preserve">DOI: </w:t>
      </w:r>
      <w:hyperlink r:id="rId449">
        <w:r>
          <w:rPr>
            <w:color w:val="1155CC"/>
            <w:u w:val="single"/>
          </w:rPr>
          <w:t>10.1038/s44460-026-00135-y</w:t>
        </w:r>
      </w:hyperlink>
    </w:p>
    <w:p>
      <w:pPr>
        <w:spacing w:before="0" w:after="120"/>
      </w:pPr>
      <w:r>
        <w:rPr>
          <w:b/>
        </w:rPr>
        <w:t xml:space="preserve">Notes: </w:t>
      </w:r>
      <w:r>
        <w:t>abstract_source=rss_nature</w:t>
      </w:r>
    </w:p>
    <w:p>
      <w:pPr>
        <w:spacing w:before="0" w:after="80" w:lineRule="auto" w:line="276"/>
      </w:pPr>
      <w:r>
        <w:rPr>
          <w:b/>
        </w:rPr>
        <w:t xml:space="preserve">摘要（ZH）: </w:t>
      </w:r>
      <w:r>
        <w:t>环境感知如今能以前所未有的精度捕捉环境变化，然而这些信号往往难以进入公众意识或引导集体响应。将测量与文化意义、感官体验和制度行动相结合，可将感知系统转化为社会聆听的基础。</w:t>
      </w:r>
    </w:p>
    <w:p>
      <w:pPr>
        <w:spacing w:before="0" w:after="200" w:lineRule="auto" w:line="276"/>
      </w:pPr>
      <w:r>
        <w:rPr>
          <w:b/>
        </w:rPr>
        <w:t xml:space="preserve">Abstract (EN): </w:t>
      </w:r>
      <w:r>
        <w:t>Environmental sensing now captures environmental change with unprecedented precision, yet these signals often fail to enter public awareness or guide collective response. Bridging measurement with cultural meaning, sensory experience and institutional action can transform sensing systems into foundations for societal listening.</w:t>
      </w:r>
    </w:p>
    <w:p>
      <w:pPr>
        <w:spacing w:before="120" w:after="120"/>
      </w:pPr>
      <w:r>
        <w:rPr>
          <w:sz w:val="18"/>
        </w:rPr>
        <w:t>——————————————————————————————————————————————————————————————————————</w:t>
      </w:r>
    </w:p>
    <w:p>
      <w:pPr>
        <w:spacing w:before="160" w:after="40" w:line="240" w:lineRule="auto"/>
      </w:pPr>
      <w:r>
        <w:rPr>
          <w:b/>
        </w:rPr>
        <w:t xml:space="preserve">[17] </w:t>
      </w:r>
      <w:hyperlink r:id="rId450">
        <w:r>
          <w:rPr>
            <w:color w:val="1155CC"/>
            <w:u w:val="single"/>
          </w:rPr>
          <w:t>简报聊天:Dolly Parton如何在科学界留下印记</w:t>
        </w:r>
      </w:hyperlink>
    </w:p>
    <w:p>
      <w:pPr>
        <w:spacing w:before="0" w:after="80"/>
      </w:pPr>
      <w:r>
        <w:rPr>
          <w:i/>
          <w:sz w:val="20"/>
        </w:rPr>
        <w:t>EN: Briefing Chat: How Dolly Parton left her mark on science</w:t>
      </w:r>
    </w:p>
    <w:p>
      <w:pPr>
        <w:spacing w:before="0" w:after="120"/>
      </w:pPr>
      <w:r>
        <w:rPr>
          <w:b/>
        </w:rPr>
        <w:t xml:space="preserve">Source: </w:t>
      </w:r>
      <w:r>
        <w:t>Nature</w:t>
      </w:r>
      <w:r>
        <w:t xml:space="preserve">    </w:t>
      </w:r>
      <w:r>
        <w:rPr>
          <w:b/>
        </w:rPr>
        <w:t xml:space="preserve">Pub date: </w:t>
      </w:r>
      <w:r>
        <w:t>2026-08-28 00:00:00+00:00</w:t>
      </w:r>
      <w:r>
        <w:t xml:space="preserve">    </w:t>
      </w:r>
      <w:r>
        <w:rPr>
          <w:b/>
        </w:rPr>
        <w:t xml:space="preserve">DOI: </w:t>
      </w:r>
      <w:hyperlink r:id="rId451">
        <w:r>
          <w:rPr>
            <w:color w:val="1155CC"/>
            <w:u w:val="single"/>
          </w:rPr>
          <w:t>10.1038/d41586-026-02732-w</w:t>
        </w:r>
      </w:hyperlink>
    </w:p>
    <w:p>
      <w:pPr>
        <w:spacing w:before="0" w:after="120"/>
      </w:pPr>
      <w:r>
        <w:rPr>
          <w:b/>
        </w:rPr>
        <w:t xml:space="preserve">Notes: </w:t>
      </w:r>
      <w:r>
        <w:t>abstract_source=rss_nature</w:t>
      </w:r>
    </w:p>
    <w:p>
      <w:pPr>
        <w:spacing w:before="0" w:after="80" w:lineRule="auto" w:line="276"/>
      </w:pPr>
      <w:r>
        <w:rPr>
          <w:b/>
        </w:rPr>
        <w:t xml:space="preserve">摘要（ZH）: </w:t>
      </w:r>
      <w:r>
        <w:t>《自然》记者探讨这位乡村音乐偶像对疫苗和公共卫生的倡导——此外，还有mRNA癌症疗法令人鼓舞的试验结果。</w:t>
      </w:r>
    </w:p>
    <w:p>
      <w:pPr>
        <w:spacing w:before="0" w:after="200" w:lineRule="auto" w:line="276"/>
      </w:pPr>
      <w:r>
        <w:rPr>
          <w:b/>
        </w:rPr>
        <w:t xml:space="preserve">Abstract (EN): </w:t>
      </w:r>
      <w:r>
        <w:t>Nature reporters discuss the country-music icon's advocacy for vaccines and public health — plus, promising trial results for an mRNA cancer therapy.</w:t>
      </w:r>
    </w:p>
    <w:p>
      <w:pPr>
        <w:spacing w:before="120" w:after="120"/>
      </w:pPr>
      <w:r>
        <w:rPr>
          <w:sz w:val="18"/>
        </w:rPr>
        <w:t>——————————————————————————————————————————————————————————————————————</w:t>
      </w:r>
    </w:p>
    <w:p>
      <w:pPr>
        <w:spacing w:before="160" w:after="40" w:line="240" w:lineRule="auto"/>
      </w:pPr>
      <w:r>
        <w:rPr>
          <w:b/>
        </w:rPr>
        <w:t xml:space="preserve">[18] </w:t>
      </w:r>
      <w:hyperlink r:id="rId452">
        <w:r>
          <w:rPr>
            <w:color w:val="1155CC"/>
            <w:u w:val="single"/>
          </w:rPr>
          <w:t>单位量子产率下的超快质子耦合电子转移反应</w:t>
        </w:r>
      </w:hyperlink>
    </w:p>
    <w:p>
      <w:pPr>
        <w:spacing w:before="0" w:after="80"/>
      </w:pPr>
      <w:r>
        <w:rPr>
          <w:i/>
          <w:sz w:val="20"/>
        </w:rPr>
        <w:t>EN: Ultrafast Proton-Coupled Electron Transfer Reactions at Unit Quantum Yield</w:t>
      </w:r>
    </w:p>
    <w:p>
      <w:pPr>
        <w:spacing w:before="0" w:after="120"/>
      </w:pPr>
      <w:r>
        <w:rPr>
          <w:b/>
        </w:rPr>
        <w:t xml:space="preserve">Source: </w:t>
      </w:r>
      <w:r>
        <w:t>Journal of the American Chemical Society</w:t>
      </w:r>
      <w:r>
        <w:t xml:space="preserve">    </w:t>
      </w:r>
      <w:r>
        <w:rPr>
          <w:b/>
        </w:rPr>
        <w:t xml:space="preserve">Pub date: </w:t>
      </w:r>
      <w:r>
        <w:t>2026-08-28 00:00:00+00:00</w:t>
      </w:r>
      <w:r>
        <w:t xml:space="preserve">    </w:t>
      </w:r>
      <w:r>
        <w:rPr>
          <w:b/>
        </w:rPr>
        <w:t xml:space="preserve">DOI: </w:t>
      </w:r>
      <w:hyperlink r:id="rId452">
        <w:r>
          <w:rPr>
            <w:color w:val="1155CC"/>
            <w:u w:val="single"/>
          </w:rPr>
          <w:t>10.1021/jacs.6c11637</w:t>
        </w:r>
      </w:hyperlink>
    </w:p>
    <w:p>
      <w:pPr>
        <w:spacing w:before="0" w:after="120"/>
      </w:pPr>
      <w:r>
        <w:rPr>
          <w:b/>
        </w:rPr>
        <w:t xml:space="preserve">Notes: </w:t>
      </w:r>
      <w:r>
        <w:t>abstract_source=crossref</w:t>
      </w:r>
    </w:p>
    <w:p>
      <w:pPr>
        <w:spacing w:before="0" w:after="80" w:lineRule="auto" w:line="276"/>
      </w:pPr>
      <w:r>
        <w:rPr>
          <w:b/>
        </w:rPr>
        <w:t xml:space="preserve">摘要（ZH）: </w:t>
      </w:r>
      <w:r>
        <w:t>摘要 质子耦合电子转移（PCET）反应介导着重要的生物能量转换过程，然而在超快时间尺度上区分协同电子/质子运动与 sequential 电子转移/质子转移路径的动态实验尚无先例。本文报道了一种紧密耦合的给体–间隔–受体组装体NDI-Sp-PhOH/BI，可实现对光触发超快PCET动力学的直接探究。萘二酰亚胺发色团的光激发驱动电荷分离，以440 fs时间常数生成NDI自由基阴离子和苯并咪唑鎓苯氧自由基（PhO•/BIH+）产物，随后在5 ps时间尺度上发生热电荷复合。瞬态可见/近红外和中红外光谱分别追踪电子和质子运动，揭示电荷分离PCET产物的同步生成与衰减，排除了sequential电子转移-质子转移（ET-PT）路径所预期的可检测苯酚自由基阳离子或苯酚盐中间体。表面跳跃准经典轨迹模拟表明质子快速重定位与从局域激发态到电荷转移态的演化相耦合，与协同机理相符。这些光谱与计算相结合的结果确立了NDI-Sp-PhOH/BI作为以单位量子产率发生超快协同PCET的原型；此外，由于该平台在基态、电子激发态和电荷分离态中提供了独特的电子和振动光谱探针，它为</w:t>
      </w:r>
    </w:p>
    <w:p>
      <w:pPr>
        <w:spacing w:before="0" w:after="200" w:lineRule="auto" w:line="276"/>
      </w:pPr>
      <w:r>
        <w:rPr>
          <w:b/>
        </w:rPr>
        <w:t xml:space="preserve">Abstract (EN): </w:t>
      </w:r>
      <w:r>
        <w:t>Proton-coupled electron transfer (PCET) reactions mediate essential biological energy-conversion processes, yet dynamical experiments that distinguish concerted electron/proton motion from sequential electron-transfer/proton-transfer pathways are unprecedented on ultrafast time scales. Here we report a tightly coupled donor–spacer–acceptor assembly, NDI-Sp-PhOH/BI, that enables direct interrogation of light-triggered and ultrafast PCET dynamics. Photoexcitation of the naphthalene diimide chromophore drives charge separation forming NDI radical anion and benzimidazolium phenoxy radical (PhO•/BIH+) products with a 440 fs time constant, followed by thermal charge recombination on a 5 ps time scale. Transient visible/near-infrared and mid-infrared spectroscopies independently track electron and proton motion and reveal coincident formation and decay of the charge-separated PCET products, excluding detectable phenol radical cation or phenoxide intermediates expected for sequential electron transfer-proton transfer (ET-PT) pathways. Surface-hopping quasiclassical trajectory simulations demonstrate rapid proton relocation coupled to evolution from locally excited to charge-transfer states, congruent with a concerted mechanism. These combined spectroscopic and computational results establish NDI-Sp-PhOH/BI as an archetype for ultrafast, concerted PCET occurring with unit quantum yield; further, because this platform provides distinct electronic and vibrational spectroscopic handles in its ground, electronically excited, and charge-separated states, it provides new opportunities to characterize mechanistic crossover in biomimetic PCET systems.</w:t>
      </w:r>
    </w:p>
    <w:p>
      <w:pPr>
        <w:spacing w:before="120" w:after="120"/>
      </w:pPr>
      <w:r>
        <w:rPr>
          <w:sz w:val="18"/>
        </w:rPr>
        <w:t>——————————————————————————————————————————————————————————————————————</w:t>
      </w:r>
    </w:p>
    <w:p>
      <w:pPr>
        <w:spacing w:before="160" w:after="40" w:line="240" w:lineRule="auto"/>
      </w:pPr>
      <w:r>
        <w:rPr>
          <w:b/>
        </w:rPr>
        <w:t xml:space="preserve">[19] </w:t>
      </w:r>
      <w:hyperlink r:id="rId453">
        <w:r>
          <w:rPr>
            <w:color w:val="1155CC"/>
            <w:u w:val="single"/>
          </w:rPr>
          <w:t>通过Pd(II)催化的B–H键活化合成碳硼烷修饰的糖类与核苷</w:t>
        </w:r>
      </w:hyperlink>
    </w:p>
    <w:p>
      <w:pPr>
        <w:spacing w:before="0" w:after="80"/>
      </w:pPr>
      <w:r>
        <w:rPr>
          <w:i/>
          <w:sz w:val="20"/>
        </w:rPr>
        <w:t>EN: Synthesis of Carborane-Modified Sugars and Nucleosides via Pd(II)-Catalyzed B–H Bond Activation</w:t>
      </w:r>
    </w:p>
    <w:p>
      <w:pPr>
        <w:spacing w:before="0" w:after="120"/>
      </w:pPr>
      <w:r>
        <w:rPr>
          <w:b/>
        </w:rPr>
        <w:t xml:space="preserve">Source: </w:t>
      </w:r>
      <w:r>
        <w:t>Journal of the American Chemical Society</w:t>
      </w:r>
      <w:r>
        <w:t xml:space="preserve">    </w:t>
      </w:r>
      <w:r>
        <w:rPr>
          <w:b/>
        </w:rPr>
        <w:t xml:space="preserve">Pub date: </w:t>
      </w:r>
      <w:r>
        <w:t>2026-08-28 00:00:00+00:00</w:t>
      </w:r>
      <w:r>
        <w:t xml:space="preserve">    </w:t>
      </w:r>
      <w:r>
        <w:rPr>
          <w:b/>
        </w:rPr>
        <w:t xml:space="preserve">DOI: </w:t>
      </w:r>
      <w:hyperlink r:id="rId453">
        <w:r>
          <w:rPr>
            <w:color w:val="1155CC"/>
            <w:u w:val="single"/>
          </w:rPr>
          <w:t>10.1021/jacs.6c11012</w:t>
        </w:r>
      </w:hyperlink>
    </w:p>
    <w:p>
      <w:pPr>
        <w:spacing w:before="0" w:after="120"/>
      </w:pPr>
      <w:r>
        <w:rPr>
          <w:b/>
        </w:rPr>
        <w:t xml:space="preserve">Notes: </w:t>
      </w:r>
      <w:r>
        <w:t>abstract_source=crossref</w:t>
      </w:r>
    </w:p>
    <w:p>
      <w:pPr>
        <w:spacing w:before="0" w:after="80" w:lineRule="auto" w:line="276"/>
      </w:pPr>
      <w:r>
        <w:rPr>
          <w:b/>
        </w:rPr>
        <w:t xml:space="preserve">摘要（ZH）: </w:t>
      </w:r>
      <w:r>
        <w:t>摘要 碳硼烷修饰的糖和核苷是硼中子俘获治疗（BNCT）中有前景的硼递送剂。为此，一系列基于碳硼烷的糖和核苷已被成功制备。然而，目前对此类化合物的研究主要集中于碳硼烷碳位点的修饰，而无需保护基直接构建 B-糖/核苷的方法十分稀缺。在此，我们建立了一种前所未有的高效方案，通过 Pd(II) 催化的碳硼烷 B–H 键选择性活化及随后对不饱和糖和核苷的加成，实现碳硼烷修饰糖和核苷的立体选择性合成。该转化选择性地发生在糖环的 C2 位点，专一性地生成碳硼烷基处于赤道构象的产物。值得注意的是，该方案避免了糖烯和 不饱和核苷底物上羟基的预保护，具有广泛的底物兼容性和出色的合成可扩展性。机理控制实验进一步表明，羟基和含氮碱基可作为弱配位基团与 Pd 催化中心相互作用，这对促进该催化转化不可或缺。</w:t>
      </w:r>
    </w:p>
    <w:p>
      <w:pPr>
        <w:spacing w:before="0" w:after="200" w:lineRule="auto" w:line="276"/>
      </w:pPr>
      <w:r>
        <w:rPr>
          <w:b/>
        </w:rPr>
        <w:t xml:space="preserve">Abstract (EN): </w:t>
      </w:r>
      <w:r>
        <w:t>Carborane-modified sugars and nucleosides are promising boron-delivery agents for boron neutron capture therapy (BNCT). Accordingly, a series of carborane-based sugars and nucleosides have been successfully prepared. Nevertheless, current research on such compounds is mainly focused on carbon-site modification of carboranes, yet methods for directly forming B-sugars/nucleosides without a protecting group are scarce. Herein, we establish an unprecedented and highly efficient protocol for the stereoselective synthesis of carborane-modified sugars and nucleosides via Pd(II)-catalyzed selective B–H bond activation of carboranes and subsequent addition to unsaturated sugars and nucleosides. The transformation selectively occurs at the C2 site of the sugar ring, exclusively affording products with the carboranyl moiety in an equatorial conformation. Remarkably, this protocol avoids preprotection of hydroxyl groups on glycal and unsaturated nucleoside substrates and exhibits broad substrate compatibility as well as excellent synthetic scalability. Mechanistic control experiments further demonstrate that hydroxyl groups and nitrogenous bases can act as weak coordinating groups to interact with the Pd catalytic center, which are indispensable for facilitating this catalytic transformation.</w:t>
      </w:r>
    </w:p>
    <w:p>
      <w:pPr>
        <w:spacing w:before="120" w:after="120"/>
      </w:pPr>
      <w:r>
        <w:rPr>
          <w:sz w:val="18"/>
        </w:rPr>
        <w:t>——————————————————————————————————————————————————————————————————————</w:t>
      </w:r>
    </w:p>
    <w:p>
      <w:pPr>
        <w:spacing w:before="160" w:after="40" w:line="240" w:lineRule="auto"/>
      </w:pPr>
      <w:r>
        <w:rPr>
          <w:b/>
        </w:rPr>
        <w:t xml:space="preserve">[20] </w:t>
      </w:r>
      <w:hyperlink r:id="rId454">
        <w:r>
          <w:rPr>
            <w:color w:val="1155CC"/>
            <w:u w:val="single"/>
          </w:rPr>
          <w:t>通过表面引发聚合制备自发压电与热电聚丙烯腈刷</w:t>
        </w:r>
      </w:hyperlink>
    </w:p>
    <w:p>
      <w:pPr>
        <w:spacing w:before="0" w:after="80"/>
      </w:pPr>
      <w:r>
        <w:rPr>
          <w:i/>
          <w:sz w:val="20"/>
        </w:rPr>
        <w:t>EN: Spontaneously Piezo- and Pyroelectric Polyacrylonitrile Brushes Prepared via Surface-Initiated Polymerization</w:t>
      </w:r>
    </w:p>
    <w:p>
      <w:pPr>
        <w:spacing w:before="0" w:after="120"/>
      </w:pPr>
      <w:r>
        <w:rPr>
          <w:b/>
        </w:rPr>
        <w:t xml:space="preserve">Source: </w:t>
      </w:r>
      <w:r>
        <w:t>Journal of the American Chemical Society</w:t>
      </w:r>
      <w:r>
        <w:t xml:space="preserve">    </w:t>
      </w:r>
      <w:r>
        <w:rPr>
          <w:b/>
        </w:rPr>
        <w:t xml:space="preserve">Pub date: </w:t>
      </w:r>
      <w:r>
        <w:t>2026-08-28 00:00:00+00:00</w:t>
      </w:r>
      <w:r>
        <w:t xml:space="preserve">    </w:t>
      </w:r>
      <w:r>
        <w:rPr>
          <w:b/>
        </w:rPr>
        <w:t xml:space="preserve">DOI: </w:t>
      </w:r>
      <w:hyperlink r:id="rId454">
        <w:r>
          <w:rPr>
            <w:color w:val="1155CC"/>
            <w:u w:val="single"/>
          </w:rPr>
          <w:t>10.1021/jacs.6c10834</w:t>
        </w:r>
      </w:hyperlink>
    </w:p>
    <w:p>
      <w:pPr>
        <w:spacing w:before="0" w:after="120"/>
      </w:pPr>
      <w:r>
        <w:rPr>
          <w:b/>
        </w:rPr>
        <w:t xml:space="preserve">Notes: </w:t>
      </w:r>
      <w:r>
        <w:t>abstract_source=crossref</w:t>
      </w:r>
    </w:p>
    <w:p>
      <w:pPr>
        <w:spacing w:before="0" w:after="80" w:lineRule="auto" w:line="276"/>
      </w:pPr>
      <w:r>
        <w:rPr>
          <w:b/>
        </w:rPr>
        <w:t xml:space="preserve">摘要（ZH）: </w:t>
      </w:r>
      <w:r>
        <w:t>摘要 表面引发聚合可生成由聚合物链构成的薄膜（“刷”），其中聚合物链的一端锚定在固体表面上。由于聚合在引发剂修饰的固体基材上进行，可实现单向链增长并迫使链采取伸展构象。以丙烯腈这一具有偶极侧链官能团的单体为例，本研究发现表面引发聚合不仅影响聚合物主链的取向与构象，还可影响侧链官能团的取向。研究发现，丙烯腈的表面引发聚合可得到表现出自发热电和压电行为的聚丙烯腈（PAN）刷。由于旋涂 PAN 膜中未观察到这些性质，这表明 PAN 的表面引发生长迫使偶极氰基侧链官能团整体呈平行取向。偏振 FTIR 光谱和 NEXAFS 实验证实了这一点，结果显示 PAN 刷中的氰基整体呈各向异性取向，而旋涂 PAN 膜中的氰基取向更为各向同性。热电和压电聚合物在传感器、执行器和能量收集器件中具有吸引力，但通常需要电晕极化、机械拉伸或静电纺丝来促进分子偶极排列并增强压电和热电性能。制备具有自发热电和压</w:t>
      </w:r>
    </w:p>
    <w:p>
      <w:pPr>
        <w:spacing w:before="0" w:after="200" w:lineRule="auto" w:line="276"/>
      </w:pPr>
      <w:r>
        <w:rPr>
          <w:b/>
        </w:rPr>
        <w:t xml:space="preserve">Abstract (EN): </w:t>
      </w:r>
      <w:r>
        <w:t>Surface-initiated polymerizations generate thin films (“brushes”) consisting of polymer chains that are anchored with one chain end to a solid surface. As they are conducted from initiator-modified solid substrates, these polymerizations allow for unidirectional chain growth and enforce a stretched chain conformation. Using acrylonitrile as an example of a monomer with a dipolar side-chain functional group, this study finds that surface-initiated polymerization not only impacts the alignment and conformation of the polymer main chain but can also influence the orientation of side-chain functional groups. Surface-initiated polymerization of acrylonitrile is found to result in polyacrylonitrile (PAN) brushes that display spontaneous pyro- and piezoelectric behavior. As these properties are not observed in spin-cast PAN films, this indicates that surface-initiated growth of PAN enforces an overall parallel orientation of the dipolar nitrile side-chain functional groups. This is supported by polarized FTIR spectroscopy and NEXAFS experiments, which suggest an overall nonisotropic orientation of nitrile groups in the PAN brush, whereas the nitrile groups in the spin-cast PAN film are more isotropically oriented. Pyro- and piezoelectric polymers are attractive for use in sensors, actuators, and energy-harvesting devices but typically require electrical poling, mechanical stretching, or electrospinning to promote the alignment of molecular dipoles and enhance piezo- and pyroelectric properties. The ability to prepare thin polymer films that display spontaneous pyro- and piezoelectric behavior is significant as it renders these postprocessing steps unnecessary.</w:t>
      </w:r>
    </w:p>
    <w:p>
      <w:pPr>
        <w:spacing w:before="120" w:after="120"/>
      </w:pPr>
      <w:r>
        <w:rPr>
          <w:sz w:val="18"/>
        </w:rPr>
        <w:t>——————————————————————————————————————————————————————————————————————</w:t>
      </w:r>
    </w:p>
    <w:p>
      <w:pPr>
        <w:spacing w:before="160" w:after="40" w:line="240" w:lineRule="auto"/>
      </w:pPr>
      <w:r>
        <w:rPr>
          <w:b/>
        </w:rPr>
        <w:t xml:space="preserve">[21] </w:t>
      </w:r>
      <w:hyperlink r:id="rId455">
        <w:r>
          <w:rPr>
            <w:color w:val="1155CC"/>
            <w:u w:val="single"/>
          </w:rPr>
          <w:t>螺旋解旋主导全氟和多氟烷基物质还原脱氟反应的差异化动力学</w:t>
        </w:r>
      </w:hyperlink>
    </w:p>
    <w:p>
      <w:pPr>
        <w:spacing w:before="0" w:after="80"/>
      </w:pPr>
      <w:r>
        <w:rPr>
          <w:i/>
          <w:sz w:val="20"/>
        </w:rPr>
        <w:t>EN: Helical Unwinding Governs Divergent Kinetics in the Reductive Defluorination of Per- and Polyfluoroalkyl Substances</w:t>
      </w:r>
    </w:p>
    <w:p>
      <w:pPr>
        <w:spacing w:before="0" w:after="120"/>
      </w:pPr>
      <w:r>
        <w:rPr>
          <w:b/>
        </w:rPr>
        <w:t xml:space="preserve">Source: </w:t>
      </w:r>
      <w:r>
        <w:t>Journal of the American Chemical Society</w:t>
      </w:r>
      <w:r>
        <w:t xml:space="preserve">    </w:t>
      </w:r>
      <w:r>
        <w:rPr>
          <w:b/>
        </w:rPr>
        <w:t xml:space="preserve">Pub date: </w:t>
      </w:r>
      <w:r>
        <w:t>2026-08-28 00:00:00+00:00</w:t>
      </w:r>
      <w:r>
        <w:t xml:space="preserve">    </w:t>
      </w:r>
      <w:r>
        <w:rPr>
          <w:b/>
        </w:rPr>
        <w:t xml:space="preserve">DOI: </w:t>
      </w:r>
      <w:hyperlink r:id="rId455">
        <w:r>
          <w:rPr>
            <w:color w:val="1155CC"/>
            <w:u w:val="single"/>
          </w:rPr>
          <w:t>10.1021/jacs.6c08421</w:t>
        </w:r>
      </w:hyperlink>
    </w:p>
    <w:p>
      <w:pPr>
        <w:spacing w:before="0" w:after="120"/>
      </w:pPr>
      <w:r>
        <w:rPr>
          <w:b/>
        </w:rPr>
        <w:t xml:space="preserve">Notes: </w:t>
      </w:r>
      <w:r>
        <w:t>abstract_source=crossref</w:t>
      </w:r>
    </w:p>
    <w:p>
      <w:pPr>
        <w:spacing w:before="0" w:after="80" w:lineRule="auto" w:line="276"/>
      </w:pPr>
      <w:r>
        <w:rPr>
          <w:b/>
        </w:rPr>
        <w:t xml:space="preserve">摘要（ZH）: </w:t>
      </w:r>
      <w:r>
        <w:t>摘要 还原脱氟是降低全氟和多氟烷基物质（PFAS）环境与健康风险的重要策略。然而，PFAS 的降解速率差异很大，仅凭 C–F 键强度的差异无法解释。在此，我们利用量子化学计算发现，全氟碳主链从其固有螺旋构象解旋的能力是 PFAS 还原动力学差异的一个被忽视的来源。以水合电子为参考还原剂，我们结合 Marcus 和 Savéant 模型，展示了解旋如何在分步与协同还原脱氟路径之间改变动力学偏好，从而合理解释了实验报道的依赖于结构的降解速率。具体而言，较长的全氟碳主链倾向于通过解旋离域过剩电子，形成分步路径所需的自由基中间体。相比之下，羧酸根头基限制了解旋，从而有利于由 C–F 键强度主导的传统协同路径。纳米尺度限域可提供额外的范德华稳定作用，削弱羧酸根头基带来的构象限制，降低分步路径的活化自由能。总之，这些发现表明分子构象是除 C–F 键强度外影响 PFAS 还原动力学的潜在因素，并提出了通过微环境工程加速降解的前景</w:t>
      </w:r>
    </w:p>
    <w:p>
      <w:pPr>
        <w:spacing w:before="0" w:after="200" w:lineRule="auto" w:line="276"/>
      </w:pPr>
      <w:r>
        <w:rPr>
          <w:b/>
        </w:rPr>
        <w:t xml:space="preserve">Abstract (EN): </w:t>
      </w:r>
      <w:r>
        <w:t>Reductive defluorination offers an important strategy for mitigating the environmental and health risks posed by per- and polyfluoroalkyl substances (PFAS). However, the degradation rates of PFAS vary widely and cannot be explained by differences in C–F bond strength alone. Here, we use quantum chemical calculations to identify the ability of the perfluorocarbon backbone to unwind from its intrinsic helical conformation as an overlooked source of variation in PFAS reduction kinetics. Using the hydrated electron as the reference reductant, we combine the Marcus and Savéant models to show how helical unwinding shifts the kinetic preference between the stepwise and concerted reductive defluorination pathways, thereby rationalizing the structure-dependent degradation rates reported experimentally. Specifically, longer perfluorocarbon backbones tend to delocalize an excess electron through helical unwinding and form the radical intermediate required for the stepwise pathway. By contrast, the carboxylate headgroup constrains this unwinding, thereby favoring the conventional concerted pathway in which reactivity is governed by C–F bond strength. Nanoscale confinement can provide additional van der Waals stabilization, weakening the conformational constraint imposed by the carboxylate headgroup and lowering the activation free energy for the stepwise pathway. Together, these findings point to molecular conformation as a potential contributor to PFAS reduction kinetics alongside C–F bond strength and raise the prospect of accelerating degradation through microenvironment engineering.</w:t>
      </w:r>
    </w:p>
    <w:p>
      <w:pPr>
        <w:spacing w:before="120" w:after="120"/>
      </w:pPr>
      <w:r>
        <w:rPr>
          <w:sz w:val="18"/>
        </w:rPr>
        <w:t>——————————————————————————————————————————————————————————————————————</w:t>
      </w:r>
    </w:p>
    <w:p>
      <w:pPr>
        <w:spacing w:before="160" w:after="40" w:line="240" w:lineRule="auto"/>
      </w:pPr>
      <w:r>
        <w:rPr>
          <w:b/>
        </w:rPr>
        <w:t xml:space="preserve">[22] </w:t>
      </w:r>
      <w:hyperlink r:id="rId456">
        <w:r>
          <w:rPr>
            <w:color w:val="1155CC"/>
            <w:u w:val="single"/>
          </w:rPr>
          <w:t>手性α-硅胺与α-锗胺的对映选择性脱羧合成</w:t>
        </w:r>
      </w:hyperlink>
    </w:p>
    <w:p>
      <w:pPr>
        <w:spacing w:before="0" w:after="80"/>
      </w:pPr>
      <w:r>
        <w:rPr>
          <w:i/>
          <w:sz w:val="20"/>
        </w:rPr>
        <w:t>EN: Enantioselective Decarboxylative Synthesis of Chiral α-Silylamines and α-Germylamines</w:t>
      </w:r>
    </w:p>
    <w:p>
      <w:pPr>
        <w:spacing w:before="0" w:after="120"/>
      </w:pPr>
      <w:r>
        <w:rPr>
          <w:b/>
        </w:rPr>
        <w:t xml:space="preserve">Source: </w:t>
      </w:r>
      <w:r>
        <w:t>Journal of the American Chemical Society</w:t>
      </w:r>
      <w:r>
        <w:t xml:space="preserve">    </w:t>
      </w:r>
      <w:r>
        <w:rPr>
          <w:b/>
        </w:rPr>
        <w:t xml:space="preserve">Pub date: </w:t>
      </w:r>
      <w:r>
        <w:t>2026-08-28 00:00:00+00:00</w:t>
      </w:r>
      <w:r>
        <w:t xml:space="preserve">    </w:t>
      </w:r>
      <w:r>
        <w:rPr>
          <w:b/>
        </w:rPr>
        <w:t xml:space="preserve">DOI: </w:t>
      </w:r>
      <w:hyperlink r:id="rId456">
        <w:r>
          <w:rPr>
            <w:color w:val="1155CC"/>
            <w:u w:val="single"/>
          </w:rPr>
          <w:t>10.1021/jacs.6c12391</w:t>
        </w:r>
      </w:hyperlink>
    </w:p>
    <w:p>
      <w:pPr>
        <w:spacing w:before="0" w:after="120"/>
      </w:pPr>
      <w:r>
        <w:rPr>
          <w:b/>
        </w:rPr>
        <w:t xml:space="preserve">Notes: </w:t>
      </w:r>
      <w:r>
        <w:t>abstract_source=crossref</w:t>
      </w:r>
    </w:p>
    <w:p>
      <w:pPr>
        <w:spacing w:before="0" w:after="80" w:lineRule="auto" w:line="276"/>
      </w:pPr>
      <w:r>
        <w:rPr>
          <w:b/>
        </w:rPr>
        <w:t xml:space="preserve">摘要（ZH）: </w:t>
      </w:r>
      <w:r>
        <w:t>摘要 类金属连接了金属与非金属的性质，为药物发现创造了独特的机遇。然而，含硅和含锗骨架在有机合成与药物化学中的潜力仍未被充分开发，这主要归因于缺乏通用的立体控制合成方法，尤其是针对高附加值的的手性α-硅胺和α-锗胺。本文报道了一种稳健的镍催化对映选择性脱羧交叉偶联反应，将氨基酸或多肽衍生的氧化还原活性酯与有机硅锌和有机锗锌试剂偶联。该方法底物范围广泛，并在温和条件下表现出优异性能。通过复杂生物活性多肽的后期多样化进一步证明了其有效性，并且两个对映体均能以高立体化学保真度获得。机理研究阐明了立体控制的起源，而初步生物评估显示出令人鼓舞的活性，在若干实例中Ge取代优于Si以及某些已上市临床含硼药物。总体而言，本工作建立了一条高效、对映选择性的手性α-硅胺和α-锗胺合成路线，凸显了它们在拓展多肽化学空间以及推动基于多肽的治疗和诊断试剂发展方面的潜力。</w:t>
      </w:r>
    </w:p>
    <w:p>
      <w:pPr>
        <w:spacing w:before="0" w:after="200" w:lineRule="auto" w:line="276"/>
      </w:pPr>
      <w:r>
        <w:rPr>
          <w:b/>
        </w:rPr>
        <w:t xml:space="preserve">Abstract (EN): </w:t>
      </w:r>
      <w:r>
        <w:t>Metalloids bridge the properties of metals and nonmetals, creating unique opportunities in drug discovery. However, the potential of silicon- and germanium-containing scaffolds in organic synthesis and medicinal chemistry remain underexplored, largely owing to the lack of general stereocontrolled synthetic methods, particularly for value-added chiral α-silylamines and α-germylamines. Here, we report a robust nickel-catalyzed enantioselective decarboxylative cross-coupling of amino acid or peptide-derived redox-active esters with silylzinc and germylzinc reagents. The method exhibits a broad substrate scope and delivers excellent performance under mild conditions. Its efficacy is further demonstrated through the late-stage diversification of complex bioactive peptides, and both enantiomers can be accessed with high stereochemical fidelity. Mechanistic investigations delineate the origin of stereocontrol, while preliminary biological evaluations show promising activities, with Ge substitution in several cases surpassing Si and certain clinically marketed boron-containing drugs. Collectively, this work establishes an efficient and enantioselective route to chiral α-silylamines and α-germylamines, underscoring their potential to expand peptide chemical space and to enable the development of peptide-based therapeutics and diagnostics.</w:t>
      </w:r>
    </w:p>
    <w:p>
      <w:pPr>
        <w:spacing w:before="120" w:after="120"/>
      </w:pPr>
      <w:r>
        <w:rPr>
          <w:sz w:val="18"/>
        </w:rPr>
        <w:t>——————————————————————————————————————————————————————————————————————</w:t>
      </w:r>
    </w:p>
    <w:p>
      <w:pPr>
        <w:spacing w:before="160" w:after="40" w:line="240" w:lineRule="auto"/>
      </w:pPr>
      <w:r>
        <w:rPr>
          <w:b/>
        </w:rPr>
        <w:t xml:space="preserve">[23] </w:t>
      </w:r>
      <w:hyperlink r:id="rId457">
        <w:r>
          <w:rPr>
            <w:color w:val="1155CC"/>
            <w:u w:val="single"/>
          </w:rPr>
          <w:t>远红光响应金纳米团簇实现百万转化数光催化</w:t>
        </w:r>
      </w:hyperlink>
    </w:p>
    <w:p>
      <w:pPr>
        <w:spacing w:before="0" w:after="80"/>
      </w:pPr>
      <w:r>
        <w:rPr>
          <w:i/>
          <w:sz w:val="20"/>
        </w:rPr>
        <w:t>EN: Million-Turnover Photocatalysis Enabled by Far-Red-Light-Responsive Gold Nanoclusters</w:t>
      </w:r>
    </w:p>
    <w:p>
      <w:pPr>
        <w:spacing w:before="0" w:after="120"/>
      </w:pPr>
      <w:r>
        <w:rPr>
          <w:b/>
        </w:rPr>
        <w:t xml:space="preserve">Source: </w:t>
      </w:r>
      <w:r>
        <w:t>Journal of the American Chemical Society</w:t>
      </w:r>
      <w:r>
        <w:t xml:space="preserve">    </w:t>
      </w:r>
      <w:r>
        <w:rPr>
          <w:b/>
        </w:rPr>
        <w:t xml:space="preserve">Pub date: </w:t>
      </w:r>
      <w:r>
        <w:t>2026-08-28 00:00:00+00:00</w:t>
      </w:r>
      <w:r>
        <w:t xml:space="preserve">    </w:t>
      </w:r>
      <w:r>
        <w:rPr>
          <w:b/>
        </w:rPr>
        <w:t xml:space="preserve">DOI: </w:t>
      </w:r>
      <w:hyperlink r:id="rId457">
        <w:r>
          <w:rPr>
            <w:color w:val="1155CC"/>
            <w:u w:val="single"/>
          </w:rPr>
          <w:t>10.1021/jacs.6c05129</w:t>
        </w:r>
      </w:hyperlink>
    </w:p>
    <w:p>
      <w:pPr>
        <w:spacing w:before="0" w:after="120"/>
      </w:pPr>
      <w:r>
        <w:rPr>
          <w:b/>
        </w:rPr>
        <w:t xml:space="preserve">Notes: </w:t>
      </w:r>
      <w:r>
        <w:t>abstract_source=crossref</w:t>
      </w:r>
    </w:p>
    <w:p>
      <w:pPr>
        <w:spacing w:before="0" w:after="80" w:lineRule="auto" w:line="276"/>
      </w:pPr>
      <w:r>
        <w:rPr>
          <w:b/>
        </w:rPr>
        <w:t xml:space="preserve">摘要（ZH）: </w:t>
      </w:r>
      <w:r>
        <w:t>摘要 近年来，人们已开发出众多光催化体系，以促进由单线态氧介导的广泛有机转化。然而，传统的蓝光光敏剂在规模化合成中面临重大挑战，这主要由于高能光子有限的穿透深度。本文报道了一种原子精确的Au27纳米团簇，其具有由二十面体Au13和四面体Au4构建的新型超原子核心，可在远红光照射下高效产生单线态氧。尽管其整体结构与具有单一二十面体Au13核心的Au25纳米团簇十分相似，但通过配体工程引入四面体Au4构建单元显著提高了系间窜越效率，并使跃迁能量与有效的O2敏化相匹配，在740 nm处获得0.37%的内量子产率。与以往光驱动体系相比，我们十克规模的基于团簇的光化学过程将催化剂用量降低了四个数量级（10,000倍），仅需13 nmol光催化剂，并实现了超过一百万的转化数。本研究确立了光催化剂设计的新范式，展示了原子级结构控制如何实现远红光驱动的有机转化，并显著提升催化性能。</w:t>
      </w:r>
    </w:p>
    <w:p>
      <w:pPr>
        <w:spacing w:before="0" w:after="200" w:lineRule="auto" w:line="276"/>
      </w:pPr>
      <w:r>
        <w:rPr>
          <w:b/>
        </w:rPr>
        <w:t xml:space="preserve">Abstract (EN): </w:t>
      </w:r>
      <w:r>
        <w:t>In recent years, numerous photocatalytic systems have been developed to promote a wide range of organic transformations mediated by singlet oxygen. However, conventional blue-light photosensitizers encounter significant challenges in large-scale synthesis, primarily due to the limited penetration depth of high-energy photons. Herein, we report an atomically precise Au27 nanocluster featuring a novel superatomic core built from an icosahedral Au13 and a tetrahedral Au4, allowing for highly efficient singlet oxygen generation under far-red-light irradiation. While its overall structure closely resembles that of Au25 nanoclusters with a single icosahedral Au13 core, the incorporation of a tetrahedral Au4 building unit through ligand engineering markedly enhances intersystem crossing efficiency and aligns transition energies for effective O2 sensitization, affording an internal quantum yield of 0.37% at 740 nm. Compared with previous light-driven systems, our ten-gram-scale, cluster-based photochemical process reduces catalyst loading by four orders of magnitude (10,000-fold), requiring only 13 nmol of photocatalyst, and achieves turnover numbers greater than one million. This study establishes a new paradigm in photocatalyst design, demonstrating how atomic-level structural control can enable far-red-light-driven organic transformations with substantially enhanced catalytic performance.</w:t>
      </w:r>
    </w:p>
    <w:p>
      <w:pPr>
        <w:spacing w:before="120" w:after="120"/>
      </w:pPr>
      <w:r>
        <w:rPr>
          <w:sz w:val="18"/>
        </w:rPr>
        <w:t>——————————————————————————————————————————————————————————————————————</w:t>
      </w:r>
    </w:p>
    <w:p>
      <w:pPr>
        <w:spacing w:before="160" w:after="40" w:line="240" w:lineRule="auto"/>
      </w:pPr>
      <w:r>
        <w:rPr>
          <w:b/>
        </w:rPr>
        <w:t xml:space="preserve">[24] </w:t>
      </w:r>
      <w:hyperlink r:id="rId458">
        <w:r>
          <w:rPr>
            <w:color w:val="1155CC"/>
            <w:u w:val="single"/>
          </w:rPr>
          <w:t>每日简报：千年珊瑚记录显示厄尔尼诺现象正不断增强</w:t>
        </w:r>
      </w:hyperlink>
    </w:p>
    <w:p>
      <w:pPr>
        <w:spacing w:before="0" w:after="80"/>
      </w:pPr>
      <w:r>
        <w:rPr>
          <w:i/>
          <w:sz w:val="20"/>
        </w:rPr>
        <w:t>EN: Daily briefing: Thousand years of coral show El Niños are getting stronger</w:t>
      </w:r>
    </w:p>
    <w:p>
      <w:pPr>
        <w:spacing w:before="0" w:after="120"/>
      </w:pPr>
      <w:r>
        <w:rPr>
          <w:b/>
        </w:rPr>
        <w:t xml:space="preserve">Source: </w:t>
      </w:r>
      <w:r>
        <w:t>Nature</w:t>
      </w:r>
      <w:r>
        <w:t xml:space="preserve">    </w:t>
      </w:r>
      <w:r>
        <w:rPr>
          <w:b/>
        </w:rPr>
        <w:t xml:space="preserve">Pub date: </w:t>
      </w:r>
      <w:r>
        <w:t>2026-08-28 00:00:00+00:00</w:t>
      </w:r>
      <w:r>
        <w:t xml:space="preserve">    </w:t>
      </w:r>
      <w:r>
        <w:rPr>
          <w:b/>
        </w:rPr>
        <w:t xml:space="preserve">DOI: </w:t>
      </w:r>
      <w:hyperlink r:id="rId459">
        <w:r>
          <w:rPr>
            <w:color w:val="1155CC"/>
            <w:u w:val="single"/>
          </w:rPr>
          <w:t>10.1038/d41586-026-02747-3</w:t>
        </w:r>
      </w:hyperlink>
    </w:p>
    <w:p>
      <w:pPr>
        <w:spacing w:before="0" w:after="120"/>
      </w:pPr>
      <w:r>
        <w:rPr>
          <w:b/>
        </w:rPr>
        <w:t xml:space="preserve">Notes: </w:t>
      </w:r>
      <w:r>
        <w:t>abstract_source=rss_nature</w:t>
      </w:r>
    </w:p>
    <w:p>
      <w:pPr>
        <w:spacing w:before="0" w:after="80" w:lineRule="auto" w:line="276"/>
      </w:pPr>
      <w:r>
        <w:rPr>
          <w:b/>
        </w:rPr>
        <w:t xml:space="preserve">摘要（ZH）: </w:t>
      </w:r>
      <w:r>
        <w:t>自工业革命以来，厄尔尼诺事件的强度一直在增强。此外，还将探访机器人奥运会，并介绍南希·格蕾丝·罗曼太空望远镜。</w:t>
      </w:r>
    </w:p>
    <w:p>
      <w:pPr>
        <w:spacing w:before="0" w:after="200" w:lineRule="auto" w:line="276"/>
      </w:pPr>
      <w:r>
        <w:rPr>
          <w:b/>
        </w:rPr>
        <w:t xml:space="preserve">Abstract (EN): </w:t>
      </w:r>
      <w:r>
        <w:t>El Niño events have been powering up since the Industrial Revolution. Plus, a visit to the Robot Olympics and an introduction to the Nancy Grace Roman Space Telescope.</w:t>
      </w:r>
    </w:p>
    <w:p>
      <w:pPr>
        <w:spacing w:before="120" w:after="120"/>
      </w:pPr>
      <w:r>
        <w:rPr>
          <w:sz w:val="18"/>
        </w:rPr>
        <w:t>——————————————————————————————————————————————————————————————————————</w:t>
      </w:r>
    </w:p>
    <w:p>
      <w:pPr>
        <w:spacing w:before="160" w:after="40" w:line="240" w:lineRule="auto"/>
      </w:pPr>
      <w:r>
        <w:rPr>
          <w:b/>
        </w:rPr>
        <w:t xml:space="preserve">[25] </w:t>
      </w:r>
      <w:hyperlink r:id="rId460">
        <w:r>
          <w:rPr>
            <w:color w:val="1155CC"/>
            <w:u w:val="single"/>
          </w:rPr>
          <w:t>六配位锕系元素(IV)化合物：磁性与电子结构分析的基准配合物</w:t>
        </w:r>
      </w:hyperlink>
    </w:p>
    <w:p>
      <w:pPr>
        <w:spacing w:before="0" w:after="80"/>
      </w:pPr>
      <w:r>
        <w:rPr>
          <w:i/>
          <w:sz w:val="20"/>
        </w:rPr>
        <w:t>EN: Hexacoordinate Actinide(IV) Compounds: Benchmark Complexes for Magnetism and Electronic Structure Analysis</w:t>
      </w:r>
    </w:p>
    <w:p>
      <w:pPr>
        <w:spacing w:before="0" w:after="120"/>
      </w:pPr>
      <w:r>
        <w:rPr>
          <w:b/>
        </w:rPr>
        <w:t xml:space="preserve">Source: </w:t>
      </w:r>
      <w:r>
        <w:t>Journal of the American Chemical Society</w:t>
      </w:r>
      <w:r>
        <w:t xml:space="preserve">    </w:t>
      </w:r>
      <w:r>
        <w:rPr>
          <w:b/>
        </w:rPr>
        <w:t xml:space="preserve">Pub date: </w:t>
      </w:r>
      <w:r>
        <w:t>2026-08-28 00:00:00+00:00</w:t>
      </w:r>
      <w:r>
        <w:t xml:space="preserve">    </w:t>
      </w:r>
      <w:r>
        <w:rPr>
          <w:b/>
        </w:rPr>
        <w:t xml:space="preserve">DOI: </w:t>
      </w:r>
      <w:hyperlink r:id="rId460">
        <w:r>
          <w:rPr>
            <w:color w:val="1155CC"/>
            <w:u w:val="single"/>
          </w:rPr>
          <w:t>10.1021/jacs.6c09492</w:t>
        </w:r>
      </w:hyperlink>
    </w:p>
    <w:p>
      <w:pPr>
        <w:spacing w:before="0" w:after="120"/>
      </w:pPr>
      <w:r>
        <w:rPr>
          <w:b/>
        </w:rPr>
        <w:t xml:space="preserve">Notes: </w:t>
      </w:r>
      <w:r>
        <w:t>abstract_source=crossref</w:t>
      </w:r>
    </w:p>
    <w:p>
      <w:pPr>
        <w:spacing w:before="0" w:after="80" w:lineRule="auto" w:line="276"/>
      </w:pPr>
      <w:r>
        <w:rPr>
          <w:b/>
        </w:rPr>
        <w:t xml:space="preserve">摘要（ZH）: </w:t>
      </w:r>
      <w:r>
        <w:t>摘要 合成了两个系列的锕系四氯化物配合物，采用单齿羧酰胺配体邻苯二甲酰亚胺酮（H-phthal）和2-吡啶酮（HPyO），通式为[AnIVCl4(L)2]（An = U、Np、Pu），并在固态和溶液中进行了表征。SC-XRD分析表明，在所有情况下均呈现八面体配位环境，H-phthal或HPyO呈反式取向，无论配体的NH基团是否通过氢键结合THF分子。在[NpCl4(H-phthal)2]的情况下，THF的缺失导致金属周围配位几何的显著畸变，其中包括迄今为止观察到的最短Np–Cl键（2.4394(8) Å）。量子化学键分析（QTAIM）表明，主要成键相互作用存在于锕系元素与氯配体之间，而酰胺的结合较为松散。尽管配位数异常低，这些配合物被发现即使在配位溶剂中也保持稳定。这使其¹H和¹³C NMR波谱得以深入分析。由于其第一配位球层具有伪D4h对称性，这些配合物是分析其电子结构和磁性质的优秀模型体系。我们结合SQUID磁测量与量子化学计算提取了磁性质（μeff）和晶体场参数（Bqk, Wybourne），从而从实验和理论角度对电子基态进行了全面描述。</w:t>
      </w:r>
    </w:p>
    <w:p>
      <w:pPr>
        <w:spacing w:before="0" w:after="200" w:lineRule="auto" w:line="276"/>
      </w:pPr>
      <w:r>
        <w:rPr>
          <w:b/>
        </w:rPr>
        <w:t xml:space="preserve">Abstract (EN): </w:t>
      </w:r>
      <w:r>
        <w:t>Two series of actinide tetrachloride complexes with the monodentate carboxylic amide ligands phthalimidine (H-phthal) and 2-pyridone (HPyO) of the general formula [AnIVCl4(L)2] (An = U, Np, Pu) were synthesized and characterized in the solid state and in solution. SC-XRD analysis revealed an octahedral coordination environment with trans orientation of either H-phthal or HPyO in all cases, with and without THF molecules hydrogen-bonded to the NH group of the ligands. In the case of [NpCl4(H-phthal)2], the absence of THF leads to a significant distortion of the coordination geometry around the metal, including the shortest Np–Cl bonds observed so far (2.4394(8) Å). A quantum chemical bonding analysis (QTAIM) showed that the main bonding interaction is found between the actinide and chloride ligands, with the amides rather loosely bound. Despite their unusually low coordination number, the complexes were found to be stable, even in coordinating solvents. This allowed for an in-depth analysis of their 1H and 13C NMR spectroscopy. Due to their pseudoD4h symmetry in the first coordination sphere, these complexes are excellent model systems to analyze their electronic structure and magnetic properties. We applied SQUID magnetometry to extract magnetic properties (μeff) and crystal field parameters ( Bqk, Wybourne) in combination with quantum chemical calculations, which allows for the comprehensive description of the electronic ground state from an experimental and theoretical point of view.</w:t>
      </w:r>
    </w:p>
    <w:p>
      <w:pPr>
        <w:spacing w:before="120" w:after="120"/>
      </w:pPr>
      <w:r>
        <w:rPr>
          <w:sz w:val="18"/>
        </w:rPr>
        <w:t>——————————————————————————————————————————————————————————————————————</w:t>
      </w:r>
    </w:p>
    <w:p>
      <w:pPr>
        <w:spacing w:before="160" w:after="40" w:line="240" w:lineRule="auto"/>
      </w:pPr>
      <w:r>
        <w:rPr>
          <w:b/>
        </w:rPr>
        <w:t xml:space="preserve">[26] </w:t>
      </w:r>
      <w:hyperlink r:id="rId461">
        <w:r>
          <w:rPr>
            <w:color w:val="1155CC"/>
            <w:u w:val="single"/>
          </w:rPr>
          <w:t>序列拓扑转化 traversing 亚稳态相：具有可调孔道结构的复杂磷酸铝骨架</w:t>
        </w:r>
      </w:hyperlink>
    </w:p>
    <w:p>
      <w:pPr>
        <w:spacing w:before="0" w:after="80"/>
      </w:pPr>
      <w:r>
        <w:rPr>
          <w:i/>
          <w:sz w:val="20"/>
        </w:rPr>
        <w:t>EN: Sequential Topotactic Transformations Traverse Metastable Phases in Complex Aluminophosphate Frameworks with Tunable Pore Architectures</w:t>
      </w:r>
    </w:p>
    <w:p>
      <w:pPr>
        <w:spacing w:before="0" w:after="120"/>
      </w:pPr>
      <w:r>
        <w:rPr>
          <w:b/>
        </w:rPr>
        <w:t xml:space="preserve">Source: </w:t>
      </w:r>
      <w:r>
        <w:t>Journal of the American Chemical Society</w:t>
      </w:r>
      <w:r>
        <w:t xml:space="preserve">    </w:t>
      </w:r>
      <w:r>
        <w:rPr>
          <w:b/>
        </w:rPr>
        <w:t xml:space="preserve">Pub date: </w:t>
      </w:r>
      <w:r>
        <w:t>2026-08-28 00:00:00+00:00</w:t>
      </w:r>
      <w:r>
        <w:t xml:space="preserve">    </w:t>
      </w:r>
      <w:r>
        <w:rPr>
          <w:b/>
        </w:rPr>
        <w:t xml:space="preserve">DOI: </w:t>
      </w:r>
      <w:hyperlink r:id="rId461">
        <w:r>
          <w:rPr>
            <w:color w:val="1155CC"/>
            <w:u w:val="single"/>
          </w:rPr>
          <w:t>10.1021/jacs.6c14957</w:t>
        </w:r>
      </w:hyperlink>
    </w:p>
    <w:p>
      <w:pPr>
        <w:spacing w:before="0" w:after="120"/>
      </w:pPr>
      <w:r>
        <w:rPr>
          <w:b/>
        </w:rPr>
        <w:t xml:space="preserve">Notes: </w:t>
      </w:r>
      <w:r>
        <w:t>abstract_source=crossref</w:t>
      </w:r>
    </w:p>
    <w:p>
      <w:pPr>
        <w:spacing w:before="0" w:after="80" w:lineRule="auto" w:line="276"/>
      </w:pPr>
      <w:r>
        <w:rPr>
          <w:b/>
        </w:rPr>
        <w:t xml:space="preserve">摘要（ZH）: </w:t>
      </w:r>
      <w:r>
        <w:t>摘要 晶态多孔框架在催化、分离、新能源、传感和生物医学领域是不可替代的平台，然而在广阔的结构版图中，大多数以难以获得的亚稳态结构存在。本文提出了一种顺序拓扑转变（STT）策略，其中简单的蒸汽处理可诱导一系列结构相关的拓扑转变，系统性地揭示出一族隐藏的亚稳态框架。采用该STT方法，小孔磷酸铝分子筛（AlPO MS）DNL-17经历顺序晶态转变，生成三种此前未知的MS（DNL-18、DNL-19和DNL-20）。结构表征与DFT计算表明，这些转变通过选择性断键和骨架片段滑动保留了部分ABC-6堆积基元。该策略不仅可获得多样的亚稳态，还实现了从小孔到超微孔区域的孔径调控，从而实现高效的丙烷/丙烯和水/二氧化碳分离。它拓展了MS的结构多样性，并提供了一种针对特定应用性能定制孔结构的策略。</w:t>
      </w:r>
    </w:p>
    <w:p>
      <w:pPr>
        <w:spacing w:before="0" w:after="200" w:lineRule="auto" w:line="276"/>
      </w:pPr>
      <w:r>
        <w:rPr>
          <w:b/>
        </w:rPr>
        <w:t xml:space="preserve">Abstract (EN): </w:t>
      </w:r>
      <w:r>
        <w:t>Crystalline porous frameworks are irreplaceable platforms for catalysis, separation, new energy, sensing, and biomedicine, yet the majority exist as inaccessible metastable structures across an extensive structural landscape. Here we introduce a sequential topotactic transformation (STT) strategy, in which a simple steaming treatment induces a cascade of structurally correlated topotactic transformations, systematically uncovering a family of hidden metastable frameworks. Using this STT approach, the small-pore aluminophosphate molecular sieve (AlPO MS) DNL-17 undergoes sequential crystalline–state transitions to yield three previously unknown MSs (DNL-18, DNL-19, and DNL-20). Structural characterization and DFT calculations reveal that these transformations preserve partial ABC-6 stacking motif through selective bond cleavage and framework-fragment sliding. This strategy not only accesses diverse metastable states but also enables pore-size modulation from small-pore to ultramicroporous regimes, leading to efficient propane/propylene and water/carbon dioxide separations. It broadens the structural diversity of MSs and provides a strategy for tailoring pore architectures toward application-specific performance.</w:t>
      </w:r>
    </w:p>
    <w:p>
      <w:pPr>
        <w:spacing w:before="120" w:after="120"/>
      </w:pPr>
      <w:r>
        <w:rPr>
          <w:sz w:val="18"/>
        </w:rPr>
        <w:t>——————————————————————————————————————————————————————————————————————</w:t>
      </w:r>
    </w:p>
    <w:p>
      <w:pPr>
        <w:spacing w:before="160" w:after="40" w:line="240" w:lineRule="auto"/>
      </w:pPr>
      <w:r>
        <w:rPr>
          <w:b/>
        </w:rPr>
        <w:t xml:space="preserve">[27] </w:t>
      </w:r>
      <w:hyperlink r:id="rId462">
        <w:r>
          <w:rPr>
            <w:color w:val="1155CC"/>
            <w:u w:val="single"/>
          </w:rPr>
          <w:t>N-桥连三环降吗喃骨架的对映选择性有机催化构建：在(+)-Peduncularine全合成中的应用</w:t>
        </w:r>
      </w:hyperlink>
    </w:p>
    <w:p>
      <w:pPr>
        <w:spacing w:before="0" w:after="80"/>
      </w:pPr>
      <w:r>
        <w:rPr>
          <w:i/>
          <w:sz w:val="20"/>
        </w:rPr>
        <w:t>EN: Enantioselective Organocatalytic Construction of N -Bridged Tricyclic Normorphan Skeleton: Application to the Total Synthesis of (+)-Peduncularine</w:t>
      </w:r>
    </w:p>
    <w:p>
      <w:pPr>
        <w:spacing w:before="0" w:after="120"/>
      </w:pPr>
      <w:r>
        <w:rPr>
          <w:b/>
        </w:rPr>
        <w:t xml:space="preserve">Source: </w:t>
      </w:r>
      <w:r>
        <w:t>Journal of the American Chemical Society</w:t>
      </w:r>
      <w:r>
        <w:t xml:space="preserve">    </w:t>
      </w:r>
      <w:r>
        <w:rPr>
          <w:b/>
        </w:rPr>
        <w:t xml:space="preserve">Pub date: </w:t>
      </w:r>
      <w:r>
        <w:t>2026-08-28 00:00:00+00:00</w:t>
      </w:r>
      <w:r>
        <w:t xml:space="preserve">    </w:t>
      </w:r>
      <w:r>
        <w:rPr>
          <w:b/>
        </w:rPr>
        <w:t xml:space="preserve">DOI: </w:t>
      </w:r>
      <w:hyperlink r:id="rId462">
        <w:r>
          <w:rPr>
            <w:color w:val="1155CC"/>
            <w:u w:val="single"/>
          </w:rPr>
          <w:t>10.1021/jacs.6c09975</w:t>
        </w:r>
      </w:hyperlink>
    </w:p>
    <w:p>
      <w:pPr>
        <w:spacing w:before="0" w:after="120"/>
      </w:pPr>
      <w:r>
        <w:rPr>
          <w:b/>
        </w:rPr>
        <w:t xml:space="preserve">Notes: </w:t>
      </w:r>
      <w:r>
        <w:t>abstract_source=crossref</w:t>
      </w:r>
    </w:p>
    <w:p>
      <w:pPr>
        <w:spacing w:before="0" w:after="80" w:lineRule="auto" w:line="276"/>
      </w:pPr>
      <w:r>
        <w:rPr>
          <w:b/>
        </w:rPr>
        <w:t xml:space="preserve">摘要（ZH）: </w:t>
      </w:r>
      <w:r>
        <w:t>摘要 诺吗啡喃（normorphan）骨架是一种紧凑的、富sp3的氮桥骨架，存在于具有生物活性的天然产物中，并日益被视为药物化学的三维平台。尽管具有合成和生物学相关性，功能化诺吗啡喃相关骨架的直接催化不对称合成途径仍然有限。本文描述了一种对映选择性有机催化方法，采用双功能金鸡纳生物碱衍生方酰胺催化剂，构建含诺吗啡喃骨架的氮桥三环骨架。3-羟基-2-吡啶酮与α,β-不饱和醛之间的反应首先生成[4 + 2]环加成加合物中间体，随后发生骨架重排。机理研究与DFT计算与双功能氢键供体/碱活化模式一致，其中催化剂组织初始环加成步骤并促进重排过程。该方法学提供了一系列桥连诺吗啡喃骨架的合成途径，表现出优异的对映选择性和非对映选择性（高达99% ee，dr &gt;20:1）。该方案可放大至克级规模，并成功应用于(+)-peduncularine的不对称全合成及相关类似物的制备，展示了富对映体三环平台的合成实用性。</w:t>
      </w:r>
    </w:p>
    <w:p>
      <w:pPr>
        <w:spacing w:before="0" w:after="200" w:lineRule="auto" w:line="276"/>
      </w:pPr>
      <w:r>
        <w:rPr>
          <w:b/>
        </w:rPr>
        <w:t xml:space="preserve">Abstract (EN): </w:t>
      </w:r>
      <w:r>
        <w:t>The normorphan framework is a compact, sp3-rich N-bridged scaffold found in biologically active natural products and increasingly valued as a three-dimensional platform for medicinal chemistry. Despite its synthetic and biological relevance, direct catalytic asymmetric access to functionalized normorphan-related architectures remains limited. Here, we describe an enantioselective organocatalytic method for constructing an N-bridged tricyclic scaffold bearing a normorphan skeleton using a bifunctional cinchona alkaloid-derived squaramide catalyst. The reaction between 3-hydroxy-2-pyridones and α,β-unsaturated aldehydes results in the formation of a [4 + 2] cycloaddition adduct as an intermediate, which subsequently undergoes skeletal rearrangement. Mechanistic studies and DFT calculations are consistent with a bifunctional hydrogen-bond donor/base activation mode in which the catalyst organizes the initial cycloaddition step and facilitates the rearrangement process. This methodology provides access to a series of bridged normorphan skeletons that exhibit excellent enantio- and diastereoselectivities (up to 99% ee and dr &gt;20:1). The protocol is scalable to gram quantities and was successfully applied to the asymmetric total synthesis of (+)-peduncularine and the preparation of related analogues, demonstrating the synthetic utility of the enantioenriched tricyclic platform.</w:t>
      </w:r>
    </w:p>
    <w:p>
      <w:pPr>
        <w:spacing w:before="120" w:after="120"/>
      </w:pPr>
      <w:r>
        <w:rPr>
          <w:sz w:val="18"/>
        </w:rPr>
        <w:t>——————————————————————————————————————————————————————————————————————</w:t>
      </w:r>
    </w:p>
    <w:p>
      <w:pPr>
        <w:spacing w:before="160" w:after="40" w:line="240" w:lineRule="auto"/>
      </w:pPr>
      <w:r>
        <w:rPr>
          <w:b/>
        </w:rPr>
        <w:t xml:space="preserve">[28] </w:t>
      </w:r>
      <w:hyperlink r:id="rId463">
        <w:r>
          <w:rPr>
            <w:color w:val="1155CC"/>
            <w:u w:val="single"/>
          </w:rPr>
          <w:t>客体诱导的振动锁定与荧光切换：用于全氟辛酸(PFOA)识别的芘功能化共价有机框架(COF)</w:t>
        </w:r>
      </w:hyperlink>
    </w:p>
    <w:p>
      <w:pPr>
        <w:spacing w:before="0" w:after="80"/>
      </w:pPr>
      <w:r>
        <w:rPr>
          <w:i/>
          <w:sz w:val="20"/>
        </w:rPr>
        <w:t>EN: Guest-Induced Vibration Locking and Fluorescence Switching in a Pyrene-Functionalized Covalent Organic Framework (COF) for Perfluorooctanoic Acid (PFOA) Recognition</w:t>
      </w:r>
    </w:p>
    <w:p>
      <w:pPr>
        <w:spacing w:before="0" w:after="120"/>
      </w:pPr>
      <w:r>
        <w:rPr>
          <w:b/>
        </w:rPr>
        <w:t xml:space="preserve">Source: </w:t>
      </w:r>
      <w:r>
        <w:t>Journal of the American Chemical Society</w:t>
      </w:r>
      <w:r>
        <w:t xml:space="preserve">    </w:t>
      </w:r>
      <w:r>
        <w:rPr>
          <w:b/>
        </w:rPr>
        <w:t xml:space="preserve">Pub date: </w:t>
      </w:r>
      <w:r>
        <w:t>2026-08-28 00:00:00+00:00</w:t>
      </w:r>
      <w:r>
        <w:t xml:space="preserve">    </w:t>
      </w:r>
      <w:r>
        <w:rPr>
          <w:b/>
        </w:rPr>
        <w:t xml:space="preserve">DOI: </w:t>
      </w:r>
      <w:hyperlink r:id="rId463">
        <w:r>
          <w:rPr>
            <w:color w:val="1155CC"/>
            <w:u w:val="single"/>
          </w:rPr>
          <w:t>10.1021/jacs.6c01527</w:t>
        </w:r>
      </w:hyperlink>
    </w:p>
    <w:p>
      <w:pPr>
        <w:spacing w:before="0" w:after="120"/>
      </w:pPr>
      <w:r>
        <w:rPr>
          <w:b/>
        </w:rPr>
        <w:t xml:space="preserve">Notes: </w:t>
      </w:r>
      <w:r>
        <w:t>abstract_source=crossref</w:t>
      </w:r>
    </w:p>
    <w:p>
      <w:pPr>
        <w:spacing w:before="0" w:after="80" w:lineRule="auto" w:line="276"/>
      </w:pPr>
      <w:r>
        <w:rPr>
          <w:b/>
        </w:rPr>
        <w:t xml:space="preserve">摘要（ZH）: </w:t>
      </w:r>
      <w:r>
        <w:t>摘要 点亮型发光共价有机框架（COF）传感器有望用于分子污染物的快速选择性检测，但其性能常受限于客体诱导刚性不足和机理认识不完整。在此，我们介绍了一种吡啶功能化的柔性共价有机框架（PY-TTA COF），其在暴露于全氟辛酸（PFOA）时经历客体诱导的分子锁定过程，在水性介质中产生显著的荧光开启响应。伸入孔内的悬挂吡喃发色团创造了一个适应性微环境，其中PFOA的结合——涉及氢键相互作用、亚胺/吡啶氮位点可能的质子转移过程以及C–F···π相互作用——限制了局域分子运动并增强了辐射发射。固态NMR波谱结合半经验计算为与该锁定效应相关的氢键和氟–芳香族邻近关系提供了分子层面的认识，而PXRD和TEM揭示了客体诱导的结构调制，同时证实了框架结晶性的保留。这种客体锁定发光增强实现了基于荧光的PFOA可循环检测，检测限为2.7 μg L–1。所阐明的机理为开发具有可调光物理性质和环境相关传感能力的刺激响应型COF确立了设计策略。</w:t>
      </w:r>
    </w:p>
    <w:p>
      <w:pPr>
        <w:spacing w:before="0" w:after="200" w:lineRule="auto" w:line="276"/>
      </w:pPr>
      <w:r>
        <w:rPr>
          <w:b/>
        </w:rPr>
        <w:t xml:space="preserve">Abstract (EN): </w:t>
      </w:r>
      <w:r>
        <w:t>Light-up luminescent covalent organic framework (COF) sensors hold promise for rapid and selective detection of molecular pollutants, yet their performance is often limited by insufficient guest-induced rigidity and incomplete mechanistic understanding. Here, we introduce a pyrene-functionalized flexible covalent organic framework (PY-TTA COF) that undergoes a guest-induced molecular-locking process upon exposure to perfluorooctanoic acid (PFOA), producing a pronounced fluorescence turn-on response in aqueous media. The pendent pyrene chromophores, which project into the pore interior, create an adaptable microenvironment in which PFOA binding, involving hydrogen-bonding interactions, possible proton-transfer processes at imine/pyridine nitrogen sites, and C–F···π interactions, restricts local molecular motions and enhances radiative emission. Solid-state NMR spectroscopy, supported by semiempirical calculations, provides molecular-level insight into the hydrogen-bonding and fluorine–aromatic proximities associated with this locking effect, while PXRD and TEM reveal guest-induced structural modulation while confirming preservation of framework crystallinity. This guest-locked luminescence enhancement enables fluorescence-based and recyclable detection of PFOA with a limit of detection of 2.7 μg L–1. The demonstrated mechanism establishes a design strategy for developing stimuli-responsive COFs with tunable photophysical properties and environmentally relevant sensing capabilities.</w:t>
      </w:r>
    </w:p>
    <w:p>
      <w:pPr>
        <w:spacing w:before="120" w:after="120"/>
      </w:pPr>
      <w:r>
        <w:rPr>
          <w:sz w:val="18"/>
        </w:rPr>
        <w:t>——————————————————————————————————————————————————————————————————————</w:t>
      </w:r>
    </w:p>
    <w:p>
      <w:pPr>
        <w:spacing w:before="160" w:after="40" w:line="240" w:lineRule="auto"/>
      </w:pPr>
      <w:r>
        <w:rPr>
          <w:b/>
        </w:rPr>
        <w:t xml:space="preserve">[29] </w:t>
      </w:r>
      <w:hyperlink r:id="rId464">
        <w:r>
          <w:rPr>
            <w:color w:val="1155CC"/>
            <w:u w:val="single"/>
          </w:rPr>
          <w:t>Ni–Ir相互作用实现镍催化中的暗反应态</w:t>
        </w:r>
      </w:hyperlink>
    </w:p>
    <w:p>
      <w:pPr>
        <w:spacing w:before="0" w:after="80"/>
      </w:pPr>
      <w:r>
        <w:rPr>
          <w:i/>
          <w:sz w:val="20"/>
        </w:rPr>
        <w:t>EN: Ni–Ir Interaction Enables a Dark Reactive State in Nickel Catalysis</w:t>
      </w:r>
    </w:p>
    <w:p>
      <w:pPr>
        <w:spacing w:before="0" w:after="120"/>
      </w:pPr>
      <w:r>
        <w:rPr>
          <w:b/>
        </w:rPr>
        <w:t xml:space="preserve">Source: </w:t>
      </w:r>
      <w:r>
        <w:t>Journal of the American Chemical Society</w:t>
      </w:r>
      <w:r>
        <w:t xml:space="preserve">    </w:t>
      </w:r>
      <w:r>
        <w:rPr>
          <w:b/>
        </w:rPr>
        <w:t xml:space="preserve">Pub date: </w:t>
      </w:r>
      <w:r>
        <w:t>2026-08-28 00:00:00+00:00</w:t>
      </w:r>
      <w:r>
        <w:t xml:space="preserve">    </w:t>
      </w:r>
      <w:r>
        <w:rPr>
          <w:b/>
        </w:rPr>
        <w:t xml:space="preserve">DOI: </w:t>
      </w:r>
      <w:hyperlink r:id="rId464">
        <w:r>
          <w:rPr>
            <w:color w:val="1155CC"/>
            <w:u w:val="single"/>
          </w:rPr>
          <w:t>10.1021/jacs.6c12462</w:t>
        </w:r>
      </w:hyperlink>
    </w:p>
    <w:p>
      <w:pPr>
        <w:spacing w:before="0" w:after="120"/>
      </w:pPr>
      <w:r>
        <w:rPr>
          <w:b/>
        </w:rPr>
        <w:t xml:space="preserve">Notes: </w:t>
      </w:r>
      <w:r>
        <w:t>abstract_source=crossref</w:t>
      </w:r>
    </w:p>
    <w:p>
      <w:pPr>
        <w:spacing w:before="0" w:after="80" w:lineRule="auto" w:line="276"/>
      </w:pPr>
      <w:r>
        <w:rPr>
          <w:b/>
        </w:rPr>
        <w:t xml:space="preserve">摘要（ZH）: </w:t>
      </w:r>
      <w:r>
        <w:t>摘要 镍–铱金属光氧化还原催化已成为促进C–C和C–杂原子键形成反应的有效策略，克服了Ni(II)中间体还原消除常常缓慢的问题，从而拓展了镍催化的合成实用性。然而，尽管已有广泛研究，由于其两个催化中心难以在实验上解耦以及镍复杂的电子结构，其精确机理在很大程度上仍未阐明。在此，我们利用X射线自由电子激光器（XFEL）上的元素特异性飞秒时间分辨X射线吸收谱直接探测了两个金属中心的超快电子动力学。我们鉴定出一种瞬态高能三重态金属到配体电荷转移（3MLCT）态的镍，该态仅在存在铱光催化剂时出现，为预缔合Ni–Ir复合物内的能量转移提供了证据。与量子计算的进一步比较表明，该态促进进入排斥性Ni–C σ–σ*态，从而提示了与还原消除相关的可能激发态路径。这些发现揭示了铱光催化剂如何激活镍催化循环，并强调选择性布居光学暗态但具反应性的激发态是启用原本不可及反应路径的通用策略。</w:t>
      </w:r>
    </w:p>
    <w:p>
      <w:pPr>
        <w:spacing w:before="0" w:after="200" w:lineRule="auto" w:line="276"/>
      </w:pPr>
      <w:r>
        <w:rPr>
          <w:b/>
        </w:rPr>
        <w:t xml:space="preserve">Abstract (EN): </w:t>
      </w:r>
      <w:r>
        <w:t>Nickel–iridium metallophotoredox catalysis has emerged as an effective strategy for promoting C–C and C–heteroatom bond-forming reactions, overcoming the often sluggish reductive elimination from Ni(II) intermediates, thereby expanding the synthetic utility of nickel catalysis. Despite extensive study, however, its precise mechanism has remained largely unresolved because of the experimental difficulty of disentangling the two catalytic centers and the complex electronic structure of nickel. Here, we directly probe the ultrafast electronic dynamics of both metal centers using element-specific femtosecond time-resolved X-ray absorption spectroscopy at an X-ray free-electron laser (XFEL). We identify a transient higher-energy triplet metal-to-ligand charge-transfer (3MLCT) state of nickel that appears exclusively in the presence of the iridium photocatalyst, providing evidence for the energy transfer within a preassociated Ni–Ir complex. Comparison with quantum calculations further shows that this state promotes access to a repulsive Ni–C σ–σ* state, thereby suggesting a possible excited-state pathway relevant to reductive elimination. These findings reveal how the iridium photocatalyst activates the nickel catalytic cycle and highlight selective population of optically dark yet reactive excited states as a general strategy for enabling otherwise inaccessible reaction pathways.</w:t>
      </w:r>
    </w:p>
    <w:p>
      <w:pPr>
        <w:spacing w:before="120" w:after="120"/>
      </w:pPr>
      <w:r>
        <w:rPr>
          <w:sz w:val="18"/>
        </w:rPr>
        <w:t>——————————————————————————————————————————————————————————————————————</w:t>
      </w:r>
    </w:p>
    <w:p>
      <w:pPr>
        <w:spacing w:before="160" w:after="40" w:line="240" w:lineRule="auto"/>
      </w:pPr>
      <w:r>
        <w:rPr>
          <w:b/>
        </w:rPr>
        <w:t xml:space="preserve">[30] </w:t>
      </w:r>
      <w:hyperlink r:id="rId465">
        <w:r>
          <w:rPr>
            <w:color w:val="1155CC"/>
            <w:u w:val="single"/>
          </w:rPr>
          <w:t>木质素双相太阳能重整制芳烃与CO用于有机物的原位羰基化</w:t>
        </w:r>
      </w:hyperlink>
    </w:p>
    <w:p>
      <w:pPr>
        <w:spacing w:before="0" w:after="80"/>
      </w:pPr>
      <w:r>
        <w:rPr>
          <w:i/>
          <w:sz w:val="20"/>
        </w:rPr>
        <w:t>EN: Biphasic Solar Reforming of Lignin to Aromatics and CO for In Situ Carbonylation of Organics</w:t>
      </w:r>
    </w:p>
    <w:p>
      <w:pPr>
        <w:spacing w:before="0" w:after="120"/>
      </w:pPr>
      <w:r>
        <w:rPr>
          <w:b/>
        </w:rPr>
        <w:t xml:space="preserve">Source: </w:t>
      </w:r>
      <w:r>
        <w:t>Journal of the American Chemical Society</w:t>
      </w:r>
      <w:r>
        <w:t xml:space="preserve">    </w:t>
      </w:r>
      <w:r>
        <w:rPr>
          <w:b/>
        </w:rPr>
        <w:t xml:space="preserve">Pub date: </w:t>
      </w:r>
      <w:r>
        <w:t>2026-08-28 00:00:00+00:00</w:t>
      </w:r>
      <w:r>
        <w:t xml:space="preserve">    </w:t>
      </w:r>
      <w:r>
        <w:rPr>
          <w:b/>
        </w:rPr>
        <w:t xml:space="preserve">DOI: </w:t>
      </w:r>
      <w:hyperlink r:id="rId465">
        <w:r>
          <w:rPr>
            <w:color w:val="1155CC"/>
            <w:u w:val="single"/>
          </w:rPr>
          <w:t>10.1021/jacs.6c10525</w:t>
        </w:r>
      </w:hyperlink>
    </w:p>
    <w:p>
      <w:pPr>
        <w:spacing w:before="0" w:after="120"/>
      </w:pPr>
      <w:r>
        <w:rPr>
          <w:b/>
        </w:rPr>
        <w:t xml:space="preserve">Notes: </w:t>
      </w:r>
      <w:r>
        <w:t>abstract_source=crossref</w:t>
      </w:r>
    </w:p>
    <w:p>
      <w:pPr>
        <w:spacing w:before="0" w:after="80" w:lineRule="auto" w:line="276"/>
      </w:pPr>
      <w:r>
        <w:rPr>
          <w:b/>
        </w:rPr>
        <w:t xml:space="preserve">摘要（ZH）: </w:t>
      </w:r>
      <w:r>
        <w:t>摘要 木质素是一种大规模可再生碳源，但由于其复杂的聚合物结构而未被充分利用。木质素的光催化转化有望实现选择性键断裂以生成官能化产物，但其强光吸收造成了阻碍。在此，我们报道了一种双相光催化体系，该体系避免了光竞争，并能在环境温度和压力下、可见光照射下从Kraft木质素同时生成CO和官能化芳香族化合物。该体系使用水分散的CdS量子点，通过脱羰机制光催化转化Kraft木质素的醛基和羟基为CO。双相体系使这种生物质衍生CO能够原位用于氨基羰基化反应。同时，Kraft木质素中β-O-4键的断裂释放出产率为81%的官能化芳香族产物。这项工作展示了可持续芳香族化合物的光驱动生产以及通过级联反应一锅法利用木质素对有机物进行羰基化。</w:t>
      </w:r>
    </w:p>
    <w:p>
      <w:pPr>
        <w:spacing w:before="0" w:after="200" w:lineRule="auto" w:line="276"/>
      </w:pPr>
      <w:r>
        <w:rPr>
          <w:b/>
        </w:rPr>
        <w:t xml:space="preserve">Abstract (EN): </w:t>
      </w:r>
      <w:r>
        <w:t>Lignin is a large-scale, renewable carbon source that remains underutilized due to its complex polymeric structure. Photocatalytic conversion of lignin promises selective bond cleavage to yield functionalized products but is hindered by its strong light absorption. Herein, we report a biphasic photocatalytic system that avoids light competition and enables the generation of both CO and functionalized aromatics from Kraft lignin under visible light at ambient temperature and pressure. This system uses water-dispersed CdS quantum dots to photocatalyze the conversion of Kraft lignin’s aldehyde and hydroxyl groups to CO via a decarbonylation mechanism. The biphasic system enables this biomass-derived CO to be used in situ for aminocarbonylation. Concurrent cleavage of the β-O-4 bonds in Kraft lignin releases functionalized aromatic products with 81% yield. This work demonstrates the simultaneous light-driven production of sustainable aromatics and one-pot utilization of lignin for carbonylation of organics via cascade reactions.</w:t>
      </w:r>
    </w:p>
    <w:p>
      <w:pPr>
        <w:spacing w:before="120" w:after="120"/>
      </w:pPr>
      <w:r>
        <w:rPr>
          <w:sz w:val="18"/>
        </w:rPr>
        <w:t>——————————————————————————————————————————————————————————————————————</w:t>
      </w:r>
    </w:p>
    <w:p>
      <w:pPr>
        <w:spacing w:before="160" w:after="40" w:line="240" w:lineRule="auto"/>
      </w:pPr>
      <w:r>
        <w:rPr>
          <w:b/>
        </w:rPr>
        <w:t xml:space="preserve">[31] </w:t>
      </w:r>
      <w:hyperlink r:id="rId466">
        <w:r>
          <w:rPr>
            <w:color w:val="1155CC"/>
            <w:u w:val="single"/>
          </w:rPr>
          <w:t>用细胞信号调节剂预处理细胞以确保HSPG特异性蛋白-药物偶联物递送的增强选择性</w:t>
        </w:r>
      </w:hyperlink>
    </w:p>
    <w:p>
      <w:pPr>
        <w:spacing w:before="0" w:after="80"/>
      </w:pPr>
      <w:r>
        <w:rPr>
          <w:i/>
          <w:sz w:val="20"/>
        </w:rPr>
        <w:t>EN: Priming Cells with Modulators of Cellular Signaling Ensures Enhanced Selectivity of HSPG-Specific Protein–Drug Conjugate Delivery</w:t>
      </w:r>
    </w:p>
    <w:p>
      <w:pPr>
        <w:spacing w:before="0" w:after="120"/>
      </w:pPr>
      <w:r>
        <w:rPr>
          <w:b/>
        </w:rPr>
        <w:t xml:space="preserve">Source: </w:t>
      </w:r>
      <w:r>
        <w:t>Journal of the American Chemical Society</w:t>
      </w:r>
      <w:r>
        <w:t xml:space="preserve">    </w:t>
      </w:r>
      <w:r>
        <w:rPr>
          <w:b/>
        </w:rPr>
        <w:t xml:space="preserve">Pub date: </w:t>
      </w:r>
      <w:r>
        <w:t>2026-08-28 00:00:00+00:00</w:t>
      </w:r>
      <w:r>
        <w:t xml:space="preserve">    </w:t>
      </w:r>
      <w:r>
        <w:rPr>
          <w:b/>
        </w:rPr>
        <w:t xml:space="preserve">DOI: </w:t>
      </w:r>
      <w:hyperlink r:id="rId466">
        <w:r>
          <w:rPr>
            <w:color w:val="1155CC"/>
            <w:u w:val="single"/>
          </w:rPr>
          <w:t>10.1021/jacs.6c08409</w:t>
        </w:r>
      </w:hyperlink>
    </w:p>
    <w:p>
      <w:pPr>
        <w:spacing w:before="0" w:after="120"/>
      </w:pPr>
      <w:r>
        <w:rPr>
          <w:b/>
        </w:rPr>
        <w:t xml:space="preserve">Notes: </w:t>
      </w:r>
      <w:r>
        <w:t>abstract_source=crossref</w:t>
      </w:r>
    </w:p>
    <w:p>
      <w:pPr>
        <w:spacing w:before="0" w:after="80" w:lineRule="auto" w:line="276"/>
      </w:pPr>
      <w:r>
        <w:rPr>
          <w:b/>
        </w:rPr>
        <w:t xml:space="preserve">摘要（ZH）: </w:t>
      </w:r>
      <w:r>
        <w:t>摘要 蛋白质–药物偶联物（PDC）构成了一类快速增长的精准抗癌药物。受体介导的内吞作用是PDC发挥作用的关键步骤，确保PDC被递送至癌细胞内部。在此，我们报道TriFHS-MMAE，这是首个特异性靶向胰腺癌细胞过表达的硫酸乙酰肝素蛋白聚糖（HSPG）的多价PDC，其可诱导HSPG的超快速且高效的聚集依赖性内吞（ADE）。利用接近全激酶组的抑制剂文库进行高内涵筛选，我们鉴定了调控HSPG的ADE的信号通路，并发现了仅在胰腺癌细胞中而非健康细胞中选择性运作的级联反应。我们证明，用所鉴定的内吞化学调节剂预处理细胞可改善TriFHS-MMAE偶联物体内外靶向能力。总体而言，这些发现为信号传导、内吞与PDC之间的相互作用提供了深入认识，并支持胰腺癌特异性疗法的开发。</w:t>
      </w:r>
    </w:p>
    <w:p>
      <w:pPr>
        <w:spacing w:before="0" w:after="200" w:lineRule="auto" w:line="276"/>
      </w:pPr>
      <w:r>
        <w:rPr>
          <w:b/>
        </w:rPr>
        <w:t xml:space="preserve">Abstract (EN): </w:t>
      </w:r>
      <w:r>
        <w:t>Protein–drug conjugates (PDCs) constitute a rapidly growing group of precise anticancer agents. Receptor-mediated endocytosis is a critical step in PDC action, which ensures the delivery of PDCs into the interior of cancer cells. Here, we report TriFHS-MMAE, the first multivalent PDC specifically targeting heparan sulfate proteoglycans (HSPGs) overexpressed by pancreatic cancer cells, which induces ultrafast and highly efficient aggregation-dependent endocytosis (ADE) of HSPGs. Using high-content screening with a near-kinome-wide library of inhibitors, we identified signaling pathways that govern ADE of HSPGs and discovered cascades that selectively operate in pancreatic cancer cells versus healthy cells. We show that priming cells with identified endocytic chemical modulators improves the targeting of the TriFHS-MMAE conjugate in vitro and in vivo. Overall, these findings provide insights into the interplay among signaling, endocytosis, and PDCs and support the development of specific therapies for pancreatic cancer.</w:t>
      </w:r>
    </w:p>
    <w:p>
      <w:pPr>
        <w:spacing w:before="120" w:after="120"/>
      </w:pPr>
      <w:r>
        <w:rPr>
          <w:sz w:val="18"/>
        </w:rPr>
        <w:t>——————————————————————————————————————————————————————————————————————</w:t>
      </w:r>
    </w:p>
    <w:p>
      <w:pPr>
        <w:spacing w:before="160" w:after="40" w:line="240" w:lineRule="auto"/>
      </w:pPr>
      <w:r>
        <w:rPr>
          <w:b/>
        </w:rPr>
        <w:t xml:space="preserve">[32] </w:t>
      </w:r>
      <w:hyperlink r:id="rId467">
        <w:r>
          <w:rPr>
            <w:color w:val="1155CC"/>
            <w:u w:val="single"/>
          </w:rPr>
          <w:t>细胞色素P450和脱氢酶介导的德里烷型倍半萜类生物合成中β-和γ-内酯的区域专一性与立体选择性形成</w:t>
        </w:r>
      </w:hyperlink>
    </w:p>
    <w:p>
      <w:pPr>
        <w:spacing w:before="0" w:after="80"/>
      </w:pPr>
      <w:r>
        <w:rPr>
          <w:i/>
          <w:sz w:val="20"/>
        </w:rPr>
        <w:t>EN: Cytochrome P450- and Dehydrogenase-Mediated Regiospecific and Stereoselective Formation of β- and γ-Lactones in Drimane-Type Sesquiterpenoid Biosynthesis</w:t>
      </w:r>
    </w:p>
    <w:p>
      <w:pPr>
        <w:spacing w:before="0" w:after="120"/>
      </w:pPr>
      <w:r>
        <w:rPr>
          <w:b/>
        </w:rPr>
        <w:t xml:space="preserve">Source: </w:t>
      </w:r>
      <w:r>
        <w:t>Journal of the American Chemical Society</w:t>
      </w:r>
      <w:r>
        <w:t xml:space="preserve">    </w:t>
      </w:r>
      <w:r>
        <w:rPr>
          <w:b/>
        </w:rPr>
        <w:t xml:space="preserve">Pub date: </w:t>
      </w:r>
      <w:r>
        <w:t>2026-08-28 00:00:00+00:00</w:t>
      </w:r>
      <w:r>
        <w:t xml:space="preserve">    </w:t>
      </w:r>
      <w:r>
        <w:rPr>
          <w:b/>
        </w:rPr>
        <w:t xml:space="preserve">DOI: </w:t>
      </w:r>
      <w:hyperlink r:id="rId467">
        <w:r>
          <w:rPr>
            <w:color w:val="1155CC"/>
            <w:u w:val="single"/>
          </w:rPr>
          <w:t>10.1021/jacs.6c13983</w:t>
        </w:r>
      </w:hyperlink>
    </w:p>
    <w:p>
      <w:pPr>
        <w:spacing w:before="0" w:after="120"/>
      </w:pPr>
      <w:r>
        <w:rPr>
          <w:b/>
        </w:rPr>
        <w:t xml:space="preserve">Notes: </w:t>
      </w:r>
      <w:r>
        <w:t>abstract_source=crossref</w:t>
      </w:r>
    </w:p>
    <w:p>
      <w:pPr>
        <w:spacing w:before="0" w:after="80" w:lineRule="auto" w:line="276"/>
      </w:pPr>
      <w:r>
        <w:rPr>
          <w:b/>
        </w:rPr>
        <w:t xml:space="preserve">摘要（ZH）: </w:t>
      </w:r>
      <w:r>
        <w:t>摘要 含内酯的天然产物是药物发现的重要候选者。Drimane型倍半萜（DTSs）以双环反式十氢萘骨架为特征，可同时含有β-和γ-内酯结构单元。虽然含γ-内酯的DTSs已有大量报道，但含β-内酯的衍生物较为罕见，其生物合成尚未被探索。在此，我们在Aspergillus ustus中鉴定了一个生物合成基因簇（dri），并证实ustidrimane A（1）——一种含β-和γ-内酯的DTS——为其产物。异源基因表达、前体饲喂和酶学研究为两个内酯环的形成提供了证据。在两种情况下，反应级联均由区域特异性（和立体选择性）的甲基羟基化引发，随后一个羟甲基经区域特异性和立体选择性氧化生成醛。所得半缩醛被证明随后被氧化为内酯。β-内酯的形成由两个细胞色素P450酶（DriE和DriF）催化，随后由两个脱氢酶（DriG和DriH）催化两个氧化步骤。这些发现与已知的脂肪酸、PKS和NRPS来源代谢物中β-内酯的形成机制完全不同。随后的γ-内酯形成由一个P450（DriJ）和一个脱氢酶（DriD）催化。DriJ被证明参与甲基羟基化和半缩醛形成，而DriD负责半缩醛的氧化，并对其形成也有适度贡献。总的来说，这些发现建立了一个顺序性的P450/脱氢酶介导的内酯形成机制。</w:t>
      </w:r>
    </w:p>
    <w:p>
      <w:pPr>
        <w:spacing w:before="0" w:after="200" w:lineRule="auto" w:line="276"/>
      </w:pPr>
      <w:r>
        <w:rPr>
          <w:b/>
        </w:rPr>
        <w:t xml:space="preserve">Abstract (EN): </w:t>
      </w:r>
      <w:r>
        <w:t>Lactone-containing natural products are important candidates for drug discovery. Drimane-type sesquiterpenes (DTSs), characterized by a bicyclic trans-decalin scaffold, can bear both β- and γ-lactone moieties. While γ-lactone-containing DTSs have frequently been reported, β-lactone-containing derivatives are rare, and their biosynthesis remains unexplored. Here, we identified a biosynthetic gene cluster (dri) in Aspergillus ustus and confirmed ustidrimane A (1), a β- and γ-lactone-containing DTS, as its product. Heterologous gene expression, precursor feeding, and enzymatic investigation provided evidence for the formation of both lactone rings. In both cases, the reaction cascade is initiated by regiospecific (and stereoselective) methyl hydroxylation, followed by regiospecific and stereoselective oxidation of one hydroxymethyl group to an aldehyde. The resulting hemiacetal was proven to be subsequently oxidized to a lactone. The β-lactone formation is catalyzed by two cytochrome P450 enzymes (DriE and DriF), followed by two oxidation steps catalyzed by two dehydrogenases (DriG and DriH). These findings differ entirely from the known β-lactone formation in fatty acid-, PKS-, and NRPS-derived metabolites. The subsequent γ-lactone formation is catalyzed by a P450 (DriJ) and a dehydrogenase (DriD). DriJ has been shown to be involved in both methyl hydroxylation and hemiacetal formation, while DriD is responsible for the hemiacetal oxidation and also contributes moderately to its formation. Collectively, these findings establish a sequential P450/dehydrogenase-mediated oxidative cascade for the construction of two distinct lactone motifs within a single DTS scaffold. Moreover, they provide the first insight into the β-lactone formation in terpenes, thus unveiling a new strategy for the construction of this structural motif.</w:t>
      </w:r>
    </w:p>
    <w:p>
      <w:pPr>
        <w:spacing w:before="120" w:after="120"/>
      </w:pPr>
      <w:r>
        <w:rPr>
          <w:sz w:val="18"/>
        </w:rPr>
        <w:t>——————————————————————————————————————————————————————————————————————</w:t>
      </w:r>
    </w:p>
    <w:p>
      <w:pPr>
        <w:spacing w:before="160" w:after="40" w:line="240" w:lineRule="auto"/>
      </w:pPr>
      <w:r>
        <w:rPr>
          <w:b/>
        </w:rPr>
        <w:t xml:space="preserve">[33] </w:t>
      </w:r>
      <w:hyperlink r:id="rId468">
        <w:r>
          <w:rPr>
            <w:color w:val="1155CC"/>
            <w:u w:val="single"/>
          </w:rPr>
          <w:t>面向可持续未来的二维MXenes</w:t>
        </w:r>
      </w:hyperlink>
    </w:p>
    <w:p>
      <w:pPr>
        <w:spacing w:before="0" w:after="80"/>
      </w:pPr>
      <w:r>
        <w:rPr>
          <w:i/>
          <w:sz w:val="20"/>
        </w:rPr>
        <w:t>EN: Two-Dimensional MXenes for a Sustainable Future</w:t>
      </w:r>
    </w:p>
    <w:p>
      <w:pPr>
        <w:spacing w:before="0" w:after="120"/>
      </w:pPr>
      <w:r>
        <w:rPr>
          <w:b/>
        </w:rPr>
        <w:t xml:space="preserve">Source: </w:t>
      </w:r>
      <w:r>
        <w:t>Journal of the American Chemical Society</w:t>
      </w:r>
      <w:r>
        <w:t xml:space="preserve">    </w:t>
      </w:r>
      <w:r>
        <w:rPr>
          <w:b/>
        </w:rPr>
        <w:t xml:space="preserve">Pub date: </w:t>
      </w:r>
      <w:r>
        <w:t>2026-08-28 00:00:00+00:00</w:t>
      </w:r>
      <w:r>
        <w:t xml:space="preserve">    </w:t>
      </w:r>
      <w:r>
        <w:rPr>
          <w:b/>
        </w:rPr>
        <w:t xml:space="preserve">DOI: </w:t>
      </w:r>
      <w:hyperlink r:id="rId468">
        <w:r>
          <w:rPr>
            <w:color w:val="1155CC"/>
            <w:u w:val="single"/>
          </w:rPr>
          <w:t>10.1021/jacs.6c11786</w:t>
        </w:r>
      </w:hyperlink>
    </w:p>
    <w:p>
      <w:pPr>
        <w:spacing w:before="0" w:after="120"/>
      </w:pPr>
      <w:r>
        <w:rPr>
          <w:b/>
        </w:rPr>
        <w:t xml:space="preserve">Notes: </w:t>
      </w:r>
      <w:r>
        <w:t>abstract_source=crossref</w:t>
      </w:r>
    </w:p>
    <w:p>
      <w:pPr>
        <w:spacing w:before="0" w:after="80" w:lineRule="auto" w:line="276"/>
      </w:pPr>
      <w:r>
        <w:rPr>
          <w:b/>
        </w:rPr>
        <w:t xml:space="preserve">摘要（ZH）: </w:t>
      </w:r>
      <w:r>
        <w:t>摘要 被称为MXene的二维（2D）碳化物、氮化物及相关化合物是增长最快的无机纳米材料家族，凭借其独特且可调的性质，有望推动通信、能源、水和医疗保健领域的发展。要实现这一前景，需要以可持续的方式扩大其制造规模，并评估其在提高热管理和太阳能收集效率、储存可再生能源、海水淡化以及通过引入新型可穿戴设备重塑我们生活方面的能力。本展望对绿色可持续的MXene制造进行了批判性分析，并概述了MXene在可持续技术中的应用，如能量产生与存储、热管理、传感、电磁干扰屏蔽以及水脱盐与修复。文中提出了最有前景的材料解决方案，包括与具有互补性质的其他材料杂化，以进一步提升MXene性能，并构建无法用传统材料制造的器件和系统。通过计算指导的MXene与其他纳米粒子和有机分子的无废料组装，可以加速发现并减少构建下一代系统中的试错，为塑造我们未来的可持续技术开辟道路。</w:t>
      </w:r>
    </w:p>
    <w:p>
      <w:pPr>
        <w:spacing w:before="0" w:after="200" w:lineRule="auto" w:line="276"/>
      </w:pPr>
      <w:r>
        <w:rPr>
          <w:b/>
        </w:rPr>
        <w:t xml:space="preserve">Abstract (EN): </w:t>
      </w:r>
      <w:r>
        <w:t>Two-dimensional (2D) carbides, nitrides, and related compounds known as MXenes are the fastest-growing family of inorganic nanomaterials, which promise to advance communication, energy, water, and healthcare due to their unique and tunable properties. To deliver on this promise, one needs to scale up their manufacturing in a sustainable way and evaluate their capacity to enhance the efficiency of thermal management and solar energy harvesting, storing renewable energy, desalinating water, and reshape our lives through the introduction of new wearable devices. This Perspective provides a critical analysis of green and sustainable MXene manufacturing and an overview of MXene applications in sustainable technologies, such as energy generation and storage, thermal management, sensing, electromagnetic interference shielding, and water desalination and remediation. The most promising material solutions are suggested, including hybridization with other materials with complementing properties to further enhance MXene performance and build devices and systems that cannot be created using conventional materials. Computationally guided waste-free assembly of MXenes with other nanoparticles and organic molecules can accelerate discovery and reduce trial-and-error in building next-generation systems, opening pathways to sustainable technologies that will shape our future.</w:t>
      </w:r>
    </w:p>
    <w:p>
      <w:pPr>
        <w:spacing w:before="120" w:after="120"/>
      </w:pPr>
      <w:r>
        <w:rPr>
          <w:sz w:val="18"/>
        </w:rPr>
        <w:t>——————————————————————————————————————————————————————————————————————</w:t>
      </w:r>
    </w:p>
    <w:p>
      <w:pPr>
        <w:spacing w:before="160" w:after="40" w:line="240" w:lineRule="auto"/>
      </w:pPr>
      <w:r>
        <w:rPr>
          <w:b/>
        </w:rPr>
        <w:t xml:space="preserve">[34] </w:t>
      </w:r>
      <w:hyperlink r:id="rId469">
        <w:r>
          <w:rPr>
            <w:color w:val="1155CC"/>
            <w:u w:val="single"/>
          </w:rPr>
          <w:t>工程化聚酰亚胺粘结剂增强无镍无钴无序岩盐相锂离子正极</w:t>
        </w:r>
      </w:hyperlink>
    </w:p>
    <w:p>
      <w:pPr>
        <w:spacing w:before="0" w:after="80"/>
      </w:pPr>
      <w:r>
        <w:rPr>
          <w:i/>
          <w:sz w:val="20"/>
        </w:rPr>
        <w:t>EN: Engineered Polyimide Binders Fortifying Ni- and Co-Free Disordered Rock-Salt Li-Ion Cathodes</w:t>
      </w:r>
    </w:p>
    <w:p>
      <w:pPr>
        <w:spacing w:before="0" w:after="120"/>
      </w:pPr>
      <w:r>
        <w:rPr>
          <w:b/>
        </w:rPr>
        <w:t xml:space="preserve">Source: </w:t>
      </w:r>
      <w:r>
        <w:t>ACS Applied Materials &amp; Interfaces</w:t>
      </w:r>
      <w:r>
        <w:t xml:space="preserve">    </w:t>
      </w:r>
      <w:r>
        <w:rPr>
          <w:b/>
        </w:rPr>
        <w:t xml:space="preserve">Pub date: </w:t>
      </w:r>
      <w:r>
        <w:t>2026-08-28 00:00:00+00:00</w:t>
      </w:r>
      <w:r>
        <w:t xml:space="preserve">    </w:t>
      </w:r>
      <w:r>
        <w:rPr>
          <w:b/>
        </w:rPr>
        <w:t xml:space="preserve">DOI: </w:t>
      </w:r>
      <w:hyperlink r:id="rId469">
        <w:r>
          <w:rPr>
            <w:color w:val="1155CC"/>
            <w:u w:val="single"/>
          </w:rPr>
          <w:t>10.1021/acsami.6c07764</w:t>
        </w:r>
      </w:hyperlink>
    </w:p>
    <w:p>
      <w:pPr>
        <w:spacing w:before="0" w:after="120"/>
      </w:pPr>
      <w:r>
        <w:rPr>
          <w:b/>
        </w:rPr>
        <w:t xml:space="preserve">Notes: </w:t>
      </w:r>
      <w:r>
        <w:t>abstract_source=crossref</w:t>
      </w:r>
    </w:p>
    <w:p>
      <w:pPr>
        <w:spacing w:before="0" w:after="80" w:lineRule="auto" w:line="276"/>
      </w:pPr>
      <w:r>
        <w:rPr>
          <w:b/>
        </w:rPr>
        <w:t xml:space="preserve">摘要（ZH）: </w:t>
      </w:r>
      <w:r>
        <w:t>摘要 无Ni、无Co的Mn基无序岩盐相（DRX）正极是低成本、高能量密度锂离子电池的有前途的候选材料，但在高电压运行下存在性能快速衰减以及循环过程中体积变化大的问题。在此，我们报道了通过分子设计稳定DRX正极的氟化聚酰亚胺（PI）粘结剂平台。通过系统改变二胺主链中的氟化程度并引入羧酸官能团，我们建立了将粘结剂电子结构、界面粘附和电极加工性联系起来的明确构效关系。理论和实验分析相结合表明，氟化程度的增加可稳定价带并提高阳极稳定性，而羧酸基团可促进强的界面相互作用和均匀的电极形成。当应用于部分有序和完全无序的DRX正极时，优化的粘结剂可抑制阻抗增长、减轻机械退化并减少过渡金属溶出，从而在常规和高浓度电解液（HCEs）中改善循环性能。例如，在HCEs中于1.5至4.6 V之间循环100次后，优化的PI粘结剂相比传统PVDF粘结剂使能量密度保持率提高30%。这些结果确立了氟化PI作为一种稳健且可调的粘结剂平台，并凸显了粘结剂设计对可持续、高容量无Ni、无Co锂离子电池的关键作用。</w:t>
      </w:r>
    </w:p>
    <w:p>
      <w:pPr>
        <w:spacing w:before="0" w:after="200" w:lineRule="auto" w:line="276"/>
      </w:pPr>
      <w:r>
        <w:rPr>
          <w:b/>
        </w:rPr>
        <w:t xml:space="preserve">Abstract (EN): </w:t>
      </w:r>
      <w:r>
        <w:t>Ni- and Co-free Mn-based disordered rock-salt (DRX) cathodes are promising candidates for low-cost, high-energy-density lithium-ion batteries but suffer from rapid performance degradation under high-voltage operation and from large volume changes during cycling. Here, we report a fluorinated polyimide (PI) binder platform that stabilizes DRX cathodes through molecular design. By systematically varying the degree of fluorination in the diamine backbone and incorporating carboxylic acid functionalities, we establish clear structure–property relationships linking binder electronic structure, interfacial adhesion, and electrode processability. Combined theoretical and experimental analyses show that increased fluorination stabilizes the valence band and enhances anodic stability, while carboxylic acid groups promote strong interfacial interactions and homogeneous electrode formation. When applied to partially ordered and fully disordered DRX cathodes, the optimized binder suppresses impedance growth, mitigates mechanical degradation, and reduces transition-metal dissolution, leading to improved cycling performance in both conventional and high-concentration electrolytes (HCEs). For example, the optimized PI binder leads to a 30% improvement in energy density retention compared with a conventional PVDF binder after 100 cycles in HCEs between 1.5 and 4.6 V. These results establish fluorinated PIs as a robust and tunable binder platform and highlight binder design as critical for sustainable, high-capacity Ni- and Co-free lithium-ion batteries.</w:t>
      </w:r>
    </w:p>
    <w:p>
      <w:pPr>
        <w:spacing w:before="120" w:after="120"/>
      </w:pPr>
      <w:r>
        <w:rPr>
          <w:sz w:val="18"/>
        </w:rPr>
        <w:t>——————————————————————————————————————————————————————————————————————</w:t>
      </w:r>
    </w:p>
    <w:p>
      <w:pPr>
        <w:spacing w:before="160" w:after="40" w:line="240" w:lineRule="auto"/>
      </w:pPr>
      <w:r>
        <w:rPr>
          <w:b/>
        </w:rPr>
        <w:t xml:space="preserve">[35] </w:t>
      </w:r>
      <w:hyperlink r:id="rId470">
        <w:r>
          <w:rPr>
            <w:color w:val="1155CC"/>
            <w:u w:val="single"/>
          </w:rPr>
          <w:t>神经网络发现能在纳米尺度操控光的扭转晶体</w:t>
        </w:r>
      </w:hyperlink>
    </w:p>
    <w:p>
      <w:pPr>
        <w:spacing w:before="0" w:after="80"/>
      </w:pPr>
      <w:r>
        <w:rPr>
          <w:i/>
          <w:sz w:val="20"/>
        </w:rPr>
        <w:t>EN: Neural network finds twisted crystals that steer light at the nanoscale</w:t>
      </w:r>
    </w:p>
    <w:p>
      <w:pPr>
        <w:spacing w:before="0" w:after="120"/>
      </w:pPr>
      <w:r>
        <w:rPr>
          <w:b/>
        </w:rPr>
        <w:t xml:space="preserve">Source: </w:t>
      </w:r>
      <w:r>
        <w:t>Nature Materials</w:t>
      </w:r>
      <w:r>
        <w:t xml:space="preserve">    </w:t>
      </w:r>
      <w:r>
        <w:rPr>
          <w:b/>
        </w:rPr>
        <w:t xml:space="preserve">Pub date: </w:t>
      </w:r>
      <w:r>
        <w:t>2026-08-28 00:00:00+00:00</w:t>
      </w:r>
      <w:r>
        <w:t xml:space="preserve">    </w:t>
      </w:r>
      <w:r>
        <w:rPr>
          <w:b/>
        </w:rPr>
        <w:t xml:space="preserve">DOI: </w:t>
      </w:r>
      <w:hyperlink r:id="rId471">
        <w:r>
          <w:rPr>
            <w:color w:val="1155CC"/>
            <w:u w:val="single"/>
          </w:rPr>
          <w:t>10.1038/s41563-026-02744-x</w:t>
        </w:r>
      </w:hyperlink>
    </w:p>
    <w:p>
      <w:pPr>
        <w:spacing w:before="0" w:after="120"/>
      </w:pPr>
      <w:r>
        <w:rPr>
          <w:b/>
        </w:rPr>
        <w:t xml:space="preserve">Notes: </w:t>
      </w:r>
      <w:r>
        <w:t>abstract_source=rss_nature</w:t>
      </w:r>
    </w:p>
    <w:p>
      <w:pPr>
        <w:spacing w:before="0" w:after="80" w:lineRule="auto" w:line="276"/>
      </w:pPr>
      <w:r>
        <w:rPr>
          <w:b/>
        </w:rPr>
        <w:t xml:space="preserve">摘要（ZH）: </w:t>
      </w:r>
      <w:r>
        <w:t>光的传播可以通过在以相对扭转堆叠的范德华晶体二维层中形成表面极化激元而在纳米尺度上加以控制。现在，一种从目标光路反向工作的神经网络可识别出在可见光到太赫兹工作频率范围内产生所需传播的结构。</w:t>
      </w:r>
    </w:p>
    <w:p>
      <w:pPr>
        <w:spacing w:before="0" w:after="200" w:lineRule="auto" w:line="276"/>
      </w:pPr>
      <w:r>
        <w:rPr>
          <w:b/>
        </w:rPr>
        <w:t xml:space="preserve">Abstract (EN): </w:t>
      </w:r>
      <w:r>
        <w:t>Light propagation can be controlled at the nanoscale by forming surface polaritons in two-dimensional layers of van der Waals crystals stacked with a relative twist. Now, a neural network that works backwards from a target light path identifies structures that produce a desired propagation across visible to terahertz operating frequencies.</w:t>
      </w:r>
    </w:p>
    <w:p>
      <w:pPr>
        <w:spacing w:before="120" w:after="120"/>
      </w:pPr>
      <w:r>
        <w:rPr>
          <w:sz w:val="18"/>
        </w:rPr>
        <w:t>——————————————————————————————————————————————————————————————————————</w:t>
      </w:r>
    </w:p>
    <w:p>
      <w:pPr>
        <w:spacing w:before="160" w:after="40" w:line="240" w:lineRule="auto"/>
      </w:pPr>
      <w:r>
        <w:rPr>
          <w:b/>
        </w:rPr>
        <w:t xml:space="preserve">[36] </w:t>
      </w:r>
      <w:hyperlink r:id="rId472">
        <w:r>
          <w:rPr>
            <w:color w:val="1155CC"/>
            <w:u w:val="single"/>
          </w:rPr>
          <w:t>面向工业能源自给的离网光伏–电池–绿氢微电网的可靠性约束优化配置与能量管理</w:t>
        </w:r>
      </w:hyperlink>
    </w:p>
    <w:p>
      <w:pPr>
        <w:spacing w:before="0" w:after="80"/>
      </w:pPr>
      <w:r>
        <w:rPr>
          <w:i/>
          <w:sz w:val="20"/>
        </w:rPr>
        <w:t>EN: Reliability-constrained optimal sizing and energy management of off-grid PV–battery–green hydrogen microgrids for industrial energy autonomy</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473">
        <w:r>
          <w:rPr>
            <w:color w:val="1155CC"/>
            <w:u w:val="single"/>
          </w:rPr>
          <w:t>10.1016/j.apenergy.2026.128708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 </w:t>
      </w:r>
      <w:hyperlink r:id="rId474">
        <w:r>
          <w:rPr>
            <w:color w:val="1155CC"/>
            <w:u w:val="single"/>
          </w:rPr>
          <w:t>考虑多重极端天气事件的核电与抽水蓄能鲁棒协同规划：提升资源充裕度与运行灵活性</w:t>
        </w:r>
      </w:hyperlink>
    </w:p>
    <w:p>
      <w:pPr>
        <w:spacing w:before="0" w:after="80"/>
      </w:pPr>
      <w:r>
        <w:rPr>
          <w:i/>
          <w:sz w:val="20"/>
        </w:rPr>
        <w:t>EN: Robust co-planning of nuclear power and pumped hydro storage considering multiple extreme weather events: Enhancing resource adequacy and operational flexibility</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475">
        <w:r>
          <w:rPr>
            <w:color w:val="1155CC"/>
            <w:u w:val="single"/>
          </w:rPr>
          <w:t>10.1016/j.apenergy.2026.128718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 </w:t>
      </w:r>
      <w:hyperlink r:id="rId476">
        <w:r>
          <w:rPr>
            <w:color w:val="1155CC"/>
            <w:u w:val="single"/>
          </w:rPr>
          <w:t>PMGT-Net：用于可解释国家能源依赖预测的物理信息多尺度图Transformer框架</w:t>
        </w:r>
      </w:hyperlink>
    </w:p>
    <w:p>
      <w:pPr>
        <w:spacing w:before="0" w:after="80"/>
      </w:pPr>
      <w:r>
        <w:rPr>
          <w:i/>
          <w:sz w:val="20"/>
        </w:rPr>
        <w:t>EN: PMGT-Net: A physics-informed multi-scale graph transformer framework for explainable national energy dependency forecasting</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477">
        <w:r>
          <w:rPr>
            <w:color w:val="1155CC"/>
            <w:u w:val="single"/>
          </w:rPr>
          <w:t>10.1016/j.apenergy.2026.128724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 </w:t>
      </w:r>
      <w:hyperlink r:id="rId478">
        <w:r>
          <w:rPr>
            <w:color w:val="1155CC"/>
            <w:u w:val="single"/>
          </w:rPr>
          <w:t>基于动态储能预留的数字化配电系统依赖于通信的灵活性规划</w:t>
        </w:r>
      </w:hyperlink>
    </w:p>
    <w:p>
      <w:pPr>
        <w:spacing w:before="0" w:after="80"/>
      </w:pPr>
      <w:r>
        <w:rPr>
          <w:i/>
          <w:sz w:val="20"/>
        </w:rPr>
        <w:t>EN: Communication-dependent flexibility planning in digitalized distribution systems via dynamic storage reservation</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479">
        <w:r>
          <w:rPr>
            <w:color w:val="1155CC"/>
            <w:u w:val="single"/>
          </w:rPr>
          <w:t>10.1016/j.apenergy.2026.128736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 </w:t>
      </w:r>
      <w:hyperlink r:id="rId480">
        <w:r>
          <w:rPr>
            <w:color w:val="1155CC"/>
            <w:u w:val="single"/>
          </w:rPr>
          <w:t>复杂天气条件下具备物理一致性的自适应分解混合网络：通用光伏功率预测</w:t>
        </w:r>
      </w:hyperlink>
    </w:p>
    <w:p>
      <w:pPr>
        <w:spacing w:before="0" w:after="80"/>
      </w:pPr>
      <w:r>
        <w:rPr>
          <w:i/>
          <w:sz w:val="20"/>
        </w:rPr>
        <w:t>EN: Generalizable photovoltaic power forecasting under complex weather conditions: An adaptive decomposition-based hybrid network with physical consistency</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481">
        <w:r>
          <w:rPr>
            <w:color w:val="1155CC"/>
            <w:u w:val="single"/>
          </w:rPr>
          <w:t>10.1016/j.apenergy.2026.128715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 </w:t>
      </w:r>
      <w:hyperlink r:id="rId482">
        <w:r>
          <w:rPr>
            <w:color w:val="1155CC"/>
            <w:u w:val="single"/>
          </w:rPr>
          <w:t>用于配电系统中隐私增强型多产消者能源交易的物理信息Transformer-KAN网络</w:t>
        </w:r>
      </w:hyperlink>
    </w:p>
    <w:p>
      <w:pPr>
        <w:spacing w:before="0" w:after="80"/>
      </w:pPr>
      <w:r>
        <w:rPr>
          <w:i/>
          <w:sz w:val="20"/>
        </w:rPr>
        <w:t>EN: A physics-informed transformer-KAN network for privacy-enhanced multi-prosumer energy trading in distribution systems</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483">
        <w:r>
          <w:rPr>
            <w:color w:val="1155CC"/>
            <w:u w:val="single"/>
          </w:rPr>
          <w:t>10.1016/j.apenergy.2026.128697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 </w:t>
      </w:r>
      <w:hyperlink r:id="rId484">
        <w:r>
          <w:rPr>
            <w:color w:val="1155CC"/>
            <w:u w:val="single"/>
          </w:rPr>
          <w:t>AI驱动的智能家电优化：系统性综述</w:t>
        </w:r>
      </w:hyperlink>
    </w:p>
    <w:p>
      <w:pPr>
        <w:spacing w:before="0" w:after="80"/>
      </w:pPr>
      <w:r>
        <w:rPr>
          <w:i/>
          <w:sz w:val="20"/>
        </w:rPr>
        <w:t>EN: AI-driven smart home appliance optimization: A systematic review</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485">
        <w:r>
          <w:rPr>
            <w:color w:val="1155CC"/>
            <w:u w:val="single"/>
          </w:rPr>
          <w:t>10.1016/j.apenergy.2026.128665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 </w:t>
      </w:r>
      <w:hyperlink r:id="rId486">
        <w:r>
          <w:rPr>
            <w:color w:val="1155CC"/>
            <w:u w:val="single"/>
          </w:rPr>
          <w:t>自组装多肽形成α螺旋纳米孔用于超灵敏生物标志物分析</w:t>
        </w:r>
      </w:hyperlink>
    </w:p>
    <w:p>
      <w:pPr>
        <w:spacing w:before="0" w:after="80"/>
      </w:pPr>
      <w:r>
        <w:rPr>
          <w:i/>
          <w:sz w:val="20"/>
        </w:rPr>
        <w:t>EN: A self-assembled peptide forms α-helical nanopores for ultrasensitive biomarker profiling</w:t>
      </w:r>
    </w:p>
    <w:p>
      <w:pPr>
        <w:spacing w:before="0" w:after="120"/>
      </w:pPr>
      <w:r>
        <w:rPr>
          <w:b/>
        </w:rPr>
        <w:t xml:space="preserve">Source: </w:t>
      </w:r>
      <w:r>
        <w:t>Nature Nanotechnology</w:t>
      </w:r>
      <w:r>
        <w:t xml:space="preserve">    </w:t>
      </w:r>
      <w:r>
        <w:rPr>
          <w:b/>
        </w:rPr>
        <w:t xml:space="preserve">Pub date: </w:t>
      </w:r>
      <w:r>
        <w:t>2026-08-28 00:00:00+00:00</w:t>
      </w:r>
      <w:r>
        <w:t xml:space="preserve">    </w:t>
      </w:r>
      <w:r>
        <w:rPr>
          <w:b/>
        </w:rPr>
        <w:t xml:space="preserve">DOI: </w:t>
      </w:r>
      <w:hyperlink r:id="rId487">
        <w:r>
          <w:rPr>
            <w:color w:val="1155CC"/>
            <w:u w:val="single"/>
          </w:rPr>
          <w:t>10.1038/s41565-026-02265-3</w:t>
        </w:r>
      </w:hyperlink>
    </w:p>
    <w:p>
      <w:pPr>
        <w:spacing w:before="0" w:after="120"/>
      </w:pPr>
      <w:r>
        <w:rPr>
          <w:b/>
        </w:rPr>
        <w:t xml:space="preserve">Notes: </w:t>
      </w:r>
      <w:r>
        <w:t>abstract_source=semanticscholar</w:t>
      </w:r>
    </w:p>
    <w:p>
      <w:pPr>
        <w:spacing w:before="0" w:after="80" w:lineRule="auto" w:line="276"/>
      </w:pPr>
      <w:r>
        <w:rPr>
          <w:b/>
        </w:rPr>
        <w:t xml:space="preserve">摘要（ZH）: </w:t>
      </w:r>
      <w:r>
        <w:t>α-螺旋纳米孔是极具吸引力的分子传感器，但其合理设计与组装仍具挑战性。在此，我们展示了衍生自孔道蛋白PorACj的单肽pPorA可自组装成柔性α-螺旋纳米孔，插入脂质膜并以不同的小电导和大电导状态存在。通过策略性地引入非天然氨基酸，我们设计了在1 M KCl中单通道电导分别为2.4 nS和3.5 nS的小孔径和大孔径孔，同时保留共同的八聚体结构。这些纳米孔能够检测糖类、肽对映体以及形成动态、异质性组装体的内在无序疾病蛋白。大孔检测到多种α-突触核蛋白（α-syn）变体，包括一种与帕金森病相关的致病性C末端缺失突变体，其亲和力达到纳摩尔级别（KD ≈ 20 nM）。对α-syn N末端的选择性静电捕获实现了异质混合物中单个α-syn物种的电荷分辨识别。该纳米孔进一步解析了从单体到毒性寡聚体和原纤维的时间依赖性和抑制剂调节的α-syn聚集途径。小孔检测到与细胞凋亡和肌萎缩侧索硬化相关的人参素和超氧化物歧化酶肽，展示了通过孔径控制实现可调传感。这些构象可编程的α-螺旋纳米孔为疾病生物标志物的超灵敏分析提供了多功能平台。</w:t>
      </w:r>
    </w:p>
    <w:p>
      <w:pPr>
        <w:spacing w:before="0" w:after="200" w:lineRule="auto" w:line="276"/>
      </w:pPr>
      <w:r>
        <w:rPr>
          <w:b/>
        </w:rPr>
        <w:t xml:space="preserve">Abstract (EN): </w:t>
      </w:r>
      <w:r>
        <w:t>α-Helical nanopores are attractive molecular sensors, yet their rational design and assembly remain challenging. Here we show that the single peptide pPorA, derived from porin PorACj, self-assembles into flexible α-helical nanopores, inserts in lipid membranes and exists in distinct small- and large-conductance states. By strategically incorporating unnatural amino acids, we engineered small- and large-diameter pores exhibiting single-channel conductances of 2.4 nS and 3.5 nS in 1 M KCl, respectively, while retaining a common octameric architecture. These nanopores enabled the detection of sugars, peptide enantiomers and intrinsically disordered disease proteins that form dynamic, heterogeneous assemblies. The large pores detected multiple α-synuclein (α-syn) variants, including a pathogenic Parkinson's disease-associated C-terminal deletion mutant with nanomolar affinity (KD ≈ 20 nM). Selective electrostatic trapping of the α-syn N-terminus enabled charge-resolved identification of individual α-syn species within heterogeneous mixtures. The nanopores further resolved time-dependent and inhibitor-modulated α-syn aggregation pathways from monomers to toxic oligomers and fibrils. The small pores detected humanin and superoxide dismutase peptides associated with apoptosis and amyotrophic lateral sclerosis, demonstrating tunable sensing through pore-size control. These conformationally programmable α-helical nanopores provide a versatile platform for ultrasensitive profiling of disease biomarkers.</w:t>
      </w:r>
    </w:p>
    <w:p>
      <w:pPr>
        <w:spacing w:before="120" w:after="120"/>
      </w:pPr>
      <w:r>
        <w:rPr>
          <w:sz w:val="18"/>
        </w:rPr>
        <w:t>——————————————————————————————————————————————————————————————————————</w:t>
      </w:r>
    </w:p>
    <w:p>
      <w:pPr>
        <w:spacing w:before="160" w:after="40" w:line="240" w:lineRule="auto"/>
      </w:pPr>
      <w:r>
        <w:rPr>
          <w:b/>
        </w:rPr>
        <w:t xml:space="preserve">[44] </w:t>
      </w:r>
      <w:hyperlink r:id="rId488">
        <w:r>
          <w:rPr>
            <w:color w:val="1155CC"/>
            <w:u w:val="single"/>
          </w:rPr>
          <w:t>共享互联约束下V2G充电站的多电动汽车聚合商协同策略</w:t>
        </w:r>
      </w:hyperlink>
    </w:p>
    <w:p>
      <w:pPr>
        <w:spacing w:before="0" w:after="80"/>
      </w:pPr>
      <w:r>
        <w:rPr>
          <w:i/>
          <w:sz w:val="20"/>
        </w:rPr>
        <w:t>EN: Cooperative multi-EV aggregator strategy of V2G-enabled charging stations under shared interconnection limits</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489">
        <w:r>
          <w:rPr>
            <w:color w:val="1155CC"/>
            <w:u w:val="single"/>
          </w:rPr>
          <w:t>10.1016/j.apenergy.2026.128713</w:t>
        </w:r>
      </w:hyperlink>
    </w:p>
    <w:p>
      <w:pPr>
        <w:spacing w:before="0" w:after="120"/>
      </w:pPr>
      <w:r>
        <w:rPr>
          <w:b/>
        </w:rPr>
        <w:t xml:space="preserve">Notes: </w:t>
      </w:r>
      <w:r>
        <w:t>abstract_source=openalex</w:t>
      </w:r>
    </w:p>
    <w:p>
      <w:pPr>
        <w:spacing w:before="0" w:after="80" w:lineRule="auto" w:line="276"/>
      </w:pPr>
      <w:r>
        <w:rPr>
          <w:b/>
        </w:rPr>
        <w:t xml:space="preserve">摘要（ZH）: </w:t>
      </w:r>
      <w:r>
        <w:t>电动汽车的广泛普及通过车辆到电网（V2G）参与为能源管理创造了新机遇。当多个电动汽车聚合商在共享的公共连接点之后运行时，不协调的调度可能导致拥塞和互联容量利用低效。本文研究在调度受共享电网约束和依赖于总量的电价耦合时的协调问题。一个关键发现是，当合作收益分配不均时，仅靠协调调度无法维持合作。因此，需要在聚合商和车辆层面保证个体理性的结算机制，以实现可实施的协调。为此，本文提出了一种面向V2G充电站的协作式多聚合商调度框架，考虑共享并网约束和依赖于总量的定价。该调度模型在最小化能源采购成本和电池退化惩罚的同时，在公共连接点处执行共享的输入和输出限额。合作收益通过一个两级非对称Nash议价机制进行分配，只要EV层面的结算是可行的，该机制就能保持协调一致的物理调度。否则，该框架返回业务照常（business-as-usual）的结果，确保聚合商和车辆层面的个体理性。为在有限的聚合商间信息交换下保护EV层面的隐私，开发了分布式交替方向乘子法（ADMM）求解方案。针对10辆车、两个EVA以及80辆车</w:t>
      </w:r>
    </w:p>
    <w:p>
      <w:pPr>
        <w:spacing w:before="0" w:after="200" w:lineRule="auto" w:line="276"/>
      </w:pPr>
      <w:r>
        <w:rPr>
          <w:b/>
        </w:rPr>
        <w:t xml:space="preserve">Abstract (EN): </w:t>
      </w:r>
      <w:r>
        <w:t>The widespread adoption of electric vehicles creates new opportunities for energy management through vehicle-to-grid participation. When multiple electric vehicle aggregators operate behind a shared point of common coupling, uncoordinated scheduling can cause congestion and inefficient use of interconnection capacity. This paper addresses their coordination when schedules are coupled by shared grid limits and aggregate-dependent electricity prices. A key finding is that coordinated scheduling alone cannot sustain cooperation when cooperative gains are unevenly distributed. Settlement mechanisms guaranteeing individual rationality at aggregator and vehicle levels are therefore required for implementable coordination. Accordingly, a cooperative multi-aggregator scheduling framework is proposed for V2G-enabled charging stations under shared grid-connection limits and aggregate-dependent pricing. The scheduling model minimizes energy procurement costs and battery degradation penalties while enforcing shared import and export limits at the point of common coupling. Cooperative gains are allocated through a two-level asymmetric Nash bargaining mechanism that preserves the coordinated physical dispatch whenever EV-level settlement is feasible. Otherwise, the framework returns the business-as-usual outcome, ensuring individual rationality at aggregator and vehicle levels. A distributed alternating direction method of multipliers solution is developed to preserve EV-level privacy with limited inter-aggregator information exchange. Numerical results for 10-vehicle, two-EVA and 80-vehicle, four-EVA systems show cost reductions of 3.7% and 13.9%, respectively, relative to the uncoordinated benchmark, with no-worse-off outcomes. Robustness is confirmed under parameter variations, alternative bargaining weights, and stochastic EV-demand uncertainty. The results demonstrate the value of cooperative multi-EVA strategies in reducing costs while preserving grid-connection constraints and privacy.</w:t>
      </w:r>
    </w:p>
    <w:p>
      <w:pPr>
        <w:spacing w:before="120" w:after="120"/>
      </w:pPr>
      <w:r>
        <w:rPr>
          <w:sz w:val="18"/>
        </w:rPr>
        <w:t>——————————————————————————————————————————————————————————————————————</w:t>
      </w:r>
    </w:p>
    <w:p>
      <w:pPr>
        <w:spacing w:before="160" w:after="40" w:line="240" w:lineRule="auto"/>
      </w:pPr>
      <w:r>
        <w:rPr>
          <w:b/>
        </w:rPr>
        <w:t xml:space="preserve">[45] </w:t>
      </w:r>
      <w:hyperlink r:id="rId490">
        <w:r>
          <w:rPr>
            <w:color w:val="1155CC"/>
            <w:u w:val="single"/>
          </w:rPr>
          <w:t>组织会议</w:t>
        </w:r>
      </w:hyperlink>
    </w:p>
    <w:p>
      <w:pPr>
        <w:spacing w:before="0" w:after="80"/>
      </w:pPr>
      <w:r>
        <w:rPr>
          <w:i/>
          <w:sz w:val="20"/>
        </w:rPr>
        <w:t>EN: Organizing a conference</w:t>
      </w:r>
    </w:p>
    <w:p>
      <w:pPr>
        <w:spacing w:before="0" w:after="120"/>
      </w:pPr>
      <w:r>
        <w:rPr>
          <w:b/>
        </w:rPr>
        <w:t xml:space="preserve">Source: </w:t>
      </w:r>
      <w:r>
        <w:t>Nature Chemistry</w:t>
      </w:r>
      <w:r>
        <w:t xml:space="preserve">    </w:t>
      </w:r>
      <w:r>
        <w:rPr>
          <w:b/>
        </w:rPr>
        <w:t xml:space="preserve">Pub date: </w:t>
      </w:r>
      <w:r>
        <w:t>2026-08-28 00:00:00+00:00</w:t>
      </w:r>
      <w:r>
        <w:t xml:space="preserve">    </w:t>
      </w:r>
      <w:r>
        <w:rPr>
          <w:b/>
        </w:rPr>
        <w:t xml:space="preserve">DOI: </w:t>
      </w:r>
      <w:hyperlink r:id="rId491">
        <w:r>
          <w:rPr>
            <w:color w:val="1155CC"/>
            <w:u w:val="single"/>
          </w:rPr>
          <w:t>10.1038/s41557-026-02236-0</w:t>
        </w:r>
      </w:hyperlink>
    </w:p>
    <w:p>
      <w:pPr>
        <w:spacing w:before="0" w:after="120"/>
      </w:pPr>
      <w:r>
        <w:rPr>
          <w:b/>
        </w:rPr>
        <w:t xml:space="preserve">Notes: </w:t>
      </w:r>
      <w:r>
        <w:t>abstract_source=rss_nature</w:t>
      </w:r>
    </w:p>
    <w:p>
      <w:pPr>
        <w:spacing w:before="0" w:after="80" w:lineRule="auto" w:line="276"/>
      </w:pPr>
      <w:r>
        <w:rPr>
          <w:b/>
        </w:rPr>
        <w:t xml:space="preserve">摘要（ZH）: </w:t>
      </w:r>
      <w:r>
        <w:t>会议是由规划科学项目、职业发展活动和社交活动的社区成员共同建立的。Shira Joudan描述了协助组织一次会议如何成为一种有益的活动，能够塑造你的科学共同体——以及如何参与其中。</w:t>
      </w:r>
    </w:p>
    <w:p>
      <w:pPr>
        <w:spacing w:before="0" w:after="200" w:lineRule="auto" w:line="276"/>
      </w:pPr>
      <w:r>
        <w:rPr>
          <w:b/>
        </w:rPr>
        <w:t xml:space="preserve">Abstract (EN): </w:t>
      </w:r>
      <w:r>
        <w:t>Conferences are built by community members who plan the scientific programme, professional development activities, and social events. Shira Joudan describes how helping to organize a meeting can be a rewarding activity that can shape your scientific community — and how to get involved.</w:t>
      </w:r>
    </w:p>
    <w:p>
      <w:pPr>
        <w:spacing w:before="120" w:after="120"/>
      </w:pPr>
      <w:r>
        <w:rPr>
          <w:sz w:val="18"/>
        </w:rPr>
        <w:t>——————————————————————————————————————————————————————————————————————</w:t>
      </w:r>
    </w:p>
    <w:p>
      <w:pPr>
        <w:spacing w:before="160" w:after="40" w:line="240" w:lineRule="auto"/>
      </w:pPr>
      <w:r>
        <w:rPr>
          <w:b/>
        </w:rPr>
        <w:t xml:space="preserve">[46] </w:t>
      </w:r>
      <w:hyperlink r:id="rId492">
        <w:r>
          <w:rPr>
            <w:color w:val="1155CC"/>
            <w:u w:val="single"/>
          </w:rPr>
          <w:t>沙利度胺与靶向蛋白降解</w:t>
        </w:r>
      </w:hyperlink>
    </w:p>
    <w:p>
      <w:pPr>
        <w:spacing w:before="0" w:after="80"/>
      </w:pPr>
      <w:r>
        <w:rPr>
          <w:i/>
          <w:sz w:val="20"/>
        </w:rPr>
        <w:t>EN: Thalidomide and targeted protein degradation</w:t>
      </w:r>
    </w:p>
    <w:p>
      <w:pPr>
        <w:spacing w:before="0" w:after="120"/>
      </w:pPr>
      <w:r>
        <w:rPr>
          <w:b/>
        </w:rPr>
        <w:t xml:space="preserve">Source: </w:t>
      </w:r>
      <w:r>
        <w:t>Nature Chemistry</w:t>
      </w:r>
      <w:r>
        <w:t xml:space="preserve">    </w:t>
      </w:r>
      <w:r>
        <w:rPr>
          <w:b/>
        </w:rPr>
        <w:t xml:space="preserve">Pub date: </w:t>
      </w:r>
      <w:r>
        <w:t>2026-08-28 00:00:00+00:00</w:t>
      </w:r>
      <w:r>
        <w:t xml:space="preserve">    </w:t>
      </w:r>
      <w:r>
        <w:rPr>
          <w:b/>
        </w:rPr>
        <w:t xml:space="preserve">DOI: </w:t>
      </w:r>
      <w:hyperlink r:id="rId493">
        <w:r>
          <w:rPr>
            <w:color w:val="1155CC"/>
            <w:u w:val="single"/>
          </w:rPr>
          <w:t>10.1038/s41557-026-02234-2</w:t>
        </w:r>
      </w:hyperlink>
    </w:p>
    <w:p>
      <w:pPr>
        <w:spacing w:before="0" w:after="120"/>
      </w:pPr>
      <w:r>
        <w:rPr>
          <w:b/>
        </w:rPr>
        <w:t xml:space="preserve">Notes: </w:t>
      </w:r>
      <w:r>
        <w:t>abstract_source=rss_nature</w:t>
      </w:r>
    </w:p>
    <w:p>
      <w:pPr>
        <w:spacing w:before="0" w:after="80" w:lineRule="auto" w:line="276"/>
      </w:pPr>
      <w:r>
        <w:rPr>
          <w:b/>
        </w:rPr>
        <w:t xml:space="preserve">摘要（ZH）: </w:t>
      </w:r>
      <w:r>
        <w:t>Connor Delaney追溯了沙利度胺的化学遗产，从20世纪60年代的监管灾难到2026年首个PROTAC获得FDA批准。</w:t>
      </w:r>
    </w:p>
    <w:p>
      <w:pPr>
        <w:spacing w:before="0" w:after="200" w:lineRule="auto" w:line="276"/>
      </w:pPr>
      <w:r>
        <w:rPr>
          <w:b/>
        </w:rPr>
        <w:t xml:space="preserve">Abstract (EN): </w:t>
      </w:r>
      <w:r>
        <w:t>Connor Delaney traces the chemical legacy of thalidomide, from the regulatory disaster of the 1960s to the first FDA approval of a PROTAC in 2026.</w:t>
      </w:r>
    </w:p>
    <w:p>
      <w:pPr>
        <w:spacing w:before="120" w:after="120"/>
      </w:pPr>
      <w:r>
        <w:rPr>
          <w:sz w:val="18"/>
        </w:rPr>
        <w:t>——————————————————————————————————————————————————————————————————————</w:t>
      </w:r>
    </w:p>
    <w:p>
      <w:pPr>
        <w:spacing w:before="160" w:after="40" w:line="240" w:lineRule="auto"/>
      </w:pPr>
      <w:r>
        <w:rPr>
          <w:b/>
        </w:rPr>
        <w:t xml:space="preserve">[47] </w:t>
      </w:r>
      <w:hyperlink r:id="rId494">
        <w:r>
          <w:rPr>
            <w:color w:val="1155CC"/>
            <w:u w:val="single"/>
          </w:rPr>
          <w:t>AI时代雇主需要什么——以及提供它的四种方式</w:t>
        </w:r>
      </w:hyperlink>
    </w:p>
    <w:p>
      <w:pPr>
        <w:spacing w:before="0" w:after="80"/>
      </w:pPr>
      <w:r>
        <w:rPr>
          <w:i/>
          <w:sz w:val="20"/>
        </w:rPr>
        <w:t>EN: What employers are looking for in the age of AI — and four ways to provide it</w:t>
      </w:r>
    </w:p>
    <w:p>
      <w:pPr>
        <w:spacing w:before="0" w:after="120"/>
      </w:pPr>
      <w:r>
        <w:rPr>
          <w:b/>
        </w:rPr>
        <w:t xml:space="preserve">Source: </w:t>
      </w:r>
      <w:r>
        <w:t>Nature</w:t>
      </w:r>
      <w:r>
        <w:t xml:space="preserve">    </w:t>
      </w:r>
      <w:r>
        <w:rPr>
          <w:b/>
        </w:rPr>
        <w:t xml:space="preserve">Pub date: </w:t>
      </w:r>
      <w:r>
        <w:t>2026-08-28 00:00:00+00:00</w:t>
      </w:r>
      <w:r>
        <w:t xml:space="preserve">    </w:t>
      </w:r>
      <w:r>
        <w:rPr>
          <w:b/>
        </w:rPr>
        <w:t xml:space="preserve">DOI: </w:t>
      </w:r>
      <w:hyperlink r:id="rId495">
        <w:r>
          <w:rPr>
            <w:color w:val="1155CC"/>
            <w:u w:val="single"/>
          </w:rPr>
          <w:t>10.1038/d41586-026-01913-x</w:t>
        </w:r>
      </w:hyperlink>
    </w:p>
    <w:p>
      <w:pPr>
        <w:spacing w:before="0" w:after="120"/>
      </w:pPr>
      <w:r>
        <w:rPr>
          <w:b/>
        </w:rPr>
        <w:t xml:space="preserve">Notes: </w:t>
      </w:r>
      <w:r>
        <w:t>abstract_source=rss_nature</w:t>
      </w:r>
    </w:p>
    <w:p>
      <w:pPr>
        <w:spacing w:before="0" w:after="80" w:lineRule="auto" w:line="276"/>
      </w:pPr>
      <w:r>
        <w:rPr>
          <w:b/>
        </w:rPr>
        <w:t xml:space="preserve">摘要（ZH）: </w:t>
      </w:r>
      <w:r>
        <w:t>对于对人工智能的了解仅止于ChatGPT这个名字的申请者，Nature采访了学者、雇主和早期职业研究人员，以了解你需要什么来扩展你的认知。</w:t>
      </w:r>
    </w:p>
    <w:p>
      <w:pPr>
        <w:spacing w:before="0" w:after="200" w:lineRule="auto" w:line="276"/>
      </w:pPr>
      <w:r>
        <w:rPr>
          <w:b/>
        </w:rPr>
        <w:t xml:space="preserve">Abstract (EN): </w:t>
      </w:r>
      <w:r>
        <w:t>For applicants whose knowledge of AI stops at the name ChatGPT, Nature spoke to academics, employers and early-career researchers to find out what you need to expand your understanding.</w:t>
      </w:r>
    </w:p>
    <w:p>
      <w:pPr>
        <w:spacing w:before="120" w:after="120"/>
      </w:pPr>
      <w:r>
        <w:rPr>
          <w:sz w:val="18"/>
        </w:rPr>
        <w:t>——————————————————————————————————————————————————————————————————————</w:t>
      </w:r>
    </w:p>
    <w:p>
      <w:pPr>
        <w:spacing w:before="160" w:after="40" w:line="240" w:lineRule="auto"/>
      </w:pPr>
      <w:r>
        <w:rPr>
          <w:b/>
        </w:rPr>
        <w:t xml:space="preserve">[48] </w:t>
      </w:r>
      <w:hyperlink r:id="rId496">
        <w:r>
          <w:rPr>
            <w:color w:val="1155CC"/>
            <w:u w:val="single"/>
          </w:rPr>
          <w:t>Meta的协议会让社交媒体对儿童安全吗？研究人员对此表示怀疑</w:t>
        </w:r>
      </w:hyperlink>
    </w:p>
    <w:p>
      <w:pPr>
        <w:spacing w:before="0" w:after="80"/>
      </w:pPr>
      <w:r>
        <w:rPr>
          <w:i/>
          <w:sz w:val="20"/>
        </w:rPr>
        <w:t>EN: Will Meta’s deal make social media safe for kids? Researchers are dubious</w:t>
      </w:r>
    </w:p>
    <w:p>
      <w:pPr>
        <w:spacing w:before="0" w:after="120"/>
      </w:pPr>
      <w:r>
        <w:rPr>
          <w:b/>
        </w:rPr>
        <w:t xml:space="preserve">Source: </w:t>
      </w:r>
      <w:r>
        <w:t>Nature</w:t>
      </w:r>
      <w:r>
        <w:t xml:space="preserve">    </w:t>
      </w:r>
      <w:r>
        <w:rPr>
          <w:b/>
        </w:rPr>
        <w:t xml:space="preserve">Pub date: </w:t>
      </w:r>
      <w:r>
        <w:t>2026-08-28 00:00:00+00:00</w:t>
      </w:r>
      <w:r>
        <w:t xml:space="preserve">    </w:t>
      </w:r>
      <w:r>
        <w:rPr>
          <w:b/>
        </w:rPr>
        <w:t xml:space="preserve">DOI: </w:t>
      </w:r>
      <w:hyperlink r:id="rId497">
        <w:r>
          <w:rPr>
            <w:color w:val="1155CC"/>
            <w:u w:val="single"/>
          </w:rPr>
          <w:t>10.1038/d41586-026-02733-9</w:t>
        </w:r>
      </w:hyperlink>
    </w:p>
    <w:p>
      <w:pPr>
        <w:spacing w:before="0" w:after="120"/>
      </w:pPr>
      <w:r>
        <w:rPr>
          <w:b/>
        </w:rPr>
        <w:t xml:space="preserve">Notes: </w:t>
      </w:r>
      <w:r>
        <w:t>abstract_source=rss_nature</w:t>
      </w:r>
    </w:p>
    <w:p>
      <w:pPr>
        <w:spacing w:before="0" w:after="80" w:lineRule="auto" w:line="276"/>
      </w:pPr>
      <w:r>
        <w:rPr>
          <w:b/>
        </w:rPr>
        <w:t xml:space="preserve">摘要（ZH）: </w:t>
      </w:r>
      <w:r>
        <w:t>Nature与专家探讨Facebook和Instagram即将到来的变化，以及是否有证据表明这些变化会有所帮助。</w:t>
      </w:r>
    </w:p>
    <w:p>
      <w:pPr>
        <w:spacing w:before="0" w:after="200" w:lineRule="auto" w:line="276"/>
      </w:pPr>
      <w:r>
        <w:rPr>
          <w:b/>
        </w:rPr>
        <w:t xml:space="preserve">Abstract (EN): </w:t>
      </w:r>
      <w:r>
        <w:t>Nature talks to specialists about the changes coming to Facebook and Instagram, and whether there’s evidence they will help.</w:t>
      </w:r>
    </w:p>
    <w:p>
      <w:pPr>
        <w:spacing w:before="120" w:after="120"/>
      </w:pPr>
      <w:r>
        <w:rPr>
          <w:sz w:val="18"/>
        </w:rPr>
        <w:t>——————————————————————————————————————————————————————————————————————</w:t>
      </w:r>
    </w:p>
    <w:p>
      <w:pPr>
        <w:spacing w:before="160" w:after="40" w:line="240" w:lineRule="auto"/>
      </w:pPr>
      <w:r>
        <w:rPr>
          <w:b/>
        </w:rPr>
        <w:t xml:space="preserve">[49] </w:t>
      </w:r>
      <w:hyperlink r:id="rId498">
        <w:r>
          <w:rPr>
            <w:color w:val="1155CC"/>
            <w:u w:val="single"/>
          </w:rPr>
          <w:t>Moderna癌症疫苗带来希望——现在我们必须加快个性化疗法的进程</w:t>
        </w:r>
      </w:hyperlink>
    </w:p>
    <w:p>
      <w:pPr>
        <w:spacing w:before="0" w:after="80"/>
      </w:pPr>
      <w:r>
        <w:rPr>
          <w:i/>
          <w:sz w:val="20"/>
        </w:rPr>
        <w:t>EN: The Moderna cancer vaccine offers hope — now we must speed up personalized therapies</w:t>
      </w:r>
    </w:p>
    <w:p>
      <w:pPr>
        <w:spacing w:before="0" w:after="120"/>
      </w:pPr>
      <w:r>
        <w:rPr>
          <w:b/>
        </w:rPr>
        <w:t xml:space="preserve">Source: </w:t>
      </w:r>
      <w:r>
        <w:t>Nature</w:t>
      </w:r>
      <w:r>
        <w:t xml:space="preserve">    </w:t>
      </w:r>
      <w:r>
        <w:rPr>
          <w:b/>
        </w:rPr>
        <w:t xml:space="preserve">Pub date: </w:t>
      </w:r>
      <w:r>
        <w:t>2026-08-28 00:00:00+00:00</w:t>
      </w:r>
      <w:r>
        <w:t xml:space="preserve">    </w:t>
      </w:r>
      <w:r>
        <w:rPr>
          <w:b/>
        </w:rPr>
        <w:t xml:space="preserve">DOI: </w:t>
      </w:r>
      <w:hyperlink r:id="rId499">
        <w:r>
          <w:rPr>
            <w:color w:val="1155CC"/>
            <w:u w:val="single"/>
          </w:rPr>
          <w:t>10.1038/d41586-026-02680-5</w:t>
        </w:r>
      </w:hyperlink>
    </w:p>
    <w:p>
      <w:pPr>
        <w:spacing w:before="0" w:after="120"/>
      </w:pPr>
      <w:r>
        <w:rPr>
          <w:b/>
        </w:rPr>
        <w:t xml:space="preserve">Notes: </w:t>
      </w:r>
      <w:r>
        <w:t>abstract_source=rss_nature</w:t>
      </w:r>
    </w:p>
    <w:p>
      <w:pPr>
        <w:spacing w:before="0" w:after="80" w:lineRule="auto" w:line="276"/>
      </w:pPr>
      <w:r>
        <w:rPr>
          <w:b/>
        </w:rPr>
        <w:t xml:space="preserve">摘要（ZH）: </w:t>
      </w:r>
      <w:r>
        <w:t>一项积极的临床试验为治疗癌症患者带来了希望。要让有效疫苗进入临床，还需要更多研究。</w:t>
      </w:r>
    </w:p>
    <w:p>
      <w:pPr>
        <w:spacing w:before="0" w:after="200" w:lineRule="auto" w:line="276"/>
      </w:pPr>
      <w:r>
        <w:rPr>
          <w:b/>
        </w:rPr>
        <w:t xml:space="preserve">Abstract (EN): </w:t>
      </w:r>
      <w:r>
        <w:t>A positive trial holds promise for treating people with cancer. More research is needed to get effective vaccines to the clinic.</w:t>
      </w:r>
    </w:p>
    <w:p>
      <w:pPr>
        <w:spacing w:before="120" w:after="120"/>
      </w:pPr>
      <w:r>
        <w:rPr>
          <w:sz w:val="18"/>
        </w:rPr>
        <w:t>——————————————————————————————————————————————————————————————————————</w:t>
      </w:r>
    </w:p>
    <w:p>
      <w:pPr>
        <w:spacing w:before="160" w:after="40" w:line="240" w:lineRule="auto"/>
      </w:pPr>
      <w:r>
        <w:rPr>
          <w:b/>
        </w:rPr>
        <w:t xml:space="preserve">[50] </w:t>
      </w:r>
      <w:hyperlink r:id="rId500">
        <w:r>
          <w:rPr>
            <w:color w:val="1155CC"/>
            <w:u w:val="single"/>
          </w:rPr>
          <w:t>欧洲材料从发明到工业化</w:t>
        </w:r>
      </w:hyperlink>
    </w:p>
    <w:p>
      <w:pPr>
        <w:spacing w:before="0" w:after="80"/>
      </w:pPr>
      <w:r>
        <w:rPr>
          <w:i/>
          <w:sz w:val="20"/>
        </w:rPr>
        <w:t>EN: From invention to industrialization of materials in Europe</w:t>
      </w:r>
    </w:p>
    <w:p>
      <w:pPr>
        <w:spacing w:before="0" w:after="120"/>
      </w:pPr>
      <w:r>
        <w:rPr>
          <w:b/>
        </w:rPr>
        <w:t xml:space="preserve">Source: </w:t>
      </w:r>
      <w:r>
        <w:t>Nature Materials</w:t>
      </w:r>
      <w:r>
        <w:t xml:space="preserve">    </w:t>
      </w:r>
      <w:r>
        <w:rPr>
          <w:b/>
        </w:rPr>
        <w:t xml:space="preserve">Pub date: </w:t>
      </w:r>
      <w:r>
        <w:t>2026-08-28 00:00:00+00:00</w:t>
      </w:r>
      <w:r>
        <w:t xml:space="preserve">    </w:t>
      </w:r>
      <w:r>
        <w:rPr>
          <w:b/>
        </w:rPr>
        <w:t xml:space="preserve">DOI: </w:t>
      </w:r>
      <w:hyperlink r:id="rId501">
        <w:r>
          <w:rPr>
            <w:color w:val="1155CC"/>
            <w:u w:val="single"/>
          </w:rPr>
          <w:t>10.1038/s41563-026-02713-4</w:t>
        </w:r>
      </w:hyperlink>
    </w:p>
    <w:p>
      <w:pPr>
        <w:spacing w:before="0" w:after="120"/>
      </w:pPr>
      <w:r>
        <w:rPr>
          <w:b/>
        </w:rPr>
        <w:t xml:space="preserve">Notes: </w:t>
      </w:r>
      <w:r>
        <w:t>abstract_source=rss_nature</w:t>
      </w:r>
    </w:p>
    <w:p>
      <w:pPr>
        <w:spacing w:before="0" w:after="80" w:lineRule="auto" w:line="276"/>
      </w:pPr>
      <w:r>
        <w:rPr>
          <w:b/>
        </w:rPr>
        <w:t xml:space="preserve">摘要（ZH）: </w:t>
      </w:r>
      <w:r>
        <w:t>欧洲的材料部门以其卓越的研究而闻名，但材料的规模化放大和工业化却不太成功。2026年《先进材料法案》是一个让欧洲在全球材料经济中重新定位结构的机会。</w:t>
      </w:r>
    </w:p>
    <w:p>
      <w:pPr>
        <w:spacing w:before="0" w:after="200" w:lineRule="auto" w:line="276"/>
      </w:pPr>
      <w:r>
        <w:rPr>
          <w:b/>
        </w:rPr>
        <w:t xml:space="preserve">Abstract (EN): </w:t>
      </w:r>
      <w:r>
        <w:t>The materials sector in Europe is renowned for its research excellence but scale-up and industrialization of materials is less successful. The 2026 Advanced Materials Act is an opportunity to structurally reposition Europe in the global materials economy.</w:t>
      </w:r>
    </w:p>
    <w:p>
      <w:pPr>
        <w:spacing w:before="120" w:after="120"/>
      </w:pPr>
      <w:r>
        <w:rPr>
          <w:sz w:val="18"/>
        </w:rPr>
        <w:t>——————————————————————————————————————————————————————————————————————</w:t>
      </w:r>
    </w:p>
    <w:p>
      <w:pPr>
        <w:spacing w:before="160" w:after="40" w:line="240" w:lineRule="auto"/>
      </w:pPr>
      <w:r>
        <w:rPr>
          <w:b/>
        </w:rPr>
        <w:t xml:space="preserve">[51] </w:t>
      </w:r>
      <w:hyperlink r:id="rId502">
        <w:r>
          <w:rPr>
            <w:color w:val="1155CC"/>
            <w:u w:val="single"/>
          </w:rPr>
          <w:t>广中平祐讣告：抹平几何学复杂性的数学家</w:t>
        </w:r>
      </w:hyperlink>
    </w:p>
    <w:p>
      <w:pPr>
        <w:spacing w:before="0" w:after="80"/>
      </w:pPr>
      <w:r>
        <w:rPr>
          <w:i/>
          <w:sz w:val="20"/>
        </w:rPr>
        <w:t>EN: Heisuke Hironaka obituary: mathematician who smoothed out geometry’s complexities</w:t>
      </w:r>
    </w:p>
    <w:p>
      <w:pPr>
        <w:spacing w:before="0" w:after="120"/>
      </w:pPr>
      <w:r>
        <w:rPr>
          <w:b/>
        </w:rPr>
        <w:t xml:space="preserve">Source: </w:t>
      </w:r>
      <w:r>
        <w:t>Nature</w:t>
      </w:r>
      <w:r>
        <w:t xml:space="preserve">    </w:t>
      </w:r>
      <w:r>
        <w:rPr>
          <w:b/>
        </w:rPr>
        <w:t xml:space="preserve">Pub date: </w:t>
      </w:r>
      <w:r>
        <w:t>2026-08-28 00:00:00+00:00</w:t>
      </w:r>
      <w:r>
        <w:t xml:space="preserve">    </w:t>
      </w:r>
      <w:r>
        <w:rPr>
          <w:b/>
        </w:rPr>
        <w:t xml:space="preserve">DOI: </w:t>
      </w:r>
      <w:hyperlink r:id="rId503">
        <w:r>
          <w:rPr>
            <w:color w:val="1155CC"/>
            <w:u w:val="single"/>
          </w:rPr>
          <w:t>10.1038/d41586-026-02688-x</w:t>
        </w:r>
      </w:hyperlink>
    </w:p>
    <w:p>
      <w:pPr>
        <w:spacing w:before="0" w:after="120"/>
      </w:pPr>
      <w:r>
        <w:rPr>
          <w:b/>
        </w:rPr>
        <w:t xml:space="preserve">Notes: </w:t>
      </w:r>
      <w:r>
        <w:t>abstract_source=rss_nature</w:t>
      </w:r>
    </w:p>
    <w:p>
      <w:pPr>
        <w:spacing w:before="0" w:after="80" w:lineRule="auto" w:line="276"/>
      </w:pPr>
      <w:r>
        <w:rPr>
          <w:b/>
        </w:rPr>
        <w:t xml:space="preserve">摘要（ZH）: </w:t>
      </w:r>
      <w:r>
        <w:t>他那令人叹服的奇点消解证明——例如峰、边缘和自交点——彻底改变了代数几何。</w:t>
      </w:r>
    </w:p>
    <w:p>
      <w:pPr>
        <w:spacing w:before="0" w:after="200" w:lineRule="auto" w:line="276"/>
      </w:pPr>
      <w:r>
        <w:rPr>
          <w:b/>
        </w:rPr>
        <w:t xml:space="preserve">Abstract (EN): </w:t>
      </w:r>
      <w:r>
        <w:t>His awe-inspiring proof for the resolution of singularities — such as peaks, edges and self-crossings — revolutionized algebraic geometry.</w:t>
      </w:r>
    </w:p>
    <w:p>
      <w:pPr>
        <w:spacing w:before="120" w:after="120"/>
      </w:pPr>
      <w:r>
        <w:rPr>
          <w:sz w:val="18"/>
        </w:rPr>
        <w:t>——————————————————————————————————————————————————————————————————————</w:t>
      </w:r>
    </w:p>
    <w:p>
      <w:pPr>
        <w:spacing w:before="160" w:after="40" w:line="240" w:lineRule="auto"/>
      </w:pPr>
      <w:r>
        <w:rPr>
          <w:b/>
        </w:rPr>
        <w:t xml:space="preserve">[52] </w:t>
      </w:r>
      <w:hyperlink r:id="rId504">
        <w:r>
          <w:rPr>
            <w:color w:val="1155CC"/>
            <w:u w:val="single"/>
          </w:rPr>
          <w:t>纺丝过程中的超高倍拉伸制备出兼具高强度和高导热性的石墨烯纤维</w:t>
        </w:r>
      </w:hyperlink>
    </w:p>
    <w:p>
      <w:pPr>
        <w:spacing w:before="0" w:after="80"/>
      </w:pPr>
      <w:r>
        <w:rPr>
          <w:i/>
          <w:sz w:val="20"/>
        </w:rPr>
        <w:t>EN: Ultrahigh-ratio drawing during spinning achieves graphene fibres with high strength and thermal conductivity</w:t>
      </w:r>
    </w:p>
    <w:p>
      <w:pPr>
        <w:spacing w:before="0" w:after="120"/>
      </w:pPr>
      <w:r>
        <w:rPr>
          <w:b/>
        </w:rPr>
        <w:t xml:space="preserve">Source: </w:t>
      </w:r>
      <w:r>
        <w:t>Nature Materials</w:t>
      </w:r>
      <w:r>
        <w:t xml:space="preserve">    </w:t>
      </w:r>
      <w:r>
        <w:rPr>
          <w:b/>
        </w:rPr>
        <w:t xml:space="preserve">Pub date: </w:t>
      </w:r>
      <w:r>
        <w:t>2026-08-28 00:00:00+00:00</w:t>
      </w:r>
      <w:r>
        <w:t xml:space="preserve">    </w:t>
      </w:r>
      <w:r>
        <w:rPr>
          <w:b/>
        </w:rPr>
        <w:t xml:space="preserve">DOI: </w:t>
      </w:r>
      <w:hyperlink r:id="rId505">
        <w:r>
          <w:rPr>
            <w:color w:val="1155CC"/>
            <w:u w:val="single"/>
          </w:rPr>
          <w:t>10.1038/s41563-026-02733-0</w:t>
        </w:r>
      </w:hyperlink>
    </w:p>
    <w:p>
      <w:pPr>
        <w:spacing w:before="0" w:after="120"/>
      </w:pPr>
      <w:r>
        <w:rPr>
          <w:b/>
        </w:rPr>
        <w:t xml:space="preserve">Notes: </w:t>
      </w:r>
      <w:r>
        <w:t>abstract_source=pubmed</w:t>
      </w:r>
    </w:p>
    <w:p>
      <w:pPr>
        <w:spacing w:before="0" w:after="80" w:lineRule="auto" w:line="276"/>
      </w:pPr>
      <w:r>
        <w:rPr>
          <w:b/>
        </w:rPr>
        <w:t xml:space="preserve">摘要（ZH）: </w:t>
      </w:r>
      <w:r>
        <w:t>在航空航天、汽车、热管理和能源应用领域，对兼具高强度与优异热导率的材料的需求正在增长。石墨烯提供了理想的构筑单元，但无序堆叠和空隙等多尺度缺陷阻碍了宏观组装体实现其本征性能。在此，我们展示了一种超高倍率牵伸纺丝技术，该技术依托二维片材在粘性溶剂中表现出的类聚合物粘弹性，可制备出拉伸强度为5.9 GPa、杨氏模量为963 GPa、热导率高达1,720 W m-1 K-1、电导率为1.3 MS m-1的石墨烯纤维。高达11倍的高倍率牵伸纺丝结合高温退火，可高效消除缺陷，制备出致密堆积、高度有序的石墨烯纤维。这些性能超越了大多数现有的高强度、高热导率纤维。这项工作为将二维材料组装成高性能宏观结构提供了一条通用途径，并拓展了多功能材料的机遇。</w:t>
      </w:r>
    </w:p>
    <w:p>
      <w:pPr>
        <w:spacing w:before="0" w:after="200" w:lineRule="auto" w:line="276"/>
      </w:pPr>
      <w:r>
        <w:rPr>
          <w:b/>
        </w:rPr>
        <w:t xml:space="preserve">Abstract (EN): </w:t>
      </w:r>
      <w:r>
        <w:t>The demand for materials combining high strength with exceptional thermal conductivity is growing across aerospace, automotive, thermal management and energy applications. Graphene offers an ideal building block, but multiscale defects such as disordered stacking and voids prevent macroscopic assemblies from realizing its intrinsic properties. Here we show that ultrahigh-ratio draw spinning, enabled by the polymer-like viscoelasticity of two-dimensional sheets in viscous solvents, produces graphene fibres with a tensile strength of 5.9 GPa, a Young modulus of 963 GPa, a thermal conductivity of up to 1,720 W m-1 K-1 and an electrical conductivity of 1.3 MS m-1. A high-ratio draw spinning up to 11, combined with high-temperature annealing, efficiently removes defects and produces densely packed, highly ordered graphene fibres. These properties surpass most existing strong and thermally conductive fibres. This work provides a versatile route for assembling two-dimensional materials into high-performance macroscopic structures and expands opportunities for multifunctional materials.</w:t>
      </w:r>
    </w:p>
    <w:p>
      <w:pPr>
        <w:spacing w:before="120" w:after="120"/>
      </w:pPr>
      <w:r>
        <w:rPr>
          <w:sz w:val="18"/>
        </w:rPr>
        <w:t>——————————————————————————————————————————————————————————————————————</w:t>
      </w:r>
    </w:p>
    <w:p>
      <w:pPr>
        <w:spacing w:before="160" w:after="40" w:line="240" w:lineRule="auto"/>
      </w:pPr>
      <w:r>
        <w:rPr>
          <w:b/>
        </w:rPr>
        <w:t xml:space="preserve">[53] </w:t>
      </w:r>
      <w:hyperlink r:id="rId506">
        <w:r>
          <w:rPr>
            <w:color w:val="1155CC"/>
            <w:u w:val="single"/>
          </w:rPr>
          <w:t>环丙醇可作为笼状双功能弹头用于选择性电化学生物偶联</w:t>
        </w:r>
      </w:hyperlink>
    </w:p>
    <w:p>
      <w:pPr>
        <w:spacing w:before="0" w:after="80"/>
      </w:pPr>
      <w:r>
        <w:rPr>
          <w:i/>
          <w:sz w:val="20"/>
        </w:rPr>
        <w:t>EN: Cyclopropanol can function as a caged dual-functional warhead for selective electrochemical bioconjugation</w:t>
      </w:r>
    </w:p>
    <w:p>
      <w:pPr>
        <w:spacing w:before="0" w:after="120"/>
      </w:pPr>
      <w:r>
        <w:rPr>
          <w:b/>
        </w:rPr>
        <w:t xml:space="preserve">Source: </w:t>
      </w:r>
      <w:r>
        <w:t>Nature Chemistry</w:t>
      </w:r>
      <w:r>
        <w:t xml:space="preserve">    </w:t>
      </w:r>
      <w:r>
        <w:rPr>
          <w:b/>
        </w:rPr>
        <w:t xml:space="preserve">Pub date: </w:t>
      </w:r>
      <w:r>
        <w:t>2026-08-28 00:00:00+00:00</w:t>
      </w:r>
      <w:r>
        <w:t xml:space="preserve">    </w:t>
      </w:r>
      <w:r>
        <w:rPr>
          <w:b/>
        </w:rPr>
        <w:t xml:space="preserve">DOI: </w:t>
      </w:r>
      <w:hyperlink r:id="rId507">
        <w:r>
          <w:rPr>
            <w:color w:val="1155CC"/>
            <w:u w:val="single"/>
          </w:rPr>
          <w:t>10.1038/s41557-026-02227-1</w:t>
        </w:r>
      </w:hyperlink>
    </w:p>
    <w:p>
      <w:pPr>
        <w:spacing w:before="0" w:after="120"/>
      </w:pPr>
      <w:r>
        <w:rPr>
          <w:b/>
        </w:rPr>
        <w:t xml:space="preserve">Notes: </w:t>
      </w:r>
      <w:r>
        <w:t>abstract_source=pubmed</w:t>
      </w:r>
    </w:p>
    <w:p>
      <w:pPr>
        <w:spacing w:before="0" w:after="80" w:lineRule="auto" w:line="276"/>
      </w:pPr>
      <w:r>
        <w:rPr>
          <w:b/>
        </w:rPr>
        <w:t xml:space="preserve">摘要（ZH）: </w:t>
      </w:r>
      <w:r>
        <w:t>生物正交反应能够用于研究和调控生物体系，但精确控制反应发生的时间和位置仍然具有挑战性。在此，我们表明环丙醇（CPol）可以作为一种紧凑的、负载能量的化学把手，在生理条件下保持稳定，并可通过温和的电化学刺激被选择性激活。该策略原位生成具有反应活性的β-卤代酮基团，从而实现用于细胞成像和蛋白质组学分析的高效蛋白质标记。出乎意料的是，CPol优先修饰蛋白质疏水区域内的酸性氨基酸（如谷氨酸和天冬氨酸），而非更常被靶向的残基。该电化学反应与活细胞兼容，可利用荧光探针进行实时可视化。我们通过开发一种胆碱衍生的CPol探针进一步展示了其实用性，该探针可整合到膜脂代谢中，以标记膜相关蛋白和细胞质蛋白。通过将生物正交性与电化学控制相结合，该方法为蛋白质偶联提供了一个通用且可控的平台，在化学生物学和活细胞研究中具有更广泛的应用。</w:t>
      </w:r>
    </w:p>
    <w:p>
      <w:pPr>
        <w:spacing w:before="0" w:after="200" w:lineRule="auto" w:line="276"/>
      </w:pPr>
      <w:r>
        <w:rPr>
          <w:b/>
        </w:rPr>
        <w:t xml:space="preserve">Abstract (EN): </w:t>
      </w:r>
      <w:r>
        <w:t>Bioorthogonal reactions enable the study and modulation of biological systems, but achieving precise control over when and where the reactions occur remains challenging. Here we show that cyclopropanol (CPol) can serve as a compact, energy-loaded chemical handle that is stable under physiological conditions, yet can be selectively activated using mild electrochemical stimuli. This strategy generates reactive β-haloketone moieties in situ, enabling efficient protein labelling for cellular imaging and proteomic analysis. Unexpectedly, CPol preferentially modifies acidic amino acids, such as glutamate and aspartate, within hydrophobic regions of proteins, rather than more commonly targeted residues. The electrochemical reaction is compatible with living cells, allowing real-time visualization using fluorogenic probes. We further demonstrate its utility by developing a choline-derived CPol probe that integrates into membrane lipid metabolism to label membrane-associated and cytoplasmic proteins. By combining bioorthogonality with electrochemical control, this approach offers a general and controllable platform for protein conjugation, with broader applications in chemical biology and live-cell studies.</w:t>
      </w:r>
    </w:p>
    <w:p>
      <w:pPr>
        <w:spacing w:before="120" w:after="120"/>
      </w:pPr>
      <w:r>
        <w:rPr>
          <w:sz w:val="18"/>
        </w:rPr>
        <w:t>——————————————————————————————————————————————————————————————————————</w:t>
      </w:r>
    </w:p>
    <w:p>
      <w:pPr>
        <w:spacing w:before="160" w:after="40" w:line="240" w:lineRule="auto"/>
      </w:pPr>
      <w:r>
        <w:rPr>
          <w:b/>
        </w:rPr>
        <w:t xml:space="preserve">[54] </w:t>
      </w:r>
      <w:hyperlink r:id="rId508">
        <w:r>
          <w:rPr>
            <w:color w:val="1155CC"/>
            <w:u w:val="single"/>
          </w:rPr>
          <w:t>街区尺度城市能源设计中的代理条件优化器排序：策略学习与帕累托搜索的比较</w:t>
        </w:r>
      </w:hyperlink>
    </w:p>
    <w:p>
      <w:pPr>
        <w:spacing w:before="0" w:after="80"/>
      </w:pPr>
      <w:r>
        <w:rPr>
          <w:i/>
          <w:sz w:val="20"/>
        </w:rPr>
        <w:t>EN: Surrogate-conditioned optimizer ranking in block-scale urban energy design: A comparison of policy learning and Pareto search</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509">
        <w:r>
          <w:rPr>
            <w:color w:val="1155CC"/>
            <w:u w:val="single"/>
          </w:rPr>
          <w:t>10.1016/j.apenergy.2026.128733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 </w:t>
      </w:r>
      <w:hyperlink r:id="rId510">
        <w:r>
          <w:rPr>
            <w:color w:val="1155CC"/>
            <w:u w:val="single"/>
          </w:rPr>
          <w:t>全球地缘政治风险与能源贫困：来自跨国数据的新证据</w:t>
        </w:r>
      </w:hyperlink>
    </w:p>
    <w:p>
      <w:pPr>
        <w:spacing w:before="0" w:after="80"/>
      </w:pPr>
      <w:r>
        <w:rPr>
          <w:i/>
          <w:sz w:val="20"/>
        </w:rPr>
        <w:t>EN: Global geopolitical risk and energy poverty: New evidence from cross-country data</w:t>
      </w:r>
    </w:p>
    <w:p>
      <w:pPr>
        <w:spacing w:before="0" w:after="120"/>
      </w:pPr>
      <w:r>
        <w:rPr>
          <w:b/>
        </w:rPr>
        <w:t xml:space="preserve">Source: </w:t>
      </w:r>
      <w:r>
        <w:t>ScienceDirect Publication: Energy Policy</w:t>
      </w:r>
      <w:r>
        <w:t xml:space="preserve">    </w:t>
      </w:r>
      <w:r>
        <w:rPr>
          <w:b/>
        </w:rPr>
        <w:t xml:space="preserve">Pub date: </w:t>
      </w:r>
      <w:r>
        <w:t>2026-08-28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 </w:t>
      </w:r>
      <w:hyperlink r:id="rId511">
        <w:r>
          <w:rPr>
            <w:color w:val="1155CC"/>
            <w:u w:val="single"/>
          </w:rPr>
          <w:t>需求响应计划中虚拟电厂的聚合基线负荷点-区间预测：一种自适应分解与预测系统</w:t>
        </w:r>
      </w:hyperlink>
    </w:p>
    <w:p>
      <w:pPr>
        <w:spacing w:before="0" w:after="80"/>
      </w:pPr>
      <w:r>
        <w:rPr>
          <w:i/>
          <w:sz w:val="20"/>
        </w:rPr>
        <w:t>EN: Aggregated baseline load point-interval forecasting for virtual power plants in demand response programs: An adaptive decomposition and prediction system</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512">
        <w:r>
          <w:rPr>
            <w:color w:val="1155CC"/>
            <w:u w:val="single"/>
          </w:rPr>
          <w:t>10.1016/j.apenergy.2026.128692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 </w:t>
      </w:r>
      <w:hyperlink r:id="rId513">
        <w:r>
          <w:rPr>
            <w:color w:val="1155CC"/>
            <w:u w:val="single"/>
          </w:rPr>
          <w:t>双座纯电动微型汽车对可持续城市出行的能源与环境影响</w:t>
        </w:r>
      </w:hyperlink>
    </w:p>
    <w:p>
      <w:pPr>
        <w:spacing w:before="0" w:after="80"/>
      </w:pPr>
      <w:r>
        <w:rPr>
          <w:i/>
          <w:sz w:val="20"/>
        </w:rPr>
        <w:t>EN: Energy and environmental impacts of two-seater battery electric microcars for sustainable urban mobility</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514">
        <w:r>
          <w:rPr>
            <w:color w:val="1155CC"/>
            <w:u w:val="single"/>
          </w:rPr>
          <w:t>10.1016/j.apenergy.2026.128746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 </w:t>
      </w:r>
      <w:hyperlink r:id="rId515">
        <w:r>
          <w:rPr>
            <w:color w:val="1155CC"/>
            <w:u w:val="single"/>
          </w:rPr>
          <w:t>考虑交通需求分配和配电网约束的多座电池换电站两阶段协同调度方法</w:t>
        </w:r>
      </w:hyperlink>
    </w:p>
    <w:p>
      <w:pPr>
        <w:spacing w:before="0" w:after="80"/>
      </w:pPr>
      <w:r>
        <w:rPr>
          <w:i/>
          <w:sz w:val="20"/>
        </w:rPr>
        <w:t>EN: A two-stage coordinated scheduling method for multiple battery swapping stations considering traffic demand assignment and distribution network constraints</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516">
        <w:r>
          <w:rPr>
            <w:color w:val="1155CC"/>
            <w:u w:val="single"/>
          </w:rPr>
          <w:t>10.1016/j.apenergy.2026.128705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 </w:t>
      </w:r>
      <w:hyperlink r:id="rId517">
        <w:r>
          <w:rPr>
            <w:color w:val="1155CC"/>
            <w:u w:val="single"/>
          </w:rPr>
          <w:t>具有真实投标激励和合理用户付费的混合定价方法</w:t>
        </w:r>
      </w:hyperlink>
    </w:p>
    <w:p>
      <w:pPr>
        <w:spacing w:before="0" w:after="80"/>
      </w:pPr>
      <w:r>
        <w:rPr>
          <w:i/>
          <w:sz w:val="20"/>
        </w:rPr>
        <w:t>EN: Hybrid pricing method with truthful bidding incentives and reasonable consumer payment</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518">
        <w:r>
          <w:rPr>
            <w:color w:val="1155CC"/>
            <w:u w:val="single"/>
          </w:rPr>
          <w:t>10.1016/j.apenergy.2026.128696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 </w:t>
      </w:r>
      <w:hyperlink r:id="rId519">
        <w:r>
          <w:rPr>
            <w:color w:val="1155CC"/>
            <w:u w:val="single"/>
          </w:rPr>
          <w:t>基于多智能体强化学习的微电网低碳P2P市场与投标策略联合设计</w:t>
        </w:r>
      </w:hyperlink>
    </w:p>
    <w:p>
      <w:pPr>
        <w:spacing w:before="0" w:after="80"/>
      </w:pPr>
      <w:r>
        <w:rPr>
          <w:i/>
          <w:sz w:val="20"/>
        </w:rPr>
        <w:t>EN: Multi-agent reinforcement learning-based joint design of low-carbon P2P market and bidding strategy in microgrids</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520">
        <w:r>
          <w:rPr>
            <w:color w:val="1155CC"/>
            <w:u w:val="single"/>
          </w:rPr>
          <w:t>10.1016/j.apenergy.2026.128693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[61] </w:t>
      </w:r>
      <w:hyperlink r:id="rId521">
        <w:r>
          <w:rPr>
            <w:color w:val="1155CC"/>
            <w:u w:val="single"/>
          </w:rPr>
          <w:t>利用工程化金属硫化物光催化剂将木质素光催化裂解并升级为高附加值产品的最新进展</w:t>
        </w:r>
      </w:hyperlink>
    </w:p>
    <w:p>
      <w:pPr>
        <w:spacing w:before="0" w:after="80"/>
      </w:pPr>
      <w:r>
        <w:rPr>
          <w:i/>
          <w:sz w:val="20"/>
        </w:rPr>
        <w:t>EN: Recent advances in photocatalytic fragmentation and upgradation of lignin to high-value products using engineered metal sulphide photocatalysts</w:t>
      </w:r>
    </w:p>
    <w:p>
      <w:pPr>
        <w:spacing w:before="0" w:after="120"/>
      </w:pPr>
      <w:r>
        <w:rPr>
          <w:b/>
        </w:rPr>
        <w:t xml:space="preserve">Source: </w:t>
      </w:r>
      <w:r>
        <w:t>ScienceDirect Publication: Applied Energy</w:t>
      </w:r>
      <w:r>
        <w:t xml:space="preserve">    </w:t>
      </w:r>
      <w:r>
        <w:rPr>
          <w:b/>
        </w:rPr>
        <w:t xml:space="preserve">Pub date: </w:t>
      </w:r>
      <w:r>
        <w:t>2026-08-28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[62] </w:t>
      </w:r>
      <w:hyperlink r:id="rId522">
        <w:r>
          <w:rPr>
            <w:color w:val="1155CC"/>
            <w:u w:val="single"/>
          </w:rPr>
          <w:t>建筑能耗性能监管、能源贫困与健康：来自Türkiye的证据</w:t>
        </w:r>
      </w:hyperlink>
    </w:p>
    <w:p>
      <w:pPr>
        <w:spacing w:before="0" w:after="80"/>
      </w:pPr>
      <w:r>
        <w:rPr>
          <w:i/>
          <w:sz w:val="20"/>
        </w:rPr>
        <w:t>EN: Building energy performance regulation, energy poverty, and health: Evidence from Türkiye</w:t>
      </w:r>
    </w:p>
    <w:p>
      <w:pPr>
        <w:spacing w:before="0" w:after="120"/>
      </w:pPr>
      <w:r>
        <w:rPr>
          <w:b/>
        </w:rPr>
        <w:t xml:space="preserve">Source: </w:t>
      </w:r>
      <w:r>
        <w:t>ScienceDirect Publication: Energy Policy</w:t>
      </w:r>
      <w:r>
        <w:t xml:space="preserve">    </w:t>
      </w:r>
      <w:r>
        <w:rPr>
          <w:b/>
        </w:rPr>
        <w:t xml:space="preserve">Pub date: </w:t>
      </w:r>
      <w:r>
        <w:t>2026-08-28 00:00:00+00:00</w:t>
      </w:r>
      <w:r>
        <w:t xml:space="preserve">    </w:t>
      </w:r>
      <w:r>
        <w:rPr>
          <w:b/>
        </w:rPr>
        <w:t xml:space="preserve">DOI: </w:t>
      </w:r>
      <w:hyperlink r:id="rId523">
        <w:r>
          <w:rPr>
            <w:color w:val="1155CC"/>
            <w:u w:val="single"/>
          </w:rPr>
          <w:t>10.1016/j.enpol.2026.115580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[63] </w:t>
      </w:r>
      <w:hyperlink r:id="rId524">
        <w:r>
          <w:rPr>
            <w:color w:val="1155CC"/>
            <w:u w:val="single"/>
          </w:rPr>
          <w:t>能源支持链贸易的地缘政治风险暴露与韧性：多层网络诊断</w:t>
        </w:r>
      </w:hyperlink>
    </w:p>
    <w:p>
      <w:pPr>
        <w:spacing w:before="0" w:after="80"/>
      </w:pPr>
      <w:r>
        <w:rPr>
          <w:i/>
          <w:sz w:val="20"/>
        </w:rPr>
        <w:t>EN: Geopolitical risk exposure and resilience of energy support-chain trade: A multilayer network diagnosis</w:t>
      </w:r>
    </w:p>
    <w:p>
      <w:pPr>
        <w:spacing w:before="0" w:after="120"/>
      </w:pPr>
      <w:r>
        <w:rPr>
          <w:b/>
        </w:rPr>
        <w:t xml:space="preserve">Source: </w:t>
      </w:r>
      <w:r>
        <w:t>ScienceDirect Publication: Energy Policy</w:t>
      </w:r>
      <w:r>
        <w:t xml:space="preserve">    </w:t>
      </w:r>
      <w:r>
        <w:rPr>
          <w:b/>
        </w:rPr>
        <w:t xml:space="preserve">Pub date: </w:t>
      </w:r>
      <w:r>
        <w:t>2026-08-28 00:00:00+00:00</w:t>
      </w:r>
      <w:r>
        <w:t xml:space="preserve">    </w:t>
      </w:r>
      <w:r>
        <w:rPr>
          <w:b/>
        </w:rPr>
        <w:t xml:space="preserve">DOI: </w:t>
      </w:r>
      <w:hyperlink r:id="rId525">
        <w:r>
          <w:rPr>
            <w:color w:val="1155CC"/>
            <w:u w:val="single"/>
          </w:rPr>
          <w:t>10.1016/j.enpol.2026.115549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 </w:t>
      </w:r>
      <w:hyperlink r:id="rId526">
        <w:r>
          <w:rPr>
            <w:color w:val="1155CC"/>
            <w:u w:val="single"/>
          </w:rPr>
          <w:t>希腊能源贫困的脉搏：金融压力、不确定性与制度韧性的作用</w:t>
        </w:r>
      </w:hyperlink>
    </w:p>
    <w:p>
      <w:pPr>
        <w:spacing w:before="0" w:after="80"/>
      </w:pPr>
      <w:r>
        <w:rPr>
          <w:i/>
          <w:sz w:val="20"/>
        </w:rPr>
        <w:t>EN: The pulse of energy poverty in Greece: The role of financial stress, uncertainty, and institutional resilience</w:t>
      </w:r>
    </w:p>
    <w:p>
      <w:pPr>
        <w:spacing w:before="0" w:after="120"/>
      </w:pPr>
      <w:r>
        <w:rPr>
          <w:b/>
        </w:rPr>
        <w:t xml:space="preserve">Source: </w:t>
      </w:r>
      <w:r>
        <w:t>ScienceDirect Publication: Energy Policy</w:t>
      </w:r>
      <w:r>
        <w:t xml:space="preserve">    </w:t>
      </w:r>
      <w:r>
        <w:rPr>
          <w:b/>
        </w:rPr>
        <w:t xml:space="preserve">Pub date: </w:t>
      </w:r>
      <w:r>
        <w:t>2026-08-28 00:00:00+00:00</w:t>
      </w:r>
      <w:r>
        <w:t xml:space="preserve">    </w:t>
      </w:r>
      <w:r>
        <w:rPr>
          <w:b/>
        </w:rPr>
        <w:t xml:space="preserve">DOI: </w:t>
      </w:r>
      <w:hyperlink r:id="rId527">
        <w:r>
          <w:rPr>
            <w:color w:val="1155CC"/>
            <w:u w:val="single"/>
          </w:rPr>
          <w:t>10.1016/j.enpol.2026.115547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[65] </w:t>
      </w:r>
      <w:hyperlink r:id="rId528">
        <w:r>
          <w:rPr>
            <w:color w:val="1155CC"/>
            <w:u w:val="single"/>
          </w:rPr>
          <w:t>能源资源与地缘政治冲突：伊拉克社会经济动态的ARDL分析</w:t>
        </w:r>
      </w:hyperlink>
    </w:p>
    <w:p>
      <w:pPr>
        <w:spacing w:before="0" w:after="80"/>
      </w:pPr>
      <w:r>
        <w:rPr>
          <w:i/>
          <w:sz w:val="20"/>
        </w:rPr>
        <w:t>EN: Energy resources and geopolitical conflicts: ARDL analysis of Iraq's socioeconomic dynamics</w:t>
      </w:r>
    </w:p>
    <w:p>
      <w:pPr>
        <w:spacing w:before="0" w:after="120"/>
      </w:pPr>
      <w:r>
        <w:rPr>
          <w:b/>
        </w:rPr>
        <w:t xml:space="preserve">Source: </w:t>
      </w:r>
      <w:r>
        <w:t>ScienceDirect Publication: Energy Policy</w:t>
      </w:r>
      <w:r>
        <w:t xml:space="preserve">    </w:t>
      </w:r>
      <w:r>
        <w:rPr>
          <w:b/>
        </w:rPr>
        <w:t xml:space="preserve">Pub date: </w:t>
      </w:r>
      <w:r>
        <w:t>2026-08-28 00:00:00+00:00</w:t>
      </w:r>
      <w:r>
        <w:t xml:space="preserve">    </w:t>
      </w:r>
      <w:r>
        <w:rPr>
          <w:b/>
        </w:rPr>
        <w:t xml:space="preserve">DOI: </w:t>
      </w:r>
      <w:hyperlink r:id="rId529">
        <w:r>
          <w:rPr>
            <w:color w:val="1155CC"/>
            <w:u w:val="single"/>
          </w:rPr>
          <w:t>10.1016/j.enpol.2026.115501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 </w:t>
      </w:r>
      <w:hyperlink r:id="rId530">
        <w:r>
          <w:rPr>
            <w:color w:val="1155CC"/>
            <w:u w:val="single"/>
          </w:rPr>
          <w:t>地缘政治碎片化在能源转型与能源贫困关系中的调节作用：来自欧洲的跨分布证据</w:t>
        </w:r>
      </w:hyperlink>
    </w:p>
    <w:p>
      <w:pPr>
        <w:spacing w:before="0" w:after="80"/>
      </w:pPr>
      <w:r>
        <w:rPr>
          <w:i/>
          <w:sz w:val="20"/>
        </w:rPr>
        <w:t>EN: The moderating role of geopolitical fragmentation in energy transition-energy poverty: A cross distribution evidence from Europe</w:t>
      </w:r>
    </w:p>
    <w:p>
      <w:pPr>
        <w:spacing w:before="0" w:after="120"/>
      </w:pPr>
      <w:r>
        <w:rPr>
          <w:b/>
        </w:rPr>
        <w:t xml:space="preserve">Source: </w:t>
      </w:r>
      <w:r>
        <w:t>ScienceDirect Publication: Energy Policy</w:t>
      </w:r>
      <w:r>
        <w:t xml:space="preserve">    </w:t>
      </w:r>
      <w:r>
        <w:rPr>
          <w:b/>
        </w:rPr>
        <w:t xml:space="preserve">Pub date: </w:t>
      </w:r>
      <w:r>
        <w:t>2026-08-28 00:00:00+00:00</w:t>
      </w:r>
      <w:r>
        <w:t xml:space="preserve">    </w:t>
      </w:r>
      <w:r>
        <w:rPr>
          <w:b/>
        </w:rPr>
        <w:t xml:space="preserve">DOI: </w:t>
      </w:r>
      <w:hyperlink r:id="rId531">
        <w:r>
          <w:rPr>
            <w:color w:val="1155CC"/>
            <w:u w:val="single"/>
          </w:rPr>
          <w:t>10.1016/j.enpol.2026.115544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 </w:t>
      </w:r>
      <w:hyperlink r:id="rId532">
        <w:r>
          <w:rPr>
            <w:color w:val="1155CC"/>
            <w:u w:val="single"/>
          </w:rPr>
          <w:t>深度学习设计扭曲范德华多层结构中的纳米级极化激元传播</w:t>
        </w:r>
      </w:hyperlink>
    </w:p>
    <w:p>
      <w:pPr>
        <w:spacing w:before="0" w:after="80"/>
      </w:pPr>
      <w:r>
        <w:rPr>
          <w:i/>
          <w:sz w:val="20"/>
        </w:rPr>
        <w:t>EN: Deep learning design of nanoscale polariton propagations in twisted van der Waals multilayers</w:t>
      </w:r>
    </w:p>
    <w:p>
      <w:pPr>
        <w:spacing w:before="0" w:after="120"/>
      </w:pPr>
      <w:r>
        <w:rPr>
          <w:b/>
        </w:rPr>
        <w:t xml:space="preserve">Source: </w:t>
      </w:r>
      <w:r>
        <w:t>Nature Materials</w:t>
      </w:r>
      <w:r>
        <w:t xml:space="preserve">    </w:t>
      </w:r>
      <w:r>
        <w:rPr>
          <w:b/>
        </w:rPr>
        <w:t xml:space="preserve">Pub date: </w:t>
      </w:r>
      <w:r>
        <w:t>2026-08-28 00:00:00+00:00</w:t>
      </w:r>
      <w:r>
        <w:t xml:space="preserve">    </w:t>
      </w:r>
      <w:r>
        <w:rPr>
          <w:b/>
        </w:rPr>
        <w:t xml:space="preserve">DOI: </w:t>
      </w:r>
      <w:hyperlink r:id="rId533">
        <w:r>
          <w:rPr>
            <w:color w:val="1155CC"/>
            <w:u w:val="single"/>
          </w:rPr>
          <w:t>10.1038/s41563-026-02723-2</w:t>
        </w:r>
      </w:hyperlink>
    </w:p>
    <w:p>
      <w:pPr>
        <w:spacing w:before="0" w:after="120"/>
      </w:pPr>
      <w:r>
        <w:rPr>
          <w:b/>
        </w:rPr>
        <w:t xml:space="preserve">Notes: </w:t>
      </w:r>
      <w:r>
        <w:t>abstract_source=pubmed</w:t>
      </w:r>
    </w:p>
    <w:p>
      <w:pPr>
        <w:spacing w:before="0" w:after="80" w:lineRule="auto" w:line="276"/>
      </w:pPr>
      <w:r>
        <w:rPr>
          <w:b/>
        </w:rPr>
        <w:t xml:space="preserve">摘要（ZH）: </w:t>
      </w:r>
      <w:r>
        <w:t>纳米光学旨在通过激发表面极化激元（光-物质杂化准粒子）来理解和控制纳米尺度的光传播。近来，扭转范德华材料实现了前所未有的声子极化激元传播，例如沟道化传播。然而，纳米光学仍存在一个重要局限：按需获得极化激元传播。在此，我们将深度神经网络与扭转极化激元多层结构相结合，实现声子极化激元传播的按需设计。我们在扭转α-MoO3同质结构中展示了此前未被探索的频率范围（600-800 cm-1）内的沟道化、双沟道化和三沟道化传播。我们通过在现有的α-MoO3双层结构上额外添加一层α-MoO3来实现所需的极化激元传播，从而展示了该方法的实用潜力。最后，我们将神经网络扩展到多种其他材料，使我们能够预测从可见光到太赫兹波段的沟道化传播。我们这种基于深度学习的方法为推进传感或热管理等领域的纳米光子学应用提供了可观的潜力。</w:t>
      </w:r>
    </w:p>
    <w:p>
      <w:pPr>
        <w:spacing w:before="0" w:after="200" w:lineRule="auto" w:line="276"/>
      </w:pPr>
      <w:r>
        <w:rPr>
          <w:b/>
        </w:rPr>
        <w:t xml:space="preserve">Abstract (EN): </w:t>
      </w:r>
      <w:r>
        <w:t>Nano-optics aims to understand and control the propagation of light at the nanoscale through the excitation of surface polaritons: hybrid light-matter quasiparticles. Recently, twisted van der Waals materials have enabled unprecedented phonon polariton propagations, such as canalization. However, nano-optics still presents an important limitation: obtaining polariton propagations on demand. Here we combine deep neural networks with twisted polaritonic multilayers to enable on-demand design of phonon polariton propagation. We demonstrate canalization, bicanalization and tricanalization in twisted α-MoO3 homostructures over previously unexplored frequencies (600-800 cm-1). We illustrate the practical potential of our method by achieving a desired polariton propagation in an existing α-MoO3 bilayer by adding an extra α-MoO3 layer. Finally, we extend our neural networks to a variety of other materials, allowing us to predict canalization from the visible to the terahertz regime. Our deep-learning-based approach offers considerable potential for advancing nanophotonic applications in areas such as sensing or thermal management.</w:t>
      </w:r>
    </w:p>
    <w:p>
      <w:pPr>
        <w:spacing w:before="120" w:after="120"/>
      </w:pPr>
      <w:r>
        <w:rPr>
          <w:sz w:val="18"/>
        </w:rPr>
        <w:t>——————————————————————————————————————————————————————————————————————</w:t>
      </w:r>
    </w:p>
    <w:p>
      <w:pPr>
        <w:spacing w:before="160" w:after="40" w:line="240" w:lineRule="auto"/>
      </w:pPr>
      <w:r>
        <w:rPr>
          <w:b/>
        </w:rPr>
        <w:t xml:space="preserve">[68] </w:t>
      </w:r>
      <w:hyperlink r:id="rId534">
        <w:r>
          <w:rPr>
            <w:color w:val="1155CC"/>
            <w:u w:val="single"/>
          </w:rPr>
          <w:t>深海的奥秘与AI友谊：图书简评</w:t>
        </w:r>
      </w:hyperlink>
    </w:p>
    <w:p>
      <w:pPr>
        <w:spacing w:before="0" w:after="80"/>
      </w:pPr>
      <w:r>
        <w:rPr>
          <w:i/>
          <w:sz w:val="20"/>
        </w:rPr>
        <w:t>EN: Mysteries of the deep and AI friendship: Books in brief</w:t>
      </w:r>
    </w:p>
    <w:p>
      <w:pPr>
        <w:spacing w:before="0" w:after="120"/>
      </w:pPr>
      <w:r>
        <w:rPr>
          <w:b/>
        </w:rPr>
        <w:t xml:space="preserve">Source: </w:t>
      </w:r>
      <w:r>
        <w:t>Nature</w:t>
      </w:r>
      <w:r>
        <w:t xml:space="preserve">    </w:t>
      </w:r>
      <w:r>
        <w:rPr>
          <w:b/>
        </w:rPr>
        <w:t xml:space="preserve">Pub date: </w:t>
      </w:r>
      <w:r>
        <w:t>2026-08-28 00:00:00+00:00</w:t>
      </w:r>
      <w:r>
        <w:t xml:space="preserve">    </w:t>
      </w:r>
      <w:r>
        <w:rPr>
          <w:b/>
        </w:rPr>
        <w:t xml:space="preserve">DOI: </w:t>
      </w:r>
      <w:hyperlink r:id="rId535">
        <w:r>
          <w:rPr>
            <w:color w:val="1155CC"/>
            <w:u w:val="single"/>
          </w:rPr>
          <w:t>10.1038/d41586-026-02725-9</w:t>
        </w:r>
      </w:hyperlink>
    </w:p>
    <w:p>
      <w:pPr>
        <w:spacing w:before="0" w:after="120"/>
      </w:pPr>
      <w:r>
        <w:rPr>
          <w:b/>
        </w:rPr>
        <w:t xml:space="preserve">Notes: </w:t>
      </w:r>
      <w:r>
        <w:t>abstract_source=nature_html</w:t>
      </w:r>
    </w:p>
    <w:p>
      <w:pPr>
        <w:spacing w:before="0" w:after="80" w:lineRule="auto" w:line="276"/>
      </w:pPr>
      <w:r>
        <w:rPr>
          <w:b/>
        </w:rPr>
        <w:t xml:space="preserve">摘要（ZH）: </w:t>
      </w:r>
      <w:r>
        <w:t>Andrew Robinson 评论了五本最佳科学精选。</w:t>
      </w:r>
    </w:p>
    <w:p>
      <w:pPr>
        <w:spacing w:before="0" w:after="200" w:lineRule="auto" w:line="276"/>
      </w:pPr>
      <w:r>
        <w:rPr>
          <w:b/>
        </w:rPr>
        <w:t xml:space="preserve">Abstract (EN): </w:t>
      </w:r>
      <w:r>
        <w:t>Andrew Robinson reviews five of the best science picks.</w:t>
      </w:r>
    </w:p>
    <w:p>
      <w:pPr>
        <w:spacing w:before="120" w:after="120"/>
      </w:pPr>
      <w:r>
        <w:rPr>
          <w:sz w:val="18"/>
        </w:rPr>
        <w:t>——————————————————————————————————————————————————————————————————————</w:t>
      </w:r>
    </w:p>
    <w:p>
      <w:pPr>
        <w:spacing w:before="160" w:after="40" w:line="240" w:lineRule="auto"/>
      </w:pPr>
      <w:r>
        <w:rPr>
          <w:b/>
        </w:rPr>
        <w:t xml:space="preserve">[69] </w:t>
      </w:r>
      <w:hyperlink r:id="rId536">
        <w:r>
          <w:rPr>
            <w:color w:val="1155CC"/>
            <w:u w:val="single"/>
          </w:rPr>
          <w:t>非默认电力系统配置下的创新-能源耦合：设计上转型中性，财务结构上与化石能源关联</w:t>
        </w:r>
      </w:hyperlink>
    </w:p>
    <w:p>
      <w:pPr>
        <w:spacing w:before="0" w:after="80"/>
      </w:pPr>
      <w:r>
        <w:rPr>
          <w:i/>
          <w:sz w:val="20"/>
        </w:rPr>
        <w:t>EN: Innovation–energy coupling under non-default power-system configurations: Transition-neutral in design, fossil-linked in financial structure</w:t>
      </w:r>
    </w:p>
    <w:p>
      <w:pPr>
        <w:spacing w:before="0" w:after="120"/>
      </w:pPr>
      <w:r>
        <w:rPr>
          <w:b/>
        </w:rPr>
        <w:t xml:space="preserve">Source: </w:t>
      </w:r>
      <w:r>
        <w:t>ScienceDirect Publication: Applied Energy</w:t>
      </w:r>
      <w:r>
        <w:t xml:space="preserve">    </w:t>
      </w:r>
      <w:r>
        <w:rPr>
          <w:b/>
        </w:rPr>
        <w:t xml:space="preserve">Pub date: </w:t>
      </w:r>
      <w:r>
        <w:t>2026-08-28 00:00:00+00:00</w:t>
      </w:r>
      <w:r>
        <w:t xml:space="preserve">    </w:t>
      </w:r>
      <w:r>
        <w:rPr>
          <w:b/>
        </w:rPr>
        <w:t xml:space="preserve">DOI: </w:t>
      </w:r>
      <w:hyperlink r:id="rId537">
        <w:r>
          <w:rPr>
            <w:color w:val="1155CC"/>
            <w:u w:val="single"/>
          </w:rPr>
          <w:t>10.1016/j.apenergy.2026.128710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 </w:t>
      </w:r>
      <w:hyperlink r:id="rId538">
        <w:r>
          <w:rPr>
            <w:color w:val="1155CC"/>
            <w:u w:val="single"/>
          </w:rPr>
          <w:t>利用原子干涉测量在轨检验弱等效原理</w:t>
        </w:r>
      </w:hyperlink>
    </w:p>
    <w:p>
      <w:pPr>
        <w:spacing w:before="0" w:after="80"/>
      </w:pPr>
      <w:r>
        <w:rPr>
          <w:i/>
          <w:sz w:val="20"/>
        </w:rPr>
        <w:t>EN: In-orbit test of the weak equivalence principle with atom interferometry</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39">
        <w:r>
          <w:rPr>
            <w:color w:val="1155CC"/>
            <w:u w:val="single"/>
          </w:rPr>
          <w:t>10.1126/sciadv.aeh4502</w:t>
        </w:r>
      </w:hyperlink>
    </w:p>
    <w:p>
      <w:pPr>
        <w:spacing w:before="0" w:after="120"/>
      </w:pPr>
      <w:r>
        <w:rPr>
          <w:b/>
        </w:rPr>
        <w:t xml:space="preserve">Notes: </w:t>
      </w:r>
      <w:r>
        <w:t>abstract_source=crossref</w:t>
      </w:r>
    </w:p>
    <w:p>
      <w:pPr>
        <w:spacing w:before="0" w:after="80" w:lineRule="auto" w:line="276"/>
      </w:pPr>
      <w:r>
        <w:rPr>
          <w:b/>
        </w:rPr>
        <w:t xml:space="preserve">摘要（ZH）: </w:t>
      </w:r>
      <w:r>
        <w:t>弱等效原理（WEP）是广义相对论的核心支柱。利用空间中的量子系统对其进行精确检验，为探索新物理提供了独特的窗口。在此，我们报告一次在轨的 WEP 量子检验。在中国空间站上实现了双组分（85Rb/87Rb）原子干涉仪。我们开发了平台运动抑制、荧光探测切换和双光子失谐切换等方法，以消除相位噪声并提高测量精度。基于 280 天的 WEP 检验数据获得了 2.8 × 10−8 的检验不确定度，经误差估计后得到检验结果为 (−2.7 ± 4.7) × 10−7。这将此前微重力下的原子干涉 WEP 检验精度提高了三个数量级。这项工作为星载量子惯性传感器及其在未来空间基础物理研究中的应用铺平了道路。</w:t>
      </w:r>
    </w:p>
    <w:p>
      <w:pPr>
        <w:spacing w:before="0" w:after="200" w:lineRule="auto" w:line="276"/>
      </w:pPr>
      <w:r>
        <w:rPr>
          <w:b/>
        </w:rPr>
        <w:t xml:space="preserve">Abstract (EN): </w:t>
      </w:r>
      <w:r>
        <w:t>The weak equivalence principle (WEP) is a central pillar of general relativity. Its precise test with quantum systems in space offers a unique window onto new physics. Here, we report an in-orbit quantum test of the WEP. A dual-species (</w:t>
      </w:r>
      <w:r>
        <w:rPr>
          <w:vertAlign w:val="subscript"/>
        </w:rPr>
        <w:t>85</w:t>
      </w:r>
      <w:r>
        <w:t>Rb/</w:t>
      </w:r>
      <w:r>
        <w:rPr>
          <w:vertAlign w:val="subscript"/>
        </w:rPr>
        <w:t>87</w:t>
      </w:r>
      <w:r>
        <w:t>Rb) atom interferometer is realized aboard the China Space Station. Methods of platform motion suppression, fluorescence detection switching, and two-photon detuning switching are developed to eliminate phase noise and improve measurement accuracy. A test uncertainty of 2.8 × 10</w:t>
      </w:r>
      <w:r>
        <w:t xml:space="preserve"> </w:t>
      </w:r>
      <w:r>
        <w:t>−8</w:t>
      </w:r>
      <w:r>
        <w:t xml:space="preserve"> </w:t>
      </w:r>
      <w:r>
        <w:t>is obtained from 280 days of WEP test data, and a test result of (−2.7 ± 4.7) × 10</w:t>
      </w:r>
      <w:r>
        <w:t xml:space="preserve"> </w:t>
      </w:r>
      <w:r>
        <w:t>−7</w:t>
      </w:r>
      <w:r>
        <w:t xml:space="preserve"> </w:t>
      </w:r>
      <w:r>
        <w:t>is achieved after error estimation. This improves prior atom-interferometric WEP tests in microgravity by three orders of magnitude. This work paves the way for space-borne quantum inertial sensors and their application to future fundamental physics in space.</w:t>
      </w:r>
    </w:p>
    <w:p>
      <w:pPr>
        <w:spacing w:before="120" w:after="120"/>
      </w:pPr>
      <w:r>
        <w:rPr>
          <w:sz w:val="18"/>
        </w:rPr>
        <w:t>——————————————————————————————————————————————————————————————————————</w:t>
      </w:r>
    </w:p>
    <w:p>
      <w:pPr>
        <w:spacing w:before="160" w:after="40" w:line="240" w:lineRule="auto"/>
      </w:pPr>
      <w:r>
        <w:rPr>
          <w:b/>
        </w:rPr>
        <w:t xml:space="preserve">[71] </w:t>
      </w:r>
      <w:hyperlink r:id="rId540">
        <w:r>
          <w:rPr>
            <w:color w:val="1155CC"/>
            <w:u w:val="single"/>
          </w:rPr>
          <w:t>用于模拟交叉阵列应用的晶圆级SOT-MRAM</w:t>
        </w:r>
      </w:hyperlink>
    </w:p>
    <w:p>
      <w:pPr>
        <w:spacing w:before="0" w:after="80"/>
      </w:pPr>
      <w:r>
        <w:rPr>
          <w:i/>
          <w:sz w:val="20"/>
        </w:rPr>
        <w:t>EN: Wafer-scale SOT-MRAM for analog crossbar array applications</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41">
        <w:r>
          <w:rPr>
            <w:color w:val="1155CC"/>
            <w:u w:val="single"/>
          </w:rPr>
          <w:t>10.1126/sciadv.aee6952</w:t>
        </w:r>
      </w:hyperlink>
    </w:p>
    <w:p>
      <w:pPr>
        <w:spacing w:before="0" w:after="120"/>
      </w:pPr>
      <w:r>
        <w:rPr>
          <w:b/>
        </w:rPr>
        <w:t xml:space="preserve">Notes: </w:t>
      </w:r>
      <w:r>
        <w:t>abstract_source=crossref</w:t>
      </w:r>
    </w:p>
    <w:p>
      <w:pPr>
        <w:spacing w:before="0" w:after="80" w:lineRule="auto" w:line="276"/>
      </w:pPr>
      <w:r>
        <w:rPr>
          <w:b/>
        </w:rPr>
        <w:t xml:space="preserve">摘要（ZH）: </w:t>
      </w:r>
      <w:r>
        <w:t>由新兴存储器件构成的模拟交叉阵列可缓解神经网络应用中向量矩阵乘法所需的计算压力。能够在晶圆级制造自旋轨道矩磁随机存取存储器（SOT-MRAM），使其成为强有力的存储候选技术。在本工作中，我们制备并测量了与 300 mm 工艺兼容的 SOT-MRAM，其具有 150% 的隧穿磁阻（TMR）比、快速（2 ns）低电压（&lt;1 V）操作、低能耗（2 pJ）、低写入噪声（0.1%）以及 10% 的低器件间差异。结果表明 SOT-MRAM 特性可有效用于校准模型上的推理。利用 SOT-MRAM 的双稳态各向异性和随机翻转进行二值神经网络训练，单器件即可达到理想精度。最后，在概率图建模上评估了这些器件，并分析了 TMR 比与概率分布之间的相互作用。这些结果表明，SOT-MRAM 是在存储和能耗受限应用中实现交叉阵列加速器的独特有效候选。</w:t>
      </w:r>
    </w:p>
    <w:p>
      <w:pPr>
        <w:spacing w:before="0" w:after="200" w:lineRule="auto" w:line="276"/>
      </w:pPr>
      <w:r>
        <w:rPr>
          <w:b/>
        </w:rPr>
        <w:t xml:space="preserve">Abstract (EN): </w:t>
      </w:r>
      <w:r>
        <w:t>Analog crossbar arrays consisting of emerging memory devices can alleviate the computational strain required by vector matrix multiplications for neural network applications. The ability to produce spin orbit torque-magnetic random-access memory (SOT-MRAM) at wafer-scale positions SOT-MRAM as a strong memory candidate. In this work, we fabricate and measure 300 mm-compatible SOT-MRAM with 150% tunnel magnetoresistance (TMR) ratio, fast (2 ns) and low voltage (&amp;lt;1 V) operation, low energy dissipation (2 pJ), low write noise (0.1%), and low device-to-device variation of 10%. SOT-MRAM characteristics were shown to be effective for inference on calibrated models. The bi-stable anisotropy and stochastic switching of SOT-MRAM was leveraged for binary neural network training, able to reach ideal accuracy for a single device. Lastly, the devices were evaluated on probabilistic graph modeling and the interplay of TMR ratio and probability distribution is analyzed. Through these results, SOT-MRAM is shown to be a uniquely effective candidate for implementation of crossbar accelerators in memory- and energy-limited applications.</w:t>
      </w:r>
    </w:p>
    <w:p>
      <w:pPr>
        <w:spacing w:before="120" w:after="120"/>
      </w:pPr>
      <w:r>
        <w:rPr>
          <w:sz w:val="18"/>
        </w:rPr>
        <w:t>——————————————————————————————————————————————————————————————————————</w:t>
      </w:r>
    </w:p>
    <w:p>
      <w:pPr>
        <w:spacing w:before="160" w:after="40" w:line="240" w:lineRule="auto"/>
      </w:pPr>
      <w:r>
        <w:rPr>
          <w:b/>
        </w:rPr>
        <w:t xml:space="preserve">[72] </w:t>
      </w:r>
      <w:hyperlink r:id="rId542">
        <w:r>
          <w:rPr>
            <w:color w:val="1155CC"/>
            <w:u w:val="single"/>
          </w:rPr>
          <w:t>多巴胺D3受体与卡利拉嗪结合的结构揭示了具有设计药理学的部分激动剂原理</w:t>
        </w:r>
      </w:hyperlink>
    </w:p>
    <w:p>
      <w:pPr>
        <w:spacing w:before="0" w:after="80"/>
      </w:pPr>
      <w:r>
        <w:rPr>
          <w:i/>
          <w:sz w:val="20"/>
        </w:rPr>
        <w:t>EN: The structure of the dopamine D3 receptor bound to cariprazine reveals principles for partial agonists with designed pharmacology</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43">
        <w:r>
          <w:rPr>
            <w:color w:val="1155CC"/>
            <w:u w:val="single"/>
          </w:rPr>
          <w:t>10.1126/sciadv.aef7411</w:t>
        </w:r>
      </w:hyperlink>
    </w:p>
    <w:p>
      <w:pPr>
        <w:spacing w:before="0" w:after="120"/>
      </w:pPr>
      <w:r>
        <w:rPr>
          <w:b/>
        </w:rPr>
        <w:t xml:space="preserve">Notes: </w:t>
      </w:r>
      <w:r>
        <w:t>abstract_source=crossref</w:t>
      </w:r>
    </w:p>
    <w:p>
      <w:pPr>
        <w:spacing w:before="0" w:after="80" w:lineRule="auto" w:line="276"/>
      </w:pPr>
      <w:r>
        <w:rPr>
          <w:b/>
        </w:rPr>
        <w:t xml:space="preserve">摘要（ZH）: </w:t>
      </w:r>
      <w:r>
        <w:t>第三代抗精神病药卡利拉嗪是多巴胺 D3 受体（D3R）的低效partial激动剂。在此，我们报道了卡利拉嗪与 D3R 结合的冷冻电镜结构，为理解该受体的配体识别建立了框架。我们进一步解析了 D3R 与一系列从反向激动剂到高效partial激动剂的卡利拉嗪衍生物复合物的结构。将结构数据与药理学表征及分子动力学模拟相结合，揭示了细微的化学修饰如何转化为截然不同的功能结果。区分激动作用与反向激动作用的决定因素已得到明确界定，而partial激动剂之间的差异则源于配体在正位结合位点内的微小位置偏移。相比之下，延伸结合位点主要调节配体的稳定性、亲和力和受体选择性。这些发现建立了双位配体结构与受体激活之间的机制联系，提供了 D3R 信号传导的“以配体为中心”的视角。基于这些原理，我们设计并验证了具有增强 D3/D2 选择性和partial激动活性的卡利拉嗪衍生物。总之，这项工作为 t 提供了结构和药理学蓝图</w:t>
      </w:r>
    </w:p>
    <w:p>
      <w:pPr>
        <w:spacing w:before="0" w:after="200" w:lineRule="auto" w:line="276"/>
      </w:pPr>
      <w:r>
        <w:rPr>
          <w:b/>
        </w:rPr>
        <w:t xml:space="preserve">Abstract (EN): </w:t>
      </w:r>
      <w:r>
        <w:t>The third-generation antipsychotic cariprazine is a low-efficacy partial agonist of the dopamine D</w:t>
      </w:r>
      <w:r>
        <w:rPr>
          <w:vertAlign w:val="subscript"/>
        </w:rPr>
        <w:t>3</w:t>
      </w:r>
      <w:r>
        <w:t>receptor (D</w:t>
      </w:r>
      <w:r>
        <w:rPr>
          <w:vertAlign w:val="subscript"/>
        </w:rPr>
        <w:t>3</w:t>
      </w:r>
      <w:r>
        <w:t>R). Here, we report the cryo–electron microscopy structure of cariprazine bound to D</w:t>
      </w:r>
      <w:r>
        <w:rPr>
          <w:vertAlign w:val="subscript"/>
        </w:rPr>
        <w:t>3</w:t>
      </w:r>
      <w:r>
        <w:t>R, establishing a framework for understanding ligand recognition in this receptor. We further determine structures of D</w:t>
      </w:r>
      <w:r>
        <w:rPr>
          <w:vertAlign w:val="subscript"/>
        </w:rPr>
        <w:t>3</w:t>
      </w:r>
      <w:r>
        <w:t>R in complex with a series of cariprazine derivatives spanning inverse agonists to high-efficacy partial agonists. Integration of structural data with pharmacological profiling and molecular dynamics simulations reveals how subtle chemical modifications translate into distinct functional outcomes. Determinants distinguishing agonism from inverse agonism are well defined, whereas differences among partial agonists arise from small positional shifts of the ligand within the orthosteric binding site. In contrast, the extended binding site primarily modulates ligand stability, affinity, and receptor selectivity. These findings establish a mechanistic link between bitopic ligand architecture and receptor activation, providing a “ligand-centric” view of D</w:t>
      </w:r>
      <w:r>
        <w:rPr>
          <w:vertAlign w:val="subscript"/>
        </w:rPr>
        <w:t>3</w:t>
      </w:r>
      <w:r>
        <w:t>R signaling. Leveraging these principles, we designed and validated cariprazine derivatives with enhanced D</w:t>
      </w:r>
      <w:r>
        <w:rPr>
          <w:vertAlign w:val="subscript"/>
        </w:rPr>
        <w:t>3</w:t>
      </w:r>
      <w:r>
        <w:t>/D</w:t>
      </w:r>
      <w:r>
        <w:rPr>
          <w:vertAlign w:val="subscript"/>
        </w:rPr>
        <w:t>2</w:t>
      </w:r>
      <w:r>
        <w:t>selectivity and partial agonist activity. Together, this work provides a structural and pharmacological blueprint for the rational design of D</w:t>
      </w:r>
      <w:r>
        <w:rPr>
          <w:vertAlign w:val="subscript"/>
        </w:rPr>
        <w:t>3</w:t>
      </w:r>
      <w:r>
        <w:t>R-targeting ligands with tailored efficacy and therapeutic profiles.</w:t>
      </w:r>
    </w:p>
    <w:p>
      <w:pPr>
        <w:spacing w:before="120" w:after="120"/>
      </w:pPr>
      <w:r>
        <w:rPr>
          <w:sz w:val="18"/>
        </w:rPr>
        <w:t>——————————————————————————————————————————————————————————————————————</w:t>
      </w:r>
    </w:p>
    <w:p>
      <w:pPr>
        <w:spacing w:before="160" w:after="40" w:line="240" w:lineRule="auto"/>
      </w:pPr>
      <w:r>
        <w:rPr>
          <w:b/>
        </w:rPr>
        <w:t xml:space="preserve">[73] </w:t>
      </w:r>
      <w:hyperlink r:id="rId544">
        <w:r>
          <w:rPr>
            <w:color w:val="1155CC"/>
            <w:u w:val="single"/>
          </w:rPr>
          <w:t>扭曲双层光栅中的强层间耦合与手性平带级联</w:t>
        </w:r>
      </w:hyperlink>
    </w:p>
    <w:p>
      <w:pPr>
        <w:spacing w:before="0" w:after="80"/>
      </w:pPr>
      <w:r>
        <w:rPr>
          <w:i/>
          <w:sz w:val="20"/>
        </w:rPr>
        <w:t>EN: Strong interlayer coupling and chiral flat-band cascades in twisted bilayer gratings</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45">
        <w:r>
          <w:rPr>
            <w:color w:val="1155CC"/>
            <w:u w:val="single"/>
          </w:rPr>
          <w:t>10.1126/sciadv.aed8846</w:t>
        </w:r>
      </w:hyperlink>
    </w:p>
    <w:p>
      <w:pPr>
        <w:spacing w:before="0" w:after="120"/>
      </w:pPr>
      <w:r>
        <w:rPr>
          <w:b/>
        </w:rPr>
        <w:t xml:space="preserve">Notes: </w:t>
      </w:r>
      <w:r>
        <w:t>abstract_source=crossref</w:t>
      </w:r>
    </w:p>
    <w:p>
      <w:pPr>
        <w:spacing w:before="0" w:after="80" w:lineRule="auto" w:line="276"/>
      </w:pPr>
      <w:r>
        <w:rPr>
          <w:b/>
        </w:rPr>
        <w:t xml:space="preserve">摘要（ZH）: </w:t>
      </w:r>
      <w:r>
        <w:t>从原子晶体到宏观材料结构，扭转双层体系已成为调控波动现象的一条有前途的途径。然而，在少层范德华材料中，本质上较弱的层间耦合通常需要精确控制小扭转角才能达到魔角条件。在此，我们表明扭转的一维光子晶体双层可以克服这一局限，进入层间强耦合区间——可与层内耦合相当。这种强耦合使得即使在大扭转角下也能形成超宽平带。我们通过两步光刻法堆叠二硫化钨光栅实验实现了这一区间，在魔角扭转双层光栅中获得了超宽的手性平带级联。我们的工作不仅为设计具有可调光子带的光子应用提供了平台，还探索了常规固态莫尔体系中无法实现的一个此前未被识别的物理区间。</w:t>
      </w:r>
    </w:p>
    <w:p>
      <w:pPr>
        <w:spacing w:before="0" w:after="200" w:lineRule="auto" w:line="276"/>
      </w:pPr>
      <w:r>
        <w:rPr>
          <w:b/>
        </w:rPr>
        <w:t xml:space="preserve">Abstract (EN): </w:t>
      </w:r>
      <w:r>
        <w:t>From atomic crystals to macroscopic material structures, twisted bilayer systems have emerged as a promising route to control wave phenomena. In few-layer van der Waals materials, however, the intrinsically weak interlayer coupling typically demands precise control of small twist angles to reach magic-angle conditions. Here, we show that twisted one-dimensional photonic crystal bilayers can overcome this limitation by accessing a regime of strong interlayer coupling—comparable to intralayer coupling. This strong coupling enables ultrawide flat-band formation even at large twist angles. We experimentally realize this regime by stacking tungsten disulfide gratings using a two-step lithography method, resulting in ultrawide chiral flat-band cascades in magic-angle twisted bilayer gratings. Our work not only provides a platform for designing photonic applications with a tunable photonic band but also explores a previously unidentified regime of physics that is unattainable in conventional solid-state–based moiré systems.</w:t>
      </w:r>
    </w:p>
    <w:p>
      <w:pPr>
        <w:spacing w:before="120" w:after="120"/>
      </w:pPr>
      <w:r>
        <w:rPr>
          <w:sz w:val="18"/>
        </w:rPr>
        <w:t>——————————————————————————————————————————————————————————————————————</w:t>
      </w:r>
    </w:p>
    <w:p>
      <w:pPr>
        <w:spacing w:before="160" w:after="40" w:line="240" w:lineRule="auto"/>
      </w:pPr>
      <w:r>
        <w:rPr>
          <w:b/>
        </w:rPr>
        <w:t xml:space="preserve">[74] </w:t>
      </w:r>
      <w:hyperlink r:id="rId546">
        <w:r>
          <w:rPr>
            <w:color w:val="1155CC"/>
            <w:u w:val="single"/>
          </w:rPr>
          <w:t>水坝在动态安第斯前陆河流中引发长期的河流-洪泛平原解耦</w:t>
        </w:r>
      </w:hyperlink>
    </w:p>
    <w:p>
      <w:pPr>
        <w:spacing w:before="0" w:after="80"/>
      </w:pPr>
      <w:r>
        <w:rPr>
          <w:i/>
          <w:sz w:val="20"/>
        </w:rPr>
        <w:t>EN: Dams trigger long-term river-floodplain decoupling in dynamic Andean foreland rivers</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47">
        <w:r>
          <w:rPr>
            <w:color w:val="1155CC"/>
            <w:u w:val="single"/>
          </w:rPr>
          <w:t>10.1126/sciadv.aec8647</w:t>
        </w:r>
      </w:hyperlink>
    </w:p>
    <w:p>
      <w:pPr>
        <w:spacing w:before="0" w:after="120"/>
      </w:pPr>
      <w:r>
        <w:rPr>
          <w:b/>
        </w:rPr>
        <w:t xml:space="preserve">Notes: </w:t>
      </w:r>
      <w:r>
        <w:t>abstract_source=crossref</w:t>
      </w:r>
    </w:p>
    <w:p>
      <w:pPr>
        <w:spacing w:before="0" w:after="80" w:lineRule="auto" w:line="276"/>
      </w:pPr>
      <w:r>
        <w:rPr>
          <w:b/>
        </w:rPr>
        <w:t xml:space="preserve">摘要（ZH）: </w:t>
      </w:r>
      <w:r>
        <w:t>安第斯山脉正在建设和规划中的水电大坝将改变向下游河流输送的水和泥沙，很可能对河流和漫滩形态、水文和栖息地产生重大影响。这些干扰在具有强当前河道-漫滩耦合的侧向动态河流（如安第斯前陆河流）沿岸最为严重。利用水-形态动力学河流模型，我们表明这些漫滩通过广泛的垂直和侧向侵蚀被迅速改变，并产生持续的长期效应：侵蚀在一个世纪内在坝前水位以下数米处形成下切的次生漫滩。这种河道-漫滩复合体的退化改变了漫滩淹没模式和频率，并使滨水水体与活动河道断开。这种脱耦在坝建设前以高泥沙负荷和侧向迁移速率为特征的河流中最为严重。我们的模拟表明，忽略地貌变化（包括河流侧向流动性）的预测方法在评估大坝对湿地栖息地构建和功能的影响方面可能效用有限。</w:t>
      </w:r>
    </w:p>
    <w:p>
      <w:pPr>
        <w:spacing w:before="0" w:after="200" w:lineRule="auto" w:line="276"/>
      </w:pPr>
      <w:r>
        <w:rPr>
          <w:b/>
        </w:rPr>
        <w:t xml:space="preserve">Abstract (EN): </w:t>
      </w:r>
      <w:r>
        <w:t>Ongoing and planned hydroelectric dam construction in the Andes will alter water and sediment delivery to downstream rivers, with likely substantial impacts on river and floodplain morphology, hydrology, and habitats. These disturbances will be greatest along laterally dynamic rivers with strong current channel-floodplain coupling, such as Andean foreland rivers. Using a hydro-morphodynamic river model, we show that these floodplains are rapidly transformed through widespread vertical and lateral erosion with persisting long-term effects: Erosion creates secondary floodplains entrenched several meters below pre-dam levels within a century. This degradation of the channel-floodplain complex changes floodplain inundation patterns and frequency and disconnects riparian water bodies from the active river. Such decoupling will be most severe in rivers characterized by high sediment loads and lateral migration rates before dam construction. Our simulations reveal that predictive approaches that neglect geomorphic changes, including lateral river mobility, may be of limited utility in assessing dam impacts on the construction and functioning of wetland habitats.</w:t>
      </w:r>
    </w:p>
    <w:p>
      <w:pPr>
        <w:spacing w:before="120" w:after="120"/>
      </w:pPr>
      <w:r>
        <w:rPr>
          <w:sz w:val="18"/>
        </w:rPr>
        <w:t>——————————————————————————————————————————————————————————————————————</w:t>
      </w:r>
    </w:p>
    <w:p>
      <w:pPr>
        <w:spacing w:before="160" w:after="40" w:line="240" w:lineRule="auto"/>
      </w:pPr>
      <w:r>
        <w:rPr>
          <w:b/>
        </w:rPr>
        <w:t xml:space="preserve">[75] </w:t>
      </w:r>
      <w:hyperlink r:id="rId548">
        <w:r>
          <w:rPr>
            <w:color w:val="1155CC"/>
            <w:u w:val="single"/>
          </w:rPr>
          <w:t>FCRL5–IgG1 Fc复合物的结构-功能分析揭示了Fc减弱型IgG调控B细胞的一条未被认识的途径</w:t>
        </w:r>
      </w:hyperlink>
    </w:p>
    <w:p>
      <w:pPr>
        <w:spacing w:before="0" w:after="80"/>
      </w:pPr>
      <w:r>
        <w:rPr>
          <w:i/>
          <w:sz w:val="20"/>
        </w:rPr>
        <w:t>EN: Structure-function analysis of the FCRL5–IgG1 Fc complex reveals an unappreciated pathway for B cell modulation by Fc-attenuated IgG</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49">
        <w:r>
          <w:rPr>
            <w:color w:val="1155CC"/>
            <w:u w:val="single"/>
          </w:rPr>
          <w:t>10.1126/sciadv.aei1233</w:t>
        </w:r>
      </w:hyperlink>
    </w:p>
    <w:p>
      <w:pPr>
        <w:spacing w:before="0" w:after="120"/>
      </w:pPr>
      <w:r>
        <w:rPr>
          <w:b/>
        </w:rPr>
        <w:t xml:space="preserve">Notes: </w:t>
      </w:r>
      <w:r>
        <w:t>abstract_source=crossref</w:t>
      </w:r>
    </w:p>
    <w:p>
      <w:pPr>
        <w:spacing w:before="0" w:after="80" w:lineRule="auto" w:line="276"/>
      </w:pPr>
      <w:r>
        <w:rPr>
          <w:b/>
        </w:rPr>
        <w:t xml:space="preserve">摘要（ZH）: </w:t>
      </w:r>
      <w:r>
        <w:t>治疗性IgG抗体的Fc区常被改造以去除或“沉默”Fc效应功能，但这些突变是否消除了所有Fc介导的效应活性仍不清楚。人Fc受体样蛋白5（FCRL5/FcRH5）是在B细胞上表达的低亲和力IgG Fc受体，是多发性骨髓瘤中积极推进的抗体靶点。在此，我们表明常见的Fc功能沉默突变并不损害FCRL5介导的活性，因此只是减弱而非消除Fc效应功能。以3.4 Å分辨率解析的FCRL5-IgG1 Fc复合物晶体结构显示，FCRL5以1:1复合物形式结合IgG1 Fc，其结合模式不同于经典Fcγ受体，这解释了为何减弱Fc效应功能的突变不影响FCRL5结合。选择性结合FCRL5的Fc工程化抗体抑制了表达FCRL5的B细胞中B细胞受体诱导的Ca2+内流。这些发现表明，Fc减弱的治疗性IgG仍保留结合FCRL5的能力，揭示了一条此前未被认识的B细胞调节通路。</w:t>
      </w:r>
    </w:p>
    <w:p>
      <w:pPr>
        <w:spacing w:before="0" w:after="200" w:lineRule="auto" w:line="276"/>
      </w:pPr>
      <w:r>
        <w:rPr>
          <w:b/>
        </w:rPr>
        <w:t xml:space="preserve">Abstract (EN): </w:t>
      </w:r>
      <w:r>
        <w:t>The Fc region of therapeutic IgG antibodies is often engineered to remove or “silence” Fc effector functions, but it remains unclear whether these mutations eliminate all Fc-mediated effector activity. Human Fc receptor-like 5 (FCRL5/FcRH5) is a low-affinity IgG Fc receptor expressed on B cells and is an actively pursued antibody target in multiple myeloma. Here, we show that common Fc function-silencing mutations do not impair FCRL5-mediated activity and therefore attenuate, rather than eliminate, Fc effector function. The crystal structure of the FCRL5-IgG1 Fc complex, solved at 3.4 Å resolution, revealed that FCRL5 binds IgG1 Fc in a 1:1 complex through a binding mode distinct from that of classical Fcγ receptors, explaining why mutations that attenuate Fc effector function spare FCRL5 binding. Fc-engineered antibodies that selectively engage FCRL5 inhibited B cell receptor-induced Ca</w:t>
      </w:r>
      <w:r>
        <w:t xml:space="preserve"> </w:t>
      </w:r>
      <w:r>
        <w:t>2+</w:t>
      </w:r>
      <w:r>
        <w:t xml:space="preserve"> </w:t>
      </w:r>
      <w:r>
        <w:t>flux in FCRL5-expressing B cells. These findings demonstrate that Fc-attenuated therapeutic IgG retains the ability to engage FCRL5, identifying an unappreciated pathway for B cell modulation.</w:t>
      </w:r>
    </w:p>
    <w:p>
      <w:pPr>
        <w:spacing w:before="120" w:after="120"/>
      </w:pPr>
      <w:r>
        <w:rPr>
          <w:sz w:val="18"/>
        </w:rPr>
        <w:t>——————————————————————————————————————————————————————————————————————</w:t>
      </w:r>
    </w:p>
    <w:p>
      <w:pPr>
        <w:spacing w:before="160" w:after="40" w:line="240" w:lineRule="auto"/>
      </w:pPr>
      <w:r>
        <w:rPr>
          <w:b/>
        </w:rPr>
        <w:t xml:space="preserve">[76] </w:t>
      </w:r>
      <w:hyperlink r:id="rId550">
        <w:r>
          <w:rPr>
            <w:color w:val="1155CC"/>
            <w:u w:val="single"/>
          </w:rPr>
          <w:t>瞬时RNP区室促进哺乳动物卵母细胞的翻译与生长</w:t>
        </w:r>
      </w:hyperlink>
    </w:p>
    <w:p>
      <w:pPr>
        <w:spacing w:before="0" w:after="80"/>
      </w:pPr>
      <w:r>
        <w:rPr>
          <w:i/>
          <w:sz w:val="20"/>
        </w:rPr>
        <w:t>EN: A transient RNP compartment boosts translation and growth of mammalian oocytes</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51">
        <w:r>
          <w:rPr>
            <w:color w:val="1155CC"/>
            <w:u w:val="single"/>
          </w:rPr>
          <w:t>10.1126/sciadv.aej5359</w:t>
        </w:r>
      </w:hyperlink>
    </w:p>
    <w:p>
      <w:pPr>
        <w:spacing w:before="0" w:after="120"/>
      </w:pPr>
      <w:r>
        <w:rPr>
          <w:b/>
        </w:rPr>
        <w:t xml:space="preserve">Notes: </w:t>
      </w:r>
      <w:r>
        <w:t>abstract_source=crossref</w:t>
      </w:r>
    </w:p>
    <w:p>
      <w:pPr>
        <w:spacing w:before="0" w:after="80" w:lineRule="auto" w:line="276"/>
      </w:pPr>
      <w:r>
        <w:rPr>
          <w:b/>
        </w:rPr>
        <w:t xml:space="preserve">摘要（ZH）: </w:t>
      </w:r>
      <w:r>
        <w:t>哺乳动物卵母细胞经历一个延长的生长期，在此期间转录逐渐下降。为维持减数分裂和早期胚胎发育，生长中的卵母细胞必须积累母体储存物质并严格调控翻译。利用免疫荧光、质谱、电子显微镜、RNA测序和离体卵巢组织切片活体成像，我们在生长中的小鼠卵母细胞中鉴定出一个瞬时的核糖核蛋白-细胞器区室，我们将其命名为Zollo小体。尽管它类似于在许多脊椎动物非生长卵母细胞中观察到的Balbiani小体，但Zollo小体在生长期出现，并表现出新生翻译和磷酸化mTOR富集。药物性解散Zollo小体会阻止培养的卵巢组织切片中卵泡和卵母细胞的生长。因此，Zollo小体是正常卵泡和卵母细胞生长所需的瞬时、翻译相关区室。</w:t>
      </w:r>
    </w:p>
    <w:p>
      <w:pPr>
        <w:spacing w:before="0" w:after="200" w:lineRule="auto" w:line="276"/>
      </w:pPr>
      <w:r>
        <w:rPr>
          <w:b/>
        </w:rPr>
        <w:t xml:space="preserve">Abstract (EN): </w:t>
      </w:r>
      <w:r>
        <w:t>Mammalian oocytes undergo an extended growth phase, during which transcription gradually declines. To sustain meiotic divisions and early embryonic development, growing oocytes must accumulate maternal stores and tightly regulate translation. Using immunofluorescence, mass spectrometry, electron microscopy, RNA sequencing, and live ex vivo ovarian tissue–slice imaging, we identified a transient ribonucleoprotein-organelle compartment in growing mouse oocytes, which we named the Zollo body. Although it resembles the Balbiani body observed in nongrowing oocytes of many vertebrate species, the Zollo body arises during growth and shows nascent translation and phospho-mTOR enrichment. Pharmacological dissolution of the Zollo body arrests follicle and oocyte growth in cultured ovarian tissue slices. Thus, the Zollo body is a transient, translation-associated compartment required for normal follicle and oocyte growth.</w:t>
      </w:r>
    </w:p>
    <w:p>
      <w:pPr>
        <w:spacing w:before="120" w:after="120"/>
      </w:pPr>
      <w:r>
        <w:rPr>
          <w:sz w:val="18"/>
        </w:rPr>
        <w:t>——————————————————————————————————————————————————————————————————————</w:t>
      </w:r>
    </w:p>
    <w:p>
      <w:pPr>
        <w:spacing w:before="160" w:after="40" w:line="240" w:lineRule="auto"/>
      </w:pPr>
      <w:r>
        <w:rPr>
          <w:b/>
        </w:rPr>
        <w:t xml:space="preserve">[77] </w:t>
      </w:r>
      <w:hyperlink r:id="rId552">
        <w:r>
          <w:rPr>
            <w:color w:val="1155CC"/>
            <w:u w:val="single"/>
          </w:rPr>
          <w:t>多体量子电动力学产生的排斥性反比距离原子间相互作用</w:t>
        </w:r>
      </w:hyperlink>
    </w:p>
    <w:p>
      <w:pPr>
        <w:spacing w:before="0" w:after="80"/>
      </w:pPr>
      <w:r>
        <w:rPr>
          <w:i/>
          <w:sz w:val="20"/>
        </w:rPr>
        <w:t>EN: Repulsive inverse-distance interatomic interaction from many-body quantum electrodynamics</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53">
        <w:r>
          <w:rPr>
            <w:color w:val="1155CC"/>
            <w:u w:val="single"/>
          </w:rPr>
          <w:t>10.1126/sciadv.aee5141</w:t>
        </w:r>
      </w:hyperlink>
    </w:p>
    <w:p>
      <w:pPr>
        <w:spacing w:before="0" w:after="120"/>
      </w:pPr>
      <w:r>
        <w:rPr>
          <w:b/>
        </w:rPr>
        <w:t xml:space="preserve">Notes: </w:t>
      </w:r>
      <w:r>
        <w:t>abstract_source=crossref</w:t>
      </w:r>
    </w:p>
    <w:p>
      <w:pPr>
        <w:spacing w:before="0" w:after="80" w:lineRule="auto" w:line="276"/>
      </w:pPr>
      <w:r>
        <w:rPr>
          <w:b/>
        </w:rPr>
        <w:t xml:space="preserve">摘要（ZH）: </w:t>
      </w:r>
      <w:r>
        <w:t>物体之间的相互作用可分为基本的或涌现的。基本相互作用要么是极短程的，要么随间隔距离成反比衰减，例如电荷之间的库仑势或质量之间的引力。相比之下，涌现的量子范德华（vdW）和Casimir相互作用随距离R衰减得快得多（R−6或R−7）。在此，我们将微扰量子电动力学（QED）应用于被建模为带电谐振子的多体（MB）原子系统，揭示了一种持久的反距离MB-QED相互作用，它源于非延迟机制下虚光子与分子等离激元之间的耦合。这种与精细结构常数三次方成比例的相互作用让人联想到单个原子的Lamb位移。尽管弱于vdW力，这种MB-QED R−1相互作用在未来探索微观尺度量子引力的实验中可能大大超过引力吸引。</w:t>
      </w:r>
    </w:p>
    <w:p>
      <w:pPr>
        <w:spacing w:before="0" w:after="200" w:lineRule="auto" w:line="276"/>
      </w:pPr>
      <w:r>
        <w:rPr>
          <w:b/>
        </w:rPr>
        <w:t xml:space="preserve">Abstract (EN): </w:t>
      </w:r>
      <w:r>
        <w:t>Interactions between objects can be classified as fundamental or emergent. Fundamental interactions are either extremely short-range or decay inversely with the separation distance, such as the Coulomb potential between charges or the gravitational attraction between masses. In contrast, emergent quantum van der Waals (vdW) and Casimir interactions decay considerably faster (</w:t>
      </w:r>
      <w:r>
        <w:t xml:space="preserve"> </w:t>
      </w:r>
      <w:r>
        <w:t>R</w:t>
      </w:r>
      <w:r>
        <w:t xml:space="preserve"> </w:t>
      </w:r>
      <w:r>
        <w:t>−6</w:t>
      </w:r>
      <w:r>
        <w:t xml:space="preserve"> </w:t>
      </w:r>
      <w:r>
        <w:t>or</w:t>
      </w:r>
      <w:r>
        <w:t xml:space="preserve"> </w:t>
      </w:r>
      <w:r>
        <w:t>R</w:t>
      </w:r>
      <w:r>
        <w:t xml:space="preserve"> </w:t>
      </w:r>
      <w:r>
        <w:t>−7</w:t>
      </w:r>
      <w:r>
        <w:t xml:space="preserve"> </w:t>
      </w:r>
      <w:r>
        <w:t>) with distance</w:t>
      </w:r>
      <w:r>
        <w:t xml:space="preserve"> </w:t>
      </w:r>
      <w:r>
        <w:t>R</w:t>
      </w:r>
      <w:r>
        <w:t xml:space="preserve"> </w:t>
      </w:r>
      <w:r>
        <w:t>. Here, we apply perturbative quantum electrodynamics (QED) to a many-body (MB) system of atoms modeled as charged harmonic oscillators, and reveal a persistent inverse-distance MB-QED interaction stemming from the coupling between virtual photons and molecular plasmons in the nonretarded regime. This interaction, scaling with the third power of the fine-structure constant, is reminiscent of the Lamb shift for a single atom. Although weaker than vdW forces, this MB-QED</w:t>
      </w:r>
      <w:r>
        <w:t xml:space="preserve"> </w:t>
      </w:r>
      <w:r>
        <w:t>R</w:t>
      </w:r>
      <w:r>
        <w:t xml:space="preserve"> </w:t>
      </w:r>
      <w:r>
        <w:t>−1</w:t>
      </w:r>
      <w:r>
        <w:t xml:space="preserve"> </w:t>
      </w:r>
      <w:r>
        <w:t>interaction may substantially surpass gravitational attraction in future experiments probing quantum gravity at microscopic scales.</w:t>
      </w:r>
    </w:p>
    <w:p>
      <w:pPr>
        <w:spacing w:before="120" w:after="120"/>
      </w:pPr>
      <w:r>
        <w:rPr>
          <w:sz w:val="18"/>
        </w:rPr>
        <w:t>——————————————————————————————————————————————————————————————————————</w:t>
      </w:r>
    </w:p>
    <w:p>
      <w:pPr>
        <w:spacing w:before="160" w:after="40" w:line="240" w:lineRule="auto"/>
      </w:pPr>
      <w:r>
        <w:rPr>
          <w:b/>
        </w:rPr>
        <w:t xml:space="preserve">[78] </w:t>
      </w:r>
      <w:hyperlink r:id="rId554">
        <w:r>
          <w:rPr>
            <w:color w:val="1155CC"/>
            <w:u w:val="single"/>
          </w:rPr>
          <w:t>通过优化的氟化聚合物混合空穴传输层实现高性能且稳定的蓝光钙钛矿发光二极管</w:t>
        </w:r>
      </w:hyperlink>
    </w:p>
    <w:p>
      <w:pPr>
        <w:spacing w:before="0" w:after="80"/>
      </w:pPr>
      <w:r>
        <w:rPr>
          <w:i/>
          <w:sz w:val="20"/>
        </w:rPr>
        <w:t>EN: Toward high-performance and stable blue perovskite light-emitting diodes via optimized fluorinated polymer blend hole transport layers</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55">
        <w:r>
          <w:rPr>
            <w:color w:val="1155CC"/>
            <w:u w:val="single"/>
          </w:rPr>
          <w:t>10.1126/sciadv.aec7056</w:t>
        </w:r>
      </w:hyperlink>
    </w:p>
    <w:p>
      <w:pPr>
        <w:spacing w:before="0" w:after="120"/>
      </w:pPr>
      <w:r>
        <w:rPr>
          <w:b/>
        </w:rPr>
        <w:t xml:space="preserve">Notes: </w:t>
      </w:r>
      <w:r>
        <w:t>abstract_source=crossref</w:t>
      </w:r>
    </w:p>
    <w:p>
      <w:pPr>
        <w:spacing w:before="0" w:after="80" w:lineRule="auto" w:line="276"/>
      </w:pPr>
      <w:r>
        <w:rPr>
          <w:b/>
        </w:rPr>
        <w:t xml:space="preserve">摘要（ZH）: </w:t>
      </w:r>
      <w:r>
        <w:t>钙钛矿发光二极管（PeLEDs）是用于显示和照明应用的低成本、可溶液加工且颜色纯净的光电器件。然而，蓝光PeLEDs在亮度和工作寿命方面仍落后于绿光和红光 counterparts，限制了其实际应用。性能差异主要源于电荷注入不平衡，这会在电偏压下加速钙钛矿/空穴传输层（HTL）界面的退化。在此，我们设计了一种由聚(N-乙烯基-2,7-二氟咔唑)（PVK-F）和聚(双(4-苯基)(2,4,6-三甲基苯基)胺)（PTAA）组成的聚合物共混HTL，其中增强的范德华相互作用促进了更致密的分子堆积。这种优化的微结构同时提高了空穴迁移率和润湿性，从而实现高质量的钙钛矿薄膜形成。因此，发射波长为485纳米的PeLEDs实现了24.1%的外量子效率和超过26,000坎德拉每平方米的亮度。此外，改善的空穴注入减轻了界面退化，在100坎德拉每平方米的初始亮度下获得超过700分钟的工作半寿命。这项工作确立了聚合物共混作为提升蓝光PeLEDs性能和稳定性的有效策略。</w:t>
      </w:r>
    </w:p>
    <w:p>
      <w:pPr>
        <w:spacing w:before="0" w:after="200" w:lineRule="auto" w:line="276"/>
      </w:pPr>
      <w:r>
        <w:rPr>
          <w:b/>
        </w:rPr>
        <w:t xml:space="preserve">Abstract (EN): </w:t>
      </w:r>
      <w:r>
        <w:t>Perovskite light-emitting diodes (PeLEDs) are promising low-cost, solution-processable, and color-pure optoelectronic devices for display and lighting applications. However, blue PeLEDs continue to lag their green and red counterparts in terms of luminance and operational lifetime, limiting their practical implementation. The performance disparity primarily arises from charge injection imbalance, which accelerates degradation at the perovskite/hole transport layer (HTL) interface under electrical bias. Here, we design a polymer blend HTL comprising poly(</w:t>
      </w:r>
      <w:r>
        <w:t xml:space="preserve"> </w:t>
      </w:r>
      <w:r>
        <w:t>N</w:t>
      </w:r>
      <w:r>
        <w:t xml:space="preserve"> </w:t>
      </w:r>
      <w:r>
        <w:t>-vinyl-2,7-difluoro-carbazole) (PVK-F) and poly(bis(4-phenyl)(2,4,6-trimethylphenyl)amine) (PTAA), in which strengthened van der Waals interactions promote denser molecular packing. This optimized microstructure simultaneously enhances hole mobility and wettability, enabling high-quality perovskite film formation. Consequently, PeLEDs emitting at 485 nanometers achieve an external quantum efficiency of 24.1% and luminance exceeding 26,000 candela per square meter. Moreover, the improved hole injection mitigates interfacial degradation, yielding an operational half-lifetime exceeding 700 minutes at an initial luminance of 100 candela per square meter. This work establishes polymer blending as an effective strategy for advancing the performance and stability of blue PeLEDs.</w:t>
      </w:r>
    </w:p>
    <w:p>
      <w:pPr>
        <w:spacing w:before="120" w:after="120"/>
      </w:pPr>
      <w:r>
        <w:rPr>
          <w:sz w:val="18"/>
        </w:rPr>
        <w:t>——————————————————————————————————————————————————————————————————————</w:t>
      </w:r>
    </w:p>
    <w:p>
      <w:pPr>
        <w:spacing w:before="160" w:after="40" w:line="240" w:lineRule="auto"/>
      </w:pPr>
      <w:r>
        <w:rPr>
          <w:b/>
        </w:rPr>
        <w:t xml:space="preserve">[79] </w:t>
      </w:r>
      <w:hyperlink r:id="rId556">
        <w:r>
          <w:rPr>
            <w:color w:val="1155CC"/>
            <w:u w:val="single"/>
          </w:rPr>
          <w:t>davemaoite中的铁弹滞回、剪切模量软化及四方↔立方相变</w:t>
        </w:r>
      </w:hyperlink>
    </w:p>
    <w:p>
      <w:pPr>
        <w:spacing w:before="0" w:after="80"/>
      </w:pPr>
      <w:r>
        <w:rPr>
          <w:i/>
          <w:sz w:val="20"/>
        </w:rPr>
        <w:t>EN: Ferroelastic hysteresis, shear modulus softening, and the tetragonal↔cubic transition in davemaoite</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57">
        <w:r>
          <w:rPr>
            <w:color w:val="1155CC"/>
            <w:u w:val="single"/>
          </w:rPr>
          <w:t>10.1126/sciadv.aed7601</w:t>
        </w:r>
      </w:hyperlink>
    </w:p>
    <w:p>
      <w:pPr>
        <w:spacing w:before="0" w:after="120"/>
      </w:pPr>
      <w:r>
        <w:rPr>
          <w:b/>
        </w:rPr>
        <w:t xml:space="preserve">Notes: </w:t>
      </w:r>
      <w:r>
        <w:t>abstract_source=crossref</w:t>
      </w:r>
    </w:p>
    <w:p>
      <w:pPr>
        <w:spacing w:before="0" w:after="80" w:lineRule="auto" w:line="276"/>
      </w:pPr>
      <w:r>
        <w:rPr>
          <w:b/>
        </w:rPr>
        <w:t xml:space="preserve">摘要（ZH）: </w:t>
      </w:r>
      <w:r>
        <w:t>立方相CaSiO3钙钛矿（davemaoite）是地球下地幔中第三丰富的矿物，仍是深部地球模型中的关键不确定性。利用机器学习原子间势和分子动力学模拟，我们提供了在其四方↔立方相变附近显著铁弹性滞后的直接证据。通过将本征弹性响应与滞弹性松弛和非静水应力分离，我们为声速和弹性模型建立了稳健的上限基准，同时揭示了相变过程中显著的剪切模量软化。已证实的铁弹性表明，如果该相变在深俯冲洋中脊玄武岩（MORB）堆积区域被激活，则会产生显著的应变记忆、地震波散射和强衰减。虽然纯CaPv在相关条件下可能不会发生这种相变，但它可能发生在Ca(Si,Ti)O3中，从而促成了深部地幔以及核幔边界上方的低剪切波速区域。</w:t>
      </w:r>
    </w:p>
    <w:p>
      <w:pPr>
        <w:spacing w:before="0" w:after="200" w:lineRule="auto" w:line="276"/>
      </w:pPr>
      <w:r>
        <w:rPr>
          <w:b/>
        </w:rPr>
        <w:t xml:space="preserve">Abstract (EN): </w:t>
      </w:r>
      <w:r>
        <w:t>Cubic CaSiO</w:t>
      </w:r>
      <w:r>
        <w:rPr>
          <w:vertAlign w:val="subscript"/>
        </w:rPr>
        <w:t>3</w:t>
      </w:r>
      <w:r>
        <w:t>-perovskite (davemaoite), the third most abundant mineral in Earth’s lower mantle, remains a key uncertainty in deep-Earth models. Using machine learning interatomic potentials and molecular dynamics simulations, we present a direct evidence of pronounced ferroelastic hysteresis near its tetragonal↔cubic transition. By isolating the intrinsic elastic response from anelastic relaxation and nonhydrostatic stress, we establish a robust upper-bound benchmark for sound velocities and elasticity models while revealing pronounced shear modulus softening across the transition. The confirmed ferroelasticity suggests substantial strain memory, seismic wave scattering, and strong attenuation if the transition is activated in regions of deeply subducted mid-ocean ridge basalt (MORB) accumulation. While pure CaPv may not undergo this transition at relevant conditions, it could occur in Ca(Si,Ti)O</w:t>
      </w:r>
      <w:r>
        <w:rPr>
          <w:vertAlign w:val="subscript"/>
        </w:rPr>
        <w:t>3</w:t>
      </w:r>
      <w:r>
        <w:t>, contributing to the low shear velocity regions in the deep mantle and above the core-mantle boundary.</w:t>
      </w:r>
    </w:p>
    <w:p>
      <w:pPr>
        <w:spacing w:before="120" w:after="120"/>
      </w:pPr>
      <w:r>
        <w:rPr>
          <w:sz w:val="18"/>
        </w:rPr>
        <w:t>——————————————————————————————————————————————————————————————————————</w:t>
      </w:r>
    </w:p>
    <w:p>
      <w:pPr>
        <w:spacing w:before="160" w:after="40" w:line="240" w:lineRule="auto"/>
      </w:pPr>
      <w:r>
        <w:rPr>
          <w:b/>
        </w:rPr>
        <w:t xml:space="preserve">[80] </w:t>
      </w:r>
      <w:hyperlink r:id="rId558">
        <w:r>
          <w:rPr>
            <w:color w:val="1155CC"/>
            <w:u w:val="single"/>
          </w:rPr>
          <w:t>利用Methylscape追踪乳腺癌进展</w:t>
        </w:r>
      </w:hyperlink>
    </w:p>
    <w:p>
      <w:pPr>
        <w:spacing w:before="0" w:after="80"/>
      </w:pPr>
      <w:r>
        <w:rPr>
          <w:i/>
          <w:sz w:val="20"/>
        </w:rPr>
        <w:t>EN: Tracking breast cancer progression using Methylscape</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59">
        <w:r>
          <w:rPr>
            <w:color w:val="1155CC"/>
            <w:u w:val="single"/>
          </w:rPr>
          <w:t>10.1126/sciadv.aeb6556</w:t>
        </w:r>
      </w:hyperlink>
    </w:p>
    <w:p>
      <w:pPr>
        <w:spacing w:before="0" w:after="120"/>
      </w:pPr>
      <w:r>
        <w:rPr>
          <w:b/>
        </w:rPr>
        <w:t xml:space="preserve">Notes: </w:t>
      </w:r>
      <w:r>
        <w:t>abstract_source=crossref</w:t>
      </w:r>
    </w:p>
    <w:p>
      <w:pPr>
        <w:spacing w:before="0" w:after="80" w:lineRule="auto" w:line="276"/>
      </w:pPr>
      <w:r>
        <w:rPr>
          <w:b/>
        </w:rPr>
        <w:t xml:space="preserve">摘要（ZH）: </w:t>
      </w:r>
      <w:r>
        <w:t>癌症的进展由表观遗传重编程驱动，其中肿瘤抑制基因启动子的高甲基化和整体低甲基化重塑了基因调控和细胞表型，促进肿瘤发生和疾病进展。我们此前提出了Methylscape，一种以聚集的启动子高甲基化和基因体低甲基化为特征的癌症特异性DNA甲基化景观，其增强了DNA对金表面的物理亲和力。在此，我们证明Methylscape可用于监测癌症进展。在TGF-β诱导的乳腺癌上皮-间充质转化（EMT）模型中，我们观察到间充质状态DNA的Methylscape富集增加，表明该方法能够灵敏地检测与肿瘤进展相关的细微表观遗传重塑。利用基于金的DNA解吸附富集策略，结合甲基化测序和qPCR，我们展示了高甲基化区域优先富集在金表面。最后，我们开发了一种低成本的一次性丝网印刷电极平台，用于乳腺癌的分期特异性监测。总之，这些发现确立了Methylscape作为一种有前景的生物物理生物标志物，可用于癌症进展的非侵入性、实时监测，推动了其临床转化的潜力。</w:t>
      </w:r>
    </w:p>
    <w:p>
      <w:pPr>
        <w:spacing w:before="0" w:after="200" w:lineRule="auto" w:line="276"/>
      </w:pPr>
      <w:r>
        <w:rPr>
          <w:b/>
        </w:rPr>
        <w:t xml:space="preserve">Abstract (EN): </w:t>
      </w:r>
      <w:r>
        <w:t>Cancer progression is driven by epigenetic reprogramming, where promoter hypermethylation of tumour-suppressor genes and global hypomethylation reshape gene regulation and cellular phenotypes, promoting oncogenesis and disease advancement. We previously introduced the Methylscape, a cancer-specific DNA methylation landscape characterized by clustered promoter hypermethylation and gene body hypomethylation that enhances DNA’s physical affinity for gold surfaces. Here, we demonstrate that Methylscape can be leveraged to monitor cancer progression. In a TGF-β-induced breast cancer epithelial-mesenchymal transition (EMT) model, we observe increased Methylscape enrichment of mesenchymal-state DNA, indicating that this method can sensitively detect subtle epigenetic remodelling linked to tumour progression. Using a gold-based DNA desorption enrichment strategy coupled with methylation sequencing and qPCR, we show that hypermethylated regions are preferentially enriched on gold surface. Finally, we developed a low-cost, disposable screen-printed electrode platform for stage-specific breast cancer monitoring. Together, these findings establish Methylscape as a promising biophysical biomarker for non-invasive, real-time monitoring of cancer progression, advancing its potential for clinical translation.</w:t>
      </w:r>
    </w:p>
    <w:p>
      <w:pPr>
        <w:spacing w:before="120" w:after="120"/>
      </w:pPr>
      <w:r>
        <w:rPr>
          <w:sz w:val="18"/>
        </w:rPr>
        <w:t>——————————————————————————————————————————————————————————————————————</w:t>
      </w:r>
    </w:p>
    <w:p>
      <w:pPr>
        <w:spacing w:before="160" w:after="40" w:line="240" w:lineRule="auto"/>
      </w:pPr>
      <w:r>
        <w:rPr>
          <w:b/>
        </w:rPr>
        <w:t xml:space="preserve">[81] </w:t>
      </w:r>
      <w:hyperlink r:id="rId560">
        <w:r>
          <w:rPr>
            <w:color w:val="1155CC"/>
            <w:u w:val="single"/>
          </w:rPr>
          <w:t>阐明ATP合酶抑制的分子基础：面向下一代选择性杀螨剂的虚拟筛选框架</w:t>
        </w:r>
      </w:hyperlink>
    </w:p>
    <w:p>
      <w:pPr>
        <w:spacing w:before="0" w:after="80"/>
      </w:pPr>
      <w:r>
        <w:rPr>
          <w:i/>
          <w:sz w:val="20"/>
        </w:rPr>
        <w:t>EN: Elucidating the molecular basis of ATP synthase inhibition: A virtual screening framework for next-gen selective acaricides</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61">
        <w:r>
          <w:rPr>
            <w:color w:val="1155CC"/>
            <w:u w:val="single"/>
          </w:rPr>
          <w:t>10.1126/sciadv.aec9535</w:t>
        </w:r>
      </w:hyperlink>
    </w:p>
    <w:p>
      <w:pPr>
        <w:spacing w:before="0" w:after="120"/>
      </w:pPr>
      <w:r>
        <w:rPr>
          <w:b/>
        </w:rPr>
        <w:t xml:space="preserve">Notes: </w:t>
      </w:r>
      <w:r>
        <w:t>abstract_source=crossref</w:t>
      </w:r>
    </w:p>
    <w:p>
      <w:pPr>
        <w:spacing w:before="0" w:after="80" w:lineRule="auto" w:line="276"/>
      </w:pPr>
      <w:r>
        <w:rPr>
          <w:b/>
        </w:rPr>
        <w:t xml:space="preserve">摘要（ZH）: </w:t>
      </w:r>
      <w:r>
        <w:t>合理设计能够选择性靶向有害物种同时保护有益生物的农药，仍是可持续农业中的重大挑战。该领域的进展受到两方面限制：对选择性分子基础的不完全理解，以及缺乏利用特定靶点的有效策略。在此，我们提供了直接的分子证据，表明线粒体腺苷5′-三磷酸（ATP）合酶CV-a亚基中天然存在的多态性是害螨与捕食性螨之间敏感性差异的主要决定因素。结构建模和序列分析鉴定了关键功能性残基（朱砂叶螨（Tetranychus cinnabarinus）中的Leu 186和巴氏新小绥螨（Neoseiulus barkeri）中的Ala 200），它们调控抑制剂的结合亲和力。基于这些机制性认识，我们开发了一个基于结构的虚拟筛选流程，以鉴定选择性小分子抑制剂，包括Vepdegestrant（ARV-471）和ICG-001，它们利用结合位点的变异实现稳健的物种特异性。这一以靶点为中心的发现框架不仅推进了对ATP合酶抑制的机制理解，还为环境安全且精准导向的杀螨剂的合理设计建立了可扩展的策略。</w:t>
      </w:r>
    </w:p>
    <w:p>
      <w:pPr>
        <w:spacing w:before="0" w:after="200" w:lineRule="auto" w:line="276"/>
      </w:pPr>
      <w:r>
        <w:rPr>
          <w:b/>
        </w:rPr>
        <w:t xml:space="preserve">Abstract (EN): </w:t>
      </w:r>
      <w:r>
        <w:t>The rational design of pesticides that selectively target harmful species while sparing beneficial organisms remains a major challenge in sustainable agriculture. Progress in this field has been limited by an incomplete understanding of the molecular basis of selectivity and the lack of effective strategies to exploit specific targets. Here, we provide direct molecular evidence that naturally occurring polymorphisms in the CV-a subunit of mitochondrial adenosine 5′-triphosphate (ATP) synthase are the primary determinants of differential sensitivity between pest mites and predatory mites. Structural modeling and sequence analysis identified the key functional residues (Leu</w:t>
      </w:r>
      <w:r>
        <w:rPr>
          <w:vertAlign w:val="subscript"/>
        </w:rPr>
        <w:t>186</w:t>
      </w:r>
      <w:r>
        <w:t>in</w:t>
      </w:r>
      <w:r>
        <w:t xml:space="preserve"> </w:t>
      </w:r>
      <w:r>
        <w:t>Tetranychus cinnabarinus</w:t>
      </w:r>
      <w:r>
        <w:t xml:space="preserve"> </w:t>
      </w:r>
      <w:r>
        <w:t>and Ala</w:t>
      </w:r>
      <w:r>
        <w:rPr>
          <w:vertAlign w:val="subscript"/>
        </w:rPr>
        <w:t>200</w:t>
      </w:r>
      <w:r>
        <w:t>in</w:t>
      </w:r>
      <w:r>
        <w:t xml:space="preserve"> </w:t>
      </w:r>
      <w:r>
        <w:t>Neoseiulus barkeri</w:t>
      </w:r>
      <w:r>
        <w:t xml:space="preserve"> </w:t>
      </w:r>
      <w:r>
        <w:t>) that modulate the binding affinity of the inhibitor. Using these mechanistic insights, we developed a structure-based virtual screening pipeline to identify selective small-molecule inhibitors, including Vepdegestrant (ARV-471) and ICG-001, that exploit binding-site variation to achieve robust species specificity. This target-centric discovery framework not only advances the mechanistic understanding of ATP synthase inhibition but also establishes a scalable strategy for the rational design of environmentally safe and precision-oriented acaricides.</w:t>
      </w:r>
    </w:p>
    <w:p>
      <w:pPr>
        <w:spacing w:before="120" w:after="120"/>
      </w:pPr>
      <w:r>
        <w:rPr>
          <w:sz w:val="18"/>
        </w:rPr>
        <w:t>——————————————————————————————————————————————————————————————————————</w:t>
      </w:r>
    </w:p>
    <w:p>
      <w:pPr>
        <w:spacing w:before="160" w:after="40" w:line="240" w:lineRule="auto"/>
      </w:pPr>
      <w:r>
        <w:rPr>
          <w:b/>
        </w:rPr>
        <w:t xml:space="preserve">[82] </w:t>
      </w:r>
      <w:hyperlink r:id="rId562">
        <w:r>
          <w:rPr>
            <w:color w:val="1155CC"/>
            <w:u w:val="single"/>
          </w:rPr>
          <w:t>失调的免疫-纤维化轴导致机械不稳定下长骨再生受损</w:t>
        </w:r>
      </w:hyperlink>
    </w:p>
    <w:p>
      <w:pPr>
        <w:spacing w:before="0" w:after="80"/>
      </w:pPr>
      <w:r>
        <w:rPr>
          <w:i/>
          <w:sz w:val="20"/>
        </w:rPr>
        <w:t>EN: Maladaptive immune-fibrotic axis drives impaired long bone regeneration under mechanical instability</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63">
        <w:r>
          <w:rPr>
            <w:color w:val="1155CC"/>
            <w:u w:val="single"/>
          </w:rPr>
          <w:t>10.1126/sciadv.adx7511</w:t>
        </w:r>
      </w:hyperlink>
    </w:p>
    <w:p>
      <w:pPr>
        <w:spacing w:before="0" w:after="120"/>
      </w:pPr>
      <w:r>
        <w:rPr>
          <w:b/>
        </w:rPr>
        <w:t xml:space="preserve">Notes: </w:t>
      </w:r>
      <w:r>
        <w:t>abstract_source=crossref</w:t>
      </w:r>
    </w:p>
    <w:p>
      <w:pPr>
        <w:spacing w:before="0" w:after="80" w:lineRule="auto" w:line="276"/>
      </w:pPr>
      <w:r>
        <w:rPr>
          <w:b/>
        </w:rPr>
        <w:t xml:space="preserve">摘要（ZH）: </w:t>
      </w:r>
      <w:r>
        <w:t>延迟愈合和不愈合骨折影响5%至10%的病例，与长期残疾和生活质量下降相关。虽然急性炎症是启动修复所必需的，但持续的机械不稳定性可维持适应不良的免疫和纤维化反应，阻碍再生。现有动物模型不能充分再现机械不稳定性（临床环境中肥大性不愈合的主要驱动因素），从而限制了转化相关性。我们开发了一种小鼠延迟骨折愈合模型，采用可调式髓内固定施加可控的骨折端间应变。高应变条件（低刚度钉，15%至30%应变）产生的骨痂增大，其特征为骨化延迟、纤维组织增加（3.3倍，P = 0.0147），以及生物力学完整性降低（刚度降低1.6倍，P = 0.024），相对于低应变对照组（高刚度钉，&lt;5%应变）。空间转录组学分析在高应变骨痂中鉴定出持续性纤维化生态位，其富集成纤维细胞相关基因（如Pdgfrb和Lgals3）以及失调的巨噬细胞-成纤维细胞信号传导（Spp1和Mmp9）。在系统性层面，高应变骨折与独特的免疫特征相关，其中CD206+巨噬细胞和CD25</w:t>
      </w:r>
    </w:p>
    <w:p>
      <w:pPr>
        <w:spacing w:before="0" w:after="200" w:lineRule="auto" w:line="276"/>
      </w:pPr>
      <w:r>
        <w:rPr>
          <w:b/>
        </w:rPr>
        <w:t xml:space="preserve">Abstract (EN): </w:t>
      </w:r>
      <w:r>
        <w:t>Delayed and nonhealing fractures, affecting 5 to 10% of cases, are associated with prolonged disability and diminished quality of life. Although acute inflammation is required to initiate repair, persistent mechanical instability can sustain maladaptive immune and fibrotic responses that impede regeneration. Existing animal models do not adequately recapitulate mechanical instability, the principal driver of hypertrophic nonunion in clinical settings, thereby limiting translational relevance. We developed a murine model of delayed fracture healing using tunable intramedullary fixation to impose controlled interfragmentary strain. High-strain conditions (low-stiffness nail, 15 to 30% strain) produced enlarged calluses characterized by delayed ossification, increased fibrotic tissue (3.3-fold,</w:t>
      </w:r>
      <w:r>
        <w:t xml:space="preserve"> </w:t>
      </w:r>
      <w:r>
        <w:t>P</w:t>
      </w:r>
      <w:r>
        <w:t xml:space="preserve"> </w:t>
      </w:r>
      <w:r>
        <w:t>= 0.0147), and reduced biomechanical integrity (1.6-fold decrease in stiffness,</w:t>
      </w:r>
      <w:r>
        <w:t xml:space="preserve"> </w:t>
      </w:r>
      <w:r>
        <w:t>P</w:t>
      </w:r>
      <w:r>
        <w:t xml:space="preserve"> </w:t>
      </w:r>
      <w:r>
        <w:t>= 0.024) relative to low-strain controls (high-stiffness nail, &amp;lt;5% strain). Spatial transcriptomic analysis identified persistent fibrotic niches in high-strain calluses enriched with fibroblast-associated genes (e.g.,</w:t>
      </w:r>
      <w:r>
        <w:t xml:space="preserve"> </w:t>
      </w:r>
      <w:r>
        <w:t>Pdgfrb</w:t>
      </w:r>
      <w:r>
        <w:t xml:space="preserve"> </w:t>
      </w:r>
      <w:r>
        <w:t>and</w:t>
      </w:r>
      <w:r>
        <w:t xml:space="preserve"> </w:t>
      </w:r>
      <w:r>
        <w:t>Lgals3</w:t>
      </w:r>
      <w:r>
        <w:t xml:space="preserve"> </w:t>
      </w:r>
      <w:r>
        <w:t>) and dysregulated macrophage-fibroblast signaling (</w:t>
      </w:r>
      <w:r>
        <w:t xml:space="preserve"> </w:t>
      </w:r>
      <w:r>
        <w:t>Spp1</w:t>
      </w:r>
      <w:r>
        <w:t xml:space="preserve"> </w:t>
      </w:r>
      <w:r>
        <w:t>and</w:t>
      </w:r>
      <w:r>
        <w:t xml:space="preserve"> </w:t>
      </w:r>
      <w:r>
        <w:t>Mmp9</w:t>
      </w:r>
      <w:r>
        <w:t xml:space="preserve"> </w:t>
      </w:r>
      <w:r>
        <w:t>). Systemically, high-strain fractures were associated with distinct immune signatures in which CD206</w:t>
      </w:r>
      <w:r>
        <w:t xml:space="preserve"> </w:t>
      </w:r>
      <w:r>
        <w:t>+</w:t>
      </w:r>
      <w:r>
        <w:t xml:space="preserve"> </w:t>
      </w:r>
      <w:r>
        <w:t>macrophages and CD25</w:t>
      </w:r>
      <w:r>
        <w:t xml:space="preserve"> </w:t>
      </w:r>
      <w:r>
        <w:t>+</w:t>
      </w:r>
      <w:r>
        <w:t xml:space="preserve"> </w:t>
      </w:r>
      <w:r>
        <w:t>regulatory T cells predicted healing outcomes (</w:t>
      </w:r>
      <w:r>
        <w:t xml:space="preserve"> </w:t>
      </w:r>
      <w:r>
        <w:t>R</w:t>
      </w:r>
      <w:r>
        <w:t xml:space="preserve"> </w:t>
      </w:r>
      <w:r>
        <w:t>= 0.72,</w:t>
      </w:r>
      <w:r>
        <w:t xml:space="preserve"> </w:t>
      </w:r>
      <w:r>
        <w:t>P</w:t>
      </w:r>
      <w:r>
        <w:t xml:space="preserve"> </w:t>
      </w:r>
      <w:r>
        <w:t>= 0.004), suggesting early immune polarization as a determinant of repair trajectory. Elevated CD8</w:t>
      </w:r>
      <w:r>
        <w:t xml:space="preserve"> </w:t>
      </w:r>
      <w:r>
        <w:t>+</w:t>
      </w:r>
      <w:r>
        <w:t xml:space="preserve"> </w:t>
      </w:r>
      <w:r>
        <w:t>T cell responses were observed, consistent with a sustained inflammatory state associated with impaired healing. These findings identify mechanical instability as a driver of pathological immune-stromal interactions and establish a preclinical platform for investigating mechanobiology-informed therapeutic strategies. This work supports a conceptual framework in which hypertrophic nonunion is understood as a disorder arising from dysregulated interactions between mechanical cues and immune responses.</w:t>
      </w:r>
    </w:p>
    <w:p>
      <w:pPr>
        <w:spacing w:before="120" w:after="120"/>
      </w:pPr>
      <w:r>
        <w:rPr>
          <w:sz w:val="18"/>
        </w:rPr>
        <w:t>——————————————————————————————————————————————————————————————————————</w:t>
      </w:r>
    </w:p>
    <w:p>
      <w:pPr>
        <w:spacing w:before="160" w:after="40" w:line="240" w:lineRule="auto"/>
      </w:pPr>
      <w:r>
        <w:rPr>
          <w:b/>
        </w:rPr>
        <w:t xml:space="preserve">[83] </w:t>
      </w:r>
      <w:hyperlink r:id="rId564">
        <w:r>
          <w:rPr>
            <w:color w:val="1155CC"/>
            <w:u w:val="single"/>
          </w:rPr>
          <w:t>甲壳素各向异性剪切弹塑性的分子起源</w:t>
        </w:r>
      </w:hyperlink>
    </w:p>
    <w:p>
      <w:pPr>
        <w:spacing w:before="0" w:after="80"/>
      </w:pPr>
      <w:r>
        <w:rPr>
          <w:i/>
          <w:sz w:val="20"/>
        </w:rPr>
        <w:t>EN: Molecular origin of anisotropic shear elastoplasticity in chitin</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65">
        <w:r>
          <w:rPr>
            <w:color w:val="1155CC"/>
            <w:u w:val="single"/>
          </w:rPr>
          <w:t>10.1126/sciadv.adz6220</w:t>
        </w:r>
      </w:hyperlink>
    </w:p>
    <w:p>
      <w:pPr>
        <w:spacing w:before="0" w:after="120"/>
      </w:pPr>
      <w:r>
        <w:rPr>
          <w:b/>
        </w:rPr>
        <w:t xml:space="preserve">Notes: </w:t>
      </w:r>
      <w:r>
        <w:t>abstract_source=crossref</w:t>
      </w:r>
    </w:p>
    <w:p>
      <w:pPr>
        <w:spacing w:before="0" w:after="80" w:lineRule="auto" w:line="276"/>
      </w:pPr>
      <w:r>
        <w:rPr>
          <w:b/>
        </w:rPr>
        <w:t xml:space="preserve">摘要（ZH）: </w:t>
      </w:r>
      <w:r>
        <w:t>甲壳动物外骨骼中存在的几丁质纳米和介观结构表现出卓越的纵向刚度和韧性，可媲美甚至超越许多合成聚合物结构。在此，我们揭示了几丁质多尺度结构中非对称剪切响应的起源，其特征是显著的变形各向异性。在与分子轴对齐的剪切作用下，几丁质通过协调的原子重排来适应应变，从而实现弹性恢复。相反，垂直于该轴施加的剪切通过局部滑移诱发类液态塑性。这些结果证明了几丁质固有的机械各向异性，支撑其在抵抗重复载荷的同时在高应变事件中耗散内部应力的双重功能。我们的发现确立了多尺度几丁质结构剪切弹塑性的分子基础，其中轴向弹性支持承重区域的能量储存，而横向塑性实现可控的能量耗散。这些原子尺度的认识为可调强度-韧性特征的几丁质基材料的预测性设计奠定了基础。</w:t>
      </w:r>
    </w:p>
    <w:p>
      <w:pPr>
        <w:spacing w:before="0" w:after="200" w:lineRule="auto" w:line="276"/>
      </w:pPr>
      <w:r>
        <w:rPr>
          <w:b/>
        </w:rPr>
        <w:t xml:space="preserve">Abstract (EN): </w:t>
      </w:r>
      <w:r>
        <w:t>Chitin nano- and mesoscale structures present in the exoskeleton of crustaceans exhibit exceptional longitudinal stiffness and toughness, rivaling or even exceeding that of many synthetic polymer architectures. Here, we reveal the origin of the asymmetric shear response in chitin multiscale architectures, marked by pronounced anisotropy in deformation. Under shear aligned with the molecular axis, chitin accommodates strain through coherent atomic rearrangements that enable elastic recovery. In contrast, shear applied perpendicular to this axis induces liquid-like plasticity via localized sliding. These results demonstrate the intrinsic mechanical anisotropy of chitin, underpinning a dual function in resisting repetitive loading while dissipating internal stress during high-strain events. Our findings establish the molecular basis of shear elastoplasticity in multiscale chitin structures, wherein axial elasticity supports energy storage in load-bearing regions, whereas transverse plasticity enables controlled energy dissipation. These atomic-scale insights lay a foundation for the predictive design of chitin-based materials with tunable strength-toughness profiles.</w:t>
      </w:r>
    </w:p>
    <w:p>
      <w:pPr>
        <w:spacing w:before="120" w:after="120"/>
      </w:pPr>
      <w:r>
        <w:rPr>
          <w:sz w:val="18"/>
        </w:rPr>
        <w:t>——————————————————————————————————————————————————————————————————————</w:t>
      </w:r>
    </w:p>
    <w:p>
      <w:pPr>
        <w:spacing w:before="160" w:after="40" w:line="240" w:lineRule="auto"/>
      </w:pPr>
      <w:r>
        <w:rPr>
          <w:b/>
        </w:rPr>
        <w:t xml:space="preserve">[84] </w:t>
      </w:r>
      <w:hyperlink r:id="rId566">
        <w:r>
          <w:rPr>
            <w:color w:val="1155CC"/>
            <w:u w:val="single"/>
          </w:rPr>
          <w:t>心理自举使自监督深度模型实现人类水平的概念学习</w:t>
        </w:r>
      </w:hyperlink>
    </w:p>
    <w:p>
      <w:pPr>
        <w:spacing w:before="0" w:after="80"/>
      </w:pPr>
      <w:r>
        <w:rPr>
          <w:i/>
          <w:sz w:val="20"/>
        </w:rPr>
        <w:t>EN: Mental bootstrapping enables human-level concept learning in self-supervised deep models</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67">
        <w:r>
          <w:rPr>
            <w:color w:val="1155CC"/>
            <w:u w:val="single"/>
          </w:rPr>
          <w:t>10.1126/sciadv.aea7202</w:t>
        </w:r>
      </w:hyperlink>
    </w:p>
    <w:p>
      <w:pPr>
        <w:spacing w:before="0" w:after="120"/>
      </w:pPr>
      <w:r>
        <w:rPr>
          <w:b/>
        </w:rPr>
        <w:t xml:space="preserve">Notes: </w:t>
      </w:r>
      <w:r>
        <w:t>abstract_source=crossref</w:t>
      </w:r>
    </w:p>
    <w:p>
      <w:pPr>
        <w:spacing w:before="0" w:after="80" w:lineRule="auto" w:line="276"/>
      </w:pPr>
      <w:r>
        <w:rPr>
          <w:b/>
        </w:rPr>
        <w:t xml:space="preserve">摘要（ZH）: </w:t>
      </w:r>
      <w:r>
        <w:t>智能体如何从稀疏、多样的样例中——通常在没有显式监督的情况下——获取抽象概念，仍然是认知科学和人工智能中的核心问题。人类研究表明，这种能力依赖于心理自举（mental bootstrapping），即从较简单的部分结构逐步构建复杂概念。基于这一思想，我们开发了一个自监督框架，在包含不完整但结构化概念线索的抽象推理任务的系统性简化版本上训练模型。该算法使模型能够在有限资源下形成内部抽象，随后将其应用于更复杂的问题。我们在12个抽象视觉推理数据集上评估该框架，测试分布内概念归纳、分布外泛化和少样本学习。为了衡量性能的相对水平，我们还在相同任务上测量了人类的准确率。在简化问题上训练的模型具有稳健的泛化能力，达到甚至超越人类水平的表现。这些发现表明，抽象推理可以从结构化简化和最少数据中产生，为人类和机器中的概念学习提供了计算解释。</w:t>
      </w:r>
    </w:p>
    <w:p>
      <w:pPr>
        <w:spacing w:before="0" w:after="200" w:lineRule="auto" w:line="276"/>
      </w:pPr>
      <w:r>
        <w:rPr>
          <w:b/>
        </w:rPr>
        <w:t xml:space="preserve">Abstract (EN): </w:t>
      </w:r>
      <w:r>
        <w:t>How agents acquire abstract concepts from sparse, diverse examples—often without explicit supervision—remains a central problem in cognitive science and artificial intelligence. Human studies suggest that this ability depends on mental bootstrapping, the gradual construction of complex concepts from simpler partial structures. Building on this idea, we develop a self-supervised framework that trains models on systematically simplified versions of abstract reasoning tasks containing incomplete but structured concept cues. This algorithm enables models to form internal abstractions under limited resources and later apply them to more complex problems. We evaluate the framework across 12 abstract visual reasoning datasets testing in-distribution concept induction, out-of-distribution generalization, and few-shot learning. To contextualize performance, we also measure human accuracy on the same tasks. Models trained on simplified problems generalize robustly, reaching or even surpassing human-level performance. These findings show that abstract reasoning can emerge from structured simplification and minimal data, offering a computational account of concept learning in humans and machines.</w:t>
      </w:r>
    </w:p>
    <w:p>
      <w:pPr>
        <w:spacing w:before="120" w:after="120"/>
      </w:pPr>
      <w:r>
        <w:rPr>
          <w:sz w:val="18"/>
        </w:rPr>
        <w:t>——————————————————————————————————————————————————————————————————————</w:t>
      </w:r>
    </w:p>
    <w:p>
      <w:pPr>
        <w:spacing w:before="160" w:after="40" w:line="240" w:lineRule="auto"/>
      </w:pPr>
      <w:r>
        <w:rPr>
          <w:b/>
        </w:rPr>
        <w:t xml:space="preserve">[85] </w:t>
      </w:r>
      <w:hyperlink r:id="rId568">
        <w:r>
          <w:rPr>
            <w:color w:val="1155CC"/>
            <w:u w:val="single"/>
          </w:rPr>
          <w:t>转谷氨酰胺酶2在巨噬细胞激活过程中调节波形蛋白依赖的蛋白质稳态</w:t>
        </w:r>
      </w:hyperlink>
    </w:p>
    <w:p>
      <w:pPr>
        <w:spacing w:before="0" w:after="80"/>
      </w:pPr>
      <w:r>
        <w:rPr>
          <w:i/>
          <w:sz w:val="20"/>
        </w:rPr>
        <w:t>EN: Transglutaminase 2 regulates vimentin-dependent proteostasis during macrophage activation</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69">
        <w:r>
          <w:rPr>
            <w:color w:val="1155CC"/>
            <w:u w:val="single"/>
          </w:rPr>
          <w:t>10.1126/sciadv.aea7513</w:t>
        </w:r>
      </w:hyperlink>
    </w:p>
    <w:p>
      <w:pPr>
        <w:spacing w:before="0" w:after="120"/>
      </w:pPr>
      <w:r>
        <w:rPr>
          <w:b/>
        </w:rPr>
        <w:t xml:space="preserve">Notes: </w:t>
      </w:r>
      <w:r>
        <w:t>abstract_source=crossref</w:t>
      </w:r>
    </w:p>
    <w:p>
      <w:pPr>
        <w:spacing w:before="0" w:after="80" w:lineRule="auto" w:line="276"/>
      </w:pPr>
      <w:r>
        <w:rPr>
          <w:b/>
        </w:rPr>
        <w:t xml:space="preserve">摘要（ZH）: </w:t>
      </w:r>
      <w:r>
        <w:t>脓毒症相关肝功能障碍是一种危及生命的疾病，死亡率高且缺乏基于机制的治疗方法。在本研究中，我们在脓毒症小鼠模型中鉴定交联酶转谷氨酰胺酶2（TG2）作为通过激活巨噬细胞驱动肝脏炎症的关键因子。药物抑制TG2可改善生存率并减轻多器官炎症，其中肝脏是主要治疗靶点。在机制上，巨噬细胞中TG2活性上调，其通过交联波形蛋白促进寡聚化和中间丝重塑。TG2或波形蛋白的基因缺失抑制了巨噬细胞细胞因子产生，并减轻了脂多糖诱导的炎症。值得注意的是，波形蛋白缺陷的巨噬细胞表现出增强的蛋白酶体向去污剂不溶性蛋白聚集物的募集，加速促炎介质（如Traf6）的降解，从而减弱核因子κB信号传导。蛋白质组学分析揭示了一条此前未被识别的Rab27a阳性囊泡运输通路，用于炎性聚集物的清除。总之，这些发现定义了一条通过蛋白质稳态调控控制巨噬细胞活化的TG2-波形蛋白轴，将细胞骨架重塑与炎症信号传导联系起来。</w:t>
      </w:r>
    </w:p>
    <w:p>
      <w:pPr>
        <w:spacing w:before="0" w:after="200" w:lineRule="auto" w:line="276"/>
      </w:pPr>
      <w:r>
        <w:rPr>
          <w:b/>
        </w:rPr>
        <w:t xml:space="preserve">Abstract (EN): </w:t>
      </w:r>
      <w:r>
        <w:t>Sepsis-associated liver dysfunction is a life-threatening condition with a high mortality rate and no mechanism-based therapy. In this study, we identify the cross-linking enzyme transglutaminase 2 (TG2) as a driver of liver inflammation by activating macrophages in a mouse model of sepsis. Pharmacological inhibition of TG2 improves survival and reduces multiorgan inflammation, with the liver as a primary therapeutic target. Mechanistically, TG2 activity was up-regulated in macrophages, where it cross-linked vimentin to promote oligomerization and intermediate filament remodeling. Genetic ablation of TG2 or vimentin suppressed macrophage cytokine production and attenuated lipopolysaccharide-induced inflammation. Notably, vimentin-deficient macrophages exhibited enhanced proteasome recruitment to detergent-insoluble protein aggregates, accelerating the degradation of proinflammatory mediators such as Traf6, thereby dampening nuclear factor κB signaling. Proteomic profiling revealed a previously unrecognized Rab27a-positive vesicle trafficking pathway for inflammatory aggregate clearance. Together, these findings define a TG2–vimentin axis that controls macrophage activation through proteostasis regulation, linking cytoskeletal remodeling to inflammatory signaling.</w:t>
      </w:r>
    </w:p>
    <w:p>
      <w:pPr>
        <w:spacing w:before="120" w:after="120"/>
      </w:pPr>
      <w:r>
        <w:rPr>
          <w:sz w:val="18"/>
        </w:rPr>
        <w:t>——————————————————————————————————————————————————————————————————————</w:t>
      </w:r>
    </w:p>
    <w:p>
      <w:pPr>
        <w:spacing w:before="160" w:after="40" w:line="240" w:lineRule="auto"/>
      </w:pPr>
      <w:r>
        <w:rPr>
          <w:b/>
        </w:rPr>
        <w:t xml:space="preserve">[86] </w:t>
      </w:r>
      <w:hyperlink r:id="rId570">
        <w:r>
          <w:rPr>
            <w:color w:val="1155CC"/>
            <w:u w:val="single"/>
          </w:rPr>
          <w:t>抗体Fc受体CD16a通过皮牛顿力的机械转导介导自然杀伤细胞激活</w:t>
        </w:r>
      </w:hyperlink>
    </w:p>
    <w:p>
      <w:pPr>
        <w:spacing w:before="0" w:after="80"/>
      </w:pPr>
      <w:r>
        <w:rPr>
          <w:i/>
          <w:sz w:val="20"/>
        </w:rPr>
        <w:t>EN: Antibody Fc receptor CD16a mediates natural killer cell activation via mechanotransduction of piconewton forces</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71">
        <w:r>
          <w:rPr>
            <w:color w:val="1155CC"/>
            <w:u w:val="single"/>
          </w:rPr>
          <w:t>10.1126/sciadv.aeb8946</w:t>
        </w:r>
      </w:hyperlink>
    </w:p>
    <w:p>
      <w:pPr>
        <w:spacing w:before="0" w:after="120"/>
      </w:pPr>
      <w:r>
        <w:rPr>
          <w:b/>
        </w:rPr>
        <w:t xml:space="preserve">Notes: </w:t>
      </w:r>
      <w:r>
        <w:t>abstract_source=crossref</w:t>
      </w:r>
    </w:p>
    <w:p>
      <w:pPr>
        <w:spacing w:before="0" w:after="80" w:lineRule="auto" w:line="276"/>
      </w:pPr>
      <w:r>
        <w:rPr>
          <w:b/>
        </w:rPr>
        <w:t xml:space="preserve">摘要（ZH）: </w:t>
      </w:r>
      <w:r>
        <w:t>自然杀伤（NK）细胞通过抗体依赖性细胞介导的细胞毒作用（ADCC）清除靶细胞，该过程由CD16a（FcγRIIIa）识别结合在靶细胞表面的抗体Fc区而启动。尽管这一识别过程通常被认为由CD16a-Fc结合亲和力驱动，但这无法解释为什么溶液中的Fc多聚体会抑制而非触发ADCC。本文揭示，CD16a能够传递皮牛顿级的力并作为机械传感器促进NK细胞活化。我们证明，CD16a介导的力及其相关的肌动蛋白焦点形成对于机械敏感接头蛋白Cas-L和信号接头蛋白LAT（T细胞活化连接蛋白）的磷酸化至关重要，从而重塑NK细胞的细胞骨架动力学和信号传导。我们的研究结果表明，NK细胞活化是一个整合生化与生物物理信息的复杂过程，并为免疫工程提供了新的机制性见解。</w:t>
      </w:r>
    </w:p>
    <w:p>
      <w:pPr>
        <w:spacing w:before="0" w:after="200" w:lineRule="auto" w:line="276"/>
      </w:pPr>
      <w:r>
        <w:rPr>
          <w:b/>
        </w:rPr>
        <w:t xml:space="preserve">Abstract (EN): </w:t>
      </w:r>
      <w:r>
        <w:t>Natural killer (NK) cells eliminate target cells through antibody-dependent cell-mediated cytotoxicity (ADCC), initiated by CD16a (FcγRIIIa) recognizing the Fc region of antibodies bound to the target cell surface. While the recognition is considered to be driven by CD16a-Fc binding avidity, it fails to explain why Fc multimers inhibit ADCC in solution rather than trigger it. Here, we reveal that CD16a transduces piconewton forces and acts as a mechanosensor to facilitate NK activation. We demonstrate that CD16a force and the actin foci formation associated with it are essential for the phosphorylation of mechanosensitive adaptor Cas-L and signaling adaptor LAT (linker of activation of T cells), reshaping NK cell cytoskeletal dynamics and signaling. Our findings show that NK activation is an intricate process that integrates both biochemical and biophysical information and provide fresh mechanistic insight for immunoengineering.</w:t>
      </w:r>
    </w:p>
    <w:p>
      <w:pPr>
        <w:spacing w:before="120" w:after="120"/>
      </w:pPr>
      <w:r>
        <w:rPr>
          <w:sz w:val="18"/>
        </w:rPr>
        <w:t>——————————————————————————————————————————————————————————————————————</w:t>
      </w:r>
    </w:p>
    <w:p>
      <w:pPr>
        <w:spacing w:before="160" w:after="40" w:line="240" w:lineRule="auto"/>
      </w:pPr>
      <w:r>
        <w:rPr>
          <w:b/>
        </w:rPr>
        <w:t xml:space="preserve">[87] </w:t>
      </w:r>
      <w:hyperlink r:id="rId572">
        <w:r>
          <w:rPr>
            <w:color w:val="1155CC"/>
            <w:u w:val="single"/>
          </w:rPr>
          <w:t>肠道果糖分解代谢通过回肠乳糜管重塑促进肥胖和胰岛素抵抗</w:t>
        </w:r>
      </w:hyperlink>
    </w:p>
    <w:p>
      <w:pPr>
        <w:spacing w:before="0" w:after="80"/>
      </w:pPr>
      <w:r>
        <w:rPr>
          <w:i/>
          <w:sz w:val="20"/>
        </w:rPr>
        <w:t>EN: Intestinal fructose catabolism promotes obesity and insulin resistance via ileal lacteal remodeling</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73">
        <w:r>
          <w:rPr>
            <w:color w:val="1155CC"/>
            <w:u w:val="single"/>
          </w:rPr>
          <w:t>10.1126/sciadv.aec0481</w:t>
        </w:r>
      </w:hyperlink>
    </w:p>
    <w:p>
      <w:pPr>
        <w:spacing w:before="0" w:after="120"/>
      </w:pPr>
      <w:r>
        <w:rPr>
          <w:b/>
        </w:rPr>
        <w:t xml:space="preserve">Notes: </w:t>
      </w:r>
      <w:r>
        <w:t>abstract_source=crossref</w:t>
      </w:r>
    </w:p>
    <w:p>
      <w:pPr>
        <w:spacing w:before="0" w:after="80" w:lineRule="auto" w:line="276"/>
      </w:pPr>
      <w:r>
        <w:rPr>
          <w:b/>
        </w:rPr>
        <w:t xml:space="preserve">摘要（ZH）: </w:t>
      </w:r>
      <w:r>
        <w:t>高果糖玉米糖浆（HFCS）的摄入是肥胖和糖尿病的风险因素，但其潜在机制，尤其是在特定器官层面，尚未被完全理解。膳食果糖的分解代谢主要发生在小肠和肝脏，其中肝脏中的果糖分解是病理性的，而小肠的果糖清除则对肝脏具有保护作用。本文报道，在小鼠小肠中特异性抑制果糖分解代谢出乎意料地减轻了果糖诱导的肥胖和胰岛素抵抗。这些表型归因于回肠乳糜管缩短所导致的膳食脂肪吸收减少。粪菌移植实验表明，宿主肠道果糖分解代谢减弱所改变的微生物组减少了乳糜管生长所必需的回肠巨噬细胞。因此，肠道乳糜管结构的改变很可能在高脂肪和高糖对代谢紊乱的协同效应中发挥作用。这也可能与药物抑制果糖分解代谢可减轻饮食诱导性肥胖的临床证据相关。</w:t>
      </w:r>
    </w:p>
    <w:p>
      <w:pPr>
        <w:spacing w:before="0" w:after="200" w:lineRule="auto" w:line="276"/>
      </w:pPr>
      <w:r>
        <w:rPr>
          <w:b/>
        </w:rPr>
        <w:t xml:space="preserve">Abstract (EN): </w:t>
      </w:r>
      <w:r>
        <w:t>High-fructose corn syrup (HFCS) consumption is a risk factor for obesity and diabetes, yet the underlying mechanisms, especially at the specific organ level, are incompletely understood. Catabolism of dietary fructose primarily occurs in the small intestine and liver, with fructose breakdown in the liver being pathological, while small intestinal fructose clearance protects the liver. Here, we report that inhibition of fructose catabolism specifically in the murine small intestine unexpectedly mitigates fructose-induced obesity and insulin resistance. Such phenotypes are attributed to decreased dietary fat absorption by the shortening of ileal lacteals. Fecal transplantation experiments revealed that the microbiome altered by blunted host intestinal fructose catabolism decreases ileal macrophages essential for lacteal growth. Thus, altered intestinal lacteal architecture likely contributes to the synergistic effects of high fat and sugar on metabolic disorders. It may also be relevant to the clinical evidence that pharmacologic suppression of fructose catabolism mitigates diet-induced obesity.</w:t>
      </w:r>
    </w:p>
    <w:p>
      <w:pPr>
        <w:spacing w:before="120" w:after="120"/>
      </w:pPr>
      <w:r>
        <w:rPr>
          <w:sz w:val="18"/>
        </w:rPr>
        <w:t>——————————————————————————————————————————————————————————————————————</w:t>
      </w:r>
    </w:p>
    <w:p>
      <w:pPr>
        <w:spacing w:before="160" w:after="40" w:line="240" w:lineRule="auto"/>
      </w:pPr>
      <w:r>
        <w:rPr>
          <w:b/>
        </w:rPr>
        <w:t xml:space="preserve">[88] </w:t>
      </w:r>
      <w:hyperlink r:id="rId574">
        <w:r>
          <w:rPr>
            <w:color w:val="1155CC"/>
            <w:u w:val="single"/>
          </w:rPr>
          <w:t>溶酶体酶的分选和自噬受GGA1诱导的反面高尔基体脂质扰乱调节</w:t>
        </w:r>
      </w:hyperlink>
    </w:p>
    <w:p>
      <w:pPr>
        <w:spacing w:before="0" w:after="80"/>
      </w:pPr>
      <w:r>
        <w:rPr>
          <w:i/>
          <w:sz w:val="20"/>
        </w:rPr>
        <w:t>EN: Sorting of lysosomal enzyme and autophagy are regulated by the GGA1-induced TGN lipid scrambling</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75">
        <w:r>
          <w:rPr>
            <w:color w:val="1155CC"/>
            <w:u w:val="single"/>
          </w:rPr>
          <w:t>10.1126/sciadv.aec4519</w:t>
        </w:r>
      </w:hyperlink>
    </w:p>
    <w:p>
      <w:pPr>
        <w:spacing w:before="0" w:after="120"/>
      </w:pPr>
      <w:r>
        <w:rPr>
          <w:b/>
        </w:rPr>
        <w:t xml:space="preserve">Notes: </w:t>
      </w:r>
      <w:r>
        <w:t>abstract_source=crossref</w:t>
      </w:r>
    </w:p>
    <w:p>
      <w:pPr>
        <w:spacing w:before="0" w:after="80" w:lineRule="auto" w:line="276"/>
      </w:pPr>
      <w:r>
        <w:rPr>
          <w:b/>
        </w:rPr>
        <w:t xml:space="preserve">摘要（ZH）: </w:t>
      </w:r>
      <w:r>
        <w:t>脂质不对称性在胞内膜中的生理作用仍知之甚少。本文表明，通常局限于反式高尔基体网络（TGN）腔内的鞘磷脂（SM），在高尔基体相关蛋白——高尔基体相关含γ-适配蛋白耳结构的腺苷5′-二磷酸核糖基化因子结合蛋白1（GGA1）——的作用下暴露于其细胞质表面。这种暴露由GGA1的GAT结构域驱动，该结构域以依赖膜曲率和胆固醇的方式诱导脂质 scrambling。SM的暴露与甘露糖6-磷酸受体从TGN的出芽过程相吻合，而该过程对溶酶体酶的运输至关重要。此外，SM被转移到自噬膜上，并促进自噬体-溶酶体融合。这些发现揭示了脂质重塑在膜运输和自噬中一项此前未被认识的作用。</w:t>
      </w:r>
    </w:p>
    <w:p>
      <w:pPr>
        <w:spacing w:before="0" w:after="200" w:lineRule="auto" w:line="276"/>
      </w:pPr>
      <w:r>
        <w:rPr>
          <w:b/>
        </w:rPr>
        <w:t xml:space="preserve">Abstract (EN): </w:t>
      </w:r>
      <w:r>
        <w:t>The physiological role of lipid asymmetry in intracellular membranes remains poorly understood. Here, we show that sphingomyelin (SM), typically confined to the lumen of the trans-Golgi network (TGN), is exposed on its cytoplasmic surface by the action of the Golgi-associated protein, Golgi-associated gamma-adaptin ear–containing adenosine 5′-diphosphate–ribosylation factor–binding protein 1 (GGA1). This exposure is driven by the GGA1 GAT domain, which induces lipid scrambling in a manner dependent on membrane curvature and cholesterol. SM exposure coincides with the exit of mannose 6-phosphate receptors from the TGN, a process essential for lysosomal enzyme trafficking. Furthermore, SM is transferred to autophagic membranes, where it facilitates autophagosome-lysosome fusion. These findings reveal a previously unrecognized role for lipid remodeling in membrane trafficking and autophagy.</w:t>
      </w:r>
    </w:p>
    <w:p>
      <w:pPr>
        <w:spacing w:before="120" w:after="120"/>
      </w:pPr>
      <w:r>
        <w:rPr>
          <w:sz w:val="18"/>
        </w:rPr>
        <w:t>——————————————————————————————————————————————————————————————————————</w:t>
      </w:r>
    </w:p>
    <w:p>
      <w:pPr>
        <w:spacing w:before="160" w:after="40" w:line="240" w:lineRule="auto"/>
      </w:pPr>
      <w:r>
        <w:rPr>
          <w:b/>
        </w:rPr>
        <w:t xml:space="preserve">[89] </w:t>
      </w:r>
      <w:hyperlink r:id="rId576">
        <w:r>
          <w:rPr>
            <w:color w:val="1155CC"/>
            <w:u w:val="single"/>
          </w:rPr>
          <w:t>二维材料-聚合物复合材料中界面热阻的可视化：从测量到机理理解</w:t>
        </w:r>
      </w:hyperlink>
    </w:p>
    <w:p>
      <w:pPr>
        <w:spacing w:before="0" w:after="80"/>
      </w:pPr>
      <w:r>
        <w:rPr>
          <w:i/>
          <w:sz w:val="20"/>
        </w:rPr>
        <w:t>EN: Visualizing interfacial thermal resistance in two-dimensional material–polymer composites from measurement to mechanistic understanding</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77">
        <w:r>
          <w:rPr>
            <w:color w:val="1155CC"/>
            <w:u w:val="single"/>
          </w:rPr>
          <w:t>10.1126/sciadv.aei1628</w:t>
        </w:r>
      </w:hyperlink>
    </w:p>
    <w:p>
      <w:pPr>
        <w:spacing w:before="0" w:after="120"/>
      </w:pPr>
      <w:r>
        <w:rPr>
          <w:b/>
        </w:rPr>
        <w:t xml:space="preserve">Notes: </w:t>
      </w:r>
      <w:r>
        <w:t>abstract_source=crossref</w:t>
      </w:r>
    </w:p>
    <w:p>
      <w:pPr>
        <w:spacing w:before="0" w:after="80" w:lineRule="auto" w:line="276"/>
      </w:pPr>
      <w:r>
        <w:rPr>
          <w:b/>
        </w:rPr>
        <w:t xml:space="preserve">摘要（ZH）: </w:t>
      </w:r>
      <w:r>
        <w:t>基于二维（2D）材料的聚合物复合材料因其机械稳健性、电绝缘性和结构可调性而在先进热管理领域具有广阔前景。然而，其有效热导率仍远低于二维填料的本征潜力，这主要是由于填料-聚合物界面处显著的界面热阻（ITR）。这一差距表明，热传输不仅由填料特性决定，还受界面声子传递、局部耦合以及多尺度上的结构不均匀性影响。多尺度模型、分子动力学模拟和第一性原理计算已确定声子谱失配、界面无序、弱键合和非平衡能量传递是跨界面热流的关键限制因素。然而，实验通常依赖空间平均的热学参数，从而掩盖了局部热流路径和依赖于结构的输运行为。基于可视化的方法，包括红外热成像、发光热探针、扫描热显微镜和先进电子显微镜，将宏观热测量与微观界面机制联系起来。这些方法将ITR从一个间接推断的参数转变为空间可分辨、时间可追踪且结构可解释的输运过程。通过将可视化技术与多尺度热输运理论相结合，本综述界定了现有方法的适用长度尺度、机制能力与局限性，并建立了一套</w:t>
      </w:r>
    </w:p>
    <w:p>
      <w:pPr>
        <w:spacing w:before="0" w:after="200" w:lineRule="auto" w:line="276"/>
      </w:pPr>
      <w:r>
        <w:rPr>
          <w:b/>
        </w:rPr>
        <w:t xml:space="preserve">Abstract (EN): </w:t>
      </w:r>
      <w:r>
        <w:t>Two-dimensional (2D) material–based polymer composites are promising for advanced thermal management because of their mechanical robustness, electrical insulation, and structural tunability. However, their effective thermal conductivity remains far below the intrinsic potential of 2D fillers, primarily because of pronounced interfacial thermal resistance (ITR) at filler-polymer interfaces. This disparity indicates that heat transport is governed not only by filler properties but also by interfacial phonon transfer, local coupling, and structural heterogeneity across multiple length scales. Multiscale models, molecular dynamics simulations, and first-principles calculations have identified phonon spectral mismatch, interfacial disorder, weak bonding, and nonequilibrium energy transfer as key limitations on cross-interface heat flow. However, experiments often rely on spatially averaged thermal parameters, obscuring localized heat flow pathways and structure-dependent transport behavior. Visualization-based methods, including infrared thermography, luminescent thermal probes, scanning thermal microscopy, and advanced electron microscopy, bridge macroscopic thermal measurements with microscopic interfacial mechanisms. These approaches recast ITR from an indirectly inferred parameter into a spatially resolved, temporally trackable, and structurally interpretable transport process. By integrating visualization with multiscale thermal transport theory, this review defines the applicable length scales, mechanistic capabilities, and limitations of current methods and establishes a process-level framework for understanding ITR in 2D material–polymer composites. ITR is thus treated as a heterogeneous and structurally tunable phenomenon rather than a fixed scalar quantity. Future progress will depend on correlative, operando, and model-coupled visualization strategies that quantify dynamic interfacial heat transport under realistic conditions and guide rational composite design.</w:t>
      </w:r>
    </w:p>
    <w:p>
      <w:pPr>
        <w:spacing w:before="120" w:after="120"/>
      </w:pPr>
      <w:r>
        <w:rPr>
          <w:sz w:val="18"/>
        </w:rPr>
        <w:t>——————————————————————————————————————————————————————————————————————</w:t>
      </w:r>
    </w:p>
    <w:p>
      <w:pPr>
        <w:spacing w:before="160" w:after="40" w:line="240" w:lineRule="auto"/>
      </w:pPr>
      <w:r>
        <w:rPr>
          <w:b/>
        </w:rPr>
        <w:t xml:space="preserve">[90] </w:t>
      </w:r>
      <w:hyperlink r:id="rId578">
        <w:r>
          <w:rPr>
            <w:color w:val="1155CC"/>
            <w:u w:val="single"/>
          </w:rPr>
          <w:t>可编程蛋白降解剂实现对致病性β-catenin亚群在体外和体内的选择性敲低</w:t>
        </w:r>
      </w:hyperlink>
    </w:p>
    <w:p>
      <w:pPr>
        <w:spacing w:before="0" w:after="80"/>
      </w:pPr>
      <w:r>
        <w:rPr>
          <w:i/>
          <w:sz w:val="20"/>
        </w:rPr>
        <w:t>EN: Programmable protein degraders enable selective knockdown of pathogenic β-catenin subpopulations in vitro and in vivo</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79">
        <w:r>
          <w:rPr>
            <w:color w:val="1155CC"/>
            <w:u w:val="single"/>
          </w:rPr>
          <w:t>10.1126/sciadv.aec8271</w:t>
        </w:r>
      </w:hyperlink>
    </w:p>
    <w:p>
      <w:pPr>
        <w:spacing w:before="0" w:after="120"/>
      </w:pPr>
      <w:r>
        <w:rPr>
          <w:b/>
        </w:rPr>
        <w:t xml:space="preserve">Notes: </w:t>
      </w:r>
      <w:r>
        <w:t>abstract_source=crossref</w:t>
      </w:r>
    </w:p>
    <w:p>
      <w:pPr>
        <w:spacing w:before="0" w:after="80" w:lineRule="auto" w:line="276"/>
      </w:pPr>
      <w:r>
        <w:rPr>
          <w:b/>
        </w:rPr>
        <w:t xml:space="preserve">摘要（ZH）: </w:t>
      </w:r>
      <w:r>
        <w:t>Wnt信号的异常激活导致细胞质中β-catenin的失控性积累，后者随后进入细胞核并促进有助于细胞增殖和恶性肿瘤的基因转录。本研究旨在利用人工设计的泛素化抗体（uAbs）从细胞质中清除致病性β-catenin。uAbs是由E3泛素连接酶和靶标结合结构域组成的嵌合蛋白，可将胞内蛋白引导至蛋白酶体进行降解。为加速uAb的开发，我们利用一种由蛋白质语言模型驱动的算法SaLT&amp;amp;PepPr，通过计算设计对β-catenin具有亲和力的“引导”肽，随后将其与人源E3——Hsp70相互作用蛋白羧基末端（carboxyl terminus of Hsp70-interacting protein）的催化结构域融合。在结直肠癌细胞中表达所得的肽引导uAbs后，我们鉴定出若干设计，可大幅降低细胞质和细胞核中异常稳定的游离β-catenin池，同时保留正常的膜相关亚群。这种对致病性β-catenin的选择性敲低抑制了Wnt/β-catenin信号传导，并损害了肿瘤细胞的存活和增殖。此外，将其中一个最优降解剂以脂质纳米颗粒包封mRNA的形式递送后，可选择性地降低BALB/c小鼠肝脏中细胞质而非膜相关的β-catenin水平。总之，这些发现揭示了uAbs在体外和体内选择性清除异常蛋白的独特能力，并为其他致病蛋白的肽可编程生物调节剂打开了大门</w:t>
      </w:r>
    </w:p>
    <w:p>
      <w:pPr>
        <w:spacing w:before="0" w:after="200" w:lineRule="auto" w:line="276"/>
      </w:pPr>
      <w:r>
        <w:rPr>
          <w:b/>
        </w:rPr>
        <w:t xml:space="preserve">Abstract (EN): </w:t>
      </w:r>
      <w:r>
        <w:t>Aberrant activation of Wnt signaling results in unregulated accumulation of cytosolic β-catenin, which subsequently enters the nucleus and promotes transcription of genes that contribute to cellular proliferation and malignancy. Here, we sought to eliminate pathogenic β-catenin from the cytosol using designer ubiquibodies (uAbs), chimeric proteins composed of an E3 ubiquitin ligase and a target-binding domain that redirect intracellular proteins to the proteasome for degradation. To accelerate uAb development, we leveraged a protein language model–driven algorithm called SaLT&amp;amp;PepPr to computationally design “guide” peptides with affinity for β-catenin, which were subsequently fused to the catalytic domain of a human E3 called carboxyl terminus of Hsp70-interacting protein. Expression of the resulting peptide-guided uAbs in colorectal cancer cells led to the identification of several designs that greatly reduced the abnormally stable pool of free β-catenin in the cytosol and nucleus while preserving the normal membrane–associated subpopulation. This selective knockdown of pathogenic β-catenin suppressed Wnt/β-catenin signaling and impaired tumor cell survival and proliferation. Furthermore, one of the best degraders selectively decreased cytosolic but not membrane-associated β-catenin levels in livers of BALB/c mice following delivery as a lipid nanoparticle–encapsulated mRNA. Collectively, these findings reveal the unique ability of uAbs to selectively deplete abnormal proteins in vitro and in vivo and open the door to peptide-programmable biologic modulators of other disease-causing proteins.</w:t>
      </w:r>
    </w:p>
    <w:p>
      <w:pPr>
        <w:spacing w:before="120" w:after="120"/>
      </w:pPr>
      <w:r>
        <w:rPr>
          <w:sz w:val="18"/>
        </w:rPr>
        <w:t>——————————————————————————————————————————————————————————————————————</w:t>
      </w:r>
    </w:p>
    <w:p>
      <w:pPr>
        <w:spacing w:before="160" w:after="40" w:line="240" w:lineRule="auto"/>
      </w:pPr>
      <w:r>
        <w:rPr>
          <w:b/>
        </w:rPr>
        <w:t xml:space="preserve">[91] </w:t>
      </w:r>
      <w:hyperlink r:id="rId580">
        <w:r>
          <w:rPr>
            <w:color w:val="1155CC"/>
            <w:u w:val="single"/>
          </w:rPr>
          <w:t>新兴的氮驱动城市大气对气溶胶铁溶解的生物地球化学循环调控</w:t>
        </w:r>
      </w:hyperlink>
    </w:p>
    <w:p>
      <w:pPr>
        <w:spacing w:before="0" w:after="80"/>
      </w:pPr>
      <w:r>
        <w:rPr>
          <w:i/>
          <w:sz w:val="20"/>
        </w:rPr>
        <w:t>EN: Emerging nitrogen-driven urban atmosphere control on aerosol iron dissolution for biogeochemical cycles</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81">
        <w:r>
          <w:rPr>
            <w:color w:val="1155CC"/>
            <w:u w:val="single"/>
          </w:rPr>
          <w:t>10.1126/sciadv.aec0108</w:t>
        </w:r>
      </w:hyperlink>
    </w:p>
    <w:p>
      <w:pPr>
        <w:spacing w:before="0" w:after="120"/>
      </w:pPr>
      <w:r>
        <w:rPr>
          <w:b/>
        </w:rPr>
        <w:t xml:space="preserve">Notes: </w:t>
      </w:r>
      <w:r>
        <w:t>abstract_source=crossref</w:t>
      </w:r>
    </w:p>
    <w:p>
      <w:pPr>
        <w:spacing w:before="0" w:after="80" w:lineRule="auto" w:line="276"/>
      </w:pPr>
      <w:r>
        <w:rPr>
          <w:b/>
        </w:rPr>
        <w:t xml:space="preserve">摘要（ZH）: </w:t>
      </w:r>
      <w:r>
        <w:t>铁（Fe）是调节海洋生产力和全球碳循环的关键微量营养元素，然而其在大气中的溶解机制在生物地球化学循环方面仍存争议。长期以来，主流的“铁-硫耦合”范式被用来解释质子促进的溶解过程。然而，二氧化硫相对于氮氧化物排放的不成比例下降，在东亚上空形成了“低硫、高氮”的大气环境，这引发了关于硝酸作用的质疑。在此，我们开发了一个数据驱动框架，利用硝酸盐与硫酸盐酸化容量比（R_N/S）阐明硝酸驱动的铁溶解。结果表明，硝酸盐如今主导着城市气溶胶中铁的溶解，其贡献约为硫酸盐的1.5倍，挑战了长期以来的范式。全球模拟进一步估计，硝酸盐对PM_2.5（直径为2.5 μm的颗粒物）粉尘中铁溶解度相对工业化前水平的增强贡献约68%。这些发现揭示了一种新兴的氮驱动的铁活化控制机制，强调需要在模型中纳入依赖物种的酸化学，以准确表征全球铁循环及其气候反馈。</w:t>
      </w:r>
    </w:p>
    <w:p>
      <w:pPr>
        <w:spacing w:before="0" w:after="200" w:lineRule="auto" w:line="276"/>
      </w:pPr>
      <w:r>
        <w:rPr>
          <w:b/>
        </w:rPr>
        <w:t xml:space="preserve">Abstract (EN): </w:t>
      </w:r>
      <w:r>
        <w:t>Iron (Fe) is a critical micronutrient regulating marine productivity and the global carbon cycle, yet its atmospheric dissolution mechanisms remain debated for biogeochemical cycle. The prevailing “iron-sulfur coupling” paradigm has traditionally explained proton-promoted dissolution. However, disproportionate declines in sulfur dioxide relative to nitrogen oxides emissions have created a “low-sulfur, high-nitrogen” atmosphere over East Asia, raising questions about the role of nitric acid. Here, we develop a data-driven framework to elucidate nitric acid–driven Fe dissolution using the nitrate-to-sulfate acidification capacity ratio (</w:t>
      </w:r>
      <w:r>
        <w:t xml:space="preserve"> </w:t>
      </w:r>
      <w:r>
        <w:t>R</w:t>
      </w:r>
      <w:r>
        <w:t xml:space="preserve"> </w:t>
      </w:r>
      <w:r>
        <w:t>N/S</w:t>
      </w:r>
      <w:r>
        <w:t xml:space="preserve"> </w:t>
      </w:r>
      <w:r>
        <w:t>). Results show that nitrate now dominates urban aerosol Fe dissolution, contributing ∼1.5 times more than sulfate, challenging the long-standing paradigm. Global simulations further estimate that nitrate contributes to ∼68% of the enhancement in Fe solubility in PM</w:t>
      </w:r>
      <w:r>
        <w:t xml:space="preserve"> </w:t>
      </w:r>
      <w:r>
        <w:t>2.5</w:t>
      </w:r>
      <w:r>
        <w:t xml:space="preserve"> </w:t>
      </w:r>
      <w:r>
        <w:t>(particulate matter with a diameter of 2.5 μm) dust relative to preindustrial levels. These findings reveal an emerging nitrogen-driven control on Fe mobilization, emphasizing the need to incorporate species-dependent acid chemistry into models to accurately represent global Fe cycling and its climate feedbacks.</w:t>
      </w:r>
    </w:p>
    <w:p>
      <w:pPr>
        <w:spacing w:before="120" w:after="120"/>
      </w:pPr>
      <w:r>
        <w:rPr>
          <w:sz w:val="18"/>
        </w:rPr>
        <w:t>——————————————————————————————————————————————————————————————————————</w:t>
      </w:r>
    </w:p>
    <w:p>
      <w:pPr>
        <w:spacing w:before="160" w:after="40" w:line="240" w:lineRule="auto"/>
      </w:pPr>
      <w:r>
        <w:rPr>
          <w:b/>
        </w:rPr>
        <w:t xml:space="preserve">[92] </w:t>
      </w:r>
      <w:hyperlink r:id="rId582">
        <w:r>
          <w:rPr>
            <w:color w:val="1155CC"/>
            <w:u w:val="single"/>
          </w:rPr>
          <w:t>强场驱动的亚周期能带结构调制与退相干控制</w:t>
        </w:r>
      </w:hyperlink>
    </w:p>
    <w:p>
      <w:pPr>
        <w:spacing w:before="0" w:after="80"/>
      </w:pPr>
      <w:r>
        <w:rPr>
          <w:i/>
          <w:sz w:val="20"/>
        </w:rPr>
        <w:t>EN: Strong field–driven subcycle band structure modulation and dephasing control</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83">
        <w:r>
          <w:rPr>
            <w:color w:val="1155CC"/>
            <w:u w:val="single"/>
          </w:rPr>
          <w:t>10.1126/sciadv.aeg3966</w:t>
        </w:r>
      </w:hyperlink>
    </w:p>
    <w:p>
      <w:pPr>
        <w:spacing w:before="0" w:after="120"/>
      </w:pPr>
      <w:r>
        <w:rPr>
          <w:b/>
        </w:rPr>
        <w:t xml:space="preserve">Notes: </w:t>
      </w:r>
      <w:r>
        <w:t>abstract_source=crossref</w:t>
      </w:r>
    </w:p>
    <w:p>
      <w:pPr>
        <w:spacing w:before="0" w:after="80" w:lineRule="auto" w:line="276"/>
      </w:pPr>
      <w:r>
        <w:rPr>
          <w:b/>
        </w:rPr>
        <w:t xml:space="preserve">摘要（ZH）: </w:t>
      </w:r>
      <w:r>
        <w:t>在过去十年中，人们利用各种强光-物质相互作用技术（如高次谐波产生）广泛研究了固体中的超快电子动力学。这些研究产生了对强场条件下光-物质相互作用的多种解释，但其确切机制尚未被完全理解。众所周知，强场与晶体固体的相互作用会显著改变其能带结构，从而在超快时间尺度上改变其光学性质。在这项工作中，我们利用非共振非线性光学相互作用展示了氧化镁中超快电场可观测量的测量。利用场观测量，我们表明强激光场可在亚周期时间尺度上调制能带结构，从而改变材料的非线性光学响应。我们使用依赖于场的色散关系进行了含时微扰理论计算以及半导体布洛赫方程计算，两者均与实验观测相符。此外，我们从实时信号电场包络中提取了脉冲衰减时间，并展示了对失相时间的亚周期控制。我们的工作通过电场观测量为固体中强场驱动的电子动力学提供了新视角。所展示的非线性响应的阿秒调制可能对利用非线性光学过程进行量子光产生和量子光谱学具有重要启示。</w:t>
      </w:r>
    </w:p>
    <w:p>
      <w:pPr>
        <w:spacing w:before="0" w:after="200" w:lineRule="auto" w:line="276"/>
      </w:pPr>
      <w:r>
        <w:rPr>
          <w:b/>
        </w:rPr>
        <w:t xml:space="preserve">Abstract (EN): </w:t>
      </w:r>
      <w:r>
        <w:t>Over the past decade, ultrafast electron dynamics in the solid state have been extensively studied using various strong light-matter interaction techniques, such as high-harmonic generation. These studies lead to multiple interpretations of light-matter interaction in the strong-field regime, with exact mechanisms not yet fully understood. It is well known that strong-field interaction with a crystalline solid leads to substantial modification of its band structure and, hence, its optical properties on ultrafast timescales. In this work, we present measurements of ultrafast electric-field observables in magnesium oxide using a nonresonant nonlinear optical interaction. Using field observables, we show that strong laser fields modulate the band structure on subcycle timescales, thereby altering the material’s nonlinear optical response. We perform time-dependent perturbation theory calculations using a field-dependent dispersion relation and semiconductor Bloch equation calculations, both of which agree with experimental observations. Furthermore, we extract pulse decay times from the real-time signal electric field envelope and show subcycle control of dephasing times. Our work offers a new perspective on strong field–driven electron dynamics in solids through electric-field observables. The demonstrated attosecond modulation of the nonlinear response could have important implications for quantum light generation and quantum spectroscopy using nonlinear optical processes.</w:t>
      </w:r>
    </w:p>
    <w:p>
      <w:pPr>
        <w:spacing w:before="120" w:after="120"/>
      </w:pPr>
      <w:r>
        <w:rPr>
          <w:sz w:val="18"/>
        </w:rPr>
        <w:t>——————————————————————————————————————————————————————————————————————</w:t>
      </w:r>
    </w:p>
    <w:p>
      <w:pPr>
        <w:spacing w:before="160" w:after="40" w:line="240" w:lineRule="auto"/>
      </w:pPr>
      <w:r>
        <w:rPr>
          <w:b/>
        </w:rPr>
        <w:t xml:space="preserve">[93] </w:t>
      </w:r>
      <w:hyperlink r:id="rId584">
        <w:r>
          <w:rPr>
            <w:color w:val="1155CC"/>
            <w:u w:val="single"/>
          </w:rPr>
          <w:t>Hi-Cformer实现单细胞Hi-C数据分析的多尺度染色质接触图建模</w:t>
        </w:r>
      </w:hyperlink>
    </w:p>
    <w:p>
      <w:pPr>
        <w:spacing w:before="0" w:after="80"/>
      </w:pPr>
      <w:r>
        <w:rPr>
          <w:i/>
          <w:sz w:val="20"/>
        </w:rPr>
        <w:t>EN: Hi-Cformer enables multiscale chromatin contact map modeling for single-cell Hi-C data analysis</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85">
        <w:r>
          <w:rPr>
            <w:color w:val="1155CC"/>
            <w:u w:val="single"/>
          </w:rPr>
          <w:t>10.1126/sciadv.aeg0134</w:t>
        </w:r>
      </w:hyperlink>
    </w:p>
    <w:p>
      <w:pPr>
        <w:spacing w:before="0" w:after="120"/>
      </w:pPr>
      <w:r>
        <w:rPr>
          <w:b/>
        </w:rPr>
        <w:t xml:space="preserve">Notes: </w:t>
      </w:r>
      <w:r>
        <w:t>abstract_source=crossref</w:t>
      </w:r>
    </w:p>
    <w:p>
      <w:pPr>
        <w:spacing w:before="0" w:after="80" w:lineRule="auto" w:line="276"/>
      </w:pPr>
      <w:r>
        <w:rPr>
          <w:b/>
        </w:rPr>
        <w:t xml:space="preserve">摘要（ZH）: </w:t>
      </w:r>
      <w:r>
        <w:t>单细胞Hi-C能够表征单个细胞中三维染色质组织，但由于极度稀疏以及基因组距离上接触分布不均，其分析仍具挑战性。这些特性导致强烈的近对角线信号和复杂的多尺度相互作用模式，阻碍了有效建模。在此，我们提出Hi-Cformer，一种基于transformer的方法，通过专门设计的注意力机制同时建模单细胞染色质接触图的多尺度区块，以捕获跨基因组区域和跨尺度的依赖关系。Hi-Cformer从稀疏的单细胞Hi-C数据中学习稳健的低维细胞表征，与现有方法相比，能更好地分离细胞类型。此外，Hi-Cformer能准确估算与细胞异质性相关的染色质相互作用信号，包括拓扑关联结构域样边界和A/B区室。借助所学到的嵌入，Hi-Cformer还能在数据集内和数据集间场景下实现准确且稳健的细胞类型注释。</w:t>
      </w:r>
    </w:p>
    <w:p>
      <w:pPr>
        <w:spacing w:before="0" w:after="200" w:lineRule="auto" w:line="276"/>
      </w:pPr>
      <w:r>
        <w:rPr>
          <w:b/>
        </w:rPr>
        <w:t xml:space="preserve">Abstract (EN): </w:t>
      </w:r>
      <w:r>
        <w:t>Single-cell Hi-C enables the characterization of three-dimensional chromatin organization in individual cells but remains challenging to analyze due to extreme sparsity and uneven contact distributions across genomic distances. These properties result in strong near-diagonal signals and complex multiscale interaction patterns that hinder effective modeling. Here, we present Hi-Cformer, a transformer-based method that simultaneously models multiscale blocks of single-cell chromatin contact maps through a specialized attention mechanism designed to capture dependencies across genomic regions and scales. Hi-Cformer learns robust low-dimensional cell representations from sparse single-cell Hi-C data, leading to improved separation of cell types compared to existing methods. In addition, Hi-Cformer accurately imputes chromatin interaction signals associated with cellular heterogeneity, including topologically associating domain-like boundaries and A/B compartments. Leveraging the learned embeddings, Hi-Cformer further enables accurate and robust cell type annotation across both intra- and inter-dataset scenarios.</w:t>
      </w:r>
    </w:p>
    <w:p>
      <w:pPr>
        <w:spacing w:before="120" w:after="120"/>
      </w:pPr>
      <w:r>
        <w:rPr>
          <w:sz w:val="18"/>
        </w:rPr>
        <w:t>——————————————————————————————————————————————————————————————————————</w:t>
      </w:r>
    </w:p>
    <w:p>
      <w:pPr>
        <w:spacing w:before="160" w:after="40" w:line="240" w:lineRule="auto"/>
      </w:pPr>
      <w:r>
        <w:rPr>
          <w:b/>
        </w:rPr>
        <w:t xml:space="preserve">[94] </w:t>
      </w:r>
      <w:hyperlink r:id="rId586">
        <w:r>
          <w:rPr>
            <w:color w:val="1155CC"/>
            <w:u w:val="single"/>
          </w:rPr>
          <w:t>中央复合体对自身运动的表征足以在飞行中计算风向</w:t>
        </w:r>
      </w:hyperlink>
    </w:p>
    <w:p>
      <w:pPr>
        <w:spacing w:before="0" w:after="80"/>
      </w:pPr>
      <w:r>
        <w:rPr>
          <w:i/>
          <w:sz w:val="20"/>
        </w:rPr>
        <w:t>EN: Central complex representations of self-movement are sufficient to compute wind direction in flight</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87">
        <w:r>
          <w:rPr>
            <w:color w:val="1155CC"/>
            <w:u w:val="single"/>
          </w:rPr>
          <w:t>10.1126/sciadv.aeh7220</w:t>
        </w:r>
      </w:hyperlink>
    </w:p>
    <w:p>
      <w:pPr>
        <w:spacing w:before="0" w:after="120"/>
      </w:pPr>
      <w:r>
        <w:rPr>
          <w:b/>
        </w:rPr>
        <w:t xml:space="preserve">Notes: </w:t>
      </w:r>
      <w:r>
        <w:t>abstract_source=crossref</w:t>
      </w:r>
    </w:p>
    <w:p>
      <w:pPr>
        <w:spacing w:before="0" w:after="80" w:lineRule="auto" w:line="276"/>
      </w:pPr>
      <w:r>
        <w:rPr>
          <w:b/>
        </w:rPr>
        <w:t xml:space="preserve">摘要（ZH）: </w:t>
      </w:r>
      <w:r>
        <w:t>飞行中的果蝇能够在飞行中判定环境风向，但何种神经表征可能支持这一行为尚不清楚。作用于飞行果蝇的环境风会产生独特的气流和光流模式。在此，我们利用双光子成像表征了果蝇导航中心（称为PFN）的柱状输入对这两种变量的编码。我们发现许多PFN类型对气流方向和速度具有调谐性，但仅有少数类型对光流方向具有调谐性。我们未观察到对光流速度的调谐。我们构建并验证了一个编码模型，可在真实和模拟飞行机动过程中模拟PFN表征。我们表明，无论在理论上还是使用简单的前馈人工神经网络（ANN），这些表征均足以解码环境风向。我们的工作展示了紧凑的多感官自我运动表征如何可用于推断单一感觉系统无法直接测量的外部世界属性。</w:t>
      </w:r>
    </w:p>
    <w:p>
      <w:pPr>
        <w:spacing w:before="0" w:after="200" w:lineRule="auto" w:line="276"/>
      </w:pPr>
      <w:r>
        <w:rPr>
          <w:b/>
        </w:rPr>
        <w:t xml:space="preserve">Abstract (EN): </w:t>
      </w:r>
      <w:r>
        <w:t>Flying flies can determine ambient wind direction in flight, but what neural representations might support this behavior are unclear. Ambient wind acting on a flying fly creates distinct patterns of airflow and optic flow. Here, we used two-photon imaging to characterize encoding of these two variables across columnar inputs to the fly navigation center, called PFNs. We find tuning for airflow direction and speed across many PFN types but only optic flow direction tuning in limited types. We do not observe tuning to optic flow speed. We build and validate an encoding model that enables simulation of PFN representations during real and simulated flight maneuvers. We show that these representations are sufficient to decode ambient wind direction both theoretically and using a simple feedforward ANN. Our work shows how a compact multisensory representation of self-motion could be used to infer a property of the external world that cannot be directly measured by a single sensory system.</w:t>
      </w:r>
    </w:p>
    <w:p>
      <w:pPr>
        <w:spacing w:before="120" w:after="120"/>
      </w:pPr>
      <w:r>
        <w:rPr>
          <w:sz w:val="18"/>
        </w:rPr>
        <w:t>——————————————————————————————————————————————————————————————————————</w:t>
      </w:r>
    </w:p>
    <w:p>
      <w:pPr>
        <w:spacing w:before="160" w:after="40" w:line="240" w:lineRule="auto"/>
      </w:pPr>
      <w:r>
        <w:rPr>
          <w:b/>
        </w:rPr>
        <w:t xml:space="preserve">[95] </w:t>
      </w:r>
      <w:hyperlink r:id="rId588">
        <w:r>
          <w:rPr>
            <w:color w:val="1155CC"/>
            <w:u w:val="single"/>
          </w:rPr>
          <w:t>SpotMAX：一个用于多维自动斑点检测与定量的通用框架</w:t>
        </w:r>
      </w:hyperlink>
    </w:p>
    <w:p>
      <w:pPr>
        <w:spacing w:before="0" w:after="80"/>
      </w:pPr>
      <w:r>
        <w:rPr>
          <w:i/>
          <w:sz w:val="20"/>
        </w:rPr>
        <w:t>EN: SpotMAX: A generalist framework for multidimensional automatic spot detection and quantification</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89">
        <w:r>
          <w:rPr>
            <w:color w:val="1155CC"/>
            <w:u w:val="single"/>
          </w:rPr>
          <w:t>10.1126/sciadv.adw3811</w:t>
        </w:r>
      </w:hyperlink>
    </w:p>
    <w:p>
      <w:pPr>
        <w:spacing w:before="0" w:after="120"/>
      </w:pPr>
      <w:r>
        <w:rPr>
          <w:b/>
        </w:rPr>
        <w:t xml:space="preserve">Notes: </w:t>
      </w:r>
      <w:r>
        <w:t>abstract_source=crossref</w:t>
      </w:r>
    </w:p>
    <w:p>
      <w:pPr>
        <w:spacing w:before="0" w:after="80" w:lineRule="auto" w:line="276"/>
      </w:pPr>
      <w:r>
        <w:rPr>
          <w:b/>
        </w:rPr>
        <w:t xml:space="preserve">摘要（ZH）: </w:t>
      </w:r>
      <w:r>
        <w:t>点状结构的分析是显微镜图像分析中的一项普遍任务。现有解决方案通常仅针对单一应用，且不利用多维信息，往往使手动标注成为唯一选择。在此，我们提出SpotMAX，一个用于自动化点检测和定量的通用AI辅助框架。SpotMAX可在三维（3D）数据中检测点，并通过易于使用的图形用户界面以及细胞分割和追踪框架充分利用多维数据集的全部信息。在大型3D数据集上的测试表明，SpotMAX优于或与最先进的工具和专家人工标注者相当。我们将SpotMAX应用于多种实验问题，从秀丽隐杆线虫（Caenorhabditis elegans）中的减数分裂交叉事件，到酿酒酵母（Saccharomyces cerevisiae）中的线粒体DNA动力学，再到小鼠干细胞的端粒长度，从而获得了新的生物学见解。凭借将其他AI模型整合到整体分析工作流程中的灵活性，我们预期SpotMAX将成为显微镜数据中点分析的标准。</w:t>
      </w:r>
    </w:p>
    <w:p>
      <w:pPr>
        <w:spacing w:before="0" w:after="200" w:lineRule="auto" w:line="276"/>
      </w:pPr>
      <w:r>
        <w:rPr>
          <w:b/>
        </w:rPr>
        <w:t xml:space="preserve">Abstract (EN): </w:t>
      </w:r>
      <w:r>
        <w:t>The analysis of spot-like structures is a widespread task in microscopy image analysis. Existing solutions are typically specific to single applications and do not use multidimensional information, often leaving manual annotation as the only option. Here, we present SpotMAX, a generalist AI-assisted framework for automated spot detection and quantification. SpotMAX detects spots in three-dimensional (3D) data and leverages the full scope of multidimensional datasets with an easy-to-use graphical user interface and a framework for cell segmentation and tracking. Tested on a large 3D dataset, SpotMAX outperforms or is on par with state-of-the-art tools and expert human annotators. We applied SpotMAX across diverse experimental questions, ranging from meiotic crossover events in</w:t>
      </w:r>
      <w:r>
        <w:t xml:space="preserve"> </w:t>
      </w:r>
      <w:r>
        <w:t>Caenorhabditis elegans</w:t>
      </w:r>
      <w:r>
        <w:t xml:space="preserve"> </w:t>
      </w:r>
      <w:r>
        <w:t>to mitochondrial DNA dynamics in</w:t>
      </w:r>
      <w:r>
        <w:t xml:space="preserve"> </w:t>
      </w:r>
      <w:r>
        <w:t>Saccharomyces cerevisiae</w:t>
      </w:r>
      <w:r>
        <w:t xml:space="preserve"> </w:t>
      </w:r>
      <w:r>
        <w:t>and telomere length in mouse stem cells, leading to new biological insights. With its flexibility in integrating other AI models into a holistic analysis workflow, we anticipate that SpotMAX will become the standard for spot analysis in microscopy data.</w:t>
      </w:r>
    </w:p>
    <w:p>
      <w:pPr>
        <w:spacing w:before="120" w:after="120"/>
      </w:pPr>
      <w:r>
        <w:rPr>
          <w:sz w:val="18"/>
        </w:rPr>
        <w:t>——————————————————————————————————————————————————————————————————————</w:t>
      </w:r>
    </w:p>
    <w:p>
      <w:pPr>
        <w:spacing w:before="160" w:after="40" w:line="240" w:lineRule="auto"/>
      </w:pPr>
      <w:r>
        <w:rPr>
          <w:b/>
        </w:rPr>
        <w:t xml:space="preserve">[96] </w:t>
      </w:r>
      <w:hyperlink r:id="rId590">
        <w:r>
          <w:rPr>
            <w:color w:val="1155CC"/>
            <w:u w:val="single"/>
          </w:rPr>
          <w:t>通过完全共格纳米析出相获得高强度高延性Super Kovar合金</w:t>
        </w:r>
      </w:hyperlink>
    </w:p>
    <w:p>
      <w:pPr>
        <w:spacing w:before="0" w:after="80"/>
      </w:pPr>
      <w:r>
        <w:rPr>
          <w:i/>
          <w:sz w:val="20"/>
        </w:rPr>
        <w:t>EN: A strong and ductile Super Kovar alloy via fully coherent nanoprecipitates</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91">
        <w:r>
          <w:rPr>
            <w:color w:val="1155CC"/>
            <w:u w:val="single"/>
          </w:rPr>
          <w:t>10.1126/sciadv.aeh4562</w:t>
        </w:r>
      </w:hyperlink>
    </w:p>
    <w:p>
      <w:pPr>
        <w:spacing w:before="0" w:after="120"/>
      </w:pPr>
      <w:r>
        <w:rPr>
          <w:b/>
        </w:rPr>
        <w:t xml:space="preserve">Notes: </w:t>
      </w:r>
      <w:r>
        <w:t>abstract_source=crossref</w:t>
      </w:r>
    </w:p>
    <w:p>
      <w:pPr>
        <w:spacing w:before="0" w:after="80" w:lineRule="auto" w:line="276"/>
      </w:pPr>
      <w:r>
        <w:rPr>
          <w:b/>
        </w:rPr>
        <w:t xml:space="preserve">摘要（ZH）: </w:t>
      </w:r>
      <w:r>
        <w:t>新兴的高精度技术要求材料具有卓越的尺寸稳定性和机械鲁棒性，因为即使微观的热机械变形也可能导致功能失效。然而，存在一个根本性的三难困境：高强度、高延展性和低热膨胀相互排斥，因为强化引起的晶格畸变会损害自旋-晶格耦合，而这种耦合对低热膨胀至关重要。在此，我们通过设计“Super Kovar”（一种Fe-Ni-Co-Al-Ta合金，具有完全共格的纳米析出相）克服了这一三难困境。该合金将1.0吉帕的极限抗拉强度和约39%的延伸率与可伐级的3.81 × 10^−6 K^−1（100至410 K）热膨胀统一起来。其关键在于高密度弥散分布的L1_2纳米析出相，它们与铁磁基体形成几乎无应变的共格界面。除了提供析出强化外，这些共格界面还通过弹性耦合抑制纳米析出相的本征声子，同时避免磁畴钉扎以保持基体的因瓦效应。这将析出相的热膨胀降低了56%，并使强度-延展性乘积提升了四倍，为尺寸稳定的超高强度合金确立了新范式。</w:t>
      </w:r>
    </w:p>
    <w:p>
      <w:pPr>
        <w:spacing w:before="0" w:after="200" w:lineRule="auto" w:line="276"/>
      </w:pPr>
      <w:r>
        <w:rPr>
          <w:b/>
        </w:rPr>
        <w:t xml:space="preserve">Abstract (EN): </w:t>
      </w:r>
      <w:r>
        <w:t>Emerging high-precision technologies demand materials with exceptional dimensional stability and mechanical robustness, as even microscopic thermomechanical deformation can cause functional failure. However, a fundamental trilemma exists: High strength, ductility, and low thermal expansion are mutually exclusive, as strengthening-induced lattice distortions compromise the spin-lattice coupling, which is essential for low thermal expansion. Here, we overcome this trilemma by designing “Super Kovar,” an Fe-Ni-Co-Al-Ta alloy, featuring fully coherent nanoprecipitates. It unifies a 1.0-gigapascal ultimate tensile strength and ∼39% elongation with a Kovar-grade thermal expansion of 3.81 × 10</w:t>
      </w:r>
      <w:r>
        <w:t xml:space="preserve"> </w:t>
      </w:r>
      <w:r>
        <w:t>−6</w:t>
      </w:r>
      <w:r>
        <w:t xml:space="preserve"> </w:t>
      </w:r>
      <w:r>
        <w:t>K</w:t>
      </w:r>
      <w:r>
        <w:t xml:space="preserve"> </w:t>
      </w:r>
      <w:r>
        <w:t>−1</w:t>
      </w:r>
      <w:r>
        <w:t xml:space="preserve"> </w:t>
      </w:r>
      <w:r>
        <w:t>(100 to 410 K). The key is a dense dispersion of L1</w:t>
      </w:r>
      <w:r>
        <w:rPr>
          <w:vertAlign w:val="subscript"/>
        </w:rPr>
        <w:t>2</w:t>
      </w:r>
      <w:r>
        <w:t>nanoprecipitates that form an almost strain-free coherent interface with the ferromagnetic matrix. Beyond providing precipitation strengthening, these coherent interfaces suppress intrinsic phonons of nanoprecipitates via elastic coupling while avoiding magnetic domain pinning to preserve the Invar effect of the matrix. This reduces the thermal expansion of the precipitates by 56% and achieves a fourfold enhancement in the strength-ductility product, establishing a paradigm for dimensionally stable, ultrastrong alloys.</w:t>
      </w:r>
    </w:p>
    <w:p>
      <w:pPr>
        <w:spacing w:before="120" w:after="120"/>
      </w:pPr>
      <w:r>
        <w:rPr>
          <w:sz w:val="18"/>
        </w:rPr>
        <w:t>——————————————————————————————————————————————————————————————————————</w:t>
      </w:r>
    </w:p>
    <w:p>
      <w:pPr>
        <w:spacing w:before="160" w:after="40" w:line="240" w:lineRule="auto"/>
      </w:pPr>
      <w:r>
        <w:rPr>
          <w:b/>
        </w:rPr>
        <w:t xml:space="preserve">[97] </w:t>
      </w:r>
      <w:hyperlink r:id="rId592">
        <w:r>
          <w:rPr>
            <w:color w:val="1155CC"/>
            <w:u w:val="single"/>
          </w:rPr>
          <w:t>一种自触发且完全可持续的胃内装置，可实现大分子的长效口服递送</w:t>
        </w:r>
      </w:hyperlink>
    </w:p>
    <w:p>
      <w:pPr>
        <w:spacing w:before="0" w:after="80"/>
      </w:pPr>
      <w:r>
        <w:rPr>
          <w:i/>
          <w:sz w:val="20"/>
        </w:rPr>
        <w:t>EN: A self-triggering and fully sustainable gastric device enabling long-acting oral delivery of macromolecules</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93">
        <w:r>
          <w:rPr>
            <w:color w:val="1155CC"/>
            <w:u w:val="single"/>
          </w:rPr>
          <w:t>10.1126/sciadv.aef9186</w:t>
        </w:r>
      </w:hyperlink>
    </w:p>
    <w:p>
      <w:pPr>
        <w:spacing w:before="0" w:after="120"/>
      </w:pPr>
      <w:r>
        <w:rPr>
          <w:b/>
        </w:rPr>
        <w:t xml:space="preserve">Notes: </w:t>
      </w:r>
      <w:r>
        <w:t>abstract_source=crossref</w:t>
      </w:r>
    </w:p>
    <w:p>
      <w:pPr>
        <w:spacing w:before="0" w:after="80" w:lineRule="auto" w:line="276"/>
      </w:pPr>
      <w:r>
        <w:rPr>
          <w:b/>
        </w:rPr>
        <w:t xml:space="preserve">摘要（ZH）: </w:t>
      </w:r>
      <w:r>
        <w:t>大分子治疗药物的长效口服递送仍然困难，因为大多数口服递送装置专注于改善胃肠道吸收，但未能充分解决持续药物释放和频繁给药的问题。与此同时，许多胃滞留系统依赖不可降解的结构组件，引发了关于残留装置负担和使用后医疗废弃物的担忧。在此，我们报告了一种用于长效药物递送的可生物降解口服胶囊装置，称为可持续胃自触发装置（sustainable gastric self-triggered device, SGSTD），其灵感来源于意大利蜜蜂（Apis mellifera）的蜇刺机制。到达胃部后，SGSTD自主向胃壁释出一枚可生物降解的带倒刺载药微针，而其余载体随后被排出体外，从而建立了一种用于长效胃内递送的仿生“释放—分离”策略。植入的微针通过微通道介导实现持续释放，且释放行为可在结构上进行调控。离体和在体猪实验研究证实了胃内部署、组织滞留、全身安全性以及插入区域周围的局部组织修复。在体实验中，SGSTD维持胰岛素递送超过7天，相对生物利用度达63.8%，约为常规口服给药的17.2倍。SGSTD具有成本低、可规模化且由可生物降解材料组成的特点，为长效口服生物制剂递送提供了一种可持续策略。</w:t>
      </w:r>
    </w:p>
    <w:p>
      <w:pPr>
        <w:spacing w:before="0" w:after="200" w:lineRule="auto" w:line="276"/>
      </w:pPr>
      <w:r>
        <w:rPr>
          <w:b/>
        </w:rPr>
        <w:t xml:space="preserve">Abstract (EN): </w:t>
      </w:r>
      <w:r>
        <w:t>Long-acting oral delivery of macromolecular therapeutics remains difficult, as most oral delivery devices focus on improving gastrointestinal absorption but do not adequately address sustained drug release and frequent dosing. In parallel, many gastric-retentive systems rely on nondegradable structural components, raising concerns regarding retained-device burden and postuse medical waste. Here, we report a biodegradable oral capsule device for long-lasting drug delivery, termed the sustainable gastric self-triggered device (SGSTD), inspired by the stinging mechanism of</w:t>
      </w:r>
      <w:r>
        <w:t xml:space="preserve"> </w:t>
      </w:r>
      <w:r>
        <w:t>Apis mellifera</w:t>
      </w:r>
      <w:r>
        <w:t xml:space="preserve"> </w:t>
      </w:r>
      <w:r>
        <w:t>. After reaching the stomach, SGSTD autonomously deploys a biodegradable barbed drug-loaded needle into the gastric wall, while the remaining carrier body is subsequently excreted, establishing a bioinspired “deploy-and-separate” strategy for long-acting gastric delivery. The embedded needle enables microchannel-mediated sustained release, with structurally tunable release behavior. Ex vivo and in vivo porcine studies confirmed gastric deployment, tissue retention, systemic safety, and localized tissue repair around the insertion region. In vivo, SGSTD maintained insulin delivery for over 7 days, achieving a relative bioavailability of 63.8%, approximately 17.2-fold higher than conventional oral administration. SGSTD is cost-effective, scalable, and composed of biodegradable materials, providing a sustainable strategy for long-acting oral biologics delivery.</w:t>
      </w:r>
    </w:p>
    <w:p>
      <w:pPr>
        <w:spacing w:before="120" w:after="120"/>
      </w:pPr>
      <w:r>
        <w:rPr>
          <w:sz w:val="18"/>
        </w:rPr>
        <w:t>——————————————————————————————————————————————————————————————————————</w:t>
      </w:r>
    </w:p>
    <w:p>
      <w:pPr>
        <w:spacing w:before="160" w:after="40" w:line="240" w:lineRule="auto"/>
      </w:pPr>
      <w:r>
        <w:rPr>
          <w:b/>
        </w:rPr>
        <w:t xml:space="preserve">[98] </w:t>
      </w:r>
      <w:hyperlink r:id="rId594">
        <w:r>
          <w:rPr>
            <w:color w:val="1155CC"/>
            <w:u w:val="single"/>
          </w:rPr>
          <w:t>O-糖基化扩展蛋白ThSWO凝聚体驱动哈茨木霉在定殖过程中对水稻根的附着</w:t>
        </w:r>
      </w:hyperlink>
    </w:p>
    <w:p>
      <w:pPr>
        <w:spacing w:before="0" w:after="80"/>
      </w:pPr>
      <w:r>
        <w:rPr>
          <w:i/>
          <w:sz w:val="20"/>
        </w:rPr>
        <w:t>EN: O-Glycosylated expansin ThSWO condensates drive Trichoderma harzianum attachment to rice root during the colonization process</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95">
        <w:r>
          <w:rPr>
            <w:color w:val="1155CC"/>
            <w:u w:val="single"/>
          </w:rPr>
          <w:t>10.1126/sciadv.aef7536</w:t>
        </w:r>
      </w:hyperlink>
    </w:p>
    <w:p>
      <w:pPr>
        <w:spacing w:before="0" w:after="120"/>
      </w:pPr>
      <w:r>
        <w:rPr>
          <w:b/>
        </w:rPr>
        <w:t xml:space="preserve">Notes: </w:t>
      </w:r>
      <w:r>
        <w:t>abstract_source=crossref</w:t>
      </w:r>
    </w:p>
    <w:p>
      <w:pPr>
        <w:spacing w:before="0" w:after="80" w:lineRule="auto" w:line="276"/>
      </w:pPr>
      <w:r>
        <w:rPr>
          <w:b/>
        </w:rPr>
        <w:t xml:space="preserve">摘要（ZH）: </w:t>
      </w:r>
      <w:r>
        <w:t>扩张蛋白和凝集素促进微生物定殖，但它们在不同定殖阶段的协同机制仍不清楚，且真菌通过这些蛋白进行根部附着尚需进一步探索。本研究提出一种真菌早期定殖假说：哈茨木霉（Trichoderma harzianum）利用ThSWO-ThFFSL复合物促进菌丝附着于水稻根部。结果表明，ThSWO松散水稻细胞壁纤维素，并通过其内在无序区（IDR）和广泛的O-糖基化形成生物分子凝聚体。这些凝聚体通过岩藻糖残基特异性招募真菌岩藻糖结合凝集素ThFFSL，二者共定位于根表面细胞壁缝隙中。定位后，ThFFSL引导菌丝生长并增强黏附，促进真菌在缝隙内附着。附着后，T. harzianum分泌一种O-糖苷酶使ThSWO去糖基化，解离该复合物并减轻对根细胞壁的损伤。定殖实验证实ThSWO-ThFFSL的协同作用对高效定殖至关重要。本研究揭示了由蛋白质凝聚体和糖基化修饰驱动的真菌定殖早期附着阶段</w:t>
      </w:r>
    </w:p>
    <w:p>
      <w:pPr>
        <w:spacing w:before="0" w:after="200" w:lineRule="auto" w:line="276"/>
      </w:pPr>
      <w:r>
        <w:rPr>
          <w:b/>
        </w:rPr>
        <w:t xml:space="preserve">Abstract (EN): </w:t>
      </w:r>
      <w:r>
        <w:t>Expansins and lectins facilitate microbial colonization, but their collaborative mechanisms across different colonization stages remain unclear, and fungal root attachment via these proteins requires further exploration. This study proposes a fungal early colonization hypothesis:</w:t>
      </w:r>
      <w:r>
        <w:t xml:space="preserve"> </w:t>
      </w:r>
      <w:r>
        <w:t>Trichoderma harzianum</w:t>
      </w:r>
      <w:r>
        <w:t xml:space="preserve"> </w:t>
      </w:r>
      <w:r>
        <w:t>uses the</w:t>
      </w:r>
      <w:r>
        <w:t xml:space="preserve"> </w:t>
      </w:r>
      <w:r>
        <w:t>Th</w:t>
      </w:r>
      <w:r>
        <w:t xml:space="preserve"> </w:t>
      </w:r>
      <w:r>
        <w:t>SWO-</w:t>
      </w:r>
      <w:r>
        <w:t>Th</w:t>
      </w:r>
      <w:r>
        <w:t xml:space="preserve"> </w:t>
      </w:r>
      <w:r>
        <w:t>FFSL complex to promote hyphal attachment to rice roots. The results show that</w:t>
      </w:r>
      <w:r>
        <w:t xml:space="preserve"> </w:t>
      </w:r>
      <w:r>
        <w:t>Th</w:t>
      </w:r>
      <w:r>
        <w:t xml:space="preserve"> </w:t>
      </w:r>
      <w:r>
        <w:t>SWO loosens rice cell wall cellulose and forms biomolecular condensates via its intrinsically disordered region (IDR) and extensive O-glycosylation. These condensates specifically recruit the fungal fucose-binding lectin</w:t>
      </w:r>
      <w:r>
        <w:t xml:space="preserve"> </w:t>
      </w:r>
      <w:r>
        <w:t>Th</w:t>
      </w:r>
      <w:r>
        <w:t xml:space="preserve"> </w:t>
      </w:r>
      <w:r>
        <w:t>FFSL through fucose residues, and both colocalize in root surface cell wall crevices. After localization,</w:t>
      </w:r>
      <w:r>
        <w:t xml:space="preserve"> </w:t>
      </w:r>
      <w:r>
        <w:t>Th</w:t>
      </w:r>
      <w:r>
        <w:t xml:space="preserve"> </w:t>
      </w:r>
      <w:r>
        <w:t>FFSL guides hyphal growth and enhances adhesion, promoting fungal attachment within the crevices. Postattachment,</w:t>
      </w:r>
      <w:r>
        <w:t xml:space="preserve"> </w:t>
      </w:r>
      <w:r>
        <w:t>T. harzianum</w:t>
      </w:r>
      <w:r>
        <w:t xml:space="preserve"> </w:t>
      </w:r>
      <w:r>
        <w:t>secretes an O-glycosidase to deglycosylate</w:t>
      </w:r>
      <w:r>
        <w:t xml:space="preserve"> </w:t>
      </w:r>
      <w:r>
        <w:t>Th</w:t>
      </w:r>
      <w:r>
        <w:t xml:space="preserve"> </w:t>
      </w:r>
      <w:r>
        <w:t>SWO, dissociating the complex and mitigating root cell wall damage. Colonization assays confirm that</w:t>
      </w:r>
      <w:r>
        <w:t xml:space="preserve"> </w:t>
      </w:r>
      <w:r>
        <w:t>Th</w:t>
      </w:r>
      <w:r>
        <w:t xml:space="preserve"> </w:t>
      </w:r>
      <w:r>
        <w:t>SWO-</w:t>
      </w:r>
      <w:r>
        <w:t>Th</w:t>
      </w:r>
      <w:r>
        <w:t xml:space="preserve"> </w:t>
      </w:r>
      <w:r>
        <w:t>FFSL synergy is crucial for efficient colonization. This study reveals an early attachment phase in fungal colonization driven by protein condensates and glycosylation modifications.</w:t>
      </w:r>
    </w:p>
    <w:p>
      <w:pPr>
        <w:spacing w:before="120" w:after="120"/>
      </w:pPr>
      <w:r>
        <w:rPr>
          <w:sz w:val="18"/>
        </w:rPr>
        <w:t>——————————————————————————————————————————————————————————————————————</w:t>
      </w:r>
    </w:p>
    <w:p>
      <w:pPr>
        <w:spacing w:before="160" w:after="40" w:line="240" w:lineRule="auto"/>
      </w:pPr>
      <w:r>
        <w:rPr>
          <w:b/>
        </w:rPr>
        <w:t xml:space="preserve">[99] </w:t>
      </w:r>
      <w:hyperlink r:id="rId596">
        <w:r>
          <w:rPr>
            <w:color w:val="1155CC"/>
            <w:u w:val="single"/>
          </w:rPr>
          <w:t>Cdr1的冷冻电镜结构揭示底物转运及多种抑制剂识别的快照</w:t>
        </w:r>
      </w:hyperlink>
    </w:p>
    <w:p>
      <w:pPr>
        <w:spacing w:before="0" w:after="80"/>
      </w:pPr>
      <w:r>
        <w:rPr>
          <w:i/>
          <w:sz w:val="20"/>
        </w:rPr>
        <w:t>EN: Cryo-EM structures of Cdr1 reveal snapshots of substrate transport and diverse inhibitor recognition</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97">
        <w:r>
          <w:rPr>
            <w:color w:val="1155CC"/>
            <w:u w:val="single"/>
          </w:rPr>
          <w:t>10.1126/sciadv.aef7706</w:t>
        </w:r>
      </w:hyperlink>
    </w:p>
    <w:p>
      <w:pPr>
        <w:spacing w:before="0" w:after="120"/>
      </w:pPr>
      <w:r>
        <w:rPr>
          <w:b/>
        </w:rPr>
        <w:t xml:space="preserve">Notes: </w:t>
      </w:r>
      <w:r>
        <w:t>abstract_source=crossref</w:t>
      </w:r>
    </w:p>
    <w:p>
      <w:pPr>
        <w:spacing w:before="0" w:after="80" w:lineRule="auto" w:line="276"/>
      </w:pPr>
      <w:r>
        <w:rPr>
          <w:b/>
        </w:rPr>
        <w:t xml:space="preserve">摘要（ZH）: </w:t>
      </w:r>
      <w:r>
        <w:t>在白色念珠菌（Candida albicans）——世界卫生组织真菌优先病原体——中，腺苷三磷酸（ATP）结合盒转运蛋白Cdr1的过表达驱动多药耐药性。我们展示了七个捕获底物进入和排出的冷冻电子显微镜结构。一个面向胞内的跨膜通道具有三个开关式底物结合位点，界定了单个底物分子的假定进入通路。ATP协调结合到两个核苷酸结合域诱导跨膜结构域闭合，驱动底物排出；ATP水解后腺苷二磷酸的释放使转运蛋白复位为内向开放构象，使底物得以进入下一个转运循环。与三种结构多样的抑制剂结合的结构解析出两种不同的结合模式：一种占据全部三个底物位点，另一种特异性结合两个近胞外位点。这些发现提供了底物转运循环的快照以及抗真菌药物设计的结构蓝图。</w:t>
      </w:r>
    </w:p>
    <w:p>
      <w:pPr>
        <w:spacing w:before="0" w:after="200" w:lineRule="auto" w:line="276"/>
      </w:pPr>
      <w:r>
        <w:rPr>
          <w:b/>
        </w:rPr>
        <w:t xml:space="preserve">Abstract (EN): </w:t>
      </w:r>
      <w:r>
        <w:t>In</w:t>
      </w:r>
      <w:r>
        <w:t xml:space="preserve"> </w:t>
      </w:r>
      <w:r>
        <w:t>Candida albicans</w:t>
      </w:r>
      <w:r>
        <w:t xml:space="preserve"> </w:t>
      </w:r>
      <w:r>
        <w:t>—a World Health Organization fungal priority pathogen—overexpression of the adenosine triphosphate (ATP)–binding cassette transporter Cdr1 drives multidrug resistance. We present seven cryo–electron microscopy structures capturing substrate entry and expulsion. An inward-facing transmembrane channel with three on-off substrate binding sites defines a proposed entry pathway for a single substrate molecule. Coordinated ATP binding to both nucleotide-binding domains induces transmembrane domain closure, driving the substrate expulsion; adenosine diphosphate release following ATP hydrolysis resets the transporter to an inward-open conformation, enabling substrate entry for the next translocation cycle. Structures with three structurally diverse inhibitors resolve two distinct binding modes: one occupying all three substrate sites and another specifically binding two extracellular-proximal sites. These findings provide snapshots of the substrate translocation cycle and structural blueprints for antifungal drug design.</w:t>
      </w:r>
    </w:p>
    <w:p>
      <w:pPr>
        <w:spacing w:before="120" w:after="120"/>
      </w:pPr>
      <w:r>
        <w:rPr>
          <w:sz w:val="18"/>
        </w:rPr>
        <w:t>——————————————————————————————————————————————————————————————————————</w:t>
      </w:r>
    </w:p>
    <w:p>
      <w:pPr>
        <w:spacing w:before="160" w:after="40" w:line="240" w:lineRule="auto"/>
      </w:pPr>
      <w:r>
        <w:rPr>
          <w:b/>
        </w:rPr>
        <w:t xml:space="preserve">[100] </w:t>
      </w:r>
      <w:hyperlink r:id="rId598">
        <w:r>
          <w:rPr>
            <w:color w:val="1155CC"/>
            <w:u w:val="single"/>
          </w:rPr>
          <w:t>通过活性碳解锁土壤一氧化二氮汇</w:t>
        </w:r>
      </w:hyperlink>
    </w:p>
    <w:p>
      <w:pPr>
        <w:spacing w:before="0" w:after="80"/>
      </w:pPr>
      <w:r>
        <w:rPr>
          <w:i/>
          <w:sz w:val="20"/>
        </w:rPr>
        <w:t>EN: Unlocking soil nitrous oxide sink through labile carbon</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599">
        <w:r>
          <w:rPr>
            <w:color w:val="1155CC"/>
            <w:u w:val="single"/>
          </w:rPr>
          <w:t>10.1126/sciadv.aef6792</w:t>
        </w:r>
      </w:hyperlink>
    </w:p>
    <w:p>
      <w:pPr>
        <w:spacing w:before="0" w:after="120"/>
      </w:pPr>
      <w:r>
        <w:rPr>
          <w:b/>
        </w:rPr>
        <w:t xml:space="preserve">Notes: </w:t>
      </w:r>
      <w:r>
        <w:t>abstract_source=crossref</w:t>
      </w:r>
    </w:p>
    <w:p>
      <w:pPr>
        <w:spacing w:before="0" w:after="80" w:lineRule="auto" w:line="276"/>
      </w:pPr>
      <w:r>
        <w:rPr>
          <w:b/>
        </w:rPr>
        <w:t xml:space="preserve">摘要（ZH）: </w:t>
      </w:r>
      <w:r>
        <w:t>氧化亚氮（N2O）是一种强效温室气体和主要的臭氧消耗物质，主要从土壤排放。理解大气到土壤的N2O吸收对于利用土壤的天然汇潜力至关重要，但其定量和机制驱动因素仍缺乏充分约束。在此，我们利用15N2O库稀释法解析了N2O总排放和总吸收，揭示了中国五种农田土壤以及活性碳改良土壤中的关键驱动因素。其中，N2O总吸收与总排放的比值——由土壤活性碳与无机氮[溶解有机碳/溶解无机氮（DOC/DIN）]比值驱动——表现出显著变异性（0.28至0.79），揭示了一个强大但此前被低估的调节净N2O通量的杠杆。在机制上，升高的DOC/DIN比值通过增加电子供应、刺激耗氧呼吸以及增强nosZ基因丰度促进完全反硝化，实现高达51%的N2O减排。我们的发现强调土壤是动态的N2O调节者，并提出碳氮耦合调控框架，其中活性碳发挥关键作用</w:t>
      </w:r>
    </w:p>
    <w:p>
      <w:pPr>
        <w:spacing w:before="0" w:after="200" w:lineRule="auto" w:line="276"/>
      </w:pPr>
      <w:r>
        <w:rPr>
          <w:b/>
        </w:rPr>
        <w:t xml:space="preserve">Abstract (EN): </w:t>
      </w:r>
      <w:r>
        <w:t>Nitrous oxide (N</w:t>
      </w:r>
      <w:r>
        <w:rPr>
          <w:vertAlign w:val="subscript"/>
        </w:rPr>
        <w:t>2</w:t>
      </w:r>
      <w:r>
        <w:t>O), a potent greenhouse gas and the dominant ozone-depleting substance, is primarily emitted from soils. Understanding atmosphere-to-soil N</w:t>
      </w:r>
      <w:r>
        <w:rPr>
          <w:vertAlign w:val="subscript"/>
        </w:rPr>
        <w:t>2</w:t>
      </w:r>
      <w:r>
        <w:t>O uptake is crucial for harnessing the soil’s natural sink potential, yet its quantification and mechanistic drivers remain poorly constrained. Here, we disentangled gross N</w:t>
      </w:r>
      <w:r>
        <w:rPr>
          <w:vertAlign w:val="subscript"/>
        </w:rPr>
        <w:t>2</w:t>
      </w:r>
      <w:r>
        <w:t>O emission and uptake using the</w:t>
      </w:r>
      <w:r>
        <w:rPr>
          <w:vertAlign w:val="subscript"/>
        </w:rPr>
        <w:t>15</w:t>
      </w:r>
      <w:r>
        <w:t>N</w:t>
      </w:r>
      <w:r>
        <w:rPr>
          <w:vertAlign w:val="subscript"/>
        </w:rPr>
        <w:t>2</w:t>
      </w:r>
      <w:r>
        <w:t>O pool dilution method, revealing key drivers in five cropland soils across China and in labile carbon–amended soils. In particular, the ratio of gross N</w:t>
      </w:r>
      <w:r>
        <w:rPr>
          <w:vertAlign w:val="subscript"/>
        </w:rPr>
        <w:t>2</w:t>
      </w:r>
      <w:r>
        <w:t>O uptake to emission—driven by the soil labile carbon to inorganic nitrogen [dissolved organic carbon/dissolved inorganic nitrogen (DOC/DIN)] ratio—showed pronounced variability (0.28 to 0.79), revealing a powerful but previously underestimated lever for regulating net N</w:t>
      </w:r>
      <w:r>
        <w:rPr>
          <w:vertAlign w:val="subscript"/>
        </w:rPr>
        <w:t>2</w:t>
      </w:r>
      <w:r>
        <w:t>O fluxes. Mechanistically, an elevated DOC/DIN ratio promoted complete denitrification by increasing electron supply, stimulating oxygen-depleting respiration, and enhancing</w:t>
      </w:r>
      <w:r>
        <w:t xml:space="preserve"> </w:t>
      </w:r>
      <w:r>
        <w:t>nosZ</w:t>
      </w:r>
      <w:r>
        <w:t xml:space="preserve"> </w:t>
      </w:r>
      <w:r>
        <w:t>gene abundance, achieving up to 51% N</w:t>
      </w:r>
      <w:r>
        <w:rPr>
          <w:vertAlign w:val="subscript"/>
        </w:rPr>
        <w:t>2</w:t>
      </w:r>
      <w:r>
        <w:t>O mitigation. Our findings underscore soils as dynamic N</w:t>
      </w:r>
      <w:r>
        <w:rPr>
          <w:vertAlign w:val="subscript"/>
        </w:rPr>
        <w:t>2</w:t>
      </w:r>
      <w:r>
        <w:t>O regulators and propose a carbon-nitrogen–coupled regulation framework, where labile carbon plays a critical role in regulating N</w:t>
      </w:r>
      <w:r>
        <w:rPr>
          <w:vertAlign w:val="subscript"/>
        </w:rPr>
        <w:t>2</w:t>
      </w:r>
      <w:r>
        <w:t>O dynamics.</w:t>
      </w:r>
    </w:p>
    <w:p>
      <w:pPr>
        <w:spacing w:before="120" w:after="120"/>
      </w:pPr>
      <w:r>
        <w:rPr>
          <w:sz w:val="18"/>
        </w:rPr>
        <w:t>——————————————————————————————————————————————————————————————————————</w:t>
      </w:r>
    </w:p>
    <w:p>
      <w:pPr>
        <w:spacing w:before="160" w:after="40" w:line="240" w:lineRule="auto"/>
      </w:pPr>
      <w:r>
        <w:rPr>
          <w:b/>
        </w:rPr>
        <w:t xml:space="preserve">[101] </w:t>
      </w:r>
      <w:hyperlink r:id="rId600">
        <w:r>
          <w:rPr>
            <w:color w:val="1155CC"/>
            <w:u w:val="single"/>
          </w:rPr>
          <w:t>发育中叶片的渐进氧合指导形态发生</w:t>
        </w:r>
      </w:hyperlink>
    </w:p>
    <w:p>
      <w:pPr>
        <w:spacing w:before="0" w:after="80"/>
      </w:pPr>
      <w:r>
        <w:rPr>
          <w:i/>
          <w:sz w:val="20"/>
        </w:rPr>
        <w:t>EN: Progressive oxygenation of developing leaves directs morphogenesis</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601">
        <w:r>
          <w:rPr>
            <w:color w:val="1155CC"/>
            <w:u w:val="single"/>
          </w:rPr>
          <w:t>10.1126/sciadv.aef2430</w:t>
        </w:r>
      </w:hyperlink>
    </w:p>
    <w:p>
      <w:pPr>
        <w:spacing w:before="0" w:after="120"/>
      </w:pPr>
      <w:r>
        <w:rPr>
          <w:b/>
        </w:rPr>
        <w:t xml:space="preserve">Notes: </w:t>
      </w:r>
      <w:r>
        <w:t>abstract_source=crossref</w:t>
      </w:r>
    </w:p>
    <w:p>
      <w:pPr>
        <w:spacing w:before="0" w:after="80" w:lineRule="auto" w:line="276"/>
      </w:pPr>
      <w:r>
        <w:rPr>
          <w:b/>
        </w:rPr>
        <w:t xml:space="preserve">摘要（ZH）: </w:t>
      </w:r>
      <w:r>
        <w:t>氧的可获得性是多细胞生物能量产生的基础，然而植物和动物体内都会形成氧梯度。植物通过N-degron通路的植物半胱氨酸氧化酶分支感知这些变化，该分支调控关键转录因子的稳定性。该通路最初与代谢控制相关，最近则成为发育调节因子。虽然茎尖分生组织已被证明处于低氧状态，但源于这一低氧生态位的器官的氧动态仍不清楚。在此，我们表明发育中的叶片形成时空性氧梯度，并通过氧感知机制被感知。该通路整合局部氧的可获得性以调控叶片形态建成：早期低氧限制细胞扩展，而随后的由远端至近端的复氧耗竭第VII族乙烯响应因子，使特化细胞命运的获得得以实现并控制增殖。我们的发现揭示氧在正常生长中作为位置线索，引导发育轨迹。这突显了利用氧梯度和氧感知来指导植物形态与功能的机会。</w:t>
      </w:r>
    </w:p>
    <w:p>
      <w:pPr>
        <w:spacing w:before="0" w:after="200" w:lineRule="auto" w:line="276"/>
      </w:pPr>
      <w:r>
        <w:rPr>
          <w:b/>
        </w:rPr>
        <w:t xml:space="preserve">Abstract (EN): </w:t>
      </w:r>
      <w:r>
        <w:t>Oxygen availability underpins energy production in multicellular organisms, yet internal oxygen gradients arise in both plants and animals. Plants sense these variations via the plant cysteine oxidase branch of the N-degron pathway, which regulates the stability of key transcription factors. Originally linked to metabolic control, this pathway recently emerged as a development regulator. While the shoot apical meristem was shown to be hypoxic, the oxygen dynamics of organs originating from this low-oxygen niche remain unknown. Here, we show that developing leaves form a spatiotemporal oxygen gradient that is sensed through the oxygen-sensing machinery. This pathway integrates local oxygen availability to regulate leaf morphogenesis: Early hypoxia restricts cell expansion, whereas subsequent distal-to-proximal oxygenation depletes group VII ethylene response factors enabling specialized cell-fate acquisition and controlling proliferation. Our findings reveal that oxygen acts as a positional cue in normal growth, guiding developmental trajectories. This highlights opportunities to harness oxygen gradients and sensing to direct plant form and function.</w:t>
      </w:r>
    </w:p>
    <w:p>
      <w:pPr>
        <w:spacing w:before="120" w:after="120"/>
      </w:pPr>
      <w:r>
        <w:rPr>
          <w:sz w:val="18"/>
        </w:rPr>
        <w:t>——————————————————————————————————————————————————————————————————————</w:t>
      </w:r>
    </w:p>
    <w:p>
      <w:pPr>
        <w:spacing w:before="160" w:after="40" w:line="240" w:lineRule="auto"/>
      </w:pPr>
      <w:r>
        <w:rPr>
          <w:b/>
        </w:rPr>
        <w:t xml:space="preserve">[102] </w:t>
      </w:r>
      <w:hyperlink r:id="rId602">
        <w:r>
          <w:rPr>
            <w:color w:val="1155CC"/>
            <w:u w:val="single"/>
          </w:rPr>
          <w:t>Sireci等人论文更正：环境波动解释了物种丰度相关性与系统发育距离的普遍衰减</w:t>
        </w:r>
      </w:hyperlink>
    </w:p>
    <w:p>
      <w:pPr>
        <w:spacing w:before="0" w:after="80"/>
      </w:pPr>
      <w:r>
        <w:rPr>
          <w:i/>
          <w:sz w:val="20"/>
        </w:rPr>
        <w:t>EN: Correction for Sireci et al., Environmental fluctuations explain the universal decay of species-abundance correlations with phylogenetic distance</w:t>
      </w:r>
    </w:p>
    <w:p>
      <w:pPr>
        <w:spacing w:before="0" w:after="120"/>
      </w:pPr>
      <w:r>
        <w:rPr>
          <w:b/>
        </w:rPr>
        <w:t xml:space="preserve">Source: </w:t>
      </w:r>
      <w:r>
        <w:t>Proceedings of the National Academy of Sciences: Keyword search for query</w:t>
      </w:r>
      <w:r>
        <w:t xml:space="preserve">    </w:t>
      </w:r>
      <w:r>
        <w:rPr>
          <w:b/>
        </w:rPr>
        <w:t xml:space="preserve">Pub date: </w:t>
      </w:r>
      <w:r>
        <w:t>2026-08-28 07:00:00+00:00</w:t>
      </w:r>
      <w:r>
        <w:t xml:space="preserve">    </w:t>
      </w:r>
      <w:r>
        <w:rPr>
          <w:b/>
        </w:rPr>
        <w:t xml:space="preserve">DOI: </w:t>
      </w:r>
      <w:hyperlink r:id="rId603">
        <w:r>
          <w:rPr>
            <w:color w:val="1155CC"/>
            <w:u w:val="single"/>
          </w:rPr>
          <w:t>10.1073/pnas.2626545123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[103] </w:t>
      </w:r>
      <w:hyperlink r:id="rId604">
        <w:r>
          <w:rPr>
            <w:color w:val="1155CC"/>
            <w:u w:val="single"/>
          </w:rPr>
          <w:t>重新思考海底热液喷口的生命起源</w:t>
        </w:r>
      </w:hyperlink>
    </w:p>
    <w:p>
      <w:pPr>
        <w:spacing w:before="0" w:after="80"/>
      </w:pPr>
      <w:r>
        <w:rPr>
          <w:i/>
          <w:sz w:val="20"/>
        </w:rPr>
        <w:t>EN: Rethinking the origin of life at seafloor hydrothermal vents</w:t>
      </w:r>
    </w:p>
    <w:p>
      <w:pPr>
        <w:spacing w:before="0" w:after="120"/>
      </w:pPr>
      <w:r>
        <w:rPr>
          <w:b/>
        </w:rPr>
        <w:t xml:space="preserve">Source: </w:t>
      </w:r>
      <w:r>
        <w:t>Proceedings of the National Academy of Sciences: Keyword search for query</w:t>
      </w:r>
      <w:r>
        <w:t xml:space="preserve">    </w:t>
      </w:r>
      <w:r>
        <w:rPr>
          <w:b/>
        </w:rPr>
        <w:t xml:space="preserve">Pub date: </w:t>
      </w:r>
      <w:r>
        <w:t>2026-08-28 07:00:00+00:00</w:t>
      </w:r>
      <w:r>
        <w:t xml:space="preserve">    </w:t>
      </w:r>
      <w:r>
        <w:rPr>
          <w:b/>
        </w:rPr>
        <w:t xml:space="preserve">DOI: </w:t>
      </w:r>
      <w:hyperlink r:id="rId605">
        <w:r>
          <w:rPr>
            <w:color w:val="1155CC"/>
            <w:u w:val="single"/>
          </w:rPr>
          <w:t>10.1073/pnas.2613108123</w:t>
        </w:r>
      </w:hyperlink>
    </w:p>
    <w:p>
      <w:pPr>
        <w:spacing w:before="0" w:after="120"/>
      </w:pPr>
      <w:r>
        <w:rPr>
          <w:b/>
        </w:rPr>
        <w:t xml:space="preserve">Notes: </w:t>
      </w:r>
      <w:r>
        <w:t>abstract_source=crossref</w:t>
      </w:r>
    </w:p>
    <w:p>
      <w:pPr>
        <w:spacing w:before="0" w:after="80" w:lineRule="auto" w:line="276"/>
      </w:pPr>
      <w:r>
        <w:rPr>
          <w:b/>
        </w:rPr>
        <w:t xml:space="preserve">摘要（ZH）: </w:t>
      </w:r>
      <w:r>
        <w:t>自四分之一世纪前被发现以来，碱性热液喷口一直主导着一类生命起源假说，但对生命起源时期这些系统本质的认识进展要求对其进行重新审视。碱性喷口假说普遍认为，在热液条件下硫化物矿物膜两侧的强质子梯度将驱动海底烟囱中原细胞的化学渗透和能量获取。虽然蛇纹石化系统在古代海底确实存在，但其不同的地质条件会产生较浅的海底之下热液循环，以及持续时间更短、更不集中的喷发活动。此外，由于 Lost City 热液流体的pH值——质子梯度概念正是基于此——只有在冷却后才变得强碱性，因此无论现代还是古代的蛇纹石化系统都不以热液温度下的强pH梯度为特征。由于古代海洋缺乏硫酸盐和硫化物，而包括 Lost City 在内的蛇纹石化系统本身含硫很少，古代 Lost City 型喷口几乎不存在硫化物。最后，对 Lost City 的调查和实验室研究表明，原细胞代谢和膜所需复杂烃类的生成在相关温度和时间尺度上会受到反应动力学的阻碍。综合这些考虑对目前阐述的碱性喷口生命起源假说提出挑战。由于这些假说推动了对古代火星、冰卫星等地外生命的推测，</w:t>
      </w:r>
    </w:p>
    <w:p>
      <w:pPr>
        <w:spacing w:before="0" w:after="200" w:lineRule="auto" w:line="276"/>
      </w:pPr>
      <w:r>
        <w:rPr>
          <w:b/>
        </w:rPr>
        <w:t xml:space="preserve">Abstract (EN): </w:t>
      </w:r>
      <w:r>
        <w:t>Alkaline vents have dominated a class of hypotheses for the origins of life since their discovery a quarter of century ago, but advances in understanding the nature of these systems at the time of life’s origins demand renewed scrutiny. Alkaline vent hypotheses generally reason that strong proton gradients across sulfide mineral membranes at hydrothermal conditions would have driven chemiosmosis and energy harvesting by protocells in seafloor chimneys. While serpentinizing systems would have existed on the ancient seafloor, their different geology would have yielded shallower subseafloor hydrothermal circulation and shorter-lived and less focused venting. Further, because the pH of Lost City hydrothermal fluids, upon which the proton gradient concept is based, only becomes hyperalkaline after cooling, neither modern nor ancient serpentinizing systems are characterized by strong pH gradients at hydrothermal temperatures. Because the ancient oceans were sulfate- and sulfide-poor, and serpentinizing systems, including Lost City, contain little sulfur themselves, sulfide would have been virtually absent from ancient Lost City-type vents. Finally, investigations at Lost City and in the laboratory indicate the generation of complex hydrocarbons, required for protocell metabolism and membranes, would have been frustrated by reaction kinetics at relevant temperatures and timescales. Together, these considerations challenge currently formulated alkaline vent hypotheses for the origin of life. Because these hypotheses have driven speculation for life on ancient Mars, icy moons, and exoplanets, the evaluation presented here demands a reappraisal of the potential for life beyond Earth.</w:t>
      </w:r>
    </w:p>
    <w:p>
      <w:pPr>
        <w:spacing w:before="120" w:after="120"/>
      </w:pPr>
      <w:r>
        <w:rPr>
          <w:sz w:val="18"/>
        </w:rPr>
        <w:t>——————————————————————————————————————————————————————————————————————</w:t>
      </w:r>
    </w:p>
    <w:p>
      <w:pPr>
        <w:spacing w:before="160" w:after="40" w:line="240" w:lineRule="auto"/>
      </w:pPr>
      <w:r>
        <w:rPr>
          <w:b/>
        </w:rPr>
        <w:t xml:space="preserve">[104] </w:t>
      </w:r>
      <w:hyperlink r:id="rId606">
        <w:r>
          <w:rPr>
            <w:color w:val="1155CC"/>
            <w:u w:val="single"/>
          </w:rPr>
          <w:t>二维磁振子的多能带凝聚体</w:t>
        </w:r>
      </w:hyperlink>
    </w:p>
    <w:p>
      <w:pPr>
        <w:spacing w:before="0" w:after="80"/>
      </w:pPr>
      <w:r>
        <w:rPr>
          <w:i/>
          <w:sz w:val="20"/>
        </w:rPr>
        <w:t>EN: Multiband condensate of magnons in two dimensions</w:t>
      </w:r>
    </w:p>
    <w:p>
      <w:pPr>
        <w:spacing w:before="0" w:after="120"/>
      </w:pPr>
      <w:r>
        <w:rPr>
          <w:b/>
        </w:rPr>
        <w:t xml:space="preserve">Source: </w:t>
      </w:r>
      <w:r>
        <w:t>Proceedings of the National Academy of Sciences: Keyword search for query</w:t>
      </w:r>
      <w:r>
        <w:t xml:space="preserve">    </w:t>
      </w:r>
      <w:r>
        <w:rPr>
          <w:b/>
        </w:rPr>
        <w:t xml:space="preserve">Pub date: </w:t>
      </w:r>
      <w:r>
        <w:t>2026-08-28 07:00:00+00:00</w:t>
      </w:r>
      <w:r>
        <w:t xml:space="preserve">    </w:t>
      </w:r>
      <w:r>
        <w:rPr>
          <w:b/>
        </w:rPr>
        <w:t xml:space="preserve">DOI: </w:t>
      </w:r>
      <w:hyperlink r:id="rId607">
        <w:r>
          <w:rPr>
            <w:color w:val="1155CC"/>
            <w:u w:val="single"/>
          </w:rPr>
          <w:t>10.1073/pnas.2611490123</w:t>
        </w:r>
      </w:hyperlink>
    </w:p>
    <w:p>
      <w:pPr>
        <w:spacing w:before="0" w:after="120"/>
      </w:pPr>
      <w:r>
        <w:rPr>
          <w:b/>
        </w:rPr>
        <w:t xml:space="preserve">Notes: </w:t>
      </w:r>
      <w:r>
        <w:t>abstract_source=crossref</w:t>
      </w:r>
    </w:p>
    <w:p>
      <w:pPr>
        <w:spacing w:before="0" w:after="80" w:lineRule="auto" w:line="276"/>
      </w:pPr>
      <w:r>
        <w:rPr>
          <w:b/>
        </w:rPr>
        <w:t xml:space="preserve">摘要（ZH）: </w:t>
      </w:r>
      <w:r>
        <w:t>类波的玻色子粒子可以聚集在以特定波长为特征的单一模态中，这类凝聚体是超导性和超流性等现象的核心，通常用单个复数描述其状态。如果存在多种类型的激发或粒子，则可以用包含多个复数的矢量来表征多组分凝聚，从而为织构、动力学和器件开辟新的可能性。迄今为止，多组分凝聚体长期以来一直是冷原子物理中一个富有成果的分支领域，也是奇异超导体研究的一个主题，其中组成玻色子不是原子而是电子对。在本文中，我们考虑玻色子为磁振子（集体自旋激发）的情形，由微波注入到高质量的钇铁石榴石（YIG）晶体中。制造技术的最新进展可制备出足够高质量的薄膜（128 nm），能够显示出沿薄膜法向量子化的多个磁振子能带。微波泵浦可以填充这些能带，由于四磁振子散射共振，在狭窄的功率和频率范围内形成一种新型的二维多能带凝聚体。我们建立了该磁振子系统的相图，令人联想到奇异超导体的相图，同时揭示了单能带和多能带凝聚。</w:t>
      </w:r>
    </w:p>
    <w:p>
      <w:pPr>
        <w:spacing w:before="0" w:after="200" w:lineRule="auto" w:line="276"/>
      </w:pPr>
      <w:r>
        <w:rPr>
          <w:b/>
        </w:rPr>
        <w:t xml:space="preserve">Abstract (EN): </w:t>
      </w:r>
      <w:r>
        <w:t>Wavelike bosonic particles can accumulate in a single mode characterized by a particular wavelength, and such condensates are at the heart of phenomena such as superconductivity and superfluidity where usually a single complex number describes their state. If there are several flavors of excitations or particles, a vector containing several complex numbers can characterize multicomponent condensation, thus opening new possibilities for textures, dynamics, and devices. Thus far, multicomponent condensates have long represented a rewarding subfield of cold atom physics, as well as a theme for research on exotic superconductors where the constituent bosons are not atoms but electron pairs. Here we consider the case where the bosons are magnons (collective spin excitations), injected by microwaves into high-quality yttrium iron garnet (YIG) crystals. Recent advances in fabrication yield thin (128 nm) films of sufficiently high quality to display multiple magnon bands quantized along the film normal. Microwave pumping can populate these bands, providing a new two-dimensional multiband condensate optimized in a narrow range of powers and frequencies due to a four-magnon scattering resonance. We establish a phase diagram for this magnonic system, reminiscent of that for exotic superconductors, revealing both single and multiband condensation.</w:t>
      </w:r>
    </w:p>
    <w:p>
      <w:pPr>
        <w:spacing w:before="120" w:after="120"/>
      </w:pPr>
      <w:r>
        <w:rPr>
          <w:sz w:val="18"/>
        </w:rPr>
        <w:t>——————————————————————————————————————————————————————————————————————</w:t>
      </w:r>
    </w:p>
    <w:p>
      <w:pPr>
        <w:spacing w:before="160" w:after="40" w:line="240" w:lineRule="auto"/>
      </w:pPr>
      <w:r>
        <w:rPr>
          <w:b/>
        </w:rPr>
        <w:t xml:space="preserve">[105] </w:t>
      </w:r>
      <w:hyperlink r:id="rId608">
        <w:r>
          <w:rPr>
            <w:color w:val="1155CC"/>
            <w:u w:val="single"/>
          </w:rPr>
          <w:t>营养级调控限制全球变化下的生态系统碳积累</w:t>
        </w:r>
      </w:hyperlink>
    </w:p>
    <w:p>
      <w:pPr>
        <w:spacing w:before="0" w:after="80"/>
      </w:pPr>
      <w:r>
        <w:rPr>
          <w:i/>
          <w:sz w:val="20"/>
        </w:rPr>
        <w:t>EN: Trophic regulation constrains ecosystem carbon accumulation under global change</w:t>
      </w:r>
    </w:p>
    <w:p>
      <w:pPr>
        <w:spacing w:before="0" w:after="120"/>
      </w:pPr>
      <w:r>
        <w:rPr>
          <w:b/>
        </w:rPr>
        <w:t xml:space="preserve">Source: </w:t>
      </w:r>
      <w:r>
        <w:t>Proceedings of the National Academy of Sciences: Keyword search for query</w:t>
      </w:r>
      <w:r>
        <w:t xml:space="preserve">    </w:t>
      </w:r>
      <w:r>
        <w:rPr>
          <w:b/>
        </w:rPr>
        <w:t xml:space="preserve">Pub date: </w:t>
      </w:r>
      <w:r>
        <w:t>2026-08-28 07:00:00+00:00</w:t>
      </w:r>
      <w:r>
        <w:t xml:space="preserve">    </w:t>
      </w:r>
      <w:r>
        <w:rPr>
          <w:b/>
        </w:rPr>
        <w:t xml:space="preserve">DOI: </w:t>
      </w:r>
      <w:hyperlink r:id="rId609">
        <w:r>
          <w:rPr>
            <w:color w:val="1155CC"/>
            <w:u w:val="single"/>
          </w:rPr>
          <w:t>10.1073/pnas.2610728123</w:t>
        </w:r>
      </w:hyperlink>
    </w:p>
    <w:p>
      <w:pPr>
        <w:spacing w:before="0" w:after="120"/>
      </w:pPr>
      <w:r>
        <w:rPr>
          <w:b/>
        </w:rPr>
        <w:t xml:space="preserve">Notes: </w:t>
      </w:r>
      <w:r>
        <w:t>abstract_source=crossref</w:t>
      </w:r>
    </w:p>
    <w:p>
      <w:pPr>
        <w:spacing w:before="0" w:after="80" w:lineRule="auto" w:line="276"/>
      </w:pPr>
      <w:r>
        <w:rPr>
          <w:b/>
        </w:rPr>
        <w:t xml:space="preserve">摘要（ZH）: </w:t>
      </w:r>
      <w:r>
        <w:t>全球变化正在迅速重塑生态系统碳循环，然而营养级调控——生态系统生物地球化学循环的基本驱动力——如何介导这些响应仍知之甚少。在此，我们提出了一项关于营养级调控与主要全球变化因子（GCFs：施肥、变暖、火灾、降水增加、干旱以及多种GCFs）之间相互作用的全球综合分析，整合了全球132项研究中的708个成对全因子实验检验。我们发现，虽然GCFs单独作用平均使生态系统碳储量增加27%，但它们与食草动物的相互作用导致23%的碳损失，逆转了单个GCF效应带来的潜在收益。碳损失在功能上定位于地上植物、凋落物和微生物生物量碳，其中最显著的消耗发生在热带、旱地、水生系统和恢复中的生态系统。食草动物体型成为塑造这些结果的方向性性状，小型食草动物产生了不成比例的负面影响。重要的是，虽然排除食草动物可增强全球变化下的碳积累，但这种固碳效益是以植物多样性降低为代价的，揭示了以碳为中心的目标与生态系统完整性之间的内在权衡。总之，我们的研究结果表明，全球变化下的碳固存潜力不能脱离营养级调控来评估。因此，考虑动物介导的反馈对于切合实际的地球系统模型预测以及制定基于自然的解决方案至关重要</w:t>
      </w:r>
    </w:p>
    <w:p>
      <w:pPr>
        <w:spacing w:before="0" w:after="200" w:lineRule="auto" w:line="276"/>
      </w:pPr>
      <w:r>
        <w:rPr>
          <w:b/>
        </w:rPr>
        <w:t xml:space="preserve">Abstract (EN): </w:t>
      </w:r>
      <w:r>
        <w:t>Global change is rapidly reshaping the ecosystem carbon cycle, yet how trophic regulation—a fundamental driver of ecosystem biogeochemical cycling—mediates these responses remains poorly understood. Here we present a global synthesis of interactions between trophic regulation and major global change factors (GCFs: fertilization, warming, fire, increased precipitation, drought, and multiple GCFs), integrating 708 paired full-factorial experimental tests across 132 studies worldwide. We show that while GCFs alone increase ecosystem carbon stocks by 27% on average, their interactions with herbivores drive carbon losses of 23%, reversing the potential gains from individual GCF effects. Carbon losses are functionally localized in aboveground plant, litter, and microbial biomass carbon, with the most pronounced depletion occurring in the tropics, drylands, aquatic systems, and restoring ecosystems. Herbivore body size emerged as a directional trait shaping these outcomes, with small-bodied herbivores exerting disproportionately negative effects. Importantly, while excluding herbivores enhances carbon accumulation under global change, this sequestration benefit comes at the cost of reduced plant diversity, revealing an inherent trade-off between carbon-centric objectives and ecosystem integrity. Together, our findings demonstrate that carbon sequestration potential under global change cannot be evaluated independently of trophic regulation. Accounting for animal-mediated feedback is therefore essential for realistic Earth system model projections and for developing nature-based solutions that align climate mitigation with biodiversity conservation.</w:t>
      </w:r>
    </w:p>
    <w:p>
      <w:pPr>
        <w:spacing w:before="120" w:after="120"/>
      </w:pPr>
      <w:r>
        <w:rPr>
          <w:sz w:val="18"/>
        </w:rPr>
        <w:t>——————————————————————————————————————————————————————————————————————</w:t>
      </w:r>
    </w:p>
    <w:p>
      <w:pPr>
        <w:spacing w:before="160" w:after="40" w:line="240" w:lineRule="auto"/>
      </w:pPr>
      <w:r>
        <w:rPr>
          <w:b/>
        </w:rPr>
        <w:t xml:space="preserve">[106] </w:t>
      </w:r>
      <w:hyperlink r:id="rId610">
        <w:r>
          <w:rPr>
            <w:color w:val="1155CC"/>
            <w:u w:val="single"/>
          </w:rPr>
          <w:t>创伤性脑损伤后保留的反相关脑网络及预后分层</w:t>
        </w:r>
      </w:hyperlink>
    </w:p>
    <w:p>
      <w:pPr>
        <w:spacing w:before="0" w:after="80"/>
      </w:pPr>
      <w:r>
        <w:rPr>
          <w:i/>
          <w:sz w:val="20"/>
        </w:rPr>
        <w:t>EN: Preserved anticorrelated brain networks and prognostic stratification after traumatic brain injury</w:t>
      </w:r>
    </w:p>
    <w:p>
      <w:pPr>
        <w:spacing w:before="0" w:after="120"/>
      </w:pPr>
      <w:r>
        <w:rPr>
          <w:b/>
        </w:rPr>
        <w:t xml:space="preserve">Source: </w:t>
      </w:r>
      <w:r>
        <w:t>Proceedings of the National Academy of Sciences: Keyword search for query</w:t>
      </w:r>
      <w:r>
        <w:t xml:space="preserve">    </w:t>
      </w:r>
      <w:r>
        <w:rPr>
          <w:b/>
        </w:rPr>
        <w:t xml:space="preserve">Pub date: </w:t>
      </w:r>
      <w:r>
        <w:t>2026-08-28 07:00:00+00:00</w:t>
      </w:r>
      <w:r>
        <w:t xml:space="preserve">    </w:t>
      </w:r>
      <w:r>
        <w:rPr>
          <w:b/>
        </w:rPr>
        <w:t xml:space="preserve">DOI: </w:t>
      </w:r>
      <w:hyperlink r:id="rId611">
        <w:r>
          <w:rPr>
            <w:color w:val="1155CC"/>
            <w:u w:val="single"/>
          </w:rPr>
          <w:t>10.1073/pnas.2605279123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[107] </w:t>
      </w:r>
      <w:hyperlink r:id="rId612">
        <w:r>
          <w:rPr>
            <w:color w:val="1155CC"/>
            <w:u w:val="single"/>
          </w:rPr>
          <w:t>LATS1/2失活驱动一种独特的静脉内皮细胞反应，促进肺纤维化重塑</w:t>
        </w:r>
      </w:hyperlink>
    </w:p>
    <w:p>
      <w:pPr>
        <w:spacing w:before="0" w:after="80"/>
      </w:pPr>
      <w:r>
        <w:rPr>
          <w:i/>
          <w:sz w:val="20"/>
        </w:rPr>
        <w:t>EN: LATS1/2 inactivation drives a distinct venous endothelial cell response that contributes to fibrotic remodeling of the lung</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613">
        <w:r>
          <w:rPr>
            <w:color w:val="1155CC"/>
            <w:u w:val="single"/>
          </w:rPr>
          <w:t>10.1126/sciadv.aef8468</w:t>
        </w:r>
      </w:hyperlink>
    </w:p>
    <w:p>
      <w:pPr>
        <w:spacing w:before="0" w:after="120"/>
      </w:pPr>
      <w:r>
        <w:rPr>
          <w:b/>
        </w:rPr>
        <w:t xml:space="preserve">Notes: </w:t>
      </w:r>
      <w:r>
        <w:t>abstract_source=crossref</w:t>
      </w:r>
    </w:p>
    <w:p>
      <w:pPr>
        <w:spacing w:before="0" w:after="80" w:lineRule="auto" w:line="276"/>
      </w:pPr>
      <w:r>
        <w:rPr>
          <w:b/>
        </w:rPr>
        <w:t xml:space="preserve">摘要（ZH）: </w:t>
      </w:r>
      <w:r>
        <w:t>内皮功能障碍被认为是导致肺部慢性组织重塑的因素之一，但驱动这些过程的内皮源性机制在很大程度上仍未明确。在此，我们发现内皮细胞中LATS1和LATS2激酶（转录调节因子YAP和TAZ的关键抑制因子）的失活，会根据不同肺血管床中内皮细胞的身份引发不同的反应。我们的数据表明，一般毛细血管内皮细胞中LATS1/2的失活会诱导反应性毛细血管损伤样状态，而位于静脉中的另一群内皮细胞则采取一种独特的促纤维化状态。我们证明，这种以EBF1和ACKR1表达为标志的反应性静脉内皮细胞群的扩增，与成纤维细胞活化、巨噬细胞积累和上皮重塑相关，共同形成纤维化肺疾病特征的微环境。我们进一步证明，药物抑制YAP/TAZ-TEAD信号传导可防止内皮LATS1/2失活后的基质和免疫重塑以及纤维化病灶形成。这些发现表明LATS1/2对YAP/TAZ的抑制对肺内皮稳态至关重要，并强调一种独特的静脉细胞反应是纤维化肺重塑的直接促成因素。</w:t>
      </w:r>
    </w:p>
    <w:p>
      <w:pPr>
        <w:spacing w:before="0" w:after="200" w:lineRule="auto" w:line="276"/>
      </w:pPr>
      <w:r>
        <w:rPr>
          <w:b/>
        </w:rPr>
        <w:t xml:space="preserve">Abstract (EN): </w:t>
      </w:r>
      <w:r>
        <w:t>Endothelial dysfunction is recognized to contribute to chronic tissue remodeling in the lung, yet endothelial-derived mechanisms driving these processes remain largely undefined. Here, we show that endothelial inactivation of the LATS1 and LATS2 kinases, key suppressors of the transcriptional regulators YAP and TAZ, elicits distinct responses depending on endothelial identity within different pulmonary vascular beds. Our data indicate that LATS1/2 inactivation in general capillary endothelial cells induces a reactive capillary injury-like state, whereas a separate endothelial population located within veins adopts a distinct profibrotic state. We show that expansion of this reactive venous endothelial cell population, which is marked by EBF1 and ACKR1 expression, is associated with fibroblast activation, macrophage accumulation, and epithelial remodeling, collectively generating a microenvironment characteristic of fibrotic lung disease. We further demonstrate that pharmacologic inhibition of YAP/TAZ-TEAD signaling prevents stromal and immune remodeling and fibrotic lesion formation following endothelial LATS1/2 inactivation. These findings identify LATS1/2-mediated restraint of YAP/TAZ as essential for lung endothelial homeostasis and highlight a distinct venous cell response as a direct contributor to fibrotic lung remodeling.</w:t>
      </w:r>
    </w:p>
    <w:p>
      <w:pPr>
        <w:spacing w:before="120" w:after="120"/>
      </w:pPr>
      <w:r>
        <w:rPr>
          <w:sz w:val="18"/>
        </w:rPr>
        <w:t>——————————————————————————————————————————————————————————————————————</w:t>
      </w:r>
    </w:p>
    <w:p>
      <w:pPr>
        <w:spacing w:before="160" w:after="40" w:line="240" w:lineRule="auto"/>
      </w:pPr>
      <w:r>
        <w:rPr>
          <w:b/>
        </w:rPr>
        <w:t xml:space="preserve">[108] </w:t>
      </w:r>
      <w:hyperlink r:id="rId614">
        <w:r>
          <w:rPr>
            <w:color w:val="1155CC"/>
            <w:u w:val="single"/>
          </w:rPr>
          <w:t>链球菌ABC转运蛋白介导磷霉素外排的结构机制解析</w:t>
        </w:r>
      </w:hyperlink>
    </w:p>
    <w:p>
      <w:pPr>
        <w:spacing w:before="0" w:after="80"/>
      </w:pPr>
      <w:r>
        <w:rPr>
          <w:i/>
          <w:sz w:val="20"/>
        </w:rPr>
        <w:t>EN: Structural insights into fosfomycin efflux by a streptococcal ABC transporter</w:t>
      </w:r>
    </w:p>
    <w:p>
      <w:pPr>
        <w:spacing w:before="0" w:after="120"/>
      </w:pPr>
      <w:r>
        <w:rPr>
          <w:b/>
        </w:rPr>
        <w:t xml:space="preserve">Source: </w:t>
      </w:r>
      <w:r>
        <w:t>Proceedings of the National Academy of Sciences: Keyword search for query</w:t>
      </w:r>
      <w:r>
        <w:t xml:space="preserve">    </w:t>
      </w:r>
      <w:r>
        <w:rPr>
          <w:b/>
        </w:rPr>
        <w:t xml:space="preserve">Pub date: </w:t>
      </w:r>
      <w:r>
        <w:t>2026-08-28 07:00:00+00:00</w:t>
      </w:r>
      <w:r>
        <w:t xml:space="preserve">    </w:t>
      </w:r>
      <w:r>
        <w:rPr>
          <w:b/>
        </w:rPr>
        <w:t xml:space="preserve">DOI: </w:t>
      </w:r>
      <w:hyperlink r:id="rId615">
        <w:r>
          <w:rPr>
            <w:color w:val="1155CC"/>
            <w:u w:val="single"/>
          </w:rPr>
          <w:t>10.1073/pnas.2535933123</w:t>
        </w:r>
      </w:hyperlink>
    </w:p>
    <w:p>
      <w:pPr>
        <w:spacing w:before="0" w:after="120"/>
      </w:pPr>
      <w:r>
        <w:rPr>
          <w:b/>
        </w:rPr>
        <w:t xml:space="preserve">Notes: </w:t>
      </w:r>
      <w:r>
        <w:t>abstract_source=crossref</w:t>
      </w:r>
    </w:p>
    <w:p>
      <w:pPr>
        <w:spacing w:before="0" w:after="80" w:lineRule="auto" w:line="276"/>
      </w:pPr>
      <w:r>
        <w:rPr>
          <w:b/>
        </w:rPr>
        <w:t xml:space="preserve">摘要（ZH）: </w:t>
      </w:r>
      <w:r>
        <w:t>革兰氏阳性细菌编码多种介导底物跨细胞膜易位的ABC转运蛋白，其中一些有助于它们在抗微生物药物暴露等环境胁迫下的存活。虽然其中一些转运蛋白已被证明具有多药外排活性，但许多其他转运蛋白的功能仍然未知。在此，通过在机会性人类病原体肺炎链球菌中进行外排泵筛选，我们鉴定了一种此前未表征的IV型ABC转运蛋白（FoeAB），其赋予对抗生素磷霉素的抗性。我们表明，纯化的FoeAB在脂质体重构系统中介导磷霉素转运，并提供证据表明它作为一种多药外排泵发挥功能，其底物偏好性与已知外排泵不同。此外，我们呈现了FoeAB在内向和外向状态下的冷冻电子显微镜（cryo-EM）结构，揭示了与核苷酸结合相关的构象变化，并鉴定了对底物转运重要的残基。总之，这些发现扩展了已知的革兰氏阳性细菌中输出抗生素的ABC转运蛋白库，并为潜在的转运机制提供了结构性见解。</w:t>
      </w:r>
    </w:p>
    <w:p>
      <w:pPr>
        <w:spacing w:before="0" w:after="200" w:lineRule="auto" w:line="276"/>
      </w:pPr>
      <w:r>
        <w:rPr>
          <w:b/>
        </w:rPr>
        <w:t xml:space="preserve">Abstract (EN): </w:t>
      </w:r>
      <w:r>
        <w:t>Gram-positive bacteria encode a broad array of ABC transporters that mediate substrate translocation across the cell membrane, with some contributing to their survival under environmental stresses such as antimicrobial exposure. While several of these transporters have been shown to exhibit multidrug efflux activity, the functional roles of many others remain unknown. Here, using an efflux pump screen in the opportunistic human pathogen</w:t>
      </w:r>
      <w:r>
        <w:t xml:space="preserve"> </w:t>
      </w:r>
      <w:r>
        <w:t>Streptococcus pneumoniae</w:t>
      </w:r>
      <w:r>
        <w:t xml:space="preserve"> </w:t>
      </w:r>
      <w:r>
        <w:t>, we identified a previously uncharacterized type IV ABC transporter (FoeAB) that confers resistance to the antibiotic fosfomycin. We show that purified FoeAB mediates fosfomycin transport in a liposome-reconstituted system and provide evidence that it functions as a multidrug efflux pump with substrate preferences distinct from those of known efflux pumps. Furthermore, we present cryogenic electron microscopy (cryo-EM) structures of FoeAB in inward- and outward-facing states, which reveal conformational changes associated with nucleotide binding and identify residues important for substrate transport. Collectively, these findings expand the known repertoire of antibiotic-exporting ABC transporters in Gram-positive bacteria and provide structural insight into the underlying transport mechanism.</w:t>
      </w:r>
    </w:p>
    <w:p>
      <w:pPr>
        <w:spacing w:before="120" w:after="120"/>
      </w:pPr>
      <w:r>
        <w:rPr>
          <w:sz w:val="18"/>
        </w:rPr>
        <w:t>——————————————————————————————————————————————————————————————————————</w:t>
      </w:r>
    </w:p>
    <w:p>
      <w:pPr>
        <w:spacing w:before="160" w:after="40" w:line="240" w:lineRule="auto"/>
      </w:pPr>
      <w:r>
        <w:rPr>
          <w:b/>
        </w:rPr>
        <w:t xml:space="preserve">[109] </w:t>
      </w:r>
      <w:hyperlink r:id="rId616">
        <w:r>
          <w:rPr>
            <w:color w:val="1155CC"/>
            <w:u w:val="single"/>
          </w:rPr>
          <w:t>个性匹配提升人机协作效果</w:t>
        </w:r>
      </w:hyperlink>
    </w:p>
    <w:p>
      <w:pPr>
        <w:spacing w:before="0" w:after="80"/>
      </w:pPr>
      <w:r>
        <w:rPr>
          <w:i/>
          <w:sz w:val="20"/>
        </w:rPr>
        <w:t>EN: Personality pairing improves human–AI collaboration</w:t>
      </w:r>
    </w:p>
    <w:p>
      <w:pPr>
        <w:spacing w:before="0" w:after="120"/>
      </w:pPr>
      <w:r>
        <w:rPr>
          <w:b/>
        </w:rPr>
        <w:t xml:space="preserve">Source: </w:t>
      </w:r>
      <w:r>
        <w:t>Proceedings of the National Academy of Sciences: Keyword search for query</w:t>
      </w:r>
      <w:r>
        <w:t xml:space="preserve">    </w:t>
      </w:r>
      <w:r>
        <w:rPr>
          <w:b/>
        </w:rPr>
        <w:t xml:space="preserve">Pub date: </w:t>
      </w:r>
      <w:r>
        <w:t>2026-08-28 07:00:00+00:00</w:t>
      </w:r>
      <w:r>
        <w:t xml:space="preserve">    </w:t>
      </w:r>
      <w:r>
        <w:rPr>
          <w:b/>
        </w:rPr>
        <w:t xml:space="preserve">DOI: </w:t>
      </w:r>
      <w:hyperlink r:id="rId617">
        <w:r>
          <w:rPr>
            <w:color w:val="1155CC"/>
            <w:u w:val="single"/>
          </w:rPr>
          <w:t>10.1073/pnas.2530627123</w:t>
        </w:r>
      </w:hyperlink>
    </w:p>
    <w:p>
      <w:pPr>
        <w:spacing w:before="0" w:after="120"/>
      </w:pPr>
      <w:r>
        <w:rPr>
          <w:b/>
        </w:rPr>
        <w:t xml:space="preserve">Notes: </w:t>
      </w:r>
      <w:r>
        <w:t>abstract_source=crossref</w:t>
      </w:r>
    </w:p>
    <w:p>
      <w:pPr>
        <w:spacing w:before="0" w:after="80" w:lineRule="auto" w:line="276"/>
      </w:pPr>
      <w:r>
        <w:rPr>
          <w:b/>
        </w:rPr>
        <w:t xml:space="preserve">摘要（ZH）: </w:t>
      </w:r>
      <w:r>
        <w:t>在此，我们研究AI智能体“个性”如何与人类个性相互作用，从而塑造人机协作和绩效。在一项大规模的预注册随机实验中，我们将1258名参与者与被提示表现出大五人格特质不同程度变化的AI智能体配对。这些人机团队为一家真实智库制作了7266条展示广告，我们使用1168名独立人类评估者对其进行评估，并在X上进行了产生近500万次展示的现场实验。我们发现，人类和AI的个性分别影响广告质量和团队合作，而人机个性配对直接影响广告质量。例如，外向型人类与尽责型AI配对产生的广告质量最低，其次是尽责型人类与随和型AI配对，以及神经质人类与尽责型AI配对。在现场实验中，广告质量显著影响广告表现，以点击率和每次点击成本衡量。总之，这些结果表明，个性配对可以改善人机协作和绩效。它们还推动了对AI个性化在人机协作、团队合作和绩效方面复杂影响的未来研究。</w:t>
      </w:r>
    </w:p>
    <w:p>
      <w:pPr>
        <w:spacing w:before="0" w:after="200" w:lineRule="auto" w:line="276"/>
      </w:pPr>
      <w:r>
        <w:rPr>
          <w:b/>
        </w:rPr>
        <w:t xml:space="preserve">Abstract (EN): </w:t>
      </w:r>
      <w:r>
        <w:t>Here we examine how AI agent “personalities” interact with human personalities to shape human–AI collaboration and performance. In a large-scale, preregistered randomized experiment, we paired 1,258 participants with AI agents prompted to exhibit varying levels of the Big Five personality traits. These human–AI teams produced 7,266 display ads for a real think tank, which we evaluated using 1,168 independent human raters, and a field experiment on X that generated nearly 5 million impressions. We found that human and AI personalities individually shaped ad quality and teamwork and that human–AI personality pairings directly influenced ad quality. For example, extraverted humans paired with conscientious AI produced the lowest quality ads, followed by conscientious humans paired with agreeable AI and neurotic humans paired with conscientious AI. In the field experiment, ad quality significantly influenced ad performance, measured by click-through rates and cost-per-click. Together, these results demonstrate that personality pairing can improve human–AI collaboration and performance. They also motivate future research on the complex implications of AI personalization for human–AI collaboration, teamwork, and performance.</w:t>
      </w:r>
    </w:p>
    <w:p>
      <w:pPr>
        <w:spacing w:before="120" w:after="120"/>
      </w:pPr>
      <w:r>
        <w:rPr>
          <w:sz w:val="18"/>
        </w:rPr>
        <w:t>——————————————————————————————————————————————————————————————————————</w:t>
      </w:r>
    </w:p>
    <w:p>
      <w:pPr>
        <w:spacing w:before="160" w:after="40" w:line="240" w:lineRule="auto"/>
      </w:pPr>
      <w:r>
        <w:rPr>
          <w:b/>
        </w:rPr>
        <w:t xml:space="preserve">[110] </w:t>
      </w:r>
      <w:hyperlink r:id="rId618">
        <w:r>
          <w:rPr>
            <w:color w:val="1155CC"/>
            <w:u w:val="single"/>
          </w:rPr>
          <w:t>PLASTID ENVELOPE ION CHANNELS (PEC1/2) 连接植物细胞中的Ca2+与茉莉酸信号传导</w:t>
        </w:r>
      </w:hyperlink>
    </w:p>
    <w:p>
      <w:pPr>
        <w:spacing w:before="0" w:after="80"/>
      </w:pPr>
      <w:r>
        <w:rPr>
          <w:i/>
          <w:sz w:val="20"/>
        </w:rPr>
        <w:t>EN: PLASTID ENVELOPE ION CHANNELS (PEC1/2) link Ca2+ and jasmonic acid signaling in plant cells</w:t>
      </w:r>
    </w:p>
    <w:p>
      <w:pPr>
        <w:spacing w:before="0" w:after="120"/>
      </w:pPr>
      <w:r>
        <w:rPr>
          <w:b/>
        </w:rPr>
        <w:t xml:space="preserve">Source: </w:t>
      </w:r>
      <w:r>
        <w:t>Proceedings of the National Academy of Sciences: Keyword search for query</w:t>
      </w:r>
      <w:r>
        <w:t xml:space="preserve">    </w:t>
      </w:r>
      <w:r>
        <w:rPr>
          <w:b/>
        </w:rPr>
        <w:t xml:space="preserve">Pub date: </w:t>
      </w:r>
      <w:r>
        <w:t>2026-08-28 07:00:00+00:00</w:t>
      </w:r>
      <w:r>
        <w:t xml:space="preserve">    </w:t>
      </w:r>
      <w:r>
        <w:rPr>
          <w:b/>
        </w:rPr>
        <w:t xml:space="preserve">DOI: </w:t>
      </w:r>
      <w:hyperlink r:id="rId619">
        <w:r>
          <w:rPr>
            <w:color w:val="1155CC"/>
            <w:u w:val="single"/>
          </w:rPr>
          <w:t>10.1073/pnas.2525536123</w:t>
        </w:r>
      </w:hyperlink>
    </w:p>
    <w:p>
      <w:pPr>
        <w:spacing w:before="0" w:after="120"/>
      </w:pPr>
      <w:r>
        <w:rPr>
          <w:b/>
        </w:rPr>
        <w:t xml:space="preserve">Notes: </w:t>
      </w:r>
      <w:r>
        <w:t>abstract_source=crossref</w:t>
      </w:r>
    </w:p>
    <w:p>
      <w:pPr>
        <w:spacing w:before="0" w:after="80" w:lineRule="auto" w:line="276"/>
      </w:pPr>
      <w:r>
        <w:rPr>
          <w:b/>
        </w:rPr>
        <w:t xml:space="preserve">摘要（ZH）: </w:t>
      </w:r>
      <w:r>
        <w:t>植物不断遭遇不利的环境相互作用。有一种细胞器尤其专门负责胁迫信号传导和植物激素合成：质体。钙（Ca2+）是关键的第二信使，已知它与细胞植物激素信号网络交叉。虽然细胞质Ca2+动力学已被广泛研究，但基质Ca2+瞬变的生理相关性以及介导Ca2+快速流入质体的通道身份在很大程度上仍未被探索。在本研究中，我们提供证据表明质体外膜离子通道是长期寻找的快速激活阳离子通道样电流的介导者。我们表明PEC表达受茉莉酸（JA）诱导，以在胁迫下增强基质Ca2+瞬变。PEC的缺失导致JA引发效应减弱，以及在损伤后无法激发完整的防御反应。相应地，PEC1过表达提高了对灰葡萄孢菌的耐受性。我们的发现将基质Ca2+信号传导与JA依赖的胁迫反应联系起来，并将PEC定位为植物防御的调节因子。</w:t>
      </w:r>
    </w:p>
    <w:p>
      <w:pPr>
        <w:spacing w:before="0" w:after="200" w:lineRule="auto" w:line="276"/>
      </w:pPr>
      <w:r>
        <w:rPr>
          <w:b/>
        </w:rPr>
        <w:t xml:space="preserve">Abstract (EN): </w:t>
      </w:r>
      <w:r>
        <w:t>Plants constantly encounter adverse environmental interactions. One organelle is particularly specialized in stress signaling and phytohormone synthesis: the plastid. Calcium (Ca</w:t>
      </w:r>
      <w:r>
        <w:t xml:space="preserve"> </w:t>
      </w:r>
      <w:r>
        <w:t>2+</w:t>
      </w:r>
      <w:r>
        <w:t xml:space="preserve"> </w:t>
      </w:r>
      <w:r>
        <w:t>), a key second messenger, is known to intersect with cellular phytohormone signaling networks. While cytosolic Ca</w:t>
      </w:r>
      <w:r>
        <w:t xml:space="preserve"> </w:t>
      </w:r>
      <w:r>
        <w:t>2+</w:t>
      </w:r>
      <w:r>
        <w:t xml:space="preserve"> </w:t>
      </w:r>
      <w:r>
        <w:t>dynamics have been studied extensively, the physiological relevance of stromal Ca</w:t>
      </w:r>
      <w:r>
        <w:t xml:space="preserve"> </w:t>
      </w:r>
      <w:r>
        <w:t>2+</w:t>
      </w:r>
      <w:r>
        <w:t xml:space="preserve"> </w:t>
      </w:r>
      <w:r>
        <w:t>transients and the identity of channels mediating rapid Ca</w:t>
      </w:r>
      <w:r>
        <w:t xml:space="preserve"> </w:t>
      </w:r>
      <w:r>
        <w:t>2+</w:t>
      </w:r>
      <w:r>
        <w:t xml:space="preserve"> </w:t>
      </w:r>
      <w:r>
        <w:t>flux into plastids remain largely unexplored. In this study, we provide evidence for PLASTID ENVELOPE ION CHANNELS (PECs) as long-sought mediators of fast-activating cation channel-like currents. We show that</w:t>
      </w:r>
      <w:r>
        <w:t xml:space="preserve"> </w:t>
      </w:r>
      <w:r>
        <w:t>PEC</w:t>
      </w:r>
      <w:r>
        <w:t xml:space="preserve"> </w:t>
      </w:r>
      <w:r>
        <w:t>expression is jasmonic acid (JA)-induced to augment stromal Ca</w:t>
      </w:r>
      <w:r>
        <w:t xml:space="preserve"> </w:t>
      </w:r>
      <w:r>
        <w:t>2+</w:t>
      </w:r>
      <w:r>
        <w:t xml:space="preserve"> </w:t>
      </w:r>
      <w:r>
        <w:t>transients under stress. Loss of PECs results in decreased JA priming and failure to elicit full defense responses after wounding. In turn,</w:t>
      </w:r>
      <w:r>
        <w:t xml:space="preserve"> </w:t>
      </w:r>
      <w:r>
        <w:t>PEC1</w:t>
      </w:r>
      <w:r>
        <w:t xml:space="preserve"> </w:t>
      </w:r>
      <w:r>
        <w:t>overexpression improves</w:t>
      </w:r>
      <w:r>
        <w:t xml:space="preserve"> </w:t>
      </w:r>
      <w:r>
        <w:t>Botrytis cinerea</w:t>
      </w:r>
      <w:r>
        <w:t xml:space="preserve"> </w:t>
      </w:r>
      <w:r>
        <w:t>tolerance. Our findings link stromal Ca</w:t>
      </w:r>
      <w:r>
        <w:t xml:space="preserve"> </w:t>
      </w:r>
      <w:r>
        <w:t>2+</w:t>
      </w:r>
      <w:r>
        <w:t xml:space="preserve"> </w:t>
      </w:r>
      <w:r>
        <w:t>signaling with JA-dependent stress responses and position PECs as modulators of plant defense.</w:t>
      </w:r>
    </w:p>
    <w:p>
      <w:pPr>
        <w:spacing w:before="120" w:after="120"/>
      </w:pPr>
      <w:r>
        <w:rPr>
          <w:sz w:val="18"/>
        </w:rPr>
        <w:t>——————————————————————————————————————————————————————————————————————</w:t>
      </w:r>
    </w:p>
    <w:p>
      <w:pPr>
        <w:spacing w:before="160" w:after="40" w:line="240" w:lineRule="auto"/>
      </w:pPr>
      <w:r>
        <w:rPr>
          <w:b/>
        </w:rPr>
        <w:t xml:space="preserve">[111] </w:t>
      </w:r>
      <w:hyperlink r:id="rId620">
        <w:r>
          <w:rPr>
            <w:color w:val="1155CC"/>
            <w:u w:val="single"/>
          </w:rPr>
          <w:t>scProtoTransformer：跨分子、细胞和供体的可扩展参照映射</w:t>
        </w:r>
      </w:hyperlink>
    </w:p>
    <w:p>
      <w:pPr>
        <w:spacing w:before="0" w:after="80"/>
      </w:pPr>
      <w:r>
        <w:rPr>
          <w:i/>
          <w:sz w:val="20"/>
        </w:rPr>
        <w:t>EN: scProtoTransformer: Scalable reference mapping across molecules, cells, and donors</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621">
        <w:r>
          <w:rPr>
            <w:color w:val="1155CC"/>
            <w:u w:val="single"/>
          </w:rPr>
          <w:t>10.1126/sciadv.aef0286</w:t>
        </w:r>
      </w:hyperlink>
    </w:p>
    <w:p>
      <w:pPr>
        <w:spacing w:before="0" w:after="120"/>
      </w:pPr>
      <w:r>
        <w:rPr>
          <w:b/>
        </w:rPr>
        <w:t xml:space="preserve">Notes: </w:t>
      </w:r>
      <w:r>
        <w:t>abstract_source=crossref</w:t>
      </w:r>
    </w:p>
    <w:p>
      <w:pPr>
        <w:spacing w:before="0" w:after="80" w:lineRule="auto" w:line="276"/>
      </w:pPr>
      <w:r>
        <w:rPr>
          <w:b/>
        </w:rPr>
        <w:t xml:space="preserve">摘要（ZH）: </w:t>
      </w:r>
      <w:r>
        <w:t>单细胞数据的快速积累使得在分子、细胞和供体层面全面表征生物系统成为可能。然而，跨不同分辨率进行可扩展的参考图谱映射仍然是当前研究中的重大挑战。在此，我们提出scProtoTransformer，这是一种基于原型的Transformer架构，旨在实现跨分子、细胞和供体层面的可扩展参考图谱映射。scProtoTransformer引入了一种知识引导的原型分词器（prototype tokenizer），将基因表达投射到具有生物学可解释性的通路原型中，在保留生物学语义模式的同时有效降低数值批次效应。此外，通过利用从基础模型中蒸馏的知识以及动态监督微调策略，scProtoTransformer以更低的预训练需求获得了稳健的生物学表征。在分子、细胞和供体层面参考图谱映射的基准实验表明，scProtoTransformer与最先进的方法相比具有竞争力甚至更优的性能，同时通过生物学原型提供了可解释性。总之，这些结果确立了scProtoTransformer作为可扩展参考图谱映射的统一框架，为从基因到个体的系统性理解奠定了基础。</w:t>
      </w:r>
    </w:p>
    <w:p>
      <w:pPr>
        <w:spacing w:before="0" w:after="200" w:lineRule="auto" w:line="276"/>
      </w:pPr>
      <w:r>
        <w:rPr>
          <w:b/>
        </w:rPr>
        <w:t xml:space="preserve">Abstract (EN): </w:t>
      </w:r>
      <w:r>
        <w:t>The rapid accumulation of single-cell data has made it possible to comprehensively characterize biological systems at molecular, cellular, and donor levels. However, scalable reference mapping across different resolutions remains a major challenge in current research. Here, we propose scProtoTransformer, a prototype-based Transformer architecture designed to achieve scalable reference mapping across molecular, cell, and donor levels. scProtoTransformer introduces a knowledge-guided prototype tokenizer that projects gene expression into biologically interpretable pathway prototypes, effectively reducing numerical batch effects while preserving biological semantic patterns. Furthermore, by leveraging knowledge distilled from the foundation model and a dynamic supervised fine-tuning strategy, scProtoTransformer achieves robust biological representations with reduced pretraining requirements. Benchmark experiments across molecular, cell, and donor-level reference mapping demonstrate that scProtoTransformer delivers competitive or even superior performance compared with state-of-the-art approaches while providing interpretability through biological prototypes. Together, these results establish scProtoTransformer as a unified framework for scalable reference mapping, laying the foundation for systematic understanding from genes to individuals.</w:t>
      </w:r>
    </w:p>
    <w:p>
      <w:pPr>
        <w:spacing w:before="120" w:after="120"/>
      </w:pPr>
      <w:r>
        <w:rPr>
          <w:sz w:val="18"/>
        </w:rPr>
        <w:t>——————————————————————————————————————————————————————————————————————</w:t>
      </w:r>
    </w:p>
    <w:p>
      <w:pPr>
        <w:spacing w:before="160" w:after="40" w:line="240" w:lineRule="auto"/>
      </w:pPr>
      <w:r>
        <w:rPr>
          <w:b/>
        </w:rPr>
        <w:t xml:space="preserve">[112] </w:t>
      </w:r>
      <w:hyperlink r:id="rId622">
        <w:r>
          <w:rPr>
            <w:color w:val="1155CC"/>
            <w:u w:val="single"/>
          </w:rPr>
          <w:t>脂肪组织与软骨通过EV-Mito–mtDNA信号通讯促进骨关节炎进展</w:t>
        </w:r>
      </w:hyperlink>
    </w:p>
    <w:p>
      <w:pPr>
        <w:spacing w:before="0" w:after="80"/>
      </w:pPr>
      <w:r>
        <w:rPr>
          <w:i/>
          <w:sz w:val="20"/>
        </w:rPr>
        <w:t>EN: Adipose-cartilage communication via EV-Mito–mtDNA signaling promotes osteoarthritis progression</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623">
        <w:r>
          <w:rPr>
            <w:color w:val="1155CC"/>
            <w:u w:val="single"/>
          </w:rPr>
          <w:t>10.1126/sciadv.aee6780</w:t>
        </w:r>
      </w:hyperlink>
    </w:p>
    <w:p>
      <w:pPr>
        <w:spacing w:before="0" w:after="120"/>
      </w:pPr>
      <w:r>
        <w:rPr>
          <w:b/>
        </w:rPr>
        <w:t xml:space="preserve">Notes: </w:t>
      </w:r>
      <w:r>
        <w:t>abstract_source=crossref</w:t>
      </w:r>
    </w:p>
    <w:p>
      <w:pPr>
        <w:spacing w:before="0" w:after="80" w:lineRule="auto" w:line="276"/>
      </w:pPr>
      <w:r>
        <w:rPr>
          <w:b/>
        </w:rPr>
        <w:t xml:space="preserve">摘要（ZH）: </w:t>
      </w:r>
      <w:r>
        <w:t>肥胖是骨关节炎（OA）的重要危险因素，但将过多脂肪与关节退变联系起来的机制尚未完全阐明。在此，我们发现富含线粒体成分的脂肪细胞来源细胞外囊泡（EV-Mito）是致病介质，可将线粒体DNA（mtDNA）递送至软骨细胞。内化的mtDNA激活环GMP-AMP合酶-干扰素基因刺激蛋白（cGAS-STING）胞质DNA传感通路，在小鼠和人体模型中诱导炎症信号传导、代谢功能障碍、细胞衰老和软骨退变。cGAS-STING信号的遗传和药理学抑制可减轻软骨损伤、疼痛行为和步态异常。人群水平和干预性数据进一步表明，体脂百分比（而非体重指数）与OA风险和严重程度更为密切相关。在一个运动队列中，高强度间歇训练选择性地降低了脂肪量，并与富含脂肪相关EV标志物的滑膜EV组分中mtDNA丰度降低、滑膜2′,3′-环GMP-AMP水平下降以及OA症状的更优改善相关。这些发现定义了一条将脂肪组织与关节病理联系起来的保守的EV-Mito–mtDNA–cGAS-STING轴，并强调针对脂肪的干预是预防和治疗肥胖相关OA的具有机制依据的策略。</w:t>
      </w:r>
    </w:p>
    <w:p>
      <w:pPr>
        <w:spacing w:before="0" w:after="200" w:lineRule="auto" w:line="276"/>
      </w:pPr>
      <w:r>
        <w:rPr>
          <w:b/>
        </w:rPr>
        <w:t xml:space="preserve">Abstract (EN): </w:t>
      </w:r>
      <w:r>
        <w:t>Obesity is a major risk factor for osteoarthritis (OA), yet the mechanisms linking excess adiposity to joint degeneration remain incompletely understood. Here, we identify adipocyte-derived extracellular vesicles enriched in mitochondrial components (EV-Mito) as pathogenic mediators that transfer mitochondrial DNA (mtDNA) to chondrocytes. The internalized mtDNA activates the cyclic GMP-AMP synthase-stimulator of interferon genes (cGAS-STING) cytosolic DNA-sensing pathway, inducing inflammatory signaling, metabolic dysfunction, senescence, and cartilage degeneration in murine and human models. Genetic and pharmacological inhibition of cGAS-STING signaling attenuates cartilage damage, pain behaviors, and gait abnormalities. Population-level and interventional data further show that body fat percentage, rather than body mass index, is more closely associated with OA risk and severity. In an exercise cohort, high-intensity interval training selectively reduced adiposity and was associated with lower mtDNA abundance in synovial EV fractions enriched for adipose-associated EV markers, reduced synovial 2′,3′-cyclic GMP-AMP levels, and superior improvement in OA symptoms. These findings define a conserved EV-Mito–mtDNA–cGAS-STING axis linking adipose tissue to joint pathology and highlight fat-targeted interventions as mechanistically informed strategies for preventing and treating obesity-associated OA.</w:t>
      </w:r>
    </w:p>
    <w:p>
      <w:pPr>
        <w:spacing w:before="120" w:after="120"/>
      </w:pPr>
      <w:r>
        <w:rPr>
          <w:sz w:val="18"/>
        </w:rPr>
        <w:t>——————————————————————————————————————————————————————————————————————</w:t>
      </w:r>
    </w:p>
    <w:p>
      <w:pPr>
        <w:spacing w:before="160" w:after="40" w:line="240" w:lineRule="auto"/>
      </w:pPr>
      <w:r>
        <w:rPr>
          <w:b/>
        </w:rPr>
        <w:t xml:space="preserve">[113] </w:t>
      </w:r>
      <w:hyperlink r:id="rId624">
        <w:r>
          <w:rPr>
            <w:color w:val="1155CC"/>
            <w:u w:val="single"/>
          </w:rPr>
          <w:t>一种空间分辨的可植入微器件，用于实体瘤中工程化细胞治疗的多重原位筛选</w:t>
        </w:r>
      </w:hyperlink>
    </w:p>
    <w:p>
      <w:pPr>
        <w:spacing w:before="0" w:after="80"/>
      </w:pPr>
      <w:r>
        <w:rPr>
          <w:i/>
          <w:sz w:val="20"/>
        </w:rPr>
        <w:t>EN: A spatially resolved implantable microdevice for multiplexed in situ screening of engineered cellular therapies in solid tumors</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625">
        <w:r>
          <w:rPr>
            <w:color w:val="1155CC"/>
            <w:u w:val="single"/>
          </w:rPr>
          <w:t>10.1126/sciadv.aee6195</w:t>
        </w:r>
      </w:hyperlink>
    </w:p>
    <w:p>
      <w:pPr>
        <w:spacing w:before="0" w:after="120"/>
      </w:pPr>
      <w:r>
        <w:rPr>
          <w:b/>
        </w:rPr>
        <w:t xml:space="preserve">Notes: </w:t>
      </w:r>
      <w:r>
        <w:t>abstract_source=crossref</w:t>
      </w:r>
    </w:p>
    <w:p>
      <w:pPr>
        <w:spacing w:before="0" w:after="80" w:lineRule="auto" w:line="276"/>
      </w:pPr>
      <w:r>
        <w:rPr>
          <w:b/>
        </w:rPr>
        <w:t xml:space="preserve">摘要（ZH）: </w:t>
      </w:r>
      <w:r>
        <w:t>针对实体肿瘤的细胞免疫疗法的临床转化仍受限于缺乏能够在原生肿瘤微环境中评估治疗功能的合适工具。在此，我们展示了一种小型化可植入微装置（IMD），能够在活体肿瘤内直接对多种T细胞疗法的递送和筛选进行空间解析和多重化。这种可定制的IMD由若干离散的纤维蛋白填充储库组成，各储库可独立加载不同的免疫细胞制剂，从而在同一肿瘤块内实现空间局限的释放和区域特异性的免疫-肿瘤相互作用。在胶质母细胞瘤异种移植瘤中使用该平台，我们同时递送了靶向EGFR的CAR-T细胞和对照T细胞，并通过基于IHC的定量图像分析和多重免疫荧光分析邻近组织。与对照区域的极低活性相比，CAR-T细胞储库邻近的储库周围区域表现出密集的CD8+浸润、cleaved caspase-3介导的细胞凋亡以及Ki67表达的抑制。我们相信，我们的IMD平台有助于多种免疫细胞疗法的平行体内评估，为加速成功的个性化过继细胞疗法的开发提供转化工具。</w:t>
      </w:r>
    </w:p>
    <w:p>
      <w:pPr>
        <w:spacing w:before="0" w:after="200" w:lineRule="auto" w:line="276"/>
      </w:pPr>
      <w:r>
        <w:rPr>
          <w:b/>
        </w:rPr>
        <w:t xml:space="preserve">Abstract (EN): </w:t>
      </w:r>
      <w:r>
        <w:t>The clinical translation of cellular immunotherapies for solid tumors remains limited by the lack of adequate tools to evaluate therapeutic function within the native tumor microenvironment. Here, we demonstrate a miniaturized implantable microdevice (IMD) capable of spatially resolving and multiplexing the delivery and screening of multiple T cell therapies directly within live tumors. This customizable IMD is comprised of discrete fibrin-filled reservoirs that can be independently loaded with distinct immune cell formulations, which enables spatially confined release and region-specific immune-tumor interactions within the same tumor mass. Using this platform in glioblastoma xenografts, we simultaneously delivered EGFR-targeting CAR-T cells and control T cells and analyzed adjacent tissues via IHC-based quantitative image analysis and multiplexed immunofluorescence. The perireservoir region adjacent to CAR-T cell reservoirs exhibited dense CD8</w:t>
      </w:r>
      <w:r>
        <w:t xml:space="preserve"> </w:t>
      </w:r>
      <w:r>
        <w:t>+</w:t>
      </w:r>
      <w:r>
        <w:t xml:space="preserve"> </w:t>
      </w:r>
      <w:r>
        <w:t>infiltration, cleaved caspase-3-mediated apoptosis, and suppressed Ki67 expression, in contrast to minimal activity in control regions. We believe our IMD platform facilitates the parallel in vivo evaluation of multiple immune cell therapies, providing a translational tool to accelerate the development of successful personalized adoptive cell therapies.</w:t>
      </w:r>
    </w:p>
    <w:p>
      <w:pPr>
        <w:spacing w:before="120" w:after="120"/>
      </w:pPr>
      <w:r>
        <w:rPr>
          <w:sz w:val="18"/>
        </w:rPr>
        <w:t>——————————————————————————————————————————————————————————————————————</w:t>
      </w:r>
    </w:p>
    <w:p>
      <w:pPr>
        <w:spacing w:before="160" w:after="40" w:line="240" w:lineRule="auto"/>
      </w:pPr>
      <w:r>
        <w:rPr>
          <w:b/>
        </w:rPr>
        <w:t xml:space="preserve">[114] </w:t>
      </w:r>
      <w:hyperlink r:id="rId626">
        <w:r>
          <w:rPr>
            <w:color w:val="1155CC"/>
            <w:u w:val="single"/>
          </w:rPr>
          <w:t>可适配编织折纸结构</w:t>
        </w:r>
      </w:hyperlink>
    </w:p>
    <w:p>
      <w:pPr>
        <w:spacing w:before="0" w:after="80"/>
      </w:pPr>
      <w:r>
        <w:rPr>
          <w:i/>
          <w:sz w:val="20"/>
        </w:rPr>
        <w:t>EN: Adaptable weaving origami</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627">
        <w:r>
          <w:rPr>
            <w:color w:val="1155CC"/>
            <w:u w:val="single"/>
          </w:rPr>
          <w:t>10.1126/sciadv.aef6082</w:t>
        </w:r>
      </w:hyperlink>
    </w:p>
    <w:p>
      <w:pPr>
        <w:spacing w:before="0" w:after="120"/>
      </w:pPr>
      <w:r>
        <w:rPr>
          <w:b/>
        </w:rPr>
        <w:t xml:space="preserve">Notes: </w:t>
      </w:r>
      <w:r>
        <w:t>abstract_source=crossref</w:t>
      </w:r>
    </w:p>
    <w:p>
      <w:pPr>
        <w:spacing w:before="0" w:after="80" w:lineRule="auto" w:line="276"/>
      </w:pPr>
      <w:r>
        <w:rPr>
          <w:b/>
        </w:rPr>
        <w:t xml:space="preserve">摘要（ZH）: </w:t>
      </w:r>
      <w:r>
        <w:t>随着工程领域智能化的不断深入，可适配的形状变形结构对多功能性和可重构性的需求日益增加。折纸结构已在可展开结构、机械计算、超材料和变形机器人中得到广泛探索。然而，传统的折纸设计通常依赖单层折叠拓扑，这在可折叠性、可动性和可重构性之间造成了内在的权衡，从而限制了其通用性。在此，我们表明受编织启发的折纸可以通过在折纸设计中引入交织条带架构来克服这些限制。该策略能够同时实现可展开性、平折性和刚性可折叠性，同时支持耦合的伸展、扭转和弯曲变形。基于这一框架，我们建立了一个具有多样多边形构型的折纸单元库，展现出丰富且可编程的变形行为。包括机械加密、可适配光圈和折纸夹持器在内的演示说明了所提方法的通用性。这些结果表明，编织为构建适用于跨学科工程应用的通用折纸结构提供了一条有前景的途径。</w:t>
      </w:r>
    </w:p>
    <w:p>
      <w:pPr>
        <w:spacing w:before="0" w:after="200" w:lineRule="auto" w:line="276"/>
      </w:pPr>
      <w:r>
        <w:rPr>
          <w:b/>
        </w:rPr>
        <w:t xml:space="preserve">Abstract (EN): </w:t>
      </w:r>
      <w:r>
        <w:t>As intelligence continues to deepen in engineering fields, adaptable shape-morphing structures face increasing demands for multifunctionality and reconfigurability. Origami has been widely explored in deployable structures, mechanical computing, metamaterials, and metamorphic robots. However, conventional origami designs typically rely on single-layer folding topologies, which impose intrinsic trade-offs among foldability, mobility, and reconfigurability and thus limit their generality. Here, we show that weaving-inspired origami can overcome these constraints by introducing interlaced strip architectures into origami design. This strategy enables the simultaneous realization of developability, flat-foldability, and rigid foldability, while supporting coupled extension, twisting, and bending deformations. Based on this framework, we establish a library of origami units with diverse polygonal configurations that exhibit rich and programmable morphing behaviors. Demonstrations including mechanical encryption, adaptable apertures, and an origami gripper illustrate the versatility of the proposed approach. These results show that weaving provides a promising pathway for constructing general-purpose origami structures suitable for interdisciplinary engineering applications.</w:t>
      </w:r>
    </w:p>
    <w:p>
      <w:pPr>
        <w:spacing w:before="120" w:after="120"/>
      </w:pPr>
      <w:r>
        <w:rPr>
          <w:sz w:val="18"/>
        </w:rPr>
        <w:t>——————————————————————————————————————————————————————————————————————</w:t>
      </w:r>
    </w:p>
    <w:p>
      <w:pPr>
        <w:spacing w:before="160" w:after="40" w:line="240" w:lineRule="auto"/>
      </w:pPr>
      <w:r>
        <w:rPr>
          <w:b/>
        </w:rPr>
        <w:t xml:space="preserve">[115] </w:t>
      </w:r>
      <w:hyperlink r:id="rId628">
        <w:r>
          <w:rPr>
            <w:color w:val="1155CC"/>
            <w:u w:val="single"/>
          </w:rPr>
          <w:t>运动通过啮齿类和灵长类共享的计算原理优化感觉表征</w:t>
        </w:r>
      </w:hyperlink>
    </w:p>
    <w:p>
      <w:pPr>
        <w:spacing w:before="0" w:after="80"/>
      </w:pPr>
      <w:r>
        <w:rPr>
          <w:i/>
          <w:sz w:val="20"/>
        </w:rPr>
        <w:t>EN: Locomotion optimizes sensory representations through a computational principle shared by rodents and primates</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629">
        <w:r>
          <w:rPr>
            <w:color w:val="1155CC"/>
            <w:u w:val="single"/>
          </w:rPr>
          <w:t>10.1126/sciadv.aed4172</w:t>
        </w:r>
      </w:hyperlink>
    </w:p>
    <w:p>
      <w:pPr>
        <w:spacing w:before="0" w:after="120"/>
      </w:pPr>
      <w:r>
        <w:rPr>
          <w:b/>
        </w:rPr>
        <w:t xml:space="preserve">Notes: </w:t>
      </w:r>
      <w:r>
        <w:t>abstract_source=crossref</w:t>
      </w:r>
    </w:p>
    <w:p>
      <w:pPr>
        <w:spacing w:before="0" w:after="80" w:lineRule="auto" w:line="276"/>
      </w:pPr>
      <w:r>
        <w:rPr>
          <w:b/>
        </w:rPr>
        <w:t xml:space="preserve">摘要（ZH）: </w:t>
      </w:r>
      <w:r>
        <w:t>行为以多种方式调节感觉系统的活动：从单个神经元的增益变化到神经元群间相互作用的改变。这些效应并非普遍存在；虽然运动对啮齿动物的感觉编码有强烈影响，但其对灵长类动物的影响不太显著。运动对感觉神经元施加的效应的多样性以及物种之间的差异，引发了关于行为过程中感觉背后是否存在普遍原理的疑问。我们提出，感觉系统受到内部调节，以匹配由运动引起的刺激统计特性的系统性变化，从而促进准确而高效的感觉编码。我们发现，适应于在自然环境中运动期间记录的刺激的模型神经元，能够预测并重现啮齿动物和灵长类动物中广泛的实验观察结果。这种在不同行为状态下维持编码效率的简单原理，调和了运动在不同动物物种中调节视觉编码方式的多样性。</w:t>
      </w:r>
    </w:p>
    <w:p>
      <w:pPr>
        <w:spacing w:before="0" w:after="200" w:lineRule="auto" w:line="276"/>
      </w:pPr>
      <w:r>
        <w:rPr>
          <w:b/>
        </w:rPr>
        <w:t xml:space="preserve">Abstract (EN): </w:t>
      </w:r>
      <w:r>
        <w:t>Behavior modulates the activity of sensory systems in multiple ways: from gain changes in individual neurons to changing interactions in neural populations. These effects are not universal; while movement has a strong influence on sensory coding in rodents, its impact on primates is less prominent. The diversity of effects that locomotion exerts on sensory neurons, as well as disparities between species, raises questions about the existence of universal principles that may underlie sensation during behavior. We propose that sensory systems are internally modulated to match systematic changes in stimulus statistics caused by locomotion, to facilitate an accurate and efficient sensory code. We find that model neurons, adapted to stimuli recorded during movement in natural environments, predict and reproduce a broad spectrum of experimental observations in rodents and primates. This simple principle of maintaining coding efficiency across behavioral states reconciles the diversity of ways in which locomotion modulates visual coding in different animal species.</w:t>
      </w:r>
    </w:p>
    <w:p>
      <w:pPr>
        <w:spacing w:before="120" w:after="120"/>
      </w:pPr>
      <w:r>
        <w:rPr>
          <w:sz w:val="18"/>
        </w:rPr>
        <w:t>——————————————————————————————————————————————————————————————————————</w:t>
      </w:r>
    </w:p>
    <w:p>
      <w:pPr>
        <w:spacing w:before="160" w:after="40" w:line="240" w:lineRule="auto"/>
      </w:pPr>
      <w:r>
        <w:rPr>
          <w:b/>
        </w:rPr>
        <w:t xml:space="preserve">[116] </w:t>
      </w:r>
      <w:hyperlink r:id="rId630">
        <w:r>
          <w:rPr>
            <w:color w:val="1155CC"/>
            <w:u w:val="single"/>
          </w:rPr>
          <w:t>SHARPIN限制基质细胞释放IL-33以调控ILC2炎症</w:t>
        </w:r>
      </w:hyperlink>
    </w:p>
    <w:p>
      <w:pPr>
        <w:spacing w:before="0" w:after="80"/>
      </w:pPr>
      <w:r>
        <w:rPr>
          <w:i/>
          <w:sz w:val="20"/>
        </w:rPr>
        <w:t>EN: SHARPIN restrains IL-33 release by stromal cells to control ILC2 inflammation</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631">
        <w:r>
          <w:rPr>
            <w:color w:val="1155CC"/>
            <w:u w:val="single"/>
          </w:rPr>
          <w:t>10.1126/sciadv.aea2388</w:t>
        </w:r>
      </w:hyperlink>
    </w:p>
    <w:p>
      <w:pPr>
        <w:spacing w:before="0" w:after="120"/>
      </w:pPr>
      <w:r>
        <w:rPr>
          <w:b/>
        </w:rPr>
        <w:t xml:space="preserve">Notes: </w:t>
      </w:r>
      <w:r>
        <w:t>abstract_source=crossref</w:t>
      </w:r>
    </w:p>
    <w:p>
      <w:pPr>
        <w:spacing w:before="0" w:after="80" w:lineRule="auto" w:line="276"/>
      </w:pPr>
      <w:r>
        <w:rPr>
          <w:b/>
        </w:rPr>
        <w:t xml:space="preserve">摘要（ZH）: </w:t>
      </w:r>
      <w:r>
        <w:t>SHARPIN是线性泛素链组装复合物（LUBAC）的一个组分，其缺失会导致系统性炎症，包括小鼠多种组织中嗜酸性粒细胞的积累。然而，SHARPIN调节2型炎症的机制仍不清楚。在此，我们发现SHARPIN缺失通过细胞外在机制导致肺和其他组织中2型固有淋巴细胞（ILC2）数量增加。SHARPIN缺失在体内和体外均增强肺基质细胞产生白细胞介素-33（IL-33），从而促进ILC2增殖。在机制上，SHARPIN通过其Pleckstrin同源连接区直接结合IL-33，并以不依赖于其泛素化功能的方式抑制IL-33的释放。SHARPIN与IL-33联合缺失可完全逆转ILC2增加和肺部炎症，但不能逆转基质细胞死亡。我们的研究揭示了SHARPIN作为IL-33驱动的2型炎症守门者的非经典、非泛素依赖功能。</w:t>
      </w:r>
    </w:p>
    <w:p>
      <w:pPr>
        <w:spacing w:before="0" w:after="200" w:lineRule="auto" w:line="276"/>
      </w:pPr>
      <w:r>
        <w:rPr>
          <w:b/>
        </w:rPr>
        <w:t xml:space="preserve">Abstract (EN): </w:t>
      </w:r>
      <w:r>
        <w:t>Loss of SHARPIN, a component of the linear ubiquitin chain assembly complex (LUBAC), causes systemic inflammation including the accumulation of eosinophils across multiple tissues in mice. However, the mechanisms by which SHARPIN regulates type 2 inflammation remain unclear. Here, we found that SHARPIN deficiency resulted in increased numbers of type 2 innate lymphoid cells (ILC2s) in the lung and other tissues via a cell-extrinsic mechanism. SHARPIN loss enhanced interleukin-33 (IL-33) production by lung stromal cells in vivo and in vitro, thereby promoting ILC2 proliferation. Mechanistically, SHARPIN directly bound IL-33 through its Pleckstrin homology-linker region and restrained IL-33 release independently of its ubiquitination. Combined deficiency of SHARPIN and IL-33 completely reversed ILC2 increase and lung inflammation, but not stromal cell death. Our study reveals a non-canonical, ubiquitin-independent function of SHARPIN as a gatekeeper of IL-33-driven type 2 inflammation.</w:t>
      </w:r>
    </w:p>
    <w:p>
      <w:pPr>
        <w:spacing w:before="120" w:after="120"/>
      </w:pPr>
      <w:r>
        <w:rPr>
          <w:sz w:val="18"/>
        </w:rPr>
        <w:t>——————————————————————————————————————————————————————————————————————</w:t>
      </w:r>
    </w:p>
    <w:p>
      <w:pPr>
        <w:spacing w:before="160" w:after="40" w:line="240" w:lineRule="auto"/>
      </w:pPr>
      <w:r>
        <w:rPr>
          <w:b/>
        </w:rPr>
        <w:t xml:space="preserve">[117] </w:t>
      </w:r>
      <w:hyperlink r:id="rId632">
        <w:r>
          <w:rPr>
            <w:color w:val="1155CC"/>
            <w:u w:val="single"/>
          </w:rPr>
          <w:t>神经元来源的SPP1指导小胶质细胞限制神经退行性变</w:t>
        </w:r>
      </w:hyperlink>
    </w:p>
    <w:p>
      <w:pPr>
        <w:spacing w:before="0" w:after="80"/>
      </w:pPr>
      <w:r>
        <w:rPr>
          <w:i/>
          <w:sz w:val="20"/>
        </w:rPr>
        <w:t>EN: Neuron-derived SPP1 instructs microglia to limit degeneration</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633">
        <w:r>
          <w:rPr>
            <w:color w:val="1155CC"/>
            <w:u w:val="single"/>
          </w:rPr>
          <w:t>10.1126/sciadv.aee4940</w:t>
        </w:r>
      </w:hyperlink>
    </w:p>
    <w:p>
      <w:pPr>
        <w:spacing w:before="0" w:after="120"/>
      </w:pPr>
      <w:r>
        <w:rPr>
          <w:b/>
        </w:rPr>
        <w:t xml:space="preserve">Notes: </w:t>
      </w:r>
      <w:r>
        <w:t>abstract_source=crossref</w:t>
      </w:r>
    </w:p>
    <w:p>
      <w:pPr>
        <w:spacing w:before="0" w:after="80" w:lineRule="auto" w:line="276"/>
      </w:pPr>
      <w:r>
        <w:rPr>
          <w:b/>
        </w:rPr>
        <w:t xml:space="preserve">摘要（ZH）: </w:t>
      </w:r>
      <w:r>
        <w:t>神经元主动塑造维持中枢神经系统完整性的免疫反应。我们发现SPP1（分泌性磷蛋白1）是一种神经元来源的信号，可在损伤后及神经退行性变过程中将小胶质细胞重编程为神经保护性、稳态状态。在青光眼和视神经损伤小鼠模型中，神经元SPP1增强小胶质细胞自噬、碎片清除及抗炎活性，从而保护神经元存活和视功能。SPP1在人类和灵长类青光眼视网膜神经元中表达升高，其中SPP1+细胞表现出更强的耐受性。在阿尔茨海默病患者大脑中，神经元SPP1与神经元存活相关，而Aβ斑块周围的小胶质细胞表现出自噬缺陷。在人类iPSC共培养体系中，SPP1增强小胶质细胞对Aβ的清除并防止神经退行性变。因此，SPP1界定了青光眼乃至其他神经退行性疾病中一条保护性的神经元–小胶质细胞轴。</w:t>
      </w:r>
    </w:p>
    <w:p>
      <w:pPr>
        <w:spacing w:before="0" w:after="200" w:lineRule="auto" w:line="276"/>
      </w:pPr>
      <w:r>
        <w:rPr>
          <w:b/>
        </w:rPr>
        <w:t xml:space="preserve">Abstract (EN): </w:t>
      </w:r>
      <w:r>
        <w:t>Neurons actively shape immune responses that maintain central nervous system integrity. We identify SPP1 (secreted phosphoprotein 1) as a neuron-derived signal that reprograms microglia into a neuroprotective, homeostatic state after injury and during neurodegeneration. In mouse models of glaucoma and optic nerve damage, neuronal SPP1 enhances microglial autophagy, debris clearance, and anti-inflammatory activity, preserving neuronal survival and visual function. SPP1 is elevated in neurons of human and primate glaucomatous retinas, where SPP1</w:t>
      </w:r>
      <w:r>
        <w:t xml:space="preserve"> </w:t>
      </w:r>
      <w:r>
        <w:t>+</w:t>
      </w:r>
      <w:r>
        <w:t xml:space="preserve"> </w:t>
      </w:r>
      <w:r>
        <w:t>cells show increased resilience. In Alzheimer’s disease brain, neuronal SPP1 correlates with neuronal survival, while microglia around Aβ plaques display defective autophagy. In human iPSC co-cultures, SPP1 enhances microglial Aβ clearance and prevents neurodegeneration. Thus, SPP1 defines a protective neuron–microglia axis in glaucoma and possibly other neurodegenerative diseases.</w:t>
      </w:r>
    </w:p>
    <w:p>
      <w:pPr>
        <w:spacing w:before="120" w:after="120"/>
      </w:pPr>
      <w:r>
        <w:rPr>
          <w:sz w:val="18"/>
        </w:rPr>
        <w:t>——————————————————————————————————————————————————————————————————————</w:t>
      </w:r>
    </w:p>
    <w:p>
      <w:pPr>
        <w:spacing w:before="160" w:after="40" w:line="240" w:lineRule="auto"/>
      </w:pPr>
      <w:r>
        <w:rPr>
          <w:b/>
        </w:rPr>
        <w:t xml:space="preserve">[118] </w:t>
      </w:r>
      <w:hyperlink r:id="rId634">
        <w:r>
          <w:rPr>
            <w:color w:val="1155CC"/>
            <w:u w:val="single"/>
          </w:rPr>
          <w:t>利用腔内混合光子合成维度构建狄拉克点</w:t>
        </w:r>
      </w:hyperlink>
    </w:p>
    <w:p>
      <w:pPr>
        <w:spacing w:before="0" w:after="80"/>
      </w:pPr>
      <w:r>
        <w:rPr>
          <w:i/>
          <w:sz w:val="20"/>
        </w:rPr>
        <w:t>EN: Engineering Dirac points with hybrid photonic synthetic dimensions in a cavity</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635">
        <w:r>
          <w:rPr>
            <w:color w:val="1155CC"/>
            <w:u w:val="single"/>
          </w:rPr>
          <w:t>10.1126/sciadv.aef2406</w:t>
        </w:r>
      </w:hyperlink>
    </w:p>
    <w:p>
      <w:pPr>
        <w:spacing w:before="0" w:after="120"/>
      </w:pPr>
      <w:r>
        <w:rPr>
          <w:b/>
        </w:rPr>
        <w:t xml:space="preserve">Notes: </w:t>
      </w:r>
      <w:r>
        <w:t>abstract_source=crossref</w:t>
      </w:r>
    </w:p>
    <w:p>
      <w:pPr>
        <w:spacing w:before="0" w:after="80" w:lineRule="auto" w:line="276"/>
      </w:pPr>
      <w:r>
        <w:rPr>
          <w:b/>
        </w:rPr>
        <w:t xml:space="preserve">摘要（ZH）: </w:t>
      </w:r>
      <w:r>
        <w:t>合成维度为在实空间几何限制之外工程化拓扑物态提供了一条强大途径，具有增强的可调性和测量可达性。在此，我们在一个零维腔系统中基于光子频率和轨道角动量（OAM）实现了两个独立且扩展的合成维度。以偏振作为赝自旋，我们实现了耦合强度完全可控的各向异性Dirac哈密顿量，从而实现对Dirac点的前所未有的工程调控，包括其产生、移动与合并，以及从I型到II型Dirac锥的Lifshitz转变。利用角度分辨和时间分辨光谱技术，我们在实验上重构了完整的二维能带结构，确定了Dirac点，并测量了相应的Berry相位。我们的平台为探索Dirac物理和拓扑现象提供了多功能环境，并为高维量子模拟建立了可扩展的途径。</w:t>
      </w:r>
    </w:p>
    <w:p>
      <w:pPr>
        <w:spacing w:before="0" w:after="200" w:lineRule="auto" w:line="276"/>
      </w:pPr>
      <w:r>
        <w:rPr>
          <w:b/>
        </w:rPr>
        <w:t xml:space="preserve">Abstract (EN): </w:t>
      </w:r>
      <w:r>
        <w:t>Synthetic dimensions provide a powerful route for engineering topological matter beyond the constraints of real-space geometry, with enhanced tunability and measurement accessibility. Here, we implement two independent and extended synthetic dimensions based on photonic frequency and orbital angular momentum (OAM) in a zero-dimensional cavity system. With polarization serving as a pseudo-spin, we realize an anisotropic Dirac Hamiltonian with fully controllable coupling strengths, enabling unprecedented engineering of Dirac points, including their creation, motion, and merging, as well as a Lifshitz transition from type-I to type-II Dirac cones. Using angle- and time-resolved spectroscopic techniques, we experimentally reconstruct the full two-dimensional band structure, identify Dirac points, and measure the associated Berry phase. Our platform provides a versatile setting for exploring Dirac physics and topological phenomena and establishes a scalable pathway toward higher-dimensional quantum simulation.</w:t>
      </w:r>
    </w:p>
    <w:p>
      <w:pPr>
        <w:spacing w:before="120" w:after="120"/>
      </w:pPr>
      <w:r>
        <w:rPr>
          <w:sz w:val="18"/>
        </w:rPr>
        <w:t>——————————————————————————————————————————————————————————————————————</w:t>
      </w:r>
    </w:p>
    <w:p>
      <w:pPr>
        <w:spacing w:before="160" w:after="40" w:line="240" w:lineRule="auto"/>
      </w:pPr>
      <w:r>
        <w:rPr>
          <w:b/>
        </w:rPr>
        <w:t xml:space="preserve">[119] </w:t>
      </w:r>
      <w:hyperlink r:id="rId636">
        <w:r>
          <w:rPr>
            <w:color w:val="1155CC"/>
            <w:u w:val="single"/>
          </w:rPr>
          <w:t>钙钛矿超表面中Dirac激子-极化子凝聚体的非厄米捕获</w:t>
        </w:r>
      </w:hyperlink>
    </w:p>
    <w:p>
      <w:pPr>
        <w:spacing w:before="0" w:after="80"/>
      </w:pPr>
      <w:r>
        <w:rPr>
          <w:i/>
          <w:sz w:val="20"/>
        </w:rPr>
        <w:t>EN: Non-Hermitian trapping of Dirac exciton-polariton condensates in a perovskite metasurface</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637">
        <w:r>
          <w:rPr>
            <w:color w:val="1155CC"/>
            <w:u w:val="single"/>
          </w:rPr>
          <w:t>10.1126/sciadv.aeg5986</w:t>
        </w:r>
      </w:hyperlink>
    </w:p>
    <w:p>
      <w:pPr>
        <w:spacing w:before="0" w:after="120"/>
      </w:pPr>
      <w:r>
        <w:rPr>
          <w:b/>
        </w:rPr>
        <w:t xml:space="preserve">Notes: </w:t>
      </w:r>
      <w:r>
        <w:t>abstract_source=crossref</w:t>
      </w:r>
    </w:p>
    <w:p>
      <w:pPr>
        <w:spacing w:before="0" w:after="80" w:lineRule="auto" w:line="276"/>
      </w:pPr>
      <w:r>
        <w:rPr>
          <w:b/>
        </w:rPr>
        <w:t xml:space="preserve">摘要（ZH）: </w:t>
      </w:r>
      <w:r>
        <w:t>无质量Dirac粒子因其以所谓Klein悖论为表现的非凡隧穿特性而无法被俘获。这一结论源于保守（厄米）处理，但迄今为止尚未被推广到非厄米框架。最近，在超表面波导中实现了具有Dirac色散的激子-极化子的驱动-耗散玻色凝聚——一个富含非厄米效应的平台。在此，我们报道在卤化物钙钛矿超表面中对Dirac极化子空间束缚和能量量子化的实验观察。空间分布的非共振光学激发与激子-极化子相互作用相结合，形成了导致所观察效应的有效非厄米复势。在泵浦光斑从9到17微米紧聚焦的情况下，多个束缚态同时实现宏观占据，构成激子-极化子的多模玻色凝聚。我们基于Dirac方程的驱动-耗散扩展的理论分析揭示了一种绕过Klein悖论的非厄米束缚机制。与以往局限于有质量Dirac能隙的观察不同，该非厄米势阱即使在Dirac点两侧无隙谱中也能束缚粒子。</w:t>
      </w:r>
    </w:p>
    <w:p>
      <w:pPr>
        <w:spacing w:before="0" w:after="200" w:lineRule="auto" w:line="276"/>
      </w:pPr>
      <w:r>
        <w:rPr>
          <w:b/>
        </w:rPr>
        <w:t xml:space="preserve">Abstract (EN): </w:t>
      </w:r>
      <w:r>
        <w:t>Massless Dirac particles avoid trapping because of their exceptional tunneling properties manifested in the so-called Klein paradox. This conclusion stems from the conservative treatment, but so far, it has not been extended to a non-Hermitian framework. Recently, driven-dissipative bosonic condensation of exciton-polaritons featuring Dirac dispersion was demonstrated in metasurface waveguides—a platform rich in non-Hermitian effects. Here, we report an experimental observation of spatial binding and energy quantization of Dirac polaritons in a halide perovskite metasurface. A combination of spatially profiled nonresonant optical excitation and exciton-polariton interaction forms an effective non-Hermitian complex potential responsible for the observed effect. In the case of tightly focused pump spots spanning from 9 to 17 micrometers, several bound states simultaneously achieve macroscopic occupation, constituting a multimode bosonic condensation of exciton-polaritons. Our theoretical analysis based on the driven-dissipative extension of the Dirac equation reveals a non-Hermitian confinement mechanism that bypasses the Klein paradox. Unlike previous observations limited to massive Dirac gaps, the non-Hermitian trap confines particles even in a gapless spectrum on both sides of the Dirac point.</w:t>
      </w:r>
    </w:p>
    <w:p>
      <w:pPr>
        <w:spacing w:before="120" w:after="120"/>
      </w:pPr>
      <w:r>
        <w:rPr>
          <w:sz w:val="18"/>
        </w:rPr>
        <w:t>——————————————————————————————————————————————————————————————————————</w:t>
      </w:r>
    </w:p>
    <w:p>
      <w:pPr>
        <w:spacing w:before="160" w:after="40" w:line="240" w:lineRule="auto"/>
      </w:pPr>
      <w:r>
        <w:rPr>
          <w:b/>
        </w:rPr>
        <w:t xml:space="preserve">[120] </w:t>
      </w:r>
      <w:hyperlink r:id="rId638">
        <w:r>
          <w:rPr>
            <w:color w:val="1155CC"/>
            <w:u w:val="single"/>
          </w:rPr>
          <w:t>神经网络增强的Pfaffian波函数用于相互作用费米子的可扩展模拟</w:t>
        </w:r>
      </w:hyperlink>
    </w:p>
    <w:p>
      <w:pPr>
        <w:spacing w:before="0" w:after="80"/>
      </w:pPr>
      <w:r>
        <w:rPr>
          <w:i/>
          <w:sz w:val="20"/>
        </w:rPr>
        <w:t>EN: Neural network–augmented Pfaffian wave-functions for scalable simulations of interacting fermions</w:t>
      </w:r>
    </w:p>
    <w:p>
      <w:pPr>
        <w:spacing w:before="0" w:after="120"/>
      </w:pPr>
      <w:r>
        <w:rPr>
          <w:b/>
        </w:rPr>
        <w:t xml:space="preserve">Source: </w:t>
      </w:r>
      <w:r>
        <w:t>Proceedings of the National Academy of Sciences: Keyword search for query</w:t>
      </w:r>
      <w:r>
        <w:t xml:space="preserve">    </w:t>
      </w:r>
      <w:r>
        <w:rPr>
          <w:b/>
        </w:rPr>
        <w:t xml:space="preserve">Pub date: </w:t>
      </w:r>
      <w:r>
        <w:t>2026-08-28 07:00:00+00:00</w:t>
      </w:r>
      <w:r>
        <w:t xml:space="preserve">    </w:t>
      </w:r>
      <w:r>
        <w:rPr>
          <w:b/>
        </w:rPr>
        <w:t xml:space="preserve">DOI: </w:t>
      </w:r>
      <w:hyperlink r:id="rId639">
        <w:r>
          <w:rPr>
            <w:color w:val="1155CC"/>
            <w:u w:val="single"/>
          </w:rPr>
          <w:t>10.1073/pnas.2535288123</w:t>
        </w:r>
      </w:hyperlink>
    </w:p>
    <w:p>
      <w:pPr>
        <w:spacing w:before="0" w:after="120"/>
      </w:pPr>
      <w:r>
        <w:rPr>
          <w:b/>
        </w:rPr>
        <w:t xml:space="preserve">Notes: </w:t>
      </w:r>
      <w:r>
        <w:t>abstract_source=crossref</w:t>
      </w:r>
    </w:p>
    <w:p>
      <w:pPr>
        <w:spacing w:before="0" w:after="80" w:lineRule="auto" w:line="276"/>
      </w:pPr>
      <w:r>
        <w:rPr>
          <w:b/>
        </w:rPr>
        <w:t xml:space="preserve">摘要（ZH）: </w:t>
      </w:r>
      <w:r>
        <w:t>发展针对强相互作用费米子的精确数值方法对于增进对各种量子多体现象（尤其是非常规超导）的理解至关重要。最近，神经量子态作为研究关联费米子的一种有前景的方法应运而生，其中隐藏费米子方法和回流（backflow）方法尤为突出，它们利用神经网络对费米准粒子轨道进行修正建模。在本工作中，我们将这些思想扩展到Pfaffian空间——一种自然表达超导配对的波函数——并提出隐藏费米子Pfaffian态（HFPS），它可灵活表示非配对相和超导相，并以良好的渐近复杂性扩展到大体系。在我们的数值实验中，HFPS在吸引和排斥Hubbard模型的不同区域均提供了最先进的变分精度。我们表明HFPS能够刻画有配对和无配对的一般相，因此可能成为模拟非常规超导相的有用工具。</w:t>
      </w:r>
    </w:p>
    <w:p>
      <w:pPr>
        <w:spacing w:before="0" w:after="200" w:lineRule="auto" w:line="276"/>
      </w:pPr>
      <w:r>
        <w:rPr>
          <w:b/>
        </w:rPr>
        <w:t xml:space="preserve">Abstract (EN): </w:t>
      </w:r>
      <w:r>
        <w:t>Developing accurate numerical methods for strongly interacting fermions is crucial for improving our understanding of various quantum many-body phenomena, especially unconventional superconductivity. Recently, neural quantum states have emerged as a promising approach for studying correlated fermions, highlighted by the hidden fermion and backflow methods, which use neural networks to model corrections to fermionic quasiparticle orbitals. In this work, we expand these ideas to the space of Pfaffians, a wave-function that naturally expresses superconducting pairings, and propose the hidden fermion Pfaffian state (HFPS), which flexibly represents both unpaired and superconducting phases and scales to large systems with favorable asymptotic complexity. In our numerical experiments, HFPS provides state-of-the-art variational accuracy in different regimes of both the attractive and repulsive Hubbard models. We show that the HFPS is able to capture general phases with and without pairing, and therefore may be a useful tool for modeling phases with unconventional superconductivity.</w:t>
      </w:r>
    </w:p>
    <w:p>
      <w:pPr>
        <w:spacing w:before="120" w:after="120"/>
      </w:pPr>
      <w:r>
        <w:rPr>
          <w:sz w:val="18"/>
        </w:rPr>
        <w:t>——————————————————————————————————————————————————————————————————————</w:t>
      </w:r>
    </w:p>
    <w:p>
      <w:pPr>
        <w:spacing w:before="160" w:after="40" w:line="240" w:lineRule="auto"/>
      </w:pPr>
      <w:r>
        <w:rPr>
          <w:b/>
        </w:rPr>
        <w:t xml:space="preserve">[121] </w:t>
      </w:r>
      <w:hyperlink r:id="rId640">
        <w:r>
          <w:rPr>
            <w:color w:val="1155CC"/>
            <w:u w:val="single"/>
          </w:rPr>
          <w:t>表面化学决定原代巨噬细胞对PEG和两性离子siRNA纳米载体的性别依赖性响应</w:t>
        </w:r>
      </w:hyperlink>
    </w:p>
    <w:p>
      <w:pPr>
        <w:spacing w:before="0" w:after="80"/>
      </w:pPr>
      <w:r>
        <w:rPr>
          <w:i/>
          <w:sz w:val="20"/>
        </w:rPr>
        <w:t>EN: Surface chemistry governs sex-dependent responses to PEG and zwitterionic siRNA nanocarriers in primary macrophages</w:t>
      </w:r>
    </w:p>
    <w:p>
      <w:pPr>
        <w:spacing w:before="0" w:after="120"/>
      </w:pPr>
      <w:r>
        <w:rPr>
          <w:b/>
        </w:rPr>
        <w:t xml:space="preserve">Source: </w:t>
      </w:r>
      <w:r>
        <w:t>AAAS: Science Advances: Table of Contents</w:t>
      </w:r>
      <w:r>
        <w:t xml:space="preserve">    </w:t>
      </w:r>
      <w:r>
        <w:rPr>
          <w:b/>
        </w:rPr>
        <w:t xml:space="preserve">Pub date: </w:t>
      </w:r>
      <w:r>
        <w:t>2026-08-28 07:00:00+00:00</w:t>
      </w:r>
      <w:r>
        <w:t xml:space="preserve">    </w:t>
      </w:r>
      <w:r>
        <w:rPr>
          <w:b/>
        </w:rPr>
        <w:t xml:space="preserve">DOI: </w:t>
      </w:r>
      <w:hyperlink r:id="rId641">
        <w:r>
          <w:rPr>
            <w:color w:val="1155CC"/>
            <w:u w:val="single"/>
          </w:rPr>
          <w:t>10.1126/sciadv.aef4315</w:t>
        </w:r>
      </w:hyperlink>
    </w:p>
    <w:p>
      <w:pPr>
        <w:spacing w:before="0" w:after="120"/>
      </w:pPr>
      <w:r>
        <w:rPr>
          <w:b/>
        </w:rPr>
        <w:t xml:space="preserve">Notes: </w:t>
      </w:r>
      <w:r>
        <w:t>abstract_source=crossref</w:t>
      </w:r>
    </w:p>
    <w:p>
      <w:pPr>
        <w:spacing w:before="0" w:after="80" w:lineRule="auto" w:line="276"/>
      </w:pPr>
      <w:r>
        <w:rPr>
          <w:b/>
        </w:rPr>
        <w:t xml:space="preserve">摘要（ZH）: </w:t>
      </w:r>
      <w:r>
        <w:t>纳米颗粒载体广泛用于核酸递送，其中聚乙二醇（PEG）修饰的纳米颗粒已成为该领域的领跑者。围绕PEG免疫原性的日益担忧激发了人们对两性离子聚合物作为替代性生物相容性表面接枝物的兴趣。目前，关于两性离子修饰纳米颗粒在原代免疫细胞中及不同生物学性别中的表现数据匮乏。在此，我们合成了pH响应的PEG和两性离子接枝的阳离子纳米颗粒，包括PEG甲基醚甲基丙烯酸酯（PEGMMA）、羧基甜菜碱甲基丙烯酸酯（CBMA）、磺基甜菜碱甲基丙烯酸酯（SBMA）和聚合型SBMA，并在原代雄性和雌性小鼠巨噬细胞中评估了它们的细胞毒性和小干扰RNA（siRNA）递送能力。所有制剂均能实现细胞内siRNA摄取并抑制肿瘤坏死因子-α的表达。性别依赖性效应因纳米颗粒制剂和生物学终点而异。两性离子纳米颗粒尽管摄取相似，却在细胞毒性和基因敲低中表现出性别特异性效应，而PEGMMA在雌性中摄取较高但在两性间敲低效果相当。这些发现表明，摄取 alone 不能预测功能效力，并凸显了在开发纳米药物时进行性别知情评估的重要性。</w:t>
      </w:r>
    </w:p>
    <w:p>
      <w:pPr>
        <w:spacing w:before="0" w:after="200" w:lineRule="auto" w:line="276"/>
      </w:pPr>
      <w:r>
        <w:rPr>
          <w:b/>
        </w:rPr>
        <w:t xml:space="preserve">Abstract (EN): </w:t>
      </w:r>
      <w:r>
        <w:t>Nanoparticle carriers are widely used for nucleic acid delivery, with poly(ethylene glycol) (PEG)–conjugated nanoparticles emerging as a frontrunner in the field. Growing concerns surrounding PEG immunogenicity have generated interest in zwitterionic polymers as alternative biocompatible surface grafts. At present, there exists a paucity of data regarding zwitterion-conjugated nanoparticle performance in primary immune cells and across biological sexes. Here, we synthesized pH-responsive PEG- and zwitterion-grafted cationic nanoparticles, including PEG methyl ether methacrylate (PEGMMA), carboxybetaine methacrylate (CBMA), sulfobetaine methacrylate (SBMA), and polymeric SBMA, and assessed their cytotoxicity and small interfering RNA (siRNA) delivery in primary male and female murine macrophages. All formulations enabled intracellular siRNA uptake and suppressed tumor necrosis factor–α expression. Sex-dependent effects varied by nanoparticle formulation and biological end point. Zwitterionic nanoparticles exhibited sex-specific effects in cytotoxicity and gene knockdown despite similar uptake, whereas PEGMMA showed higher uptake in females but comparable knockdown across sexes. These findings demonstrate that uptake alone does not predict functional efficacy and highlight the importance of sex-informed evaluation when developing nanomedicines.</w:t>
      </w:r>
    </w:p>
    <w:p>
      <w:pPr>
        <w:spacing w:before="120" w:after="120"/>
      </w:pPr>
      <w:r>
        <w:rPr>
          <w:sz w:val="18"/>
        </w:rPr>
        <w:t>——————————————————————————————————————————————————————————————————————</w:t>
      </w:r>
    </w:p>
    <w:p>
      <w:pPr>
        <w:spacing w:before="160" w:after="40" w:line="240" w:lineRule="auto"/>
      </w:pPr>
      <w:r>
        <w:rPr>
          <w:b/>
        </w:rPr>
        <w:t xml:space="preserve">[122] </w:t>
      </w:r>
      <w:hyperlink r:id="rId642">
        <w:r>
          <w:rPr>
            <w:color w:val="1155CC"/>
            <w:u w:val="single"/>
          </w:rPr>
          <w:t>用XENONnT探测太阳$^{8}\mathrm{B}$中微子雾</w:t>
        </w:r>
      </w:hyperlink>
    </w:p>
    <w:p>
      <w:pPr>
        <w:spacing w:before="0" w:after="80"/>
      </w:pPr>
      <w:r>
        <w:rPr>
          <w:i/>
          <w:sz w:val="20"/>
        </w:rPr>
        <w:t>EN: Probing the Solar $^{8}\mathrm{B}$ Neutrino Fog with XENONnT</w:t>
      </w:r>
    </w:p>
    <w:p>
      <w:pPr>
        <w:spacing w:before="0" w:after="120"/>
      </w:pPr>
      <w:r>
        <w:rPr>
          <w:b/>
        </w:rPr>
        <w:t xml:space="preserve">Source: </w:t>
      </w:r>
      <w:r>
        <w:t>Recent Articles in Phys. Rev. Lett.</w:t>
      </w:r>
      <w:r>
        <w:t xml:space="preserve">    </w:t>
      </w:r>
      <w:r>
        <w:rPr>
          <w:b/>
        </w:rPr>
        <w:t xml:space="preserve">Pub date: </w:t>
      </w:r>
      <w:r>
        <w:t>2026-08-28 10:00:00+00:00</w:t>
      </w:r>
      <w:r>
        <w:t xml:space="preserve">    </w:t>
      </w:r>
      <w:r>
        <w:rPr>
          <w:b/>
        </w:rPr>
        <w:t xml:space="preserve">DOI: </w:t>
      </w:r>
      <w:hyperlink r:id="rId643">
        <w:r>
          <w:rPr>
            <w:color w:val="1155CC"/>
            <w:u w:val="single"/>
          </w:rPr>
          <w:t>10.1103/xvpn-w3q9</w:t>
        </w:r>
      </w:hyperlink>
    </w:p>
    <w:p>
      <w:pPr>
        <w:spacing w:before="0" w:after="120"/>
      </w:pPr>
      <w:r>
        <w:rPr>
          <w:b/>
        </w:rPr>
        <w:t xml:space="preserve">Notes: </w:t>
      </w:r>
      <w:r>
        <w:t>abstract_source=rss_description</w:t>
      </w:r>
    </w:p>
    <w:p>
      <w:pPr>
        <w:spacing w:before="0" w:after="80" w:lineRule="auto" w:line="276"/>
      </w:pPr>
      <w:r>
        <w:rPr>
          <w:b/>
        </w:rPr>
        <w:t xml:space="preserve">摘要（ZH）: </w:t>
      </w:r>
      <w:r>
        <w:t>作者：E. Aprile等（XENON合作组）我们利用XENONnT实验$6.77\text{ }\text{ }\mathrm{t}×\mathrm{yr}$的曝光量，报告了对太阳$^{8}\mathrm{B}$中微子相干弹性中微子-核散射的$3.3σ$测量，推断太阳$^{8}\mathrm{B}$中微子通量为$({5}_{−2}^{+3})×{10}^{6}\text{ }\text{ …[Phys. Rev. Lett. 137, 091807] Published Fri Aug 28, 2026</w:t>
      </w:r>
    </w:p>
    <w:p>
      <w:pPr>
        <w:spacing w:before="0" w:after="200" w:lineRule="auto" w:line="276"/>
      </w:pPr>
      <w:r>
        <w:rPr>
          <w:b/>
        </w:rPr>
        <w:t xml:space="preserve">Abstract (EN): </w:t>
      </w:r>
      <w:r>
        <w:t>Author(s): E. Aprile et al. (XENON Collaboration)We report a $3.3σ$ measurement of coherent elastic neutrino-nucleus scattering from solar $^{8}\mathrm{B}$ neutrinos using a $6.77\text{ }\text{ }\mathrm{t}×\mathrm{yr}$ exposure from the XENONnT experiment, inferring a solar $^{8}\mathrm{B}$ neutrino flux of $({5}_{−2}^{+3})×{10}^{6}\text{ }\text{ …[Phys. Rev. Lett. 137, 091807] Published Fri Aug 28, 2026</w:t>
      </w:r>
    </w:p>
    <w:p>
      <w:pPr>
        <w:spacing w:before="120" w:after="120"/>
      </w:pPr>
      <w:r>
        <w:rPr>
          <w:sz w:val="18"/>
        </w:rPr>
        <w:t>——————————————————————————————————————————————————————————————————————</w:t>
      </w:r>
    </w:p>
    <w:p>
      <w:pPr>
        <w:spacing w:before="160" w:after="40" w:line="240" w:lineRule="auto"/>
      </w:pPr>
      <w:r>
        <w:rPr>
          <w:b/>
        </w:rPr>
        <w:t xml:space="preserve">[123] </w:t>
      </w:r>
      <w:hyperlink r:id="rId644">
        <w:r>
          <w:rPr>
            <w:color w:val="1155CC"/>
            <w:u w:val="single"/>
          </w:rPr>
          <w:t>从守恒荷涨落中寻找重子夸克-双夸克结构的证据</w:t>
        </w:r>
      </w:hyperlink>
    </w:p>
    <w:p>
      <w:pPr>
        <w:spacing w:before="0" w:after="80"/>
      </w:pPr>
      <w:r>
        <w:rPr>
          <w:i/>
          <w:sz w:val="20"/>
        </w:rPr>
        <w:t>EN: Evidence for quark-diquark structure of baryons from fluctuations of conserved charges</w:t>
      </w:r>
    </w:p>
    <w:p>
      <w:pPr>
        <w:spacing w:before="0" w:after="120"/>
      </w:pPr>
      <w:r>
        <w:rPr>
          <w:b/>
        </w:rPr>
        <w:t xml:space="preserve">Source: </w:t>
      </w:r>
      <w:r>
        <w:t>Recent Articles in Phys. Rev. C</w:t>
      </w:r>
      <w:r>
        <w:t xml:space="preserve">    </w:t>
      </w:r>
      <w:r>
        <w:rPr>
          <w:b/>
        </w:rPr>
        <w:t xml:space="preserve">Pub date: </w:t>
      </w:r>
      <w:r>
        <w:t>2026-08-28 10:00:00+00:00</w:t>
      </w:r>
      <w:r>
        <w:t xml:space="preserve">    </w:t>
      </w:r>
      <w:r>
        <w:rPr>
          <w:b/>
        </w:rPr>
        <w:t xml:space="preserve">DOI: </w:t>
      </w:r>
      <w:hyperlink r:id="rId645">
        <w:r>
          <w:rPr>
            <w:color w:val="1155CC"/>
            <w:u w:val="single"/>
          </w:rPr>
          <w:t>10.1103/yb26-gj61</w:t>
        </w:r>
      </w:hyperlink>
    </w:p>
    <w:p>
      <w:pPr>
        <w:spacing w:before="0" w:after="120"/>
      </w:pPr>
      <w:r>
        <w:rPr>
          <w:b/>
        </w:rPr>
        <w:t xml:space="preserve">Notes: </w:t>
      </w:r>
      <w:r>
        <w:t>abstract_source=rss_description</w:t>
      </w:r>
    </w:p>
    <w:p>
      <w:pPr>
        <w:spacing w:before="0" w:after="80" w:lineRule="auto" w:line="276"/>
      </w:pPr>
      <w:r>
        <w:rPr>
          <w:b/>
        </w:rPr>
        <w:t xml:space="preserve">摘要（ZH）: </w:t>
      </w:r>
      <w:r>
        <w:t>作者：Michał Marczenko 和 Krzysztof Redlich 我们利用基于强子的强子质量谱的弦描述研究了QCD中守恒荷的涨落与关联。介子和重子分别被建模为具有夸克-反夸克和夸克-双夸克端点的开相对论性弦，从而导致 Hagedorn 式的指数增长……[Phys. Rev. C 114, 025205] 发布于 2026年8月28日（周五）</w:t>
      </w:r>
    </w:p>
    <w:p>
      <w:pPr>
        <w:spacing w:before="0" w:after="200" w:lineRule="auto" w:line="276"/>
      </w:pPr>
      <w:r>
        <w:rPr>
          <w:b/>
        </w:rPr>
        <w:t xml:space="preserve">Abstract (EN): </w:t>
      </w:r>
      <w:r>
        <w:t>Author(s): Michał Marczenko and Krzysztof RedlichWe study fluctuations and correlations of conserved charges in QCD using a string-based description of the hadronic mass spectrum. Mesons and baryons are modeled as open relativistic strings with quark-antiquark and quark-diquark endpoints, respectively, leading to an exponential Hagedorn growth of …[Phys. Rev. C 114, 025205] Published Fri Aug 28, 2026</w:t>
      </w:r>
    </w:p>
    <w:p>
      <w:pPr>
        <w:spacing w:before="120" w:after="120"/>
      </w:pPr>
      <w:r>
        <w:rPr>
          <w:sz w:val="18"/>
        </w:rPr>
        <w:t>——————————————————————————————————————————————————————————————————————</w:t>
      </w:r>
    </w:p>
    <w:p>
      <w:pPr>
        <w:spacing w:before="160" w:after="40" w:line="240" w:lineRule="auto"/>
      </w:pPr>
      <w:r>
        <w:rPr>
          <w:b/>
        </w:rPr>
        <w:t xml:space="preserve">[124] </w:t>
      </w:r>
      <w:hyperlink r:id="rId646">
        <w:r>
          <w:rPr>
            <w:color w:val="1155CC"/>
            <w:u w:val="single"/>
          </w:rPr>
          <w:t>femtoscopic测量与氘核形成中的相对论效应</w:t>
        </w:r>
      </w:hyperlink>
    </w:p>
    <w:p>
      <w:pPr>
        <w:spacing w:before="0" w:after="80"/>
      </w:pPr>
      <w:r>
        <w:rPr>
          <w:i/>
          <w:sz w:val="20"/>
        </w:rPr>
        <w:t>EN: Relativistic effects in femtoscopy and deuteron formation</w:t>
      </w:r>
    </w:p>
    <w:p>
      <w:pPr>
        <w:spacing w:before="0" w:after="120"/>
      </w:pPr>
      <w:r>
        <w:rPr>
          <w:b/>
        </w:rPr>
        <w:t xml:space="preserve">Source: </w:t>
      </w:r>
      <w:r>
        <w:t>Recent Articles in Phys. Rev. C</w:t>
      </w:r>
      <w:r>
        <w:t xml:space="preserve">    </w:t>
      </w:r>
      <w:r>
        <w:rPr>
          <w:b/>
        </w:rPr>
        <w:t xml:space="preserve">Pub date: </w:t>
      </w:r>
      <w:r>
        <w:t>2026-08-28 10:00:00+00:00</w:t>
      </w:r>
      <w:r>
        <w:t xml:space="preserve">    </w:t>
      </w:r>
      <w:r>
        <w:rPr>
          <w:b/>
        </w:rPr>
        <w:t xml:space="preserve">DOI: </w:t>
      </w:r>
      <w:hyperlink r:id="rId647">
        <w:r>
          <w:rPr>
            <w:color w:val="1155CC"/>
            <w:u w:val="single"/>
          </w:rPr>
          <w:t>10.1103/xp4n-hlr5</w:t>
        </w:r>
      </w:hyperlink>
    </w:p>
    <w:p>
      <w:pPr>
        <w:spacing w:before="0" w:after="120"/>
      </w:pPr>
      <w:r>
        <w:rPr>
          <w:b/>
        </w:rPr>
        <w:t xml:space="preserve">Notes: </w:t>
      </w:r>
      <w:r>
        <w:t>abstract_source=rss_description</w:t>
      </w:r>
    </w:p>
    <w:p>
      <w:pPr>
        <w:spacing w:before="0" w:after="80" w:lineRule="auto" w:line="276"/>
      </w:pPr>
      <w:r>
        <w:rPr>
          <w:b/>
        </w:rPr>
        <w:t xml:space="preserve">摘要（ZH）: </w:t>
      </w:r>
      <w:r>
        <w:t>作者：Stanisław Mrówczyński 长期以来，对 Femtoscopy 关联的研究提供了关于高能碰撞中粒子源时空特性的信息。最近，关联函数还被用来确定关联粒子的相互作用参数，这一点尤其重要……[Phys. Rev. C 114, 025206] 发布于 2026年8月28日（周五）</w:t>
      </w:r>
    </w:p>
    <w:p>
      <w:pPr>
        <w:spacing w:before="0" w:after="200" w:lineRule="auto" w:line="276"/>
      </w:pPr>
      <w:r>
        <w:rPr>
          <w:b/>
        </w:rPr>
        <w:t xml:space="preserve">Abstract (EN): </w:t>
      </w:r>
      <w:r>
        <w:t>Author(s): Stanisław MrówczyńskiFor a long time, studies of femtoscopic correlations have provided information about space-time characteristics of particle sources in high-energy collisions. Recently, the correlation functions have also been used to determine interaction parameters of correlated particles, which is especially impo…[Phys. Rev. C 114, 025206] Published Fri Aug 28, 2026</w:t>
      </w:r>
    </w:p>
    <w:p>
      <w:pPr>
        <w:spacing w:before="120" w:after="120"/>
      </w:pPr>
      <w:r>
        <w:rPr>
          <w:sz w:val="18"/>
        </w:rPr>
        <w:t>——————————————————————————————————————————————————————————————————————</w:t>
      </w:r>
    </w:p>
    <w:p>
      <w:pPr>
        <w:spacing w:before="160" w:after="40" w:line="240" w:lineRule="auto"/>
      </w:pPr>
      <w:r>
        <w:rPr>
          <w:b/>
        </w:rPr>
        <w:t xml:space="preserve">[125] </w:t>
      </w:r>
      <w:hyperlink r:id="rId648">
        <w:r>
          <w:rPr>
            <w:color w:val="1155CC"/>
            <w:u w:val="single"/>
          </w:rPr>
          <w:t>重新审视质子系统中的隐形传态</w:t>
        </w:r>
      </w:hyperlink>
    </w:p>
    <w:p>
      <w:pPr>
        <w:spacing w:before="0" w:after="80"/>
      </w:pPr>
      <w:r>
        <w:rPr>
          <w:i/>
          <w:sz w:val="20"/>
        </w:rPr>
        <w:t>EN: Teleportation in proton systems reexamined</w:t>
      </w:r>
    </w:p>
    <w:p>
      <w:pPr>
        <w:spacing w:before="0" w:after="120"/>
      </w:pPr>
      <w:r>
        <w:rPr>
          <w:b/>
        </w:rPr>
        <w:t xml:space="preserve">Source: </w:t>
      </w:r>
      <w:r>
        <w:t>Recent Articles in Phys. Rev. C</w:t>
      </w:r>
      <w:r>
        <w:t xml:space="preserve">    </w:t>
      </w:r>
      <w:r>
        <w:rPr>
          <w:b/>
        </w:rPr>
        <w:t xml:space="preserve">Pub date: </w:t>
      </w:r>
      <w:r>
        <w:t>2026-08-28 10:00:00+00:00</w:t>
      </w:r>
      <w:r>
        <w:t xml:space="preserve">    </w:t>
      </w:r>
      <w:r>
        <w:rPr>
          <w:b/>
        </w:rPr>
        <w:t xml:space="preserve">DOI: </w:t>
      </w:r>
      <w:hyperlink r:id="rId649">
        <w:r>
          <w:rPr>
            <w:color w:val="1155CC"/>
            <w:u w:val="single"/>
          </w:rPr>
          <w:t>10.1103/d8nv-mttg</w:t>
        </w:r>
      </w:hyperlink>
    </w:p>
    <w:p>
      <w:pPr>
        <w:spacing w:before="0" w:after="120"/>
      </w:pPr>
      <w:r>
        <w:rPr>
          <w:b/>
        </w:rPr>
        <w:t xml:space="preserve">Notes: </w:t>
      </w:r>
      <w:r>
        <w:t>abstract_source=rss_description</w:t>
      </w:r>
    </w:p>
    <w:p>
      <w:pPr>
        <w:spacing w:before="0" w:after="80" w:lineRule="auto" w:line="276"/>
      </w:pPr>
      <w:r>
        <w:rPr>
          <w:b/>
        </w:rPr>
        <w:t xml:space="preserve">摘要（ZH）: </w:t>
      </w:r>
      <w:r>
        <w:t>作者：H. Witała 我讨论了初始组态中存在纠缠的质子-质子类 Bell 态所导致的三质子系统散射的特性。我采用核物理的标准自旋形式来表述这一问题，以便详细追踪导致……的反应路径[Phys. Rev. C 114, 024003] 发布于 2026年8月28日（周五）</w:t>
      </w:r>
    </w:p>
    <w:p>
      <w:pPr>
        <w:spacing w:before="0" w:after="200" w:lineRule="auto" w:line="276"/>
      </w:pPr>
      <w:r>
        <w:rPr>
          <w:b/>
        </w:rPr>
        <w:t xml:space="preserve">Abstract (EN): </w:t>
      </w:r>
      <w:r>
        <w:t>Author(s): H. WitałaI discuss the peculiarities of scattering in a three-proton system induced by the presence of an entangled proton-proton Bell-like state in the initial configuration. I formulate the problem using the standard spin formalism of nuclear physics in order to follow in detail the reaction pathways leadi…[Phys. Rev. C 114, 024003] Published Fri Aug 28, 2026</w:t>
      </w:r>
    </w:p>
    <w:p>
      <w:pPr>
        <w:spacing w:before="120" w:after="120"/>
      </w:pPr>
      <w:r>
        <w:rPr>
          <w:sz w:val="18"/>
        </w:rPr>
        <w:t>——————————————————————————————————————————————————————————————————————</w:t>
      </w:r>
    </w:p>
    <w:p>
      <w:pPr>
        <w:spacing w:before="160" w:after="40" w:line="240" w:lineRule="auto"/>
      </w:pPr>
      <w:r>
        <w:rPr>
          <w:b/>
        </w:rPr>
        <w:t xml:space="preserve">[126] </w:t>
      </w:r>
      <w:hyperlink r:id="rId650">
        <w:r>
          <w:rPr>
            <w:color w:val="1155CC"/>
            <w:u w:val="single"/>
          </w:rPr>
          <w:t>量子行走分裂概率的相变</w:t>
        </w:r>
      </w:hyperlink>
    </w:p>
    <w:p>
      <w:pPr>
        <w:spacing w:before="0" w:after="80"/>
      </w:pPr>
      <w:r>
        <w:rPr>
          <w:i/>
          <w:sz w:val="20"/>
        </w:rPr>
        <w:t>EN: Transition in Splitting Probabilities of Quantum Walks</w:t>
      </w:r>
    </w:p>
    <w:p>
      <w:pPr>
        <w:spacing w:before="0" w:after="120"/>
      </w:pPr>
      <w:r>
        <w:rPr>
          <w:b/>
        </w:rPr>
        <w:t xml:space="preserve">Source: </w:t>
      </w:r>
      <w:r>
        <w:t>Recent Articles in Phys. Rev. Lett.</w:t>
      </w:r>
      <w:r>
        <w:t xml:space="preserve">    </w:t>
      </w:r>
      <w:r>
        <w:rPr>
          <w:b/>
        </w:rPr>
        <w:t xml:space="preserve">Pub date: </w:t>
      </w:r>
      <w:r>
        <w:t>2026-08-28 10:00:00+00:00</w:t>
      </w:r>
      <w:r>
        <w:t xml:space="preserve">    </w:t>
      </w:r>
      <w:r>
        <w:rPr>
          <w:b/>
        </w:rPr>
        <w:t xml:space="preserve">DOI: </w:t>
      </w:r>
      <w:hyperlink r:id="rId651">
        <w:r>
          <w:rPr>
            <w:color w:val="1155CC"/>
            <w:u w:val="single"/>
          </w:rPr>
          <w:t>10.1103/gvzq-n573</w:t>
        </w:r>
      </w:hyperlink>
    </w:p>
    <w:p>
      <w:pPr>
        <w:spacing w:before="0" w:after="120"/>
      </w:pPr>
      <w:r>
        <w:rPr>
          <w:b/>
        </w:rPr>
        <w:t xml:space="preserve">Notes: </w:t>
      </w:r>
      <w:r>
        <w:t>abstract_source=rss_description</w:t>
      </w:r>
    </w:p>
    <w:p>
      <w:pPr>
        <w:spacing w:before="0" w:after="80" w:lineRule="auto" w:line="276"/>
      </w:pPr>
      <w:r>
        <w:rPr>
          <w:b/>
        </w:rPr>
        <w:t xml:space="preserve">摘要（ZH）: </w:t>
      </w:r>
      <w:r>
        <w:t>作者：Prashant Singh、David A. Kessler 和 Eli Barkai 我们研究了具有两个目标点的被监测连续时间量子行走的劈裂概率，并表明与经典随机行走形成鲜明对比的是，它表现出由目标点处的采样时间控制的非解析的、类相变的行为。对于大系统和采样……[Phys. Rev. Lett. 137, 090405] 发布于 2026年8月28日（周五）</w:t>
      </w:r>
    </w:p>
    <w:p>
      <w:pPr>
        <w:spacing w:before="0" w:after="200" w:lineRule="auto" w:line="276"/>
      </w:pPr>
      <w:r>
        <w:rPr>
          <w:b/>
        </w:rPr>
        <w:t xml:space="preserve">Abstract (EN): </w:t>
      </w:r>
      <w:r>
        <w:t>Author(s): Prashant Singh, David A. Kessler, and Eli BarkaiWe investigate the splitting probability of a monitored continuous-time quantum walk with two targets and show that, in stark contrast to a classical random walk, it exhibits a nonanalytic, phase-transition-like behavior controlled by the sampling time at the targets. For large systems and sampling …[Phys. Rev. Lett. 137, 090405] Published Fri Aug 28, 2026</w:t>
      </w:r>
    </w:p>
    <w:p>
      <w:pPr>
        <w:spacing w:before="120" w:after="120"/>
      </w:pPr>
      <w:r>
        <w:rPr>
          <w:sz w:val="18"/>
        </w:rPr>
        <w:t>——————————————————————————————————————————————————————————————————————</w:t>
      </w:r>
    </w:p>
    <w:p>
      <w:pPr>
        <w:spacing w:before="160" w:after="40" w:line="240" w:lineRule="auto"/>
      </w:pPr>
      <w:r>
        <w:rPr>
          <w:b/>
        </w:rPr>
        <w:t xml:space="preserve">[127] </w:t>
      </w:r>
      <w:hyperlink r:id="rId652">
        <w:r>
          <w:rPr>
            <w:color w:val="1155CC"/>
            <w:u w:val="single"/>
          </w:rPr>
          <w:t>利用LUX-ZEPLIN (LZ)实验寻找轻暗物质及太阳中微子相干弹性中微子-核散射的证据</w:t>
        </w:r>
      </w:hyperlink>
    </w:p>
    <w:p>
      <w:pPr>
        <w:spacing w:before="0" w:after="80"/>
      </w:pPr>
      <w:r>
        <w:rPr>
          <w:i/>
          <w:sz w:val="20"/>
        </w:rPr>
        <w:t>EN: Searches for Light Dark Matter and Evidence of Coherent Elastic Neutrino-Nucleus Scattering of Solar Neutrinos with the LUX-ZEPLIN (LZ) Experiment</w:t>
      </w:r>
    </w:p>
    <w:p>
      <w:pPr>
        <w:spacing w:before="0" w:after="120"/>
      </w:pPr>
      <w:r>
        <w:rPr>
          <w:b/>
        </w:rPr>
        <w:t xml:space="preserve">Source: </w:t>
      </w:r>
      <w:r>
        <w:t>Recent Articles in Phys. Rev. Lett.</w:t>
      </w:r>
      <w:r>
        <w:t xml:space="preserve">    </w:t>
      </w:r>
      <w:r>
        <w:rPr>
          <w:b/>
        </w:rPr>
        <w:t xml:space="preserve">Pub date: </w:t>
      </w:r>
      <w:r>
        <w:t>2026-08-28 10:00:00+00:00</w:t>
      </w:r>
      <w:r>
        <w:t xml:space="preserve">    </w:t>
      </w:r>
      <w:r>
        <w:rPr>
          <w:b/>
        </w:rPr>
        <w:t xml:space="preserve">DOI: </w:t>
      </w:r>
      <w:hyperlink r:id="rId653">
        <w:r>
          <w:rPr>
            <w:color w:val="1155CC"/>
            <w:u w:val="single"/>
          </w:rPr>
          <w:t>10.1103/jvqf-njpj</w:t>
        </w:r>
      </w:hyperlink>
    </w:p>
    <w:p>
      <w:pPr>
        <w:spacing w:before="0" w:after="120"/>
      </w:pPr>
      <w:r>
        <w:rPr>
          <w:b/>
        </w:rPr>
        <w:t xml:space="preserve">Notes: </w:t>
      </w:r>
      <w:r>
        <w:t>abstract_source=rss_description</w:t>
      </w:r>
    </w:p>
    <w:p>
      <w:pPr>
        <w:spacing w:before="0" w:after="80" w:lineRule="auto" w:line="276"/>
      </w:pPr>
      <w:r>
        <w:rPr>
          <w:b/>
        </w:rPr>
        <w:t xml:space="preserve">摘要（ZH）: </w:t>
      </w:r>
      <w:r>
        <w:t>作者：D. S. Akerib 等（LZ Collaboration）LZ 合作组报告了 8B 太阳中微子相干弹性散射的强有力证据（4.5σ）。[Phys. Rev. Lett. 137, 091806] 发布于 2026年8月28日（周五）</w:t>
      </w:r>
    </w:p>
    <w:p>
      <w:pPr>
        <w:spacing w:before="0" w:after="200" w:lineRule="auto" w:line="276"/>
      </w:pPr>
      <w:r>
        <w:rPr>
          <w:b/>
        </w:rPr>
        <w:t xml:space="preserve">Abstract (EN): </w:t>
      </w:r>
      <w:r>
        <w:t>Author(s): D. S. Akerib et al. (LZ Collaboration)The LZ collaboration reports strong evidence (4.5σ) for coherent elastic scattering of 8B solar neutrinos.[Phys. Rev. Lett. 137, 091806] Published Fri Aug 28, 2026</w:t>
      </w:r>
    </w:p>
    <w:p>
      <w:pPr>
        <w:spacing w:before="120" w:after="120"/>
      </w:pPr>
      <w:r>
        <w:rPr>
          <w:sz w:val="18"/>
        </w:rPr>
        <w:t>——————————————————————————————————————————————————————————————————————</w:t>
      </w:r>
    </w:p>
    <w:p>
      <w:pPr>
        <w:spacing w:before="160" w:after="40" w:line="240" w:lineRule="auto"/>
      </w:pPr>
      <w:r>
        <w:rPr>
          <w:b/>
        </w:rPr>
        <w:t xml:space="preserve">[128] </w:t>
      </w:r>
      <w:hyperlink r:id="rId654">
        <w:r>
          <w:rPr>
            <w:color w:val="1155CC"/>
            <w:u w:val="single"/>
          </w:rPr>
          <w:t>由Kolmogorov乘数得到的微扰反常指数</w:t>
        </w:r>
      </w:hyperlink>
    </w:p>
    <w:p>
      <w:pPr>
        <w:spacing w:before="0" w:after="80"/>
      </w:pPr>
      <w:r>
        <w:rPr>
          <w:i/>
          <w:sz w:val="20"/>
        </w:rPr>
        <w:t>EN: Perturbative Anomalous Exponents from Kolmogorov Multipliers</w:t>
      </w:r>
    </w:p>
    <w:p>
      <w:pPr>
        <w:spacing w:before="0" w:after="120"/>
      </w:pPr>
      <w:r>
        <w:rPr>
          <w:b/>
        </w:rPr>
        <w:t xml:space="preserve">Source: </w:t>
      </w:r>
      <w:r>
        <w:t>Recent Articles in Phys. Rev. Lett.</w:t>
      </w:r>
      <w:r>
        <w:t xml:space="preserve">    </w:t>
      </w:r>
      <w:r>
        <w:rPr>
          <w:b/>
        </w:rPr>
        <w:t xml:space="preserve">Pub date: </w:t>
      </w:r>
      <w:r>
        <w:t>2026-08-28 10:00:00+00:00</w:t>
      </w:r>
      <w:r>
        <w:t xml:space="preserve">    </w:t>
      </w:r>
      <w:r>
        <w:rPr>
          <w:b/>
        </w:rPr>
        <w:t xml:space="preserve">DOI: </w:t>
      </w:r>
      <w:hyperlink r:id="rId655">
        <w:r>
          <w:rPr>
            <w:color w:val="1155CC"/>
            <w:u w:val="single"/>
          </w:rPr>
          <w:t>10.1103/6qrr-3646</w:t>
        </w:r>
      </w:hyperlink>
    </w:p>
    <w:p>
      <w:pPr>
        <w:spacing w:before="0" w:after="120"/>
      </w:pPr>
      <w:r>
        <w:rPr>
          <w:b/>
        </w:rPr>
        <w:t xml:space="preserve">Notes: </w:t>
      </w:r>
      <w:r>
        <w:t>abstract_source=rss_description</w:t>
      </w:r>
    </w:p>
    <w:p>
      <w:pPr>
        <w:spacing w:before="0" w:after="80" w:lineRule="auto" w:line="276"/>
      </w:pPr>
      <w:r>
        <w:rPr>
          <w:b/>
        </w:rPr>
        <w:t xml:space="preserve">摘要（ZH）: </w:t>
      </w:r>
      <w:r>
        <w:t>作者：Alexei A. Mailybaev 和 Simon Thalabard 一个基于 Kolmogorov 乘子统计而非关联函数层级的湍流反常标度微扰框架，建立了一条通往间歇性的新解析途径，补充了传统的零模方法。[Phys. Rev. Lett. 137, 094002] 发布于 2026年8月28日（周五）</w:t>
      </w:r>
    </w:p>
    <w:p>
      <w:pPr>
        <w:spacing w:before="0" w:after="200" w:lineRule="auto" w:line="276"/>
      </w:pPr>
      <w:r>
        <w:rPr>
          <w:b/>
        </w:rPr>
        <w:t xml:space="preserve">Abstract (EN): </w:t>
      </w:r>
      <w:r>
        <w:t>Author(s): Alexei A. Mailybaev and Simon ThalabardA perturbative framework for anomalous scaling in turbulence, built on the statistics of Kolmogorov multipliers rather than correlation-function hierarchies, establishes a new analytical route to intermittency that complements traditional zero-mode methods.[Phys. Rev. Lett. 137, 094002] Published Fri Aug 28, 2026</w:t>
      </w:r>
    </w:p>
    <w:p>
      <w:pPr>
        <w:spacing w:before="120" w:after="120"/>
      </w:pPr>
      <w:r>
        <w:rPr>
          <w:sz w:val="18"/>
        </w:rPr>
        <w:t>——————————————————————————————————————————————————————————————————————</w:t>
      </w:r>
    </w:p>
    <w:p>
      <w:pPr>
        <w:spacing w:before="160" w:after="40" w:line="240" w:lineRule="auto"/>
      </w:pPr>
      <w:r>
        <w:rPr>
          <w:b/>
        </w:rPr>
        <w:t xml:space="preserve">[129] </w:t>
      </w:r>
      <w:hyperlink r:id="rId656">
        <w:r>
          <w:rPr>
            <w:color w:val="1155CC"/>
            <w:u w:val="single"/>
          </w:rPr>
          <w:t>非平衡量子湖泊类比制备的捷径</w:t>
        </w:r>
      </w:hyperlink>
    </w:p>
    <w:p>
      <w:pPr>
        <w:spacing w:before="0" w:after="80"/>
      </w:pPr>
      <w:r>
        <w:rPr>
          <w:i/>
          <w:sz w:val="20"/>
        </w:rPr>
        <w:t>EN: Shortcuts to Analog Preparation of Nonequilibrium Quantum Lakes</w:t>
      </w:r>
    </w:p>
    <w:p>
      <w:pPr>
        <w:spacing w:before="0" w:after="120"/>
      </w:pPr>
      <w:r>
        <w:rPr>
          <w:b/>
        </w:rPr>
        <w:t xml:space="preserve">Source: </w:t>
      </w:r>
      <w:r>
        <w:t>Recent Articles in Phys. Rev. Lett.</w:t>
      </w:r>
      <w:r>
        <w:t xml:space="preserve">    </w:t>
      </w:r>
      <w:r>
        <w:rPr>
          <w:b/>
        </w:rPr>
        <w:t xml:space="preserve">Pub date: </w:t>
      </w:r>
      <w:r>
        <w:t>2026-08-28 10:00:00+00:00</w:t>
      </w:r>
      <w:r>
        <w:t xml:space="preserve">    </w:t>
      </w:r>
      <w:r>
        <w:rPr>
          <w:b/>
        </w:rPr>
        <w:t xml:space="preserve">DOI: </w:t>
      </w:r>
      <w:hyperlink r:id="rId657">
        <w:r>
          <w:rPr>
            <w:color w:val="1155CC"/>
            <w:u w:val="single"/>
          </w:rPr>
          <w:t>10.1103/7bc2-6cgy</w:t>
        </w:r>
      </w:hyperlink>
    </w:p>
    <w:p>
      <w:pPr>
        <w:spacing w:before="0" w:after="120"/>
      </w:pPr>
      <w:r>
        <w:rPr>
          <w:b/>
        </w:rPr>
        <w:t xml:space="preserve">Notes: </w:t>
      </w:r>
      <w:r>
        <w:t>abstract_source=rss_description</w:t>
      </w:r>
    </w:p>
    <w:p>
      <w:pPr>
        <w:spacing w:before="0" w:after="80" w:lineRule="auto" w:line="276"/>
      </w:pPr>
      <w:r>
        <w:rPr>
          <w:b/>
        </w:rPr>
        <w:t xml:space="preserve">摘要（ZH）: </w:t>
      </w:r>
      <w:r>
        <w:t>作者：Nik O. Gjonbalaj、Rahul Sahay 和 Susanne F. Yelin动态制备奇异多体量子态是模拟量子模拟的一个长期目标，但常常受限于实验相干时间。最近的研究表明，快速、非绝热的哈密顿量参数扫描可以在某些情形下创建有限尺寸的量子有序“湖泊”…[Phys. Rev. Lett. 137, 090802] 发布于 2026年8月28日（周五）</w:t>
      </w:r>
    </w:p>
    <w:p>
      <w:pPr>
        <w:spacing w:before="0" w:after="200" w:lineRule="auto" w:line="276"/>
      </w:pPr>
      <w:r>
        <w:rPr>
          <w:b/>
        </w:rPr>
        <w:t xml:space="preserve">Abstract (EN): </w:t>
      </w:r>
      <w:r>
        <w:t>Author(s): Nik O. Gjonbalaj, Rahul Sahay, and Susanne F. YelinThe dynamical preparation of exotic many-body quantum states is a persistent goal of analog quantum simulation, often limited by experimental coherence times. Recently, it was shown that fast, nonadiabatic Hamiltonian parameter sweeps can create finite-size “lakes” of quantum order in certain settin…[Phys. Rev. Lett. 137, 090802] Published Fri Aug 28, 2026</w:t>
      </w:r>
    </w:p>
    <w:p>
      <w:pPr>
        <w:spacing w:before="120" w:after="120"/>
      </w:pPr>
      <w:r>
        <w:rPr>
          <w:sz w:val="18"/>
        </w:rPr>
        <w:t>——————————————————————————————————————————————————————————————————————</w:t>
      </w:r>
    </w:p>
    <w:p>
      <w:pPr>
        <w:spacing w:before="160" w:after="40" w:line="240" w:lineRule="auto"/>
      </w:pPr>
      <w:r>
        <w:rPr>
          <w:b/>
        </w:rPr>
        <w:t xml:space="preserve">[130] </w:t>
      </w:r>
      <w:hyperlink r:id="rId658">
        <w:r>
          <w:rPr>
            <w:color w:val="1155CC"/>
            <w:u w:val="single"/>
          </w:rPr>
          <w:t>连续谱中无电荷反常束缚态的观测</w:t>
        </w:r>
      </w:hyperlink>
    </w:p>
    <w:p>
      <w:pPr>
        <w:spacing w:before="0" w:after="80"/>
      </w:pPr>
      <w:r>
        <w:rPr>
          <w:i/>
          <w:sz w:val="20"/>
        </w:rPr>
        <w:t>EN: Observation of Anomalous Charge-Free Bound States in the Continuum</w:t>
      </w:r>
    </w:p>
    <w:p>
      <w:pPr>
        <w:spacing w:before="0" w:after="120"/>
      </w:pPr>
      <w:r>
        <w:rPr>
          <w:b/>
        </w:rPr>
        <w:t xml:space="preserve">Source: </w:t>
      </w:r>
      <w:r>
        <w:t>Recent Articles in Phys. Rev. Lett.</w:t>
      </w:r>
      <w:r>
        <w:t xml:space="preserve">    </w:t>
      </w:r>
      <w:r>
        <w:rPr>
          <w:b/>
        </w:rPr>
        <w:t xml:space="preserve">Pub date: </w:t>
      </w:r>
      <w:r>
        <w:t>2026-08-28 10:00:00+00:00</w:t>
      </w:r>
      <w:r>
        <w:t xml:space="preserve">    </w:t>
      </w:r>
      <w:r>
        <w:rPr>
          <w:b/>
        </w:rPr>
        <w:t xml:space="preserve">DOI: </w:t>
      </w:r>
      <w:hyperlink r:id="rId659">
        <w:r>
          <w:rPr>
            <w:color w:val="1155CC"/>
            <w:u w:val="single"/>
          </w:rPr>
          <w:t>10.1103/wylv-cc97</w:t>
        </w:r>
      </w:hyperlink>
    </w:p>
    <w:p>
      <w:pPr>
        <w:spacing w:before="0" w:after="120"/>
      </w:pPr>
      <w:r>
        <w:rPr>
          <w:b/>
        </w:rPr>
        <w:t xml:space="preserve">Notes: </w:t>
      </w:r>
      <w:r>
        <w:t>abstract_source=rss_description</w:t>
      </w:r>
    </w:p>
    <w:p>
      <w:pPr>
        <w:spacing w:before="0" w:after="80" w:lineRule="auto" w:line="276"/>
      </w:pPr>
      <w:r>
        <w:rPr>
          <w:b/>
        </w:rPr>
        <w:t xml:space="preserve">摘要（ZH）: </w:t>
      </w:r>
      <w:r>
        <w:t>作者：Jue Li、Haoye Qin、Wenjing Lv、Yuzhi Shi、Bo Li 和 Qinghua Song连续域中的束缚态（BICs）是嵌入辐射连续谱中的非辐射模式，为开放系统中的波操控提供了强大的机遇。尽管 BICs 本身在远场中无法被赋予确定的偏振态，但其周围的偏振场…[Phys. Rev. Lett. 137, 096202] 发布于 2026年8月28日（周五）</w:t>
      </w:r>
    </w:p>
    <w:p>
      <w:pPr>
        <w:spacing w:before="0" w:after="200" w:lineRule="auto" w:line="276"/>
      </w:pPr>
      <w:r>
        <w:rPr>
          <w:b/>
        </w:rPr>
        <w:t xml:space="preserve">Abstract (EN): </w:t>
      </w:r>
      <w:r>
        <w:t>Author(s): Jue Li, Haoye Qin, Wenjing Lv, Yuzhi Shi, Bo Li, and Qinghua SongBound states in the continuum (BICs) are nonradiative modes embedded in the radiation continuum, offering powerful opportunities for wave manipulation in open systems. Although BICs themselves cannot be assigned a well-defined polarization state in the far field, the surrounding polarization field e…[Phys. Rev. Lett. 137, 096202] Published Fri Aug 28, 2026</w:t>
      </w:r>
    </w:p>
    <w:p>
      <w:pPr>
        <w:spacing w:before="120" w:after="120"/>
      </w:pPr>
      <w:r>
        <w:rPr>
          <w:sz w:val="18"/>
        </w:rPr>
        <w:t>——————————————————————————————————————————————————————————————————————</w:t>
      </w:r>
    </w:p>
    <w:p>
      <w:pPr>
        <w:spacing w:before="160" w:after="40" w:line="240" w:lineRule="auto"/>
      </w:pPr>
      <w:r>
        <w:rPr>
          <w:b/>
        </w:rPr>
        <w:t xml:space="preserve">[131] </w:t>
      </w:r>
      <w:hyperlink r:id="rId660">
        <w:r>
          <w:rPr>
            <w:color w:val="1155CC"/>
            <w:u w:val="single"/>
          </w:rPr>
          <w:t>Nagaoka铁磁体中的坏金属行为与Lifshitz转变</w:t>
        </w:r>
      </w:hyperlink>
    </w:p>
    <w:p>
      <w:pPr>
        <w:spacing w:before="0" w:after="80"/>
      </w:pPr>
      <w:r>
        <w:rPr>
          <w:i/>
          <w:sz w:val="20"/>
        </w:rPr>
        <w:t>EN: Bad Metal Behavior and Lifshitz Transition of a Nagaoka Ferromagnet</w:t>
      </w:r>
    </w:p>
    <w:p>
      <w:pPr>
        <w:spacing w:before="0" w:after="120"/>
      </w:pPr>
      <w:r>
        <w:rPr>
          <w:b/>
        </w:rPr>
        <w:t xml:space="preserve">Source: </w:t>
      </w:r>
      <w:r>
        <w:t>Recent Articles in Phys. Rev. Lett.</w:t>
      </w:r>
      <w:r>
        <w:t xml:space="preserve">    </w:t>
      </w:r>
      <w:r>
        <w:rPr>
          <w:b/>
        </w:rPr>
        <w:t xml:space="preserve">Pub date: </w:t>
      </w:r>
      <w:r>
        <w:t>2026-08-28 10:00:00+00:00</w:t>
      </w:r>
      <w:r>
        <w:t xml:space="preserve">    </w:t>
      </w:r>
      <w:r>
        <w:rPr>
          <w:b/>
        </w:rPr>
        <w:t xml:space="preserve">DOI: </w:t>
      </w:r>
      <w:hyperlink r:id="rId661">
        <w:r>
          <w:rPr>
            <w:color w:val="1155CC"/>
            <w:u w:val="single"/>
          </w:rPr>
          <w:t>10.1103/py7g-jz2x</w:t>
        </w:r>
      </w:hyperlink>
    </w:p>
    <w:p>
      <w:pPr>
        <w:spacing w:before="0" w:after="120"/>
      </w:pPr>
      <w:r>
        <w:rPr>
          <w:b/>
        </w:rPr>
        <w:t xml:space="preserve">Notes: </w:t>
      </w:r>
      <w:r>
        <w:t>abstract_source=rss_description</w:t>
      </w:r>
    </w:p>
    <w:p>
      <w:pPr>
        <w:spacing w:before="0" w:after="80" w:lineRule="auto" w:line="276"/>
      </w:pPr>
      <w:r>
        <w:rPr>
          <w:b/>
        </w:rPr>
        <w:t xml:space="preserve">摘要（ZH）: </w:t>
      </w:r>
      <w:r>
        <w:t>作者：Jonas Arnold、Peter Kopietz 和 Andreas Rückriegel利用费米子泛函重正化群对强关联导致投影希尔伯特空间体系的扩展，我们计算了在位排斥无穷大时 Hubbard 模型的相图和电子谱函数。对于最近邻…的方格子[Phys. Rev. Lett. 137, 096506] 发布于 2026年8月28日（周五）</w:t>
      </w:r>
    </w:p>
    <w:p>
      <w:pPr>
        <w:spacing w:before="0" w:after="200" w:lineRule="auto" w:line="276"/>
      </w:pPr>
      <w:r>
        <w:rPr>
          <w:b/>
        </w:rPr>
        <w:t xml:space="preserve">Abstract (EN): </w:t>
      </w:r>
      <w:r>
        <w:t>Author(s): Jonas Arnold, Peter Kopietz, and Andreas RückriegelUsing an extension of the fermionic functional renormalization group for systems where strong correlations give rise to projected Hilbert spaces, we calculate the phase diagram and the electronic spectral function of the Hubbard model at infinite on-site repulsion. For a square lattice with nearest-…[Phys. Rev. Lett. 137, 096506] Published Fri Aug 28, 2026</w:t>
      </w:r>
    </w:p>
    <w:p>
      <w:pPr>
        <w:spacing w:before="120" w:after="120"/>
      </w:pPr>
      <w:r>
        <w:rPr>
          <w:sz w:val="18"/>
        </w:rPr>
        <w:t>——————————————————————————————————————————————————————————————————————</w:t>
      </w:r>
    </w:p>
    <w:p>
      <w:pPr>
        <w:spacing w:before="160" w:after="40" w:line="240" w:lineRule="auto"/>
      </w:pPr>
      <w:r>
        <w:rPr>
          <w:b/>
        </w:rPr>
        <w:t xml:space="preserve">[132] </w:t>
      </w:r>
      <w:hyperlink r:id="rId662">
        <w:r>
          <w:rPr>
            <w:color w:val="1155CC"/>
            <w:u w:val="single"/>
          </w:rPr>
          <w:t>全壳层混合纳米线中准Majorana假阳性的缺失</w:t>
        </w:r>
      </w:hyperlink>
    </w:p>
    <w:p>
      <w:pPr>
        <w:spacing w:before="0" w:after="80"/>
      </w:pPr>
      <w:r>
        <w:rPr>
          <w:i/>
          <w:sz w:val="20"/>
        </w:rPr>
        <w:t>EN: Absence of Quasi-Majorana False Positives in Full-Shell Hybrid Nanowires</w:t>
      </w:r>
    </w:p>
    <w:p>
      <w:pPr>
        <w:spacing w:before="0" w:after="120"/>
      </w:pPr>
      <w:r>
        <w:rPr>
          <w:b/>
        </w:rPr>
        <w:t xml:space="preserve">Source: </w:t>
      </w:r>
      <w:r>
        <w:t>Recent Articles in Phys. Rev. Lett.</w:t>
      </w:r>
      <w:r>
        <w:t xml:space="preserve">    </w:t>
      </w:r>
      <w:r>
        <w:rPr>
          <w:b/>
        </w:rPr>
        <w:t xml:space="preserve">Pub date: </w:t>
      </w:r>
      <w:r>
        <w:t>2026-08-28 10:00:00+00:00</w:t>
      </w:r>
      <w:r>
        <w:t xml:space="preserve">    </w:t>
      </w:r>
      <w:r>
        <w:rPr>
          <w:b/>
        </w:rPr>
        <w:t xml:space="preserve">DOI: </w:t>
      </w:r>
      <w:hyperlink r:id="rId663">
        <w:r>
          <w:rPr>
            <w:color w:val="1155CC"/>
            <w:u w:val="single"/>
          </w:rPr>
          <w:t>10.1103/w9tp-3bbq</w:t>
        </w:r>
      </w:hyperlink>
    </w:p>
    <w:p>
      <w:pPr>
        <w:spacing w:before="0" w:after="120"/>
      </w:pPr>
      <w:r>
        <w:rPr>
          <w:b/>
        </w:rPr>
        <w:t xml:space="preserve">Notes: </w:t>
      </w:r>
      <w:r>
        <w:t>abstract_source=rss_description</w:t>
      </w:r>
    </w:p>
    <w:p>
      <w:pPr>
        <w:spacing w:before="0" w:after="80" w:lineRule="auto" w:line="276"/>
      </w:pPr>
      <w:r>
        <w:rPr>
          <w:b/>
        </w:rPr>
        <w:t xml:space="preserve">摘要（ZH）: </w:t>
      </w:r>
      <w:r>
        <w:t>作者：Carlos Payá、César Robles、Pablo San-Jose 和 Elsa Prada隧穿谱学不能作为常规半包壳纳米线中马约拉纳零能模（MZMs）的明确探测工具。混合导线末端存在平滑的限制势（以及其他无序来源）可以产生指数钉扎的零能态，称为…[Phys. Rev. Lett. 137, 096606] 发布于 2026年8月28日（周五）</w:t>
      </w:r>
    </w:p>
    <w:p>
      <w:pPr>
        <w:spacing w:before="0" w:after="200" w:lineRule="auto" w:line="276"/>
      </w:pPr>
      <w:r>
        <w:rPr>
          <w:b/>
        </w:rPr>
        <w:t xml:space="preserve">Abstract (EN): </w:t>
      </w:r>
      <w:r>
        <w:t>Author(s): Carlos Payá, César Robles, Pablo San-Jose, and Elsa PradaTunneling spectroscopy cannot be used as an unambiguous detection tool for Majorana zero modes (MZMs) in conventional partial-shell nanowires. The presence of smooth confinement at the end of the hybrid wire (among other sources of disorder) can create exponentially pinned zero-energy states, called…[Phys. Rev. Lett. 137, 096606] Published Fri Aug 28, 2026</w:t>
      </w:r>
    </w:p>
    <w:p>
      <w:pPr>
        <w:spacing w:before="120" w:after="120"/>
      </w:pPr>
      <w:r>
        <w:rPr>
          <w:sz w:val="18"/>
        </w:rPr>
        <w:t>——————————————————————————————————————————————————————————————————————</w:t>
      </w:r>
    </w:p>
    <w:p>
      <w:pPr>
        <w:spacing w:before="160" w:after="40" w:line="240" w:lineRule="auto"/>
      </w:pPr>
      <w:r>
        <w:rPr>
          <w:b/>
        </w:rPr>
        <w:t xml:space="preserve">[133] </w:t>
      </w:r>
      <w:hyperlink r:id="rId664">
        <w:r>
          <w:rPr>
            <w:color w:val="1155CC"/>
            <w:u w:val="single"/>
          </w:rPr>
          <w:t>激活铁电聚合物中的应力诱导偶极子转向</w:t>
        </w:r>
      </w:hyperlink>
    </w:p>
    <w:p>
      <w:pPr>
        <w:spacing w:before="0" w:after="80"/>
      </w:pPr>
      <w:r>
        <w:rPr>
          <w:i/>
          <w:sz w:val="20"/>
        </w:rPr>
        <w:t>EN: Activating Stress-Induced Dipole Rotation in Ferroelectric Polymers</w:t>
      </w:r>
    </w:p>
    <w:p>
      <w:pPr>
        <w:spacing w:before="0" w:after="120"/>
      </w:pPr>
      <w:r>
        <w:rPr>
          <w:b/>
        </w:rPr>
        <w:t xml:space="preserve">Source: </w:t>
      </w:r>
      <w:r>
        <w:t>Recent Articles in Phys. Rev. Lett.</w:t>
      </w:r>
      <w:r>
        <w:t xml:space="preserve">    </w:t>
      </w:r>
      <w:r>
        <w:rPr>
          <w:b/>
        </w:rPr>
        <w:t xml:space="preserve">Pub date: </w:t>
      </w:r>
      <w:r>
        <w:t>2026-08-28 10:00:00+00:00</w:t>
      </w:r>
      <w:r>
        <w:t xml:space="preserve">    </w:t>
      </w:r>
      <w:r>
        <w:rPr>
          <w:b/>
        </w:rPr>
        <w:t xml:space="preserve">DOI: </w:t>
      </w:r>
      <w:hyperlink r:id="rId665">
        <w:r>
          <w:rPr>
            <w:color w:val="1155CC"/>
            <w:u w:val="single"/>
          </w:rPr>
          <w:t>10.1103/qcg4-y7br</w:t>
        </w:r>
      </w:hyperlink>
    </w:p>
    <w:p>
      <w:pPr>
        <w:spacing w:before="0" w:after="120"/>
      </w:pPr>
      <w:r>
        <w:rPr>
          <w:b/>
        </w:rPr>
        <w:t xml:space="preserve">Notes: </w:t>
      </w:r>
      <w:r>
        <w:t>abstract_source=rss_description</w:t>
      </w:r>
    </w:p>
    <w:p>
      <w:pPr>
        <w:spacing w:before="0" w:after="80" w:lineRule="auto" w:line="276"/>
      </w:pPr>
      <w:r>
        <w:rPr>
          <w:b/>
        </w:rPr>
        <w:t xml:space="preserve">摘要（ZH）: </w:t>
      </w:r>
      <w:r>
        <w:t>作者：Cenling Huang、Feihong Du、Shengtao Zhu、Xiaoxu Wang、Yezhan Lin、Fang Wang、Xueqi Wang、Tiannan Yang、Xiaoshi Qian 和 Xin Chen morphotropic 相界的概念最近被用于增强聚合物铁电体的压电响应，通过在聚偏二氟乙烯基体系中设计 $β$ 相与 $3/1$ 螺旋相之间的相界，显著提高了 ${d}_{33}$ 系数…[Phys. Rev. Lett. 137, 096801] 发布于 2026年8月28日（周五）</w:t>
      </w:r>
    </w:p>
    <w:p>
      <w:pPr>
        <w:spacing w:before="0" w:after="200" w:lineRule="auto" w:line="276"/>
      </w:pPr>
      <w:r>
        <w:rPr>
          <w:b/>
        </w:rPr>
        <w:t xml:space="preserve">Abstract (EN): </w:t>
      </w:r>
      <w:r>
        <w:t>Author(s): Cenling Huang, Feihong Du, Shengtao Zhu, Xiaoxu Wang, Yezhan Lin, Fang Wang, Xueqi Wang, Tiannan Yang, Xiaoshi Qian, and Xin ChenThe concept of morphotropic phase boundary has recently been employed to enhance the piezoelectric response in polymeric ferroelectrics, substantially improving the ${d}_{33}$ coefficient through engineered phase boundaries between $β$ and $3/1$-helical phases in polyvinylidene fluoride-based system…[Phys. Rev. Lett. 137, 096801] Published Fri Aug 28, 2026</w:t>
      </w:r>
    </w:p>
    <w:p>
      <w:pPr>
        <w:spacing w:before="120" w:after="120"/>
      </w:pPr>
      <w:r>
        <w:rPr>
          <w:sz w:val="18"/>
        </w:rPr>
        <w:t>——————————————————————————————————————————————————————————————————————</w:t>
      </w:r>
    </w:p>
    <w:p>
      <w:pPr>
        <w:spacing w:before="160" w:after="40" w:line="240" w:lineRule="auto"/>
      </w:pPr>
      <w:r>
        <w:rPr>
          <w:b/>
        </w:rPr>
        <w:t xml:space="preserve">[134] </w:t>
      </w:r>
      <w:hyperlink r:id="rId666">
        <w:r>
          <w:rPr>
            <w:color w:val="1155CC"/>
            <w:u w:val="single"/>
          </w:rPr>
          <w:t>用于固体圆二色性的完全最小耦合GW-Bethe-Salpeter方程框架：在手性二维钙钛矿中的应用</w:t>
        </w:r>
      </w:hyperlink>
    </w:p>
    <w:p>
      <w:pPr>
        <w:spacing w:before="0" w:after="80"/>
      </w:pPr>
      <w:r>
        <w:rPr>
          <w:i/>
          <w:sz w:val="20"/>
        </w:rPr>
        <w:t>EN: Full Minimal Coupling GW-Bethe-Salpeter-Equation Framework for Circular Dichroism in Solids: Applications to Chiral 2D Perovskites</w:t>
      </w:r>
    </w:p>
    <w:p>
      <w:pPr>
        <w:spacing w:before="0" w:after="120"/>
      </w:pPr>
      <w:r>
        <w:rPr>
          <w:b/>
        </w:rPr>
        <w:t xml:space="preserve">Source: </w:t>
      </w:r>
      <w:r>
        <w:t>Recent Articles in Phys. Rev. Lett.</w:t>
      </w:r>
      <w:r>
        <w:t xml:space="preserve">    </w:t>
      </w:r>
      <w:r>
        <w:rPr>
          <w:b/>
        </w:rPr>
        <w:t xml:space="preserve">Pub date: </w:t>
      </w:r>
      <w:r>
        <w:t>2026-08-28 10:00:00+00:00</w:t>
      </w:r>
      <w:r>
        <w:t xml:space="preserve">    </w:t>
      </w:r>
      <w:r>
        <w:rPr>
          <w:b/>
        </w:rPr>
        <w:t xml:space="preserve">DOI: </w:t>
      </w:r>
      <w:hyperlink r:id="rId667">
        <w:r>
          <w:rPr>
            <w:color w:val="1155CC"/>
            <w:u w:val="single"/>
          </w:rPr>
          <w:t>10.1103/mdr9-tzws</w:t>
        </w:r>
      </w:hyperlink>
    </w:p>
    <w:p>
      <w:pPr>
        <w:spacing w:before="0" w:after="120"/>
      </w:pPr>
      <w:r>
        <w:rPr>
          <w:b/>
        </w:rPr>
        <w:t xml:space="preserve">Notes: </w:t>
      </w:r>
      <w:r>
        <w:t>abstract_source=rss_description</w:t>
      </w:r>
    </w:p>
    <w:p>
      <w:pPr>
        <w:spacing w:before="0" w:after="80" w:lineRule="auto" w:line="276"/>
      </w:pPr>
      <w:r>
        <w:rPr>
          <w:b/>
        </w:rPr>
        <w:t xml:space="preserve">摘要（ZH）: </w:t>
      </w:r>
      <w:r>
        <w:t>作者：Xian Xu 和 Diana Y. Qiu圆二色性（CD）和其他手性光学响应是探测固体中手性和动量空间几何的关键手段，但在具有强激子效应的周期性体系中，第一性原理计算仍然具有挑战性。在此，我们为 C…开发了一个规范不变的第一性原理框架[Phys. Rev. Lett. 137, 096901] 发布于 2026年8月28日（周五）</w:t>
      </w:r>
    </w:p>
    <w:p>
      <w:pPr>
        <w:spacing w:before="0" w:after="200" w:lineRule="auto" w:line="276"/>
      </w:pPr>
      <w:r>
        <w:rPr>
          <w:b/>
        </w:rPr>
        <w:t xml:space="preserve">Abstract (EN): </w:t>
      </w:r>
      <w:r>
        <w:t>Author(s): Xian Xu and Diana Y. QiuCircular dichroism (CD) and other chiroptical responses are key probes of both chirality and momentum-space geometry in solids, but first-principles calculations are still challenging in periodic systems with strong exciton effects. Here, we develop a gauge-invariant first-principles framework for C…[Phys. Rev. Lett. 137, 096901] Published Fri Aug 28, 2026</w:t>
      </w:r>
    </w:p>
    <w:p>
      <w:pPr>
        <w:spacing w:before="120" w:after="120"/>
      </w:pPr>
      <w:r>
        <w:rPr>
          <w:sz w:val="18"/>
        </w:rPr>
        <w:t>——————————————————————————————————————————————————————————————————————</w:t>
      </w:r>
    </w:p>
    <w:p>
      <w:pPr>
        <w:spacing w:before="160" w:after="40" w:line="240" w:lineRule="auto"/>
      </w:pPr>
      <w:r>
        <w:rPr>
          <w:b/>
        </w:rPr>
        <w:t xml:space="preserve">[135] </w:t>
      </w:r>
      <w:hyperlink r:id="rId668">
        <w:r>
          <w:rPr>
            <w:color w:val="1155CC"/>
            <w:u w:val="single"/>
          </w:rPr>
          <w:t>电荷有序笼目金属${\mathrm{CsV}}_{3}{\mathrm{Sb}}_{5}$中的应变调控节点超导性</w:t>
        </w:r>
      </w:hyperlink>
    </w:p>
    <w:p>
      <w:pPr>
        <w:spacing w:before="0" w:after="80"/>
      </w:pPr>
      <w:r>
        <w:rPr>
          <w:i/>
          <w:sz w:val="20"/>
        </w:rPr>
        <w:t>EN: Strain-Tuned Nodal Superconductivity in the Charge-Ordered Kagome Metal ${\mathrm{CsV}}_{3}{\mathrm{Sb}}_{5}$</w:t>
      </w:r>
    </w:p>
    <w:p>
      <w:pPr>
        <w:spacing w:before="0" w:after="120"/>
      </w:pPr>
      <w:r>
        <w:rPr>
          <w:b/>
        </w:rPr>
        <w:t xml:space="preserve">Source: </w:t>
      </w:r>
      <w:r>
        <w:t>Recent Articles in Phys. Rev. Lett.</w:t>
      </w:r>
      <w:r>
        <w:t xml:space="preserve">    </w:t>
      </w:r>
      <w:r>
        <w:rPr>
          <w:b/>
        </w:rPr>
        <w:t xml:space="preserve">Pub date: </w:t>
      </w:r>
      <w:r>
        <w:t>2026-08-28 10:00:00+00:00</w:t>
      </w:r>
      <w:r>
        <w:t xml:space="preserve">    </w:t>
      </w:r>
      <w:r>
        <w:rPr>
          <w:b/>
        </w:rPr>
        <w:t xml:space="preserve">DOI: </w:t>
      </w:r>
      <w:hyperlink r:id="rId669">
        <w:r>
          <w:rPr>
            <w:color w:val="1155CC"/>
            <w:u w:val="single"/>
          </w:rPr>
          <w:t>10.1103/mzgp-2lzb</w:t>
        </w:r>
      </w:hyperlink>
    </w:p>
    <w:p>
      <w:pPr>
        <w:spacing w:before="0" w:after="120"/>
      </w:pPr>
      <w:r>
        <w:rPr>
          <w:b/>
        </w:rPr>
        <w:t xml:space="preserve">Notes: </w:t>
      </w:r>
      <w:r>
        <w:t>abstract_source=rss_description</w:t>
      </w:r>
    </w:p>
    <w:p>
      <w:pPr>
        <w:spacing w:before="0" w:after="80" w:lineRule="auto" w:line="276"/>
      </w:pPr>
      <w:r>
        <w:rPr>
          <w:b/>
        </w:rPr>
        <w:t xml:space="preserve">摘要（ZH）: </w:t>
      </w:r>
      <w:r>
        <w:t>作者：Yusuke Takeuchi、Akito Kobayashi、Saki Uchida、Takumi Nagao、Seigo Ogawa、Rui Zhou、Shinji Kawasaki、Fei Song、Hao Ni、Yong Zhao 和 Guo-qing Zheng。CsV3Sb5 的基态并非单一的超导态，而是两个简并态。[Phys. Rev. Lett. 137, 096003] 发布于 2026 年 8 月 28 日（星期五）</w:t>
      </w:r>
    </w:p>
    <w:p>
      <w:pPr>
        <w:spacing w:before="0" w:after="200" w:lineRule="auto" w:line="276"/>
      </w:pPr>
      <w:r>
        <w:rPr>
          <w:b/>
        </w:rPr>
        <w:t xml:space="preserve">Abstract (EN): </w:t>
      </w:r>
      <w:r>
        <w:t>Author(s): Yusuke Takeuchi, Akito Kobayashi, Saki Uchida, Takumi Nagao, Seigo Ogawa, Rui Zhou, Shinji Kawasaki, Fei Song, Hao Ni, Yong Zhao, and Guo-qing ZhengThe ground state of CsV3Sb5 is not a single superconducting state but two degenerate states.[Phys. Rev. Lett. 137, 096003] Published Fri Aug 28, 2026</w:t>
      </w:r>
    </w:p>
    <w:p>
      <w:pPr>
        <w:spacing w:before="120" w:after="120"/>
      </w:pPr>
      <w:r>
        <w:rPr>
          <w:sz w:val="18"/>
        </w:rPr>
        <w:t>——————————————————————————————————————————————————————————————————————</w:t>
      </w:r>
    </w:p>
    <w:p>
      <w:pPr>
        <w:spacing w:before="160" w:after="40" w:line="240" w:lineRule="auto"/>
      </w:pPr>
      <w:r>
        <w:rPr>
          <w:b/>
        </w:rPr>
        <w:t xml:space="preserve">[136] </w:t>
      </w:r>
      <w:hyperlink r:id="rId670">
        <w:r>
          <w:rPr>
            <w:color w:val="1155CC"/>
            <w:u w:val="single"/>
          </w:rPr>
          <w:t>“气味电子学”——从气体到气味传感</w:t>
        </w:r>
      </w:hyperlink>
    </w:p>
    <w:p>
      <w:pPr>
        <w:spacing w:before="0" w:after="80"/>
      </w:pPr>
      <w:r>
        <w:rPr>
          <w:i/>
          <w:sz w:val="20"/>
        </w:rPr>
        <w:t>EN: “Smelltronics”—From Gas to Smell Sensing</w:t>
      </w:r>
    </w:p>
    <w:p>
      <w:pPr>
        <w:spacing w:before="0" w:after="120"/>
      </w:pPr>
      <w:r>
        <w:rPr>
          <w:b/>
        </w:rPr>
        <w:t xml:space="preserve">Source: </w:t>
      </w:r>
      <w:r>
        <w:t>Wiley: Advanced Materials: Table of Contents</w:t>
      </w:r>
      <w:r>
        <w:t xml:space="preserve">    </w:t>
      </w:r>
      <w:r>
        <w:rPr>
          <w:b/>
        </w:rPr>
        <w:t xml:space="preserve">Pub date: </w:t>
      </w:r>
      <w:r>
        <w:t>2026-08-28 11:12:03+00:00</w:t>
      </w:r>
      <w:r>
        <w:t xml:space="preserve">    </w:t>
      </w:r>
      <w:r>
        <w:rPr>
          <w:b/>
        </w:rPr>
        <w:t xml:space="preserve">DOI: </w:t>
      </w:r>
      <w:hyperlink r:id="rId671">
        <w:r>
          <w:rPr>
            <w:color w:val="1155CC"/>
            <w:u w:val="single"/>
          </w:rPr>
          <w:t>10.1002/adma.202523677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本文综述了气味与嗅觉传感研究的最新趋势，包括材料、器件与界面。自化学传感器问世以来，尤其在过去几十年中，针对小分子的气体传感器材料与器件已被广泛研究。近来，受人工智能（AI）与机器学习（ML）快速发展的推动，气味信息的社会价值在多个研究领域得到了重新高度重视。与常规气体传感相比，用于提取气味信息的传感材料与器件在需求上存在根本性差异。在健康诊断、食品检验和环境监测领域，表达气味信息的目标分子常常由分子量相对较大的分子组成。由于这类较大分子的结构异构体本质上表现出气味信息的差异，对这些结构异构体的区分是气味/嗅觉传感的重要课题。本文讨论了基于不同原理工作的各类传感器，包括电学、质量敏感和光学传感器，并分析了其特性。此外，我们描述了用于气味/嗅觉传感的传感材料与界面——气味电子学（smelltronics）。最后，我们讨论了气味电子学当前面临的挑战与前景。</w:t>
      </w:r>
    </w:p>
    <w:p>
      <w:pPr>
        <w:spacing w:before="0" w:after="200" w:lineRule="auto" w:line="276"/>
      </w:pPr>
      <w:r>
        <w:rPr>
          <w:b/>
        </w:rPr>
        <w:t xml:space="preserve">Abstract (EN): </w:t>
      </w:r>
      <w:r>
        <w:t>This review discusses recent trends in smell and odor‐sensing studies, including materials, devices, and interfaces. Since the invention of chemical sensors, particularly over the past few decades, gas sensor materials and devices for small molecules have been extensively investigated. Recently, the social value of odor information has been strongly reaffirmed across diverse research fields, triggered by the rapid development of artificial intelligence (AI) and machine learning (ML). Compared with conventional gas sensing, the requirements for sensing materials and devices for extracting odor information are fundamentally different. In the fields of health diagnosis, food inspection, and environmental monitoring, target molecules that express odor information are frequently composed of molecules with relatively large molecular weights. Because the structural isomers of such relatively large molecules essentially exhibit variations in odor information, their discrimination of such structural isomers is an important issue for smell/odor sensing. Various sensors that operate based on different principles, including electrical, gravimetric, and optical sensors, were discussed in terms of their characteristics. In addition, we describe the sensing materials and interfaces for smell/odor sensing–</w:t>
      </w:r>
      <w:r>
        <w:t xml:space="preserve"> </w:t>
      </w:r>
      <w:r>
        <w:t>smelltronics</w:t>
      </w:r>
      <w:r>
        <w:t xml:space="preserve"> </w:t>
      </w:r>
      <w:r>
        <w:t>. Finally, we discuss the current challenges and perspectives of smelltronics.</w:t>
      </w:r>
    </w:p>
    <w:p>
      <w:pPr>
        <w:spacing w:before="120" w:after="120"/>
      </w:pPr>
      <w:r>
        <w:rPr>
          <w:sz w:val="18"/>
        </w:rPr>
        <w:t>——————————————————————————————————————————————————————————————————————</w:t>
      </w:r>
    </w:p>
    <w:p>
      <w:pPr>
        <w:spacing w:before="160" w:after="40" w:line="240" w:lineRule="auto"/>
      </w:pPr>
      <w:r>
        <w:rPr>
          <w:b/>
        </w:rPr>
        <w:t xml:space="preserve">[137] </w:t>
      </w:r>
      <w:hyperlink r:id="rId672">
        <w:r>
          <w:rPr>
            <w:color w:val="1155CC"/>
            <w:u w:val="single"/>
          </w:rPr>
          <w:t>范德华异质结构中莫尔诱导的电荷有序对称性破缺</w:t>
        </w:r>
      </w:hyperlink>
    </w:p>
    <w:p>
      <w:pPr>
        <w:spacing w:before="0" w:after="80"/>
      </w:pPr>
      <w:r>
        <w:rPr>
          <w:i/>
          <w:sz w:val="20"/>
        </w:rPr>
        <w:t>EN: Moiré‐Induced Symmetry Breaking of Charge Order in van der Waals Heterostructures</w:t>
      </w:r>
    </w:p>
    <w:p>
      <w:pPr>
        <w:spacing w:before="0" w:after="120"/>
      </w:pPr>
      <w:r>
        <w:rPr>
          <w:b/>
        </w:rPr>
        <w:t xml:space="preserve">Source: </w:t>
      </w:r>
      <w:r>
        <w:t>Wiley: Advanced Materials: Table of Contents</w:t>
      </w:r>
      <w:r>
        <w:t xml:space="preserve">    </w:t>
      </w:r>
      <w:r>
        <w:rPr>
          <w:b/>
        </w:rPr>
        <w:t xml:space="preserve">Pub date: </w:t>
      </w:r>
      <w:r>
        <w:t>2026-08-28 11:13:39+00:00</w:t>
      </w:r>
      <w:r>
        <w:t xml:space="preserve">    </w:t>
      </w:r>
      <w:r>
        <w:rPr>
          <w:b/>
        </w:rPr>
        <w:t xml:space="preserve">DOI: </w:t>
      </w:r>
      <w:hyperlink r:id="rId673">
        <w:r>
          <w:rPr>
            <w:color w:val="1155CC"/>
            <w:u w:val="single"/>
          </w:rPr>
          <w:t>10.1002/adma.74730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不同晶格对称性堆叠在一起的层状材料在自然界中十分罕见。失配层状硫族化合物将岩盐型单硫族化物的四方晶格与过渡金属二硫族化物的六方晶格相结合，为探索非共度性与显式对称性破缺如何影响集体电子相提供了平台。本文利用低温扫描隧道显微镜/谱学研究失配化合物 (MS)1+δTaS2（M = Pb、Sn），并追踪失配界面如何重塑嵌入的 1H-TaS2 单层的电子基态。高分辨率 STM 成像与傅里叶分析表明，电荷密度波（CDW）是非共度的，并呈现空间不均匀的短程关联。引人注目的是，CDW 对失配层施加的单轴莫尔势表现出显著且各向异性的响应：其相干长度和有序波矢变得不等价，表明本征 CDW 不稳定性与破缺对称的莫尔场之间存在强非线性耦合。基于第一性原理的多尺度建模表明，这种重组源于层间电荷转移与失配界面引入的空间各向异性能量景观的共同作用。相比之下，超导性对莫尔相对不敏感，呈现出均匀的单一全能隙，与 s 波配对一致。</w:t>
      </w:r>
    </w:p>
    <w:p>
      <w:pPr>
        <w:spacing w:before="0" w:after="200" w:lineRule="auto" w:line="276"/>
      </w:pPr>
      <w:r>
        <w:rPr>
          <w:b/>
        </w:rPr>
        <w:t xml:space="preserve">Abstract (EN): </w:t>
      </w:r>
      <w:r>
        <w:t>Layered materials that stack different lattice symmetries are rare in nature. Misfit layered chalcogenides, which combine square and hexagonal lattices of rocksalt monochalcogenides and transition‐metal dichalcogenides, provide a platform to explore how incommensurability and explicit symmetry breaking impact collective electronic phases. Here we use low‐temperature scanning tunneling microscopy/spectroscopy to probe the misfit compounds (MS)</w:t>
      </w:r>
      <w:r>
        <w:t xml:space="preserve"> </w:t>
      </w:r>
      <w:r>
        <w:t>1+δ</w:t>
      </w:r>
      <w:r>
        <w:t xml:space="preserve"> </w:t>
      </w:r>
      <w:r>
        <w:t>TaS</w:t>
      </w:r>
      <w:r>
        <w:rPr>
          <w:vertAlign w:val="subscript"/>
        </w:rPr>
        <w:t>2</w:t>
      </w:r>
      <w:r>
        <w:t>with M = Pb, Sn and track how the misfit interface reshapes the electronic ground state of the embedded 1H‐TaS</w:t>
      </w:r>
      <w:r>
        <w:rPr>
          <w:vertAlign w:val="subscript"/>
        </w:rPr>
        <w:t>2</w:t>
      </w:r>
      <w:r>
        <w:t>monolayers. High‐resolution STM imaging and Fourier analysis reveal that the charge‐density wave (CDW) is incommensurate and exhibits spatially inhomogeneous, short‐range correlations. Strikingly, the CDW exhibits a pronounced and anisotropic response to the uniaxial moiré potential imposed by the misfit layer: its coherence lengths and ordering wavevectors become inequivalent, demonstrating a strong nonlinear coupling between the intrinsic CDW instability and the symmetry‐breaking moiré field. First‐principles‐informed multiscale modeling suggests that this reorganization arises from the combined effect of interlayer charge transfer and the spatially anisotropic energy landscape introduced by the misfit interface. In contrast, superconductivity is comparatively insensitive to the moiré, revealing a uniform, single full‐gap consistent with s‐wave pairing. Our results establish heterosymmetry stacking as a route to engineer correlated states in van der Waals materials.</w:t>
      </w:r>
    </w:p>
    <w:p>
      <w:pPr>
        <w:spacing w:before="120" w:after="120"/>
      </w:pPr>
      <w:r>
        <w:rPr>
          <w:sz w:val="18"/>
        </w:rPr>
        <w:t>——————————————————————————————————————————————————————————————————————</w:t>
      </w:r>
    </w:p>
    <w:p>
      <w:pPr>
        <w:spacing w:before="160" w:after="40" w:line="240" w:lineRule="auto"/>
      </w:pPr>
      <w:r>
        <w:rPr>
          <w:b/>
        </w:rPr>
        <w:t xml:space="preserve">[138] </w:t>
      </w:r>
      <w:hyperlink r:id="rId674">
        <w:r>
          <w:rPr>
            <w:color w:val="1155CC"/>
            <w:u w:val="single"/>
          </w:rPr>
          <w:t>自旋霍尔纳米振荡器中传播自旋波的直接观测</w:t>
        </w:r>
      </w:hyperlink>
    </w:p>
    <w:p>
      <w:pPr>
        <w:spacing w:before="0" w:after="80"/>
      </w:pPr>
      <w:r>
        <w:rPr>
          <w:i/>
          <w:sz w:val="20"/>
        </w:rPr>
        <w:t>EN: Direct Observation of Propagating Spin Waves in a Spin Hall Nano‐Oscillator</w:t>
      </w:r>
    </w:p>
    <w:p>
      <w:pPr>
        <w:spacing w:before="0" w:after="120"/>
      </w:pPr>
      <w:r>
        <w:rPr>
          <w:b/>
        </w:rPr>
        <w:t xml:space="preserve">Source: </w:t>
      </w:r>
      <w:r>
        <w:t>Wiley: Advanced Materials: Table of Contents</w:t>
      </w:r>
      <w:r>
        <w:t xml:space="preserve">    </w:t>
      </w:r>
      <w:r>
        <w:rPr>
          <w:b/>
        </w:rPr>
        <w:t xml:space="preserve">Pub date: </w:t>
      </w:r>
      <w:r>
        <w:t>2026-08-28 11:14:25+00:00</w:t>
      </w:r>
      <w:r>
        <w:t xml:space="preserve">    </w:t>
      </w:r>
      <w:r>
        <w:rPr>
          <w:b/>
        </w:rPr>
        <w:t xml:space="preserve">DOI: </w:t>
      </w:r>
      <w:hyperlink r:id="rId675">
        <w:r>
          <w:rPr>
            <w:color w:val="1155CC"/>
            <w:u w:val="single"/>
          </w:rPr>
          <w:t>10.1002/adma.74547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基于收缩结构的自旋霍尔纳米振荡器（SHNO）作为高度可调谐的微波源具有巨大应用前景，并易于向大规模耦合网络扩展。然而，由于涉及的时间和长度尺度极小，SHNO 内部磁化动力学的细节迄今尚未在实验上得到研究。本工作中，我们利用时间分辨扫描透射 X 射线显微镜（TR-STXM）对单个基于 CoFeB 的 SHNO 内部的磁化动力学进行了直接成像。测量结果表明，磁振子幅度在收缩结构的两侧边缘最强，且呈现明显偏向一侧的不对称性；同时，发射的自旋波（SW）表现出强烈的各向异性传播。微磁学模拟表明，晶界和 Dzyaloshinskii–Moriya 相互作用（DMI）在这两种效应中都起关键作用。此外，磁化动力学在测量过程中发生了变化，表明 CoFeB/MgO 界面可能比以往认为的更易受 X 射线诱导的改性影响，这对其 presumed 的抗辐射硬度提出了挑战。</w:t>
      </w:r>
    </w:p>
    <w:p>
      <w:pPr>
        <w:spacing w:before="0" w:after="200" w:lineRule="auto" w:line="276"/>
      </w:pPr>
      <w:r>
        <w:rPr>
          <w:b/>
        </w:rPr>
        <w:t xml:space="preserve">Abstract (EN): </w:t>
      </w:r>
      <w:r>
        <w:t>Constriction‐based spin Hall nano‐oscillators (SHNOs) show great promise for application as highly tunable microwave sources with straightforward scalability toward large coupled networks. However, details of the magnetization dynamics within SHNOs have thus far not been addressed experimentally, due to the minute time and length scales involved. In this work, we present direct imaging of the magnetization dynamics within a single CoFeB‐based SHNO using time‐resolved scanning transmission x‐ray microscopy (TR‐STXM). Our measurements reveal that the magnon amplitude is strongest at the two constriction edges, with a pronounced asymmetry favoring one edge, and that the emitted spin waves (SWs) exhibit strongly anisotropic propagation. Micromagnetic simulations suggest that grain boundaries and the Dzyaloshinskii–Moriya interaction (DMI) play a key role in both effects. Furthermore, the magnetodynamics changed during measurement, indicating that the CoFeB/MgO interface may be more susceptible to x‐ray‐induced modifications than previously recognized, challenging its presumed radiation hardness.</w:t>
      </w:r>
    </w:p>
    <w:p>
      <w:pPr>
        <w:spacing w:before="120" w:after="120"/>
      </w:pPr>
      <w:r>
        <w:rPr>
          <w:sz w:val="18"/>
        </w:rPr>
        <w:t>——————————————————————————————————————————————————————————————————————</w:t>
      </w:r>
    </w:p>
    <w:p>
      <w:pPr>
        <w:spacing w:before="160" w:after="40" w:line="240" w:lineRule="auto"/>
      </w:pPr>
      <w:r>
        <w:rPr>
          <w:b/>
        </w:rPr>
        <w:t xml:space="preserve">[139] </w:t>
      </w:r>
      <w:hyperlink r:id="rId676">
        <w:r>
          <w:rPr>
            <w:color w:val="1155CC"/>
            <w:u w:val="single"/>
          </w:rPr>
          <w:t>生长在GaAs(001)上的晶体FeCo薄膜中合金化调控的界面自旋轨道相互作用与磁阻尼</w:t>
        </w:r>
      </w:hyperlink>
    </w:p>
    <w:p>
      <w:pPr>
        <w:spacing w:before="0" w:after="80"/>
      </w:pPr>
      <w:r>
        <w:rPr>
          <w:i/>
          <w:sz w:val="20"/>
        </w:rPr>
        <w:t>EN: Alloying‐Controlled Tuning of Interfacial Spin‐Orbit Interaction and Magnetic Damping in Crystalline FeCo Thin Films Grown on GaAs(001)</w:t>
      </w:r>
    </w:p>
    <w:p>
      <w:pPr>
        <w:spacing w:before="0" w:after="120"/>
      </w:pPr>
      <w:r>
        <w:rPr>
          <w:b/>
        </w:rPr>
        <w:t xml:space="preserve">Source: </w:t>
      </w:r>
      <w:r>
        <w:t>Wiley: Advanced Materials: Table of Contents</w:t>
      </w:r>
      <w:r>
        <w:t xml:space="preserve">    </w:t>
      </w:r>
      <w:r>
        <w:rPr>
          <w:b/>
        </w:rPr>
        <w:t xml:space="preserve">Pub date: </w:t>
      </w:r>
      <w:r>
        <w:t>2026-08-28 11:15:07+00:00</w:t>
      </w:r>
      <w:r>
        <w:t xml:space="preserve">    </w:t>
      </w:r>
      <w:r>
        <w:rPr>
          <w:b/>
        </w:rPr>
        <w:t xml:space="preserve">DOI: </w:t>
      </w:r>
      <w:hyperlink r:id="rId677">
        <w:r>
          <w:rPr>
            <w:color w:val="1155CC"/>
            <w:u w:val="single"/>
          </w:rPr>
          <w:t>10.1002/adma.74841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非中心对称铁磁体中本征自旋-轨道场的发现因其在基础研究和技术应用上的价值而引起了广泛关注。然而，这类材料一经合成，其自旋-轨道场强度便难以调控，因为它主要是体性质。本文中，我们证明了生长在 GaAs(001) 上的单晶 Fe1−xCox 薄膜中的界面自旋-轨道相互作用（SOI）可以通过合金化连续调控。利用自旋轨道铁磁共振，我们发现 Landé g 因子、Gilbert 阻尼 α 和界面自旋-轨道场对 Co 浓度表现出共同的非单调依赖关系。在 x ≈ 0.2 附近出现显著极小值，实现超低阻尼 α ≈ 0.0015。此外，我们观察到 α 与 (g − 2)2 之间的线性标度关系，表明界面 SOI 也可能对磁弛豫有贡献。这些结果表明，合金化是调控单晶铁磁体/半导体异质结构中界面 SOI 与阻尼的有效手段。</w:t>
      </w:r>
    </w:p>
    <w:p>
      <w:pPr>
        <w:spacing w:before="0" w:after="200" w:lineRule="auto" w:line="276"/>
      </w:pPr>
      <w:r>
        <w:rPr>
          <w:b/>
        </w:rPr>
        <w:t xml:space="preserve">Abstract (EN): </w:t>
      </w:r>
      <w:r>
        <w:t>The discovery of intrinsic spin–orbit fields in non‐centrosymmetric ferromagnets have attracted considerable interest for both fundamental studies and technological applications. However, once such materials are synthesized, the strength of the spin‐orbit fields is difficult to tune because it is primarily a bulk property. Here, we demonstrate that the interfacial spin‐orbit interaction (SOI) in single‐crystalline Fe</w:t>
      </w:r>
      <w:r>
        <w:t xml:space="preserve"> </w:t>
      </w:r>
      <w:r>
        <w:t>1−</w:t>
      </w:r>
      <w:r>
        <w:t xml:space="preserve"> </w:t>
      </w:r>
      <w:r>
        <w:t>x</w:t>
      </w:r>
      <w:r>
        <w:t xml:space="preserve"> </w:t>
      </w:r>
      <w:r>
        <w:t>Co</w:t>
      </w:r>
      <w:r>
        <w:t xml:space="preserve"> </w:t>
      </w:r>
      <w:r>
        <w:t>x</w:t>
      </w:r>
      <w:r>
        <w:t xml:space="preserve"> </w:t>
      </w:r>
      <w:r>
        <w:t>thin films grown on GaAs(001) can be continuously tuned via alloying. Using spin‐orbit ferromagnetic resonance, we find that the Landé</w:t>
      </w:r>
      <w:r>
        <w:t xml:space="preserve"> </w:t>
      </w:r>
      <w:r>
        <w:t>g</w:t>
      </w:r>
      <w:r>
        <w:t xml:space="preserve"> </w:t>
      </w:r>
      <w:r>
        <w:t>‐factor, the Gilbert damping</w:t>
      </w:r>
      <w:r>
        <w:t xml:space="preserve"> </w:t>
      </w:r>
      <w:r>
        <w:t>α</w:t>
      </w:r>
      <w:r>
        <w:t xml:space="preserve"> </w:t>
      </w:r>
      <w:r>
        <w:t>, and the interfacial spin‐orbit fields exhibit a common nonmonotonic dependence on Co concentration. A pronounced minimum occurs near</w:t>
      </w:r>
      <w:r>
        <w:t xml:space="preserve"> </w:t>
      </w:r>
      <w:r>
        <w:t>x</w:t>
      </w:r>
      <w:r>
        <w:t xml:space="preserve"> </w:t>
      </w:r>
      <w:r>
        <w:t>≈ 0.2 where an ultra‐low damping</w:t>
      </w:r>
      <w:r>
        <w:t xml:space="preserve"> </w:t>
      </w:r>
      <w:r>
        <w:t>α</w:t>
      </w:r>
      <w:r>
        <w:t xml:space="preserve"> </w:t>
      </w:r>
      <w:r>
        <w:t>≈ 0.0015 is achieved. Furthermore, we observe linear scaling between</w:t>
      </w:r>
      <w:r>
        <w:t xml:space="preserve"> </w:t>
      </w:r>
      <w:r>
        <w:t>α</w:t>
      </w:r>
      <w:r>
        <w:t xml:space="preserve"> </w:t>
      </w:r>
      <w:r>
        <w:t>and (</w:t>
      </w:r>
      <w:r>
        <w:t xml:space="preserve"> </w:t>
      </w:r>
      <w:r>
        <w:t>g</w:t>
      </w:r>
      <w:r>
        <w:t xml:space="preserve"> </w:t>
      </w:r>
      <w:r>
        <w:t>− 2)</w:t>
      </w:r>
      <w:r>
        <w:rPr>
          <w:vertAlign w:val="subscript"/>
        </w:rPr>
        <w:t>2</w:t>
      </w:r>
      <w:r>
        <w:t>, suggesting that interfacial SOI may also contribute to magnetic relaxation. These results identify alloying as an effective knob to engineer interfacial SOI and damping in single crystalline ferromagnet/semiconductor heterostructures.</w:t>
      </w:r>
    </w:p>
    <w:p>
      <w:pPr>
        <w:spacing w:before="120" w:after="120"/>
      </w:pPr>
      <w:r>
        <w:rPr>
          <w:sz w:val="18"/>
        </w:rPr>
        <w:t>——————————————————————————————————————————————————————————————————————</w:t>
      </w:r>
    </w:p>
    <w:p>
      <w:pPr>
        <w:spacing w:before="160" w:after="40" w:line="240" w:lineRule="auto"/>
      </w:pPr>
      <w:r>
        <w:rPr>
          <w:b/>
        </w:rPr>
        <w:t xml:space="preserve">[140] </w:t>
      </w:r>
      <w:hyperlink r:id="rId678">
        <w:r>
          <w:rPr>
            <w:color w:val="1155CC"/>
            <w:u w:val="single"/>
          </w:rPr>
          <w:t>通过特异性模块化重编程进化出用于合成大麻素的适体鼻</w:t>
        </w:r>
      </w:hyperlink>
    </w:p>
    <w:p>
      <w:pPr>
        <w:spacing w:before="0" w:after="80"/>
      </w:pPr>
      <w:r>
        <w:rPr>
          <w:i/>
          <w:sz w:val="20"/>
        </w:rPr>
        <w:t>EN: Evolving an Aptameric Nose for Synthetic Cannabinoids Through Modular Reprogramming of Specificity</w:t>
      </w:r>
    </w:p>
    <w:p>
      <w:pPr>
        <w:spacing w:before="0" w:after="120"/>
      </w:pPr>
      <w:r>
        <w:rPr>
          <w:b/>
        </w:rPr>
        <w:t xml:space="preserve">Source: </w:t>
      </w:r>
      <w:r>
        <w:t>Wiley: Angewandte Chemie International Edition: Table of Contents</w:t>
      </w:r>
      <w:r>
        <w:t xml:space="preserve">    </w:t>
      </w:r>
      <w:r>
        <w:rPr>
          <w:b/>
        </w:rPr>
        <w:t xml:space="preserve">Pub date: </w:t>
      </w:r>
      <w:r>
        <w:t>2026-08-28 16:39:41+00:00</w:t>
      </w:r>
      <w:r>
        <w:t xml:space="preserve">    </w:t>
      </w:r>
      <w:r>
        <w:rPr>
          <w:b/>
        </w:rPr>
        <w:t xml:space="preserve">DOI: </w:t>
      </w:r>
      <w:hyperlink r:id="rId679">
        <w:r>
          <w:rPr>
            <w:color w:val="1155CC"/>
            <w:u w:val="single"/>
          </w:rPr>
          <w:t>10.1002/anie.6031066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辨识高度相似的小分子之间的细微结构差异仍是合成受体面临的重大挑战。天然嗅觉系统通过交叉反应性受体家族解决了这一问题，这些受体将保守的对接核心与高变异性特异结构域相结合。尽管核酸适配体具有模块化特性，其可变支撑结构域大多被视为惰性支架，而保守区一直是功能研究的主要焦点。本文中，我们证明这些支撑结构域能够主动调控精细结构选择性，从而将特异性与核心结合亲和力解耦，并实现对识别功能的模块化重编程。基于这一认识，我们通过筛选一个外围结构域随机化的结构偏好文库，模拟天然受体的进化过程，构建了一个针对合成大麻素的 structurally 同源、交叉反应性适配体家族。当组装成由机器学习引导的传感器阵列（称为“适配体鼻”）时，该库对密切相关的类似物产生既不同又相关的响应模式。该阵列能够稳健地区分这些化合物，并自适应地识别新出现的变体。通过模块化重编程，我们构建了能够跟上持续多样化化学威胁的人工受体家族，为法医、临床和环境监测提供了强大的分析工具。</w:t>
      </w:r>
    </w:p>
    <w:p>
      <w:pPr>
        <w:spacing w:before="0" w:after="200" w:lineRule="auto" w:line="276"/>
      </w:pPr>
      <w:r>
        <w:rPr>
          <w:b/>
        </w:rPr>
        <w:t xml:space="preserve">Abstract (EN): </w:t>
      </w:r>
      <w:r>
        <w:t>Discerning subtle structural differences among highly similar small molecules remains a major challenge for synthetic receptors. Natural olfactory systems solve this problem using cross‐reactive receptor families that combine a conserved docking core with hypervariable specificity domains. Despite the modular nature of nucleic acid aptamers, the variable supporting domains have largely been viewed as inert scaffolds, whereas the conserved regions have been the main focus of functional studies. Here, we demonstrate that these supporting domains actively govern fine‐structural selectivity, thereby decoupling specificity from core binding affinity and enabling modular reprogramming of recognition. Guided by this insight, we emulated natural receptor evolution by screening a structure‐biased library with randomized peripheral domains, thus building a family of structurally homologous, cross‐reactive aptamers against synthetic cannabinoids. When assembled into a machine‐learning‐guided sensor array, termed an “aptameric nose”, this repertoire produces distinct yet correlative response patterns for closely related analogs. The array robustly discriminates these compounds and adaptively identifies emerging new variants. Through modular reprogramming, we engineer artificial receptor families that keep pace with continuously diversifying chemical threats, offering a powerful analytical tool for forensic, clinical, and environmental monitoring.</w:t>
      </w:r>
    </w:p>
    <w:p>
      <w:pPr>
        <w:spacing w:before="120" w:after="120"/>
      </w:pPr>
      <w:r>
        <w:rPr>
          <w:sz w:val="18"/>
        </w:rPr>
        <w:t>——————————————————————————————————————————————————————————————————————</w:t>
      </w:r>
    </w:p>
    <w:p>
      <w:pPr>
        <w:spacing w:before="160" w:after="40" w:line="240" w:lineRule="auto"/>
      </w:pPr>
      <w:r>
        <w:rPr>
          <w:b/>
        </w:rPr>
        <w:t xml:space="preserve">[141] </w:t>
      </w:r>
      <w:hyperlink r:id="rId680">
        <w:r>
          <w:rPr>
            <w:color w:val="1155CC"/>
            <w:u w:val="single"/>
          </w:rPr>
          <w:t>协同阴离子–π+相互作用以加速无金属室温磷光</w:t>
        </w:r>
      </w:hyperlink>
    </w:p>
    <w:p>
      <w:pPr>
        <w:spacing w:before="0" w:after="80"/>
      </w:pPr>
      <w:r>
        <w:rPr>
          <w:i/>
          <w:sz w:val="20"/>
        </w:rPr>
        <w:t>EN: Orchestrating Anion–π+ Interactions to Accelerate Metal‐Free Room‐Temperature Phosphorescence</w:t>
      </w:r>
    </w:p>
    <w:p>
      <w:pPr>
        <w:spacing w:before="0" w:after="120"/>
      </w:pPr>
      <w:r>
        <w:rPr>
          <w:b/>
        </w:rPr>
        <w:t xml:space="preserve">Source: </w:t>
      </w:r>
      <w:r>
        <w:t>Wiley: Angewandte Chemie International Edition: Table of Contents</w:t>
      </w:r>
      <w:r>
        <w:t xml:space="preserve">    </w:t>
      </w:r>
      <w:r>
        <w:rPr>
          <w:b/>
        </w:rPr>
        <w:t xml:space="preserve">Pub date: </w:t>
      </w:r>
      <w:r>
        <w:t>2026-08-28 16:41:19+00:00</w:t>
      </w:r>
      <w:r>
        <w:t xml:space="preserve">    </w:t>
      </w:r>
      <w:r>
        <w:rPr>
          <w:b/>
        </w:rPr>
        <w:t xml:space="preserve">DOI: </w:t>
      </w:r>
      <w:hyperlink r:id="rId681">
        <w:r>
          <w:rPr>
            <w:color w:val="1155CC"/>
            <w:u w:val="single"/>
          </w:rPr>
          <w:t>10.1002/anie.4386683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克服无金属磷光中效率与辐射速率之间长期存在的权衡问题，仍然是分子光物理学中的一个核心挑战，并且对下一代光电技术至关重要。在此，我们证明，调控基于吡啶鎓的接触离子对（CIPs）中阴离子–π+ 相互作用的强度，可以实现覆盖 540 至 605 nm 的异常快速的室温磷光（RTP），其辐射速率高达 5.2×10^5 s^−1，使这种晶体材料跻身已知最快的有机磷光体之列。通过单羧酸酯和双羧酸酯官能化的吡啶鎓碘化物，系统地调控缺电子性、空间限域以及 CIP 的组织方式，我们实现了异常短且高度极化的、可调的 I−–π+ 接触，其距离接近 3.50 Å。结构分析不仅揭示了紧密结合的、三明治状以及柱状组织的离子对，还发现了意想不到的动态行为，包括固态中可逆的、热激活的阴离子漂移。总体而言，这些固态特征产生了强耦合的碘化物 → π+ 电荷转移态，并增强了自旋–轨道耦合，从而促进了超快系间窜越。光谱学和理论研究揭示了电荷……</w:t>
      </w:r>
    </w:p>
    <w:p>
      <w:pPr>
        <w:spacing w:before="0" w:after="200" w:lineRule="auto" w:line="276"/>
      </w:pPr>
      <w:r>
        <w:rPr>
          <w:b/>
        </w:rPr>
        <w:t xml:space="preserve">Abstract (EN): </w:t>
      </w:r>
      <w:r>
        <w:t>Overcoming the long‐standing trade‐off between efficiency and radiative rate in metal‐free phosphorescence remains a central challenge in molecular photophysics and is pivotal for the next‐generation optoelectronic technologies. Here, we demonstrate that tuning the strength of anion–π</w:t>
      </w:r>
      <w:r>
        <w:t xml:space="preserve"> </w:t>
      </w:r>
      <w:r>
        <w:t>+</w:t>
      </w:r>
      <w:r>
        <w:t xml:space="preserve"> </w:t>
      </w:r>
      <w:r>
        <w:t>interactions in pyridinium‐based contact ion pairs (CIPs) enables exceptionally fast room‐temperature phosphorescence (RTP) spanning 540 to 605 nm and, with radiative rates reaching 5.2×10</w:t>
      </w:r>
      <w:r>
        <w:rPr>
          <w:vertAlign w:val="subscript"/>
        </w:rPr>
        <w:t>5</w:t>
      </w:r>
      <w:r>
        <w:t>s</w:t>
      </w:r>
      <w:r>
        <w:t xml:space="preserve"> </w:t>
      </w:r>
      <w:r>
        <w:t>−1</w:t>
      </w:r>
      <w:r>
        <w:t xml:space="preserve"> </w:t>
      </w:r>
      <w:r>
        <w:t>, places this crystalline material among the fastest known organic phosphors. By systematically tuning electron deficiency, steric confinement, and CIP organization through mono‐ and dicarboxyester‐functionalized pyridinium iodides, we achieved unusually short and highly polarized I</w:t>
      </w:r>
      <w:r>
        <w:t xml:space="preserve"> </w:t>
      </w:r>
      <w:r>
        <w:t>−</w:t>
      </w:r>
      <w:r>
        <w:t>–π</w:t>
      </w:r>
      <w:r>
        <w:t xml:space="preserve"> </w:t>
      </w:r>
      <w:r>
        <w:t>+</w:t>
      </w:r>
      <w:r>
        <w:t xml:space="preserve"> </w:t>
      </w:r>
      <w:r>
        <w:t>tunable contacts that approach 3.50 Å. Structural analysis reveals not only tightly bound, sandwich‐like, and columnar‐organized ion pairs but also unexpected dynamic behavior, including reversible, thermally activated anion drift in the solid state. Collectively, these solid state features engender strongly coupled iodide → π</w:t>
      </w:r>
      <w:r>
        <w:t xml:space="preserve"> </w:t>
      </w:r>
      <w:r>
        <w:t>+</w:t>
      </w:r>
      <w:r>
        <w:t xml:space="preserve"> </w:t>
      </w:r>
      <w:r>
        <w:t>charge‐transfer states with enhanced spin–orbit coupling, thereby promoting ultrafast intersystem crossing. Spectroscopic and theoretical studies identify an intensity‐borrowing mechanism within the charge‐transfer manifold that underlies the accelerated phosphorescence and/or thermally stimulated delayed phosphorescence. The resulting materials show promising X‐ray scintillation performance. Our work establishes anion–π</w:t>
      </w:r>
      <w:r>
        <w:t xml:space="preserve"> </w:t>
      </w:r>
      <w:r>
        <w:t>+</w:t>
      </w:r>
      <w:r>
        <w:t xml:space="preserve"> </w:t>
      </w:r>
      <w:r>
        <w:t>engineering as a general and previously underexploited strategy for achieving high‐rate, metal‐free phosphorescence.</w:t>
      </w:r>
    </w:p>
    <w:p>
      <w:pPr>
        <w:spacing w:before="120" w:after="120"/>
      </w:pPr>
      <w:r>
        <w:rPr>
          <w:sz w:val="18"/>
        </w:rPr>
        <w:t>——————————————————————————————————————————————————————————————————————</w:t>
      </w:r>
    </w:p>
    <w:p>
      <w:pPr>
        <w:spacing w:before="160" w:after="40" w:line="240" w:lineRule="auto"/>
      </w:pPr>
      <w:r>
        <w:rPr>
          <w:b/>
        </w:rPr>
        <w:t xml:space="preserve">[142] </w:t>
      </w:r>
      <w:hyperlink r:id="rId682">
        <w:r>
          <w:rPr>
            <w:color w:val="1155CC"/>
            <w:u w:val="single"/>
          </w:rPr>
          <w:t>自1960年以来海洋热含量估计的不确定性降低至六分之一</w:t>
        </w:r>
      </w:hyperlink>
    </w:p>
    <w:p>
      <w:pPr>
        <w:spacing w:before="0" w:after="80"/>
      </w:pPr>
      <w:r>
        <w:rPr>
          <w:i/>
          <w:sz w:val="20"/>
        </w:rPr>
        <w:t>EN: Six-fold reduction in ocean heat content estimate uncertainty since 1960</w:t>
      </w:r>
    </w:p>
    <w:p>
      <w:pPr>
        <w:spacing w:before="0" w:after="120"/>
      </w:pPr>
      <w:r>
        <w:rPr>
          <w:b/>
        </w:rPr>
        <w:t xml:space="preserve">Source: </w:t>
      </w:r>
      <w:r>
        <w:t>Earth and environmental sciences : Nature Communications subject feeds</w:t>
      </w:r>
      <w:r>
        <w:t xml:space="preserve">    </w:t>
      </w:r>
      <w:r>
        <w:rPr>
          <w:b/>
        </w:rPr>
        <w:t xml:space="preserve">Pub date: </w:t>
      </w:r>
      <w:r>
        <w:t>2026-08-29 00:00:00+00:00</w:t>
      </w:r>
    </w:p>
    <w:p>
      <w:pPr>
        <w:spacing w:before="0" w:after="120"/>
      </w:pPr>
      <w:r>
        <w:rPr>
          <w:b/>
        </w:rPr>
        <w:t xml:space="preserve">Notes: </w:t>
      </w:r>
      <w:r>
        <w:t>abstract_source=nature_html</w:t>
      </w:r>
    </w:p>
    <w:p>
      <w:pPr>
        <w:spacing w:before="0" w:after="80" w:lineRule="auto" w:line="276"/>
      </w:pPr>
      <w:r>
        <w:rPr>
          <w:b/>
        </w:rPr>
        <w:t xml:space="preserve">摘要（ZH）: </w:t>
      </w:r>
      <w:r>
        <w:t>海洋热含量（OHC）主导着地球能量不平衡，但其不确定性尚未得到充分理解。在此，我们构建了一个大样本集合（Large-Ensemble），以全面量化自 1955 年以来从全球到区域尺度的 OHC 不确定性，并基于学界的相关工作考虑了八组误差来源。全球 2000 m 以上 OHC 的估算不确定性（定义为 5–95% 分位数误差范围）自 1955 年以来降低了六倍，从约 111 ZJ（1955–1965 年）降至约 19 ZJ（2014–2023 年），这主要归因于填图/采样不确定性的降低。这表明自 1955 年以来 2000 m 以上 OHC 稳健地增加了 449 [385, 519] ZJ。近年来，质量控制（QC）已成为主要的误差来源，这是因为在涡旋丰富区域难以检测异常值。趋势不确定性的来源不同于逐年 OHC：对于 2005–2023 年，2000 m 以上的趋势为 10.9 [9.2, 11.4] ZJ yr^−1（0.68 [0.57, 0.71] W m^−2），其不确定性来自空间间隙、填图、QC 和气候态选择。2005–2023 年海洋变暖速率的增加虽小但稳健：0.34 [0.19, 0.46] W m^−2 dec^−1。这些全面的不确定性估计为全球海洋观测系统的未来改进提供了指导。</w:t>
      </w:r>
    </w:p>
    <w:p>
      <w:pPr>
        <w:spacing w:before="0" w:after="200" w:lineRule="auto" w:line="276"/>
      </w:pPr>
      <w:r>
        <w:rPr>
          <w:b/>
        </w:rPr>
        <w:t xml:space="preserve">Abstract (EN): </w:t>
      </w:r>
      <w:r>
        <w:t>Ocean heat content (OHC) dominates Earth’s energy imbalance, but its uncertainty has not been fully understood. Here, we construct a Large-Ensemble to comprehensively quantify the OHC uncertainty from global to regional scales since 1955, and consider eight groups of error sources based on the community’s efforts. The global upper 2000 m OHC estimated uncertainty (defined as 5–95% quartile error range) has reduced six-fold since 1955 from ~111 ZJ (1955–1965) to ~19 ZJ (2014–2023), mainly due to reduced mapping/sampling uncertainty. This indicates a robust upper 2000 m OHC increase since 1955 of 449 [385, 519] ZJ. Quality-Control (QC) has become a primary error source recently, due to the difficulties detecting outliers in eddy-rich regions. Trend uncertainty sources differ from annual OHC: for 2005–2023, the upper 2000m trend is 10.9 [9.2, 11.4] ZJ yr−1 (0.68 [0.57, 0.71] Wm−2), with uncertainties from spatial gaps, mapping, QC, and climatology choice. The ocean warming rate increase from 2005–2023 is small but robust: 0.34 [0.19, 0.46] Wm−2 dec−1. These comprehensive uncertainty estimates guide future improvements in the global ocean observing system.</w:t>
      </w:r>
    </w:p>
    <w:p>
      <w:pPr>
        <w:spacing w:before="120" w:after="120"/>
      </w:pPr>
      <w:r>
        <w:rPr>
          <w:sz w:val="18"/>
        </w:rPr>
        <w:t>——————————————————————————————————————————————————————————————————————</w:t>
      </w:r>
    </w:p>
    <w:p>
      <w:pPr>
        <w:spacing w:before="160" w:after="40" w:line="240" w:lineRule="auto"/>
      </w:pPr>
      <w:r>
        <w:rPr>
          <w:b/>
        </w:rPr>
        <w:t xml:space="preserve">[143] </w:t>
      </w:r>
      <w:hyperlink r:id="rId683">
        <w:r>
          <w:rPr>
            <w:color w:val="1155CC"/>
            <w:u w:val="single"/>
          </w:rPr>
          <w:t>广泛存在的基因组岛是巨型病毒基因组变异与镶嵌性的热点</w:t>
        </w:r>
      </w:hyperlink>
    </w:p>
    <w:p>
      <w:pPr>
        <w:spacing w:before="0" w:after="80"/>
      </w:pPr>
      <w:r>
        <w:rPr>
          <w:i/>
          <w:sz w:val="20"/>
        </w:rPr>
        <w:t>EN: Widespread genomic islands are hotspots of genome variations and mosaicism in giant viruses</w:t>
      </w:r>
    </w:p>
    <w:p>
      <w:pPr>
        <w:spacing w:before="0" w:after="120"/>
      </w:pPr>
      <w:r>
        <w:rPr>
          <w:b/>
        </w:rPr>
        <w:t xml:space="preserve">Source: </w:t>
      </w:r>
      <w:r>
        <w:t>Earth and environmental sciences : Nature Communications subject feeds</w:t>
      </w:r>
      <w:r>
        <w:t xml:space="preserve">    </w:t>
      </w:r>
      <w:r>
        <w:rPr>
          <w:b/>
        </w:rPr>
        <w:t xml:space="preserve">Pub date: </w:t>
      </w:r>
      <w:r>
        <w:t>2026-08-29 00:00:00+00:00</w:t>
      </w:r>
    </w:p>
    <w:p>
      <w:pPr>
        <w:spacing w:before="0" w:after="120"/>
      </w:pPr>
      <w:r>
        <w:rPr>
          <w:b/>
        </w:rPr>
        <w:t xml:space="preserve">Notes: </w:t>
      </w:r>
      <w:r>
        <w:t>abstract_source=nature_html</w:t>
      </w:r>
    </w:p>
    <w:p>
      <w:pPr>
        <w:spacing w:before="0" w:after="80" w:lineRule="auto" w:line="276"/>
      </w:pPr>
      <w:r>
        <w:rPr>
          <w:b/>
        </w:rPr>
        <w:t xml:space="preserve">摘要（ZH）: </w:t>
      </w:r>
      <w:r>
        <w:t>核质巨病毒门（Nucleocytoviricota）的巨型病毒拥有异常庞大且嵌合的基因组，然而其显著可塑性的潜在机制仍知之甚少。基因组岛是动态的基因组区域，是细菌多样化与适应的主要驱动力。然而，它们对巨型病毒演化的贡献在很大程度上尚未被探索。在此，我们利用涵盖培养分离株和长读长宏基因组组装基因组的 369 个高质量基因组，刻画了巨型病毒的基因组岛景观。我们在超过 50% 的基因组中鉴定出 307 个基因组岛，表明这些区域在核质巨病毒门中普遍存在。这些基因组岛经常与基因组超变异性相关联，并富集于参与宿主相互作用的基因，尤其是表面黏附蛋白，暗示其在病毒-宿主军备竞赛中的宿主适应作用。比较分析进一步揭示这些岛屿是基因组多样化的热点，即使在高度相似的基因组之间也表现出频繁的获得/丢失和重排。值得注意的是，许多基因组岛富集细菌同源基因，且其中若干与共现细菌基因组中回收的基因组区域表现出显著的同线性，支持细菌与巨型病毒之间存在大规模遗传交换。总之，这些发现确定了基因组岛是巨型病毒基因组演化的普遍且动态的驱动力，为巨型病毒的基因组可塑性、嵌合性及适应潜力提供了框架。</w:t>
      </w:r>
    </w:p>
    <w:p>
      <w:pPr>
        <w:spacing w:before="0" w:after="200" w:lineRule="auto" w:line="276"/>
      </w:pPr>
      <w:r>
        <w:rPr>
          <w:b/>
        </w:rPr>
        <w:t xml:space="preserve">Abstract (EN): </w:t>
      </w:r>
      <w:r>
        <w:t>Giant viruses in the phylum Nucleocytoviricota possess exceptionally large and mosaic genomes, yet the mechanisms underlying their remarkable plasticity remain poorly understood. Genomic islands are dynamic genomic regions that are major drivers of diversification and adaptation in bacteria. However, their contribution to giant virus evolution remains largely unexplored. Here, we characterize the genomic island landscape of giant viruses using 369 high-quality genomes spanning cultured isolates and long-read metagenome-assembled genomes. We identify 307 genomic islands across &gt;50% of the genomes, demonstrating that these regions are pervasive across Nucleocytoviricota. These genomic islands are frequently associated with genomic hypervariability and enriched in genes involved in host interaction, particularly surface adhesion proteins, suggesting roles in host adaptation during the virus-host arms race. Comparative analyses further reveal these islands as hotspots of genome diversification, exhibiting frequent gain/loss and rearrangement even among highly similar genomes. Notably, many genomic islands are enriched in bacterial homologs, and several exhibit striking synteny with genomic regions recovered from co-occurring bacterial genomes, supporting large-scale genetic exchange between bacteria and giant viruses. Together, these findings identify genomic islands as pervasive and dynamic drivers of giant virus genome evolution, providing a framework for genome plasticity, mosaicism, and adaptive potential of giant viruses.</w:t>
      </w:r>
    </w:p>
    <w:p>
      <w:pPr>
        <w:spacing w:before="120" w:after="120"/>
      </w:pPr>
      <w:r>
        <w:rPr>
          <w:sz w:val="18"/>
        </w:rPr>
        <w:t>——————————————————————————————————————————————————————————————————————</w:t>
      </w:r>
    </w:p>
    <w:p>
      <w:pPr>
        <w:spacing w:before="160" w:after="40" w:line="240" w:lineRule="auto"/>
      </w:pPr>
      <w:r>
        <w:rPr>
          <w:b/>
        </w:rPr>
        <w:t xml:space="preserve">[144] </w:t>
      </w:r>
      <w:hyperlink r:id="rId684">
        <w:r>
          <w:rPr>
            <w:color w:val="1155CC"/>
            <w:u w:val="single"/>
          </w:rPr>
          <w:t>氨通过竞争性吸附和亲核捕获使臭氧化反应从C═C断裂转向氮掺入</w:t>
        </w:r>
      </w:hyperlink>
    </w:p>
    <w:p>
      <w:pPr>
        <w:spacing w:before="0" w:after="80"/>
      </w:pPr>
      <w:r>
        <w:rPr>
          <w:i/>
          <w:sz w:val="20"/>
        </w:rPr>
        <w:t>EN: Ammonia Diverts Ozonolysis from C═C Scission to Nitrogen Incorporation via Competitive Adsorption and Nucleophilic Trapping</w:t>
      </w:r>
    </w:p>
    <w:p>
      <w:pPr>
        <w:spacing w:before="0" w:after="120"/>
      </w:pPr>
      <w:r>
        <w:rPr>
          <w:b/>
        </w:rPr>
        <w:t xml:space="preserve">Source: </w:t>
      </w:r>
      <w:r>
        <w:t>Journal of the American Chemical Society</w:t>
      </w:r>
      <w:r>
        <w:t xml:space="preserve">    </w:t>
      </w:r>
      <w:r>
        <w:rPr>
          <w:b/>
        </w:rPr>
        <w:t xml:space="preserve">Pub date: </w:t>
      </w:r>
      <w:r>
        <w:t>2026-08-29 00:00:00+00:00</w:t>
      </w:r>
      <w:r>
        <w:t xml:space="preserve">    </w:t>
      </w:r>
      <w:r>
        <w:rPr>
          <w:b/>
        </w:rPr>
        <w:t xml:space="preserve">DOI: </w:t>
      </w:r>
      <w:hyperlink r:id="rId684">
        <w:r>
          <w:rPr>
            <w:color w:val="1155CC"/>
            <w:u w:val="single"/>
          </w:rPr>
          <w:t>10.1021/jacs.6c10313</w:t>
        </w:r>
      </w:hyperlink>
    </w:p>
    <w:p>
      <w:pPr>
        <w:spacing w:before="0" w:after="120"/>
      </w:pPr>
      <w:r>
        <w:rPr>
          <w:b/>
        </w:rPr>
        <w:t xml:space="preserve">Notes: </w:t>
      </w:r>
      <w:r>
        <w:t>abstract_source=crossref</w:t>
      </w:r>
    </w:p>
    <w:p>
      <w:pPr>
        <w:spacing w:before="0" w:after="80" w:lineRule="auto" w:line="276"/>
      </w:pPr>
      <w:r>
        <w:rPr>
          <w:b/>
        </w:rPr>
        <w:t xml:space="preserve">摘要（ZH）: </w:t>
      </w:r>
      <w:r>
        <w:t>摘要 臭氧与不饱和有机化合物的反应是化学中的一个基础过程，对合成转化和环境分子循环均至关重要。在此，我们揭示了由普遍存在的亲核试剂——气态氨诱导的角鲨烯（一种模型多不饱和三萜）Criegee臭氧化反应中的机理分支。我们的实验结果表明，NH3将臭氧摄取抑制约3倍，这一抑制作用源于竞争性吸附。DFT计算和动力学建模表明，NH3·H2O复合物在与O3竞争反应性C═C位点时占优，提示一种位点阻断抑制机制。实时超高分辨率质谱鉴定出仅在NH3存在下形成的近40种独特的含氮有机化合物（NOCs）。吉布斯自由能谱支持一种热力学可行的机理，其中NH3作为亲核试剂，拦截反应性羰基氧化物中间体（Criegee中间体）及下游羰基物种。这项工作阐明了氮掺入不饱和脂质氧化基质的直接途径，展示了简单亲核试剂如何从根本上重塑经典有机反应机理，同时控制并将产物分布引导至复杂的富杂原子结构。这些发现为多相臭氧化中亲核试剂参与的分子尺度理解提供了依据，对合成及复杂有机化学具有重要意义。</w:t>
      </w:r>
    </w:p>
    <w:p>
      <w:pPr>
        <w:spacing w:before="0" w:after="200" w:lineRule="auto" w:line="276"/>
      </w:pPr>
      <w:r>
        <w:rPr>
          <w:b/>
        </w:rPr>
        <w:t xml:space="preserve">Abstract (EN): </w:t>
      </w:r>
      <w:r>
        <w:t>The reaction of ozone with unsaturated organic compounds is a fundamental process in chemistry, central to both synthetic transformations and environmental molecular cycling. Here, we reveal a mechanistic branching in the Criegee ozonolysis of squalene, a model poly unsaturated triterpene, induced by gaseous ammonia, a ubiquitous nucleophile. Our experimental findings reveal that NH3 suppresses the ozone uptake by a factor of ∼3, an inhibition traced to competitive adsorption. DFT calculations and kinetic modeling indicate that NH3·H2O complexes outcompete O3 for reactive C═C sites, suggesting a site-blocking suppression mechanism. Real-time ultrahigh-resolution mass spectrometry identifies nearly 40 unique nitrogen-containing organic compounds (NOCs) formed exclusively in the presence of NH3. Gibbs free energy profiles support a thermodynamically feasible mechanism wherein NH3 acts as a nucleophile, intercepting reactive carbonyl oxide intermediates (Criegee intermediates) and downstream carbonyl species. This work elucidates a direct pathway for nitrogen incorporation into unsaturated lipid oxidation matrices, demonstrating how a simple nucleophile can fundamentally rewire a classic organic reaction mechanism simultaneously controlling and steering product distribution toward complex, heteroatom-enriched architectures. These findings provide molecular-scale understanding of nucleophile participation in multiphase ozonolysis, with implications for synthetic and complex organic chemistry.</w:t>
      </w:r>
    </w:p>
    <w:p>
      <w:pPr>
        <w:spacing w:before="120" w:after="120"/>
      </w:pPr>
      <w:r>
        <w:rPr>
          <w:sz w:val="18"/>
        </w:rPr>
        <w:t>——————————————————————————————————————————————————————————————————————</w:t>
      </w:r>
    </w:p>
    <w:p>
      <w:pPr>
        <w:spacing w:before="160" w:after="40" w:line="240" w:lineRule="auto"/>
      </w:pPr>
      <w:r>
        <w:rPr>
          <w:b/>
        </w:rPr>
        <w:t xml:space="preserve">[145] </w:t>
      </w:r>
      <w:hyperlink r:id="rId685">
        <w:r>
          <w:rPr>
            <w:color w:val="1155CC"/>
            <w:u w:val="single"/>
          </w:rPr>
          <w:t>一种可吸入的混合型一氧化氮纳米发生器通过生物正交激活的气体-免疫疗法治疗肺腺癌</w:t>
        </w:r>
      </w:hyperlink>
    </w:p>
    <w:p>
      <w:pPr>
        <w:spacing w:before="0" w:after="80"/>
      </w:pPr>
      <w:r>
        <w:rPr>
          <w:i/>
          <w:sz w:val="20"/>
        </w:rPr>
        <w:t>EN: An Inhalable Hybrid Nitric Oxide Nanogenerator for Lung Adenocarcinoma Treatment via Bioorthogonal-Activated Gas-Immunotherapy</w:t>
      </w:r>
    </w:p>
    <w:p>
      <w:pPr>
        <w:spacing w:before="0" w:after="120"/>
      </w:pPr>
      <w:r>
        <w:rPr>
          <w:b/>
        </w:rPr>
        <w:t xml:space="preserve">Source: </w:t>
      </w:r>
      <w:r>
        <w:t>Journal of the American Chemical Society</w:t>
      </w:r>
      <w:r>
        <w:t xml:space="preserve">    </w:t>
      </w:r>
      <w:r>
        <w:rPr>
          <w:b/>
        </w:rPr>
        <w:t xml:space="preserve">Pub date: </w:t>
      </w:r>
      <w:r>
        <w:t>2026-08-29 00:00:00+00:00</w:t>
      </w:r>
      <w:r>
        <w:t xml:space="preserve">    </w:t>
      </w:r>
      <w:r>
        <w:rPr>
          <w:b/>
        </w:rPr>
        <w:t xml:space="preserve">DOI: </w:t>
      </w:r>
      <w:hyperlink r:id="rId685">
        <w:r>
          <w:rPr>
            <w:color w:val="1155CC"/>
            <w:u w:val="single"/>
          </w:rPr>
          <w:t>10.1021/jacs.6c13896</w:t>
        </w:r>
      </w:hyperlink>
    </w:p>
    <w:p>
      <w:pPr>
        <w:spacing w:before="0" w:after="120"/>
      </w:pPr>
      <w:r>
        <w:rPr>
          <w:b/>
        </w:rPr>
        <w:t xml:space="preserve">Notes: </w:t>
      </w:r>
      <w:r>
        <w:t>abstract_source=crossref</w:t>
      </w:r>
    </w:p>
    <w:p>
      <w:pPr>
        <w:spacing w:before="0" w:after="80" w:lineRule="auto" w:line="276"/>
      </w:pPr>
      <w:r>
        <w:rPr>
          <w:b/>
        </w:rPr>
        <w:t xml:space="preserve">摘要（ZH）: </w:t>
      </w:r>
      <w:r>
        <w:t>摘要 一氧化氮（NO）通过重编程肺腺癌（LUAD）肿瘤微环境（TME），有望克服铂类化疗的耐药性。然而，其不可控的释放动力学和脱靶毒性极大阻碍了进一步应用。本文通过将生物正交激活的NO-顺铂前药封装于TME响应型混合胶束中，开发了一种可吸入NO纳米发生器（10m@FOMs-Cu），通过特异性NO释放重编程TME，实现持续有效的LUAD治疗。该前药将Pt基催化剂与笼状活性NO供体整合于一个分子中，并进一步封装在二硫键交联的有机硅壳中，实现氧化还原触发自催化NO释放，同时最大限度地减少对正常组织的脱靶损伤。经验证，雾化10m@FOMs-Cu可实现黏液-细胞外基质双重屏障的高效穿透以到达TME，从而确保持续的NO释放，增强Pt(II)介导的核损伤和Cu(II)/Cu(I)介导的铜死亡。该敏化过程通过诱导代谢-DNA应激反馈重编程TME，触发全身且持久的免疫应答，在原位和再攻击LUAD中实现有效肿瘤抑制。这表明10m@FOMs-Cu可作为强效且安全的雾化纳米药物用于LUAD治疗，并为气体纳米治疗剂的设计提供了见解。</w:t>
      </w:r>
    </w:p>
    <w:p>
      <w:pPr>
        <w:spacing w:before="0" w:after="200" w:lineRule="auto" w:line="276"/>
      </w:pPr>
      <w:r>
        <w:rPr>
          <w:b/>
        </w:rPr>
        <w:t xml:space="preserve">Abstract (EN): </w:t>
      </w:r>
      <w:r>
        <w:t>Nitric oxide (NO) holds promise for circumventing resistance to platinum-based chemotherapy by reprogramming the tumor microenvironment (TME) in lung adenocarcinoma (LUAD). However, their further application is greatly hindered by uncontrolled release kinetics and off-target toxicity. Herein, an inhalable NO nanogenerator (10m@FOMs-Cu) that reprograms the TME via specific NO release is developed by encapsulating a biorthogonal-activated NO-cisplatin prodrug into TME-responsive hybrid micelles, allowing for sustained and effective LUAD treatment. The prodrug integrates a Pt-based catalyst with a caged active NO donor within one molecule and is further encapsulated in a disulfide-cross-linked organosilica shell, enabling redox-triggered self-catalytic NO release while minimizing off-target injury to normal tissues. It is verified that nebulized 10m@FOMs-Cu could achieve efficient mucus-extracellular matrix dual barrier penetration to reach the TME, thereby ensuring sustained NO release to potentiate Pt(II)-mediated nuclear damage and Cu(II)/Cu(I)-mediated cuproptosis. This sensitization process reprograms the TME by inducing metabolism-DNA stress feedback, triggering a systemic and durable immune response that confers efficient tumor suppression in orthotopic and rechallenged LUAD. It demonstrates that 10m@FOMs-Cu could serve as a potent and safe nebulized nanomedicine for LUAD therapy and provides insights into designing gas-based nanotherapeutics.</w:t>
      </w:r>
    </w:p>
    <w:p>
      <w:pPr>
        <w:spacing w:before="120" w:after="120"/>
      </w:pPr>
      <w:r>
        <w:rPr>
          <w:sz w:val="18"/>
        </w:rPr>
        <w:t>——————————————————————————————————————————————————————————————————————</w:t>
      </w:r>
    </w:p>
    <w:p>
      <w:pPr>
        <w:spacing w:before="160" w:after="40" w:line="240" w:lineRule="auto"/>
      </w:pPr>
      <w:r>
        <w:rPr>
          <w:b/>
        </w:rPr>
        <w:t xml:space="preserve">[146] </w:t>
      </w:r>
      <w:hyperlink r:id="rId686">
        <w:r>
          <w:rPr>
            <w:color w:val="1155CC"/>
            <w:u w:val="single"/>
          </w:rPr>
          <w:t>埋藏界面结晶动力学调控实现高效近红外锡钙钛矿LED</w:t>
        </w:r>
      </w:hyperlink>
    </w:p>
    <w:p>
      <w:pPr>
        <w:spacing w:before="0" w:after="80"/>
      </w:pPr>
      <w:r>
        <w:rPr>
          <w:i/>
          <w:sz w:val="20"/>
        </w:rPr>
        <w:t>EN: Buried-Interface Kinetic Regulation of Crystallization Enables Efficient Near-Infrared Tin Perovskite LEDs</w:t>
      </w:r>
    </w:p>
    <w:p>
      <w:pPr>
        <w:spacing w:before="0" w:after="120"/>
      </w:pPr>
      <w:r>
        <w:rPr>
          <w:b/>
        </w:rPr>
        <w:t xml:space="preserve">Source: </w:t>
      </w:r>
      <w:r>
        <w:t>ACS Energy Letters</w:t>
      </w:r>
      <w:r>
        <w:t xml:space="preserve">    </w:t>
      </w:r>
      <w:r>
        <w:rPr>
          <w:b/>
        </w:rPr>
        <w:t xml:space="preserve">Pub date: </w:t>
      </w:r>
      <w:r>
        <w:t>2026-08-29 00:00:00+00:00</w:t>
      </w:r>
      <w:r>
        <w:t xml:space="preserve">    </w:t>
      </w:r>
      <w:r>
        <w:rPr>
          <w:b/>
        </w:rPr>
        <w:t xml:space="preserve">DOI: </w:t>
      </w:r>
      <w:hyperlink r:id="rId686">
        <w:r>
          <w:rPr>
            <w:color w:val="1155CC"/>
            <w:u w:val="single"/>
          </w:rPr>
          <w:t>10.1021/acsenergylett.6c02194</w:t>
        </w:r>
      </w:hyperlink>
    </w:p>
    <w:p>
      <w:pPr>
        <w:spacing w:before="0" w:after="120"/>
      </w:pPr>
      <w:r>
        <w:rPr>
          <w:b/>
        </w:rPr>
        <w:t xml:space="preserve">Notes: </w:t>
      </w:r>
      <w:r>
        <w:t>abstract_source=crossref</w:t>
      </w:r>
    </w:p>
    <w:p>
      <w:pPr>
        <w:spacing w:before="0" w:after="80" w:lineRule="auto" w:line="276"/>
      </w:pPr>
      <w:r>
        <w:rPr>
          <w:b/>
        </w:rPr>
        <w:t xml:space="preserve">摘要（ZH）: </w:t>
      </w:r>
      <w:r>
        <w:t>摘要 近红外锡钙钛矿发光二极管是一类无铅光电器件，但其性能受限于钙钛矿薄膜下方缺陷空穴传输层上的快速结晶。在此，我们报道了一种针对富Cs碘化锡钙钛矿的埋底界面动力学调控策略。埋底中间层调控了钙钛矿薄膜的初始生长。该调控延迟了发光畴的出现，并在不显著扰动Sn-I骨架的情况下促进致密薄膜的生长。光谱和理论分析揭示了与Sn相关位点的界面相互作用，有助于抑制缺陷形成和非辐射损失。优化的PeLED表现出以945 nm为中心的近红外电致发光，峰值外量子效率达到8.04%。这项工作凸显了埋底界面动力学调控作为实现高效无铅近红外锡钙钛矿LED的有效途径。</w:t>
      </w:r>
    </w:p>
    <w:p>
      <w:pPr>
        <w:spacing w:before="0" w:after="200" w:lineRule="auto" w:line="276"/>
      </w:pPr>
      <w:r>
        <w:rPr>
          <w:b/>
        </w:rPr>
        <w:t xml:space="preserve">Abstract (EN): </w:t>
      </w:r>
      <w:r>
        <w:t>Near-infrared tin perovskite light-emitting diodes (PeLEDs) constitute a class of lead-free optoelectronic devices, but their performance suffers from rapid crystallization over a defective hole transport layer underneath the perovskite film. Here, we report a buried-interface kinetic regulation strategy for Cs-rich tin iodide perovskites. The buried interlayer regulated the initial growth of the perovskite film. This regulation delayed the emergence of emissive domains and promoted compact film growth without substantially perturbing the Sn-I framework. Spectroscopic and theoretical analyses reveal interfacial interactions with Sn-related sites, which help suppress defect formation and nonradiative losses. The optimized PeLEDs exhibited near-infrared electroluminescence centered at 945 nm and achieved a peak external quantum efficiency of 8.04%. This work highlights buried-interface kinetic regulation as an effective route toward efficient lead-free near-infrared tin perovskite LEDs.</w:t>
      </w:r>
    </w:p>
    <w:p>
      <w:pPr>
        <w:spacing w:before="120" w:after="120"/>
      </w:pPr>
      <w:r>
        <w:rPr>
          <w:sz w:val="18"/>
        </w:rPr>
        <w:t>——————————————————————————————————————————————————————————————————————</w:t>
      </w:r>
    </w:p>
    <w:p>
      <w:pPr>
        <w:spacing w:before="160" w:after="40" w:line="240" w:lineRule="auto"/>
      </w:pPr>
      <w:r>
        <w:rPr>
          <w:b/>
        </w:rPr>
        <w:t xml:space="preserve">[147] </w:t>
      </w:r>
      <w:hyperlink r:id="rId687">
        <w:r>
          <w:rPr>
            <w:color w:val="1155CC"/>
            <w:u w:val="single"/>
          </w:rPr>
          <w:t>持续的藻菌相互作用促进难降解颗粒碳的积累并伴随加速的放射性碳老化特征</w:t>
        </w:r>
      </w:hyperlink>
    </w:p>
    <w:p>
      <w:pPr>
        <w:spacing w:before="0" w:after="80"/>
      </w:pPr>
      <w:r>
        <w:rPr>
          <w:i/>
          <w:sz w:val="20"/>
        </w:rPr>
        <w:t>EN: Sustained algal-bacterial interactions promote accumulation of recalcitrant particulate carbon with accelerated radiocarbon aging signatures</w:t>
      </w:r>
    </w:p>
    <w:p>
      <w:pPr>
        <w:spacing w:before="0" w:after="120"/>
      </w:pPr>
      <w:r>
        <w:rPr>
          <w:b/>
        </w:rPr>
        <w:t xml:space="preserve">Source: </w:t>
      </w:r>
      <w:r>
        <w:t>Earth and environmental sciences : Nature Communications subject feeds</w:t>
      </w:r>
      <w:r>
        <w:t xml:space="preserve">    </w:t>
      </w:r>
      <w:r>
        <w:rPr>
          <w:b/>
        </w:rPr>
        <w:t xml:space="preserve">Pub date: </w:t>
      </w:r>
      <w:r>
        <w:t>2026-08-29 00:00:00+00:00</w:t>
      </w:r>
    </w:p>
    <w:p>
      <w:pPr>
        <w:spacing w:before="0" w:after="120"/>
      </w:pPr>
      <w:r>
        <w:rPr>
          <w:b/>
        </w:rPr>
        <w:t xml:space="preserve">Notes: </w:t>
      </w:r>
      <w:r>
        <w:t>abstract_source=nature_html</w:t>
      </w:r>
    </w:p>
    <w:p>
      <w:pPr>
        <w:spacing w:before="0" w:after="80" w:lineRule="auto" w:line="276"/>
      </w:pPr>
      <w:r>
        <w:rPr>
          <w:b/>
        </w:rPr>
        <w:t xml:space="preserve">摘要（ZH）: </w:t>
      </w:r>
      <w:r>
        <w:t>藻菌相互作用调控海洋颗粒有机碳（POC）的产生与归宿，但其生成长效碳汇的能力仍不明确。利用聚胞藻及其共生微生物群落的两年营养自维持共培养体系，我们证明持续的藻菌相互作用促进难降解POC的渐进累积。藻源有机底物的持续释放，加之微生物酶的反复改造，生成了惰性有机颗粒，其中约26%抵抗再矿化并形成稳定的难降解颗粒碳库。放射性碳（Δ14C）分析显示，仅在两年的实验中形成的POC表现出超过400年的表观年龄偏移。这种“老化”特征很可能源于藻类同化化石燃料导致的14C亏损大气CO2，随后累积于生成的难降解POC中。通过证明表观放射性碳年龄可与实际滞留时间解耦，这些结果为解读“古老”海洋POC提供了见解，并凸显了藻菌相互作用在海洋颗粒碳封存中的重要作用。</w:t>
      </w:r>
    </w:p>
    <w:p>
      <w:pPr>
        <w:spacing w:before="0" w:after="200" w:lineRule="auto" w:line="276"/>
      </w:pPr>
      <w:r>
        <w:rPr>
          <w:b/>
        </w:rPr>
        <w:t xml:space="preserve">Abstract (EN): </w:t>
      </w:r>
      <w:r>
        <w:t>Algal-bacterial interactions regulate the production and fate of marine particulate organic carbon (POC), yet their capacity to generate long-lived carbon sinks remains unclear. Using a two-year, nutrient-self-sustaining co-culture of Synechococcus and its mutualistic microbiota, we demonstrate that sustained algal-bacterial interactions promote the progressive accumulation of recalcitrant POC. Continuous release of algal-derived organic substrates, coupled with repeated microbial enzymatic reworking, produced inert organic particles, with ~26% resisting remineralization and forming a stable recalcitrant particulate carbon pool. Radiocarbon (Δ14C) analyses revealed an apparent age offset exceeding 400 years for POC formed within only two-year experiment. This “aged” signature likely results from algal assimilation of fossil-fuel-14C-depleted atmospheric CO2 followed by accumulation in generated recalcitrant POC. By demonstrating that apparent radiocarbon age can become decoupled from actual residence time, these results provide insights into the interpretation of “old” marine POC and highlight the important roles of algal-bacterial interactions in ocean particulate carbon sequestration.</w:t>
      </w:r>
    </w:p>
    <w:p>
      <w:pPr>
        <w:spacing w:before="120" w:after="120"/>
      </w:pPr>
      <w:r>
        <w:rPr>
          <w:sz w:val="18"/>
        </w:rPr>
        <w:t>——————————————————————————————————————————————————————————————————————</w:t>
      </w:r>
    </w:p>
    <w:p>
      <w:pPr>
        <w:spacing w:before="160" w:after="40" w:line="240" w:lineRule="auto"/>
      </w:pPr>
      <w:r>
        <w:rPr>
          <w:b/>
        </w:rPr>
        <w:t xml:space="preserve">[148] </w:t>
      </w:r>
      <w:hyperlink r:id="rId688">
        <w:r>
          <w:rPr>
            <w:color w:val="1155CC"/>
            <w:u w:val="single"/>
          </w:rPr>
          <w:t>由两类平衡态精确控制的真菌黄酮类化合物Chlorflavonin的生物合成</w:t>
        </w:r>
      </w:hyperlink>
    </w:p>
    <w:p>
      <w:pPr>
        <w:spacing w:before="0" w:after="80"/>
      </w:pPr>
      <w:r>
        <w:rPr>
          <w:i/>
          <w:sz w:val="20"/>
        </w:rPr>
        <w:t>EN: The Biosynthesis of a Fungal Flavonoid, Chlorflavonin, Precisely Controlled by Two Types of Equilibrium States</w:t>
      </w:r>
    </w:p>
    <w:p>
      <w:pPr>
        <w:spacing w:before="0" w:after="120"/>
      </w:pPr>
      <w:r>
        <w:rPr>
          <w:b/>
        </w:rPr>
        <w:t xml:space="preserve">Source: </w:t>
      </w:r>
      <w:r>
        <w:t>Journal of the American Chemical Society</w:t>
      </w:r>
      <w:r>
        <w:t xml:space="preserve">    </w:t>
      </w:r>
      <w:r>
        <w:rPr>
          <w:b/>
        </w:rPr>
        <w:t xml:space="preserve">Pub date: </w:t>
      </w:r>
      <w:r>
        <w:t>2026-08-29 00:00:00+00:00</w:t>
      </w:r>
      <w:r>
        <w:t xml:space="preserve">    </w:t>
      </w:r>
      <w:r>
        <w:rPr>
          <w:b/>
        </w:rPr>
        <w:t xml:space="preserve">DOI: </w:t>
      </w:r>
      <w:hyperlink r:id="rId688">
        <w:r>
          <w:rPr>
            <w:color w:val="1155CC"/>
            <w:u w:val="single"/>
          </w:rPr>
          <w:t>10.1021/jacs.6c13856</w:t>
        </w:r>
      </w:hyperlink>
    </w:p>
    <w:p>
      <w:pPr>
        <w:spacing w:before="0" w:after="120"/>
      </w:pPr>
      <w:r>
        <w:rPr>
          <w:b/>
        </w:rPr>
        <w:t xml:space="preserve">Notes: </w:t>
      </w:r>
      <w:r>
        <w:t>abstract_source=crossref</w:t>
      </w:r>
    </w:p>
    <w:p>
      <w:pPr>
        <w:spacing w:before="0" w:after="80" w:lineRule="auto" w:line="276"/>
      </w:pPr>
      <w:r>
        <w:rPr>
          <w:b/>
        </w:rPr>
        <w:t xml:space="preserve">摘要（ZH）: </w:t>
      </w:r>
      <w:r>
        <w:t>摘要 黄酮类化合物是主要从植物中分离得到的多酚类天然产物，具有多种多样的生物活性。由于它们是重要的药物和营养保健品，对其可持续供应有着强烈需求。Chlorflavonin 是一种罕见的真菌来源黄酮类化合物，具有强大的抗结核活性。虽然其生物合成酶有望成为真菌生产黄酮类化合物的宝贵工具，但其生物合成途径仍不清楚。在本研究中，我们通过对各个生物合成酶的详细功能分析，阐明了 chlorflavonin 的完整生物合成途径。此前，已有研究提出逐步、直接地引入 3-、7-和 8-甲氧基；2′-羟基；以及 3′-氯官能团。与该假说相反，我们发现了一条复杂的生物合成路线，其中涉及由查尔酮异构酶 CfvF 和黄素依赖性加氧酶 CfvI 介导的黄酮骨架 6-甲氧基与 8-甲氧基形式之间的动态互变。CfvF 可使 6-甲氧基与 8-甲氧基黄烷酮发生互变，可能经由查尔酮中间体。CfvI 可氧化黄烷酮化学惰性的 2,3-双键，生成半缩醛产物。尽管这些酶生成的产物处于平衡状态，但各自的下游酶能够选择性转化其中某一特定物种，从而促进其顺利转化为最终产物。我们还解析了 CfvK 的晶体结构，该脱水酶可选择性转化 CfvI 产物的 8-甲氧基形式。通过分析与复合物结构</w:t>
      </w:r>
    </w:p>
    <w:p>
      <w:pPr>
        <w:spacing w:before="0" w:after="200" w:lineRule="auto" w:line="276"/>
      </w:pPr>
      <w:r>
        <w:rPr>
          <w:b/>
        </w:rPr>
        <w:t xml:space="preserve">Abstract (EN): </w:t>
      </w:r>
      <w:r>
        <w:t>Flavonoids are polyphenolic natural products predominantly isolated from plants and exhibit a diverse array of biological activities. Because they serve as important pharmaceuticals and nutraceuticals, there is a strong demand for their sustainable supply. Chlorflavonin is a rare fungal flavonoid with potent antitubercular activity. While its biosynthetic enzymes are expected to be valuable tools for application in fungal production of flavonoids, the biosynthetic pathway remains unknown. Here, we elucidate the complete biosynthetic pathway for chlorflavonin through detailed functional analysis of each biosynthetic enzyme. Previously, stepwise and straightforward introduction of 3-, 7-, and 8-methoxy; 2′-hydroxy; and 3′-chloro functionalities have been proposed. In contrast to this proposal, we uncovered an intricate biosynthetic route involving a dynamic interconversion between the 6- and 8-methoxy forms of flavonoid skeletons mediated by the chalcone isomerase CfvF and the flavin-dependent oxygenase CfvI. CfvF interconverted the 6- and 8-methoxyflavanones, likely via a chalcone intermediate. CfvI oxidized the chemically inert 2,3-double bond of flavanone, giving the hemiacetal product. Although these enzymes generate products existing in equilibrium states, respective downstream enzymes catalyze selective conversion of one specific species, facilitating smooth progression to the final product. We also solved the crystal structure of CfvK, the dehydratase that selectively converts the 8-methoxy form of the CfvI product. Through analyzing the structure complexed with its substrate and product and site-directed mutagenesis, key residues determining the substrate selectivity were identified. Our comprehensive analysis established a rational framework for preparing 46 flavonoids, including unnatural ones, setting the stage for fungal production of structurally diverse flavonoids.</w:t>
      </w:r>
    </w:p>
    <w:p>
      <w:pPr>
        <w:spacing w:before="120" w:after="120"/>
      </w:pPr>
      <w:r>
        <w:rPr>
          <w:sz w:val="18"/>
        </w:rPr>
        <w:t>——————————————————————————————————————————————————————————————————————</w:t>
      </w:r>
    </w:p>
    <w:p>
      <w:pPr>
        <w:spacing w:before="160" w:after="40" w:line="240" w:lineRule="auto"/>
      </w:pPr>
      <w:r>
        <w:rPr>
          <w:b/>
        </w:rPr>
        <w:t xml:space="preserve">[149] </w:t>
      </w:r>
      <w:hyperlink r:id="rId689">
        <w:r>
          <w:rPr>
            <w:color w:val="1155CC"/>
            <w:u w:val="single"/>
          </w:rPr>
          <w:t>树木死亡扰动的地形解耦通过 divergent 微生物策略驱动截然不同的土壤碳命运</w:t>
        </w:r>
      </w:hyperlink>
    </w:p>
    <w:p>
      <w:pPr>
        <w:spacing w:before="0" w:after="80"/>
      </w:pPr>
      <w:r>
        <w:rPr>
          <w:i/>
          <w:sz w:val="20"/>
        </w:rPr>
        <w:t>EN: Topographic decoupling of tree-mortality disturbances drives contrasting soil carbon fates via divergent microbial strategies</w:t>
      </w:r>
    </w:p>
    <w:p>
      <w:pPr>
        <w:spacing w:before="0" w:after="120"/>
      </w:pPr>
      <w:r>
        <w:rPr>
          <w:b/>
        </w:rPr>
        <w:t xml:space="preserve">Source: </w:t>
      </w:r>
      <w:r>
        <w:t>Earth and environmental sciences : Nature Communications subject feeds</w:t>
      </w:r>
      <w:r>
        <w:t xml:space="preserve">    </w:t>
      </w:r>
      <w:r>
        <w:rPr>
          <w:b/>
        </w:rPr>
        <w:t xml:space="preserve">Pub date: </w:t>
      </w:r>
      <w:r>
        <w:t>2026-08-29 00:00:00+00:00</w:t>
      </w:r>
    </w:p>
    <w:p>
      <w:pPr>
        <w:spacing w:before="0" w:after="120"/>
      </w:pPr>
      <w:r>
        <w:rPr>
          <w:b/>
        </w:rPr>
        <w:t xml:space="preserve">Notes: </w:t>
      </w:r>
      <w:r>
        <w:t>abstract_source=nature_html</w:t>
      </w:r>
    </w:p>
    <w:p>
      <w:pPr>
        <w:spacing w:before="0" w:after="80" w:lineRule="auto" w:line="276"/>
      </w:pPr>
      <w:r>
        <w:rPr>
          <w:b/>
        </w:rPr>
        <w:t xml:space="preserve">摘要（ZH）: </w:t>
      </w:r>
      <w:r>
        <w:t>气候变化正在加剧全球范围内的树木死亡，威胁森林土壤有机碳（SOC）储量的稳定性。然而，在多种干扰共现的情况下，SOC 如何响应树木死亡在机制上仍不清楚。在此，我们证明地形在空间上使树木死亡的冠层开敞效应与碎屑遗留效应解耦，并将这些共现干扰转化为对土壤微生物群落的截然不同的选择压力，从而通过不同的碳和能量获取微生物策略驱动 SOC 走向相反的命运。在山脊上，冠层开敞效应共选择胞外酶和有氧呼吸性状，同时伴随着与重组分有机碳减少相关的 SOC 损失。在山谷中，碎屑遗留效应促进与轻组分相关的 SOC 增加并共富集胞内酶和厌氧呼吸性状，从而可能增强 SOC 的保留。通过将扩增子测序与基于基因组的功能性状相结合，我们的研究为树木死亡引起 SOC 分歧响应的微生物机制提供了基因组学证据，并突显了基于基因组的微生物性状在预测生态系统尺度生物地球化学过程中的潜力。</w:t>
      </w:r>
    </w:p>
    <w:p>
      <w:pPr>
        <w:spacing w:before="0" w:after="200" w:lineRule="auto" w:line="276"/>
      </w:pPr>
      <w:r>
        <w:rPr>
          <w:b/>
        </w:rPr>
        <w:t xml:space="preserve">Abstract (EN): </w:t>
      </w:r>
      <w:r>
        <w:t>Climate change is exacerbating tree mortality worldwide, threatening the stability of forest soil organic carbon (SOC) stocks. However, how SOC responds to tree mortality amid co-occurring disturbances remains mechanistically unresolved. Here, we demonstrate that topography spatially decouples the canopy-opening and detrital-legacy effects of tree mortality and transforms these co-occurring disturbances into distinct selective pressures on soil microbial communities, thereby driving SOC toward contrasting fates through divergent microbial strategies for carbon and energy acquisition. On ridges, canopy-opening effects co-select for exo-enzyme and aerobic-respiration traits, alongside SOC loss associated with reduced heavy-fraction organic carbon. In valleys, detrital-legacy effects promote light-fraction-associated SOC gain while co-enriching endo-enzyme and anaerobic-respiration traits, potentially strengthening SOC retention. By integrating amplicon sequencing with genome-informed functional traits, our study provides genomic evidence for the microbial mechanisms underlying divergent SOC responses to tree mortality and highlights the potential of genome-based microbial traits for predicting ecosystem-scale biogeochemical processes.</w:t>
      </w:r>
    </w:p>
    <w:p>
      <w:pPr>
        <w:spacing w:before="120" w:after="120"/>
      </w:pPr>
      <w:r>
        <w:rPr>
          <w:sz w:val="18"/>
        </w:rPr>
        <w:t>——————————————————————————————————————————————————————————————————————</w:t>
      </w:r>
    </w:p>
    <w:p>
      <w:pPr>
        <w:spacing w:before="160" w:after="40" w:line="240" w:lineRule="auto"/>
      </w:pPr>
      <w:r>
        <w:rPr>
          <w:b/>
        </w:rPr>
        <w:t xml:space="preserve">[150] </w:t>
      </w:r>
      <w:hyperlink r:id="rId690">
        <w:r>
          <w:rPr>
            <w:color w:val="1155CC"/>
            <w:u w:val="single"/>
          </w:rPr>
          <w:t>疏水策略驱动天然硅酸盐矿物上的接触电催化</w:t>
        </w:r>
      </w:hyperlink>
    </w:p>
    <w:p>
      <w:pPr>
        <w:spacing w:before="0" w:after="80"/>
      </w:pPr>
      <w:r>
        <w:rPr>
          <w:i/>
          <w:sz w:val="20"/>
        </w:rPr>
        <w:t>EN: Hydrophobicity strategy drives contact-electro-catalysis on natural silicate minerals</w:t>
      </w:r>
    </w:p>
    <w:p>
      <w:pPr>
        <w:spacing w:before="0" w:after="120"/>
      </w:pPr>
      <w:r>
        <w:rPr>
          <w:b/>
        </w:rPr>
        <w:t xml:space="preserve">Source: </w:t>
      </w:r>
      <w:r>
        <w:t>Earth and environmental sciences : Nature Communications subject feeds</w:t>
      </w:r>
      <w:r>
        <w:t xml:space="preserve">    </w:t>
      </w:r>
      <w:r>
        <w:rPr>
          <w:b/>
        </w:rPr>
        <w:t xml:space="preserve">Pub date: </w:t>
      </w:r>
      <w:r>
        <w:t>2026-08-29 00:00:00+00:00</w:t>
      </w:r>
    </w:p>
    <w:p>
      <w:pPr>
        <w:spacing w:before="0" w:after="120"/>
      </w:pPr>
      <w:r>
        <w:rPr>
          <w:b/>
        </w:rPr>
        <w:t xml:space="preserve">Notes: </w:t>
      </w:r>
      <w:r>
        <w:t>abstract_source=nature_html</w:t>
      </w:r>
    </w:p>
    <w:p>
      <w:pPr>
        <w:spacing w:before="0" w:after="80" w:lineRule="auto" w:line="276"/>
      </w:pPr>
      <w:r>
        <w:rPr>
          <w:b/>
        </w:rPr>
        <w:t xml:space="preserve">摘要（ZH）: </w:t>
      </w:r>
      <w:r>
        <w:t>催化剂-水界面的接触电催化（CEC）在废水净化、金属回收和 H2O2 生产方面显示出前景，但催化剂设计主要强调吸电子能力，而忽视了界面水的传递。在此，我们开发了一种针对天然硅酸盐矿物的疏水性工程策略，通过平衡水的接近与去除来优化催化剂与水的接触。作为代表性的非氟化体系，具有适度疏水性（水接触角为 125–148°）的烷基修饰矿物在超声条件下实现了 350.0 μmol·L–1·h–1 的 H2O2 产量，优于氟化矿物。机理分析表明，这种增强源于界面接触效率的改善，而不仅仅是更强的吸电子能力。该策略在弱力条件下仍然有效，可在天然河流中实现自供电 CEC。修饰后的矿物选择性地富集了与氧化应激抗性和氧化态有机碳利用相关的微生物，包括 Novosphingobium sp.。总之，这些发现表明疏水性调节是一种有效的 CEC 接触优化策略。</w:t>
      </w:r>
    </w:p>
    <w:p>
      <w:pPr>
        <w:spacing w:before="0" w:after="200" w:lineRule="auto" w:line="276"/>
      </w:pPr>
      <w:r>
        <w:rPr>
          <w:b/>
        </w:rPr>
        <w:t xml:space="preserve">Abstract (EN): </w:t>
      </w:r>
      <w:r>
        <w:t>Contact-electro-catalysis (CEC) at catalyst-water interfaces shows promise for wastewater purification, metal recovery, and H2O2 production, but catalyst design has mainly emphasized electron-withdrawing ability while overlooking interfacial water transfer. Here, we develop a hydrophobicity engineering strategy for natural silicate minerals to optimize catalyst-water contact by balancing the water approach and removal. As a representative non-fluorinated system, alkyl-modified minerals with moderate hydrophobicity (water contact angle of 125–148°) achieve a H2O2 yield of 350.0 μmol·L–1·h–1 under ultrasonication, outperforming fluorinated minerals. Mechanistic analysis indicates that this enhancement arises from improved interfacial contact efficiency rather than stronger electron-withdrawing ability alone. This strategy also remains effective under weak-force conditions, enabling self-powered CEC in a natural river. The modified minerals selectively enriched microorganisms associated with oxidative stress resistance and oxidized organic carbon utilization, including Novosphingobium sp. Together, these findings identify hydrophobicity regulation as an effective contact-optimization strategy for CEC.</w:t>
      </w:r>
    </w:p>
    <w:p>
      <w:pPr>
        <w:spacing w:before="120" w:after="120"/>
      </w:pPr>
      <w:r>
        <w:rPr>
          <w:sz w:val="18"/>
        </w:rPr>
        <w:t>——————————————————————————————————————————————————————————————————————</w:t>
      </w:r>
    </w:p>
    <w:p>
      <w:pPr>
        <w:spacing w:before="160" w:after="40" w:line="240" w:lineRule="auto"/>
      </w:pPr>
      <w:r>
        <w:rPr>
          <w:b/>
        </w:rPr>
        <w:t xml:space="preserve">[151] </w:t>
      </w:r>
      <w:hyperlink r:id="rId691">
        <w:r>
          <w:rPr>
            <w:color w:val="1155CC"/>
            <w:u w:val="single"/>
          </w:rPr>
          <w:t>前脑室管膜下区成体神经干细胞胚胎起源的整合分析</w:t>
        </w:r>
      </w:hyperlink>
    </w:p>
    <w:p>
      <w:pPr>
        <w:spacing w:before="0" w:after="80"/>
      </w:pPr>
      <w:r>
        <w:rPr>
          <w:i/>
          <w:sz w:val="20"/>
        </w:rPr>
        <w:t>EN: Integrative analysis of the embryonic origin of adult neural stem cells in forebrain subventricular zones</w:t>
      </w:r>
    </w:p>
    <w:p>
      <w:pPr>
        <w:spacing w:before="0" w:after="120"/>
      </w:pPr>
      <w:r>
        <w:rPr>
          <w:b/>
        </w:rPr>
        <w:t xml:space="preserve">Source: </w:t>
      </w:r>
      <w:r>
        <w:t>National Science Review Advance Access</w:t>
      </w:r>
      <w:r>
        <w:t xml:space="preserve">    </w:t>
      </w:r>
      <w:r>
        <w:rPr>
          <w:b/>
        </w:rPr>
        <w:t xml:space="preserve">Pub date: </w:t>
      </w:r>
      <w:r>
        <w:t>2026-08-29 00:00:00+00:00</w:t>
      </w:r>
      <w:r>
        <w:t xml:space="preserve">    </w:t>
      </w:r>
      <w:r>
        <w:rPr>
          <w:b/>
        </w:rPr>
        <w:t xml:space="preserve">DOI: </w:t>
      </w:r>
      <w:hyperlink r:id="rId692">
        <w:r>
          <w:rPr>
            <w:color w:val="1155CC"/>
            <w:u w:val="single"/>
          </w:rPr>
          <w:t>10.1093/nsr/nwag516</w:t>
        </w:r>
      </w:hyperlink>
    </w:p>
    <w:p>
      <w:pPr>
        <w:spacing w:before="0" w:after="120"/>
      </w:pPr>
      <w:r>
        <w:rPr>
          <w:b/>
        </w:rPr>
        <w:t xml:space="preserve">Notes: </w:t>
      </w:r>
      <w:r>
        <w:t>abstract_source=rss_oup</w:t>
      </w:r>
    </w:p>
    <w:p>
      <w:pPr>
        <w:spacing w:before="0" w:after="80" w:lineRule="auto" w:line="276"/>
      </w:pPr>
      <w:r>
        <w:rPr>
          <w:b/>
        </w:rPr>
        <w:t xml:space="preserve">摘要（ZH）: </w:t>
      </w:r>
      <w:r>
        <w:t>在哺乳动物大脑中，位于侧脑室脑室-室管膜下区（V-SVZ）和齿状回的成体神经干细胞（NSC）在一生中持续产生新的神经元和胶质细胞。V-SVZ 中的成体 NSC 源自脑室放射状胶质细胞（RGC），后者在胚胎发育过程中进入静息状态。然而，这一成体 NSC 库的起源与建立仍不清楚，主要原因是难以追踪从胚胎 RGC 到其静息成体后代的谱系。在此，我们利用 Vcam1——一种从胚胎 RGC 到成体 NSC 持续表达的标记物——揭示了产生静息种子细胞的命运分歧的动态过程和调控机制。我们证明 Vcam1+ 胚胎 RGC 直接贡献于成体 NSC 库。一部分静息的 Vcam1+ RGC 早期出现并在整个发育过程中得以维持，而一群平行的增殖性 Vcam1+ 祖细胞则主动补充这一静息储备库。通过对 Vcam1+ 细胞的单细胞多组学和克隆谱系追踪的综合分析，我们鉴定出 TGF-β/Smad3 通路是静息状态的关键调控因子。因此，我们的工作从机制上剖析了成体 NSC 基础库如何通过胚胎发育过程中精确调控的命运决定而建立，为终生神经发生的原理提供了新见解。</w:t>
      </w:r>
    </w:p>
    <w:p>
      <w:pPr>
        <w:spacing w:before="0" w:after="200" w:lineRule="auto" w:line="276"/>
      </w:pPr>
      <w:r>
        <w:rPr>
          <w:b/>
        </w:rPr>
        <w:t xml:space="preserve">Abstract (EN): </w:t>
      </w:r>
      <w:r>
        <w:t>In the mammalian brain, adult neural stem cells (NSCs) located in ventricular-subventricular zone (V-SVZ) of lateral ventricles and dentate gyrus continuously generate new neurons and glia throughout life. The adult NSCs in V-SVZ are derived from ventricular radial glial cells (RGCs) which become quiescent during embryonic development. However, the origin and establishment of this adult NSC pool remain elusive, primarily due to the challenge of tracing the lineage from embryonic RGCs to their quiescent adult successors. Here, by leveraging Vcam1—a marker continuously expressed from embryonic RGCs to adult NSCs—we unravel the dynamic process and regulatory mechanism underlying the fate bifurcation that gives rise to quiescent seed cells. We demonstrate that Vcam1+ embryonic RGCs directly contribute to the adult NSC pool. A subpopulation of quiescent Vcam1+ RGCs emerges early and is maintained throughout development, while a parallel population of proliferative Vcam1+ progenitors actively replenishes this quiescent reservoir. Through the combinatory analysis of single-cell multi-omics and clonal lineage tracing of Vcam1+ cells, we identified the TGF-β/Smad3 pathway as a critical regulator of quiescence. Our work thus provides a mechanistic dissection of how the foundational adult NSC pool is established through precisely regulated fate decisions during embryogenesis, offering new insights into the principles of lifelong neurogenesis.</w:t>
      </w:r>
    </w:p>
    <w:p>
      <w:pPr>
        <w:spacing w:before="120" w:after="120"/>
      </w:pPr>
      <w:r>
        <w:rPr>
          <w:sz w:val="18"/>
        </w:rPr>
        <w:t>——————————————————————————————————————————————————————————————————————</w:t>
      </w:r>
    </w:p>
    <w:p>
      <w:pPr>
        <w:spacing w:before="160" w:after="40" w:line="240" w:lineRule="auto"/>
      </w:pPr>
      <w:r>
        <w:rPr>
          <w:b/>
        </w:rPr>
        <w:t xml:space="preserve">[152] </w:t>
      </w:r>
      <w:hyperlink r:id="rId693">
        <w:r>
          <w:rPr>
            <w:color w:val="1155CC"/>
            <w:u w:val="single"/>
          </w:rPr>
          <w:t>面向可扩展原子电子断层成像的深度学习</w:t>
        </w:r>
      </w:hyperlink>
    </w:p>
    <w:p>
      <w:pPr>
        <w:spacing w:before="0" w:after="80"/>
      </w:pPr>
      <w:r>
        <w:rPr>
          <w:i/>
          <w:sz w:val="20"/>
        </w:rPr>
        <w:t>EN: Deep learning for scalable atomic electron tomography</w:t>
      </w:r>
    </w:p>
    <w:p>
      <w:pPr>
        <w:spacing w:before="0" w:after="120"/>
      </w:pPr>
      <w:r>
        <w:rPr>
          <w:b/>
        </w:rPr>
        <w:t xml:space="preserve">Source: </w:t>
      </w:r>
      <w:r>
        <w:t>National Science Review Advance Access</w:t>
      </w:r>
      <w:r>
        <w:t xml:space="preserve">    </w:t>
      </w:r>
      <w:r>
        <w:rPr>
          <w:b/>
        </w:rPr>
        <w:t xml:space="preserve">Pub date: </w:t>
      </w:r>
      <w:r>
        <w:t>2026-08-29 00:00:00+00:00</w:t>
      </w:r>
      <w:r>
        <w:t xml:space="preserve">    </w:t>
      </w:r>
      <w:r>
        <w:rPr>
          <w:b/>
        </w:rPr>
        <w:t xml:space="preserve">DOI: </w:t>
      </w:r>
      <w:hyperlink r:id="rId694">
        <w:r>
          <w:rPr>
            <w:color w:val="1155CC"/>
            <w:u w:val="single"/>
          </w:rPr>
          <w:t>10.1093/nsr/nwag561</w:t>
        </w:r>
      </w:hyperlink>
    </w:p>
    <w:p>
      <w:pPr>
        <w:spacing w:before="0" w:after="120"/>
      </w:pPr>
      <w:r>
        <w:rPr>
          <w:b/>
        </w:rPr>
        <w:t xml:space="preserve">Notes: </w:t>
      </w:r>
      <w:r>
        <w:t>abstract_source=openalex</w:t>
      </w:r>
    </w:p>
    <w:p>
      <w:pPr>
        <w:spacing w:before="0" w:after="80" w:lineRule="auto" w:line="276"/>
      </w:pPr>
      <w:r>
        <w:rPr>
          <w:b/>
        </w:rPr>
        <w:t xml:space="preserve">摘要（ZH）: </w:t>
      </w:r>
      <w:r>
        <w:t>Jianwei Miao; Deep learning for scalable atomic electron tomography, National Science Review, , nwag561, https://doi.org/10.1093/nsr/nwag561</w:t>
      </w:r>
    </w:p>
    <w:p>
      <w:pPr>
        <w:spacing w:before="0" w:after="200" w:lineRule="auto" w:line="276"/>
      </w:pPr>
      <w:r>
        <w:rPr>
          <w:b/>
        </w:rPr>
        <w:t xml:space="preserve">Abstract (EN): </w:t>
      </w:r>
      <w:r>
        <w:t>Jianwei Miao; Deep learning for scalable atomic electron tomography, National Science Review, , nwag561, https://doi.org/10.1093/nsr/nwag561</w:t>
      </w:r>
    </w:p>
    <w:p>
      <w:pPr>
        <w:spacing w:before="120" w:after="120"/>
      </w:pPr>
      <w:r>
        <w:rPr>
          <w:sz w:val="18"/>
        </w:rPr>
        <w:t>——————————————————————————————————————————————————————————————————————</w:t>
      </w:r>
    </w:p>
    <w:p>
      <w:pPr>
        <w:spacing w:before="160" w:after="40" w:line="240" w:lineRule="auto"/>
      </w:pPr>
      <w:r>
        <w:rPr>
          <w:b/>
        </w:rPr>
        <w:t xml:space="preserve">[153] </w:t>
      </w:r>
      <w:hyperlink r:id="rId695">
        <w:r>
          <w:rPr>
            <w:color w:val="1155CC"/>
            <w:u w:val="single"/>
          </w:rPr>
          <w:t>古地磁学的一生：lisa tauxe 访谈</w:t>
        </w:r>
      </w:hyperlink>
    </w:p>
    <w:p>
      <w:pPr>
        <w:spacing w:before="0" w:after="80"/>
      </w:pPr>
      <w:r>
        <w:rPr>
          <w:i/>
          <w:sz w:val="20"/>
        </w:rPr>
        <w:t>EN: A life in paleomagnetism: an interview with lisa tauxe</w:t>
      </w:r>
    </w:p>
    <w:p>
      <w:pPr>
        <w:spacing w:before="0" w:after="120"/>
      </w:pPr>
      <w:r>
        <w:rPr>
          <w:b/>
        </w:rPr>
        <w:t xml:space="preserve">Source: </w:t>
      </w:r>
      <w:r>
        <w:t>National Science Review Advance Access</w:t>
      </w:r>
      <w:r>
        <w:t xml:space="preserve">    </w:t>
      </w:r>
      <w:r>
        <w:rPr>
          <w:b/>
        </w:rPr>
        <w:t xml:space="preserve">Pub date: </w:t>
      </w:r>
      <w:r>
        <w:t>2026-08-29 00:00:00+00:00</w:t>
      </w:r>
      <w:r>
        <w:t xml:space="preserve">    </w:t>
      </w:r>
      <w:r>
        <w:rPr>
          <w:b/>
        </w:rPr>
        <w:t xml:space="preserve">DOI: </w:t>
      </w:r>
      <w:hyperlink r:id="rId696">
        <w:r>
          <w:rPr>
            <w:color w:val="1155CC"/>
            <w:u w:val="single"/>
          </w:rPr>
          <w:t>10.1093/nsr/nwag554</w:t>
        </w:r>
      </w:hyperlink>
    </w:p>
    <w:p>
      <w:pPr>
        <w:spacing w:before="0" w:after="120"/>
      </w:pPr>
      <w:r>
        <w:rPr>
          <w:b/>
        </w:rPr>
        <w:t xml:space="preserve">Notes: </w:t>
      </w:r>
      <w:r>
        <w:t>abstract_source=crossref</w:t>
      </w:r>
    </w:p>
    <w:p>
      <w:pPr>
        <w:spacing w:before="0" w:after="80" w:lineRule="auto" w:line="276"/>
      </w:pPr>
      <w:r>
        <w:rPr>
          <w:b/>
        </w:rPr>
        <w:t xml:space="preserve">摘要（ZH）: </w:t>
      </w:r>
      <w:r>
        <w:t>Lisa 介绍了古地磁学领域，分享了几个引人入胜的研究故事，并讲述了她在自己的科学生涯中所经历的挑战与挫折，以及那些温暖人心的时刻。</w:t>
      </w:r>
    </w:p>
    <w:p>
      <w:pPr>
        <w:spacing w:before="0" w:after="200" w:lineRule="auto" w:line="276"/>
      </w:pPr>
      <w:r>
        <w:rPr>
          <w:b/>
        </w:rPr>
        <w:t xml:space="preserve">Abstract (EN): </w:t>
      </w:r>
      <w:r>
        <w:t>Lisa introduced the field of paleomagnetism, shared several fascinating research stories, and recounted the challenges and setbacks, as well as the heartwarming moments, that she has experienced throughout her own scientific career.</w:t>
      </w:r>
    </w:p>
    <w:p>
      <w:pPr>
        <w:spacing w:before="120" w:after="120"/>
      </w:pPr>
      <w:r>
        <w:rPr>
          <w:sz w:val="18"/>
        </w:rPr>
        <w:t>——————————————————————————————————————————————————————————————————————</w:t>
      </w:r>
    </w:p>
    <w:p>
      <w:pPr>
        <w:spacing w:before="160" w:after="40" w:line="240" w:lineRule="auto"/>
      </w:pPr>
      <w:r>
        <w:rPr>
          <w:b/>
        </w:rPr>
        <w:t xml:space="preserve">[154] </w:t>
      </w:r>
      <w:hyperlink r:id="rId697">
        <w:r>
          <w:rPr>
            <w:color w:val="1155CC"/>
            <w:u w:val="single"/>
          </w:rPr>
          <w:t>可再生能源的兴起：它如何塑造欧盟的依赖性、多样性与地缘政治风险</w:t>
        </w:r>
      </w:hyperlink>
    </w:p>
    <w:p>
      <w:pPr>
        <w:spacing w:before="0" w:after="80"/>
      </w:pPr>
      <w:r>
        <w:rPr>
          <w:i/>
          <w:sz w:val="20"/>
        </w:rPr>
        <w:t>EN: The rise of renewable energy: How it shapes dependency, diversity, and geopolitical risk in the European Union</w:t>
      </w:r>
    </w:p>
    <w:p>
      <w:pPr>
        <w:spacing w:before="0" w:after="120"/>
      </w:pPr>
      <w:r>
        <w:rPr>
          <w:b/>
        </w:rPr>
        <w:t xml:space="preserve">Source: </w:t>
      </w:r>
      <w:r>
        <w:t>ScienceDirect Publication: Energy Policy</w:t>
      </w:r>
      <w:r>
        <w:t xml:space="preserve">    </w:t>
      </w:r>
      <w:r>
        <w:rPr>
          <w:b/>
        </w:rPr>
        <w:t xml:space="preserve">Pub date: </w:t>
      </w:r>
      <w:r>
        <w:t>2026-08-29 00:00:00+00:00</w:t>
      </w:r>
      <w:r>
        <w:t xml:space="preserve">    </w:t>
      </w:r>
      <w:r>
        <w:rPr>
          <w:b/>
        </w:rPr>
        <w:t xml:space="preserve">DOI: </w:t>
      </w:r>
      <w:hyperlink r:id="rId698">
        <w:r>
          <w:rPr>
            <w:color w:val="1155CC"/>
            <w:u w:val="single"/>
          </w:rPr>
          <w:t>10.1016/j.enpol.2026.115570</w:t>
        </w:r>
      </w:hyperlink>
    </w:p>
    <w:p>
      <w:pPr>
        <w:spacing w:before="0" w:after="120"/>
      </w:pPr>
      <w:r>
        <w:rPr>
          <w:b/>
        </w:rPr>
        <w:t xml:space="preserve">Notes: </w:t>
      </w:r>
      <w:r>
        <w:t>abstract_source=openalex</w:t>
      </w:r>
    </w:p>
    <w:p>
      <w:pPr>
        <w:spacing w:before="0" w:after="80" w:lineRule="auto" w:line="276"/>
      </w:pPr>
      <w:r>
        <w:rPr>
          <w:b/>
        </w:rPr>
        <w:t xml:space="preserve">摘要（ZH）: </w:t>
      </w:r>
      <w:r>
        <w:t>随着欧盟推进向清洁能源转型以应对气候挑战，一个紧迫的问题浮现：在这一日益动荡的全球格局中，这一转型是否也能增强能源安全？本研究考察了2010年至2022年间可再生能源对27个欧盟能源安全风险的影响，并通过三个关键维度——能源依赖风险、能源多样性风险和地缘政治风险——来衡量能源安全。研究结果表明，可再生能源显著降低了整个欧盟的能源多样性风险和地缘政治风险。然而，其对能源依赖风险的影响在总样本中不具有统计显著性。值得注意的是，进一步的非线性分析表明，在可再生能源部署水平较高的国家，可再生能源显著降低了对国外能源的依赖风险。这凸显了达到可再生能源整合临界阈值以释放更广泛能源安全效益的重要性。</w:t>
      </w:r>
    </w:p>
    <w:p>
      <w:pPr>
        <w:spacing w:before="0" w:after="200" w:lineRule="auto" w:line="276"/>
      </w:pPr>
      <w:r>
        <w:rPr>
          <w:b/>
        </w:rPr>
        <w:t xml:space="preserve">Abstract (EN): </w:t>
      </w:r>
      <w:r>
        <w:t>As the European Union advances its shift toward cleaner energy to address climate challenges, a pressing question emerges: can this shift also strengthen energy security in an increasingly volatile global landscape? This study investigates the impact of renewable energy on energy security risks across 27 EU countries over the period 2010 to 2022. It measures energy security through three key dimensions—energy dependency risk, energy diversity risk, and geopolitical risk. The findings reveal that renewable energy significantly mitigates energy diversity risk and geopolitical risk across the EU. However, its impact on energy dependency risk is statistically insignificant in the overall sample. Notably, further non-linear analyses show that in countries with higher levels of renewable energy deployment, renewables significantly reduce dependency risk on foreign energy sources. This highlights the importance of reaching a critical threshold of renewable integration to unlock broader energy security benefits.</w:t>
      </w:r>
    </w:p>
    <w:p>
      <w:pPr>
        <w:spacing w:before="120" w:after="120"/>
      </w:pPr>
      <w:r>
        <w:rPr>
          <w:sz w:val="18"/>
        </w:rPr>
        <w:t>——————————————————————————————————————————————————————————————————————</w:t>
      </w:r>
    </w:p>
    <w:p>
      <w:pPr>
        <w:spacing w:before="160" w:after="40" w:line="240" w:lineRule="auto"/>
      </w:pPr>
      <w:r>
        <w:rPr>
          <w:b/>
        </w:rPr>
        <w:t xml:space="preserve">[155] </w:t>
      </w:r>
      <w:hyperlink r:id="rId699">
        <w:r>
          <w:rPr>
            <w:color w:val="1155CC"/>
            <w:u w:val="single"/>
          </w:rPr>
          <w:t>用于光伏功率爬坡预测的谱间歇性正则化方法</w:t>
        </w:r>
      </w:hyperlink>
    </w:p>
    <w:p>
      <w:pPr>
        <w:spacing w:before="0" w:after="80"/>
      </w:pPr>
      <w:r>
        <w:rPr>
          <w:i/>
          <w:sz w:val="20"/>
        </w:rPr>
        <w:t>EN: Spectral intermittency regularization for photovoltaic ramp forecasting</w:t>
      </w:r>
    </w:p>
    <w:p>
      <w:pPr>
        <w:spacing w:before="0" w:after="120"/>
      </w:pPr>
      <w:r>
        <w:rPr>
          <w:b/>
        </w:rPr>
        <w:t xml:space="preserve">Source: </w:t>
      </w:r>
      <w:r>
        <w:t>ScienceDirect Publication: Applied Energy</w:t>
      </w:r>
      <w:r>
        <w:t xml:space="preserve">    </w:t>
      </w:r>
      <w:r>
        <w:rPr>
          <w:b/>
        </w:rPr>
        <w:t xml:space="preserve">Pub date: </w:t>
      </w:r>
      <w:r>
        <w:t>2026-08-29 00:00:00+00:00</w:t>
      </w:r>
      <w:r>
        <w:t xml:space="preserve">    </w:t>
      </w:r>
      <w:r>
        <w:rPr>
          <w:b/>
        </w:rPr>
        <w:t xml:space="preserve">DOI: </w:t>
      </w:r>
      <w:hyperlink r:id="rId700">
        <w:r>
          <w:rPr>
            <w:color w:val="1155CC"/>
            <w:u w:val="single"/>
          </w:rPr>
          <w:t>10.1016/j.apenergy.2026.128626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[156] </w:t>
      </w:r>
      <w:hyperlink r:id="rId701">
        <w:r>
          <w:rPr>
            <w:color w:val="1155CC"/>
            <w:u w:val="single"/>
          </w:rPr>
          <w:t>考虑多利益相关方交互下电动出租车车队影响的配电网协调运行</w:t>
        </w:r>
      </w:hyperlink>
    </w:p>
    <w:p>
      <w:pPr>
        <w:spacing w:before="0" w:after="80"/>
      </w:pPr>
      <w:r>
        <w:rPr>
          <w:i/>
          <w:sz w:val="20"/>
        </w:rPr>
        <w:t>EN: Coordinated operation of power distribution networks considering impacts from electric taxi fleets under multi-stakeholder interactions</w:t>
      </w:r>
    </w:p>
    <w:p>
      <w:pPr>
        <w:spacing w:before="0" w:after="120"/>
      </w:pPr>
      <w:r>
        <w:rPr>
          <w:b/>
        </w:rPr>
        <w:t xml:space="preserve">Source: </w:t>
      </w:r>
      <w:r>
        <w:t>ScienceDirect Publication: Applied Energy</w:t>
      </w:r>
      <w:r>
        <w:t xml:space="preserve">    </w:t>
      </w:r>
      <w:r>
        <w:rPr>
          <w:b/>
        </w:rPr>
        <w:t xml:space="preserve">Pub date: </w:t>
      </w:r>
      <w:r>
        <w:t>2026-08-29 00:00:00+00:00</w:t>
      </w:r>
      <w:r>
        <w:t xml:space="preserve">    </w:t>
      </w:r>
      <w:r>
        <w:rPr>
          <w:b/>
        </w:rPr>
        <w:t xml:space="preserve">DOI: </w:t>
      </w:r>
      <w:hyperlink r:id="rId702">
        <w:r>
          <w:rPr>
            <w:color w:val="1155CC"/>
            <w:u w:val="single"/>
          </w:rPr>
          <w:t>10.1016/j.apenergy.2026.128735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[157] </w:t>
      </w:r>
      <w:hyperlink r:id="rId703">
        <w:r>
          <w:rPr>
            <w:color w:val="1155CC"/>
            <w:u w:val="single"/>
          </w:rPr>
          <w:t>通过综合预测与风险偏好优化电力市场中光伏系统的风险感知竞标策略</w:t>
        </w:r>
      </w:hyperlink>
    </w:p>
    <w:p>
      <w:pPr>
        <w:spacing w:before="0" w:after="80"/>
      </w:pPr>
      <w:r>
        <w:rPr>
          <w:i/>
          <w:sz w:val="20"/>
        </w:rPr>
        <w:t>EN: Optimizing risk-aware bidding strategies for photovoltaic systems in electricity markets through integrated forecasting and risk propensity</w:t>
      </w:r>
    </w:p>
    <w:p>
      <w:pPr>
        <w:spacing w:before="0" w:after="120"/>
      </w:pPr>
      <w:r>
        <w:rPr>
          <w:b/>
        </w:rPr>
        <w:t xml:space="preserve">Source: </w:t>
      </w:r>
      <w:r>
        <w:t>ScienceDirect Publication: Applied Energy</w:t>
      </w:r>
      <w:r>
        <w:t xml:space="preserve">    </w:t>
      </w:r>
      <w:r>
        <w:rPr>
          <w:b/>
        </w:rPr>
        <w:t xml:space="preserve">Pub date: </w:t>
      </w:r>
      <w:r>
        <w:t>2026-08-29 00:00:00+00:00</w:t>
      </w:r>
      <w:r>
        <w:t xml:space="preserve">    </w:t>
      </w:r>
      <w:r>
        <w:rPr>
          <w:b/>
        </w:rPr>
        <w:t xml:space="preserve">DOI: </w:t>
      </w:r>
      <w:hyperlink r:id="rId704">
        <w:r>
          <w:rPr>
            <w:color w:val="1155CC"/>
            <w:u w:val="single"/>
          </w:rPr>
          <w:t>10.1016/j.apenergy.2026.128727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[158] </w:t>
      </w:r>
      <w:hyperlink r:id="rId705">
        <w:r>
          <w:rPr>
            <w:color w:val="1155CC"/>
            <w:u w:val="single"/>
          </w:rPr>
          <w:t>不确定条件下能源系统规划中基于多参数优化的决策方法</w:t>
        </w:r>
      </w:hyperlink>
    </w:p>
    <w:p>
      <w:pPr>
        <w:spacing w:before="0" w:after="80"/>
      </w:pPr>
      <w:r>
        <w:rPr>
          <w:i/>
          <w:sz w:val="20"/>
        </w:rPr>
        <w:t>EN: Multiparametric optimization based decision making approach in energy systems planning under uncertainty</w:t>
      </w:r>
    </w:p>
    <w:p>
      <w:pPr>
        <w:spacing w:before="0" w:after="120"/>
      </w:pPr>
      <w:r>
        <w:rPr>
          <w:b/>
        </w:rPr>
        <w:t xml:space="preserve">Source: </w:t>
      </w:r>
      <w:r>
        <w:t>ScienceDirect Publication: Applied Energy</w:t>
      </w:r>
      <w:r>
        <w:t xml:space="preserve">    </w:t>
      </w:r>
      <w:r>
        <w:rPr>
          <w:b/>
        </w:rPr>
        <w:t xml:space="preserve">Pub date: </w:t>
      </w:r>
      <w:r>
        <w:t>2026-08-29 00:00:00+00:00</w:t>
      </w:r>
      <w:r>
        <w:t xml:space="preserve">    </w:t>
      </w:r>
      <w:r>
        <w:rPr>
          <w:b/>
        </w:rPr>
        <w:t xml:space="preserve">DOI: </w:t>
      </w:r>
      <w:hyperlink r:id="rId706">
        <w:r>
          <w:rPr>
            <w:color w:val="1155CC"/>
            <w:u w:val="single"/>
          </w:rPr>
          <w:t>10.1016/j.apenergy.2026.128714</w:t>
        </w:r>
      </w:hyperlink>
    </w:p>
    <w:p>
      <w:pPr>
        <w:spacing w:before="0" w:after="120"/>
      </w:pPr>
      <w:r>
        <w:rPr>
          <w:b/>
        </w:rPr>
        <w:t xml:space="preserve">Notes: </w:t>
      </w:r>
      <w:r>
        <w:t>abstract_source=openalex</w:t>
      </w:r>
    </w:p>
    <w:p>
      <w:pPr>
        <w:spacing w:before="0" w:after="80" w:lineRule="auto" w:line="276"/>
      </w:pPr>
      <w:r>
        <w:rPr>
          <w:b/>
        </w:rPr>
        <w:t xml:space="preserve">摘要（ZH）: </w:t>
      </w:r>
      <w:r>
        <w:t>能源基础设施规划面临一个根本性的时间不对称问题：容量决策必须在不确定性显现之前做出承诺，但又必须在所有未来运行场景中保持稳健。传统方法要么采用最坏情形对冲，要么忽略运行不确定性。我们通过一个鲁棒优化框架来解决这一问题，该框架将数据驱动的不确定性量化与多参数规划相集成，使设计策略成为已实现不确定性的显式函数，而无需迭代重新优化。我们通过概率深度学习技术量化预测误差，以为不确定性边界提供信息。我们不采用最坏情形设计，而是将其建模为通过多参数方法求解的双层问题，将“等待观望”运行导出为“此时此地”决策和不确定性实现的分段仿射函数。应用于一个多源多汇能源系统（风能、核能、天然气、电池、电力和氢能需求）在供需联合不确定性下的情况，该框架揭示了随着不确定性分位数的增加，技术优先级发生战略性转变：即使仍可获得经济的可再生能源，最优设计仍优先将容量分配给昂贵但可靠的可调度电源。完整的参数化解支持预先的成本-稳健性权衡探索，为风险感知的容量扩展提供了一个可行且可推广的工具，以支持在不确定且快速演变的能源格局中的战略投资决策。</w:t>
      </w:r>
    </w:p>
    <w:p>
      <w:pPr>
        <w:spacing w:before="0" w:after="200" w:lineRule="auto" w:line="276"/>
      </w:pPr>
      <w:r>
        <w:rPr>
          <w:b/>
        </w:rPr>
        <w:t xml:space="preserve">Abstract (EN): </w:t>
      </w:r>
      <w:r>
        <w:t>Energy infrastructure planning confronts a fundamental temporal asymmetry in which capacity decisions must be committed before uncertainty materializes and yet must remain robust across all future operational scenarios. Traditional approaches either adopt worst-case hedging or ignore operational uncertainty. We address this through a Robust Optimization framework integrating data-driven uncertainty quantification with multiparametric programming, enabling design strategies as explicit functions of realized uncertainty without iterative re-optimization. We quantify forecasting errors via probabilistic deep learning technique to inform uncertainty bounds. Rather than worst-case designs, we model it as bilevel problem solved multiparametrically, deriving "wait-and-see" operations as piecewise affine functions of "here-and-now" decisions and uncertainty realizations.Applied to a multi-source, multi-sink energy system (wind, nuclear, natural gas, battery, electricity and hydrogen demands) under joint supply-demand uncertainty, the framework reveals a strategic shift in technology prioritization as uncertainty quantiles increase, optimal designs preferentially allocate capacity to expensive-but-reliable dispatchables even though economical renewables remain available. The complete parametric solution enables upfront cost-robustness trade-off exploration, providing a tractable and generalizable tool for risk-aware capacity expansion, supporting strategic investment decisions in uncertain and rapidly evolving energy landscape.</w:t>
      </w:r>
    </w:p>
    <w:p>
      <w:pPr>
        <w:spacing w:before="120" w:after="120"/>
      </w:pPr>
      <w:r>
        <w:rPr>
          <w:sz w:val="18"/>
        </w:rPr>
        <w:t>——————————————————————————————————————————————————————————————————————</w:t>
      </w:r>
    </w:p>
    <w:p>
      <w:pPr>
        <w:spacing w:before="160" w:after="40" w:line="240" w:lineRule="auto"/>
      </w:pPr>
      <w:r>
        <w:rPr>
          <w:b/>
        </w:rPr>
        <w:t xml:space="preserve">[159] </w:t>
      </w:r>
      <w:hyperlink r:id="rId707">
        <w:r>
          <w:rPr>
            <w:color w:val="1155CC"/>
            <w:u w:val="single"/>
          </w:rPr>
          <w:t>跨越城乡差距的清洁烹饪燃料可及性对健康与营养的回报</w:t>
        </w:r>
      </w:hyperlink>
    </w:p>
    <w:p>
      <w:pPr>
        <w:spacing w:before="0" w:after="80"/>
      </w:pPr>
      <w:r>
        <w:rPr>
          <w:i/>
          <w:sz w:val="20"/>
        </w:rPr>
        <w:t>EN: Health and nutrition returns to clean cooking fuel access across the rural-urban divide</w:t>
      </w:r>
    </w:p>
    <w:p>
      <w:pPr>
        <w:spacing w:before="0" w:after="120"/>
      </w:pPr>
      <w:r>
        <w:rPr>
          <w:b/>
        </w:rPr>
        <w:t xml:space="preserve">Source: </w:t>
      </w:r>
      <w:r>
        <w:t>ScienceDirect Publication: Energy Policy</w:t>
      </w:r>
      <w:r>
        <w:t xml:space="preserve">    </w:t>
      </w:r>
      <w:r>
        <w:rPr>
          <w:b/>
        </w:rPr>
        <w:t xml:space="preserve">Pub date: </w:t>
      </w:r>
      <w:r>
        <w:t>2026-08-29 00:00:00+00:00</w:t>
      </w:r>
      <w:r>
        <w:t xml:space="preserve">    </w:t>
      </w:r>
      <w:r>
        <w:rPr>
          <w:b/>
        </w:rPr>
        <w:t xml:space="preserve">DOI: </w:t>
      </w:r>
      <w:hyperlink r:id="rId708">
        <w:r>
          <w:rPr>
            <w:color w:val="1155CC"/>
            <w:u w:val="single"/>
          </w:rPr>
          <w:t>10.1016/j.enpol.2026.115551</w:t>
        </w:r>
      </w:hyperlink>
    </w:p>
    <w:p>
      <w:pPr>
        <w:spacing w:before="0" w:after="120"/>
      </w:pPr>
      <w:r>
        <w:rPr>
          <w:b/>
        </w:rPr>
        <w:t xml:space="preserve">Notes: </w:t>
      </w:r>
      <w:r>
        <w:t>abstract_source=openalex</w:t>
      </w:r>
    </w:p>
    <w:p>
      <w:pPr>
        <w:spacing w:before="0" w:after="80" w:lineRule="auto" w:line="276"/>
      </w:pPr>
      <w:r>
        <w:rPr>
          <w:b/>
        </w:rPr>
        <w:t xml:space="preserve">摘要（ZH）: </w:t>
      </w:r>
      <w:r>
        <w:t>获取清洁烹饪燃料是推动全球健康、公平和环境可持续发展的核心。然而，尽管政策持续发力，仍有相当一部分家庭（尤其是在发展中国家）依赖污染性燃料，对健康、环境质量和经济福祉造成不利影响。本文利用覆盖2000–2022年间102个发展中国家的面板数据集，评估清洁烹饪燃料获取与人类福祉之间的关系。我们采用固定效应和工具变量估计方法来解决潜在的内生性问题。我们进一步探讨了城乡之间的异质性，结果表明，在城市地区，获取条件的改善与健康和营养结果的更大收益相关。聚焦撒哈拉以南非洲，我们进行了基于情景的模拟，以量化扩大清洁烹饪燃料获取的潜在收益。据估计，将农村获取率从10%提高到25%，可避免约84,000例婴儿死亡，并减少约168万例儿童发育迟缓。在城市地区，从35%的覆盖率基线实现普遍获取，可避免多达377,000例婴儿死亡，并节省超过1100万伤残调整生命年，这反映出与家庭空气污染相关的疾病负担大幅降低。这些结果表明，需要通过有针对性的、因地制宜的政策加快实现清洁烹饪燃料的普遍获取。虽然农村人口仍然服务不足，需要持续关注，但</w:t>
      </w:r>
    </w:p>
    <w:p>
      <w:pPr>
        <w:spacing w:before="0" w:after="200" w:lineRule="auto" w:line="276"/>
      </w:pPr>
      <w:r>
        <w:rPr>
          <w:b/>
        </w:rPr>
        <w:t xml:space="preserve">Abstract (EN): </w:t>
      </w:r>
      <w:r>
        <w:t>Access to clean cooking fuels is central to advancing health, equity, and environmental sustainability worldwide. However, despite sustained policy efforts, a substantial share of households, especially in developing countries, still rely on polluting fuels, with adverse effects on health, environmental quality, and economic well-being. This paper draws on a panel dataset of 102 developing countries spanning 2000–2022 to assess the relationship between access to clean cooking fuels and human well-being. Using fixed-effects and instrumental-variable estimators, we address potential endogeneity concerns. We further explore heterogeneity across rural and urban settings and show that improvements in access are associated with larger gains in health and nutrition outcomes in urban areas. Focusing on sub-Saharan Africa, we conduct scenario-based simulations to quantify the potential benefits of expanding access to clean cooking fuels. Increasing rural access from 10% to 25% is estimated to prevent around 84,000 infant deaths and reduce child stunting by approximately 1.68 million cases. In urban areas, achieving universal access from a baseline of 35% coverage could avert up to 377,000 infant deaths and generate more than 11 million disability-adjusted life years saved, reflecting a substantial reduction in disease burden linked to household air pollution. These results point to the need to accelerate progress toward universal access to clean cooking fuels through targeted, context-specific policies. While rural populations remain underserved and require continued attention, the magnitude of potential gains in urban areas underscores the case for a balanced strategy in clean energy policy design.</w:t>
      </w:r>
    </w:p>
    <w:p>
      <w:pPr>
        <w:spacing w:before="120" w:after="120"/>
      </w:pPr>
      <w:r>
        <w:rPr>
          <w:sz w:val="18"/>
        </w:rPr>
        <w:t>——————————————————————————————————————————————————————————————————————</w:t>
      </w:r>
    </w:p>
    <w:p>
      <w:pPr>
        <w:spacing w:before="160" w:after="40" w:line="240" w:lineRule="auto"/>
      </w:pPr>
      <w:r>
        <w:rPr>
          <w:b/>
        </w:rPr>
        <w:t xml:space="preserve">[160] </w:t>
      </w:r>
      <w:hyperlink r:id="rId709">
        <w:r>
          <w:rPr>
            <w:color w:val="1155CC"/>
            <w:u w:val="single"/>
          </w:rPr>
          <w:t>基于参数高效大语言模型的推理增强概率电价预测</w:t>
        </w:r>
      </w:hyperlink>
    </w:p>
    <w:p>
      <w:pPr>
        <w:spacing w:before="0" w:after="80"/>
      </w:pPr>
      <w:r>
        <w:rPr>
          <w:i/>
          <w:sz w:val="20"/>
        </w:rPr>
        <w:t>EN: Reasoning-enhanced probabilistic electricity price forecasting using parameter-efficient large language models</w:t>
      </w:r>
    </w:p>
    <w:p>
      <w:pPr>
        <w:spacing w:before="0" w:after="120"/>
      </w:pPr>
      <w:r>
        <w:rPr>
          <w:b/>
        </w:rPr>
        <w:t xml:space="preserve">Source: </w:t>
      </w:r>
      <w:r>
        <w:t>ScienceDirect Publication: Applied Energy</w:t>
      </w:r>
      <w:r>
        <w:t xml:space="preserve">    </w:t>
      </w:r>
      <w:r>
        <w:rPr>
          <w:b/>
        </w:rPr>
        <w:t xml:space="preserve">Pub date: </w:t>
      </w:r>
      <w:r>
        <w:t>2026-08-29 00:00:00+00:00</w:t>
      </w:r>
      <w:r>
        <w:t xml:space="preserve">    </w:t>
      </w:r>
      <w:r>
        <w:rPr>
          <w:b/>
        </w:rPr>
        <w:t xml:space="preserve">DOI: </w:t>
      </w:r>
      <w:hyperlink r:id="rId710">
        <w:r>
          <w:rPr>
            <w:color w:val="1155CC"/>
            <w:u w:val="single"/>
          </w:rPr>
          <w:t>10.1016/j.apenergy.2026.128712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[161] </w:t>
      </w:r>
      <w:hyperlink r:id="rId711">
        <w:r>
          <w:rPr>
            <w:color w:val="1155CC"/>
            <w:u w:val="single"/>
          </w:rPr>
          <w:t>面向微电网调频的电池储能与逆变器空调集群舒适度感知脑情感学习协调控制</w:t>
        </w:r>
      </w:hyperlink>
    </w:p>
    <w:p>
      <w:pPr>
        <w:spacing w:before="0" w:after="80"/>
      </w:pPr>
      <w:r>
        <w:rPr>
          <w:i/>
          <w:sz w:val="20"/>
        </w:rPr>
        <w:t>EN: Comfort-aware brain-emotional-learning coordination of battery storage and inverter air-conditioner fleets for microgrid frequency regulation</w:t>
      </w:r>
    </w:p>
    <w:p>
      <w:pPr>
        <w:spacing w:before="0" w:after="120"/>
      </w:pPr>
      <w:r>
        <w:rPr>
          <w:b/>
        </w:rPr>
        <w:t xml:space="preserve">Source: </w:t>
      </w:r>
      <w:r>
        <w:t>ScienceDirect Publication: Applied Energy</w:t>
      </w:r>
      <w:r>
        <w:t xml:space="preserve">    </w:t>
      </w:r>
      <w:r>
        <w:rPr>
          <w:b/>
        </w:rPr>
        <w:t xml:space="preserve">Pub date: </w:t>
      </w:r>
      <w:r>
        <w:t>2026-08-29 00:00:00+00:00</w:t>
      </w:r>
      <w:r>
        <w:t xml:space="preserve">    </w:t>
      </w:r>
      <w:r>
        <w:rPr>
          <w:b/>
        </w:rPr>
        <w:t xml:space="preserve">DOI: </w:t>
      </w:r>
      <w:hyperlink r:id="rId712">
        <w:r>
          <w:rPr>
            <w:color w:val="1155CC"/>
            <w:u w:val="single"/>
          </w:rPr>
          <w:t>10.1016/j.apenergy.2026.128723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[162] </w:t>
      </w:r>
      <w:hyperlink r:id="rId713">
        <w:r>
          <w:rPr>
            <w:color w:val="1155CC"/>
            <w:u w:val="single"/>
          </w:rPr>
          <w:t>多尺度分形-LLM协同实现智能电网安全同步相量数据认证</w:t>
        </w:r>
      </w:hyperlink>
    </w:p>
    <w:p>
      <w:pPr>
        <w:spacing w:before="0" w:after="80"/>
      </w:pPr>
      <w:r>
        <w:rPr>
          <w:i/>
          <w:sz w:val="20"/>
        </w:rPr>
        <w:t>EN: Multiscale fractal-LLM synergy for secure synchrophasor data authentication in smart grids</w:t>
      </w:r>
    </w:p>
    <w:p>
      <w:pPr>
        <w:spacing w:before="0" w:after="120"/>
      </w:pPr>
      <w:r>
        <w:rPr>
          <w:b/>
        </w:rPr>
        <w:t xml:space="preserve">Source: </w:t>
      </w:r>
      <w:r>
        <w:t>ScienceDirect Publication: Applied Energy</w:t>
      </w:r>
      <w:r>
        <w:t xml:space="preserve">    </w:t>
      </w:r>
      <w:r>
        <w:rPr>
          <w:b/>
        </w:rPr>
        <w:t xml:space="preserve">Pub date: </w:t>
      </w:r>
      <w:r>
        <w:t>2026-08-29 00:00:00+00:00</w:t>
      </w:r>
      <w:r>
        <w:t xml:space="preserve">    </w:t>
      </w:r>
      <w:r>
        <w:rPr>
          <w:b/>
        </w:rPr>
        <w:t xml:space="preserve">DOI: </w:t>
      </w:r>
      <w:hyperlink r:id="rId714">
        <w:r>
          <w:rPr>
            <w:color w:val="1155CC"/>
            <w:u w:val="single"/>
          </w:rPr>
          <w:t>10.1016/j.apenergy.2026.128753</w:t>
        </w:r>
      </w:hyperlink>
    </w:p>
    <w:p>
      <w:pPr>
        <w:spacing w:before="0" w:after="120"/>
      </w:pPr>
      <w:r>
        <w:rPr>
          <w:b/>
        </w:rPr>
        <w:t xml:space="preserve">Notes: </w:t>
      </w:r>
      <w:r>
        <w:t>abstract_source=openalex</w:t>
      </w:r>
    </w:p>
    <w:p>
      <w:pPr>
        <w:spacing w:before="0" w:after="80" w:lineRule="auto" w:line="276"/>
      </w:pPr>
      <w:r>
        <w:rPr>
          <w:b/>
        </w:rPr>
        <w:t xml:space="preserve">摘要（ZH）: </w:t>
      </w:r>
      <w:r>
        <w:t>同步相量数据（SD）记录了输电和配电网络的状态与动态，由信息物理系统中通过先进通信基础设施互连的分散式相量测量单元（PMU）采集。尽管SD的来源信息对于基于PMU的应用至关重要，但它仍然容易受到数据完整性攻击的影响。可靠的数据源认证必须在任何SD分析之前高效完成，以确保应用的完整性。现有的机器学习认证方法专注于广域范围内稀疏的SD，无法反映真实的网络状况。本研究提出了一种针对州内位置密集部署PMU的数据驱动SD源认证方法，无需详细的电网拓扑、参数，也无需对PMU硬件和数据基础设施进行昂贵升级。该方法通过多尺度分形与大语言模型（LLM）的协同，为安全的SD认证提供了一种实用的数据驱动途径。具体而言，开发了多尺度矢量可见高度关联分析（MVVHCA），可同时从具有多种属性的SD中提取长程分形相关性，并精确定位表现出峰值多重分形性的尺度。随后，通过自适应多重分形插值（AMFI）重建高保真合成SD。这些合成SD进一步由LLM处理，以实现稳健的实时源认证。在来自多个州内位置的大量真实SD上的验证证实了其卓越的准确性和计算效率，这确立了</w:t>
      </w:r>
    </w:p>
    <w:p>
      <w:pPr>
        <w:spacing w:before="0" w:after="200" w:lineRule="auto" w:line="276"/>
      </w:pPr>
      <w:r>
        <w:rPr>
          <w:b/>
        </w:rPr>
        <w:t xml:space="preserve">Abstract (EN): </w:t>
      </w:r>
      <w:r>
        <w:t>Synchrophasor Data (SD), which captures the states and dynamics of transmission and distribution power networks, is recorded by dispersed Phasor Measurement Units (PMUs) that are connected through advanced communication infrastructures in cyber-physical systems. While the source information of SD is critical for PMU-based applications, it remains susceptible to data integrity attacks. Reliable SD source authentication must be performed efficiently before any SD analytics to ensure application integrity. Existing machine learning authentication methods are focused on sparse SD across vast regions and fail to represent realistic network conditions. This study presents a data-driven SD source authentication of dense PMUs at intra-state locations without requiring detailed power network topology, parameters, or costly upgrades to PMU hardware and data infrastructure. It offers a practical data-driven approach through multiscale fractal - Large Language Models (LLMs) synergy for secure SD authentication. Specifically, Multiscale Vector Visibility Height Correlation Analysis (MVVHCA) is developed to extract long-term fractal correlations from SD with multiple attributes simultaneously and pinpoint scales exhibiting peak multifractality. Then, high-fidelity synthetic SD is reconstructed through Adaptive Multifractal Interpolation (AMFI). These synthetic SD are further processed by LLMs to achieve robust, real-time source authentication. Validation on extensive real-world SD from multiple intra-state locations confirms superior accuracy and computational efficiency, which establishes a scalable solution for secure operation of renewable-dominated smart grids.</w:t>
      </w:r>
    </w:p>
    <w:p>
      <w:pPr>
        <w:spacing w:before="120" w:after="120"/>
      </w:pPr>
      <w:r>
        <w:rPr>
          <w:sz w:val="18"/>
        </w:rPr>
        <w:t>——————————————————————————————————————————————————————————————————————</w:t>
      </w:r>
    </w:p>
    <w:p>
      <w:pPr>
        <w:spacing w:before="160" w:after="40" w:line="240" w:lineRule="auto"/>
      </w:pPr>
      <w:r>
        <w:rPr>
          <w:b/>
        </w:rPr>
        <w:t xml:space="preserve">[163] </w:t>
      </w:r>
      <w:hyperlink r:id="rId715">
        <w:r>
          <w:rPr>
            <w:color w:val="1155CC"/>
            <w:u w:val="single"/>
          </w:rPr>
          <w:t>有限监管下微电网中的市场势力与分布式光伏接入</w:t>
        </w:r>
      </w:hyperlink>
    </w:p>
    <w:p>
      <w:pPr>
        <w:spacing w:before="0" w:after="80"/>
      </w:pPr>
      <w:r>
        <w:rPr>
          <w:i/>
          <w:sz w:val="20"/>
        </w:rPr>
        <w:t>EN: Market power and distributed solar integration in microgrids under limited regulation</w:t>
      </w:r>
    </w:p>
    <w:p>
      <w:pPr>
        <w:spacing w:before="0" w:after="120"/>
      </w:pPr>
      <w:r>
        <w:rPr>
          <w:b/>
        </w:rPr>
        <w:t xml:space="preserve">Source: </w:t>
      </w:r>
      <w:r>
        <w:t>ScienceDirect Publication: Applied Energy</w:t>
      </w:r>
      <w:r>
        <w:t xml:space="preserve">    </w:t>
      </w:r>
      <w:r>
        <w:rPr>
          <w:b/>
        </w:rPr>
        <w:t xml:space="preserve">Pub date: </w:t>
      </w:r>
      <w:r>
        <w:t>2026-08-29 00:00:00+00:00</w:t>
      </w:r>
      <w:r>
        <w:t xml:space="preserve">    </w:t>
      </w:r>
      <w:r>
        <w:rPr>
          <w:b/>
        </w:rPr>
        <w:t xml:space="preserve">DOI: </w:t>
      </w:r>
      <w:hyperlink r:id="rId716">
        <w:r>
          <w:rPr>
            <w:color w:val="1155CC"/>
            <w:u w:val="single"/>
          </w:rPr>
          <w:t>10.1016/j.apenergy.2026.128703</w:t>
        </w:r>
      </w:hyperlink>
    </w:p>
    <w:p>
      <w:pPr>
        <w:spacing w:before="0" w:after="120"/>
      </w:pPr>
      <w:r>
        <w:rPr>
          <w:b/>
        </w:rPr>
        <w:t xml:space="preserve">Notes: </w:t>
      </w:r>
      <w:r>
        <w:t>abstract_source=semanticscholar</w:t>
      </w:r>
    </w:p>
    <w:p>
      <w:pPr>
        <w:spacing w:before="0" w:after="80" w:lineRule="auto" w:line="276"/>
      </w:pPr>
      <w:r>
        <w:rPr>
          <w:b/>
        </w:rPr>
        <w:t xml:space="preserve">摘要（ZH）: </w:t>
      </w:r>
      <w:r>
        <w:t>在集中式电网无法提供可靠供电的地区，去中心化电力系统日益兴起。在此类环境中，私营社区微电网（通常基于柴油发电机）表现出显著的市场势力、有限的监管和高环境外部性。与此同时，越来越多的家庭部署离网太阳能光伏（PV）系统以掌控电力供应。然而，这些系统在太阳能高峰时段存在过剩发电被弃用的问题，而在其他时段又供电不可靠。尽管先前研究已从技术经济角度对低可靠性电网背景下的微电网进行了优化，但它们大多忽视了垄断性私营发电机所施加的市场势力。本文通过构建双层博弈模型填补了这一空白，使家庭发电可以馈入微电网，同时明确考虑社区柴油发电机公司（DGC）的市场势力。监管机构设定价格和上网电价上限以最大化家庭经济剩余（HES），而DGC作为利润最大化的主体控制接入和供电。该模型采用来自黎巴嫩的高分辨率实证数据加以说明。结果表明：（i）价格和上网电价上限显著提高HES，并持续诱导大量家庭光伏电力馈入微电网；（ii）更高的DGC预算或更高的光伏所有者渗透率带来HES的显著提升；（iii）在基准条件下可再生能源份额达到60%，并在充分条件下接</w:t>
      </w:r>
    </w:p>
    <w:p>
      <w:pPr>
        <w:spacing w:before="0" w:after="200" w:lineRule="auto" w:line="276"/>
      </w:pPr>
      <w:r>
        <w:rPr>
          <w:b/>
        </w:rPr>
        <w:t xml:space="preserve">Abstract (EN): </w:t>
      </w:r>
      <w:r>
        <w:t>Decentralized electricity systems increasingly emerge where centralized grids fail to provide reliable supply. In such settings, privately operated neighborhood microgrids, often based on diesel generators, exhibit significant market power, limited regulatory oversight, and high environmental externalities. In parallel, households increasingly deploy off-grid solar photovoltaic (PV) systems to gain control over electricity supply. However, these systems suffer from curtailed excess generation during peak solar hours and unreliable access at other times. While prior studies have optimized microgrids in low-reliability grid contexts from a techno-economic perspective, they largely neglect the market power exerted by monopolistic private generators. This paper addresses this gap by developing a bi-level game-theoretic model that enables household-generated electricity to be fed into the microgrid while explicitly accounting for the market power of a neighborhood diesel generator company (DGC). The regulator sets price and feed-in-tariff caps to maximize household economic surplus (HES), while the DGC acts as a profit-maximizing agent controlling access and supply. The model is illustrated using high-resolution empirical data from Lebanon. Results show that: (i) price and feed-in-tariff caps substantially increase HES and consistently induce significant household PV feed-in to the microgrid; (ii) higher DGC budgets or greater PV-owner penetration lead to pronounced gains in HES; and (iii) the renewable energy share reaches 60% under base conditions and approaches 100% at sufficiently high budgets or PV-owner penetration levels, compared to 0% under the status quo.</w:t>
      </w:r>
    </w:p>
    <w:p>
      <w:pPr>
        <w:spacing w:before="120" w:after="120"/>
      </w:pPr>
      <w:r>
        <w:rPr>
          <w:sz w:val="18"/>
        </w:rPr>
        <w:t>——————————————————————————————————————————————————————————————————————</w:t>
      </w:r>
    </w:p>
    <w:p>
      <w:pPr>
        <w:spacing w:before="160" w:after="40" w:line="240" w:lineRule="auto"/>
      </w:pPr>
      <w:r>
        <w:rPr>
          <w:b/>
        </w:rPr>
        <w:t xml:space="preserve">[164] </w:t>
      </w:r>
      <w:hyperlink r:id="rId717">
        <w:r>
          <w:rPr>
            <w:color w:val="1155CC"/>
            <w:u w:val="single"/>
          </w:rPr>
          <w:t>六十年间全球水稻甲烷排放增至三倍而排放强度持续下降</w:t>
        </w:r>
      </w:hyperlink>
    </w:p>
    <w:p>
      <w:pPr>
        <w:spacing w:before="0" w:after="80"/>
      </w:pPr>
      <w:r>
        <w:rPr>
          <w:i/>
          <w:sz w:val="20"/>
        </w:rPr>
        <w:t>EN: Global rice methane emissions tripled over six decades amid declining emission intensity</w:t>
      </w:r>
    </w:p>
    <w:p>
      <w:pPr>
        <w:spacing w:before="0" w:after="120"/>
      </w:pPr>
      <w:r>
        <w:rPr>
          <w:b/>
        </w:rPr>
        <w:t xml:space="preserve">Source: </w:t>
      </w:r>
      <w:r>
        <w:t>National Science Review Advance Access</w:t>
      </w:r>
      <w:r>
        <w:t xml:space="preserve">    </w:t>
      </w:r>
      <w:r>
        <w:rPr>
          <w:b/>
        </w:rPr>
        <w:t xml:space="preserve">Pub date: </w:t>
      </w:r>
      <w:r>
        <w:t>2026-08-29 00:00:00+00:00</w:t>
      </w:r>
      <w:r>
        <w:t xml:space="preserve">    </w:t>
      </w:r>
      <w:r>
        <w:rPr>
          <w:b/>
        </w:rPr>
        <w:t xml:space="preserve">DOI: </w:t>
      </w:r>
      <w:hyperlink r:id="rId718">
        <w:r>
          <w:rPr>
            <w:color w:val="1155CC"/>
            <w:u w:val="single"/>
          </w:rPr>
          <w:t>10.1093/nsr/nwag555</w:t>
        </w:r>
      </w:hyperlink>
    </w:p>
    <w:p>
      <w:pPr>
        <w:spacing w:before="0" w:after="120"/>
      </w:pPr>
      <w:r>
        <w:rPr>
          <w:b/>
        </w:rPr>
        <w:t xml:space="preserve">Notes: </w:t>
      </w:r>
      <w:r>
        <w:t>abstract_source=rss_oup</w:t>
      </w:r>
    </w:p>
    <w:p>
      <w:pPr>
        <w:spacing w:before="0" w:after="80" w:lineRule="auto" w:line="276"/>
      </w:pPr>
      <w:r>
        <w:rPr>
          <w:b/>
        </w:rPr>
        <w:t xml:space="preserve">摘要（ZH）: </w:t>
      </w:r>
      <w:r>
        <w:t>稻田是最大的人为甲烷（CH4）排放源之一，但其排放的长期规模和时空动态仍存在 substantial 不确定性。本研究利用新的高分辨率数据集和两种Tier 3建模方法（基于过程和基于机器学习），给出了1961年至2020年全球稻田CH4排放的空间显性估算。我们发现，过去六十年间全球排放量增加了两倍以上，基于两种Tier 3估算的均值，2020年达到创纪录的38.8 Tg CH4 yr−1，其速率和规模均显著高于基于传统排放因子的清单。传统稻作产区（如亚洲）由于种植面积扩张和有机投入增加而主导了这一增长，而非洲则成为快速增长的新兴排放源。除绝对排放趋势外，全球70%的稻田面积的CH4排放强度（单位稻谷产量的排放量）出现下降，主要反映了产量驱动的效率提升。值得注意的是，2010年代全球44%的稻谷产量来自排放强度低于全球平均水平的国家，其中中国是最大贡献者。本研究通过新数据和模型解析了长期空间异质性，对全球稻田甲烷收支进行了稳健的重新评估，并强调了协调粮食生产与气候减缓的途径。</w:t>
      </w:r>
    </w:p>
    <w:p>
      <w:pPr>
        <w:spacing w:before="0" w:after="200" w:lineRule="auto" w:line="276"/>
      </w:pPr>
      <w:r>
        <w:rPr>
          <w:b/>
        </w:rPr>
        <w:t xml:space="preserve">Abstract (EN): </w:t>
      </w:r>
      <w:r>
        <w:t>Rice paddies are among the largest anthropogenic sources of methane (CH4), yet substantial uncertainties persist in the long-term magnitude and spatiotemporal dynamics of the emissions. Here we show a spatially explicit global estimate of rice CH4 emissions from 1961 to 2020, leveraging a new high-resolution dataset and two Tier 3 modeling approaches (process-based and machine-learning-based). We find that global emissions have more than tripled over the past six decades, reaching a record high of 38.8 Tg CH4 yr−1 in 2020 based on the mean of the two Tier 3 estimates, both the rate and magnitude are substantially higher than conventional emission-factor-based inventories. Traditional rice-producing regions (e.g. Asia) dominated the increase due to expanded cultivation and intensified organic inputs, while Africa emerged as a rapidly growing source. Beyond trends in absolute emissions, the CH4 emission intensity (per unit of rice yield) declined across 70% of the global paddy area, mainly reflecting yield-driven efficiency gains. Notably, 44% of global rice production in the 2010 s occurs in countries with below-average emission intensity, with China being the largest contributor. By resolving long-term spatial heterogeneity with new data and models, this study provides a robust reassessment of the global rice methane budget and highlights pathways to reconcile food production with climate mitigation.</w:t>
      </w:r>
    </w:p>
    <w:p>
      <w:pPr>
        <w:spacing w:before="120" w:after="120"/>
      </w:pPr>
      <w:r>
        <w:rPr>
          <w:sz w:val="18"/>
        </w:rPr>
        <w:t>——————————————————————————————————————————————————————————————————————</w:t>
      </w:r>
    </w:p>
    <w:p>
      <w:pPr>
        <w:spacing w:before="160" w:after="40" w:line="240" w:lineRule="auto"/>
      </w:pPr>
      <w:r>
        <w:rPr>
          <w:b/>
        </w:rPr>
        <w:t xml:space="preserve">[165] </w:t>
      </w:r>
      <w:hyperlink r:id="rId719">
        <w:r>
          <w:rPr>
            <w:color w:val="1155CC"/>
            <w:u w:val="single"/>
          </w:rPr>
          <w:t>超高分辨率量子点发光二极管</w:t>
        </w:r>
      </w:hyperlink>
    </w:p>
    <w:p>
      <w:pPr>
        <w:spacing w:before="0" w:after="80"/>
      </w:pPr>
      <w:r>
        <w:rPr>
          <w:i/>
          <w:sz w:val="20"/>
        </w:rPr>
        <w:t>EN: Ultrahigh‑resolution quantum dot light‑emitting diodes</w:t>
      </w:r>
    </w:p>
    <w:p>
      <w:pPr>
        <w:spacing w:before="0" w:after="120"/>
      </w:pPr>
      <w:r>
        <w:rPr>
          <w:b/>
        </w:rPr>
        <w:t xml:space="preserve">Source: </w:t>
      </w:r>
      <w:r>
        <w:t>National Science Review Advance Access</w:t>
      </w:r>
      <w:r>
        <w:t xml:space="preserve">    </w:t>
      </w:r>
      <w:r>
        <w:rPr>
          <w:b/>
        </w:rPr>
        <w:t xml:space="preserve">Pub date: </w:t>
      </w:r>
      <w:r>
        <w:t>2026-08-29 00:00:00+00:00</w:t>
      </w:r>
      <w:r>
        <w:t xml:space="preserve">    </w:t>
      </w:r>
      <w:r>
        <w:rPr>
          <w:b/>
        </w:rPr>
        <w:t xml:space="preserve">DOI: </w:t>
      </w:r>
      <w:hyperlink r:id="rId720">
        <w:r>
          <w:rPr>
            <w:color w:val="1155CC"/>
            <w:u w:val="single"/>
          </w:rPr>
          <w:t>10.1093/nsr/nwag549</w:t>
        </w:r>
      </w:hyperlink>
    </w:p>
    <w:p>
      <w:pPr>
        <w:spacing w:before="0" w:after="120"/>
      </w:pPr>
      <w:r>
        <w:rPr>
          <w:b/>
        </w:rPr>
        <w:t xml:space="preserve">Notes: </w:t>
      </w:r>
      <w:r>
        <w:t>abstract_source=rss_oup</w:t>
      </w:r>
    </w:p>
    <w:p>
      <w:pPr>
        <w:spacing w:before="0" w:after="80" w:lineRule="auto" w:line="276"/>
      </w:pPr>
      <w:r>
        <w:rPr>
          <w:b/>
        </w:rPr>
        <w:t xml:space="preserve">摘要（ZH）: </w:t>
      </w:r>
      <w:r>
        <w:t>下一代近眼增强现实（AR）/虚拟现实（VR）显示硬件对高性能、高分辨率发光光源提出了日益增长的要求。量子点发光二极管（QLED）凭借出色的发光效率、可调发射波长和便捷的制备工艺，获得了广阔的应用前景。然而，在不损害器件性能的前提下实现超高分辨率需要在二者之间取得平衡，这是实际应用面临的重大挑战。在本展望中，我们介绍了超高分辨率QLED的先进图案化技术，阐述了显示技术的最新进展，并总结了关键挑战和未来的研究方向。</w:t>
      </w:r>
    </w:p>
    <w:p>
      <w:pPr>
        <w:spacing w:before="0" w:after="200" w:lineRule="auto" w:line="276"/>
      </w:pPr>
      <w:r>
        <w:rPr>
          <w:b/>
        </w:rPr>
        <w:t xml:space="preserve">Abstract (EN): </w:t>
      </w:r>
      <w:r>
        <w:t>Next-generation near-eye augmented reality (AR)/virtual reality (VR) display hardware puts forward growing requirements for high-performance, high-resolution luminous sources. Benefiting from outstanding luminous efficiency, tunable emission wavelength and convenient fabrication procedures, quantum dot light-emitting diodes (QLEDs) have gained extensive application prospects. However, achieving ultrahigh resolution without compromising device performance requires a balance between them, which is a major challenge for practical applications. In this Perspective, we introduce advanced patterning techniques for ultrahigh-resolution QLEDs, elaborate on the latest advancements in display technology, and summarize the key challenges and prospective research trends.</w:t>
      </w:r>
    </w:p>
    <w:p>
      <w:pPr>
        <w:spacing w:before="120" w:after="120"/>
      </w:pPr>
      <w:r>
        <w:rPr>
          <w:sz w:val="18"/>
        </w:rPr>
        <w:t>——————————————————————————————————————————————————————————————————————</w:t>
      </w:r>
    </w:p>
    <w:p>
      <w:pPr>
        <w:spacing w:before="160" w:after="40" w:line="240" w:lineRule="auto"/>
      </w:pPr>
      <w:r>
        <w:rPr>
          <w:b/>
        </w:rPr>
        <w:t xml:space="preserve">[166] </w:t>
      </w:r>
      <w:hyperlink r:id="rId721">
        <w:r>
          <w:rPr>
            <w:color w:val="1155CC"/>
            <w:u w:val="single"/>
          </w:rPr>
          <w:t>受体介导的内溶酶体循环嵌合体实现催化性TNF-α降解用于黏膜炎症的持续治疗</w:t>
        </w:r>
      </w:hyperlink>
    </w:p>
    <w:p>
      <w:pPr>
        <w:spacing w:before="0" w:after="80"/>
      </w:pPr>
      <w:r>
        <w:rPr>
          <w:i/>
          <w:sz w:val="20"/>
        </w:rPr>
        <w:t>EN: A Receptor‐Mediated Endolysosomal Recycling Chimera Enables Catalytic TNF‐α Degradation for Sustained Treatment of Mucosal Inflammation</w:t>
      </w:r>
    </w:p>
    <w:p>
      <w:pPr>
        <w:spacing w:before="0" w:after="120"/>
      </w:pPr>
      <w:r>
        <w:rPr>
          <w:b/>
        </w:rPr>
        <w:t xml:space="preserve">Source: </w:t>
      </w:r>
      <w:r>
        <w:t>Wiley: Advanced Materials: Table of Contents</w:t>
      </w:r>
      <w:r>
        <w:t xml:space="preserve">    </w:t>
      </w:r>
      <w:r>
        <w:rPr>
          <w:b/>
        </w:rPr>
        <w:t xml:space="preserve">Pub date: </w:t>
      </w:r>
      <w:r>
        <w:t>2026-08-29 03:38:01+00:00</w:t>
      </w:r>
      <w:r>
        <w:t xml:space="preserve">    </w:t>
      </w:r>
      <w:r>
        <w:rPr>
          <w:b/>
        </w:rPr>
        <w:t xml:space="preserve">DOI: </w:t>
      </w:r>
      <w:hyperlink r:id="rId722">
        <w:r>
          <w:rPr>
            <w:color w:val="1155CC"/>
            <w:u w:val="single"/>
          </w:rPr>
          <w:t>10.1002/adma.74818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黏膜炎症性疾病如干眼症（DED）和炎症性肠病（IBD）由TNF‐α介导的免疫‐上皮串话驱动，治疗上仍具挑战性。传统抑制剂常存在黏膜渗透性差和1:1结合导致的疗效短暂等问题。尽管胞外蛋白降解（eTPD）技术可清除致病蛋白，但大多数以化学计量方式发挥作用，限制了剂量效率和持久性。在此，我们报道了一种受体介导的内溶酶体循环嵌合体（RECYC）平台，能够以多次转换的催化、可循环方式降解TNF‐α，实现对黏膜炎症的持续抑制。RECYC整合了一种在生理pH下结合TNF‐α、在酸性内体中释放其的pH响应肽，以及一种保持pH稳定以驱动持续循环的CI‐M6PR靶向适配体。抗TNF‐α RECYC在结膜和结肠上皮细胞及巨噬细胞中实现了胞外TNF‐α的高效摄取和可循环清除，实现了高达7.5次催化转换的超化学计量TNF‐α清除。约30 kDa的RECYC在小鼠角膜和结肠中表现出优于抑制性抗体的组织穿透能力。在小鼠DED和IBD模型中，RECYC以低剂量、低频给药恢复了眼表稳态并减轻了结肠炎症。人角膜缘类器官进一步证实了其持久的抗炎活性。总之，RECYC建立了一个模块化、可循环的eTPD平台，用于持续</w:t>
      </w:r>
    </w:p>
    <w:p>
      <w:pPr>
        <w:spacing w:before="0" w:after="200" w:lineRule="auto" w:line="276"/>
      </w:pPr>
      <w:r>
        <w:rPr>
          <w:b/>
        </w:rPr>
        <w:t xml:space="preserve">Abstract (EN): </w:t>
      </w:r>
      <w:r>
        <w:t>Mucosal inflammatory disorders such as dry eye disease (DED) and inflammatory bowel disease (IBD), driven by TNF‐α‐mediated immune‐epithelial crosstalk, remain therapeutically challenging. Conventional inhibitors often suffer from poor mucosal permeability and transient efficacy with 1:1 binding. Although extracellular protein degradation (eTPD) technologies can eliminate pathogenic proteins, most of them operate stoichiometrically, limiting dosage efficiency and durability. Here, we report a receptor‐mediated endolysosomal recycling chimera (RECYC) platform that enables catalytic, recyclable degradation of TNF‐α with multiple turnovers, achieving sustained suppression of mucosal inflammation. RECYC integrates a pH‐responsive peptide that binds TNF‐α at physiological pH and releases it in acidic endosomes, with a CI‐M6PR‐targeting aptamer that remains pH‐stable to drive continuous recycling. The anti‐TNF‐α RECYC achieved efficient uptake and recyclable clearance of extracellular TNF‐α across conjunctival and colonic epithelial cells and macrophages, achieving superstoichiometric TNF‐α clearance with up to 7.5 catalytic turnovers. The ∼30 kDa RECYC exhibited superior tissue penetration in murine cornea and colon compared to inhibitory antibodies. In murine DED and IBD models, RECYC restored ocular surface homeostasis and reduced colon inflammation with low‐dose, infrequent administration. Human corneal limbus organoids further confirmed prolonged anti‐inflammatory activity. Together, RECYC establishes a modular, recyclable eTPD platform for sustained treatment of TNF‐α‐driven mucosal inflammation.</w:t>
      </w:r>
    </w:p>
    <w:p>
      <w:pPr>
        <w:spacing w:before="120" w:after="120"/>
      </w:pPr>
      <w:r>
        <w:rPr>
          <w:sz w:val="18"/>
        </w:rPr>
        <w:t>——————————————————————————————————————————————————————————————————————</w:t>
      </w:r>
    </w:p>
    <w:p>
      <w:pPr>
        <w:spacing w:before="160" w:after="40" w:line="240" w:lineRule="auto"/>
      </w:pPr>
      <w:r>
        <w:rPr>
          <w:b/>
        </w:rPr>
        <w:t xml:space="preserve">[167] </w:t>
      </w:r>
      <w:hyperlink r:id="rId723">
        <w:r>
          <w:rPr>
            <w:color w:val="1155CC"/>
            <w:u w:val="single"/>
          </w:rPr>
          <w:t>具有室温本征铁磁性的晶圆级超多孔石墨烯网络</w:t>
        </w:r>
      </w:hyperlink>
    </w:p>
    <w:p>
      <w:pPr>
        <w:spacing w:before="0" w:after="80"/>
      </w:pPr>
      <w:r>
        <w:rPr>
          <w:i/>
          <w:sz w:val="20"/>
        </w:rPr>
        <w:t>EN: Wafer‐Scale Hyper‐Porous Graphene Network With Intrinsic Ferromagnetism at Room‐Temperature</w:t>
      </w:r>
    </w:p>
    <w:p>
      <w:pPr>
        <w:spacing w:before="0" w:after="120"/>
      </w:pPr>
      <w:r>
        <w:rPr>
          <w:b/>
        </w:rPr>
        <w:t xml:space="preserve">Source: </w:t>
      </w:r>
      <w:r>
        <w:t>Wiley: Advanced Materials: Table of Contents</w:t>
      </w:r>
      <w:r>
        <w:t xml:space="preserve">    </w:t>
      </w:r>
      <w:r>
        <w:rPr>
          <w:b/>
        </w:rPr>
        <w:t xml:space="preserve">Pub date: </w:t>
      </w:r>
      <w:r>
        <w:t>2026-08-29 03:39:54+00:00</w:t>
      </w:r>
      <w:r>
        <w:t xml:space="preserve">    </w:t>
      </w:r>
      <w:r>
        <w:rPr>
          <w:b/>
        </w:rPr>
        <w:t xml:space="preserve">DOI: </w:t>
      </w:r>
      <w:hyperlink r:id="rId724">
        <w:r>
          <w:rPr>
            <w:color w:val="1155CC"/>
            <w:u w:val="single"/>
          </w:rPr>
          <w:t>10.1002/adma.74568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我们报道了一种具有室温本征磁性的晶圆级超多孔石墨烯网络（HGN），其磁性由C K‐边的XMCD谱和M‐H曲线共同揭示，对应于约0.06 μB/原子的磁矩密度，比有缺陷的HOPG高1000倍。通过XMCD和ICP‐MS测量排除了杂质对磁性的影响。原子分辨率观察揭示，磁性源自HGN孔内间距超过1.4 nm的悬挂锯齿形边缘，这一点通过退火处理和DFT计算得到了证实。这项工作证实了与微尺度具有相同物理机制的本征碳铁磁性可以在宏观碳材料体系中获得，为进一步探索碳同素异形体的自旋电子学和磁性应用提供了一个新颖平台。</w:t>
      </w:r>
    </w:p>
    <w:p>
      <w:pPr>
        <w:spacing w:before="0" w:after="200" w:lineRule="auto" w:line="276"/>
      </w:pPr>
      <w:r>
        <w:rPr>
          <w:b/>
        </w:rPr>
        <w:t xml:space="preserve">Abstract (EN): </w:t>
      </w:r>
      <w:r>
        <w:t>We report a wafer‐scale hyper‐porous graphene network (HGN) with room‐temperature intrinsic magnetism, which was revealed by both XMCD spectra at C K‐edge and M‐H curve, corresponding to a magnetic moment density of ∼0.06 μ</w:t>
      </w:r>
      <w:r>
        <w:t xml:space="preserve"> </w:t>
      </w:r>
      <w:r>
        <w:t>B</w:t>
      </w:r>
      <w:r>
        <w:t xml:space="preserve"> </w:t>
      </w:r>
      <w:r>
        <w:t>/atom, 1000 times higher than in defected HOPG. The impurity effects on magnetism were excluded by XMCD and ICP‐MS measurements. Atomic‐resolution observations unveiled that the magnetism originate from dangling zigzag edges within HGN pores apart over 1.4 nm, which was proved by annealing treatment and DFT calculations. This work confirms that intrinsic carbon ferromagnetism with the same physical mechanism as in the microscale can be obtained in bulk carbon systems. It provides a novel platform to further explore the spintronic and magnetic applications of carbon allotropes.</w:t>
      </w:r>
    </w:p>
    <w:p>
      <w:pPr>
        <w:spacing w:before="120" w:after="120"/>
      </w:pPr>
      <w:r>
        <w:rPr>
          <w:sz w:val="18"/>
        </w:rPr>
        <w:t>——————————————————————————————————————————————————————————————————————</w:t>
      </w:r>
    </w:p>
    <w:p>
      <w:pPr>
        <w:spacing w:before="160" w:after="40" w:line="240" w:lineRule="auto"/>
      </w:pPr>
      <w:r>
        <w:rPr>
          <w:b/>
        </w:rPr>
        <w:t xml:space="preserve">[168] </w:t>
      </w:r>
      <w:hyperlink r:id="rId725">
        <w:r>
          <w:rPr>
            <w:color w:val="1155CC"/>
            <w:u w:val="single"/>
          </w:rPr>
          <w:t>具有碳正离子骨架的烯烃键合离子型共价有机框架用于高性能神经形态计算</w:t>
        </w:r>
      </w:hyperlink>
    </w:p>
    <w:p>
      <w:pPr>
        <w:spacing w:before="0" w:after="80"/>
      </w:pPr>
      <w:r>
        <w:rPr>
          <w:i/>
          <w:sz w:val="20"/>
        </w:rPr>
        <w:t>EN: Olefin‐Linked Ionic Covalent Organic Frameworks with Carbenium Backbones for High‐Performance Neuromorphic Computing</w:t>
      </w:r>
    </w:p>
    <w:p>
      <w:pPr>
        <w:spacing w:before="0" w:after="120"/>
      </w:pPr>
      <w:r>
        <w:rPr>
          <w:b/>
        </w:rPr>
        <w:t xml:space="preserve">Source: </w:t>
      </w:r>
      <w:r>
        <w:t>Wiley: Advanced Materials: Table of Contents</w:t>
      </w:r>
      <w:r>
        <w:t xml:space="preserve">    </w:t>
      </w:r>
      <w:r>
        <w:rPr>
          <w:b/>
        </w:rPr>
        <w:t xml:space="preserve">Pub date: </w:t>
      </w:r>
      <w:r>
        <w:t>2026-08-29 03:41:24+00:00</w:t>
      </w:r>
      <w:r>
        <w:t xml:space="preserve">    </w:t>
      </w:r>
      <w:r>
        <w:rPr>
          <w:b/>
        </w:rPr>
        <w:t xml:space="preserve">DOI: </w:t>
      </w:r>
      <w:hyperlink r:id="rId726">
        <w:r>
          <w:rPr>
            <w:color w:val="1155CC"/>
            <w:u w:val="single"/>
          </w:rPr>
          <w:t>10.1002/adma.74807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烯烃链接共价有机框架(ccCOFs)自发现以来已展现出巨大优势。然而,ccCOFs的合成高度依赖非饱和杂原子片段(uSHS)来活化C─H键产生碳负离子,进而与醛类缩合。这类吸电子的uSHS由于强吸电子效应,长期阻碍了ccCOFs在光电器件中的广泛应用。本工作报道了一种无需uSHS参与的、涉及碳正离子的ccCOFs合成方法。所合成的离子型ccCOFs表现出良好的结晶性,且在不引入复杂给体-受体构建单元的情况下带隙可低至1.03 eV。此类ccCOFs还可在不同基底(如玻璃、硅片、Au等)上直接合成均匀薄膜。最引人注目的是,Au/2DPPPV-102/Al器件在低电压扫描下表现出32个不同的电导态,每个电导态均展现出优异的非易失性并可稳定保持超过5000 s,这是忆阻器的典型特征。利用32电导态忆阻器阵列构建了卷积神经网络并应用于图像识别,对五幅随机选取图像的识别准确率超过90%。</w:t>
      </w:r>
    </w:p>
    <w:p>
      <w:pPr>
        <w:spacing w:before="0" w:after="200" w:lineRule="auto" w:line="276"/>
      </w:pPr>
      <w:r>
        <w:rPr>
          <w:b/>
        </w:rPr>
        <w:t xml:space="preserve">Abstract (EN): </w:t>
      </w:r>
      <w:r>
        <w:t>Olefin‐linked covalent organic frameworks (</w:t>
      </w:r>
      <w:r>
        <w:t xml:space="preserve"> </w:t>
      </w:r>
      <w:r>
        <w:t>cc</w:t>
      </w:r>
      <w:r>
        <w:t xml:space="preserve"> </w:t>
      </w:r>
      <w:r>
        <w:t>COFs) have shown great advantages in the community since discovery. However, the synthesis of ccCOFs highly relies on unsaturated heteroatom‐involved segments (uSHS) to activate C─H bond to produce carbanion and to further condense with aldehydes. Such electron‐withdrawing uSHS have long hindered the wide applications of ccCOFs in optoelectronic devices due to the strong electron‐withdrawing effect. In this work, we report a carbenium‐involved synthesis of</w:t>
      </w:r>
      <w:r>
        <w:t xml:space="preserve"> </w:t>
      </w:r>
      <w:r>
        <w:t>cc</w:t>
      </w:r>
      <w:r>
        <w:t xml:space="preserve"> </w:t>
      </w:r>
      <w:r>
        <w:t>COFs without uSHS’ participating. As‐synthesized ionic</w:t>
      </w:r>
      <w:r>
        <w:t xml:space="preserve"> </w:t>
      </w:r>
      <w:r>
        <w:t>cc</w:t>
      </w:r>
      <w:r>
        <w:t xml:space="preserve"> </w:t>
      </w:r>
      <w:r>
        <w:t>COFs show good crystallinity and ultra‐narrow bandgap down to 1.03 eV without introducing complicated donor‐acceptor building blocks. Such</w:t>
      </w:r>
      <w:r>
        <w:t xml:space="preserve"> </w:t>
      </w:r>
      <w:r>
        <w:t>cc</w:t>
      </w:r>
      <w:r>
        <w:t xml:space="preserve"> </w:t>
      </w:r>
      <w:r>
        <w:t>COFs can also be directly synthesized as uniform films on different substrates, for example, glass, silicon wafer, Au, and so on. Most impressively, the device Au/2DPPPV‐102/Al exhibits 32 distinct conductance states under low‐voltage sweeps and each conductance state demonstrated excellent non‐volatility and could be maintained stably for over 5000 s, which are typical features of memristor. A convolutional neural network was implemented using a 32‐conductance‐state memristor array and applied to image recognition, yielding recognition accuracies exceeding 90% for five randomly selected images.</w:t>
      </w:r>
    </w:p>
    <w:p>
      <w:pPr>
        <w:spacing w:before="120" w:after="120"/>
      </w:pPr>
      <w:r>
        <w:rPr>
          <w:sz w:val="18"/>
        </w:rPr>
        <w:t>——————————————————————————————————————————————————————————————————————</w:t>
      </w:r>
    </w:p>
    <w:p>
      <w:pPr>
        <w:spacing w:before="160" w:after="40" w:line="240" w:lineRule="auto"/>
      </w:pPr>
      <w:r>
        <w:rPr>
          <w:b/>
        </w:rPr>
        <w:t xml:space="preserve">[169] </w:t>
      </w:r>
      <w:hyperlink r:id="rId727">
        <w:r>
          <w:rPr>
            <w:color w:val="1155CC"/>
            <w:u w:val="single"/>
          </w:rPr>
          <w:t>介电体嵌入式II型PbS/PbSe量子点实现突触前光学调制用于近红外神经形态视觉</w:t>
        </w:r>
      </w:hyperlink>
    </w:p>
    <w:p>
      <w:pPr>
        <w:spacing w:before="0" w:after="80"/>
      </w:pPr>
      <w:r>
        <w:rPr>
          <w:i/>
          <w:sz w:val="20"/>
        </w:rPr>
        <w:t>EN: Presynaptic Optical Modulation Enabled by Dielectric‐Embedded Type‐II PbS/PbSe Quantum Dots for Near‐Infrared Neuromorphic Vision</w:t>
      </w:r>
    </w:p>
    <w:p>
      <w:pPr>
        <w:spacing w:before="0" w:after="120"/>
      </w:pPr>
      <w:r>
        <w:rPr>
          <w:b/>
        </w:rPr>
        <w:t xml:space="preserve">Source: </w:t>
      </w:r>
      <w:r>
        <w:t>Wiley: Advanced Materials: Table of Contents</w:t>
      </w:r>
      <w:r>
        <w:t xml:space="preserve">    </w:t>
      </w:r>
      <w:r>
        <w:rPr>
          <w:b/>
        </w:rPr>
        <w:t xml:space="preserve">Pub date: </w:t>
      </w:r>
      <w:r>
        <w:t>2026-08-29 03:43:09+00:00</w:t>
      </w:r>
      <w:r>
        <w:t xml:space="preserve">    </w:t>
      </w:r>
      <w:r>
        <w:rPr>
          <w:b/>
        </w:rPr>
        <w:t xml:space="preserve">DOI: </w:t>
      </w:r>
      <w:hyperlink r:id="rId728">
        <w:r>
          <w:rPr>
            <w:color w:val="1155CC"/>
            <w:u w:val="single"/>
          </w:rPr>
          <w:t>10.1002/adma.74345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夜间感知和近红外(NIR)神经形态视觉中,核心挑战在于将微弱的光学输入编码为传感器前端稳定且可控的时间状态。在夜行哺乳动物视网膜中,AII无长突细胞依靠稳定的化学中间态、突触前调制和阈下时间整合来实现这一功能。受该机制中特定信息处理原理的功能启发,我们提出并验证了一种仿生器件设计策略。通过化学-结构协同设计方法,首次采用II型PbS/PbSe核-壳量子点(QDs),将其嵌入柔性碳纳米管(CNT)突触晶体管的介电层中,形成稳定但会衰减的光生中间态。这些状态通过光栅调制CNT沟道电导,实现突触前的非导电调制。该突触器件的NIR感知覆盖395–808 nm,每个突触事件的能耗为0.325 fJ。8×8突触阵列可实现依赖历史的时间处理,在五位光学输入下产生32个可区分的输出状态。基于这些特性,在超过10^5个样本的数据集上验证了储备池计算(RC)框架,在夜间人体动作识别任务中达到94.6%的准确率。这些结果为NIR近传感器时间感知建立了仿生的材料-器件-系统路径</w:t>
      </w:r>
    </w:p>
    <w:p>
      <w:pPr>
        <w:spacing w:before="0" w:after="200" w:lineRule="auto" w:line="276"/>
      </w:pPr>
      <w:r>
        <w:rPr>
          <w:b/>
        </w:rPr>
        <w:t xml:space="preserve">Abstract (EN): </w:t>
      </w:r>
      <w:r>
        <w:t>In nighttime perception and near‐infrared (NIR) neuromorphic vision, a central challenge lies in encoding weak optical inputs into stable and controllable temporal states at the sensor front end. In nocturnal mammalian retinas, AII amacrine cells achieve this function by relying on stable chemical intermediate states, presynaptic modulation, and subthreshold temporal integration. Functionally inspired by selected information‐processing principles of this mechanism, we propose and demonstrate a bio‐inspired device design strategy. Through a chemical‐structural codesign approach, type‐II PbS/PbSe core–shell quantum dots (QDs) are used for the first time and embedded into the dielectric layer of flexible carbon‐nanotube (CNT) synaptic transistors, forming stable yet decaying photo‐generated intermediate states. These states modulate the CNT channel conductance via photogating, realizing a presynaptic, nonconductive modulation. The synaptic device exhibits NIR perception covering 395–808 nm and operates with an energy consumption of 0.325 fJ per synaptic event. An 8 × 8 synaptic array enables history‐dependent temporal processing, generating 32 distinguishable output states under five‐bit optical inputs. Based on these properties, a reservoir computing (RC) framework is validated on a dataset exceeding 10</w:t>
      </w:r>
      <w:r>
        <w:rPr>
          <w:vertAlign w:val="subscript"/>
        </w:rPr>
        <w:t>5</w:t>
      </w:r>
      <w:r>
        <w:t>samples, achieving 94.6% accuracy in nighttime human action recognition tasks. These results establish a bio‐inspired material‐device‐system pathway for NIR near‐sensor temporal perception and computation.</w:t>
      </w:r>
    </w:p>
    <w:p>
      <w:pPr>
        <w:spacing w:before="120" w:after="120"/>
      </w:pPr>
      <w:r>
        <w:rPr>
          <w:sz w:val="18"/>
        </w:rPr>
        <w:t>——————————————————————————————————————————————————————————————————————</w:t>
      </w:r>
    </w:p>
    <w:p>
      <w:pPr>
        <w:spacing w:before="160" w:after="40" w:line="240" w:lineRule="auto"/>
      </w:pPr>
      <w:r>
        <w:rPr>
          <w:b/>
        </w:rPr>
        <w:t xml:space="preserve">[170] </w:t>
      </w:r>
      <w:hyperlink r:id="rId729">
        <w:r>
          <w:rPr>
            <w:color w:val="1155CC"/>
            <w:u w:val="single"/>
          </w:rPr>
          <w:t>荧光纳米金刚石的离子浓度与电压成像</w:t>
        </w:r>
      </w:hyperlink>
    </w:p>
    <w:p>
      <w:pPr>
        <w:spacing w:before="0" w:after="80"/>
      </w:pPr>
      <w:r>
        <w:rPr>
          <w:i/>
          <w:sz w:val="20"/>
        </w:rPr>
        <w:t>EN: Ion Concentration and Voltage Imaging With Fluorescent Nanodiamonds</w:t>
      </w:r>
    </w:p>
    <w:p>
      <w:pPr>
        <w:spacing w:before="0" w:after="120"/>
      </w:pPr>
      <w:r>
        <w:rPr>
          <w:b/>
        </w:rPr>
        <w:t xml:space="preserve">Source: </w:t>
      </w:r>
      <w:r>
        <w:t>Wiley: Advanced Materials: Table of Contents</w:t>
      </w:r>
      <w:r>
        <w:t xml:space="preserve">    </w:t>
      </w:r>
      <w:r>
        <w:rPr>
          <w:b/>
        </w:rPr>
        <w:t xml:space="preserve">Pub date: </w:t>
      </w:r>
      <w:r>
        <w:t>2026-08-29 03:43:46+00:00</w:t>
      </w:r>
      <w:r>
        <w:t xml:space="preserve">    </w:t>
      </w:r>
      <w:r>
        <w:rPr>
          <w:b/>
        </w:rPr>
        <w:t xml:space="preserve">DOI: </w:t>
      </w:r>
      <w:hyperlink r:id="rId730">
        <w:r>
          <w:rPr>
            <w:color w:val="1155CC"/>
            <w:u w:val="single"/>
          </w:rPr>
          <w:t>10.1002/adma.74728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刚石中的氮-空位(NV)中心存在于具有不同光致发光特性的多种电荷态中,这些特性对纳米级电化学环境十分敏感。因此,NV电荷态正成为纳米级传感与成像的强大全光学平台。尽管在块体金刚石近表面NV中心的工程化方面已取得重大进展,但在荧光纳米金刚石(FNDs)中控制NV电荷态仍颇具挑战,限制了基于FND的电荷态传感的灵敏度和可靠性。在此,我们分别在单颗粒和颗粒粉末水平的亚30 nm FNDs中,通过表面氧化和氢化实现了荧光NV^0与暗态(很可能是NV^+)之间可靠、可逆的切换。在水系电化学电池中,我们基于透明基底上自组装FND层中的NV电荷态,实现了电压和离子浓度成像。外加电压能够可靠地调制FND的PL,灵敏度高达16 mV Hz^(−1/2)。FND的PL也可受局部盐浓度变化的调制,灵敏度高达每毫摩尔NaCl 1.8%,从而实现微尺度的离子浓度梯度全光学成像。我们的结果向实现具有亚微米空间分辨率的快速、稳定、可扩展的纳米级电荷和电压成像技术迈出了重要一步。</w:t>
      </w:r>
    </w:p>
    <w:p>
      <w:pPr>
        <w:spacing w:before="0" w:after="200" w:lineRule="auto" w:line="276"/>
      </w:pPr>
      <w:r>
        <w:rPr>
          <w:b/>
        </w:rPr>
        <w:t xml:space="preserve">Abstract (EN): </w:t>
      </w:r>
      <w:r>
        <w:t>The nitrogen‐vacancy (NV) center in diamond exists in different charge states with distinct photoluminescence properties, which are sensitive to the nanoscale electrochemical environment. Hence, the NV charge state is emerging as a powerful all‐optical platform for nanoscale sensing and imaging. Although significant progress has been made in engineering near‐surface NV centers in bulk diamond, controlling the NV charge state in fluorescent nanodiamonds (FNDs) has proven challenging, limiting the sensitivity and reliability of FND‐based charge state sensing. Here, we demonstrate reliable, reversible switching between the fluorescent NV</w:t>
      </w:r>
      <w:r>
        <w:rPr>
          <w:vertAlign w:val="subscript"/>
        </w:rPr>
        <w:t>0</w:t>
      </w:r>
      <w:r>
        <w:t>and a dark state, likely NV</w:t>
      </w:r>
      <w:r>
        <w:t xml:space="preserve"> </w:t>
      </w:r>
      <w:r>
        <w:t>+</w:t>
      </w:r>
      <w:r>
        <w:t xml:space="preserve"> </w:t>
      </w:r>
      <w:r>
        <w:t>, in sub‐30 nm FNDs via surface oxidation and hydrogenation, respectively, for single particles and particle powder. In aqueous electrochemical cells, we demonstrate voltage and ion concentration imaging based on the NV charge state in self‐assembled FND layers on transparent substrates. Applied voltages reliably modulate the FND PL with a sensitivity of up to 16 mV Hz</w:t>
      </w:r>
      <w:r>
        <w:t xml:space="preserve"> </w:t>
      </w:r>
      <w:r>
        <w:t>−1/2</w:t>
      </w:r>
      <w:r>
        <w:t xml:space="preserve"> </w:t>
      </w:r>
      <w:r>
        <w:t>. FND PL is also modulated by local changes in salt concentration with a sensitivity of up to 1.8% per millimolar NaCl, enabling all‐optical imaging of ion concentration gradients at the microscale. Our results represent a significant step toward realizing fast, stable, and scalable nanoscale charge‐ and voltage‐imaging technologies with sub‐micrometer spatial resolution.</w:t>
      </w:r>
    </w:p>
    <w:p>
      <w:pPr>
        <w:spacing w:before="120" w:after="120"/>
      </w:pPr>
      <w:r>
        <w:rPr>
          <w:sz w:val="18"/>
        </w:rPr>
        <w:t>——————————————————————————————————————————————————————————————————————</w:t>
      </w:r>
    </w:p>
    <w:p>
      <w:pPr>
        <w:spacing w:before="160" w:after="40" w:line="240" w:lineRule="auto"/>
      </w:pPr>
      <w:r>
        <w:rPr>
          <w:b/>
        </w:rPr>
        <w:t xml:space="preserve">[171] </w:t>
      </w:r>
      <w:hyperlink r:id="rId731">
        <w:r>
          <w:rPr>
            <w:color w:val="1155CC"/>
            <w:u w:val="single"/>
          </w:rPr>
          <w:t>生长型纤维传感器实现对植物激素的连续体内监测</w:t>
        </w:r>
      </w:hyperlink>
    </w:p>
    <w:p>
      <w:pPr>
        <w:spacing w:before="0" w:after="80"/>
      </w:pPr>
      <w:r>
        <w:rPr>
          <w:i/>
          <w:sz w:val="20"/>
        </w:rPr>
        <w:t>EN: Growing Fiber Sensors Enable Continuous In Vivo Monitoring of Plant Hormones</w:t>
      </w:r>
    </w:p>
    <w:p>
      <w:pPr>
        <w:spacing w:before="0" w:after="120"/>
      </w:pPr>
      <w:r>
        <w:rPr>
          <w:b/>
        </w:rPr>
        <w:t xml:space="preserve">Source: </w:t>
      </w:r>
      <w:r>
        <w:t>Wiley: Advanced Materials: Table of Contents</w:t>
      </w:r>
      <w:r>
        <w:t xml:space="preserve">    </w:t>
      </w:r>
      <w:r>
        <w:rPr>
          <w:b/>
        </w:rPr>
        <w:t xml:space="preserve">Pub date: </w:t>
      </w:r>
      <w:r>
        <w:t>2026-08-29 03:44:18+00:00</w:t>
      </w:r>
      <w:r>
        <w:t xml:space="preserve">    </w:t>
      </w:r>
      <w:r>
        <w:rPr>
          <w:b/>
        </w:rPr>
        <w:t xml:space="preserve">DOI: </w:t>
      </w:r>
      <w:hyperlink r:id="rId732">
        <w:r>
          <w:rPr>
            <w:color w:val="1155CC"/>
            <w:u w:val="single"/>
          </w:rPr>
          <w:t>10.1002/adma.74856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植物在生长过程中由极端环境和生物侵害引起的胁迫,威胁着全球生物多样性和作物生产,亟需阐明植物的适应机制。植物生长内源激素作为胁迫适应的主调节因子和最早指示物,对其进行持续动态监测至关重要。然而,现有方法(包括色谱法和电化学探针)因其与植物生长的不可逆性和可塑性不匹配而失效。在此,我们意外发现了一种基于液态金属浸润动态聚合物网络电极(称为金属凝胶)的可生长光纤传感器。该传感器仅在三2.2 kPa的拉伸应力下即可发生高达约10倍于原始长度的不可逆伸长,比现有电子导电体系低至少2个数量级,从而与植物生长实现同步变形,而不引起机械损伤或激素扰动。借助该传感器,揭示了植物生长过程中响应病原菌感染、盐胁迫甚至极端紫外辐射的激素动态及相关信号通路。这项工作为植物胁迫抗性机制提供了定量洞察,并为缓解粮食与生态危机提供了可行途径。</w:t>
      </w:r>
    </w:p>
    <w:p>
      <w:pPr>
        <w:spacing w:before="0" w:after="200" w:lineRule="auto" w:line="276"/>
      </w:pPr>
      <w:r>
        <w:rPr>
          <w:b/>
        </w:rPr>
        <w:t xml:space="preserve">Abstract (EN): </w:t>
      </w:r>
      <w:r>
        <w:t>Plant stress during growth, caused by extreme environments and biotic attacks, threatens global biodiversity and crop production, necessitating urgent elucidation of plant adaptation mechanisms. Endogenous hormones of plant growth serve as master regulators and earliest indicators of stress adaptation, making it crucial to monitor their dynamics continuously. However, existing methods, including chromatography and electrochemical probes, fail because of their mismatch with the irreversible and plastic nature of plant growth. Here, we unexpectedly find a growing fiber sensor based on an electrode consisting of a dynamic polymer network infiltrated with liquid metal, termed metalgel. The sensor undergoes irreversible elongation ∼up to 10 times its original length under just 3.2 kPa tensile stress, at least 2 orders of magnitude lower than existing electronic conductive systems, thus achieving synchronous deformation with plant growth without inducing mechanical damage or hormonal disturbances. Hormone dynamics and relevant signaling pathways during plant growth in response to pathogen infection, salt stress, and even extreme ultraviolet radiation are thus revealed by the sensor. This work provides quantitative insights into plant stress resilience mechanisms and offers a feasible route to alleviate the food and ecological crises.</w:t>
      </w:r>
    </w:p>
    <w:p>
      <w:pPr>
        <w:spacing w:before="120" w:after="120"/>
      </w:pPr>
      <w:r>
        <w:rPr>
          <w:sz w:val="18"/>
        </w:rPr>
        <w:t>——————————————————————————————————————————————————————————————————————</w:t>
      </w:r>
    </w:p>
    <w:p>
      <w:pPr>
        <w:spacing w:before="160" w:after="40" w:line="240" w:lineRule="auto"/>
      </w:pPr>
      <w:r>
        <w:rPr>
          <w:b/>
        </w:rPr>
        <w:t xml:space="preserve">[172] </w:t>
      </w:r>
      <w:hyperlink r:id="rId733">
        <w:r>
          <w:rPr>
            <w:color w:val="1155CC"/>
            <w:u w:val="single"/>
          </w:rPr>
          <w:t>通过机器学习辅助交通灯颜色编码实现硅基智能强力胶粘附状态的实时自监测</w:t>
        </w:r>
      </w:hyperlink>
    </w:p>
    <w:p>
      <w:pPr>
        <w:spacing w:before="0" w:after="80"/>
      </w:pPr>
      <w:r>
        <w:rPr>
          <w:i/>
          <w:sz w:val="20"/>
        </w:rPr>
        <w:t>EN: Real Time Self‐Monitoring of Adhesion State via Machine Learning‐Assisted Traffic Light Color‐Coding in Silicone‐Based Smart Superglue</w:t>
      </w:r>
    </w:p>
    <w:p>
      <w:pPr>
        <w:spacing w:before="0" w:after="120"/>
      </w:pPr>
      <w:r>
        <w:rPr>
          <w:b/>
        </w:rPr>
        <w:t xml:space="preserve">Source: </w:t>
      </w:r>
      <w:r>
        <w:t>Wiley: Advanced Materials: Table of Contents</w:t>
      </w:r>
      <w:r>
        <w:t xml:space="preserve">    </w:t>
      </w:r>
      <w:r>
        <w:rPr>
          <w:b/>
        </w:rPr>
        <w:t xml:space="preserve">Pub date: </w:t>
      </w:r>
      <w:r>
        <w:t>2026-08-29 03:45:23+00:00</w:t>
      </w:r>
      <w:r>
        <w:t xml:space="preserve">    </w:t>
      </w:r>
      <w:r>
        <w:rPr>
          <w:b/>
        </w:rPr>
        <w:t xml:space="preserve">DOI: </w:t>
      </w:r>
      <w:hyperlink r:id="rId734">
        <w:r>
          <w:rPr>
            <w:color w:val="1155CC"/>
            <w:u w:val="single"/>
          </w:rPr>
          <w:t>10.1002/adma.74834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稳健粘附材料已取得重大进展,但在粘附失效之前于服役条件下便捷地监测粘附强度仍然至关重要且极具挑战。本研究报道了一种由梳状超分子弹性体制备的结构新颖的硅基导电胶粘剂,其通过机器学习辅助的红绿灯颜色编码方法实现粘附状态的实时自监测。首先通过有效的硅氢加成反应构建了梳状超分子离子导电聚硅氧烷P(Ba-co-Apy-co-DMS),产生侧基氢键巴比妥酸(Ba)和离子液体(Apy)基团。随后,通过将粘附强度数字化转换为电容信号,从P(Ba-co-Apy-co-DMS)构建了粘附敏感的电学特性和实验数据库。该数据库进一步用于训练集成长短时记忆(LSTM)单元的一维卷积神经网络(1D-CNN)混合深度学习架构。该模型学习电容-粘附映射,并将编码的信号特征转换为状态1、2和3。此外,基于对粘附强度的感知开发了红绿灯颜色编码方法,利用深度学习架构分别以绿色、橙色和红色LED光符号对应状态1、2和3,反映紧密</w:t>
      </w:r>
    </w:p>
    <w:p>
      <w:pPr>
        <w:spacing w:before="0" w:after="200" w:lineRule="auto" w:line="276"/>
      </w:pPr>
      <w:r>
        <w:rPr>
          <w:b/>
        </w:rPr>
        <w:t xml:space="preserve">Abstract (EN): </w:t>
      </w:r>
      <w:r>
        <w:t>Despite significant advancements in robust adhesive materials, convenient monitoring adhesion strength under service conditions before adhesion failure is essential yet challenging. In this study, structurally novel silicone‐based conductive adhesive from comb‐shaped supramolecular elastomers is reported, featuring self‐monitoring of adhesion state in real time manner via machine learning‐assisted traffic light color‐coding approach. Comb‐shaped supramolecular ion‐conducting polysiloxane P(Ba‐</w:t>
      </w:r>
      <w:r>
        <w:t xml:space="preserve"> </w:t>
      </w:r>
      <w:r>
        <w:t>co</w:t>
      </w:r>
      <w:r>
        <w:t xml:space="preserve"> </w:t>
      </w:r>
      <w:r>
        <w:t>‐Apy‐</w:t>
      </w:r>
      <w:r>
        <w:t xml:space="preserve"> </w:t>
      </w:r>
      <w:r>
        <w:t>co</w:t>
      </w:r>
      <w:r>
        <w:t xml:space="preserve"> </w:t>
      </w:r>
      <w:r>
        <w:t>‐DMS) are first constructed via effective hydrosilylation, yielding pendant H‐bonding barbiturate (Ba) and ionic liquids (Apy) moieties. Adhesion‐sensitive electrical properties and experimental database are therefore constructed from P(Ba‐</w:t>
      </w:r>
      <w:r>
        <w:t xml:space="preserve"> </w:t>
      </w:r>
      <w:r>
        <w:t>co</w:t>
      </w:r>
      <w:r>
        <w:t xml:space="preserve"> </w:t>
      </w:r>
      <w:r>
        <w:t>‐Apy‐</w:t>
      </w:r>
      <w:r>
        <w:t xml:space="preserve"> </w:t>
      </w:r>
      <w:r>
        <w:t>co</w:t>
      </w:r>
      <w:r>
        <w:t xml:space="preserve"> </w:t>
      </w:r>
      <w:r>
        <w:t>‐DMS) via digitally transforming of adhesion strength into capacitance signals. Such database is further used to train a hybrid deep learning architecture that integrates 1D convolutional neural networks (1D‐CNN) with long short‐term memory (LSTM) units. This model learns the capacitance‐adhesion mapping and translates the encoded signal features into States 1, 2, and 3. Moreover, a traffic light color‐coding approach on the perceptions of adhesion strength is developed, green, orange, and red LED light symbols are respectively associated with States 1, 2, and 3 leveraged from deep learning architecture, reflecting tight, stretched, and fractured adhesion. Our conductive adhesives illustrate the Internet of Things‐empowered adhesion state and structural health monitoring, offering promising opportunity to boost intelligentization and informatization of classical materials.</w:t>
      </w:r>
    </w:p>
    <w:p>
      <w:pPr>
        <w:spacing w:before="120" w:after="120"/>
      </w:pPr>
      <w:r>
        <w:rPr>
          <w:sz w:val="18"/>
        </w:rPr>
        <w:t>——————————————————————————————————————————————————————————————————————</w:t>
      </w:r>
    </w:p>
    <w:p>
      <w:pPr>
        <w:spacing w:before="160" w:after="40" w:line="240" w:lineRule="auto"/>
      </w:pPr>
      <w:r>
        <w:rPr>
          <w:b/>
        </w:rPr>
        <w:t xml:space="preserve">[173] </w:t>
      </w:r>
      <w:hyperlink r:id="rId735">
        <w:r>
          <w:rPr>
            <w:color w:val="1155CC"/>
            <w:u w:val="single"/>
          </w:rPr>
          <w:t>棒状微凝胶的规模化制备:一种结合阶梯乳化与并行微通道中连续液滴限域的微流控方法</w:t>
        </w:r>
      </w:hyperlink>
    </w:p>
    <w:p>
      <w:pPr>
        <w:spacing w:before="0" w:after="80"/>
      </w:pPr>
      <w:r>
        <w:rPr>
          <w:i/>
          <w:sz w:val="20"/>
        </w:rPr>
        <w:t>EN: Upscaling the Fabrication of Rod‐Shaped Microgels: A Microfluidic Method Combining Step‐Emulsification With Consecutive Droplet Confinement in Parallelized Microchannels</w:t>
      </w:r>
    </w:p>
    <w:p>
      <w:pPr>
        <w:spacing w:before="0" w:after="120"/>
      </w:pPr>
      <w:r>
        <w:rPr>
          <w:b/>
        </w:rPr>
        <w:t xml:space="preserve">Source: </w:t>
      </w:r>
      <w:r>
        <w:t>Wiley: Advanced Materials: Table of Contents</w:t>
      </w:r>
      <w:r>
        <w:t xml:space="preserve">    </w:t>
      </w:r>
      <w:r>
        <w:rPr>
          <w:b/>
        </w:rPr>
        <w:t xml:space="preserve">Pub date: </w:t>
      </w:r>
      <w:r>
        <w:t>2026-08-29 03:51:02+00:00</w:t>
      </w:r>
      <w:r>
        <w:t xml:space="preserve">    </w:t>
      </w:r>
      <w:r>
        <w:rPr>
          <w:b/>
        </w:rPr>
        <w:t xml:space="preserve">DOI: </w:t>
      </w:r>
      <w:hyperlink r:id="rId736">
        <w:r>
          <w:rPr>
            <w:color w:val="1155CC"/>
            <w:u w:val="single"/>
          </w:rPr>
          <w:t>10.1002/adma.74822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各向异性棒状微凝胶是一类新兴材料，在组织工程领域具有巨大潜力。其各向异性形状已被证明有利于颗粒状水凝胶和微孔退火颗粒支架（MAPs）的制备，与球形对应物相比具有更大的孔径。然而，要使棒状微凝胶能够作为高通量组织模型的构建单元，需要一种稳健且可规模化的生产方法。本文报道了一种结合阶梯乳化（SE）与液滴约束的微流控制备方法来生产棒状微凝胶。我们重点介绍了微流控芯片设计的开发过程，并利用两种光诱导聚合化学体系对通过片上凝胶化制备的微凝胶棒的特性进行了表征。与单通道微流控技术相比，该法可在八个并联微通道中生成尺寸处于组织工程应用相关范围内的棒状微凝胶，并具有进一步放大的潜力。</w:t>
      </w:r>
    </w:p>
    <w:p>
      <w:pPr>
        <w:spacing w:before="0" w:after="200" w:lineRule="auto" w:line="276"/>
      </w:pPr>
      <w:r>
        <w:rPr>
          <w:b/>
        </w:rPr>
        <w:t xml:space="preserve">Abstract (EN): </w:t>
      </w:r>
      <w:r>
        <w:t>Anisometric rod‐shaped microgels are an emerging material class holding potential for tissue engineering. Their anisotropic shape has proven advantageous in the fabrication of granular hydrogels and microporous annealed particle scaffolds (MAPs), featuring larger pore sizes in comparison to their spherical counterparts. However, to enable the use of rod‐shaped microgels as building blocks for high‐throughput tissue models, a robust and scalable production method is needed. Here, we report a microfluidic fabrication method to produce rod‐shaped microgels by combining step‐emulsification (SE) and droplet confinement. We highlight the development of the microfluidic chip design, and characterize the properties of the microgel rods produced via on‐chip gelation, using two light‐induced polymerization chemistries. Compared to single‐channel microfluidic techniques, rod‐shaped microgels are generated in eight parallelized microchannels in a relevant size range for tissue engineering applications, holding potential for further upscaling.</w:t>
      </w:r>
    </w:p>
    <w:p>
      <w:pPr>
        <w:spacing w:before="120" w:after="120"/>
      </w:pPr>
      <w:r>
        <w:rPr>
          <w:sz w:val="18"/>
        </w:rPr>
        <w:t>——————————————————————————————————————————————————————————————————————</w:t>
      </w:r>
    </w:p>
    <w:p>
      <w:pPr>
        <w:spacing w:before="160" w:after="40" w:line="240" w:lineRule="auto"/>
      </w:pPr>
      <w:r>
        <w:rPr>
          <w:b/>
        </w:rPr>
        <w:t xml:space="preserve">[174] </w:t>
      </w:r>
      <w:hyperlink r:id="rId737">
        <w:r>
          <w:rPr>
            <w:color w:val="1155CC"/>
            <w:u w:val="single"/>
          </w:rPr>
          <w:t>近红外发光金属卤化物实现植物水分含量的无损高保真传感</w:t>
        </w:r>
      </w:hyperlink>
    </w:p>
    <w:p>
      <w:pPr>
        <w:spacing w:before="0" w:after="80"/>
      </w:pPr>
      <w:r>
        <w:rPr>
          <w:i/>
          <w:sz w:val="20"/>
        </w:rPr>
        <w:t>EN: Non‐Destructive and High‐Fidelity Sensing of Plant Water Content Enabled by Near‐Infrared Luminescent Metal Halides</w:t>
      </w:r>
    </w:p>
    <w:p>
      <w:pPr>
        <w:spacing w:before="0" w:after="120"/>
      </w:pPr>
      <w:r>
        <w:rPr>
          <w:b/>
        </w:rPr>
        <w:t xml:space="preserve">Source: </w:t>
      </w:r>
      <w:r>
        <w:t>Wiley: Advanced Materials: Table of Contents</w:t>
      </w:r>
      <w:r>
        <w:t xml:space="preserve">    </w:t>
      </w:r>
      <w:r>
        <w:rPr>
          <w:b/>
        </w:rPr>
        <w:t xml:space="preserve">Pub date: </w:t>
      </w:r>
      <w:r>
        <w:t>2026-08-29 03:51:40+00:00</w:t>
      </w:r>
      <w:r>
        <w:t xml:space="preserve">    </w:t>
      </w:r>
      <w:r>
        <w:rPr>
          <w:b/>
        </w:rPr>
        <w:t xml:space="preserve">DOI: </w:t>
      </w:r>
      <w:hyperlink r:id="rId738">
        <w:r>
          <w:rPr>
            <w:color w:val="1155CC"/>
            <w:u w:val="single"/>
          </w:rPr>
          <w:t>10.1002/adma.74821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时、准确的水分监测是工业、环境和生物研究的关键技术基础。然而，传统检测方法通常包含破坏性过程且存在响应延迟。近红外（NIR）发光金属卤化物为这一挑战提供了一种新颖的解决方案，但仍面临紫外激发和光电转换效率低等问题。本文基于蓝光激发的无铅钙钛矿Cs2HfCl6:Te4+/Mo4+合成了一种发光材料，其中从Te4+到Mo4+的能量转移（ET）实现了800–1200 nm波长范围内的高效NIR发光。通过封装商用蓝光芯片，所制备的NIR发光二极管器件实现了高达16.1%的光电转换效率。利用水分子在NIR光谱中的吸收特性并通过传感器接收信号，采用基于神经网络机器学习算法的交互式学习过程，实现了高达98.6%的植物含水量估算精度。这种无损、精确的NIR检测模块为作物生理状态的实时监测提供了新方案，具有广阔的应用前景</w:t>
      </w:r>
    </w:p>
    <w:p>
      <w:pPr>
        <w:spacing w:before="0" w:after="200" w:lineRule="auto" w:line="276"/>
      </w:pPr>
      <w:r>
        <w:rPr>
          <w:b/>
        </w:rPr>
        <w:t xml:space="preserve">Abstract (EN): </w:t>
      </w:r>
      <w:r>
        <w:t>Real‐time, accurate water monitoring is a crucial technical foundation for industrial, environmental, and biological research. However, traditional detection methods typically include destructive processes and suffer from response delays. Near‐infrared (NIR) luminescent metal halides offer a novel solution to this challenge, but they still face issues such as ultraviolet excitation and low photoelectric conversion efficiency. Herein, a luminescent material was synthesized based on the blue‐light‐excited lead‐free perovskite Cs</w:t>
      </w:r>
      <w:r>
        <w:rPr>
          <w:vertAlign w:val="subscript"/>
        </w:rPr>
        <w:t>2</w:t>
      </w:r>
      <w:r>
        <w:t>HfCl</w:t>
      </w:r>
      <w:r>
        <w:rPr>
          <w:vertAlign w:val="subscript"/>
        </w:rPr>
        <w:t>6</w:t>
      </w:r>
      <w:r>
        <w:t>:Te</w:t>
      </w:r>
      <w:r>
        <w:t xml:space="preserve"> </w:t>
      </w:r>
      <w:r>
        <w:t>4+</w:t>
      </w:r>
      <w:r>
        <w:t xml:space="preserve"> </w:t>
      </w:r>
      <w:r>
        <w:t>/Mo</w:t>
      </w:r>
      <w:r>
        <w:t xml:space="preserve"> </w:t>
      </w:r>
      <w:r>
        <w:t>4+</w:t>
      </w:r>
      <w:r>
        <w:t xml:space="preserve"> </w:t>
      </w:r>
      <w:r>
        <w:t>, in which energy transfer (ET) from Te</w:t>
      </w:r>
      <w:r>
        <w:t xml:space="preserve"> </w:t>
      </w:r>
      <w:r>
        <w:t>4+</w:t>
      </w:r>
      <w:r>
        <w:t xml:space="preserve"> </w:t>
      </w:r>
      <w:r>
        <w:t>to Mo</w:t>
      </w:r>
      <w:r>
        <w:t xml:space="preserve"> </w:t>
      </w:r>
      <w:r>
        <w:t>4+</w:t>
      </w:r>
      <w:r>
        <w:t xml:space="preserve"> </w:t>
      </w:r>
      <w:r>
        <w:t>enables highly efficient NIR luminescence in the 800–1200 nm wavelength range. Upon encapsulation with a commercial blue light chip, the fabricated NIR light‐emitting diode device achieved a photoelectric conversion efficiency of up to 16.1%. By utilizing the absorption characteristics of water molecules in the NIR spectrum and receiving signals via a sensor. An interactive learning process based on a neural network machine learning algorithm was employed, achieving an estimation accuracy of up to 98.6% for plant water content. This non‐destructive and precise NIR detection module provides a new solution for the real‐time monitoring of crop physiological status and holds broad application prospects in the fields of precision agriculture and plant science.</w:t>
      </w:r>
    </w:p>
    <w:p>
      <w:pPr>
        <w:spacing w:before="120" w:after="120"/>
      </w:pPr>
      <w:r>
        <w:rPr>
          <w:sz w:val="18"/>
        </w:rPr>
        <w:t>——————————————————————————————————————————————————————————————————————</w:t>
      </w:r>
    </w:p>
    <w:p>
      <w:pPr>
        <w:spacing w:before="160" w:after="40" w:line="240" w:lineRule="auto"/>
      </w:pPr>
      <w:r>
        <w:rPr>
          <w:b/>
        </w:rPr>
        <w:t xml:space="preserve">[175] </w:t>
      </w:r>
      <w:hyperlink r:id="rId739">
        <w:r>
          <w:rPr>
            <w:color w:val="1155CC"/>
            <w:u w:val="single"/>
          </w:rPr>
          <w:t>将π共轭氨基酸引入多功能非晶材料</w:t>
        </w:r>
      </w:hyperlink>
    </w:p>
    <w:p>
      <w:pPr>
        <w:spacing w:before="0" w:after="80"/>
      </w:pPr>
      <w:r>
        <w:rPr>
          <w:i/>
          <w:sz w:val="20"/>
        </w:rPr>
        <w:t>EN: Incorporating π‐Conjugated Amino Acids Into Multi‐Functional Amorphous Materials</w:t>
      </w:r>
    </w:p>
    <w:p>
      <w:pPr>
        <w:spacing w:before="0" w:after="120"/>
      </w:pPr>
      <w:r>
        <w:rPr>
          <w:b/>
        </w:rPr>
        <w:t xml:space="preserve">Source: </w:t>
      </w:r>
      <w:r>
        <w:t>Wiley: Advanced Materials: Table of Contents</w:t>
      </w:r>
      <w:r>
        <w:t xml:space="preserve">    </w:t>
      </w:r>
      <w:r>
        <w:rPr>
          <w:b/>
        </w:rPr>
        <w:t xml:space="preserve">Pub date: </w:t>
      </w:r>
      <w:r>
        <w:t>2026-08-29 03:54:02+00:00</w:t>
      </w:r>
      <w:r>
        <w:t xml:space="preserve">    </w:t>
      </w:r>
      <w:r>
        <w:rPr>
          <w:b/>
        </w:rPr>
        <w:t xml:space="preserve">DOI: </w:t>
      </w:r>
      <w:hyperlink r:id="rId740">
        <w:r>
          <w:rPr>
            <w:color w:val="1155CC"/>
            <w:u w:val="single"/>
          </w:rPr>
          <w:t>10.1002/adma.74865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从小有机分子出发实现非晶材料的可控制备及其向高性能功能材料的转化仍是长期存在的挑战。本文提出一种多组分组装策略，从π共轭氨基酸出发构建非晶材料，为高性能粘附和光学应用提供了多功能平台。将基于脯氨酸的构建单元引入多组分网络，可绕过溶液中原本占主导地位的结晶诱导自组装，从而驱动类似液-液相分离的路径生成非晶聚集体。这些聚集体对铁基基底表现出优异的热可逆粘附性，其紧密堆积的结构促进了罕见的芴准分子发射。此外，与1,2,4,5-四氰基苯增强的电荷转移相互作用使光致发光从靛蓝色转变为绿色，量子产率提高了数个数量级，并使发射从短寿命的瞬时荧光转变为长寿命的热激活延迟荧光。通过过冷处理，成功制备了高硬度和高光学透明度的非晶玻璃，其中增加组分数可实现对表面粗糙度、润湿性、量子产率、发射波长和激发态寿命的系统性调控。本工作在多组分高熵体系中建立了合成非晶材料的新范式，将氨基酸和短肽定位</w:t>
      </w:r>
    </w:p>
    <w:p>
      <w:pPr>
        <w:spacing w:before="0" w:after="200" w:lineRule="auto" w:line="276"/>
      </w:pPr>
      <w:r>
        <w:rPr>
          <w:b/>
        </w:rPr>
        <w:t xml:space="preserve">Abstract (EN): </w:t>
      </w:r>
      <w:r>
        <w:t>The controlled fabrication of amorphous materials from small organic molecules and their translation into high‐performance functional materials remain long‐standing challenges. Here, we introduce a multicomponent assembly strategy to developed amorphous materials from π‐conjugated amino acids, offering a versatile platform for high‐performance adhesive and optical applications. The incorporation of proline‐based building blocks into multicomponent networks bypasses the crystallization‐induced self‐assembly that otherwise dominates in solution, thereby driving liquid‐liquid phase separation‐like pathways to yield amorphous aggregates. These aggregates exhibit exceptional thermoreversible adhesion to iron‐based substrates, with their densely packed architecture facilitating rarely observed excimer emission of fluorene. Furthermore, enhanced charge‐transfer interactions with 1,2,4,5‐tetracyanobenzene shift the photoluminescence from indigo to green, increase the quantum yield by orders of magnitude, and transition the emission from short‐lived prompt fluorescence to long‐lived thermally activated delayed fluorescence. Through supercooling, amorphous glasses with high hardness and optical transparency were successfully fabricated, wherein increasing the number of components enables systematic tuning of surface roughness, wettability, quantum yield, emission wavelength, and excited‐state lifetime. This work establishes a novel paradigm for synthesizing amorphous materials within multicomponent high‐entropy systems, positioning amino acid and short peptide derivatives as a versatile class of biomolecular building blocks for advanced adhesive and photonic applications.</w:t>
      </w:r>
    </w:p>
    <w:p>
      <w:pPr>
        <w:spacing w:before="120" w:after="120"/>
      </w:pPr>
      <w:r>
        <w:rPr>
          <w:sz w:val="18"/>
        </w:rPr>
        <w:t>——————————————————————————————————————————————————————————————————————</w:t>
      </w:r>
    </w:p>
    <w:p>
      <w:pPr>
        <w:spacing w:before="160" w:after="40" w:line="240" w:lineRule="auto"/>
      </w:pPr>
      <w:r>
        <w:rPr>
          <w:b/>
        </w:rPr>
        <w:t xml:space="preserve">[176] </w:t>
      </w:r>
      <w:hyperlink r:id="rId741">
        <w:r>
          <w:rPr>
            <w:color w:val="1155CC"/>
            <w:u w:val="single"/>
          </w:rPr>
          <w:t>基于稳定杂化混合配位玻璃的闪烁光纤用于远程X射线探测</w:t>
        </w:r>
      </w:hyperlink>
    </w:p>
    <w:p>
      <w:pPr>
        <w:spacing w:before="0" w:after="80"/>
      </w:pPr>
      <w:r>
        <w:rPr>
          <w:i/>
          <w:sz w:val="20"/>
        </w:rPr>
        <w:t>EN: Scintillating Fibers From Stable Heteroleptic Hybrid Glasses for Remote X‑Ray Detection</w:t>
      </w:r>
    </w:p>
    <w:p>
      <w:pPr>
        <w:spacing w:before="0" w:after="120"/>
      </w:pPr>
      <w:r>
        <w:rPr>
          <w:b/>
        </w:rPr>
        <w:t xml:space="preserve">Source: </w:t>
      </w:r>
      <w:r>
        <w:t>Wiley: Advanced Materials: Table of Contents</w:t>
      </w:r>
      <w:r>
        <w:t xml:space="preserve">    </w:t>
      </w:r>
      <w:r>
        <w:rPr>
          <w:b/>
        </w:rPr>
        <w:t xml:space="preserve">Pub date: </w:t>
      </w:r>
      <w:r>
        <w:t>2026-08-29 03:55:10+00:00</w:t>
      </w:r>
      <w:r>
        <w:t xml:space="preserve">    </w:t>
      </w:r>
      <w:r>
        <w:rPr>
          <w:b/>
        </w:rPr>
        <w:t xml:space="preserve">DOI: </w:t>
      </w:r>
      <w:hyperlink r:id="rId742">
        <w:r>
          <w:rPr>
            <w:color w:val="1155CC"/>
            <w:u w:val="single"/>
          </w:rPr>
          <w:t>10.1002/adma.74844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长距离和柔性光纤闪烁体在介入放射学和远程核反应堆监测等极端工作条件下至关重要。有机-无机杂化玻璃纤维提供了一种有前景的解决方案，但将团簇玻璃转化为稳定的光子结构仍具挑战。本文报道了一种异配体策略，利用空间位阻效应精确调控杂化Cu4I4团簇玻璃的热力学性质，进而实现超长、无断裂、无扰动的TPP2MDP2Cu4I4（TPP=三苯基膦；MDP=甲基二苯基膦）玻璃纤维。异配体TPP2MDP2Cu4I4芯玻璃不仅克服了杂化体系的稳定性限制，还表现出38598 photons MeV−1的显著光产额和62.2 nGy s−1的低检测限。我们将这些纤维组装成柔性闪烁光纤阵列，能够对密闭空间内部的缺陷进行成像。团簇玻璃平台中的这种异配体设计原则可以</w:t>
      </w:r>
    </w:p>
    <w:p>
      <w:pPr>
        <w:spacing w:before="0" w:after="200" w:lineRule="auto" w:line="276"/>
      </w:pPr>
      <w:r>
        <w:rPr>
          <w:b/>
        </w:rPr>
        <w:t xml:space="preserve">Abstract (EN): </w:t>
      </w:r>
      <w:r>
        <w:t>Long‐distance and flexible optical fiber scintillators are essential under extreme operating conditions including interventional radiology and remote nuclear reactor monitoring, etc. Organic–inorganic hybrid glass fibers offer a promising solution, yet transforming cluster glasses into stable photonic architectures remains challenging. Here we report a heteroleptic strategy that exploits steric hindrance effects to precisely modulate the thermodynamic properties of hybrid Cu</w:t>
      </w:r>
      <w:r>
        <w:rPr>
          <w:vertAlign w:val="subscript"/>
        </w:rPr>
        <w:t>4</w:t>
      </w:r>
      <w:r>
        <w:t>I</w:t>
      </w:r>
      <w:r>
        <w:rPr>
          <w:vertAlign w:val="subscript"/>
        </w:rPr>
        <w:t>4</w:t>
      </w:r>
      <w:r>
        <w:t>cluster glass, further enabling ultralong, fracture‐free, and perturbation‐free TPP</w:t>
      </w:r>
      <w:r>
        <w:rPr>
          <w:vertAlign w:val="subscript"/>
        </w:rPr>
        <w:t>2</w:t>
      </w:r>
      <w:r>
        <w:t>MDP</w:t>
      </w:r>
      <w:r>
        <w:rPr>
          <w:vertAlign w:val="subscript"/>
        </w:rPr>
        <w:t>2</w:t>
      </w:r>
      <w:r>
        <w:t>Cu</w:t>
      </w:r>
      <w:r>
        <w:rPr>
          <w:vertAlign w:val="subscript"/>
        </w:rPr>
        <w:t>4</w:t>
      </w:r>
      <w:r>
        <w:t>I</w:t>
      </w:r>
      <w:r>
        <w:rPr>
          <w:vertAlign w:val="subscript"/>
        </w:rPr>
        <w:t>4</w:t>
      </w:r>
      <w:r>
        <w:t>(TPP = Triphenylphosphine; MDP = Methyldiphenylphosphine) glass fibers. The heteroleptic TPP</w:t>
      </w:r>
      <w:r>
        <w:rPr>
          <w:vertAlign w:val="subscript"/>
        </w:rPr>
        <w:t>2</w:t>
      </w:r>
      <w:r>
        <w:t>MDP</w:t>
      </w:r>
      <w:r>
        <w:rPr>
          <w:vertAlign w:val="subscript"/>
        </w:rPr>
        <w:t>2</w:t>
      </w:r>
      <w:r>
        <w:t>Cu</w:t>
      </w:r>
      <w:r>
        <w:rPr>
          <w:vertAlign w:val="subscript"/>
        </w:rPr>
        <w:t>4</w:t>
      </w:r>
      <w:r>
        <w:t>I</w:t>
      </w:r>
      <w:r>
        <w:rPr>
          <w:vertAlign w:val="subscript"/>
        </w:rPr>
        <w:t>4</w:t>
      </w:r>
      <w:r>
        <w:t>core glass not only overcomes the stability limitations of hybrid systems, but also exhibits a notable light yield of 38598 photons MeV</w:t>
      </w:r>
      <w:r>
        <w:t xml:space="preserve"> </w:t>
      </w:r>
      <w:r>
        <w:t>−1</w:t>
      </w:r>
      <w:r>
        <w:t xml:space="preserve"> </w:t>
      </w:r>
      <w:r>
        <w:t>and a low detection limit of 62.2 nGy s</w:t>
      </w:r>
      <w:r>
        <w:t xml:space="preserve"> </w:t>
      </w:r>
      <w:r>
        <w:t>−1</w:t>
      </w:r>
      <w:r>
        <w:t xml:space="preserve"> </w:t>
      </w:r>
      <w:r>
        <w:t>. We assemble these fibers into a flexible scintillation fiber array capable of imaging internal defects in confined spaces. This heteroleptic design principle in cluster glass platform can be extended to other hybrid glass fibers for emerging photonic applications.</w:t>
      </w:r>
    </w:p>
    <w:p>
      <w:pPr>
        <w:spacing w:before="120" w:after="120"/>
      </w:pPr>
      <w:r>
        <w:rPr>
          <w:sz w:val="18"/>
        </w:rPr>
        <w:t>——————————————————————————————————————————————————————————————————————</w:t>
      </w:r>
    </w:p>
    <w:p>
      <w:pPr>
        <w:spacing w:before="160" w:after="40" w:line="240" w:lineRule="auto"/>
      </w:pPr>
      <w:r>
        <w:rPr>
          <w:b/>
        </w:rPr>
        <w:t xml:space="preserve">[177] </w:t>
      </w:r>
      <w:hyperlink r:id="rId743">
        <w:r>
          <w:rPr>
            <w:color w:val="1155CC"/>
            <w:u w:val="single"/>
          </w:rPr>
          <w:t>通过交变磁场诱导电子重构制备高磁化率纳米FeS2</w:t>
        </w:r>
      </w:hyperlink>
    </w:p>
    <w:p>
      <w:pPr>
        <w:spacing w:before="0" w:after="80"/>
      </w:pPr>
      <w:r>
        <w:rPr>
          <w:i/>
          <w:sz w:val="20"/>
        </w:rPr>
        <w:t>EN: Fabrication of High Magnetic Susceptibility Nano‐FeS2 via Electronic Reconstruction Induced by Alternating Magnetic Field</w:t>
      </w:r>
    </w:p>
    <w:p>
      <w:pPr>
        <w:spacing w:before="0" w:after="120"/>
      </w:pPr>
      <w:r>
        <w:rPr>
          <w:b/>
        </w:rPr>
        <w:t xml:space="preserve">Source: </w:t>
      </w:r>
      <w:r>
        <w:t>Wiley: Advanced Materials: Table of Contents</w:t>
      </w:r>
      <w:r>
        <w:t xml:space="preserve">    </w:t>
      </w:r>
      <w:r>
        <w:rPr>
          <w:b/>
        </w:rPr>
        <w:t xml:space="preserve">Pub date: </w:t>
      </w:r>
      <w:r>
        <w:t>2026-08-29 03:55:43+00:00</w:t>
      </w:r>
      <w:r>
        <w:t xml:space="preserve">    </w:t>
      </w:r>
      <w:r>
        <w:rPr>
          <w:b/>
        </w:rPr>
        <w:t xml:space="preserve">DOI: </w:t>
      </w:r>
      <w:hyperlink r:id="rId744">
        <w:r>
          <w:rPr>
            <w:color w:val="1155CC"/>
            <w:u w:val="single"/>
          </w:rPr>
          <w:t>10.1002/adma.74842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磁性材料，如Ferumoxytol和Gd-DTPA，在生物医学领域发挥了重要作用。对临床上可应用的新型磁性材料的不懈追求是生物医学工程中永恒的主题。黄铁矿（FeS2）是中国的矿物药物，拥有悠久的使用历史。除了在人体中已被证明的固有生物相容性以及作为H2S供体外，黄铁矿还属于过渡金属二硫化物家族，这赋予其灵活的磁性功能可调性，使其成为新型磁性纳米药物的有前途的候选者。然而，通过常规共沉淀法合成的nano-FeS2往往表现出较差的磁化率，因此其应用受到极大限制。本文报道了一种创新策略，通过交变磁场辅助共沉淀制备高磁化率的nano-FeS2（HS-nano-FeS2）。AMF处理在无外来元素掺杂的情况下有效调控了nano-FeS2中Fe2+的电子重构，并提出超交换相互作用是磁化率优化趋向有利自旋极化构型的主导因素。HS-nano-FeS</w:t>
      </w:r>
    </w:p>
    <w:p>
      <w:pPr>
        <w:spacing w:before="0" w:after="200" w:lineRule="auto" w:line="276"/>
      </w:pPr>
      <w:r>
        <w:rPr>
          <w:b/>
        </w:rPr>
        <w:t xml:space="preserve">Abstract (EN): </w:t>
      </w:r>
      <w:r>
        <w:t>Magnetic materials, such as</w:t>
      </w:r>
      <w:r>
        <w:t xml:space="preserve"> </w:t>
      </w:r>
      <w:r>
        <w:t>Ferumoxytol</w:t>
      </w:r>
      <w:r>
        <w:t xml:space="preserve"> </w:t>
      </w:r>
      <w:r>
        <w:t>and Gd‐DTPA, have played an important role in biomedical areas. The relentless pursuit of novel magnetic materials that are clinically applicable is an eternal theme in biomedical engineering. Pyrite (FeS</w:t>
      </w:r>
      <w:r>
        <w:rPr>
          <w:vertAlign w:val="subscript"/>
        </w:rPr>
        <w:t>2</w:t>
      </w:r>
      <w:r>
        <w:t>) is a mineral drug in China that has been used for a long history. Besides the inherent biocompatibility proved in the human body as well as the donor of H</w:t>
      </w:r>
      <w:r>
        <w:rPr>
          <w:vertAlign w:val="subscript"/>
        </w:rPr>
        <w:t>2</w:t>
      </w:r>
      <w:r>
        <w:t>S, pyrite also belongs to the family of transition metal dichalcogenides, which endows it with flexible functional tunability of magnetism to be a promising candidate for novel magnetic nanodrug. However, the nano‐FeS</w:t>
      </w:r>
      <w:r>
        <w:rPr>
          <w:vertAlign w:val="subscript"/>
        </w:rPr>
        <w:t>2</w:t>
      </w:r>
      <w:r>
        <w:t>synthesized by common coprecipitation often shows poor magnetic susceptibility, so its application has greatly been limited. Herein, we reported an innovative strategy to prepare nano‐FeS</w:t>
      </w:r>
      <w:r>
        <w:rPr>
          <w:vertAlign w:val="subscript"/>
        </w:rPr>
        <w:t>2</w:t>
      </w:r>
      <w:r>
        <w:t>with high magnetic susceptibility (HS‐nano‐FeS</w:t>
      </w:r>
      <w:r>
        <w:rPr>
          <w:vertAlign w:val="subscript"/>
        </w:rPr>
        <w:t>2</w:t>
      </w:r>
      <w:r>
        <w:t>) via alternating magnetic field‐assisted coprecipitation. AMF treatment effectively regulated electronic reconstruction of Fe</w:t>
      </w:r>
      <w:r>
        <w:t xml:space="preserve"> </w:t>
      </w:r>
      <w:r>
        <w:t>2+</w:t>
      </w:r>
      <w:r>
        <w:t xml:space="preserve"> </w:t>
      </w:r>
      <w:r>
        <w:t>in nano‐FeS</w:t>
      </w:r>
      <w:r>
        <w:rPr>
          <w:vertAlign w:val="subscript"/>
        </w:rPr>
        <w:t>2</w:t>
      </w:r>
      <w:r>
        <w:t>without foreign‐element doping, and super‐exchange interaction is proposed as the dominant factor for the optimized magnetic susceptibility toward a favorable spin‐polarized configuration. The HS‐nano‐FeS</w:t>
      </w:r>
      <w:r>
        <w:rPr>
          <w:vertAlign w:val="subscript"/>
        </w:rPr>
        <w:t>2</w:t>
      </w:r>
      <w:r>
        <w:t>is suitable for long‐term MR angiography imaging with excellent biosafety. We believe HS‐nano‐FeS</w:t>
      </w:r>
      <w:r>
        <w:rPr>
          <w:vertAlign w:val="subscript"/>
        </w:rPr>
        <w:t>2</w:t>
      </w:r>
      <w:r>
        <w:t>provides a novel magnetic candidate for clinical translation and demonstrates an innovative strategy at the electronic level.</w:t>
      </w:r>
    </w:p>
    <w:p>
      <w:pPr>
        <w:spacing w:before="120" w:after="120"/>
      </w:pPr>
      <w:r>
        <w:rPr>
          <w:sz w:val="18"/>
        </w:rPr>
        <w:t>——————————————————————————————————————————————————————————————————————</w:t>
      </w:r>
    </w:p>
    <w:p>
      <w:pPr>
        <w:spacing w:before="160" w:after="40" w:line="240" w:lineRule="auto"/>
      </w:pPr>
      <w:r>
        <w:rPr>
          <w:b/>
        </w:rPr>
        <w:t xml:space="preserve">[178] </w:t>
      </w:r>
      <w:hyperlink r:id="rId745">
        <w:r>
          <w:rPr>
            <w:color w:val="1155CC"/>
            <w:u w:val="single"/>
          </w:rPr>
          <w:t>多功能牺牲模板辅助3D打印制备高性能机械发光结构用于冲击防护与可视化监测</w:t>
        </w:r>
      </w:hyperlink>
    </w:p>
    <w:p>
      <w:pPr>
        <w:spacing w:before="0" w:after="80"/>
      </w:pPr>
      <w:r>
        <w:rPr>
          <w:i/>
          <w:sz w:val="20"/>
        </w:rPr>
        <w:t>EN: Versatile Sacrificial Mold‐Assisted 3D Printing for High‐Performance Mechanoluminescent Structures Toward Impact Protection and Visualization Monitoring</w:t>
      </w:r>
    </w:p>
    <w:p>
      <w:pPr>
        <w:spacing w:before="0" w:after="120"/>
      </w:pPr>
      <w:r>
        <w:rPr>
          <w:b/>
        </w:rPr>
        <w:t xml:space="preserve">Source: </w:t>
      </w:r>
      <w:r>
        <w:t>Wiley: Advanced Materials: Table of Contents</w:t>
      </w:r>
      <w:r>
        <w:t xml:space="preserve">    </w:t>
      </w:r>
      <w:r>
        <w:rPr>
          <w:b/>
        </w:rPr>
        <w:t xml:space="preserve">Pub date: </w:t>
      </w:r>
      <w:r>
        <w:t>2026-08-29 04:00:20+00:00</w:t>
      </w:r>
      <w:r>
        <w:t xml:space="preserve">    </w:t>
      </w:r>
      <w:r>
        <w:rPr>
          <w:b/>
        </w:rPr>
        <w:t xml:space="preserve">DOI: </w:t>
      </w:r>
      <w:hyperlink r:id="rId746">
        <w:r>
          <w:rPr>
            <w:color w:val="1155CC"/>
            <w:u w:val="single"/>
          </w:rPr>
          <w:t>10.1002/adma.74840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机械发光（ML）材料因其自供电运行和实时应力映射能力而在视觉传感和结构监测方面展现出巨大潜力。然而，复杂高纵横比3D ML几何结构的制造仍然具有挑战性，主要受限于直写式打印中不良的流变学控制以及传统脱模的有限适应性。本文提出了一种基于牺牲模具的间接3D打印策略，以制备具有卓越结构保真度的复杂ZnS:Cu/聚二甲基硅氧烷（PDMS）结构。通过集成数字图像相关（DIC）技术，成功建立了应变场与ML强度场之间的定量关联。此外，设计了一种填充硅酮的3D负泊松比ML结构（NPR‐ML/PDMS）以适用于复杂服役场景，实现了冲击防护与实时可视化冲击感知的协同集成。NPR‐ML/PDMS将峰值冲击力降低了60%，并将ML强度提高了89%，展示了其在智能防护系统中的潜力。最后，该牺牲模具方法被成功扩展到ZnS/CaZnOS:Mn</w:t>
      </w:r>
      <w:r>
        <w:rPr>
          <w:vertAlign w:val="subscript"/>
        </w:rPr>
        <w:t>2</w:t>
      </w:r>
      <w:r>
        <w:t>+</w:t>
      </w:r>
      <w:r>
        <w:t xml:space="preserve"> </w:t>
      </w:r>
      <w:r>
        <w:t>/环氧树脂和CaZnOS:Pr, Li基复合体系，以在刚性承力结构中实现应力可视化，验证了其在各种聚合物基体中的广泛普适性。这项工作为其开发和应用提供了有价值的指导</w:t>
      </w:r>
    </w:p>
    <w:p>
      <w:pPr>
        <w:spacing w:before="0" w:after="200" w:lineRule="auto" w:line="276"/>
      </w:pPr>
      <w:r>
        <w:rPr>
          <w:b/>
        </w:rPr>
        <w:t xml:space="preserve">Abstract (EN): </w:t>
      </w:r>
      <w:r>
        <w:t>Mechanoluminescence (ML) materials exhibit significant potential for visual sensing and structural monitoring owing to their self‐powered operation and capability for real‐time stress mapping. However, the fabrication of complex and high‐aspect‐ratio 3D ML geometries remains challenging, primarily constrained by poor rheological control in direct ink writing and the limited adaptability of conventional demolding. Herein, this study proposes an indirect 3D printing strategy based on sacrificial molds to fabricate complex ZnS:Cu/polydimethylsiloxane (PDMS) structures with exceptional structural fidelity. By integrating digital image correlation (DIC) technology, a quantitative correlation between strain fields and ML intensity fields is successfully established. Furthermore, a 3D negative Poisson's ratio ML structure (NPR‐ML/PDMS) filled with silicone is designed for complex service scenarios, enabling the synergistic integration of impact protection and real‐time visualized impact sensing. NPR‐ML/PDMS reduces peak impact force by 60% and enhances ML intensity by 89%, demonstrating its potential for intelligent protective systems. Finally, this sacrificial mold method is successfully extended to ZnS/CaZnOS:Mn</w:t>
      </w:r>
      <w:r>
        <w:rPr>
          <w:vertAlign w:val="subscript"/>
        </w:rPr>
        <w:t>2</w:t>
      </w:r>
      <w:r>
        <w:t>+</w:t>
      </w:r>
      <w:r>
        <w:t xml:space="preserve"> </w:t>
      </w:r>
      <w:r>
        <w:t>/epoxy resin and CaZnOS:Pr, Li‐based composite systems to achieve stress visualization in rigid load‐bearing structures, validating its broad universality across various polymer matrices. This work provides valuable guidance for the development and application of complex, high‑performance ML structures in impact protection and visualization monitoring fields.</w:t>
      </w:r>
    </w:p>
    <w:p>
      <w:pPr>
        <w:spacing w:before="120" w:after="120"/>
      </w:pPr>
      <w:r>
        <w:rPr>
          <w:sz w:val="18"/>
        </w:rPr>
        <w:t>——————————————————————————————————————————————————————————————————————</w:t>
      </w:r>
    </w:p>
    <w:p>
      <w:pPr>
        <w:spacing w:before="160" w:after="40" w:line="240" w:lineRule="auto"/>
      </w:pPr>
      <w:r>
        <w:rPr>
          <w:b/>
        </w:rPr>
        <w:t xml:space="preserve">[179] </w:t>
      </w:r>
      <w:hyperlink r:id="rId747">
        <w:r>
          <w:rPr>
            <w:color w:val="1155CC"/>
            <w:u w:val="single"/>
          </w:rPr>
          <w:t>具有金属微扰配体内电荷转移态的Pd(II)-TADF配合物:用于高效红色OLED的发射体和敏化剂</w:t>
        </w:r>
      </w:hyperlink>
    </w:p>
    <w:p>
      <w:pPr>
        <w:spacing w:before="0" w:after="80"/>
      </w:pPr>
      <w:r>
        <w:rPr>
          <w:i/>
          <w:sz w:val="20"/>
        </w:rPr>
        <w:t>EN: Pd(II)‐TADF Complexes With Metal‐Perturbed Intraligand Charge Transfer State: Emitters and Sensitizers for High‐Efficiency Red OLEDs</w:t>
      </w:r>
    </w:p>
    <w:p>
      <w:pPr>
        <w:spacing w:before="0" w:after="120"/>
      </w:pPr>
      <w:r>
        <w:rPr>
          <w:b/>
        </w:rPr>
        <w:t xml:space="preserve">Source: </w:t>
      </w:r>
      <w:r>
        <w:t>Wiley: Advanced Materials: Table of Contents</w:t>
      </w:r>
      <w:r>
        <w:t xml:space="preserve">    </w:t>
      </w:r>
      <w:r>
        <w:rPr>
          <w:b/>
        </w:rPr>
        <w:t xml:space="preserve">Pub date: </w:t>
      </w:r>
      <w:r>
        <w:t>2026-08-29 04:04:28+00:00</w:t>
      </w:r>
      <w:r>
        <w:t xml:space="preserve">    </w:t>
      </w:r>
      <w:r>
        <w:rPr>
          <w:b/>
        </w:rPr>
        <w:t xml:space="preserve">DOI: </w:t>
      </w:r>
      <w:hyperlink r:id="rId748">
        <w:r>
          <w:rPr>
            <w:color w:val="1155CC"/>
            <w:u w:val="single"/>
          </w:rPr>
          <w:t>10.1002/adma.74823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微扰配体内电荷转移（MPICT）激发态已被证明是具有金属–给体–受体构型的热激活延迟荧光（TADF）配合物的一种可行设计策略。然而，此类配合物的结构–光物理相关性及其在有机发光二极管（OLED）中的应用仍 largely 未被探索。本文报道了一系列Pd(II)配合物（</w:t>
      </w:r>
      <w:r>
        <w:t xml:space="preserve"> </w:t>
      </w:r>
      <w:r>
        <w:t>Pd3</w:t>
      </w:r>
      <w:r>
        <w:t xml:space="preserve"> </w:t>
      </w:r>
      <w:r>
        <w:t>–</w:t>
      </w:r>
      <w:r>
        <w:t xml:space="preserve"> </w:t>
      </w:r>
      <w:r>
        <w:t>Pd6</w:t>
      </w:r>
      <w:r>
        <w:t xml:space="preserve"> </w:t>
      </w:r>
      <w:r>
        <w:t>），其具有带不同扭转角的二苯并[</w:t>
      </w:r>
      <w:r>
        <w:t xml:space="preserve"> </w:t>
      </w:r>
      <w:r>
        <w:t>a</w:t>
      </w:r>
      <w:r>
        <w:t xml:space="preserve"> </w:t>
      </w:r>
      <w:r>
        <w:t>,</w:t>
      </w:r>
      <w:r>
        <w:t xml:space="preserve"> </w:t>
      </w:r>
      <w:r>
        <w:t>c</w:t>
      </w:r>
      <w:r>
        <w:t xml:space="preserve"> </w:t>
      </w:r>
      <w:r>
        <w:t>]吩嗪（DBPZ）取代的咔唑基配体。最低单重态与三重态激发态之间的能隙可在0.05 eV至0.26 eV之间调控，这决定了发射机制和辐射衰减速率。配合物</w:t>
      </w:r>
      <w:r>
        <w:t xml:space="preserve"> </w:t>
      </w:r>
      <w:r>
        <w:t>Pd3</w:t>
      </w:r>
      <w:r>
        <w:t xml:space="preserve"> </w:t>
      </w:r>
      <w:r>
        <w:t>表现出强烈的红色TADF，光致发光量子产率为82%，寿命为1.13 µs。在底发射OLED中，</w:t>
      </w:r>
      <w:r>
        <w:t xml:space="preserve"> </w:t>
      </w:r>
      <w:r>
        <w:t>Pd3</w:t>
      </w:r>
      <w:r>
        <w:t xml:space="preserve"> </w:t>
      </w:r>
      <w:r>
        <w:t>产生峰值位于617 nm的红色电致发光，最大外量子效率（EQE</w:t>
      </w:r>
      <w:r>
        <w:t xml:space="preserve"> </w:t>
      </w:r>
      <w:r>
        <w:t>max</w:t>
      </w:r>
      <w:r>
        <w:t xml:space="preserve"> </w:t>
      </w:r>
      <w:r>
        <w:t>）为30.15%，且在1000 cd m</w:t>
      </w:r>
      <w:r>
        <w:t xml:space="preserve"> </w:t>
      </w:r>
      <w:r>
        <w:t>−2</w:t>
      </w:r>
      <w:r>
        <w:t xml:space="preserve"> </w:t>
      </w:r>
      <w:r>
        <w:t>下效率滚降仅为2.32%。在顶发射无ITO OLED中，</w:t>
      </w:r>
      <w:r>
        <w:t xml:space="preserve"> </w:t>
      </w:r>
      <w:r>
        <w:t>Pd3</w:t>
      </w:r>
      <w:r>
        <w:t xml:space="preserve"> </w:t>
      </w:r>
      <w:r>
        <w:t>表现出CIE</w:t>
      </w:r>
      <w:r>
        <w:t xml:space="preserve"> </w:t>
      </w:r>
      <w:r>
        <w:t>x</w:t>
      </w:r>
      <w:r>
        <w:t xml:space="preserve"> </w:t>
      </w:r>
      <w:r>
        <w:t>&gt; 0.68的纯红光发射和EQE</w:t>
      </w:r>
      <w:r>
        <w:t xml:space="preserve"> </w:t>
      </w:r>
      <w:r>
        <w:t>max</w:t>
      </w:r>
    </w:p>
    <w:p>
      <w:pPr>
        <w:spacing w:before="0" w:after="200" w:lineRule="auto" w:line="276"/>
      </w:pPr>
      <w:r>
        <w:rPr>
          <w:b/>
        </w:rPr>
        <w:t xml:space="preserve">Abstract (EN): </w:t>
      </w:r>
      <w:r>
        <w:t>The metal‐perturbed intraligand charge transfer (MPICT) excited state has proven to be a viable design strategy for thermally activated delayed fluorescence (TADF) complexes featuring a metal–donor–acceptor configuration. However, the structure‐photophysics correlation and the applications of such complexes for organic light‐emitting diodes (OLEDs) remain largely unexplored. Herein, we report a series of Pd(II) complexes (</w:t>
      </w:r>
      <w:r>
        <w:t xml:space="preserve"> </w:t>
      </w:r>
      <w:r>
        <w:t>Pd3</w:t>
      </w:r>
      <w:r>
        <w:t xml:space="preserve"> </w:t>
      </w:r>
      <w:r>
        <w:t>–</w:t>
      </w:r>
      <w:r>
        <w:t xml:space="preserve"> </w:t>
      </w:r>
      <w:r>
        <w:t>Pd6</w:t>
      </w:r>
      <w:r>
        <w:t xml:space="preserve"> </w:t>
      </w:r>
      <w:r>
        <w:t>) having dibenzo[</w:t>
      </w:r>
      <w:r>
        <w:t xml:space="preserve"> </w:t>
      </w:r>
      <w:r>
        <w:t>a</w:t>
      </w:r>
      <w:r>
        <w:t xml:space="preserve"> </w:t>
      </w:r>
      <w:r>
        <w:t>,</w:t>
      </w:r>
      <w:r>
        <w:t xml:space="preserve"> </w:t>
      </w:r>
      <w:r>
        <w:t>c</w:t>
      </w:r>
      <w:r>
        <w:t xml:space="preserve"> </w:t>
      </w:r>
      <w:r>
        <w:t>]phenazine (DBPZ)‐substituted carbazolyl ligands with varied torsion angles. The energy gap between the lowest singlet and triplet excited states is tuned from 0.05 eV to 0.26 eV, which governs the emission mechanism and radiative decay rate. Complex</w:t>
      </w:r>
      <w:r>
        <w:t xml:space="preserve"> </w:t>
      </w:r>
      <w:r>
        <w:t>Pd3</w:t>
      </w:r>
      <w:r>
        <w:t xml:space="preserve"> </w:t>
      </w:r>
      <w:r>
        <w:t>exhibits strong red TADF with a photoluminescence quantum yield of 82% and a lifetime of 1.13 µs. In bottom‐emitting OLEDs,</w:t>
      </w:r>
      <w:r>
        <w:t xml:space="preserve"> </w:t>
      </w:r>
      <w:r>
        <w:t>Pd3</w:t>
      </w:r>
      <w:r>
        <w:t xml:space="preserve"> </w:t>
      </w:r>
      <w:r>
        <w:t>affords red electroluminescence with a peak at 617 nm, a maximum external quantum efficiency (EQE</w:t>
      </w:r>
      <w:r>
        <w:t xml:space="preserve"> </w:t>
      </w:r>
      <w:r>
        <w:t>max</w:t>
      </w:r>
      <w:r>
        <w:t xml:space="preserve"> </w:t>
      </w:r>
      <w:r>
        <w:t>) of 30.15%, and a small efficiency roll‐off of 2.32% at 1000 cd m</w:t>
      </w:r>
      <w:r>
        <w:t xml:space="preserve"> </w:t>
      </w:r>
      <w:r>
        <w:t>−2</w:t>
      </w:r>
      <w:r>
        <w:t xml:space="preserve"> </w:t>
      </w:r>
      <w:r>
        <w:t>. In top‐emitting ITO‐free OLEDs,</w:t>
      </w:r>
      <w:r>
        <w:t xml:space="preserve"> </w:t>
      </w:r>
      <w:r>
        <w:t>Pd3</w:t>
      </w:r>
      <w:r>
        <w:t xml:space="preserve"> </w:t>
      </w:r>
      <w:r>
        <w:t>shows pure‐red emission with CIE</w:t>
      </w:r>
      <w:r>
        <w:t xml:space="preserve"> </w:t>
      </w:r>
      <w:r>
        <w:t>x</w:t>
      </w:r>
      <w:r>
        <w:t xml:space="preserve"> </w:t>
      </w:r>
      <w:r>
        <w:t>&amp;gt; 0.68 and an EQE</w:t>
      </w:r>
      <w:r>
        <w:t xml:space="preserve"> </w:t>
      </w:r>
      <w:r>
        <w:t>max</w:t>
      </w:r>
      <w:r>
        <w:t xml:space="preserve"> </w:t>
      </w:r>
      <w:r>
        <w:t>of 38.68%.</w:t>
      </w:r>
      <w:r>
        <w:t xml:space="preserve"> </w:t>
      </w:r>
      <w:r>
        <w:t>Pd3</w:t>
      </w:r>
      <w:r>
        <w:t xml:space="preserve"> </w:t>
      </w:r>
      <w:r>
        <w:t>is also demonstrated as an efficient sensitizer for a red‐emitting multi‐resonance emitter, enabling hyperfluorescence OLEDs with an EQE</w:t>
      </w:r>
      <w:r>
        <w:t xml:space="preserve"> </w:t>
      </w:r>
      <w:r>
        <w:t>max</w:t>
      </w:r>
      <w:r>
        <w:t xml:space="preserve"> </w:t>
      </w:r>
      <w:r>
        <w:t>of 27.06% and suppressed efficiency roll‐off. These results highlight the potential of MPICT‐type Pd(II) complexes for high‐performance OLED displays.</w:t>
      </w:r>
    </w:p>
    <w:p>
      <w:pPr>
        <w:spacing w:before="120" w:after="120"/>
      </w:pPr>
      <w:r>
        <w:rPr>
          <w:sz w:val="18"/>
        </w:rPr>
        <w:t>——————————————————————————————————————————————————————————————————————</w:t>
      </w:r>
    </w:p>
    <w:p>
      <w:pPr>
        <w:spacing w:before="160" w:after="40" w:line="240" w:lineRule="auto"/>
      </w:pPr>
      <w:r>
        <w:rPr>
          <w:b/>
        </w:rPr>
        <w:t xml:space="preserve">[180] </w:t>
      </w:r>
      <w:hyperlink r:id="rId749">
        <w:r>
          <w:rPr>
            <w:color w:val="1155CC"/>
            <w:u w:val="single"/>
          </w:rPr>
          <w:t>Ha L. Nguyen</w:t>
        </w:r>
      </w:hyperlink>
    </w:p>
    <w:p>
      <w:pPr>
        <w:spacing w:before="0" w:after="120"/>
      </w:pPr>
      <w:r>
        <w:rPr>
          <w:b/>
        </w:rPr>
        <w:t xml:space="preserve">Source: </w:t>
      </w:r>
      <w:r>
        <w:t>Wiley: Angewandte Chemie International Edition: Table of Contents</w:t>
      </w:r>
      <w:r>
        <w:t xml:space="preserve">    </w:t>
      </w:r>
      <w:r>
        <w:rPr>
          <w:b/>
        </w:rPr>
        <w:t xml:space="preserve">Pub date: </w:t>
      </w:r>
      <w:r>
        <w:t>2026-08-29 04:26:10+00:00</w:t>
      </w:r>
      <w:r>
        <w:t xml:space="preserve">    </w:t>
      </w:r>
      <w:r>
        <w:rPr>
          <w:b/>
        </w:rPr>
        <w:t xml:space="preserve">DOI: </w:t>
      </w:r>
      <w:hyperlink r:id="rId750">
        <w:r>
          <w:rPr>
            <w:color w:val="1155CC"/>
            <w:u w:val="single"/>
          </w:rPr>
          <w:t>10.1002/anie.7114284</w:t>
        </w:r>
      </w:hyperlink>
    </w:p>
    <w:p>
      <w:pPr>
        <w:spacing w:before="0" w:after="120"/>
      </w:pPr>
      <w:r>
        <w:rPr>
          <w:b/>
        </w:rPr>
        <w:t xml:space="preserve">Notes: </w:t>
      </w:r>
      <w:r>
        <w:t>abstract_source=pubmed</w:t>
      </w:r>
    </w:p>
    <w:p>
      <w:pPr>
        <w:spacing w:before="0" w:after="80" w:lineRule="auto" w:line="276"/>
      </w:pPr>
      <w:r>
        <w:rPr>
          <w:b/>
        </w:rPr>
        <w:t xml:space="preserve">摘要（ZH）: </w:t>
      </w:r>
      <w:r>
        <w:t>“我建议我的学生们不断追问自己‘为什么’，并在他们所做的每件事上追求卓越……我研究中最令人兴奋的事情是与学生分享我对科学的热情，并看着他们对自己的工作产生兴奋之情……”在Introducing… Profile中了解更多关于Ha L. Nguyen的信息。</w:t>
      </w:r>
    </w:p>
    <w:p>
      <w:pPr>
        <w:spacing w:before="0" w:after="200" w:lineRule="auto" w:line="276"/>
      </w:pPr>
      <w:r>
        <w:rPr>
          <w:b/>
        </w:rPr>
        <w:t xml:space="preserve">Abstract (EN): </w:t>
      </w:r>
      <w:r>
        <w:t>"I advise my students to keep asking themselves "why" and to strive for excellence in everything they do… The most exciting thing about my research is sharing my passion for science with students and watching them become excited about their own work…" Find out more about Ha L. Nguyen in his Introducing… Profile.</w:t>
      </w:r>
    </w:p>
    <w:p>
      <w:pPr>
        <w:spacing w:before="120" w:after="120"/>
      </w:pPr>
      <w:r>
        <w:rPr>
          <w:sz w:val="18"/>
        </w:rPr>
        <w:t>——————————————————————————————————————————————————————————————————————</w:t>
      </w:r>
    </w:p>
    <w:p>
      <w:pPr>
        <w:spacing w:before="160" w:after="40" w:line="240" w:lineRule="auto"/>
      </w:pPr>
      <w:r>
        <w:rPr>
          <w:b/>
        </w:rPr>
        <w:t xml:space="preserve">[181] </w:t>
      </w:r>
      <w:hyperlink r:id="rId751">
        <w:r>
          <w:rPr>
            <w:color w:val="1155CC"/>
            <w:u w:val="single"/>
          </w:rPr>
          <w:t>DogMask:一种用于条件性蛋白质偶联的基因编码开关</w:t>
        </w:r>
      </w:hyperlink>
    </w:p>
    <w:p>
      <w:pPr>
        <w:spacing w:before="0" w:after="80"/>
      </w:pPr>
      <w:r>
        <w:rPr>
          <w:i/>
          <w:sz w:val="20"/>
        </w:rPr>
        <w:t>EN: DogMask: A Genetically Encoded Switch for Conditional Protein Conjugation</w:t>
      </w:r>
    </w:p>
    <w:p>
      <w:pPr>
        <w:spacing w:before="0" w:after="120"/>
      </w:pPr>
      <w:r>
        <w:rPr>
          <w:b/>
        </w:rPr>
        <w:t xml:space="preserve">Source: </w:t>
      </w:r>
      <w:r>
        <w:t>Wiley: Angewandte Chemie International Edition: Table of Contents</w:t>
      </w:r>
      <w:r>
        <w:t xml:space="preserve">    </w:t>
      </w:r>
      <w:r>
        <w:rPr>
          <w:b/>
        </w:rPr>
        <w:t xml:space="preserve">Pub date: </w:t>
      </w:r>
      <w:r>
        <w:t>2026-08-29 04:27:18+00:00</w:t>
      </w:r>
      <w:r>
        <w:t xml:space="preserve">    </w:t>
      </w:r>
      <w:r>
        <w:rPr>
          <w:b/>
        </w:rPr>
        <w:t xml:space="preserve">DOI: </w:t>
      </w:r>
      <w:hyperlink r:id="rId752">
        <w:r>
          <w:rPr>
            <w:color w:val="1155CC"/>
            <w:u w:val="single"/>
          </w:rPr>
          <w:t>10.1002/anie.5004113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蛋白质偶联能够实现功能性蛋白质的模块化组装，但由于自发性反应，它在很大程度上与刺激响应平台不兼容。在此，我们提出DogMask，这是一个基因编码平台，通过用竞争性抑制剂掩蔽物自抑制一个自发性偶联平台DogCatcher，实现输入触发的蛋白质偶联。DogMask没有可检测的背景偶联，并且能响应不同输入快速激活——包括临床相关的蛋白酶以及实现70%切割效率的可光切割非标准氨基酸变体（超越先前基准）——这些特性实现了对转录、RNA编辑和酶重构的稳健胞内控制，相较于可诱导二聚化系统，其背景显著降低且响应增强。</w:t>
      </w:r>
    </w:p>
    <w:p>
      <w:pPr>
        <w:spacing w:before="0" w:after="200" w:lineRule="auto" w:line="276"/>
      </w:pPr>
      <w:r>
        <w:rPr>
          <w:b/>
        </w:rPr>
        <w:t xml:space="preserve">Abstract (EN): </w:t>
      </w:r>
      <w:r>
        <w:t>Protein conjugation enables the modular assembly of functional proteins but is largely incompatible with stimulus‐responsive platforms due to spontaneous reactivity. Here, we present DogMask, a genetically encoded platform that achieves input‐triggered protein conjugation by autoinhibiting a spontaneous conjugation platform, DogCatcher, with a competitive inhibitor mask. DogMask exhibits no detectable background conjugation and rapid activation in response to distinct inputs—including clinically relevant proteases and a photocleavable non‐standard amino acid variant achieving 70% cleavage efficiency, exceeding prior benchmarks—properties enabling robust intracellular control of transcription, RNA editing, and enzyme reconstitution, with both substantially reduced background and enhanced response relative to inducible dimerization systems.</w:t>
      </w:r>
    </w:p>
    <w:p>
      <w:pPr>
        <w:spacing w:before="120" w:after="120"/>
      </w:pPr>
      <w:r>
        <w:rPr>
          <w:sz w:val="18"/>
        </w:rPr>
        <w:t>——————————————————————————————————————————————————————————————————————</w:t>
      </w:r>
    </w:p>
    <w:p>
      <w:pPr>
        <w:spacing w:before="160" w:after="40" w:line="240" w:lineRule="auto"/>
      </w:pPr>
      <w:r>
        <w:rPr>
          <w:b/>
        </w:rPr>
        <w:t xml:space="preserve">[182] </w:t>
      </w:r>
      <w:hyperlink r:id="rId753">
        <w:r>
          <w:rPr>
            <w:color w:val="1155CC"/>
            <w:u w:val="single"/>
          </w:rPr>
          <w:t>通过脉冲电解与界面工程的时空耦合在乙二醇氧化中实现近乎统一的乙醛酸选择性</w:t>
        </w:r>
      </w:hyperlink>
    </w:p>
    <w:p>
      <w:pPr>
        <w:spacing w:before="0" w:after="80"/>
      </w:pPr>
      <w:r>
        <w:rPr>
          <w:i/>
          <w:sz w:val="20"/>
        </w:rPr>
        <w:t>EN: Achieving Near‐Unity Glyoxylate Selectivity in Ethylene Glycol Oxidation by Spatiotemporal Coupling of Pulsed Electrolysis and Interface Engineering</w:t>
      </w:r>
    </w:p>
    <w:p>
      <w:pPr>
        <w:spacing w:before="0" w:after="120"/>
      </w:pPr>
      <w:r>
        <w:rPr>
          <w:b/>
        </w:rPr>
        <w:t xml:space="preserve">Source: </w:t>
      </w:r>
      <w:r>
        <w:t>Wiley: Angewandte Chemie International Edition: Table of Contents</w:t>
      </w:r>
      <w:r>
        <w:t xml:space="preserve">    </w:t>
      </w:r>
      <w:r>
        <w:rPr>
          <w:b/>
        </w:rPr>
        <w:t xml:space="preserve">Pub date: </w:t>
      </w:r>
      <w:r>
        <w:t>2026-08-29 04:44:08+00:00</w:t>
      </w:r>
      <w:r>
        <w:t xml:space="preserve">    </w:t>
      </w:r>
      <w:r>
        <w:rPr>
          <w:b/>
        </w:rPr>
        <w:t xml:space="preserve">DOI: </w:t>
      </w:r>
      <w:hyperlink r:id="rId754">
        <w:r>
          <w:rPr>
            <w:color w:val="1155CC"/>
            <w:u w:val="single"/>
          </w:rPr>
          <w:t>10.1002/anie.3451661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级联反应由于传统稳态电解中固有的不可控连续转化，对高价值中间体的选择性欠佳。为了超越一维控制的内在局限，我们提出了一种用于精密电催化的时空协同策略。在该框架中，时间维度由脉冲电解控制，促进目标中间体的节律性生成和快速释放。同时，空间维度通过分子位阻修饰剂（</w:t>
      </w:r>
      <w:r>
        <w:t xml:space="preserve"> </w:t>
      </w:r>
      <w:r>
        <w:t>p</w:t>
      </w:r>
      <w:r>
        <w:t xml:space="preserve"> </w:t>
      </w:r>
      <w:r>
        <w:t>‐甲苯胺）来设计，创建持久的疏水界面，有效抑制有害的水合驱动的过度氧化路径。协同地，这种双维度调控实现了前所未有的精度，乙醛酸选择性从25.5%跃升至&gt;99.0%。这项工作展示了在复杂反应网络中用于精密电催化的一种有前景且可迁移的设计原则。这种时空解耦策略——整合用于中间体释放的时间脉冲电解和用于抑制过度消耗的空间界面工程——在此以乙二醇氧化为例进行了演示，并为解决其他电催化体系中的类似选择性挑战提供了合理依据。</w:t>
      </w:r>
    </w:p>
    <w:p>
      <w:pPr>
        <w:spacing w:before="0" w:after="200" w:lineRule="auto" w:line="276"/>
      </w:pPr>
      <w:r>
        <w:rPr>
          <w:b/>
        </w:rPr>
        <w:t xml:space="preserve">Abstract (EN): </w:t>
      </w:r>
      <w:r>
        <w:t>Electrochemical cascade reactions suffer from suboptimal selectivity toward high‐value intermediates due to the uncontrollable sequential conversion inherent in conventional steady‐state electrolysis. To transcend the intrinsic limitations of one‐dimensional control, we propose a spatiotemporal synergy strategy for precision electrocatalysis. In this framework, the temporal dimension is governed by pulsed electrolysis, facilitating the rhythmic generation and rapid liberation of target intermediates. Simultaneously, the spatial dimension is engineered via molecular steric modifiers (</w:t>
      </w:r>
      <w:r>
        <w:t xml:space="preserve"> </w:t>
      </w:r>
      <w:r>
        <w:t>p</w:t>
      </w:r>
      <w:r>
        <w:t xml:space="preserve"> </w:t>
      </w:r>
      <w:r>
        <w:t>‐toluidine) to create a persistent hydrophobic interface that effectively suppresses deleterious hydration‐driven overoxidation pathways. Synergistically, this dual‐dimensional orchestration achieves unprecedented precision, as evidenced by a dramatic leap in glyoxylate selectivity from 25.5% to &amp;gt;99.0%. This work demonstrates a promising and transferable design principle for precision electrocatalysis in complex reaction networks. The spatiotemporal decoupling strategy, integrating temporal pulsed electrolysis for intermediate release and spatial interface engineering for overconsumption suppression, is demonstrated here for ethylene glycol oxidation and provides a rational basis for addressing similar selectivity challenges in other electrocatalytic systems.</w:t>
      </w:r>
    </w:p>
    <w:p>
      <w:pPr>
        <w:spacing w:before="120" w:after="120"/>
      </w:pPr>
      <w:r>
        <w:rPr>
          <w:sz w:val="18"/>
        </w:rPr>
        <w:t>——————————————————————————————————————————————————————————————————————</w:t>
      </w:r>
    </w:p>
    <w:p>
      <w:pPr>
        <w:spacing w:before="160" w:after="40" w:line="240" w:lineRule="auto"/>
      </w:pPr>
      <w:r>
        <w:rPr>
          <w:b/>
        </w:rPr>
        <w:t xml:space="preserve">[183] </w:t>
      </w:r>
      <w:hyperlink r:id="rId755">
        <w:r>
          <w:rPr>
            <w:color w:val="1155CC"/>
            <w:u w:val="single"/>
          </w:rPr>
          <w:t>由具有自报告功能的分子马达定制的神经工程用于神经元激活与抑郁治疗</w:t>
        </w:r>
      </w:hyperlink>
    </w:p>
    <w:p>
      <w:pPr>
        <w:spacing w:before="0" w:after="80"/>
      </w:pPr>
      <w:r>
        <w:rPr>
          <w:i/>
          <w:sz w:val="20"/>
        </w:rPr>
        <w:t>EN: Neural Engineering Tailored by Molecular Motors With Self‐Reporting for Neuron Activation and Depression Treatment</w:t>
      </w:r>
    </w:p>
    <w:p>
      <w:pPr>
        <w:spacing w:before="0" w:after="120"/>
      </w:pPr>
      <w:r>
        <w:rPr>
          <w:b/>
        </w:rPr>
        <w:t xml:space="preserve">Source: </w:t>
      </w:r>
      <w:r>
        <w:t>Wiley: Angewandte Chemie International Edition: Table of Contents</w:t>
      </w:r>
      <w:r>
        <w:t xml:space="preserve">    </w:t>
      </w:r>
      <w:r>
        <w:rPr>
          <w:b/>
        </w:rPr>
        <w:t xml:space="preserve">Pub date: </w:t>
      </w:r>
      <w:r>
        <w:t>2026-08-29 04:47:03+00:00</w:t>
      </w:r>
      <w:r>
        <w:t xml:space="preserve">    </w:t>
      </w:r>
      <w:r>
        <w:rPr>
          <w:b/>
        </w:rPr>
        <w:t xml:space="preserve">DOI: </w:t>
      </w:r>
      <w:hyperlink r:id="rId756">
        <w:r>
          <w:rPr>
            <w:color w:val="1155CC"/>
            <w:u w:val="single"/>
          </w:rPr>
          <w:t>10.1002/anie.2883647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神经元行为机械调节的发现为理解神经系统功能和推进神经工程提供了全新视角。一个关键挑战在于实现对神经元的精确机械控制，同时实时监测其活动。在此，我们设计了一种具有自报告能力的新型分子机器MM-VSD1，能够稳定锚定于质膜中。这一集成分子工具包含一个光驱动的旋转分子马达（MM），可向神经元膜传递局域机械力。同时， tethered近红外电压敏感染料（VSD1）模块以毫秒级时间和亚细胞空间分辨率提供膜电位变化的实时荧光反馈。利用这种双功能分子装置，我们证明MM-VSD1能有效激活海马神经元中的机械敏感性TRPV1离子通道，引发钙内流和动作电位（AP）发放。MM-VSD1诱导的这种机械调制具有持久性，并可在体内诱导长达一周，为MM-VSD1缓解小鼠抑郁样行为提供了可能。通过将机械操控与高时空分辨率的功能读出相结合，我们的工作为基于机械的神经疾病治疗干预开辟了一条途径。</w:t>
      </w:r>
    </w:p>
    <w:p>
      <w:pPr>
        <w:spacing w:before="0" w:after="200" w:lineRule="auto" w:line="276"/>
      </w:pPr>
      <w:r>
        <w:rPr>
          <w:b/>
        </w:rPr>
        <w:t xml:space="preserve">Abstract (EN): </w:t>
      </w:r>
      <w:r>
        <w:t>The discovery of mechanical regulation to neuronal behavior offers a novel perspective for understanding nervous system function and advancing neural engineering. A key challenge lies in achieving precise mechanical control of neurons while simultaneously monitoring their activity in real time. Here, we engineered a novel molecular machine equipped with self‐reporting capability, MM‐VSD1, enabling stable anchoring into the plasma membrane. This integrated molecular tool comprises a light‐driven rotary molecular motor (MM), which delivers localized mechanical force to neuronal membranes. Concurrently, a tethered near‐infrared voltage‐sensitive dye (VSD1) module provides real‐time fluorescent feedback on changes in membrane potentials with millisecond temporal and subcellular spatial resolution. Utilizing this bifunctional molecular device, we demonstrate that MM‐VSD1 effectively activates mechanosensitive TRPV1 ion channels in hippocampal neurons, triggering calcium influx and action potential (AP) firing. This mechanical modulation induced by MM‐VSD1 is persistent and can be evoked in vivo up to one week, providing the potential of MM‐VSD1 for alleviating depression‐like behaviors in mice. By bridging mechanical manipulation with functional readouts at high spatiotemporal resolution, our work opens an avenue for mechano‐based therapeutic interventions in neurological disorders.</w:t>
      </w:r>
    </w:p>
    <w:p>
      <w:pPr>
        <w:spacing w:before="120" w:after="120"/>
      </w:pPr>
      <w:r>
        <w:rPr>
          <w:sz w:val="18"/>
        </w:rPr>
        <w:t>——————————————————————————————————————————————————————————————————————</w:t>
      </w:r>
    </w:p>
    <w:p>
      <w:pPr>
        <w:spacing w:before="160" w:after="40" w:line="240" w:lineRule="auto"/>
      </w:pPr>
      <w:r>
        <w:rPr>
          <w:b/>
        </w:rPr>
        <w:t xml:space="preserve">[184] </w:t>
      </w:r>
      <w:hyperlink r:id="rId757">
        <w:r>
          <w:rPr>
            <w:color w:val="1155CC"/>
            <w:u w:val="single"/>
          </w:rPr>
          <w:t>用于功能导向离电极电合成的多孔固体电解质反应器</w:t>
        </w:r>
      </w:hyperlink>
    </w:p>
    <w:p>
      <w:pPr>
        <w:spacing w:before="0" w:after="80"/>
      </w:pPr>
      <w:r>
        <w:rPr>
          <w:i/>
          <w:sz w:val="20"/>
        </w:rPr>
        <w:t>EN: Porous Solid Electrolyte Reactors for Function‐Oriented Off‐Electrode Electrosynthesis</w:t>
      </w:r>
    </w:p>
    <w:p>
      <w:pPr>
        <w:spacing w:before="0" w:after="120"/>
      </w:pPr>
      <w:r>
        <w:rPr>
          <w:b/>
        </w:rPr>
        <w:t xml:space="preserve">Source: </w:t>
      </w:r>
      <w:r>
        <w:t>Wiley: Angewandte Chemie International Edition: Table of Contents</w:t>
      </w:r>
      <w:r>
        <w:t xml:space="preserve">    </w:t>
      </w:r>
      <w:r>
        <w:rPr>
          <w:b/>
        </w:rPr>
        <w:t xml:space="preserve">Pub date: </w:t>
      </w:r>
      <w:r>
        <w:t>2026-08-29 04:48:44+00:00</w:t>
      </w:r>
      <w:r>
        <w:t xml:space="preserve">    </w:t>
      </w:r>
      <w:r>
        <w:rPr>
          <w:b/>
        </w:rPr>
        <w:t xml:space="preserve">DOI: </w:t>
      </w:r>
      <w:hyperlink r:id="rId758">
        <w:r>
          <w:rPr>
            <w:color w:val="1155CC"/>
            <w:u w:val="single"/>
          </w:rPr>
          <w:t>10.1002/anie.5622879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当与可再生电力耦合时，电合成提供了一条有吸引力的可持续化学制造路线。随着电合成能力向高纯度产品推进，反应产物邻近于发生反应的电极表面这一传统特征日益成为限制因素。此外，反应性物种的形成和传输被限制在同一腔室中，导致产物被电解质污染。多孔固体电解质（PSE）反应器通过在阴极和阳极之间引入额外的离子导电中间层来解决这一空间限制，为产物的形成和运输提供了 versatile的离电极空间。在此，我们将PSE反应器定位为面向功能的离电极电合成平台，其中PSE中间层作为功能反应空间，可实现离子重组、反应环境调控以及反应性中间体的改进管理。通过关联底层离子物种传输机制和反应器设计原则，我们建立了一个结构-传输-功能框架，以理解PSE反应器如何将电合成扩展到电极表面限制之外，并指导可规模化电合成反应器作为现场化学制造平台的合理设计。</w:t>
      </w:r>
    </w:p>
    <w:p>
      <w:pPr>
        <w:spacing w:before="0" w:after="200" w:lineRule="auto" w:line="276"/>
      </w:pPr>
      <w:r>
        <w:rPr>
          <w:b/>
        </w:rPr>
        <w:t xml:space="preserve">Abstract (EN): </w:t>
      </w:r>
      <w:r>
        <w:t>Electrosynthesis offers an attractive route to sustainable chemical manufacturing when coupled with renewable electricity. As electrosynthesis capability advances towards high‐purity products, the traditional proximity of reaction products to the electrode surface, where the reaction happens, increasingly becomes a limiting factor. In addition, the formation and transport of reactive species are confined in the same chamber, resulting in electrolyte contamination of the product. Porous solid electrolyte (PSE) reactors address this spatial constraint by introducing an additional ion‐conductive middle layer between the cathode and anode, enabling a versatile off‐electrode space for product formation and transportation. Here, we frame PSE reactors as function‐oriented platforms for off‐electrode electrosynthesis, in which the PSE middle layer serves as a functional reaction space that enables ionic recombination, reaction‐environment regulation, and improved management of reactive intermediates. By linking the underlying ionic‐species transport mechanisms and reactor design principles, we establish a structure‐transport‐function framework for understanding how PSE reactors extend electrosynthesis beyond the electrode surface confinement and guide the rational design of scalable electrosynthesis reactors as on‐site chemical manufacturing platforms.</w:t>
      </w:r>
    </w:p>
    <w:p>
      <w:pPr>
        <w:spacing w:before="120" w:after="120"/>
      </w:pPr>
      <w:r>
        <w:rPr>
          <w:sz w:val="18"/>
        </w:rPr>
        <w:t>——————————————————————————————————————————————————————————————————————</w:t>
      </w:r>
    </w:p>
    <w:p>
      <w:pPr>
        <w:spacing w:before="160" w:after="40" w:line="240" w:lineRule="auto"/>
      </w:pPr>
      <w:r>
        <w:rPr>
          <w:b/>
        </w:rPr>
        <w:t xml:space="preserve">[185] </w:t>
      </w:r>
      <w:hyperlink r:id="rId759">
        <w:r>
          <w:rPr>
            <w:color w:val="1155CC"/>
            <w:u w:val="single"/>
          </w:rPr>
          <w:t>芳香族单铵的奇偶烷基链效应 对Ruddlesden–Popper二维钙钛矿层间结构与稳定性的影响</w:t>
        </w:r>
      </w:hyperlink>
    </w:p>
    <w:p>
      <w:pPr>
        <w:spacing w:before="0" w:after="80"/>
      </w:pPr>
      <w:r>
        <w:rPr>
          <w:i/>
          <w:sz w:val="20"/>
        </w:rPr>
        <w:t>EN: Odd‐Even Alkyl Chain Effect of Aromatic Monoammoniums on the Interlayer Architecture and Stability of Ruddlesden–Popper 2D Perovskites</w:t>
      </w:r>
    </w:p>
    <w:p>
      <w:pPr>
        <w:spacing w:before="0" w:after="120"/>
      </w:pPr>
      <w:r>
        <w:rPr>
          <w:b/>
        </w:rPr>
        <w:t xml:space="preserve">Source: </w:t>
      </w:r>
      <w:r>
        <w:t>Wiley: Angewandte Chemie International Edition: Table of Contents</w:t>
      </w:r>
      <w:r>
        <w:t xml:space="preserve">    </w:t>
      </w:r>
      <w:r>
        <w:rPr>
          <w:b/>
        </w:rPr>
        <w:t xml:space="preserve">Pub date: </w:t>
      </w:r>
      <w:r>
        <w:t>2026-08-29 04:53:42+00:00</w:t>
      </w:r>
      <w:r>
        <w:t xml:space="preserve">    </w:t>
      </w:r>
      <w:r>
        <w:rPr>
          <w:b/>
        </w:rPr>
        <w:t xml:space="preserve">DOI: </w:t>
      </w:r>
      <w:hyperlink r:id="rId760">
        <w:r>
          <w:rPr>
            <w:color w:val="1155CC"/>
            <w:u w:val="single"/>
          </w:rPr>
          <w:t>10.1002/anie.6772439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有机双层的Ruddlesden–Popper（RP）二维钙钛矿因其高稳定性和可调功能而在光电子学领域引起极大关注。然而，层间结构、芳香族阳离子的分子构型与由此产生的稳定性之间的关系仍知之甚少。本文中，我们系统研究了基于苯基烷基铵的RP二维钙钛矿，其有机阳离子具有不同的烷基链长度（─(CH2)mNH3+，m = 1–4）。我们发现奇数碳阳离子（m = 1, 3）优先形成具有互插有机阳离子的I型二维钙钛矿，这会引起显著的无机畸变和较低的八面体对称性（C1点群）。偶数碳阳离子（m = 2, 4）则倾向于形成具有明确层间间隙的II型二维钙钛矿，其中烷基铵基团发生旋转以优化与无机亚晶格的匹配，最大程度减少畸变并产生更高对称性的D2h八面体。此外，我们证明RP二维钙钛矿的本征结构稳定性主要由有机层内的π–π堆积决定，而薄膜的空气稳定性则由表面疏水性决定。II型薄膜表现出</w:t>
      </w:r>
    </w:p>
    <w:p>
      <w:pPr>
        <w:spacing w:before="0" w:after="200" w:lineRule="auto" w:line="276"/>
      </w:pPr>
      <w:r>
        <w:rPr>
          <w:b/>
        </w:rPr>
        <w:t xml:space="preserve">Abstract (EN): </w:t>
      </w:r>
      <w:r>
        <w:t>Ruddlesden–Popper (RP) 2D perovskites with organic bilayers attract great interest for optoelectronics owing to their high stability and tunable functionality. However, the relationship between the interlayer architecture, molecular configuration of aromatic cations, and resulting stability remains poorly understood. Herein, we systematically investigate phenyl alkylammonium‐based RP 2D perovskites with varying alkyl chain lengths (─(CH</w:t>
      </w:r>
      <w:r>
        <w:rPr>
          <w:vertAlign w:val="subscript"/>
        </w:rPr>
        <w:t>2</w:t>
      </w:r>
      <w:r>
        <w:t>)</w:t>
      </w:r>
      <w:r>
        <w:t xml:space="preserve"> </w:t>
      </w:r>
      <w:r>
        <w:t>m</w:t>
      </w:r>
      <w:r>
        <w:t xml:space="preserve"> </w:t>
      </w:r>
      <w:r>
        <w:t>NH</w:t>
      </w:r>
      <w:r>
        <w:rPr>
          <w:vertAlign w:val="subscript"/>
        </w:rPr>
        <w:t>3</w:t>
      </w:r>
      <w:r>
        <w:t>+</w:t>
      </w:r>
      <w:r>
        <w:t xml:space="preserve"> </w:t>
      </w:r>
      <w:r>
        <w:t>with m = 1–4) of organic cations. We find that odd‐carbon cations (m = 1, 3) preferentially form type‐I 2D perovskites featuring interdigitated organic cations, which induces substantial inorganic distortion and lower octahedral symmetry to the</w:t>
      </w:r>
      <w:r>
        <w:t xml:space="preserve"> </w:t>
      </w:r>
      <w:r>
        <w:t>C</w:t>
      </w:r>
      <w:r>
        <w:rPr>
          <w:vertAlign w:val="subscript"/>
        </w:rPr>
        <w:t>1</w:t>
      </w:r>
      <w:r>
        <w:t>point group. Even‐carbon cations (m = 2, 4) favor type‐II 2D perovskites with well‐defined interlayer gaps, wherein the alkylammonium groups rotate to optimize registry with the inorganic sublattice, minimizing distortion and yielding higher‐symmetry</w:t>
      </w:r>
      <w:r>
        <w:t xml:space="preserve"> </w:t>
      </w:r>
      <w:r>
        <w:t>D</w:t>
      </w:r>
      <w:r>
        <w:rPr>
          <w:vertAlign w:val="subscript"/>
        </w:rPr>
        <w:t>2</w:t>
      </w:r>
      <w:r>
        <w:t xml:space="preserve"> </w:t>
      </w:r>
      <w:r>
        <w:t>h</w:t>
      </w:r>
      <w:r>
        <w:t xml:space="preserve"> </w:t>
      </w:r>
      <w:r>
        <w:t>octahedra. Furthermore, we demonstrate that intrinsic structural stability of RP 2D perovskites is primarily governed by π–π packing within the organic layer, whereas air stability of the thin films is determined by surface hydrophobicity. The type‐II films exhibit higher hydrophobicity, conferring enhanced stability under ambient conditions compared to type‐I films. These findings establish odd‐even alkyl chain parity as a design principle for tailoring structurally diverse yet stable RP 2D perovskites.</w:t>
      </w:r>
    </w:p>
    <w:p>
      <w:pPr>
        <w:spacing w:before="120" w:after="120"/>
      </w:pPr>
      <w:r>
        <w:rPr>
          <w:sz w:val="18"/>
        </w:rPr>
        <w:t>——————————————————————————————————————————————————————————————————————</w:t>
      </w:r>
    </w:p>
    <w:p>
      <w:pPr>
        <w:spacing w:before="160" w:after="40" w:line="240" w:lineRule="auto"/>
      </w:pPr>
      <w:r>
        <w:rPr>
          <w:b/>
        </w:rPr>
        <w:t xml:space="preserve">[186] </w:t>
      </w:r>
      <w:hyperlink r:id="rId761">
        <w:r>
          <w:rPr>
            <w:color w:val="1155CC"/>
            <w:u w:val="single"/>
          </w:rPr>
          <w:t>打破表面:漂浮式金属-聚合物开孔混合点阵超材料</w:t>
        </w:r>
      </w:hyperlink>
    </w:p>
    <w:p>
      <w:pPr>
        <w:spacing w:before="0" w:after="80"/>
      </w:pPr>
      <w:r>
        <w:rPr>
          <w:i/>
          <w:sz w:val="20"/>
        </w:rPr>
        <w:t>EN: Breaking the Surface: Buoyant Metal–Polymer Open–Cell Hybrid Lattice Metamaterials</w:t>
      </w:r>
    </w:p>
    <w:p>
      <w:pPr>
        <w:spacing w:before="0" w:after="120"/>
      </w:pPr>
      <w:r>
        <w:rPr>
          <w:b/>
        </w:rPr>
        <w:t xml:space="preserve">Source: </w:t>
      </w:r>
      <w:r>
        <w:t>Wiley: Advanced Materials: Table of Contents</w:t>
      </w:r>
      <w:r>
        <w:t xml:space="preserve">    </w:t>
      </w:r>
      <w:r>
        <w:rPr>
          <w:b/>
        </w:rPr>
        <w:t xml:space="preserve">Pub date: </w:t>
      </w:r>
      <w:r>
        <w:t>2026-08-29 04:54:18+00:00</w:t>
      </w:r>
      <w:r>
        <w:t xml:space="preserve">    </w:t>
      </w:r>
      <w:r>
        <w:rPr>
          <w:b/>
        </w:rPr>
        <w:t xml:space="preserve">DOI: </w:t>
      </w:r>
      <w:hyperlink r:id="rId762">
        <w:r>
          <w:rPr>
            <w:color w:val="1155CC"/>
            <w:u w:val="single"/>
          </w:rPr>
          <w:t>10.1002/adma.74641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点阵超材料在生物医学、航空航天、国防和热工程领域展现了变革性潜力。然而，它们在漂浮海洋结构中的应用仍然难以实现，因为其开孔结构本质上无法漂浮，即使在密度低于水的密度时也是如此。在此，我们提出了首个可漂浮的金属-聚合物开孔杂化点阵超材料。该设计由新颖的骨架密度框架指导，该框架围绕一个排除外部可达孔隙率的、与环境无关的浮力参数构建。所得杂化结构将由激光粉末床熔融（PBF-LB）制备的Ti-6Al-4V空心支柱点阵（HSL）与注入每根支柱内部通道的可膨胀聚氨酯（PU）泡沫相结合。该结构在实现低于1.0 g/cm³的骨架密度的同时保留了外部开孔渗透性，从而实现可靠的浮力预测与控制。通过在天然海水中稳定漂浮的Ti-6Al-4V+PU杂化浮筒展示了其实际适用性。这种杂化结构比传统海洋材料（如高密度聚乙烯（HDPE）和316L不锈钢（SS316L））表现出更高的比强度。海水浸泡测试进一步证明了其耐腐蚀性和排水能力。有限元模拟阐明了断裂起始，并预测了与实验观察一致的失效模式。重要的是，这些杂化漂浮结构</w:t>
      </w:r>
    </w:p>
    <w:p>
      <w:pPr>
        <w:spacing w:before="0" w:after="200" w:lineRule="auto" w:line="276"/>
      </w:pPr>
      <w:r>
        <w:rPr>
          <w:b/>
        </w:rPr>
        <w:t xml:space="preserve">Abstract (EN): </w:t>
      </w:r>
      <w:r>
        <w:t>Metallic lattice metamaterials have demonstrated transformative potential across biomedical, aerospace, defense, and thermal engineering. Yet their application in buoyant marine structures has remained elusive, as their open‐cell architectures inherently prevent flotation, even at densities below that of water. Here, we present the first buoyant metal–polymer open‐cell hybrid lattice metamaterial. The design is guided by a novel skeletal density framework, built around an environment‐independent buoyancy parameter that excludes externally accessible porosity. The resulting hybrid architecture combines Ti‐6Al‐4V hollow‐strut lattices (HSLs)—fabricated by laser‐based powder bed fusion (PBF‐LB)—with expandable polyurethane (PU) foam injected into the internal channels of each strut. This architecture retains external open‐cell permeability while achieving skeletal densities below 1.0 g/cm</w:t>
      </w:r>
      <w:r>
        <w:rPr>
          <w:vertAlign w:val="subscript"/>
        </w:rPr>
        <w:t>3</w:t>
      </w:r>
      <w:r>
        <w:t>, enabling reliable buoyancy prediction and control. Real‐world applicability is demonstrated using a Ti‑6Al‑4V+PU hybrid buoy that floats stably in natural seawater. This hybrid architecture exhibits higher specific strength than conventional marine materials such as high‑density polyethylene (HDPE) and 316L stainless steel (SS316L). Seawater immersion tests further demonstrate corrosion resistance and water‑exclusion capability. Finite‑element simulations elucidate fracture initiation and predict failure modes consistent with experimental observations. Importantly, these hybrid buoyant architectures preserve flotation even after severe structural damage. This work introduces a new class of buoyant metamaterials and establishes skeletal density as a general design principle for open‑cell structures in targeted liquid media.</w:t>
      </w:r>
    </w:p>
    <w:p>
      <w:pPr>
        <w:spacing w:before="120" w:after="120"/>
      </w:pPr>
      <w:r>
        <w:rPr>
          <w:sz w:val="18"/>
        </w:rPr>
        <w:t>——————————————————————————————————————————————————————————————————————</w:t>
      </w:r>
    </w:p>
    <w:p>
      <w:pPr>
        <w:spacing w:before="160" w:after="40" w:line="240" w:lineRule="auto"/>
      </w:pPr>
      <w:r>
        <w:rPr>
          <w:b/>
        </w:rPr>
        <w:t xml:space="preserve">[187] </w:t>
      </w:r>
      <w:hyperlink r:id="rId763">
        <w:r>
          <w:rPr>
            <w:color w:val="1155CC"/>
            <w:u w:val="single"/>
          </w:rPr>
          <w:t>钛催化合成含有季碳中心的多取代戊二酰亚胺——范围、机理与生物活性研究</w:t>
        </w:r>
      </w:hyperlink>
    </w:p>
    <w:p>
      <w:pPr>
        <w:spacing w:before="0" w:after="80"/>
      </w:pPr>
      <w:r>
        <w:rPr>
          <w:i/>
          <w:sz w:val="20"/>
        </w:rPr>
        <w:t>EN: Titanium‐Catalyzed Synthesis of Multisubstituted Glutarimides Bearing Quaternary Carbon Centers‐Scope, Mechanism, and Bioactivity Studies</w:t>
      </w:r>
    </w:p>
    <w:p>
      <w:pPr>
        <w:spacing w:before="0" w:after="120"/>
      </w:pPr>
      <w:r>
        <w:rPr>
          <w:b/>
        </w:rPr>
        <w:t xml:space="preserve">Source: </w:t>
      </w:r>
      <w:r>
        <w:t>Wiley: Angewandte Chemie International Edition: Table of Contents</w:t>
      </w:r>
      <w:r>
        <w:t xml:space="preserve">    </w:t>
      </w:r>
      <w:r>
        <w:rPr>
          <w:b/>
        </w:rPr>
        <w:t xml:space="preserve">Pub date: </w:t>
      </w:r>
      <w:r>
        <w:t>2026-08-29 04:54:53+00:00</w:t>
      </w:r>
      <w:r>
        <w:t xml:space="preserve">    </w:t>
      </w:r>
      <w:r>
        <w:rPr>
          <w:b/>
        </w:rPr>
        <w:t xml:space="preserve">DOI: </w:t>
      </w:r>
      <w:hyperlink r:id="rId764">
        <w:r>
          <w:rPr>
            <w:color w:val="1155CC"/>
            <w:u w:val="single"/>
          </w:rPr>
          <w:t>10.1002/anie.6119479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戊二酰亚胺具有显著的药理活性。然而，针对多取代戊二酰亚胺的通用且简便的合成方法仍然稀缺，尤其是对于具有α, α-二取代结构以及在酰亚胺核心不同位点发生取代的类似物。在本工作中，我们开发了一种以储量丰富的钛为催化剂的α-叔代卤代酰胺与丙烯酸酯的自由基烷基化/环化级联反应。该转化为构建具有季碳中心和多功能化酰亚胺骨架的戊二酰亚胺提供了一条实用途径。N-未取代的戊二酰亚胺以及具有可调N-取代基的衍生物均可被便捷地获得，包括源自生物活性分子和药物骨架的类似物。此外，还利用HeLa和胶质母细胞瘤U87细胞系评估了这些新合成戊二酰亚胺的抗增殖活性。</w:t>
      </w:r>
    </w:p>
    <w:p>
      <w:pPr>
        <w:spacing w:before="0" w:after="200" w:lineRule="auto" w:line="276"/>
      </w:pPr>
      <w:r>
        <w:rPr>
          <w:b/>
        </w:rPr>
        <w:t xml:space="preserve">Abstract (EN): </w:t>
      </w:r>
      <w:r>
        <w:t>Glutarimides possess prominent pharmacological activities. Nevertheless, general and facile synthetic approaches toward multisubstituted glutarimides remain scarce, particularly for analogues with α, α‐disubstituted structures and substitutions at diverse sites of the imide core. In this work, we developed a radical alkylation/cyclization cascade of α‐tertiary haloamides and acrylates using earth‐abundant titanium as the catalyst. This transformation provides a practical route to glutarimides featuring quaternary carbon centers and multi‐functionalized imide skeletons. Both</w:t>
      </w:r>
      <w:r>
        <w:t xml:space="preserve"> </w:t>
      </w:r>
      <w:r>
        <w:t>N</w:t>
      </w:r>
      <w:r>
        <w:t xml:space="preserve"> </w:t>
      </w:r>
      <w:r>
        <w:t>‐unsubstituted glutarimides and derivatives with tunable</w:t>
      </w:r>
      <w:r>
        <w:t xml:space="preserve"> </w:t>
      </w:r>
      <w:r>
        <w:t>N</w:t>
      </w:r>
      <w:r>
        <w:t xml:space="preserve"> </w:t>
      </w:r>
      <w:r>
        <w:t>‐substituents can be readily accessed, including analogues derived from bioactive and pharmaceutical scaffolds. Furthermore, the antiproliferative potency of these newly synthesized glutarimides was assessed using HeLa and glioblastoma U87 cell lines.</w:t>
      </w:r>
    </w:p>
    <w:p>
      <w:pPr>
        <w:spacing w:before="120" w:after="120"/>
      </w:pPr>
      <w:r>
        <w:rPr>
          <w:sz w:val="18"/>
        </w:rPr>
        <w:t>——————————————————————————————————————————————————————————————————————</w:t>
      </w:r>
    </w:p>
    <w:p>
      <w:pPr>
        <w:spacing w:before="160" w:after="40" w:line="240" w:lineRule="auto"/>
      </w:pPr>
      <w:r>
        <w:rPr>
          <w:b/>
        </w:rPr>
        <w:t xml:space="preserve">[188] </w:t>
      </w:r>
      <w:hyperlink r:id="rId765">
        <w:r>
          <w:rPr>
            <w:color w:val="1155CC"/>
            <w:u w:val="single"/>
          </w:rPr>
          <w:t>ALDH抑制引发的 光催化破坏癌症干性可塑性</w:t>
        </w:r>
      </w:hyperlink>
    </w:p>
    <w:p>
      <w:pPr>
        <w:spacing w:before="0" w:after="80"/>
      </w:pPr>
      <w:r>
        <w:rPr>
          <w:i/>
          <w:sz w:val="20"/>
        </w:rPr>
        <w:t>EN: ALDH Inhibition‐Primed Photocatalysis Disrupts Cancer Stemness Plasticity</w:t>
      </w:r>
    </w:p>
    <w:p>
      <w:pPr>
        <w:spacing w:before="0" w:after="120"/>
      </w:pPr>
      <w:r>
        <w:rPr>
          <w:b/>
        </w:rPr>
        <w:t xml:space="preserve">Source: </w:t>
      </w:r>
      <w:r>
        <w:t>Wiley: Angewandte Chemie International Edition: Table of Contents</w:t>
      </w:r>
      <w:r>
        <w:t xml:space="preserve">    </w:t>
      </w:r>
      <w:r>
        <w:rPr>
          <w:b/>
        </w:rPr>
        <w:t xml:space="preserve">Pub date: </w:t>
      </w:r>
      <w:r>
        <w:t>2026-08-29 04:58:40+00:00</w:t>
      </w:r>
      <w:r>
        <w:t xml:space="preserve">    </w:t>
      </w:r>
      <w:r>
        <w:rPr>
          <w:b/>
        </w:rPr>
        <w:t xml:space="preserve">DOI: </w:t>
      </w:r>
      <w:hyperlink r:id="rId766">
        <w:r>
          <w:rPr>
            <w:color w:val="1155CC"/>
            <w:u w:val="single"/>
          </w:rPr>
          <w:t>10.1002/anie.5856873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驱动的光氧化还原催化可以通过氧化NADH来改变细胞内NADH/NAD⁺平衡，但细胞内NADH库可通过酶偶联的氧化还原代谢动态补充。我们表明，ALDH介导的NADH/NAD⁺平衡恢复可以缓冲光氧化还原诱导的NADH耗竭，这为将酶抑制与光氧化还原催化相耦合提供了设计依据。为了对抗这种氧化还原缓冲过程，我们提出了一种称为E-PC的酶-光催化联合策略，将ALDH抑制与NIR驱动的光催化NADH氧化整合于单一分子构建体中。通过可被ROS切割的硫缩醛连接体，将能够抑制ALDH的DEAB与近红外（NIR）活性的尼罗蓝硫化物衍生光催化剂（NBS）共价连接，构建了小分子偶联物DE-Et。在NIR照射下，DE-Et释放DEAB，同时通过单电子转移催化氧化细胞内NADH，从而削弱ALDH介导的氧化还原恢复并维持NADH/NAD⁺失衡。这种双重作用损害了线粒体ATP的产生，并激活caspase-3/GSDME依赖性的细胞焦亡。在富干性肿瘤模型中，DE-Et抑制了ALDH活性、克隆性生长、球体完整性以及体内肿瘤生长。局部光激活</w:t>
      </w:r>
    </w:p>
    <w:p>
      <w:pPr>
        <w:spacing w:before="0" w:after="200" w:lineRule="auto" w:line="276"/>
      </w:pPr>
      <w:r>
        <w:rPr>
          <w:b/>
        </w:rPr>
        <w:t xml:space="preserve">Abstract (EN): </w:t>
      </w:r>
      <w:r>
        <w:t>Light‐driven photoredox catalysis can shift intracellular NADH/NAD</w:t>
      </w:r>
      <w:r>
        <w:t xml:space="preserve"> </w:t>
      </w:r>
      <w:r>
        <w:t>+</w:t>
      </w:r>
      <w:r>
        <w:t xml:space="preserve"> </w:t>
      </w:r>
      <w:r>
        <w:t>balance by oxidizing NADH, but intracellular NADH pools are dynamically replenished through enzyme‐coupled redox metabolism. We show that ALDH‐mediated restoration of NADH/NAD</w:t>
      </w:r>
      <w:r>
        <w:t xml:space="preserve"> </w:t>
      </w:r>
      <w:r>
        <w:t>+</w:t>
      </w:r>
      <w:r>
        <w:t xml:space="preserve"> </w:t>
      </w:r>
      <w:r>
        <w:t>balance can buffer photoredox‐induced NADH depletion, providing a design rationale for coupling enzyme inhibition with photoredox catalysis. To counteract this redox‐buffering process, we introduce an enzymatic–photocatalytic strategy, termed E–PC, that integrates ALDH inhibition with NIR‐driven photocatalytic NADH oxidation within a single molecular construct. A small‐molecule conjugate,</w:t>
      </w:r>
      <w:r>
        <w:t xml:space="preserve"> </w:t>
      </w:r>
      <w:r>
        <w:t>DE‐Et</w:t>
      </w:r>
      <w:r>
        <w:t xml:space="preserve"> </w:t>
      </w:r>
      <w:r>
        <w:t>, was constructed by covalently linking DEAB, which can inhibit ALDH, to a near‐infrared (NIR)–active Nile Blue Sulfide–derived photocatalyst (NBS) through a ROS‐cleavable thioacetal linker. Upon NIR irradiation,</w:t>
      </w:r>
      <w:r>
        <w:t xml:space="preserve"> </w:t>
      </w:r>
      <w:r>
        <w:t>DE‐Et</w:t>
      </w:r>
      <w:r>
        <w:t xml:space="preserve"> </w:t>
      </w:r>
      <w:r>
        <w:t>releases DEAB while catalytically oxidizing intracellular NADH through single‐electron transfer, thereby attenuating ALDH‐mediated redox restoration and sustaining NADH/NAD</w:t>
      </w:r>
      <w:r>
        <w:t xml:space="preserve"> </w:t>
      </w:r>
      <w:r>
        <w:t>+</w:t>
      </w:r>
      <w:r>
        <w:t xml:space="preserve"> </w:t>
      </w:r>
      <w:r>
        <w:t>imbalance. This dual action compromises mitochondrial ATP production and activates caspase‐3/GSDME‐dependent pyroptosis. In stemness‐enriched tumor models,</w:t>
      </w:r>
      <w:r>
        <w:t xml:space="preserve"> </w:t>
      </w:r>
      <w:r>
        <w:t>DE‐Et</w:t>
      </w:r>
      <w:r>
        <w:t xml:space="preserve"> </w:t>
      </w:r>
      <w:r>
        <w:t>suppresses ALDH activity, clonogenic growth, spheroid integrity, and tumor growth in vivo. Local photoactivation further promotes systemic antitumor immune responses, consistent with immunogenic pyroptotic cell death. E–PC thus establishes a chemical strategy for light‐activated co‐delivery of photoredox catalysis and inhibition of a tumor‐overexpressed enzyme, converting an adaptive enzymatic buffer into a therapeutic vulnerability.</w:t>
      </w:r>
    </w:p>
    <w:p>
      <w:pPr>
        <w:spacing w:before="120" w:after="120"/>
      </w:pPr>
      <w:r>
        <w:rPr>
          <w:sz w:val="18"/>
        </w:rPr>
        <w:t>——————————————————————————————————————————————————————————————————————</w:t>
      </w:r>
    </w:p>
    <w:p>
      <w:pPr>
        <w:spacing w:before="160" w:after="40" w:line="240" w:lineRule="auto"/>
      </w:pPr>
      <w:r>
        <w:rPr>
          <w:b/>
        </w:rPr>
        <w:t xml:space="preserve">[189] </w:t>
      </w:r>
      <w:hyperlink r:id="rId767">
        <w:r>
          <w:rPr>
            <w:color w:val="1155CC"/>
            <w:u w:val="single"/>
          </w:rPr>
          <w:t>环丁烷β-氨基醇的模块化与立体选择性合成</w:t>
        </w:r>
      </w:hyperlink>
    </w:p>
    <w:p>
      <w:pPr>
        <w:spacing w:before="0" w:after="80"/>
      </w:pPr>
      <w:r>
        <w:rPr>
          <w:i/>
          <w:sz w:val="20"/>
        </w:rPr>
        <w:t>EN: Modular and Stereoselective Synthesis of Cyclobutane β‐Amino Alcohols</w:t>
      </w:r>
    </w:p>
    <w:p>
      <w:pPr>
        <w:spacing w:before="0" w:after="120"/>
      </w:pPr>
      <w:r>
        <w:rPr>
          <w:b/>
        </w:rPr>
        <w:t xml:space="preserve">Source: </w:t>
      </w:r>
      <w:r>
        <w:t>Wiley: Angewandte Chemie International Edition: Table of Contents</w:t>
      </w:r>
      <w:r>
        <w:t xml:space="preserve">    </w:t>
      </w:r>
      <w:r>
        <w:rPr>
          <w:b/>
        </w:rPr>
        <w:t xml:space="preserve">Pub date: </w:t>
      </w:r>
      <w:r>
        <w:t>2026-08-29 05:00:31+00:00</w:t>
      </w:r>
      <w:r>
        <w:t xml:space="preserve">    </w:t>
      </w:r>
      <w:r>
        <w:rPr>
          <w:b/>
        </w:rPr>
        <w:t xml:space="preserve">DOI: </w:t>
      </w:r>
      <w:hyperlink r:id="rId768">
        <w:r>
          <w:rPr>
            <w:color w:val="1155CC"/>
            <w:u w:val="single"/>
          </w:rPr>
          <w:t>10.1002/anie.1530338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环丁烷β-氨基醇是有价值的结构单元，但由于合成途径有限，其发展落后于五元和六元类似物。在本工作中，我们报道了一种用于合成多样化取代环丁烷β-氨基醇的通用模块化策略。利用1,2-氮硼啉的电子结构，在全部四个碳位置实现了区域选择性的单功能和双功能化。随后通过光异构化-加氢-氧化的串联序列将所引入的官能团转化为环丁烷β-氨基醇骨架。该策略以高度的模块化和非对映选择性提供了八种不同的取代模式。</w:t>
      </w:r>
    </w:p>
    <w:p>
      <w:pPr>
        <w:spacing w:before="0" w:after="200" w:lineRule="auto" w:line="276"/>
      </w:pPr>
      <w:r>
        <w:rPr>
          <w:b/>
        </w:rPr>
        <w:t xml:space="preserve">Abstract (EN): </w:t>
      </w:r>
      <w:r>
        <w:t>Cyclobutane</w:t>
      </w:r>
      <w:r>
        <w:t xml:space="preserve"> </w:t>
      </w:r>
      <w:r>
        <w:t>β</w:t>
      </w:r>
      <w:r>
        <w:t xml:space="preserve"> </w:t>
      </w:r>
      <w:r>
        <w:t>‐amino alcohols are valuable structural motifs, yet their development has lagged behind that of five‐ and six‐membered analogs due to limited synthetic accessibility. In this work, we report a general and modular strategy for the synthesis of diversely substituted cyclobutane</w:t>
      </w:r>
      <w:r>
        <w:t xml:space="preserve"> </w:t>
      </w:r>
      <w:r>
        <w:t>β</w:t>
      </w:r>
      <w:r>
        <w:t xml:space="preserve"> </w:t>
      </w:r>
      <w:r>
        <w:t>‐amino alcohols. The electronic structure of 1,2‐azaborines is leveraged to achieve regioselective mono‐ and difunctionalization at all four carbon positions. The installed functionalities are subsequently translated into cyclobutane</w:t>
      </w:r>
      <w:r>
        <w:t xml:space="preserve"> </w:t>
      </w:r>
      <w:r>
        <w:t>β</w:t>
      </w:r>
      <w:r>
        <w:t xml:space="preserve"> </w:t>
      </w:r>
      <w:r>
        <w:t>‐amino alcohol frameworks through a tandem photoisomerization–hydrogenation–oxidation sequence. This strategy provides access to eight distinct substitution patterns with high levels of modularity and diastereoselectivity.</w:t>
      </w:r>
    </w:p>
    <w:p>
      <w:pPr>
        <w:spacing w:before="120" w:after="120"/>
      </w:pPr>
      <w:r>
        <w:rPr>
          <w:sz w:val="18"/>
        </w:rPr>
        <w:t>——————————————————————————————————————————————————————————————————————</w:t>
      </w:r>
    </w:p>
    <w:p>
      <w:pPr>
        <w:spacing w:before="160" w:after="40" w:line="240" w:lineRule="auto"/>
      </w:pPr>
      <w:r>
        <w:rPr>
          <w:b/>
        </w:rPr>
        <w:t xml:space="preserve">[190] </w:t>
      </w:r>
      <w:hyperlink r:id="rId769">
        <w:r>
          <w:rPr>
            <w:color w:val="1155CC"/>
            <w:u w:val="single"/>
          </w:rPr>
          <w:t>正交光化学限域结晶实现机械坚固、可打印的形状可编程聚合物</w:t>
        </w:r>
      </w:hyperlink>
    </w:p>
    <w:p>
      <w:pPr>
        <w:spacing w:before="0" w:after="80"/>
      </w:pPr>
      <w:r>
        <w:rPr>
          <w:i/>
          <w:sz w:val="20"/>
        </w:rPr>
        <w:t>EN: Orthogonal Photochemistry‐Confined Crystallization Enables Mechanically Robust, Printable Shape‐Programmable Polymers</w:t>
      </w:r>
    </w:p>
    <w:p>
      <w:pPr>
        <w:spacing w:before="0" w:after="120"/>
      </w:pPr>
      <w:r>
        <w:rPr>
          <w:b/>
        </w:rPr>
        <w:t xml:space="preserve">Source: </w:t>
      </w:r>
      <w:r>
        <w:t>Wiley: Angewandte Chemie International Edition: Table of Contents</w:t>
      </w:r>
      <w:r>
        <w:t xml:space="preserve">    </w:t>
      </w:r>
      <w:r>
        <w:rPr>
          <w:b/>
        </w:rPr>
        <w:t xml:space="preserve">Pub date: </w:t>
      </w:r>
      <w:r>
        <w:t>2026-08-29 05:36:56+00:00</w:t>
      </w:r>
      <w:r>
        <w:t xml:space="preserve">    </w:t>
      </w:r>
      <w:r>
        <w:rPr>
          <w:b/>
        </w:rPr>
        <w:t xml:space="preserve">DOI: </w:t>
      </w:r>
      <w:hyperlink r:id="rId770">
        <w:r>
          <w:rPr>
            <w:color w:val="1155CC"/>
            <w:u w:val="single"/>
          </w:rPr>
          <w:t>10.1002/anie.7052006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形状可编程聚合物在软体机器人、微创医学和可展开结构领域具有广阔前景。然而，将高机械鲁棒性、多样化形状可编程性与优异的可打印性集成于单一材料体系中仍具挑战性。本文开发了一种正交光化学限制结晶策略，用于制备机械性能强韧、可打印的形状可编程聚合物。该方法利用合理设计的光化学过程同步且正交地触发自由基聚合与苯酚偶联，实现一步形成共价双网络，从而在溶剂蒸发过程中有效限制聚合物结晶。所得均匀、细化的晶区显著增强了拉伸性（1891%）和韧性（41 MJ m−3），相比缺乏网络限制的对应物分别提高达63倍和103倍，同时在1500次拉伸循环中保持抗疲劳性能。受限结晶与双网络限制的协同作用进一步赋予其形状重构和形状记忆变形能力，从而在热刺激下实现稳健的形状可编程性。此外，高效的光介导凝胶化与溶剂蒸发相结合，实现了与增材制造完全兼容的快速可控固化。基于这些能力，作为概念验证，所开发的聚合物被打印并组装</w:t>
      </w:r>
    </w:p>
    <w:p>
      <w:pPr>
        <w:spacing w:before="0" w:after="200" w:lineRule="auto" w:line="276"/>
      </w:pPr>
      <w:r>
        <w:rPr>
          <w:b/>
        </w:rPr>
        <w:t xml:space="preserve">Abstract (EN): </w:t>
      </w:r>
      <w:r>
        <w:t>Shape‐programmable polymers are promising for soft robotics, minimally invasive medicine, and deployable structures. However, integrating high mechanical robustness, versatile shape programmability, and excellent printability into a single material system remains challenging. Here, an orthogonal photochemistry‐confined crystallization strategy is developed to fabricate mechanically robust, printable shape‐programmable polymers. This approach utilizes a rationally designed photochemical process to trigger radical polymerization and phenol coupling synchronously yet orthogonally, enabling one‐step formation of a covalent double‐network that efficiently confines polymer crystallization during solvent evaporation. The resulting homogeneous, refined crystalline domains greatly enhance stretchability (1891%) and toughness (41 MJ m</w:t>
      </w:r>
      <w:r>
        <w:t xml:space="preserve"> </w:t>
      </w:r>
      <w:r>
        <w:t>−</w:t>
      </w:r>
      <w:r>
        <w:rPr>
          <w:vertAlign w:val="subscript"/>
        </w:rPr>
        <w:t>3</w:t>
      </w:r>
      <w:r>
        <w:t>) by up to 63‐ and 103‐fold, respectively, compared to counterparts lacking network confinement, while also maintaining fatigue resistance over 1500 stretching cycles. The synergy between confined crystallization and double‐network confinement further confers shape reconfiguration and shape‑memory morphing, affording robust shape programmability under thermal stimuli. Moreover, the efficient photo‑mediated gelation, coupled with solvent evaporation, enables rapid and controllable solidification fully compatible with additive manufacturing. Leveraging these capabilities, and as a proof‐of‐concept, the developed polymers are printed and assembled into bioinspired soft actuators capable of integrated active actuation and precise sensing. This work provides new insight into the photochemical design of high‐performance shape‐programmable polymers and advanced soft devices.</w:t>
      </w:r>
    </w:p>
    <w:p>
      <w:pPr>
        <w:spacing w:before="120" w:after="120"/>
      </w:pPr>
      <w:r>
        <w:rPr>
          <w:sz w:val="18"/>
        </w:rPr>
        <w:t>——————————————————————————————————————————————————————————————————————</w:t>
      </w:r>
    </w:p>
    <w:p>
      <w:pPr>
        <w:spacing w:before="160" w:after="40" w:line="240" w:lineRule="auto"/>
      </w:pPr>
      <w:r>
        <w:rPr>
          <w:b/>
        </w:rPr>
        <w:t xml:space="preserve">[191] </w:t>
      </w:r>
      <w:hyperlink r:id="rId771">
        <w:r>
          <w:rPr>
            <w:color w:val="1155CC"/>
            <w:u w:val="single"/>
          </w:rPr>
          <w:t>LOXL2对单链与三螺旋中赖氨酸的氧化：对胶原蛋白相关疾病的启示</w:t>
        </w:r>
      </w:hyperlink>
    </w:p>
    <w:p>
      <w:pPr>
        <w:spacing w:before="0" w:after="80"/>
      </w:pPr>
      <w:r>
        <w:rPr>
          <w:i/>
          <w:sz w:val="20"/>
        </w:rPr>
        <w:t>EN: Lysine Oxidation by LOXL2 in Single Strands Versus Triple Helices: Implications for Collagen‐Related Diseases</w:t>
      </w:r>
    </w:p>
    <w:p>
      <w:pPr>
        <w:spacing w:before="0" w:after="120"/>
      </w:pPr>
      <w:r>
        <w:rPr>
          <w:b/>
        </w:rPr>
        <w:t xml:space="preserve">Source: </w:t>
      </w:r>
      <w:r>
        <w:t>Wiley: Angewandte Chemie International Edition: Table of Contents</w:t>
      </w:r>
      <w:r>
        <w:t xml:space="preserve">    </w:t>
      </w:r>
      <w:r>
        <w:rPr>
          <w:b/>
        </w:rPr>
        <w:t xml:space="preserve">Pub date: </w:t>
      </w:r>
      <w:r>
        <w:t>2026-08-29 05:38:22+00:00</w:t>
      </w:r>
      <w:r>
        <w:t xml:space="preserve">    </w:t>
      </w:r>
      <w:r>
        <w:rPr>
          <w:b/>
        </w:rPr>
        <w:t xml:space="preserve">DOI: </w:t>
      </w:r>
      <w:hyperlink r:id="rId772">
        <w:r>
          <w:rPr>
            <w:color w:val="1155CC"/>
            <w:u w:val="single"/>
          </w:rPr>
          <w:t>10.1002/anie.1329257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胶原交联对细胞外基质的结构完整性至关重要。在多种病理条件下，胶原的三螺旋核心被破坏，出现富含脯氨酸的单链。赖氨酰氧化酶（LOXs）通过催化赖氨酸氧化脱氨为醛赖氨酸残基来启动交联，其在疾病中表达上调。然而，关于LOXs的选择性知之甚少。一般认为LOX启动的交联仅发生在胶原非结构化的末端结构域即端肽中。但事实果真如此吗？本文通过定制化学探针、酶学测定、CD和NMR光谱分析的组合，表明LOXL2可氧化富含脯氨酸单链中的Lys，但不能氧化三螺旋中的Lys。将含Lys的胶原模型肽（CMPs）与含Lys的端肽比较发现，富含脯氨酸区段中的氧化速率相当或更高。这些数据表明，LOXL2启动的交联发生在病理破坏的三螺旋结构域中，为异常的细胞外基质硬化提供了见解。</w:t>
      </w:r>
    </w:p>
    <w:p>
      <w:pPr>
        <w:spacing w:before="0" w:after="200" w:lineRule="auto" w:line="276"/>
      </w:pPr>
      <w:r>
        <w:rPr>
          <w:b/>
        </w:rPr>
        <w:t xml:space="preserve">Abstract (EN): </w:t>
      </w:r>
      <w:r>
        <w:t>Collagen cross‐linking is essential for the structural integrity of the extracellular matrix. In several pathological conditions, the triple‐helical core of collagen is disrupted, and proline‐rich single strands occur. Lysyl oxidases (LOXs), enzymes that initiate cross‐linking by catalyzing the oxidative deamination of lysine to allysine residues, are upregulated in disease. Surprisingly little is known about the selectivity of LOXs. LOX‐initiated cross‐linking is believed to occur exclusively in the unstructured terminal domains of collagen, the telopeptides. But is this really the case? Herein, we show, with a combination of tailored chemical probes, enzymatic assays, CD and NMR spectroscopic analyses, that LOXL2 oxidizes Lys in proline‐rich single strands but not in triple helices. A comparison of Lys‐containing collagen model peptides (CMPs) with Lys‐containing telopeptides revealed comparable or higher oxidation rates in proline‐rich segments. The data suggest that LOXL2‐initiated cross‐linking occurs in pathologically disrupted triple‐helical domains, offering insights into aberrant extracellular matrix stiffening.</w:t>
      </w:r>
    </w:p>
    <w:p>
      <w:pPr>
        <w:spacing w:before="120" w:after="120"/>
      </w:pPr>
      <w:r>
        <w:rPr>
          <w:sz w:val="18"/>
        </w:rPr>
        <w:t>——————————————————————————————————————————————————————————————————————</w:t>
      </w:r>
    </w:p>
    <w:p>
      <w:pPr>
        <w:spacing w:before="160" w:after="40" w:line="240" w:lineRule="auto"/>
      </w:pPr>
      <w:r>
        <w:rPr>
          <w:b/>
        </w:rPr>
        <w:t xml:space="preserve">[192] </w:t>
      </w:r>
      <w:hyperlink r:id="rId773">
        <w:r>
          <w:rPr>
            <w:color w:val="1155CC"/>
            <w:u w:val="single"/>
          </w:rPr>
          <w:t>通过腈捕获异苯并吡喃鎓中间体及CO到CN的切换合成异喹啉</w:t>
        </w:r>
      </w:hyperlink>
    </w:p>
    <w:p>
      <w:pPr>
        <w:spacing w:before="0" w:after="80"/>
      </w:pPr>
      <w:r>
        <w:rPr>
          <w:i/>
          <w:sz w:val="20"/>
        </w:rPr>
        <w:t>EN: Synthesis of Isoquinolines Through Isochromenylium Intermediates Captured by Nitriles and a CO‐to‐CN Switch</w:t>
      </w:r>
    </w:p>
    <w:p>
      <w:pPr>
        <w:spacing w:before="0" w:after="120"/>
      </w:pPr>
      <w:r>
        <w:rPr>
          <w:b/>
        </w:rPr>
        <w:t xml:space="preserve">Source: </w:t>
      </w:r>
      <w:r>
        <w:t>Wiley: Angewandte Chemie International Edition: Table of Contents</w:t>
      </w:r>
      <w:r>
        <w:t xml:space="preserve">    </w:t>
      </w:r>
      <w:r>
        <w:rPr>
          <w:b/>
        </w:rPr>
        <w:t xml:space="preserve">Pub date: </w:t>
      </w:r>
      <w:r>
        <w:t>2026-08-29 05:41:54+00:00</w:t>
      </w:r>
      <w:r>
        <w:t xml:space="preserve">    </w:t>
      </w:r>
      <w:r>
        <w:rPr>
          <w:b/>
        </w:rPr>
        <w:t xml:space="preserve">DOI: </w:t>
      </w:r>
      <w:hyperlink r:id="rId774">
        <w:r>
          <w:rPr>
            <w:color w:val="1155CC"/>
            <w:u w:val="single"/>
          </w:rPr>
          <w:t>10.1002/anie.5898322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异色满鎓离子已成为通过级联反应快速构建分子复杂性的多功能中间体。然而，尽管腈基结构和异喹啉骨架在生物活性分子和功能材料中普遍存在，其在与腈的催化环化形成异喹啉方面的应用仍鲜有探索。本文报道了一种催化级联策略，可从易得的底物高效合成异喹啉，包括对映体富集的变体。该反应包括邻炔基芳基醛的钯催化环化生成异色满鎓钯物种，其被铟促进的腈1,2-加成捕获。随后水辅助的开环生成Zincke型中间体，再经分子内缩合得到异喹啉产物。该级联过程在单一操作中实现了在中间阶段将羰基（CO）单元净转化为腈衍生的碳-氮（CN）连接。值得注意的是，使用丙二腈系链底物能够以高对映选择性合成对映体富集的异喹啉。机理研究表明，钯和铟在促进异色满鎓钯物种对腈的1,2-加成中发挥协同作用。该方法具有优异的原子经济性、良好的官能团耐受性和可扩展性，凸显了其在杂环</w:t>
      </w:r>
    </w:p>
    <w:p>
      <w:pPr>
        <w:spacing w:before="0" w:after="200" w:lineRule="auto" w:line="276"/>
      </w:pPr>
      <w:r>
        <w:rPr>
          <w:b/>
        </w:rPr>
        <w:t xml:space="preserve">Abstract (EN): </w:t>
      </w:r>
      <w:r>
        <w:t>Isochromenylium ions have emerged as versatile intermediates for the rapid construction of molecular complexity through cascade reactions. However, their application in catalytic annulation processes with nitriles to form isoquinolines remains largely unexplored, despite the prevalence of nitrile motifs and isoquinoline frameworks in bioactive molecules and functional materials. Here we report a catalytic cascade strategy for the efficient synthesis of isoquinolines, including enantioenriched variants, from readily available substrates. The reaction includes palladium‐catalyzed cyclization of</w:t>
      </w:r>
      <w:r>
        <w:t xml:space="preserve"> </w:t>
      </w:r>
      <w:r>
        <w:t>ortho‐</w:t>
      </w:r>
      <w:r>
        <w:t xml:space="preserve"> </w:t>
      </w:r>
      <w:r>
        <w:t>alkynylaryl aldehydes to generate an isochromenylium palladium species, which is captured by indium‐promoted 1,2‐addition of nitriles. Subsequent water‐assisted ring opening furnishes a Zincke‐type intermediate, followed by intramolecular condensation to deliver the isoquinoline products. This cascade process achieves a net conversion of a carbonyl (CO) unit into a nitrile‐derived carbon‐nitrogen (CN) linkage at an intermediate‐stage in a single operation. Notably, the use of malononitrile‐tethered substrates enables the synthesis of enantioenriched isoquinolines with high enantioselectivity. Mechanistic studies indicate a cooperative role of palladium and indium in promoting the 1,2‐addition of isochromenylium palladium species to the nitrile. The method exhibits excellent atom economy, good functional group tolerance, and scalability, highlighting its potential application for heterocycle synthesis.</w:t>
      </w:r>
    </w:p>
    <w:p>
      <w:pPr>
        <w:spacing w:before="120" w:after="120"/>
      </w:pPr>
      <w:r>
        <w:rPr>
          <w:sz w:val="18"/>
        </w:rPr>
        <w:t>——————————————————————————————————————————————————————————————————————</w:t>
      </w:r>
    </w:p>
    <w:p>
      <w:pPr>
        <w:spacing w:before="160" w:after="40" w:line="240" w:lineRule="auto"/>
      </w:pPr>
      <w:r>
        <w:rPr>
          <w:b/>
        </w:rPr>
        <w:t xml:space="preserve">[193] </w:t>
      </w:r>
      <w:hyperlink r:id="rId775">
        <w:r>
          <w:rPr>
            <w:color w:val="1155CC"/>
            <w:u w:val="single"/>
          </w:rPr>
          <w:t>具有TADF活性的四唑发光体用于纳米粒子与表面的可见光功能化</w:t>
        </w:r>
      </w:hyperlink>
    </w:p>
    <w:p>
      <w:pPr>
        <w:spacing w:before="0" w:after="80"/>
      </w:pPr>
      <w:r>
        <w:rPr>
          <w:i/>
          <w:sz w:val="20"/>
        </w:rPr>
        <w:t>EN: TADF‐Active Tetrazole Luminophores for Visible‐Light Functionalization of Nanoparticles and Surfaces</w:t>
      </w:r>
    </w:p>
    <w:p>
      <w:pPr>
        <w:spacing w:before="0" w:after="120"/>
      </w:pPr>
      <w:r>
        <w:rPr>
          <w:b/>
        </w:rPr>
        <w:t xml:space="preserve">Source: </w:t>
      </w:r>
      <w:r>
        <w:t>Wiley: Angewandte Chemie International Edition: Table of Contents</w:t>
      </w:r>
      <w:r>
        <w:t xml:space="preserve">    </w:t>
      </w:r>
      <w:r>
        <w:rPr>
          <w:b/>
        </w:rPr>
        <w:t xml:space="preserve">Pub date: </w:t>
      </w:r>
      <w:r>
        <w:t>2026-08-29 05:42:34+00:00</w:t>
      </w:r>
      <w:r>
        <w:t xml:space="preserve">    </w:t>
      </w:r>
      <w:r>
        <w:rPr>
          <w:b/>
        </w:rPr>
        <w:t xml:space="preserve">DOI: </w:t>
      </w:r>
      <w:hyperlink r:id="rId776">
        <w:r>
          <w:rPr>
            <w:color w:val="1155CC"/>
            <w:u w:val="single"/>
          </w:rPr>
          <w:t>10.1002/anie.9410589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热激活延迟荧光（TADF）材料已在显示、生物成像和光催化等技术领域得到广泛应用。与此同时，四氮唑已成为光激活、生物正交连接的强大“点击”试剂，但在具有延迟发射寿命的试剂中仍未被探索。本文报道了具有光化学反应活性的TADF活性四氮唑发光体的设计与合成，用于纳米颗粒和表面的快速功能化。富电子的吩噁嗪给体与缺电子的四氮唑受体相结合，获得了具有明亮发射和可调TADF寿命的发光体，其性质由1,3-偶极环加成伙伴决定。与烯烃亲偶极体的环加成生成饱和的二氢吡唑，其经光诱导有氧芳构化生成表现出显著开启型TADF行为的吡唑产物。利用其电荷转移特性，我们还展示了经TADF发光体修饰的金表面，并提出了首个可逆可见光诱导表面吸附的实例。此外，我们展示了使用TADF活性材料对有机纳米颗粒进行表面功能化。这项工作引入了一类将光化学反应活性与TADF性质相结合的功能材料，为利用TADF材料进行表面功能化构建了一个光驱动平台。</w:t>
      </w:r>
    </w:p>
    <w:p>
      <w:pPr>
        <w:spacing w:before="0" w:after="200" w:lineRule="auto" w:line="276"/>
      </w:pPr>
      <w:r>
        <w:rPr>
          <w:b/>
        </w:rPr>
        <w:t xml:space="preserve">Abstract (EN): </w:t>
      </w:r>
      <w:r>
        <w:t>Thermally activated delayed fluorescence (TADF) materials have found broad use in technologies spanning displays, bioimaging, and photocatalysis. In parallel, tetrazoles have become powerful “click” reagents for light‐activated, bioorthogonal ligations, yet remain unexplored in reagents with delayed emission lifetimes. Here we report the design and synthesis of TADF‐active tetrazole luminophores with photochemical reactivity for the rapid functionalization of nanoparticles and surfaces. The combination of electron‐rich phenoxazine donors with electron‐deficient tetrazole acceptors yields luminophores with bright emission and tunable TADF lifetimes, governed by the 1,3‐dipolar cycloaddition partner. Cycloaddition with alkene dipolarophiles affords saturated dihydropyrazoles that undergo photoinduced aerobic aromatization to generate pyrazole products exhibiting pronounced turn‐on TADF behavior. Leveraging their charge‐transfer character, we also demonstrate a gold surface modified with TADF luminophores, wherein we propose the first example of reversible visible light‐induced surface adsorption. Furthermore, we demonstrate the surface functionalization of organic nanoparticles using TADF‐active materials. This work introduces a class of functional materials that combine photochemical reactivity with TADF properties, introducing a light‐driven platform for surface functionalization using TADF materials.</w:t>
      </w:r>
    </w:p>
    <w:p>
      <w:pPr>
        <w:spacing w:before="120" w:after="120"/>
      </w:pPr>
      <w:r>
        <w:rPr>
          <w:sz w:val="18"/>
        </w:rPr>
        <w:t>——————————————————————————————————————————————————————————————————————</w:t>
      </w:r>
    </w:p>
    <w:p>
      <w:pPr>
        <w:spacing w:before="160" w:after="40" w:line="240" w:lineRule="auto"/>
      </w:pPr>
      <w:r>
        <w:rPr>
          <w:b/>
        </w:rPr>
        <w:t xml:space="preserve">[194] </w:t>
      </w:r>
      <w:hyperlink r:id="rId777">
        <w:r>
          <w:rPr>
            <w:color w:val="1155CC"/>
            <w:u w:val="single"/>
          </w:rPr>
          <w:t>以单分子分辨率识别衰老相关β-半乳糖苷酶</w:t>
        </w:r>
      </w:hyperlink>
    </w:p>
    <w:p>
      <w:pPr>
        <w:spacing w:before="0" w:after="80"/>
      </w:pPr>
      <w:r>
        <w:rPr>
          <w:i/>
          <w:sz w:val="20"/>
        </w:rPr>
        <w:t>EN: Identification of Senescence‐Associated β‐Galactosidase With Single‐Molecule Resolution</w:t>
      </w:r>
    </w:p>
    <w:p>
      <w:pPr>
        <w:spacing w:before="0" w:after="120"/>
      </w:pPr>
      <w:r>
        <w:rPr>
          <w:b/>
        </w:rPr>
        <w:t xml:space="preserve">Source: </w:t>
      </w:r>
      <w:r>
        <w:t>Wiley: Angewandte Chemie International Edition: Table of Contents</w:t>
      </w:r>
      <w:r>
        <w:t xml:space="preserve">    </w:t>
      </w:r>
      <w:r>
        <w:rPr>
          <w:b/>
        </w:rPr>
        <w:t xml:space="preserve">Pub date: </w:t>
      </w:r>
      <w:r>
        <w:t>2026-08-29 05:45:02+00:00</w:t>
      </w:r>
      <w:r>
        <w:t xml:space="preserve">    </w:t>
      </w:r>
      <w:r>
        <w:rPr>
          <w:b/>
        </w:rPr>
        <w:t xml:space="preserve">DOI: </w:t>
      </w:r>
      <w:hyperlink r:id="rId778">
        <w:r>
          <w:rPr>
            <w:color w:val="1155CC"/>
            <w:u w:val="single"/>
          </w:rPr>
          <w:t>10.1002/anie.5443283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绝大多数人类衰老细胞表现出衰老相关β-半乳糖苷酶(SA-β-gal)的过表达，这使该酶成为应用最广泛的衰老生物标志物，也是干预衰老的关键前药靶点。然而，以单分子分辨率对SA-β-gal进行真实原位鉴定的策略尚未建立，限制了衰老靶向的准确性。本文提出了一种前所未有的分子方法，以避免与目标酶解离的方式鉴定SA-β-gal，该方法将SA-β-gal底物的原子杂化与蛋白质环境敏感荧光技术相结合。利用这一设计原理，我们创建了九种具有不同工作模式的荧光探针，用于单分子(目标酶)分辨的SA-β-gal鉴定。其中五种通过在活性位点结合与野生型β-半乳糖苷酶形成晶体复合物，清楚地证明了其单分子分辨能力。我们的策略既能鉴定又能定位SA-β-gal，促进了其在动态单分子定位显微成像中的应用，实现了纳米尺度上活细胞内SA-β-gal的原位追踪。值得注意的是，高保真度的SA-β-gal探针实现了对小鼠衰老程度的精确评估。因此，我们的研究为以单分子分辨率真实原位鉴定这种衰老相关蛋白提供了一种有前景的方法。</w:t>
      </w:r>
    </w:p>
    <w:p>
      <w:pPr>
        <w:spacing w:before="0" w:after="200" w:lineRule="auto" w:line="276"/>
      </w:pPr>
      <w:r>
        <w:rPr>
          <w:b/>
        </w:rPr>
        <w:t xml:space="preserve">Abstract (EN): </w:t>
      </w:r>
      <w:r>
        <w:t>The majority of human senescent cells exhibit overexpression of senescence‐associated β‐galactosidase (SA‐β‐gal), rendering this enzyme the most extensively utilized biomarker of senescence and a key prodrug target for intervening in aging. However, strategies for the authentic in situ identification of SA‐β‐gal with single‐molecule resolution have not been established, limiting the accuracy of senescence targeting. Here we present an unprecedented molecular approach to identify SA‐β‐gal in a manner that avoids dissociation from the target enzyme, which integrates the atomic hybridization of SA‐β‐gal substrates with protein‐environment‐sensitive fluorescence technology. Using this design principle, we created nine fluorescent probes with distinct working modes for the single‐molecule (target enzyme)‐resolved identification of SA‐β‐gal. Five of them formed crystal complexes with the wild‐type β‐galactosidase by binding at the active site, clearly evidencing their single‐molecule resolution capability. Our strategy, capable of both identifying and locating SA‐β‐gal, facilitated its application in dynamic single‐molecule localization microscopic imaging, achieving the in situ tracking of SA‐β‐gal in living cells at the nanoscale. Significantly, the probing of SA‐β‐gal with high fidelity enabled the precise evaluation of the aging degree in mice. As such, our research provides a promising method for the authentic in situ identification of this senescence‐associated protein with single‐molecule resolution.</w:t>
      </w:r>
    </w:p>
    <w:p>
      <w:pPr>
        <w:spacing w:before="120" w:after="120"/>
      </w:pPr>
      <w:r>
        <w:rPr>
          <w:sz w:val="18"/>
        </w:rPr>
        <w:t>——————————————————————————————————————————————————————————————————————</w:t>
      </w:r>
    </w:p>
    <w:p>
      <w:pPr>
        <w:spacing w:before="160" w:after="40" w:line="240" w:lineRule="auto"/>
      </w:pPr>
      <w:r>
        <w:rPr>
          <w:b/>
        </w:rPr>
        <w:t xml:space="preserve">[195] </w:t>
      </w:r>
      <w:hyperlink r:id="rId779">
        <w:r>
          <w:rPr>
            <w:color w:val="1155CC"/>
            <w:u w:val="single"/>
          </w:rPr>
          <w:t>富噻唑混合连接共价有机框架中的构象锁定实现自发激子解离与高效光催化</w:t>
        </w:r>
      </w:hyperlink>
    </w:p>
    <w:p>
      <w:pPr>
        <w:spacing w:before="0" w:after="80"/>
      </w:pPr>
      <w:r>
        <w:rPr>
          <w:i/>
          <w:sz w:val="20"/>
        </w:rPr>
        <w:t>EN: Conformation‐Locking in Thiazole‐Rich Mixed‐Linkage Covalent Organic Frameworks for Spontaneous Exciton Dissociation and Efficient Photocatalysis</w:t>
      </w:r>
    </w:p>
    <w:p>
      <w:pPr>
        <w:spacing w:before="0" w:after="120"/>
      </w:pPr>
      <w:r>
        <w:rPr>
          <w:b/>
        </w:rPr>
        <w:t xml:space="preserve">Source: </w:t>
      </w:r>
      <w:r>
        <w:t>Wiley: Angewandte Chemie International Edition: Table of Contents</w:t>
      </w:r>
      <w:r>
        <w:t xml:space="preserve">    </w:t>
      </w:r>
      <w:r>
        <w:rPr>
          <w:b/>
        </w:rPr>
        <w:t xml:space="preserve">Pub date: </w:t>
      </w:r>
      <w:r>
        <w:t>2026-08-29 12:08:39+00:00</w:t>
      </w:r>
      <w:r>
        <w:t xml:space="preserve">    </w:t>
      </w:r>
      <w:r>
        <w:rPr>
          <w:b/>
        </w:rPr>
        <w:t xml:space="preserve">DOI: </w:t>
      </w:r>
      <w:hyperlink r:id="rId780">
        <w:r>
          <w:rPr>
            <w:color w:val="1155CC"/>
            <w:u w:val="single"/>
          </w:rPr>
          <w:t>10.1002/anie.4914496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半导体中固有的强激子效应从根本上限制了自由载流子的产生，从而阻碍了光催化氧化还原效率。促进激子自发解离并降低激子结合能对于最大化电荷利用至关重要。本文报道了一种构象锁定策略，通过翻译后环化构建富噻唑的混合连接供体-受体共轭共价有机框架(SBt-Tapt)。将硫杂原子无缝集成到刚性的噻唑桥连框架中，显著增强了π共轭和电子极化率。至关重要的是，这种结构强化使激子活化能降低至25 meV以下，触发激子自发解离，延长载流子寿命，并在室温下产生大量自由载流子。机理研究表明，噻唑基团协同活化相邻苯基单元用于O₂还原，同时降低苯并噻吩位点H₂O氧化的能垒。这种双路径机制驱动了高效H₂O₂光合作用，运行稳定性超过100小时。值得注意的是，以酚类污染物作为质子供体，SBt-Tapt表现出卓越的H₂O</w:t>
      </w:r>
    </w:p>
    <w:p>
      <w:pPr>
        <w:spacing w:before="0" w:after="200" w:lineRule="auto" w:line="276"/>
      </w:pPr>
      <w:r>
        <w:rPr>
          <w:b/>
        </w:rPr>
        <w:t xml:space="preserve">Abstract (EN): </w:t>
      </w:r>
      <w:r>
        <w:t>The formidable exciton effect inherent in organic semiconductors fundamentally restricts free charge carrier generation, thereby impeding photocatalytic redox efficiency. Facilitating spontaneous exciton dissociation and lowering exciton binding energy are essential for maximizing charge utilization. Herein, we report a conformation‐locking strategy to engineer a thiazole‐rich mixed‐linkage donor–acceptor conjugated covalent organic framework (SBt‐Tapt) via post‐synthetic cyclization. The seamless integration of sulfur heteroatoms into a rigid, thiazole‐bridged framework significantly enhances π‐conjugated and electronic polarizability. Crucially, this structural reinforcement lowers the exciton activation energy below to 25 meV, triggering spontaneous exciton dissociation, extending carrier lifetimes, and yielding a proliferation of free charge carriers at room temperature. Mechanistic insights elucidate that the thiazole moieties synergistically activate adjacent phenyl units for O</w:t>
      </w:r>
      <w:r>
        <w:rPr>
          <w:vertAlign w:val="subscript"/>
        </w:rPr>
        <w:t>2</w:t>
      </w:r>
      <w:r>
        <w:t>reduction while simultaneously lowering the energy barrier for H</w:t>
      </w:r>
      <w:r>
        <w:rPr>
          <w:vertAlign w:val="subscript"/>
        </w:rPr>
        <w:t>2</w:t>
      </w:r>
      <w:r>
        <w:t>O oxidation at benzothiophene sites. This dual‐pathway mechanism drives efficient H</w:t>
      </w:r>
      <w:r>
        <w:rPr>
          <w:vertAlign w:val="subscript"/>
        </w:rPr>
        <w:t>2</w:t>
      </w:r>
      <w:r>
        <w:t>O</w:t>
      </w:r>
      <w:r>
        <w:rPr>
          <w:vertAlign w:val="subscript"/>
        </w:rPr>
        <w:t>2</w:t>
      </w:r>
      <w:r>
        <w:t>photosynthesis with robust operational stability exceeding 100 h. Notably, utilizing phenolic pollutants as proton donors, SBt‐Tapt delivers an exceptional H</w:t>
      </w:r>
      <w:r>
        <w:rPr>
          <w:vertAlign w:val="subscript"/>
        </w:rPr>
        <w:t>2</w:t>
      </w:r>
      <w:r>
        <w:t>O</w:t>
      </w:r>
      <w:r>
        <w:rPr>
          <w:vertAlign w:val="subscript"/>
        </w:rPr>
        <w:t>2</w:t>
      </w:r>
      <w:r>
        <w:t>evolution rate of 8.99 mmol g</w:t>
      </w:r>
      <w:r>
        <w:t xml:space="preserve"> </w:t>
      </w:r>
      <w:r>
        <w:t>cat</w:t>
      </w:r>
      <w:r>
        <w:t xml:space="preserve"> </w:t>
      </w:r>
      <w:r>
        <w:t>−1</w:t>
      </w:r>
      <w:r>
        <w:t xml:space="preserve"> </w:t>
      </w:r>
      <w:r>
        <w:t>h</w:t>
      </w:r>
      <w:r>
        <w:t xml:space="preserve"> </w:t>
      </w:r>
      <w:r>
        <w:t>−1</w:t>
      </w:r>
      <w:r>
        <w:t xml:space="preserve"> </w:t>
      </w:r>
      <w:r>
        <w:t>alongside effective pollutant mineralization. This study elucidates a profound structure–activity relationship (SAR) and establishes conformation locking as a potent excitonic engineering paradigm for developing high performance organic photocatalysts.</w:t>
      </w:r>
    </w:p>
    <w:p>
      <w:pPr>
        <w:spacing w:before="120" w:after="120"/>
      </w:pPr>
      <w:r>
        <w:rPr>
          <w:sz w:val="18"/>
        </w:rPr>
        <w:t>——————————————————————————————————————————————————————————————————————</w:t>
      </w:r>
    </w:p>
    <w:p>
      <w:pPr>
        <w:spacing w:before="160" w:after="40" w:line="240" w:lineRule="auto"/>
      </w:pPr>
      <w:r>
        <w:rPr>
          <w:b/>
        </w:rPr>
        <w:t xml:space="preserve">[196] </w:t>
      </w:r>
      <w:hyperlink r:id="rId781">
        <w:r>
          <w:rPr>
            <w:color w:val="1155CC"/>
            <w:u w:val="single"/>
          </w:rPr>
          <w:t>铁光催化烯烃氯氨氧化：正交可活化构建模块的平台</w:t>
        </w:r>
      </w:hyperlink>
    </w:p>
    <w:p>
      <w:pPr>
        <w:spacing w:before="0" w:after="80"/>
      </w:pPr>
      <w:r>
        <w:rPr>
          <w:i/>
          <w:sz w:val="20"/>
        </w:rPr>
        <w:t>EN: Iron‐Photocatalyzed Alkene Chloroaminoxylation: A Platform for Orthogonally Activatable Building Blocks</w:t>
      </w:r>
    </w:p>
    <w:p>
      <w:pPr>
        <w:spacing w:before="0" w:after="120"/>
      </w:pPr>
      <w:r>
        <w:rPr>
          <w:b/>
        </w:rPr>
        <w:t xml:space="preserve">Source: </w:t>
      </w:r>
      <w:r>
        <w:t>Wiley: Angewandte Chemie International Edition: Table of Contents</w:t>
      </w:r>
      <w:r>
        <w:t xml:space="preserve">    </w:t>
      </w:r>
      <w:r>
        <w:rPr>
          <w:b/>
        </w:rPr>
        <w:t xml:space="preserve">Pub date: </w:t>
      </w:r>
      <w:r>
        <w:t>2026-08-29 12:09:24+00:00</w:t>
      </w:r>
      <w:r>
        <w:t xml:space="preserve">    </w:t>
      </w:r>
      <w:r>
        <w:rPr>
          <w:b/>
        </w:rPr>
        <w:t xml:space="preserve">DOI: </w:t>
      </w:r>
      <w:hyperlink r:id="rId782">
        <w:r>
          <w:rPr>
            <w:color w:val="1155CC"/>
            <w:u w:val="single"/>
          </w:rPr>
          <w:t>10.1002/anie.5509453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道了一种铁光催化烯烃1,2-氯氨氧化反应，可在多种烯烃底物上引入两个正交且可独立活化的合成把手——一个氯原子和一个烷氧氨基基团。该反应由铁在光诱导氯离子到铁电荷转移下产生氯自由基的能力驱动，随后氯自由基对碳碳双键加成，并被TEMPO衍生物捕获。这一操作简便的方案具有广泛的官能团耐受性、优异的化学选择性和区域选择性，可高效地将范围广泛的C═C键(如苯乙烯衍生物、未活化烯烃和迈克尔受体)转化为具有合成价值的氯氧化骨架。所得产物可通过不同的反应模式与多种亲核试剂反应：TEMPO衍生的烷氧氨基部分可发生光氧化还原活化，而C–Cl键则可参与亲核取代。这一双反应性平台可在互补的活化条件下实现两种不同亲核试剂的可编程引入，为构建结构多样的分子骨架提供了便捷途径。综合机理研究——包括反应动力学、UV-vis光谱、高分辨质谱(HRMS)、关键催化中间体的X射线晶体学表征、循环伏安法(CV)和计时电流法——阐明了 underlying反应路径并揭示了铁催化循环的关键特征。</w:t>
      </w:r>
    </w:p>
    <w:p>
      <w:pPr>
        <w:spacing w:before="0" w:after="200" w:lineRule="auto" w:line="276"/>
      </w:pPr>
      <w:r>
        <w:rPr>
          <w:b/>
        </w:rPr>
        <w:t xml:space="preserve">Abstract (EN): </w:t>
      </w:r>
      <w:r>
        <w:t>We report the development of an iron‐photocatalyzed 1,2‐chloroaminoxylation of alkenes that installs two orthogonal and independently activatable synthetic handles, a chlorine atom and an alkoxyamino group, across a diverse range of alkene substrates. The reaction is driven by iron's ability to generate chlorine radicals via photoinduced chloride‐to‐iron charge transfer, followed by addition across the carbon–carbon double bond and subsequent trapping by TEMPO derivatives. This operationally simple protocol exhibits broad functional group tolerance, exquisite chemo‐ and regioselectivity and efficiently converts a wide range of C═C bonds, such as styrene derivatives, unactivated alkenes, and Michael acceptors, into synthetically valuable chlorooxygenated scaffolds. The resulting products can be engaged with various nucleophiles through distinct modes of reactivity: the TEMPO‐derived alkoxyamino moiety undergoes photoredox activation, while the C–Cl bond participates in nucleophilic substitution. This dual‐reactivity platform enables a programmable incorporation of two different nucleophiles under complementary activation conditions, providing streamlined access to structurally diverse architectures. Comprehensive mechanistic studies, integrating reaction kinetics, UV–vis spectroscopy, high‐resolution mass spectrometry (HRMS), x‐ray crystallographic characterization of key catalytic intermediates, cyclic voltammetry (CV), and chronoamperometry, elucidate the underlying reaction pathway and reveal key features of the iron catalytic cycle.</w:t>
      </w:r>
    </w:p>
    <w:p>
      <w:pPr>
        <w:spacing w:before="120" w:after="120"/>
      </w:pPr>
      <w:r>
        <w:rPr>
          <w:sz w:val="18"/>
        </w:rPr>
        <w:t>——————————————————————————————————————————————————————————————————————</w:t>
      </w:r>
    </w:p>
    <w:p>
      <w:pPr>
        <w:spacing w:before="160" w:after="40" w:line="240" w:lineRule="auto"/>
      </w:pPr>
      <w:r>
        <w:rPr>
          <w:b/>
        </w:rPr>
        <w:t xml:space="preserve">[197] </w:t>
      </w:r>
      <w:hyperlink r:id="rId783">
        <w:r>
          <w:rPr>
            <w:color w:val="1155CC"/>
            <w:u w:val="single"/>
          </w:rPr>
          <w:t>通过氧桥构建的氧参与的(+)-Dracocephalone A、(+)-Dracocequinone A和(−)-Dracocequinone B的对映选择性全合成</w:t>
        </w:r>
      </w:hyperlink>
    </w:p>
    <w:p>
      <w:pPr>
        <w:spacing w:before="0" w:after="80"/>
      </w:pPr>
      <w:r>
        <w:rPr>
          <w:i/>
          <w:sz w:val="20"/>
        </w:rPr>
        <w:t>EN: Enantioselective Total Synthesis of (+)‐Dracocephalone A, (+)‐Dracocequinone A, and (−)‐Dracocequinone B by Oxabridge Construction With Oxygen</w:t>
      </w:r>
    </w:p>
    <w:p>
      <w:pPr>
        <w:spacing w:before="0" w:after="120"/>
      </w:pPr>
      <w:r>
        <w:rPr>
          <w:b/>
        </w:rPr>
        <w:t xml:space="preserve">Source: </w:t>
      </w:r>
      <w:r>
        <w:t>Wiley: Angewandte Chemie International Edition: Table of Contents</w:t>
      </w:r>
      <w:r>
        <w:t xml:space="preserve">    </w:t>
      </w:r>
      <w:r>
        <w:rPr>
          <w:b/>
        </w:rPr>
        <w:t xml:space="preserve">Pub date: </w:t>
      </w:r>
      <w:r>
        <w:t>2026-08-29 12:10:32+00:00</w:t>
      </w:r>
      <w:r>
        <w:t xml:space="preserve">    </w:t>
      </w:r>
      <w:r>
        <w:rPr>
          <w:b/>
        </w:rPr>
        <w:t xml:space="preserve">DOI: </w:t>
      </w:r>
      <w:hyperlink r:id="rId784">
        <w:r>
          <w:rPr>
            <w:color w:val="1155CC"/>
            <w:u w:val="single"/>
          </w:rPr>
          <w:t>10.1002/anie.3945602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氧桥连的20-去甲松香烷二萜类化合物，其特点是在紧凑的四环核心中具有独特的6-氧杂双环[3.2.1]辛烷和2-氧杂双环[2.2.2]辛烷骨架，展现出高度的结构复杂性和有趣的生物活性。我们报道了(+)-dracocephalone A、(+)-dracocequinone A和(−)-dracocequinone B的对映选择性合成，其特色在于两个关键的涉氧转化。2-氧杂双环[2.2.2]辛烷骨架通过6-氧杂双环[3.2.1]辛烷前体的后期氧介导氧桥重构而构建。在该级联反应中，氧化还原中性歧化反应同时生成还原的酚类和氧化的环己二烯酮中间体，随后通过选择性C10–O键断裂和区域专一性1,6-共轭加成发生氧桥重构。6-氧杂双环[3.2.1]辛烷骨架则通过涉氧氧桥环化高效形成。本工作展示的氧桥构建策略将实现氧桥连生物活性天然产物及其结构类似物的精简合成。</w:t>
      </w:r>
    </w:p>
    <w:p>
      <w:pPr>
        <w:spacing w:before="0" w:after="200" w:lineRule="auto" w:line="276"/>
      </w:pPr>
      <w:r>
        <w:rPr>
          <w:b/>
        </w:rPr>
        <w:t xml:space="preserve">Abstract (EN): </w:t>
      </w:r>
      <w:r>
        <w:t>Oxa‐bridged 20‐norabietane diterpenoids, which are characterized by unique 6‐oxabicyclo[3.2.1]octane and 2‐oxabicyclo[2.2.2]octane frameworks in compact tetracyclic cores, exhibit high structural complexity and interesting biological activity. We report the enantioselective synthesis of (+)‐dracocephalone A, (+)‐dracocequinone A, and (−)‐dracocequinone B, featuring two strategic oxygen‐engaged transformations. The 2‐oxabicyclo[2.2.2]octane frameworks are constructed via a late‐stage oxygen‐mediated oxabridge reorganization of 6‐oxabicyclo[3.2.1]octane precursors. In this cascade reaction, a redox‐neutral disproportionation reaction generates reduced phenolic and oxidized cyclohexadienone intermediates simultaneously, followed by an oxabridge reorganization through selective C10–O bond cleavage and regiospecific 1,6‐conjugate addition. The 6‐oxabicyclo[3.2.1]octane framework is formed efficiently through an oxygen‐engaged oxabridge cyclization. The oxabridge construction strategy demonstrated in this work will allow streamlined syntheses of oxa‐bridged bioactive natural products and their structural analogs.</w:t>
      </w:r>
    </w:p>
    <w:p>
      <w:pPr>
        <w:spacing w:before="120" w:after="120"/>
      </w:pPr>
      <w:r>
        <w:rPr>
          <w:sz w:val="18"/>
        </w:rPr>
        <w:t>——————————————————————————————————————————————————————————————————————</w:t>
      </w:r>
    </w:p>
    <w:p>
      <w:pPr>
        <w:spacing w:before="160" w:after="40" w:line="240" w:lineRule="auto"/>
      </w:pPr>
      <w:r>
        <w:rPr>
          <w:b/>
        </w:rPr>
        <w:t xml:space="preserve">[198] </w:t>
      </w:r>
      <w:hyperlink r:id="rId785">
        <w:r>
          <w:rPr>
            <w:color w:val="1155CC"/>
            <w:u w:val="single"/>
          </w:rPr>
          <w:t>工程可编辑杂化膜伪装DNA折纸药物用于三阴性乳腺癌免疫治疗的检查点阻断与免疫激活</w:t>
        </w:r>
      </w:hyperlink>
    </w:p>
    <w:p>
      <w:pPr>
        <w:spacing w:before="0" w:after="80"/>
      </w:pPr>
      <w:r>
        <w:rPr>
          <w:i/>
          <w:sz w:val="20"/>
        </w:rPr>
        <w:t>EN: An Engineering‐Editable Hybrid Membrane‑Camouflaged DNA Origami Drug Enables Checkpoint Blockade and Immune Activation for Triple‐Negative Breast Cancer Immunotherapy</w:t>
      </w:r>
    </w:p>
    <w:p>
      <w:pPr>
        <w:spacing w:before="0" w:after="120"/>
      </w:pPr>
      <w:r>
        <w:rPr>
          <w:b/>
        </w:rPr>
        <w:t xml:space="preserve">Source: </w:t>
      </w:r>
      <w:r>
        <w:t>Wiley: Angewandte Chemie International Edition: Table of Contents</w:t>
      </w:r>
      <w:r>
        <w:t xml:space="preserve">    </w:t>
      </w:r>
      <w:r>
        <w:rPr>
          <w:b/>
        </w:rPr>
        <w:t xml:space="preserve">Pub date: </w:t>
      </w:r>
      <w:r>
        <w:t>2026-08-29 12:11:56+00:00</w:t>
      </w:r>
      <w:r>
        <w:t xml:space="preserve">    </w:t>
      </w:r>
      <w:r>
        <w:rPr>
          <w:b/>
        </w:rPr>
        <w:t xml:space="preserve">DOI: </w:t>
      </w:r>
      <w:hyperlink r:id="rId786">
        <w:r>
          <w:rPr>
            <w:color w:val="1155CC"/>
            <w:u w:val="single"/>
          </w:rPr>
          <w:t>10.1002/anie.7162372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三阴性乳腺癌（TNBC）对免疫治疗的临床响应常受限于免疫抑制微环境、免疫细胞耗竭和多药耐药。通过使用三维肿瘤类器官平台对2,500种FDA批准药物进行高通量筛选，我们鉴定出溴化 thonzonium（THO）是一种诱导gasdermin D（GSDMD）介导的焦亡的药物，其结果释放损伤相关分子模式（DAMPs）以激活抗肿瘤免疫。为实现靶向递送，我们设计了一种核–壳结构仿生纳米粒子（THO/AMT-si NP），其核心由采用DNA折纸技术构建的四面体DNA（TDN NPs）组成，负载THO和P-gp siRNA，外层则涂覆可编程设计的杂化膜（AREP）。这些研究结果表明，THO/AMT-Si NPs能够有效靶向TNBC肿瘤，通过诱导癌细胞焦亡将“冷”肿瘤转化为“热”肿瘤，逆转免疫细胞耗竭，并同时克服癌细胞多药耐药，从而实现对肿瘤生长和转移的协同抑制。总之，该仿生纳米药物通过协同级联靶向、免疫检查点阻断和热疗介导的免疫激活的联合作用，增强了TNBC的免疫治疗。</w:t>
      </w:r>
    </w:p>
    <w:p>
      <w:pPr>
        <w:spacing w:before="0" w:after="200" w:lineRule="auto" w:line="276"/>
      </w:pPr>
      <w:r>
        <w:rPr>
          <w:b/>
        </w:rPr>
        <w:t xml:space="preserve">Abstract (EN): </w:t>
      </w:r>
      <w:r>
        <w:t>The clinical response to immunotherapy in triple‐negative breast cancer (TNBC) is often limited by the immunosuppressive microenvironment, immune cell exhaustion, and multidrug resistance. Through a high‐throughput screen of 2,500 FDA‐approved drugs using a three‐dimensional tumor organoid platform, we identified thonzonium bromide (THO) as an inducer of gasdermin D (GSDMD)‐mediated pyroptosis, which results in the release of damage‐associated molecular patterns (DAMPs) to activate antitumor immunity. To achieve targeted delivery, we designed a core–shell‐structured biomimetic nanoparticle (THO/AMT‐si NP) consisting of a core formed by tetrahedral DNA (TDN NPs) constructed using DNA origami technology, which is loaded with THO and P‐gp siRNA, and an outer layer coated with a programmatically designed hybrid membrane (AREP). These findings indicate that THO/AMT‐Si NPs can effectively target TNBC tumors, convert “cold” tumors into “hot” tumors by inducing pyroptosis in cancer cells, reverse immune cell exhaustion, and simultaneously overcome cancer cell multidrug resistance, thereby achieving synergistic inhibition of tumor growth and metastasis. In summary, this biomimetic nanomedicine enhances immunotherapy for TNBC by combining synergistic cascade targeting, immune checkpoint blockade, and thermosis‐mediated immune activation.</w:t>
      </w:r>
    </w:p>
    <w:p>
      <w:pPr>
        <w:spacing w:before="120" w:after="120"/>
      </w:pPr>
      <w:r>
        <w:rPr>
          <w:sz w:val="18"/>
        </w:rPr>
        <w:t>——————————————————————————————————————————————————————————————————————</w:t>
      </w:r>
    </w:p>
    <w:p>
      <w:pPr>
        <w:spacing w:before="160" w:after="40" w:line="240" w:lineRule="auto"/>
      </w:pPr>
      <w:r>
        <w:rPr>
          <w:b/>
        </w:rPr>
        <w:t xml:space="preserve">[199] </w:t>
      </w:r>
      <w:hyperlink r:id="rId787">
        <w:r>
          <w:rPr>
            <w:color w:val="1155CC"/>
            <w:u w:val="single"/>
          </w:rPr>
          <w:t>构建原子精确Cu4I4纳米团簇集成吸附与加氢功能实现高效光催化硝酸盐制氨转化</w:t>
        </w:r>
      </w:hyperlink>
    </w:p>
    <w:p>
      <w:pPr>
        <w:spacing w:before="0" w:after="80"/>
      </w:pPr>
      <w:r>
        <w:rPr>
          <w:i/>
          <w:sz w:val="20"/>
        </w:rPr>
        <w:t>EN: Engineering Atomically Precise Cu4I4 Nanoclusters With Integrated Adsorption and Hydrogenation Functions for Efficient Photocatalytic Nitrate‐to‐Ammonia Conversion</w:t>
      </w:r>
    </w:p>
    <w:p>
      <w:pPr>
        <w:spacing w:before="0" w:after="120"/>
      </w:pPr>
      <w:r>
        <w:rPr>
          <w:b/>
        </w:rPr>
        <w:t xml:space="preserve">Source: </w:t>
      </w:r>
      <w:r>
        <w:t>Wiley: Angewandte Chemie International Edition: Table of Contents</w:t>
      </w:r>
      <w:r>
        <w:t xml:space="preserve">    </w:t>
      </w:r>
      <w:r>
        <w:rPr>
          <w:b/>
        </w:rPr>
        <w:t xml:space="preserve">Pub date: </w:t>
      </w:r>
      <w:r>
        <w:t>2026-08-29 12:13:08+00:00</w:t>
      </w:r>
      <w:r>
        <w:t xml:space="preserve">    </w:t>
      </w:r>
      <w:r>
        <w:rPr>
          <w:b/>
        </w:rPr>
        <w:t xml:space="preserve">DOI: </w:t>
      </w:r>
      <w:hyperlink r:id="rId788">
        <w:r>
          <w:rPr>
            <w:color w:val="1155CC"/>
            <w:u w:val="single"/>
          </w:rPr>
          <w:t>10.1002/anie.5529008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硝酸盐还原制氨提供了一条将环境修复与氮资源利用相结合的可持续路线。然而，该转化面临动力学缓慢和氢化不足的问题，导致选择性和效率较差。本文报道了将Cu4I4纳米团簇沉积到TiO2上（Cu4I4/TiO2），实现了温和条件下高效、高选择性的光催化硝酸盐还原制氨。源自原子精确的Cu4I4Py4（Py = 吡啶）纳米团簇的活性位点引入了空间上可及的铜位点，其具有本征不饱和配位和增强的路易斯酸性，有利于硝酸盐的吸附和活化。Cu4I4结构单元中与铜原子直接键合的碘化物配体表明可促进活性氢物种（*H）的生成。铜与碘位点的原子级邻近促进了*H在多步氢化生成NH3过程中的高效利用。因此，Cu4I</w:t>
      </w:r>
    </w:p>
    <w:p>
      <w:pPr>
        <w:spacing w:before="0" w:after="200" w:lineRule="auto" w:line="276"/>
      </w:pPr>
      <w:r>
        <w:rPr>
          <w:b/>
        </w:rPr>
        <w:t xml:space="preserve">Abstract (EN): </w:t>
      </w:r>
      <w:r>
        <w:t>Photocatalytic nitrate reduction to ammonia offers a sustainable route that couples environmental remediation with nitrogen resource utilization. However, this transformation suffers from sluggish kinetics and insufficient hydrogenation, leading to poor selectivity and efficiency. Herein, we report the deposition of Cu</w:t>
      </w:r>
      <w:r>
        <w:rPr>
          <w:vertAlign w:val="subscript"/>
        </w:rPr>
        <w:t>4</w:t>
      </w:r>
      <w:r>
        <w:t>I</w:t>
      </w:r>
      <w:r>
        <w:rPr>
          <w:vertAlign w:val="subscript"/>
        </w:rPr>
        <w:t>4</w:t>
      </w:r>
      <w:r>
        <w:t>nanocluster onto TiO</w:t>
      </w:r>
      <w:r>
        <w:rPr>
          <w:vertAlign w:val="subscript"/>
        </w:rPr>
        <w:t>2</w:t>
      </w:r>
      <w:r>
        <w:t>(Cu</w:t>
      </w:r>
      <w:r>
        <w:rPr>
          <w:vertAlign w:val="subscript"/>
        </w:rPr>
        <w:t>4</w:t>
      </w:r>
      <w:r>
        <w:t>I</w:t>
      </w:r>
      <w:r>
        <w:rPr>
          <w:vertAlign w:val="subscript"/>
        </w:rPr>
        <w:t>4</w:t>
      </w:r>
      <w:r>
        <w:t>/TiO</w:t>
      </w:r>
      <w:r>
        <w:rPr>
          <w:vertAlign w:val="subscript"/>
        </w:rPr>
        <w:t>2</w:t>
      </w:r>
      <w:r>
        <w:t>) that achieves efficient and selective photocatalytic nitrate reduction to ammonia under mild conditions. The active site derived from an atomically precise Cu</w:t>
      </w:r>
      <w:r>
        <w:rPr>
          <w:vertAlign w:val="subscript"/>
        </w:rPr>
        <w:t>4</w:t>
      </w:r>
      <w:r>
        <w:t>I</w:t>
      </w:r>
      <w:r>
        <w:rPr>
          <w:vertAlign w:val="subscript"/>
        </w:rPr>
        <w:t>4</w:t>
      </w:r>
      <w:r>
        <w:t>Py</w:t>
      </w:r>
      <w:r>
        <w:rPr>
          <w:vertAlign w:val="subscript"/>
        </w:rPr>
        <w:t>4</w:t>
      </w:r>
      <w:r>
        <w:t>(Py = pyridine) nanocluster introduces sterically accessible copper sites with intrinsically unsaturated coordination and enhanced Lewis acidity for nitrate adsorption and activation. The iodide ligands in Cu</w:t>
      </w:r>
      <w:r>
        <w:rPr>
          <w:vertAlign w:val="subscript"/>
        </w:rPr>
        <w:t>4</w:t>
      </w:r>
      <w:r>
        <w:t>I</w:t>
      </w:r>
      <w:r>
        <w:rPr>
          <w:vertAlign w:val="subscript"/>
        </w:rPr>
        <w:t>4</w:t>
      </w:r>
      <w:r>
        <w:t>motif directly bonded to copper atoms are suggestive of promoting the generation of reactive hydrogen species (*H). The atomic‐scale proximity of copper and iodide sites facilitates efficient *H utilization in the multistep hydrogenation toward NH</w:t>
      </w:r>
      <w:r>
        <w:rPr>
          <w:vertAlign w:val="subscript"/>
        </w:rPr>
        <w:t>3</w:t>
      </w:r>
      <w:r>
        <w:t>. Consequently, Cu</w:t>
      </w:r>
      <w:r>
        <w:rPr>
          <w:vertAlign w:val="subscript"/>
        </w:rPr>
        <w:t>4</w:t>
      </w:r>
      <w:r>
        <w:t>I</w:t>
      </w:r>
      <w:r>
        <w:rPr>
          <w:vertAlign w:val="subscript"/>
        </w:rPr>
        <w:t>4</w:t>
      </w:r>
      <w:r>
        <w:t>/TiO</w:t>
      </w:r>
      <w:r>
        <w:rPr>
          <w:vertAlign w:val="subscript"/>
        </w:rPr>
        <w:t>2</w:t>
      </w:r>
      <w:r>
        <w:t>delivers an ammonia generation rate of 26.8 mmol·g</w:t>
      </w:r>
      <w:r>
        <w:t xml:space="preserve"> </w:t>
      </w:r>
      <w:r>
        <w:t>cat</w:t>
      </w:r>
      <w:r>
        <w:t xml:space="preserve"> </w:t>
      </w:r>
      <w:r>
        <w:t>−1</w:t>
      </w:r>
      <w:r>
        <w:t xml:space="preserve"> </w:t>
      </w:r>
      <w:r>
        <w:t>·h</w:t>
      </w:r>
      <w:r>
        <w:t xml:space="preserve"> </w:t>
      </w:r>
      <w:r>
        <w:t>−1</w:t>
      </w:r>
      <w:r>
        <w:t xml:space="preserve"> </w:t>
      </w:r>
      <w:r>
        <w:t>with good selectivity in a sacrificial‐reagent‐assisted photocatalytic nitrate reduction system. In situ characterizations and theoretical calculations support the plausible cooperative dual‐site mechanism, which synergistically ensures the deep hydrogenation of nitrate and its intermediates to ammonia. This work establishes an atomic‐level design paradigm for constructing multifunctional nanocluster catalysts that address the selectivity and efficiency challenges inherent to complex multiple proton/electron‐involved reactions.</w:t>
      </w:r>
    </w:p>
    <w:p>
      <w:pPr>
        <w:spacing w:before="120" w:after="120"/>
      </w:pPr>
      <w:r>
        <w:rPr>
          <w:sz w:val="18"/>
        </w:rPr>
        <w:t>——————————————————————————————————————————————————————————————————————</w:t>
      </w:r>
    </w:p>
    <w:p>
      <w:pPr>
        <w:spacing w:before="160" w:after="40" w:line="240" w:lineRule="auto"/>
      </w:pPr>
      <w:r>
        <w:rPr>
          <w:b/>
        </w:rPr>
        <w:t xml:space="preserve">[200] </w:t>
      </w:r>
      <w:hyperlink r:id="rId789">
        <w:r>
          <w:rPr>
            <w:color w:val="1155CC"/>
            <w:u w:val="single"/>
          </w:rPr>
          <w:t>通过碳诱导构建金纳米颗粒与Al2O3间强金属-载体相互作用将HMF氧化选择性从FDCA转向HMFCA</w:t>
        </w:r>
      </w:hyperlink>
    </w:p>
    <w:p>
      <w:pPr>
        <w:spacing w:before="0" w:after="80"/>
      </w:pPr>
      <w:r>
        <w:rPr>
          <w:i/>
          <w:sz w:val="20"/>
        </w:rPr>
        <w:t>EN: Switching HMF Oxidation Selectivity From FDCA to HMFCA via Carbon‐Induced Constructing Strong Metal–Support Interaction Between Gold Nanoparticles and Al2O3</w:t>
      </w:r>
    </w:p>
    <w:p>
      <w:pPr>
        <w:spacing w:before="0" w:after="120"/>
      </w:pPr>
      <w:r>
        <w:rPr>
          <w:b/>
        </w:rPr>
        <w:t xml:space="preserve">Source: </w:t>
      </w:r>
      <w:r>
        <w:t>Wiley: Angewandte Chemie International Edition: Table of Contents</w:t>
      </w:r>
      <w:r>
        <w:t xml:space="preserve">    </w:t>
      </w:r>
      <w:r>
        <w:rPr>
          <w:b/>
        </w:rPr>
        <w:t xml:space="preserve">Pub date: </w:t>
      </w:r>
      <w:r>
        <w:t>2026-08-29 16:08:18+00:00</w:t>
      </w:r>
      <w:r>
        <w:t xml:space="preserve">    </w:t>
      </w:r>
      <w:r>
        <w:rPr>
          <w:b/>
        </w:rPr>
        <w:t xml:space="preserve">DOI: </w:t>
      </w:r>
      <w:hyperlink r:id="rId790">
        <w:r>
          <w:rPr>
            <w:color w:val="1155CC"/>
            <w:u w:val="single"/>
          </w:rPr>
          <w:t>10.1002/anie.9891954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金纳米粒子与传统不可还原氧化物载体之间构建强金属–载体相互作用（SMSI）是一项重大挑战，且对选择性催化反应中SMSI的机理理解仍然有限。本文展示了在不可还原氧化物氧化铝与Au纳米粒子之间的碳诱导SMSI（Au/Al2O3@C-SMSI）。所得体系展现出与经典SMSI类似的电子和几何特征，其驱动力本质上源于Au–Al和Au–O–Al界面键合的性质。Au/Al2O3@C-SMSI催化剂在5-羟甲基糠醛（HMF）氧化中对部分氧化产物5-羟甲基-2-呋喃甲酸（HMFCA）表现出卓越选择性，实现了98.5%的显著HMFCA产率。先进表征结合密度泛函理论计算揭示，高选择性源于C─H键的协同差异化活化以及HMFCA在Au和Al位点上的竞争吸附。此外，以工业级HMF（纯度85%）为底物，Au/Al2O3@C-SMSI催化剂在六次连续催化循环后仍保持高活性且无显著失活，展现了强大的抗中毒能力和有前景的应用潜力</w:t>
      </w:r>
    </w:p>
    <w:p>
      <w:pPr>
        <w:spacing w:before="0" w:after="200" w:lineRule="auto" w:line="276"/>
      </w:pPr>
      <w:r>
        <w:rPr>
          <w:b/>
        </w:rPr>
        <w:t xml:space="preserve">Abstract (EN): </w:t>
      </w:r>
      <w:r>
        <w:t>Constructing strong metal–support interaction (SMSI) between gold nanoparticles and conventionally nonreducible oxide supports presents a significant challenge, and the mechanistic understanding of SMSI in selective catalytic reactions remains limited. Herein, we demonstrate a carbon induced SMSI between the irreducible oxide alumina and Au nanoparticles (Au/Al</w:t>
      </w:r>
      <w:r>
        <w:rPr>
          <w:vertAlign w:val="subscript"/>
        </w:rPr>
        <w:t>2</w:t>
      </w:r>
      <w:r>
        <w:t>O</w:t>
      </w:r>
      <w:r>
        <w:rPr>
          <w:vertAlign w:val="subscript"/>
        </w:rPr>
        <w:t>3</w:t>
      </w:r>
      <w:r>
        <w:t>@C‐SMSI). The resulting system exhibits electronic and geometric features analogous to classical SMSI, with the driving force inherently rooted in the nature of Au–Al and Au–O–Al interfacial bonding. The Au/Al</w:t>
      </w:r>
      <w:r>
        <w:rPr>
          <w:vertAlign w:val="subscript"/>
        </w:rPr>
        <w:t>2</w:t>
      </w:r>
      <w:r>
        <w:t>O</w:t>
      </w:r>
      <w:r>
        <w:rPr>
          <w:vertAlign w:val="subscript"/>
        </w:rPr>
        <w:t>3</w:t>
      </w:r>
      <w:r>
        <w:t>@C‐SMSI catalyst exhibits exceptional selectivity toward the partial oxidation product 5‐hydroxymethyl‐2‐furancarboxylic acid (HMFCA) in the oxidation of 5‐hydroxymethylfurfural (HMF), achieving a remarkable HMFCA yield of 98.5%. Advanced characterization combined with density functional theory calculations reveals that the high selectivity stems from the synergistic differential activation of C─H bonds and competitive adsorption of HMFCA on Au and Al sites. Furthermore, the Au/Al</w:t>
      </w:r>
      <w:r>
        <w:rPr>
          <w:vertAlign w:val="subscript"/>
        </w:rPr>
        <w:t>2</w:t>
      </w:r>
      <w:r>
        <w:t>O</w:t>
      </w:r>
      <w:r>
        <w:rPr>
          <w:vertAlign w:val="subscript"/>
        </w:rPr>
        <w:t>3</w:t>
      </w:r>
      <w:r>
        <w:t>@C‐SMSI catalyst maintain high activity without significant deactivation after six consecutive catalytic cycles using industrial‐grade HMF (85% purity) as the substrate, demonstrating strong antipoisoning capability and promising potential for industrial application. This study offers an innovative approach for establishing SMSI on nonreducible oxide supports and opens new avenues for designing highly active and selective heterogeneous catalysts.</w:t>
      </w:r>
    </w:p>
    <w:p>
      <w:pPr>
        <w:spacing w:before="120" w:after="120"/>
      </w:pPr>
      <w:r>
        <w:rPr>
          <w:sz w:val="18"/>
        </w:rPr>
        <w:t>——————————————————————————————————————————————————————————————————————</w:t>
      </w:r>
    </w:p>
    <w:p>
      <w:pPr>
        <w:spacing w:before="160" w:after="40" w:line="240" w:lineRule="auto"/>
      </w:pPr>
      <w:r>
        <w:rPr>
          <w:b/>
        </w:rPr>
        <w:t xml:space="preserve">[201] </w:t>
      </w:r>
      <w:hyperlink r:id="rId791">
        <w:r>
          <w:rPr>
            <w:color w:val="1155CC"/>
            <w:u w:val="single"/>
          </w:rPr>
          <w:t>沸石限域手性纳米结构钴纳米颗粒用于低温合成气转化为液体燃料</w:t>
        </w:r>
      </w:hyperlink>
    </w:p>
    <w:p>
      <w:pPr>
        <w:spacing w:before="0" w:after="80"/>
      </w:pPr>
      <w:r>
        <w:rPr>
          <w:i/>
          <w:sz w:val="20"/>
        </w:rPr>
        <w:t>EN: Chiral Nanostructured Cobalt Nanoparticles Confined in Zeolite for Syngas Conversion to Liquid Fuels at Low Temperature</w:t>
      </w:r>
    </w:p>
    <w:p>
      <w:pPr>
        <w:spacing w:before="0" w:after="120"/>
      </w:pPr>
      <w:r>
        <w:rPr>
          <w:b/>
        </w:rPr>
        <w:t xml:space="preserve">Source: </w:t>
      </w:r>
      <w:r>
        <w:t>Wiley: Angewandte Chemie International Edition: Table of Contents</w:t>
      </w:r>
      <w:r>
        <w:t xml:space="preserve">    </w:t>
      </w:r>
      <w:r>
        <w:rPr>
          <w:b/>
        </w:rPr>
        <w:t xml:space="preserve">Pub date: </w:t>
      </w:r>
      <w:r>
        <w:t>2026-08-29 16:09:52+00:00</w:t>
      </w:r>
      <w:r>
        <w:t xml:space="preserve">    </w:t>
      </w:r>
      <w:r>
        <w:rPr>
          <w:b/>
        </w:rPr>
        <w:t xml:space="preserve">DOI: </w:t>
      </w:r>
      <w:hyperlink r:id="rId792">
        <w:r>
          <w:rPr>
            <w:color w:val="1155CC"/>
            <w:u w:val="single"/>
          </w:rPr>
          <w:t>10.1002/anie.6583201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温费托合成是一种节能工艺，可将非石油碳源转化为液体烃类燃料。然而，在温和条件下实现C─C偶联是一项重大挑战，主要原因在于通过传统碳化物或CO插入机制进行C─O键断裂存在高能垒。本研究提出了一种替代的C─C偶联策略，即在温和温度条件下利用手性纳米结构Co纳米粒子（CNCN）中的手性诱导自旋极化。*OCCO中间体在较低温度下被加氢生成C2+醇类。随后，这些醇类通过H型介孔MFI分子筛（HMMZ）载体的Brönsted酸位点转化为烃类。CNCN限域的HMMZ催化剂在443 K下表现出显著提升的Co金属时空收率96.3 molCO kgCo−1 h−1和C5+烃类选择性85.6%。本工作展示了一种活化C1化合物并促进关键中间体的有效策略，为多碳产品的生产铺平了道路。</w:t>
      </w:r>
    </w:p>
    <w:p>
      <w:pPr>
        <w:spacing w:before="0" w:after="200" w:lineRule="auto" w:line="276"/>
      </w:pPr>
      <w:r>
        <w:rPr>
          <w:b/>
        </w:rPr>
        <w:t xml:space="preserve">Abstract (EN): </w:t>
      </w:r>
      <w:r>
        <w:t>Low‐temperature Fischer–Tropsch synthesis is an energy‐efficient process that converts nonpetroleum carbon sources into liquid hydrocarbon fuels. However, achieving C─C coupling under mild conditions is a significant challenge, primary due to the high energy barriers associated with C─O bond cleavage via conventional carbide or CO insertion mechanisms. In this study, we propose an alternative strategy for C─C coupling by chirality‐induced spin polarization in chiral nanostructured Co nanoparticles (CNCN) under mild temperature conditions. The *OCCO intermediate is hydrogenated to form C</w:t>
      </w:r>
      <w:r>
        <w:t xml:space="preserve"> </w:t>
      </w:r>
      <w:r>
        <w:t>2+</w:t>
      </w:r>
      <w:r>
        <w:t xml:space="preserve"> </w:t>
      </w:r>
      <w:r>
        <w:t>alcohols at lower temperatures. Subsequently, these alcohols are converted into hydrocarbons through the Brönsted acid sites of H‐type mesoporous</w:t>
      </w:r>
      <w:r>
        <w:t xml:space="preserve"> </w:t>
      </w:r>
      <w:r>
        <w:t>MFI</w:t>
      </w:r>
      <w:r>
        <w:t xml:space="preserve"> </w:t>
      </w:r>
      <w:r>
        <w:t>zeolite (HMMZ) support. The CNCN‐confined HMMZ catalyst exhibits significantly enhanced Co metal time yield of 96.3 mol</w:t>
      </w:r>
      <w:r>
        <w:t xml:space="preserve"> </w:t>
      </w:r>
      <w:r>
        <w:t>CO</w:t>
      </w:r>
      <w:r>
        <w:t xml:space="preserve"> </w:t>
      </w:r>
      <w:r>
        <w:t>kg</w:t>
      </w:r>
      <w:r>
        <w:t xml:space="preserve"> </w:t>
      </w:r>
      <w:r>
        <w:t>Co</w:t>
      </w:r>
      <w:r>
        <w:t xml:space="preserve"> </w:t>
      </w:r>
      <w:r>
        <w:t>−1</w:t>
      </w:r>
      <w:r>
        <w:t xml:space="preserve"> </w:t>
      </w:r>
      <w:r>
        <w:t>h</w:t>
      </w:r>
      <w:r>
        <w:t xml:space="preserve"> </w:t>
      </w:r>
      <w:r>
        <w:t>−1</w:t>
      </w:r>
      <w:r>
        <w:t xml:space="preserve"> </w:t>
      </w:r>
      <w:r>
        <w:t>and C</w:t>
      </w:r>
      <w:r>
        <w:t xml:space="preserve"> </w:t>
      </w:r>
      <w:r>
        <w:t>5+</w:t>
      </w:r>
      <w:r>
        <w:t xml:space="preserve"> </w:t>
      </w:r>
      <w:r>
        <w:t>hydrocarbons selectivity of 85.6% at 443 K. This work demonstrates an effective strategy for the activation C</w:t>
      </w:r>
      <w:r>
        <w:rPr>
          <w:vertAlign w:val="subscript"/>
        </w:rPr>
        <w:t>1</w:t>
      </w:r>
      <w:r>
        <w:t>compounds and promotion of critical intermediate, paving the way for the production of multicarbon products.</w:t>
      </w:r>
    </w:p>
    <w:p>
      <w:pPr>
        <w:spacing w:before="120" w:after="120"/>
      </w:pPr>
      <w:r>
        <w:rPr>
          <w:sz w:val="18"/>
        </w:rPr>
        <w:t>——————————————————————————————————————————————————————————————————————</w:t>
      </w:r>
    </w:p>
    <w:p>
      <w:pPr>
        <w:spacing w:before="160" w:after="40" w:line="240" w:lineRule="auto"/>
      </w:pPr>
      <w:r>
        <w:rPr>
          <w:b/>
        </w:rPr>
        <w:t xml:space="preserve">[202] </w:t>
      </w:r>
      <w:hyperlink r:id="rId793">
        <w:r>
          <w:rPr>
            <w:color w:val="1155CC"/>
            <w:u w:val="single"/>
          </w:rPr>
          <w:t>活性聚合物的软物质自主折叠</w:t>
        </w:r>
      </w:hyperlink>
    </w:p>
    <w:p>
      <w:pPr>
        <w:spacing w:before="0" w:after="80"/>
      </w:pPr>
      <w:r>
        <w:rPr>
          <w:i/>
          <w:sz w:val="20"/>
        </w:rPr>
        <w:t>EN: Autonomous Folding of Soft Matter From Living Polymers</w:t>
      </w:r>
    </w:p>
    <w:p>
      <w:pPr>
        <w:spacing w:before="0" w:after="120"/>
      </w:pPr>
      <w:r>
        <w:rPr>
          <w:b/>
        </w:rPr>
        <w:t xml:space="preserve">Source: </w:t>
      </w:r>
      <w:r>
        <w:t>Wiley: Advanced Materials: Table of Contents</w:t>
      </w:r>
      <w:r>
        <w:t xml:space="preserve">    </w:t>
      </w:r>
      <w:r>
        <w:rPr>
          <w:b/>
        </w:rPr>
        <w:t xml:space="preserve">Pub date: </w:t>
      </w:r>
      <w:r>
        <w:t>2026-08-29 16:50:02+00:00</w:t>
      </w:r>
      <w:r>
        <w:t xml:space="preserve">    </w:t>
      </w:r>
      <w:r>
        <w:rPr>
          <w:b/>
        </w:rPr>
        <w:t xml:space="preserve">DOI: </w:t>
      </w:r>
      <w:hyperlink r:id="rId794">
        <w:r>
          <w:rPr>
            <w:color w:val="1155CC"/>
            <w:u w:val="single"/>
          </w:rPr>
          <w:t>10.1002/adma.74348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折纸为形状变形提供了一个多功能框架，但现有系统仅限于初始状态与预定折叠结果之间的转换，在制备后几乎无法调节。本文引入了一种动态的“活性”聚合物，其通过生长过程持续重塑主链网络，从而实现对尺寸、力学性能和几何形状的制备后控制。作为活性折痕层引入后，这些聚合物在供给含有单体、交联剂和催化剂的“营养液”时可驱动自主折叠。相应的二面角由生长动力学和折痕组成决定。迭代再生长可重新编程折叠路径，并将机械刚度提高至50倍。我们展示了可被反复重构的刚性（Miura）和非刚性（square-twist）图案。通过这项工作，我们为具有无限可重编程性的自适应结构奠定了基础，为生物医学可穿戴设备和多功能可展开系统的应用开辟了途径。</w:t>
      </w:r>
    </w:p>
    <w:p>
      <w:pPr>
        <w:spacing w:before="0" w:after="200" w:lineRule="auto" w:line="276"/>
      </w:pPr>
      <w:r>
        <w:rPr>
          <w:b/>
        </w:rPr>
        <w:t xml:space="preserve">Abstract (EN): </w:t>
      </w:r>
      <w:r>
        <w:t>Origami provides a versatile framework for shape‐morphing, yet existing systems are limited to transitions between an initial state and a predetermined folding outcome, offering little tunability after fabrication. Here we introduce a dynamic “living” polymer that continuously remodels its main‐chain network through a growth process, enabling post‐fabrication control over size, mechanical properties, and geometry. Incorporated as active crease layers, these polymers drive autonomous folding when supplied with “nutrient solutions” containing monomers, crosslinkers and catalysts. The associated dihedral angles are determined by growth kinetics and crease composition. Iterative regrowth reprograms folding pathways and increases mechanical stiffness up to 50 times. We demonstrate rigid (Miura) and non‐rigid patterns (square‐twist) that can be repeatedly reconfigured. Through this work, we establish a foundation for adaptive structures with unlimited re‐programmability, opening avenues for applications in biomedical wearable devices and multifunctional deployable systems.</w:t>
      </w:r>
    </w:p>
    <w:p>
      <w:pPr>
        <w:spacing w:before="120" w:after="120"/>
      </w:pPr>
      <w:r>
        <w:rPr>
          <w:sz w:val="18"/>
        </w:rPr>
        <w:t>——————————————————————————————————————————————————————————————————————</w:t>
      </w:r>
    </w:p>
    <w:p>
      <w:pPr>
        <w:spacing w:before="160" w:after="40" w:line="240" w:lineRule="auto"/>
      </w:pPr>
      <w:r>
        <w:rPr>
          <w:b/>
        </w:rPr>
        <w:t xml:space="preserve">[203] </w:t>
      </w:r>
      <w:hyperlink r:id="rId795">
        <w:r>
          <w:rPr>
            <w:color w:val="1155CC"/>
            <w:u w:val="single"/>
          </w:rPr>
          <w:t>通过调控尖晶石四面体与八面体位点活性切换过一硫酸盐氧化还原路径用于多场景废水处理</w:t>
        </w:r>
      </w:hyperlink>
    </w:p>
    <w:p>
      <w:pPr>
        <w:spacing w:before="0" w:after="80"/>
      </w:pPr>
      <w:r>
        <w:rPr>
          <w:i/>
          <w:sz w:val="20"/>
        </w:rPr>
        <w:t>EN: Switching Peroxymonosulfate Redox Routes by Manipulating Spinel Tetrahedral and Octahedral Site Activity for Multi‐Scenario Wastewater Treatment</w:t>
      </w:r>
    </w:p>
    <w:p>
      <w:pPr>
        <w:spacing w:before="0" w:after="120"/>
      </w:pPr>
      <w:r>
        <w:rPr>
          <w:b/>
        </w:rPr>
        <w:t xml:space="preserve">Source: </w:t>
      </w:r>
      <w:r>
        <w:t>Wiley: Advanced Materials: Table of Contents</w:t>
      </w:r>
      <w:r>
        <w:t xml:space="preserve">    </w:t>
      </w:r>
      <w:r>
        <w:rPr>
          <w:b/>
        </w:rPr>
        <w:t xml:space="preserve">Pub date: </w:t>
      </w:r>
      <w:r>
        <w:t>2026-08-29 16:54:30+00:00</w:t>
      </w:r>
      <w:r>
        <w:t xml:space="preserve">    </w:t>
      </w:r>
      <w:r>
        <w:rPr>
          <w:b/>
        </w:rPr>
        <w:t xml:space="preserve">DOI: </w:t>
      </w:r>
      <w:hyperlink r:id="rId796">
        <w:r>
          <w:rPr>
            <w:color w:val="1155CC"/>
            <w:u w:val="single"/>
          </w:rPr>
          <w:t>10.1002/adma.74854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于多样化的废水处理场景，在统一催化体系中实现活性氧物种的可控切换仍是一项重大挑战。本文提出惰性阳离子取代策略以调控Co3O4中四面体和八面体Co的活性，实现自由基与非自由基路径之间的可控切换。八面体Co富集的ZnCo2O4（ZCO）选择性地将过一硫酸盐的活化导向1O2路径（贡献率95.8%），而四面体Co占主导的CoAl2O4（CAO）则倾向于自由基氧化，其中•OH（76.4%）和SO4•−（21.7%）占主导地位。这种依赖于多面体的路径控制导致了不同的氧化行为。值得注意的是，ZCO/PMS体系在4分钟内实现了邻硝基苯酚（ONP）近100%的降解，k值为71.81 min−1 M−1，是Co3O4的32.2倍。多重证据表明，多面体位点工程决定了PMS的吸附几何构型，i</w:t>
      </w:r>
    </w:p>
    <w:p>
      <w:pPr>
        <w:spacing w:before="0" w:after="200" w:lineRule="auto" w:line="276"/>
      </w:pPr>
      <w:r>
        <w:rPr>
          <w:b/>
        </w:rPr>
        <w:t xml:space="preserve">Abstract (EN): </w:t>
      </w:r>
      <w:r>
        <w:t>For diverse wastewater treatment scenarios, achieving controllable switching of reactive oxygen species within a unified catalytic system remains a major challenge. Here, an inert cation substitution strategy is proposed to regulate tetrahedral and octahedral Co activity in Co</w:t>
      </w:r>
      <w:r>
        <w:rPr>
          <w:vertAlign w:val="subscript"/>
        </w:rPr>
        <w:t>3</w:t>
      </w:r>
      <w:r>
        <w:t>O</w:t>
      </w:r>
      <w:r>
        <w:rPr>
          <w:vertAlign w:val="subscript"/>
        </w:rPr>
        <w:t>4</w:t>
      </w:r>
      <w:r>
        <w:t>, enabling controllable switching between radical and nonradical pathways. Octahedral‐Co‐enriched ZnCo</w:t>
      </w:r>
      <w:r>
        <w:rPr>
          <w:vertAlign w:val="subscript"/>
        </w:rPr>
        <w:t>2</w:t>
      </w:r>
      <w:r>
        <w:t>O</w:t>
      </w:r>
      <w:r>
        <w:rPr>
          <w:vertAlign w:val="subscript"/>
        </w:rPr>
        <w:t>4</w:t>
      </w:r>
      <w:r>
        <w:t>(ZCO) selectively directs peroxymonosulfate (PMS) activation toward the</w:t>
      </w:r>
      <w:r>
        <w:rPr>
          <w:vertAlign w:val="subscript"/>
        </w:rPr>
        <w:t>1</w:t>
      </w:r>
      <w:r>
        <w:t>O</w:t>
      </w:r>
      <w:r>
        <w:rPr>
          <w:vertAlign w:val="subscript"/>
        </w:rPr>
        <w:t>2</w:t>
      </w:r>
      <w:r>
        <w:t>pathway (95.8% contribution), whereas tetrahedral‐Co‐dominated CoAl</w:t>
      </w:r>
      <w:r>
        <w:rPr>
          <w:vertAlign w:val="subscript"/>
        </w:rPr>
        <w:t>2</w:t>
      </w:r>
      <w:r>
        <w:t>O</w:t>
      </w:r>
      <w:r>
        <w:rPr>
          <w:vertAlign w:val="subscript"/>
        </w:rPr>
        <w:t>4</w:t>
      </w:r>
      <w:r>
        <w:t>(CAO) favors radical oxidation, with •OH (76.4%) and SO</w:t>
      </w:r>
      <w:r>
        <w:rPr>
          <w:vertAlign w:val="subscript"/>
        </w:rPr>
        <w:t>4</w:t>
      </w:r>
      <w:r>
        <w:t>•−</w:t>
      </w:r>
      <w:r>
        <w:t>(21.7%) dominating. This polyhedral‐dependent pathway control leads to distinct oxidation behaviors. Notably, the ZCO/PMS system achieved nearly 100% o‐nitrophenol (ONP) degradation within 4 min, with a</w:t>
      </w:r>
      <w:r>
        <w:t xml:space="preserve"> </w:t>
      </w:r>
      <w:r>
        <w:t>k</w:t>
      </w:r>
      <w:r>
        <w:t xml:space="preserve"> </w:t>
      </w:r>
      <w:r>
        <w:t>‐value of 71.81 min</w:t>
      </w:r>
      <w:r>
        <w:t xml:space="preserve"> </w:t>
      </w:r>
      <w:r>
        <w:t>−1</w:t>
      </w:r>
      <w:r>
        <w:t xml:space="preserve"> </w:t>
      </w:r>
      <w:r>
        <w:t>M</w:t>
      </w:r>
      <w:r>
        <w:t xml:space="preserve"> </w:t>
      </w:r>
      <w:r>
        <w:t>−1</w:t>
      </w:r>
      <w:r>
        <w:t xml:space="preserve"> </w:t>
      </w:r>
      <w:r>
        <w:t>, 32.2 times that of Co</w:t>
      </w:r>
      <w:r>
        <w:rPr>
          <w:vertAlign w:val="subscript"/>
        </w:rPr>
        <w:t>3</w:t>
      </w:r>
      <w:r>
        <w:t>O</w:t>
      </w:r>
      <w:r>
        <w:rPr>
          <w:vertAlign w:val="subscript"/>
        </w:rPr>
        <w:t>4</w:t>
      </w:r>
      <w:r>
        <w:t>. Multiple lines of evidence reveal that polyhedral‐site engineering governs PMS adsorption geometry, interfacial charge redistribution, and O─O bond activation, thereby determining pathway selection. These differentiated functions were further translated into bench‐scale municipal wastewater treatment, with ZCO/PMS increasing the effluent Biochemical oxygen demand/chemical oxygen demand (BOD/COD) ratio from below 0.3 to consistently above 0.5 over 80 h and CAO/PMS decreasing the effluent TOC from ∼25 mg L</w:t>
      </w:r>
      <w:r>
        <w:t xml:space="preserve"> </w:t>
      </w:r>
      <w:r>
        <w:t>−1</w:t>
      </w:r>
      <w:r>
        <w:t xml:space="preserve"> </w:t>
      </w:r>
      <w:r>
        <w:t>to below 12 mg L</w:t>
      </w:r>
      <w:r>
        <w:t xml:space="preserve"> </w:t>
      </w:r>
      <w:r>
        <w:t>−1</w:t>
      </w:r>
      <w:r>
        <w:t xml:space="preserve"> </w:t>
      </w:r>
      <w:r>
        <w:t>over 60 h. Both systems exhibited low biotoxicity and favorable sustainability, offering a practical route toward selective energy‐efficient advanced oxidation.</w:t>
      </w:r>
    </w:p>
    <w:p>
      <w:pPr>
        <w:spacing w:before="120" w:after="120"/>
      </w:pPr>
      <w:r>
        <w:rPr>
          <w:sz w:val="18"/>
        </w:rPr>
        <w:t>——————————————————————————————————————————————————————————————————————</w:t>
      </w:r>
    </w:p>
    <w:p>
      <w:pPr>
        <w:spacing w:before="160" w:after="40" w:line="240" w:lineRule="auto"/>
      </w:pPr>
      <w:r>
        <w:rPr>
          <w:b/>
        </w:rPr>
        <w:t xml:space="preserve">[204] </w:t>
      </w:r>
      <w:hyperlink r:id="rId797">
        <w:r>
          <w:rPr>
            <w:color w:val="1155CC"/>
            <w:u w:val="single"/>
          </w:rPr>
          <w:t>用于向脑肿瘤递送生物制品的先进材料</w:t>
        </w:r>
      </w:hyperlink>
    </w:p>
    <w:p>
      <w:pPr>
        <w:spacing w:before="0" w:after="80"/>
      </w:pPr>
      <w:r>
        <w:rPr>
          <w:i/>
          <w:sz w:val="20"/>
        </w:rPr>
        <w:t>EN: Advanced Materials for Biologics Delivery to Brain Tumors</w:t>
      </w:r>
    </w:p>
    <w:p>
      <w:pPr>
        <w:spacing w:before="0" w:after="120"/>
      </w:pPr>
      <w:r>
        <w:rPr>
          <w:b/>
        </w:rPr>
        <w:t xml:space="preserve">Source: </w:t>
      </w:r>
      <w:r>
        <w:t>Wiley: Advanced Materials: Table of Contents</w:t>
      </w:r>
      <w:r>
        <w:t xml:space="preserve">    </w:t>
      </w:r>
      <w:r>
        <w:rPr>
          <w:b/>
        </w:rPr>
        <w:t xml:space="preserve">Pub date: </w:t>
      </w:r>
      <w:r>
        <w:t>2026-08-29 16:56:19+00:00</w:t>
      </w:r>
      <w:r>
        <w:t xml:space="preserve">    </w:t>
      </w:r>
      <w:r>
        <w:rPr>
          <w:b/>
        </w:rPr>
        <w:t xml:space="preserve">DOI: </w:t>
      </w:r>
      <w:hyperlink r:id="rId798">
        <w:r>
          <w:rPr>
            <w:color w:val="1155CC"/>
            <w:u w:val="single"/>
          </w:rPr>
          <w:t>10.1002/adma.74760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脑癌因其高发病率和死亡率仍然是全球主要的健康挑战。目前的标准疗法常受限于肿瘤切除不完全、全身毒性以及无法有效穿透血脑屏障，这限制了药物向肿瘤部位的递送。这些挑战凸显了对能够克服这些障碍并改善治疗效果的创新治疗策略的迫切需求。生物材料涵盖多种分子，从小分子肽到单克隆抗体，可来源于生物体或人工合成。与传统疗法不同，生物制剂提供了更具靶向性的方法，包括特异性肿瘤靶向、免疫系统调节和再生受损细胞。尽管生物制剂在脑癌治疗中具有重大前景，但血脑屏障和肿瘤屏障相关的重大挑战仍限制其转化，而将治疗进展与递送技术相结合的全面综述仍然稀缺。虽然各类生物制剂已被广泛研究，但仍需对这些模式及其递送优化进行统一评估。本综述通过批判性地考察生物疗法的新进展并评估新兴的侵入性和非侵入性递送策略，以填补当前的空白，提升其在脑癌中的治疗效果。</w:t>
      </w:r>
    </w:p>
    <w:p>
      <w:pPr>
        <w:spacing w:before="0" w:after="200" w:lineRule="auto" w:line="276"/>
      </w:pPr>
      <w:r>
        <w:rPr>
          <w:b/>
        </w:rPr>
        <w:t xml:space="preserve">Abstract (EN): </w:t>
      </w:r>
      <w:r>
        <w:t>Brain cancer remains a major global health challenge due to its high morbidity and mortality. Current standard therapies are often limited by incomplete tumor resection, systemic toxicity, and the inability to effectively penetrate the blood‐brain barrier (BBB), which restricts drug delivery to the tumor site. These challenges underscore the urgent need for innovative therapeutic strategies that can overcome these barriers and improve treatment outcomes. Biological materials encompass a diverse range of molecules, from small peptides to monoclonal antibodies, either derived from living organisms or synthetically synthesized. Unlike traditional therapies, biologics provide a more targeted approach, including specific tumor targeting, immune system modulation, and regenerating damaged cells. Although biologics offer significant promise for brain cancer treatment, major challenges associated with blood–brain and tumour barriers continue to limit their translation, and comprehensive reviews bridging therapeutic advances with delivery technologies remain scarce. While individual biologic classes have been extensively studied, a unified assessment of these modalities and their delivery optimization is still needed. This review addresses the current gap by critically examining recent advances in biologic therapies and evaluating emerging invasive and non‐invasive delivery strategies to enhance their therapeutic efficacy in brain cancer.</w:t>
      </w:r>
    </w:p>
    <w:p>
      <w:pPr>
        <w:spacing w:before="120" w:after="120"/>
      </w:pPr>
      <w:r>
        <w:rPr>
          <w:sz w:val="18"/>
        </w:rPr>
        <w:t>——————————————————————————————————————————————————————————————————————</w:t>
      </w:r>
    </w:p>
    <w:p>
      <w:pPr>
        <w:spacing w:before="160" w:after="40" w:line="240" w:lineRule="auto"/>
      </w:pPr>
      <w:r>
        <w:rPr>
          <w:b/>
        </w:rPr>
        <w:t xml:space="preserve">[205] </w:t>
      </w:r>
      <w:hyperlink r:id="rId799">
        <w:r>
          <w:rPr>
            <w:color w:val="1155CC"/>
            <w:u w:val="single"/>
          </w:rPr>
          <w:t>所见之物取决于眼睛移动的距离</w:t>
        </w:r>
      </w:hyperlink>
    </w:p>
    <w:p>
      <w:pPr>
        <w:spacing w:before="0" w:after="80"/>
      </w:pPr>
      <w:r>
        <w:rPr>
          <w:i/>
          <w:sz w:val="20"/>
        </w:rPr>
        <w:t>EN: What one sees depends on how far the eye has moved</w:t>
      </w:r>
    </w:p>
    <w:p>
      <w:pPr>
        <w:spacing w:before="0" w:after="120"/>
      </w:pPr>
      <w:r>
        <w:rPr>
          <w:b/>
        </w:rPr>
        <w:t xml:space="preserve">Source: </w:t>
      </w:r>
      <w:r>
        <w:t>Biological sciences : Nature Communications subject feeds</w:t>
      </w:r>
      <w:r>
        <w:t xml:space="preserve">    </w:t>
      </w:r>
      <w:r>
        <w:rPr>
          <w:b/>
        </w:rPr>
        <w:t xml:space="preserve">Pub date: </w:t>
      </w:r>
      <w:r>
        <w:t>2026-08-30 00:00:00+00:00</w:t>
      </w:r>
    </w:p>
    <w:p>
      <w:pPr>
        <w:spacing w:before="0" w:after="120"/>
      </w:pPr>
      <w:r>
        <w:rPr>
          <w:b/>
        </w:rPr>
        <w:t xml:space="preserve">Notes: </w:t>
      </w:r>
      <w:r>
        <w:t>abstract_source=nature_html</w:t>
      </w:r>
    </w:p>
    <w:p>
      <w:pPr>
        <w:spacing w:before="0" w:after="80" w:lineRule="auto" w:line="276"/>
      </w:pPr>
      <w:r>
        <w:rPr>
          <w:b/>
        </w:rPr>
        <w:t xml:space="preserve">摘要（ZH）: </w:t>
      </w:r>
      <w:r>
        <w:t>人类通过频繁、快速的目光转移（即扫视）来探索视觉场景。这些运动将视网膜的高分辨率区域重新定向到感兴趣的物体上，从而基于位置选择信息。在这里，我们表明扫视幅度提供了一种独立且互补的选择形式，即按空间频率而非位置对视觉信息进行有效过滤。基于对所得视觉输入信号的分析，我们考察了图案可见性如何受先前扫视大小的影响。扫视幅度的降低会以幅度依赖的方式削弱扫视后低空间频率范围内的视觉敏感性。这一效应非常稳健，即使扫视大小的微小变化也会显著影响可见性。我们表明，这一现象源于扫视的幅值依赖性运动学特征将视觉世界转化为时空信息流的方式。也就是说，扫视后的可见性紧密遵循基于扫视瞬态在视网膜敏感性的时间带宽内所传递的空间信息的理论预测。因此，扫视不仅引导基于位置的选择，还基于尺度过滤视觉信息，主动塑造感知。</w:t>
      </w:r>
    </w:p>
    <w:p>
      <w:pPr>
        <w:spacing w:before="0" w:after="200" w:lineRule="auto" w:line="276"/>
      </w:pPr>
      <w:r>
        <w:rPr>
          <w:b/>
        </w:rPr>
        <w:t xml:space="preserve">Abstract (EN): </w:t>
      </w:r>
      <w:r>
        <w:t>Humans explore visual scenes through frequent, rapid gaze shifts known as saccades. These movements redirect the high-acuity region of the retina toward objects of interest, thus selecting information based on location. Here, we show that saccade amplitude provides a separate and complementary form of selection, effectively filtering visual information by spatial frequency rather than location. Building on analyses of the resulting visual input signals, we examined how pattern visibility was influenced by the size of the preceding saccade. A reduction in saccade amplitude attenuates post-saccadic visual sensitivity in an amplitude-dependent range of low spatial frequencies. This effect is highly robust, so that even small changes in saccade size considerably affect visibility. We show that this phenomenon arises from the way that the magnitude-dependent kinematic characteristics of saccades transform the visual world into a spatiotemporal flow. That is, post-saccadic visibility closely follows theoretical predictions based on the spatial information that saccade transients convey within the temporal bandwidth of retinal sensitivity. Thus, saccades not only guide selection based on location, but also filter visual information based on scale, actively shaping perception.</w:t>
      </w:r>
    </w:p>
    <w:p>
      <w:pPr>
        <w:spacing w:before="120" w:after="120"/>
      </w:pPr>
      <w:r>
        <w:rPr>
          <w:sz w:val="18"/>
        </w:rPr>
        <w:t>——————————————————————————————————————————————————————————————————————</w:t>
      </w:r>
    </w:p>
    <w:p>
      <w:pPr>
        <w:spacing w:before="160" w:after="40" w:line="240" w:lineRule="auto"/>
      </w:pPr>
      <w:r>
        <w:rPr>
          <w:b/>
        </w:rPr>
        <w:t xml:space="preserve">[206] </w:t>
      </w:r>
      <w:hyperlink r:id="rId800">
        <w:r>
          <w:rPr>
            <w:color w:val="1155CC"/>
            <w:u w:val="single"/>
          </w:rPr>
          <w:t>面向可再生能源密集型分布式能源资源聚合体去中心化协调的数据驱动定价策略</w:t>
        </w:r>
      </w:hyperlink>
    </w:p>
    <w:p>
      <w:pPr>
        <w:spacing w:before="0" w:after="80"/>
      </w:pPr>
      <w:r>
        <w:rPr>
          <w:i/>
          <w:sz w:val="20"/>
        </w:rPr>
        <w:t>EN: Data-driven pricing strategy for decentralized coordination of renewable-intensive distributed energy resource aggregations</w:t>
      </w:r>
    </w:p>
    <w:p>
      <w:pPr>
        <w:spacing w:before="0" w:after="120"/>
      </w:pPr>
      <w:r>
        <w:rPr>
          <w:b/>
        </w:rPr>
        <w:t xml:space="preserve">Source: </w:t>
      </w:r>
      <w:r>
        <w:t>ScienceDirect Publication: Applied Energy</w:t>
      </w:r>
      <w:r>
        <w:t xml:space="preserve">    </w:t>
      </w:r>
      <w:r>
        <w:rPr>
          <w:b/>
        </w:rPr>
        <w:t xml:space="preserve">Pub date: </w:t>
      </w:r>
      <w:r>
        <w:t>2026-08-30 00:00:00+00:00</w:t>
      </w:r>
      <w:r>
        <w:t xml:space="preserve">    </w:t>
      </w:r>
      <w:r>
        <w:rPr>
          <w:b/>
        </w:rPr>
        <w:t xml:space="preserve">DOI: </w:t>
      </w:r>
      <w:hyperlink r:id="rId801">
        <w:r>
          <w:rPr>
            <w:color w:val="1155CC"/>
            <w:u w:val="single"/>
          </w:rPr>
          <w:t>10.1016/j.apenergy.2026.128719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[207] </w:t>
      </w:r>
      <w:hyperlink r:id="rId802">
        <w:r>
          <w:rPr>
            <w:color w:val="1155CC"/>
            <w:u w:val="single"/>
          </w:rPr>
          <w:t>政策交易运营协调博弈框架下的低碳资源管理与风险韧性评估策略</w:t>
        </w:r>
      </w:hyperlink>
    </w:p>
    <w:p>
      <w:pPr>
        <w:spacing w:before="0" w:after="80"/>
      </w:pPr>
      <w:r>
        <w:rPr>
          <w:i/>
          <w:sz w:val="20"/>
        </w:rPr>
        <w:t>EN: Low carbon resource management and risk resilience assessment strategies under a policy trading operation coordinated game framework</w:t>
      </w:r>
    </w:p>
    <w:p>
      <w:pPr>
        <w:spacing w:before="0" w:after="120"/>
      </w:pPr>
      <w:r>
        <w:rPr>
          <w:b/>
        </w:rPr>
        <w:t xml:space="preserve">Source: </w:t>
      </w:r>
      <w:r>
        <w:t>ScienceDirect Publication: Applied Energy</w:t>
      </w:r>
      <w:r>
        <w:t xml:space="preserve">    </w:t>
      </w:r>
      <w:r>
        <w:rPr>
          <w:b/>
        </w:rPr>
        <w:t xml:space="preserve">Pub date: </w:t>
      </w:r>
      <w:r>
        <w:t>2026-08-30 00:00:00+00:00</w:t>
      </w:r>
      <w:r>
        <w:t xml:space="preserve">    </w:t>
      </w:r>
      <w:r>
        <w:rPr>
          <w:b/>
        </w:rPr>
        <w:t xml:space="preserve">DOI: </w:t>
      </w:r>
      <w:hyperlink r:id="rId803">
        <w:r>
          <w:rPr>
            <w:color w:val="1155CC"/>
            <w:u w:val="single"/>
          </w:rPr>
          <w:t>10.1016/j.apenergy.2026.128748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[208] </w:t>
      </w:r>
      <w:hyperlink r:id="rId804">
        <w:r>
          <w:rPr>
            <w:color w:val="1155CC"/>
            <w:u w:val="single"/>
          </w:rPr>
          <w:t>连接体的取向有序性控制ZIF-8的结晶</w:t>
        </w:r>
      </w:hyperlink>
    </w:p>
    <w:p>
      <w:pPr>
        <w:spacing w:before="0" w:after="80"/>
      </w:pPr>
      <w:r>
        <w:rPr>
          <w:i/>
          <w:sz w:val="20"/>
        </w:rPr>
        <w:t>EN: Orientational Order of Linkers Controls ZIF-8 Crystallization</w:t>
      </w:r>
    </w:p>
    <w:p>
      <w:pPr>
        <w:spacing w:before="0" w:after="120"/>
      </w:pPr>
      <w:r>
        <w:rPr>
          <w:b/>
        </w:rPr>
        <w:t xml:space="preserve">Source: </w:t>
      </w:r>
      <w:r>
        <w:t>Journal of the American Chemical Society</w:t>
      </w:r>
      <w:r>
        <w:t xml:space="preserve">    </w:t>
      </w:r>
      <w:r>
        <w:rPr>
          <w:b/>
        </w:rPr>
        <w:t xml:space="preserve">Pub date: </w:t>
      </w:r>
      <w:r>
        <w:t>2026-08-30 00:00:00+00:00</w:t>
      </w:r>
      <w:r>
        <w:t xml:space="preserve">    </w:t>
      </w:r>
      <w:r>
        <w:rPr>
          <w:b/>
        </w:rPr>
        <w:t xml:space="preserve">DOI: </w:t>
      </w:r>
      <w:hyperlink r:id="rId804">
        <w:r>
          <w:rPr>
            <w:color w:val="1155CC"/>
            <w:u w:val="single"/>
          </w:rPr>
          <w:t>10.1021/jacs.6c09046</w:t>
        </w:r>
      </w:hyperlink>
    </w:p>
    <w:p>
      <w:pPr>
        <w:spacing w:before="0" w:after="120"/>
      </w:pPr>
      <w:r>
        <w:rPr>
          <w:b/>
        </w:rPr>
        <w:t xml:space="preserve">Notes: </w:t>
      </w:r>
      <w:r>
        <w:t>abstract_source=crossref</w:t>
      </w:r>
    </w:p>
    <w:p>
      <w:pPr>
        <w:spacing w:before="0" w:after="80" w:lineRule="auto" w:line="276"/>
      </w:pPr>
      <w:r>
        <w:rPr>
          <w:b/>
        </w:rPr>
        <w:t xml:space="preserve">摘要（ZH）: </w:t>
      </w:r>
      <w:r>
        <w:t>摘要 沸石咪唑酯骨架-8（ZIF-8）通过非晶中间体结晶，但触发这一无序相内成核的分子事件一直难以捉摸。在此，我们为ZIF-8的离子构建单元引入了一种动态结合的隐式溶剂力场，实现了对完整结晶路径——从溶剂化单体到10 nm的ZIF-8纳米晶——的无偏微秒级分子动力学模拟。我们的模拟重现了实验观测到的多步路径：单体和低聚物发生相分离，形成具有类液动力学、较低密度以及以三配位Zn为主的溶质富集非晶网络。虽然晶体ZIF-8由空间位阻受限的近四面体Zn(mIm)4节点所定义，但非晶网络维持着广泛的配位环境和连接体取向分布。成核在这一无序相内通过集体重排发生，这些重排可修复错误构型的Zn(mIm)4节点，并将连接体的转动涨落与拓扑重组耦合，从而锁定四连接骨架。晶体生长遵循同样的缺陷修复机制。这些结果将连接体构型动力学确定为ZIF-8成核的关键，并为理解多步MOF结晶提供了分子基础。</w:t>
      </w:r>
    </w:p>
    <w:p>
      <w:pPr>
        <w:spacing w:before="0" w:after="200" w:lineRule="auto" w:line="276"/>
      </w:pPr>
      <w:r>
        <w:rPr>
          <w:b/>
        </w:rPr>
        <w:t xml:space="preserve">Abstract (EN): </w:t>
      </w:r>
      <w:r>
        <w:t>Zeolitic imidazolate framework-8 (ZIF-8) crystallizes through an amorphous intermediate, but the molecular events that trigger nucleation within this disordered phase have remained elusive. Here we introduce a dynamic-binding, implicit-solvent force field for the ionic building units of ZIF-8 that enables unbiased microsecond-scale molecular dynamics of the full crystallization pathway─from solvated monomers to a 10 nm ZIF-8 nanocrystal. Our simulations reproduce the experimentally observed multistep pathway: monomers and oligomers phase-separate into a solute-rich amorphous network with liquid-like dynamics, lower density, and predominantly three-coordinated Zn. Whereas crystalline ZIF-8 is defined by sterically constrained, near-tetrahedral Zn(mIm)4 nodes, the amorphous network sustains a broad distribution of coordination environments and linker orientations. Nucleation occurs within this disordered phase through collective rearrangements that anneal misconfigured Zn(mIm)4 nodes and couple linker rotational fluctuations to topological reorganization, locking in the four-connected framework. Crystal growth proceeds by the same defect-annealing mechanism. These results identify linker configurational dynamics as key for ZIF-8 nucleation, and provide a molecular foundation for understanding multistep MOF crystallization.</w:t>
      </w:r>
    </w:p>
    <w:p>
      <w:pPr>
        <w:spacing w:before="120" w:after="120"/>
      </w:pPr>
      <w:r>
        <w:rPr>
          <w:sz w:val="18"/>
        </w:rPr>
        <w:t>——————————————————————————————————————————————————————————————————————</w:t>
      </w:r>
    </w:p>
    <w:p>
      <w:pPr>
        <w:spacing w:before="160" w:after="40" w:line="240" w:lineRule="auto"/>
      </w:pPr>
      <w:r>
        <w:rPr>
          <w:b/>
        </w:rPr>
        <w:t xml:space="preserve">[209] </w:t>
      </w:r>
      <w:hyperlink r:id="rId805">
        <w:r>
          <w:rPr>
            <w:color w:val="1155CC"/>
            <w:u w:val="single"/>
          </w:rPr>
          <w:t>利用欧洲公开数据集识别代表性低压馈线、网络及可重构测试案例</w:t>
        </w:r>
      </w:hyperlink>
    </w:p>
    <w:p>
      <w:pPr>
        <w:spacing w:before="0" w:after="80"/>
      </w:pPr>
      <w:r>
        <w:rPr>
          <w:i/>
          <w:sz w:val="20"/>
        </w:rPr>
        <w:t>EN: Identifying representative LV feeders, networks and reconfigurable test cases using European publicly available datasets</w:t>
      </w:r>
    </w:p>
    <w:p>
      <w:pPr>
        <w:spacing w:before="0" w:after="120"/>
      </w:pPr>
      <w:r>
        <w:rPr>
          <w:b/>
        </w:rPr>
        <w:t xml:space="preserve">Source: </w:t>
      </w:r>
      <w:r>
        <w:t>ScienceDirect Publication: Applied Energy</w:t>
      </w:r>
      <w:r>
        <w:t xml:space="preserve">    </w:t>
      </w:r>
      <w:r>
        <w:rPr>
          <w:b/>
        </w:rPr>
        <w:t xml:space="preserve">Pub date: </w:t>
      </w:r>
      <w:r>
        <w:t>2026-08-30 00:00:00+00:00</w:t>
      </w:r>
      <w:r>
        <w:t xml:space="preserve">    </w:t>
      </w:r>
      <w:r>
        <w:rPr>
          <w:b/>
        </w:rPr>
        <w:t xml:space="preserve">DOI: </w:t>
      </w:r>
      <w:hyperlink r:id="rId806">
        <w:r>
          <w:rPr>
            <w:color w:val="1155CC"/>
            <w:u w:val="single"/>
          </w:rPr>
          <w:t>10.1016/j.apenergy.2026.128752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[210] </w:t>
      </w:r>
      <w:hyperlink r:id="rId807">
        <w:r>
          <w:rPr>
            <w:color w:val="1155CC"/>
            <w:u w:val="single"/>
          </w:rPr>
          <w:t>AI模型正被用于追踪人畜共患疾病。它们能预防下一次大流行吗？</w:t>
        </w:r>
      </w:hyperlink>
    </w:p>
    <w:p>
      <w:pPr>
        <w:spacing w:before="0" w:after="80"/>
      </w:pPr>
      <w:r>
        <w:rPr>
          <w:i/>
          <w:sz w:val="20"/>
        </w:rPr>
        <w:t>EN: AI models are being used to track zoonotic diseases. Will they prevent the next pandemic?</w:t>
      </w:r>
    </w:p>
    <w:p>
      <w:pPr>
        <w:spacing w:before="0" w:after="120"/>
      </w:pPr>
      <w:r>
        <w:rPr>
          <w:b/>
        </w:rPr>
        <w:t xml:space="preserve">Source: </w:t>
      </w:r>
      <w:r>
        <w:t>Nature</w:t>
      </w:r>
      <w:r>
        <w:t xml:space="preserve">    </w:t>
      </w:r>
      <w:r>
        <w:rPr>
          <w:b/>
        </w:rPr>
        <w:t xml:space="preserve">Pub date: </w:t>
      </w:r>
      <w:r>
        <w:t>2026-08-30 00:00:00+00:00</w:t>
      </w:r>
      <w:r>
        <w:t xml:space="preserve">    </w:t>
      </w:r>
      <w:r>
        <w:rPr>
          <w:b/>
        </w:rPr>
        <w:t xml:space="preserve">DOI: </w:t>
      </w:r>
      <w:hyperlink r:id="rId808">
        <w:r>
          <w:rPr>
            <w:color w:val="1155CC"/>
            <w:u w:val="single"/>
          </w:rPr>
          <w:t>10.1038/d41586-026-02684-1</w:t>
        </w:r>
      </w:hyperlink>
    </w:p>
    <w:p>
      <w:pPr>
        <w:spacing w:before="0" w:after="120"/>
      </w:pPr>
      <w:r>
        <w:rPr>
          <w:b/>
        </w:rPr>
        <w:t xml:space="preserve">Notes: </w:t>
      </w:r>
      <w:r>
        <w:t>abstract_source=rss_nature</w:t>
      </w:r>
    </w:p>
    <w:p>
      <w:pPr>
        <w:spacing w:before="0" w:after="80" w:lineRule="auto" w:line="276"/>
      </w:pPr>
      <w:r>
        <w:rPr>
          <w:b/>
        </w:rPr>
        <w:t xml:space="preserve">摘要（ZH）: </w:t>
      </w:r>
      <w:r>
        <w:t>疾病在人类与动物之间的传播是全球性问题。但可以利用AI模型来监测其进展。</w:t>
      </w:r>
    </w:p>
    <w:p>
      <w:pPr>
        <w:spacing w:before="0" w:after="200" w:lineRule="auto" w:line="276"/>
      </w:pPr>
      <w:r>
        <w:rPr>
          <w:b/>
        </w:rPr>
        <w:t xml:space="preserve">Abstract (EN): </w:t>
      </w:r>
      <w:r>
        <w:t>Spread of diseases between humans and animals is an issue around the world. But AI models can be used to monitor their progress.</w:t>
      </w:r>
    </w:p>
    <w:p>
      <w:pPr>
        <w:spacing w:before="120" w:after="120"/>
      </w:pPr>
      <w:r>
        <w:rPr>
          <w:sz w:val="18"/>
        </w:rPr>
        <w:t>——————————————————————————————————————————————————————————————————————</w:t>
      </w:r>
    </w:p>
    <w:p>
      <w:pPr>
        <w:spacing w:before="160" w:after="40" w:line="240" w:lineRule="auto"/>
      </w:pPr>
      <w:r>
        <w:rPr>
          <w:b/>
        </w:rPr>
        <w:t xml:space="preserve">[211] </w:t>
      </w:r>
      <w:hyperlink r:id="rId809">
        <w:r>
          <w:rPr>
            <w:color w:val="1155CC"/>
            <w:u w:val="single"/>
          </w:rPr>
          <w:t>发射升空！NASA发射罗曼空间望远镜以破解暗能量之谜</w:t>
        </w:r>
      </w:hyperlink>
    </w:p>
    <w:p>
      <w:pPr>
        <w:spacing w:before="0" w:after="80"/>
      </w:pPr>
      <w:r>
        <w:rPr>
          <w:i/>
          <w:sz w:val="20"/>
        </w:rPr>
        <w:t>EN: Lift-off! NASA launches Roman Space Telescope to tackle dark-energy mysteries</w:t>
      </w:r>
    </w:p>
    <w:p>
      <w:pPr>
        <w:spacing w:before="0" w:after="120"/>
      </w:pPr>
      <w:r>
        <w:rPr>
          <w:b/>
        </w:rPr>
        <w:t xml:space="preserve">Source: </w:t>
      </w:r>
      <w:r>
        <w:t>Nature</w:t>
      </w:r>
      <w:r>
        <w:t xml:space="preserve">    </w:t>
      </w:r>
      <w:r>
        <w:rPr>
          <w:b/>
        </w:rPr>
        <w:t xml:space="preserve">Pub date: </w:t>
      </w:r>
      <w:r>
        <w:t>2026-08-30 00:00:00+00:00</w:t>
      </w:r>
      <w:r>
        <w:t xml:space="preserve">    </w:t>
      </w:r>
      <w:r>
        <w:rPr>
          <w:b/>
        </w:rPr>
        <w:t xml:space="preserve">DOI: </w:t>
      </w:r>
      <w:hyperlink r:id="rId810">
        <w:r>
          <w:rPr>
            <w:color w:val="1155CC"/>
            <w:u w:val="single"/>
          </w:rPr>
          <w:t>10.1038/d41586-026-02727-7</w:t>
        </w:r>
      </w:hyperlink>
    </w:p>
    <w:p>
      <w:pPr>
        <w:spacing w:before="0" w:after="120"/>
      </w:pPr>
      <w:r>
        <w:rPr>
          <w:b/>
        </w:rPr>
        <w:t xml:space="preserve">Notes: </w:t>
      </w:r>
      <w:r>
        <w:t>abstract_source=rss_nature</w:t>
      </w:r>
    </w:p>
    <w:p>
      <w:pPr>
        <w:spacing w:before="0" w:after="80" w:lineRule="auto" w:line="276"/>
      </w:pPr>
      <w:r>
        <w:rPr>
          <w:b/>
        </w:rPr>
        <w:t xml:space="preserve">摘要（ZH）: </w:t>
      </w:r>
      <w:r>
        <w:t>该空间天文台将拥有广阔的宇宙视野以及锐利的分辨率。</w:t>
      </w:r>
    </w:p>
    <w:p>
      <w:pPr>
        <w:spacing w:before="0" w:after="200" w:lineRule="auto" w:line="276"/>
      </w:pPr>
      <w:r>
        <w:rPr>
          <w:b/>
        </w:rPr>
        <w:t xml:space="preserve">Abstract (EN): </w:t>
      </w:r>
      <w:r>
        <w:t>The space observatory will have an expansive view of the Universe as well as sharp resolution.</w:t>
      </w:r>
    </w:p>
    <w:p>
      <w:pPr>
        <w:spacing w:before="120" w:after="120"/>
      </w:pPr>
      <w:r>
        <w:rPr>
          <w:sz w:val="18"/>
        </w:rPr>
        <w:t>——————————————————————————————————————————————————————————————————————</w:t>
      </w:r>
    </w:p>
    <w:p>
      <w:pPr>
        <w:spacing w:before="160" w:after="40" w:line="240" w:lineRule="auto"/>
      </w:pPr>
      <w:r>
        <w:rPr>
          <w:b/>
        </w:rPr>
        <w:t xml:space="preserve">[212] </w:t>
      </w:r>
      <w:hyperlink r:id="rId811">
        <w:r>
          <w:rPr>
            <w:color w:val="1155CC"/>
            <w:u w:val="single"/>
          </w:rPr>
          <w:t>城市地缘政治风险暴露与能源正义：来自中国278个城市的证据</w:t>
        </w:r>
      </w:hyperlink>
    </w:p>
    <w:p>
      <w:pPr>
        <w:spacing w:before="0" w:after="80"/>
      </w:pPr>
      <w:r>
        <w:rPr>
          <w:i/>
          <w:sz w:val="20"/>
        </w:rPr>
        <w:t>EN: Urban geopolitical risk exposure and energy justice: Evidence from 278 Chinese cities</w:t>
      </w:r>
    </w:p>
    <w:p>
      <w:pPr>
        <w:spacing w:before="0" w:after="120"/>
      </w:pPr>
      <w:r>
        <w:rPr>
          <w:b/>
        </w:rPr>
        <w:t xml:space="preserve">Source: </w:t>
      </w:r>
      <w:r>
        <w:t>ScienceDirect Publication: Energy Policy</w:t>
      </w:r>
      <w:r>
        <w:t xml:space="preserve">    </w:t>
      </w:r>
      <w:r>
        <w:rPr>
          <w:b/>
        </w:rPr>
        <w:t xml:space="preserve">Pub date: </w:t>
      </w:r>
      <w:r>
        <w:t>2026-08-30 00:00:00+00:00</w:t>
      </w:r>
      <w:r>
        <w:t xml:space="preserve">    </w:t>
      </w:r>
      <w:r>
        <w:rPr>
          <w:b/>
        </w:rPr>
        <w:t xml:space="preserve">DOI: </w:t>
      </w:r>
      <w:hyperlink r:id="rId812">
        <w:r>
          <w:rPr>
            <w:color w:val="1155CC"/>
            <w:u w:val="single"/>
          </w:rPr>
          <w:t>10.1016/j.enpol.2026.115589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[213] </w:t>
      </w:r>
      <w:hyperlink r:id="rId813">
        <w:r>
          <w:rPr>
            <w:color w:val="1155CC"/>
            <w:u w:val="single"/>
          </w:rPr>
          <w:t>考虑阶梯定价和电动汽车用户群体驱动需求响应的碳感知区域综合能源系统不确定性嵌入并行优化</w:t>
        </w:r>
      </w:hyperlink>
    </w:p>
    <w:p>
      <w:pPr>
        <w:spacing w:before="0" w:after="80"/>
      </w:pPr>
      <w:r>
        <w:rPr>
          <w:i/>
          <w:sz w:val="20"/>
        </w:rPr>
        <w:t>EN: Uncertainty-embedded concurrent optimization for carbon-aware RIES considering ladder pricing and EV user group -driven demand response</w:t>
      </w:r>
    </w:p>
    <w:p>
      <w:pPr>
        <w:spacing w:before="0" w:after="120"/>
      </w:pPr>
      <w:r>
        <w:rPr>
          <w:b/>
        </w:rPr>
        <w:t xml:space="preserve">Source: </w:t>
      </w:r>
      <w:r>
        <w:t>ScienceDirect Publication: Applied Energy</w:t>
      </w:r>
      <w:r>
        <w:t xml:space="preserve">    </w:t>
      </w:r>
      <w:r>
        <w:rPr>
          <w:b/>
        </w:rPr>
        <w:t xml:space="preserve">Pub date: </w:t>
      </w:r>
      <w:r>
        <w:t>2026-08-30 00:00:00+00:00</w:t>
      </w:r>
      <w:r>
        <w:t xml:space="preserve">    </w:t>
      </w:r>
      <w:r>
        <w:rPr>
          <w:b/>
        </w:rPr>
        <w:t xml:space="preserve">DOI: </w:t>
      </w:r>
      <w:hyperlink r:id="rId814">
        <w:r>
          <w:rPr>
            <w:color w:val="1155CC"/>
            <w:u w:val="single"/>
          </w:rPr>
          <w:t>10.1016/j.apenergy.2026.128738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[214] </w:t>
      </w:r>
      <w:hyperlink r:id="rId815">
        <w:r>
          <w:rPr>
            <w:color w:val="1155CC"/>
            <w:u w:val="single"/>
          </w:rPr>
          <w:t>用于配电网拓扑辨识的生成式-判别式框架</w:t>
        </w:r>
      </w:hyperlink>
    </w:p>
    <w:p>
      <w:pPr>
        <w:spacing w:before="0" w:after="80"/>
      </w:pPr>
      <w:r>
        <w:rPr>
          <w:i/>
          <w:sz w:val="20"/>
        </w:rPr>
        <w:t>EN: A generative-discriminative framework for distribution network topology identification</w:t>
      </w:r>
    </w:p>
    <w:p>
      <w:pPr>
        <w:spacing w:before="0" w:after="120"/>
      </w:pPr>
      <w:r>
        <w:rPr>
          <w:b/>
        </w:rPr>
        <w:t xml:space="preserve">Source: </w:t>
      </w:r>
      <w:r>
        <w:t>ScienceDirect Publication: Applied Energy</w:t>
      </w:r>
      <w:r>
        <w:t xml:space="preserve">    </w:t>
      </w:r>
      <w:r>
        <w:rPr>
          <w:b/>
        </w:rPr>
        <w:t xml:space="preserve">Pub date: </w:t>
      </w:r>
      <w:r>
        <w:t>2026-08-30 00:00:00+00:00</w:t>
      </w:r>
      <w:r>
        <w:t xml:space="preserve">    </w:t>
      </w:r>
      <w:r>
        <w:rPr>
          <w:b/>
        </w:rPr>
        <w:t xml:space="preserve">DOI: </w:t>
      </w:r>
      <w:hyperlink r:id="rId816">
        <w:r>
          <w:rPr>
            <w:color w:val="1155CC"/>
            <w:u w:val="single"/>
          </w:rPr>
          <w:t>10.1016/j.apenergy.2026.128743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[215] </w:t>
      </w:r>
      <w:hyperlink r:id="rId817">
        <w:r>
          <w:rPr>
            <w:color w:val="1155CC"/>
            <w:u w:val="single"/>
          </w:rPr>
          <w:t>面向范德华存储晶体管的热预算解耦独立铪基铁电介质集成</w:t>
        </w:r>
      </w:hyperlink>
    </w:p>
    <w:p>
      <w:pPr>
        <w:spacing w:before="0" w:after="80"/>
      </w:pPr>
      <w:r>
        <w:rPr>
          <w:i/>
          <w:sz w:val="20"/>
        </w:rPr>
        <w:t>EN: Thermal‐Budget‐Decoupled Integration of Freestanding Hafnium‐Based Ferroelectric Dielectrics for van der Waals Memory Transistors</w:t>
      </w:r>
    </w:p>
    <w:p>
      <w:pPr>
        <w:spacing w:before="0" w:after="120"/>
      </w:pPr>
      <w:r>
        <w:rPr>
          <w:b/>
        </w:rPr>
        <w:t xml:space="preserve">Source: </w:t>
      </w:r>
      <w:r>
        <w:t>Wiley: Advanced Materials: Table of Contents</w:t>
      </w:r>
      <w:r>
        <w:t xml:space="preserve">    </w:t>
      </w:r>
      <w:r>
        <w:rPr>
          <w:b/>
        </w:rPr>
        <w:t xml:space="preserve">Pub date: </w:t>
      </w:r>
      <w:r>
        <w:t>2026-08-30 07:02:06+00:00</w:t>
      </w:r>
      <w:r>
        <w:t xml:space="preserve">    </w:t>
      </w:r>
      <w:r>
        <w:rPr>
          <w:b/>
        </w:rPr>
        <w:t xml:space="preserve">DOI: </w:t>
      </w:r>
      <w:hyperlink r:id="rId818">
        <w:r>
          <w:rPr>
            <w:color w:val="1155CC"/>
            <w:u w:val="single"/>
          </w:rPr>
          <w:t>10.1002/adma.74847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铁电存储器因其能够通过极化翻转直接调制沟道，已成为非易失性存储器和神经形态计算的有力候选者。然而，合成和后退火工艺所需的高热预算阻碍了可扩展集成并降低了界面质量。在此，我们提出一种独立铪基铁电策略，可在低温下无需后退火，在范德华（vdW）MoS</w:t>
      </w:r>
      <w:r>
        <w:rPr>
          <w:vertAlign w:val="subscript"/>
        </w:rPr>
        <w:t>2</w:t>
      </w:r>
      <w:r>
        <w:t>沟道上制备高性能顶栅铁电场效应晶体管（FeFET）。采用金属-铁电-金属-绝缘体-半导体（MFMIS）架构的独立式Hf</w:t>
      </w:r>
      <w:r>
        <w:t xml:space="preserve"> </w:t>
      </w:r>
      <w:r>
        <w:t>0.5</w:t>
      </w:r>
      <w:r>
        <w:t xml:space="preserve"> </w:t>
      </w:r>
      <w:r>
        <w:t>Zr</w:t>
      </w:r>
      <w:r>
        <w:t xml:space="preserve"> </w:t>
      </w:r>
      <w:r>
        <w:t>0.5</w:t>
      </w:r>
      <w:r>
        <w:t xml:space="preserve"> </w:t>
      </w:r>
      <w:r>
        <w:t>O</w:t>
      </w:r>
      <w:r>
        <w:rPr>
          <w:vertAlign w:val="subscript"/>
        </w:rPr>
        <w:t>2</w:t>
      </w:r>
      <w:r>
        <w:t>（FS-HZO）FeFET表现出显著的逆时针归一化存储窗口0.56 V nm</w:t>
      </w:r>
      <w:r>
        <w:t xml:space="preserve"> </w:t>
      </w:r>
      <w:r>
        <w:t>−1</w:t>
      </w:r>
      <w:r>
        <w:t xml:space="preserve"> </w:t>
      </w:r>
      <w:r>
        <w:t>。它们展示了概念验证性的非易失行为， endurance超过2 × 10</w:t>
      </w:r>
      <w:r>
        <w:rPr>
          <w:vertAlign w:val="subscript"/>
        </w:rPr>
        <w:t>3</w:t>
      </w:r>
      <w:r>
        <w:t>次循环，保持时间超过2 × 10</w:t>
      </w:r>
      <w:r>
        <w:rPr>
          <w:vertAlign w:val="subscript"/>
        </w:rPr>
        <w:t>3</w:t>
      </w:r>
      <w:r>
        <w:t>s，并可在高达85°C下稳定运行，保持10</w:t>
      </w:r>
      <w:r>
        <w:rPr>
          <w:vertAlign w:val="subscript"/>
        </w:rPr>
        <w:t>6</w:t>
      </w:r>
      <w:r>
        <w:t>的开/关比，外推10年后为10</w:t>
      </w:r>
      <w:r>
        <w:rPr>
          <w:vertAlign w:val="subscript"/>
        </w:rPr>
        <w:t>4</w:t>
      </w:r>
      <w:r>
        <w:t>。对MoS</w:t>
      </w:r>
      <w:r>
        <w:rPr>
          <w:vertAlign w:val="subscript"/>
        </w:rPr>
        <w:t>2</w:t>
      </w:r>
      <w:r>
        <w:t>沟道电导的精确铁电调控实现了多级开关</w:t>
      </w:r>
    </w:p>
    <w:p>
      <w:pPr>
        <w:spacing w:before="0" w:after="200" w:lineRule="auto" w:line="276"/>
      </w:pPr>
      <w:r>
        <w:rPr>
          <w:b/>
        </w:rPr>
        <w:t xml:space="preserve">Abstract (EN): </w:t>
      </w:r>
      <w:r>
        <w:t>Ferroelectric memories have emerged as promising candidates for nonvolatile memory and neuromorphic computing owing to their capability for direct channel modulation through polarization switching. However, the high thermal budget required for synthesis and post‐annealing processes hampers scalable integration and degrades interfacial quality. Here, we present a freestanding hafnium‐based ferroelectric strategy that enables the fabrication of high‐performance top‐gate ferroelectric field‐effect transistors (FeFETs) on van der Waals (vdW) MoS</w:t>
      </w:r>
      <w:r>
        <w:rPr>
          <w:vertAlign w:val="subscript"/>
        </w:rPr>
        <w:t>2</w:t>
      </w:r>
      <w:r>
        <w:t>channels at low temperatures without post‐annealing. The freestanding Hf</w:t>
      </w:r>
      <w:r>
        <w:t xml:space="preserve"> </w:t>
      </w:r>
      <w:r>
        <w:t>0.5</w:t>
      </w:r>
      <w:r>
        <w:t xml:space="preserve"> </w:t>
      </w:r>
      <w:r>
        <w:t>Zr</w:t>
      </w:r>
      <w:r>
        <w:t xml:space="preserve"> </w:t>
      </w:r>
      <w:r>
        <w:t>0.5</w:t>
      </w:r>
      <w:r>
        <w:t xml:space="preserve"> </w:t>
      </w:r>
      <w:r>
        <w:t>O</w:t>
      </w:r>
      <w:r>
        <w:rPr>
          <w:vertAlign w:val="subscript"/>
        </w:rPr>
        <w:t>2</w:t>
      </w:r>
      <w:r>
        <w:t>(FS‐HZO) FeFETs, featuring a metal–ferroelectric–metal–insulator–semiconductor (MFMIS) architecture, exhibit a pronounced anticlockwise normalized memory window of 0.56 V nm</w:t>
      </w:r>
      <w:r>
        <w:t xml:space="preserve"> </w:t>
      </w:r>
      <w:r>
        <w:t>−1</w:t>
      </w:r>
      <w:r>
        <w:t xml:space="preserve"> </w:t>
      </w:r>
      <w:r>
        <w:t>. They demonstrate proof‐of‐concept nonvolatile behavior with endurance exceeding 2 × 10</w:t>
      </w:r>
      <w:r>
        <w:rPr>
          <w:vertAlign w:val="subscript"/>
        </w:rPr>
        <w:t>3</w:t>
      </w:r>
      <w:r>
        <w:t>cycles, retention over 2 × 10</w:t>
      </w:r>
      <w:r>
        <w:rPr>
          <w:vertAlign w:val="subscript"/>
        </w:rPr>
        <w:t>3</w:t>
      </w:r>
      <w:r>
        <w:t>s, and stable operation up to 85°C, maintaining an on/off ratio of 10</w:t>
      </w:r>
      <w:r>
        <w:rPr>
          <w:vertAlign w:val="subscript"/>
        </w:rPr>
        <w:t>6</w:t>
      </w:r>
      <w:r>
        <w:t>and an extrapolated value of 10</w:t>
      </w:r>
      <w:r>
        <w:rPr>
          <w:vertAlign w:val="subscript"/>
        </w:rPr>
        <w:t>4</w:t>
      </w:r>
      <w:r>
        <w:t>after 10 years. Precise ferroelectric control of the MoS</w:t>
      </w:r>
      <w:r>
        <w:rPr>
          <w:vertAlign w:val="subscript"/>
        </w:rPr>
        <w:t>2</w:t>
      </w:r>
      <w:r>
        <w:t>channel conductance enables multilevel switching and synaptic plasticity, achieving high accuracy in image recognition tasks. This work provides a low‐thermal‐budget freestanding hafnium‐based integration strategy and a device‐level building block for future vdW FeFET arrays, offering a promising pathway toward energy‐efficient compute‐in‐memory and neuromorphic architectures.</w:t>
      </w:r>
    </w:p>
    <w:p>
      <w:pPr>
        <w:spacing w:before="120" w:after="120"/>
      </w:pPr>
      <w:r>
        <w:rPr>
          <w:sz w:val="18"/>
        </w:rPr>
        <w:t>——————————————————————————————————————————————————————————————————————</w:t>
      </w:r>
    </w:p>
    <w:p>
      <w:pPr>
        <w:spacing w:before="160" w:after="40" w:line="240" w:lineRule="auto"/>
      </w:pPr>
      <w:r>
        <w:rPr>
          <w:b/>
        </w:rPr>
        <w:t xml:space="preserve">[216] </w:t>
      </w:r>
      <w:hyperlink r:id="rId819">
        <w:r>
          <w:rPr>
            <w:color w:val="1155CC"/>
            <w:u w:val="single"/>
          </w:rPr>
          <w:t>拓扑化学聚合驱动的分子晶体开裂与自愈合</w:t>
        </w:r>
      </w:hyperlink>
    </w:p>
    <w:p>
      <w:pPr>
        <w:spacing w:before="0" w:after="80"/>
      </w:pPr>
      <w:r>
        <w:rPr>
          <w:i/>
          <w:sz w:val="20"/>
        </w:rPr>
        <w:t>EN: Cracking and Self‐Healing in a Molecular Crystal Driven by Topochemical Polymerization</w:t>
      </w:r>
    </w:p>
    <w:p>
      <w:pPr>
        <w:spacing w:before="0" w:after="120"/>
      </w:pPr>
      <w:r>
        <w:rPr>
          <w:b/>
        </w:rPr>
        <w:t xml:space="preserve">Source: </w:t>
      </w:r>
      <w:r>
        <w:t>Wiley: Angewandte Chemie International Edition: Table of Contents</w:t>
      </w:r>
      <w:r>
        <w:t xml:space="preserve">    </w:t>
      </w:r>
      <w:r>
        <w:rPr>
          <w:b/>
        </w:rPr>
        <w:t xml:space="preserve">Pub date: </w:t>
      </w:r>
      <w:r>
        <w:t>2026-08-30 15:09:47+00:00</w:t>
      </w:r>
      <w:r>
        <w:t xml:space="preserve">    </w:t>
      </w:r>
      <w:r>
        <w:rPr>
          <w:b/>
        </w:rPr>
        <w:t xml:space="preserve">DOI: </w:t>
      </w:r>
      <w:hyperlink r:id="rId820">
        <w:r>
          <w:rPr>
            <w:color w:val="1155CC"/>
            <w:u w:val="single"/>
          </w:rPr>
          <w:t>10.1002/anie.2717326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分子晶体中的拓扑化学反应往往伴随严重的晶格应变， frequently 导致晶体破裂和结晶性丧失。在此我们报道一个不寻常的案例：非中心对称分子晶体中的热驱动拓扑叠氮-炔环加成（TAAC）聚合引起宏观开裂，随后发生自主自愈合。单晶 X 射线衍射揭示了区域专一的单晶到单晶转变生成螺旋聚合物，尽管存在大幅分子运动和各向异性晶格变形（a +19.9%，b −2.9%，c −13.3%）。晶面索引和形貌分析将晶体学轴与宏观晶体尺寸相关联，合理解释了观察到的宽度膨胀、长度收缩以及沿弱结合晶面的解理。从机理上讲，裂纹的形成源于反应诱导的双态晶格应变，而自愈合则由极性晶体中带相反电荷断裂面之间的静电吸引驱动，随后域内持续聚合消除了双态界面。自主愈合在晶体材料中拓扑化学聚合完成时发生。</w:t>
      </w:r>
    </w:p>
    <w:p>
      <w:pPr>
        <w:spacing w:before="0" w:after="200" w:lineRule="auto" w:line="276"/>
      </w:pPr>
      <w:r>
        <w:rPr>
          <w:b/>
        </w:rPr>
        <w:t xml:space="preserve">Abstract (EN): </w:t>
      </w:r>
      <w:r>
        <w:t>Topochemical reactions in molecular crystals are often accompanied by severe lattice strain, frequently leading to crystal fracture and loss of crystallinity. Here we report an unusual case in which heat‐driven topochemical azide–alkyne cycloaddition (TAAC) polymerization in a non‐centrosymmetric molecular crystal induces macroscopic cracking that is followed by autonomous self‐healing. Single‐crystal x‐ray diffraction reveals a regiospecific single‐crystal‐to‐single‐crystal transformation to a helical polymer, despite large‐amplitude molecular motion and anisotropic lattice deformation (a +19.9%, b −2.9%, c −13.3%). Face‐indexing and morphology analysis correlate the crystallographic axes with macroscopic crystal dimensions, rationalizing the observed breadth expansion, length contraction, and cleavage along a weakly bound crystallographic plane. Mechanistically, crack formation originates from reaction‐induced bimorphic lattice strain, while self‐healing is driven by electrostatic attraction between oppositely charged fracture surfaces in the polar crystal, followed by continued intradomain polymerization that eliminates the bimorphic interface. Autonomous healing occurs upon completion of the topochemical polymerization in the crystalline material.</w:t>
      </w:r>
    </w:p>
    <w:p>
      <w:pPr>
        <w:spacing w:before="120" w:after="120"/>
      </w:pPr>
      <w:r>
        <w:rPr>
          <w:sz w:val="18"/>
        </w:rPr>
        <w:t>——————————————————————————————————————————————————————————————————————</w:t>
      </w:r>
    </w:p>
    <w:p>
      <w:pPr>
        <w:spacing w:before="160" w:after="40" w:line="240" w:lineRule="auto"/>
      </w:pPr>
      <w:r>
        <w:rPr>
          <w:b/>
        </w:rPr>
        <w:t xml:space="preserve">[217] </w:t>
      </w:r>
      <w:hyperlink r:id="rId821">
        <w:r>
          <w:rPr>
            <w:color w:val="1155CC"/>
            <w:u w:val="single"/>
          </w:rPr>
          <w:t>利用牺牲性机械键增韧弹性体</w:t>
        </w:r>
      </w:hyperlink>
    </w:p>
    <w:p>
      <w:pPr>
        <w:spacing w:before="0" w:after="80"/>
      </w:pPr>
      <w:r>
        <w:rPr>
          <w:i/>
          <w:sz w:val="20"/>
        </w:rPr>
        <w:t>EN: Harnessing Sacrificial Mechanical Bonds for Toughening Elastomers</w:t>
      </w:r>
    </w:p>
    <w:p>
      <w:pPr>
        <w:spacing w:before="0" w:after="120"/>
      </w:pPr>
      <w:r>
        <w:rPr>
          <w:b/>
        </w:rPr>
        <w:t xml:space="preserve">Source: </w:t>
      </w:r>
      <w:r>
        <w:t>Wiley: Advanced Materials: Table of Contents</w:t>
      </w:r>
      <w:r>
        <w:t xml:space="preserve">    </w:t>
      </w:r>
      <w:r>
        <w:rPr>
          <w:b/>
        </w:rPr>
        <w:t xml:space="preserve">Pub date: </w:t>
      </w:r>
      <w:r>
        <w:t>2026-08-30 15:30:21+00:00</w:t>
      </w:r>
      <w:r>
        <w:t xml:space="preserve">    </w:t>
      </w:r>
      <w:r>
        <w:rPr>
          <w:b/>
        </w:rPr>
        <w:t xml:space="preserve">DOI: </w:t>
      </w:r>
      <w:hyperlink r:id="rId822">
        <w:r>
          <w:rPr>
            <w:color w:val="1155CC"/>
            <w:u w:val="single"/>
          </w:rPr>
          <w:t>10.1002/adma.74712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牺牲键作为关键的能量耗散基元，决定着弹性体的韧性。在此，我们提出了一种坚固且通用的策略，通过系统修饰轮烷交联剂中封端基团的结构来精确调节牺牲机械键的力化学反应性，从而增韧弹性体。通过改变封端基团的大小和数量，阐明了分子水平上牺牲键的力化学响应与弹性体宏观力学性能之间的定量关系。这是一项突破性进展，拓展了弹性体的实际应用潜力，并为牺牲键及力化学启发聚合物体系的合理设计建立了概念框架。</w:t>
      </w:r>
    </w:p>
    <w:p>
      <w:pPr>
        <w:spacing w:before="0" w:after="200" w:lineRule="auto" w:line="276"/>
      </w:pPr>
      <w:r>
        <w:rPr>
          <w:b/>
        </w:rPr>
        <w:t xml:space="preserve">Abstract (EN): </w:t>
      </w:r>
      <w:r>
        <w:t>Sacrificial bonds serve as key energy‐dissipating motifs, governing the toughness of elastomers. Herein, we propose a robust and versatile strategy to toughen elastomers by precisely tuning the mechanochemical reactivity of sacrificial mechanical bonds through the systematic modification of stopper structures in rotaxane crosslinkers. By varying the size and number of stoppers, the quantitative relationship between the mechanochemical response of sacrificial bonds at the molecular level and the macroscopic mechanical performance of elastomers is elucidated. This is a breakthrough that expands the practical potential of elastomers and establishes a conceptual framework for the rational design of sacrificial bonds and mechanochemicallyinspired polymer systems.</w:t>
      </w:r>
    </w:p>
    <w:p>
      <w:pPr>
        <w:spacing w:before="120" w:after="120"/>
      </w:pPr>
      <w:r>
        <w:rPr>
          <w:sz w:val="18"/>
        </w:rPr>
        <w:t>——————————————————————————————————————————————————————————————————————</w:t>
      </w:r>
    </w:p>
    <w:p>
      <w:pPr>
        <w:spacing w:before="160" w:after="40" w:line="240" w:lineRule="auto"/>
      </w:pPr>
      <w:r>
        <w:rPr>
          <w:b/>
        </w:rPr>
        <w:t xml:space="preserve">[218] </w:t>
      </w:r>
      <w:hyperlink r:id="rId823">
        <w:r>
          <w:rPr>
            <w:color w:val="1155CC"/>
            <w:u w:val="single"/>
          </w:rPr>
          <w:t>用于被动辐射制冷的彩色三明治结构超构织物</w:t>
        </w:r>
      </w:hyperlink>
    </w:p>
    <w:p>
      <w:pPr>
        <w:spacing w:before="0" w:after="80"/>
      </w:pPr>
      <w:r>
        <w:rPr>
          <w:i/>
          <w:sz w:val="20"/>
        </w:rPr>
        <w:t>EN: Colored Sandwich-Structured Metafabrics for Passive Radiative Cooling</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23">
        <w:r>
          <w:rPr>
            <w:color w:val="1155CC"/>
            <w:u w:val="single"/>
          </w:rPr>
          <w:t>10.1021/acsami.6c12121</w:t>
        </w:r>
      </w:hyperlink>
    </w:p>
    <w:p>
      <w:pPr>
        <w:spacing w:before="0" w:after="120"/>
      </w:pPr>
      <w:r>
        <w:rPr>
          <w:b/>
        </w:rPr>
        <w:t xml:space="preserve">Notes: </w:t>
      </w:r>
      <w:r>
        <w:t>abstract_source=crossref</w:t>
      </w:r>
    </w:p>
    <w:p>
      <w:pPr>
        <w:spacing w:before="0" w:after="80" w:lineRule="auto" w:line="276"/>
      </w:pPr>
      <w:r>
        <w:rPr>
          <w:b/>
        </w:rPr>
        <w:t xml:space="preserve">摘要（ZH）: </w:t>
      </w:r>
      <w:r>
        <w:t>摘要 开发兼具高太阳反射率和理想色彩（尤其是紫色）的被动辐射冷却（PRC）织物，由于太阳反射与可见光吸收之间的光谱权衡，仍然具有挑战性。本文设计了一种“彩色–白色–彩色”三明治结构超织物，以平衡美观外观与冷却性能。该织物由光谱选择性的紫色表层和高效反射散射内芯组成。表层由聚氨酯（TPU）纤维和紫色金属有机骨架ZIF-67构成，可实现选择性可见光吸收和增强的中红外发射，而TPU/ZnO纳米纤维内芯通过强散射增强宽带太阳反射。通过在空间上解耦着色与反射，该织物实现了90.6%的高太阳反射率和94.6%的中红外发射率。户外测试表明，白天最高可实现约5.2 oC的亚环境温度冷却。模拟和真实皮肤评估证实，其个人冷却性能优于商用染色棉织物。该织物还表现出良好的透湿性和疏水性，水蒸气透过率约为~24.01 mg·cm–2·h–1，水接触角约为~120o，有助于汗液蒸发和散热。本工作为设计兼具美学吸引力、高可见性和高效热管理的彩色被动辐射冷却织物提供了一种实用策略。</w:t>
      </w:r>
    </w:p>
    <w:p>
      <w:pPr>
        <w:spacing w:before="0" w:after="200" w:lineRule="auto" w:line="276"/>
      </w:pPr>
      <w:r>
        <w:rPr>
          <w:b/>
        </w:rPr>
        <w:t xml:space="preserve">Abstract (EN): </w:t>
      </w:r>
      <w:r>
        <w:t>Developing passive radiative cooling (PRC) fabrics that combine high solar reflectance with desirable coloration, particularly purple, remains challenging due to the spectral trade-off between solar reflection and visible light absorption. Here, a “colored–white–colored” sandwich-structured metafabric is designed to balance aesthetic appearance and cooling performance. The fabric consists of spectrally selective purple skin layers and a highly reflective scattering core. The skin layers, composed of polyurethane (TPU) fibers and purple metal–organic framework ZIF-67, enable selective visible light absorption and enhanced mid-infrared emission, while the TPU/ZnO nanofiber core enhances broadband solar reflection through strong scattering. By spatially decoupling coloration and reflection, the fabric achieves a high solar reflectance of 90.6% and a mid-infrared emissivity of 94.6%. Outdoor tests show a maximum sub-ambient cooling of about 5.2 oC during daytime. Simulated and real-skin evaluations confirm superior personal cooling performance compared with commercial dyed cotton fabrics. The fabric also exhibits good moisture permeability and hydrophobicity, with a water vapor transmission rate of ~24.01 mg·cm–2·h–1 and a water contact angle of ~120o, which facilitates sweat evaporation and heat dissipation. This work provides a practical strategy for designing colored passive radiative cooling fabrics with aesthetic appeal, high visibility, and efficient thermal management.</w:t>
      </w:r>
    </w:p>
    <w:p>
      <w:pPr>
        <w:spacing w:before="120" w:after="120"/>
      </w:pPr>
      <w:r>
        <w:rPr>
          <w:sz w:val="18"/>
        </w:rPr>
        <w:t>——————————————————————————————————————————————————————————————————————</w:t>
      </w:r>
    </w:p>
    <w:p>
      <w:pPr>
        <w:spacing w:before="160" w:after="40" w:line="240" w:lineRule="auto"/>
      </w:pPr>
      <w:r>
        <w:rPr>
          <w:b/>
        </w:rPr>
        <w:t xml:space="preserve">[219] </w:t>
      </w:r>
      <w:hyperlink r:id="rId824">
        <w:r>
          <w:rPr>
            <w:color w:val="1155CC"/>
            <w:u w:val="single"/>
          </w:rPr>
          <w:t>仿生微坑光热蒸发器的3D打印实现高效水-电联产</w:t>
        </w:r>
      </w:hyperlink>
    </w:p>
    <w:p>
      <w:pPr>
        <w:spacing w:before="0" w:after="80"/>
      </w:pPr>
      <w:r>
        <w:rPr>
          <w:i/>
          <w:sz w:val="20"/>
        </w:rPr>
        <w:t>EN: Bio-inspired Micropit Photothermal Evaporator by 3D Printing for Efficient Water-Electricity Co-generation</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24">
        <w:r>
          <w:rPr>
            <w:color w:val="1155CC"/>
            <w:u w:val="single"/>
          </w:rPr>
          <w:t>10.1021/acsami.6c10061</w:t>
        </w:r>
      </w:hyperlink>
    </w:p>
    <w:p>
      <w:pPr>
        <w:spacing w:before="0" w:after="120"/>
      </w:pPr>
      <w:r>
        <w:rPr>
          <w:b/>
        </w:rPr>
        <w:t xml:space="preserve">Notes: </w:t>
      </w:r>
      <w:r>
        <w:t>abstract_source=crossref</w:t>
      </w:r>
    </w:p>
    <w:p>
      <w:pPr>
        <w:spacing w:before="0" w:after="80" w:lineRule="auto" w:line="276"/>
      </w:pPr>
      <w:r>
        <w:rPr>
          <w:b/>
        </w:rPr>
        <w:t xml:space="preserve">摘要（ZH）: </w:t>
      </w:r>
      <w:r>
        <w:t>摘要 太阳能驱动的界面蒸发为水净化和能量收集提供了一种可持续途径，但集成蒸发器在快速制备、高效太阳能利用和稳定水伏输出方面仍面临挑战。本文通过数字光处理（DLP）3D打印在38分钟内快速制备了一种具有仿生微凹坑阵列的甲虫启发CTPH蒸发器。入射光可在凹形微凹坑内发生多次内反射。三维结构还增大了暴露的几何蒸发面积。MWCNTs–COOH作为光热中心，并引入有利于水伏发电的带负电界面。在1个标准太阳照射下，优化后的CTPH蒸发器实现了2.09 kg m–2 h–1的蒸发速率和95.4%的太阳能-蒸汽转换效率。在盐水中，其输出0.37 V的稳定开路电压和13.26 μA的稳态电流；将阵列扩展至4 × 4后，电流增至61.45 μA。该蒸发器对海水、重金属废水、染料废水以及酸/碱溶液也表现出有效的净化性能，展示了其用于集成太阳能水净化与水伏发电的可行性。</w:t>
      </w:r>
    </w:p>
    <w:p>
      <w:pPr>
        <w:spacing w:before="0" w:after="200" w:lineRule="auto" w:line="276"/>
      </w:pPr>
      <w:r>
        <w:rPr>
          <w:b/>
        </w:rPr>
        <w:t xml:space="preserve">Abstract (EN): </w:t>
      </w:r>
      <w:r>
        <w:t>Solar-driven interfacial evaporation provides a sustainable approach for water purification and energy harvesting, but integrated evaporators still face challenges in rapid fabrication, efficient solar-energy utilization, and stable hydrovoltaic output. Herein, a beetle-inspired CTPH evaporator with biomimetic micropit arrays was rapidly fabricated by digital light processing (DLP) 3D printing within 38 min. Incident light can undergo multiple internal reflections within the concave micropits. The three-dimensional architecture also enlarges the exposed geometric evaporation area. MWCNTs–COOH act as photothermal centers and introduce negatively charged interfaces favorable for hydrovoltaic electricity generation. Under 1 sun irradiation, the optimized CTPH evaporator achieved an evaporation rate of 2.09 kg m–2 h–1 and a solar-to-vapor conversion efficiency of 95.4%. In brine, it delivered a stable open-circuit voltage of 0.37 V and a steady-state current of 13.26 μA; after scaling the array to 4 × 4, the current increased to 61.45 μA. The evaporator also showed effective purification performance toward seawater, heavy-metal wastewater, dye wastewater, and acidic/alkaline solutions, demonstrating its feasibility for integrated solar water purification and hydrovoltaic electricity generation.</w:t>
      </w:r>
    </w:p>
    <w:p>
      <w:pPr>
        <w:spacing w:before="120" w:after="120"/>
      </w:pPr>
      <w:r>
        <w:rPr>
          <w:sz w:val="18"/>
        </w:rPr>
        <w:t>——————————————————————————————————————————————————————————————————————</w:t>
      </w:r>
    </w:p>
    <w:p>
      <w:pPr>
        <w:spacing w:before="160" w:after="40" w:line="240" w:lineRule="auto"/>
      </w:pPr>
      <w:r>
        <w:rPr>
          <w:b/>
        </w:rPr>
        <w:t xml:space="preserve">[220] </w:t>
      </w:r>
      <w:hyperlink r:id="rId825">
        <w:r>
          <w:rPr>
            <w:color w:val="1155CC"/>
            <w:u w:val="single"/>
          </w:rPr>
          <w:t>溶剂极性诱导锌卟啉组装体形貌转变增强胶质母细胞瘤光动力治疗</w:t>
        </w:r>
      </w:hyperlink>
    </w:p>
    <w:p>
      <w:pPr>
        <w:spacing w:before="0" w:after="80"/>
      </w:pPr>
      <w:r>
        <w:rPr>
          <w:i/>
          <w:sz w:val="20"/>
        </w:rPr>
        <w:t>EN: Solvent Polarity-Directed Morphological Transformation of Zinc Porphyrin Assemblies for Enhanced Photodynamic Therapy of Glioblastoma</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25">
        <w:r>
          <w:rPr>
            <w:color w:val="1155CC"/>
            <w:u w:val="single"/>
          </w:rPr>
          <w:t>10.1021/acsami.6c11367</w:t>
        </w:r>
      </w:hyperlink>
    </w:p>
    <w:p>
      <w:pPr>
        <w:spacing w:before="0" w:after="120"/>
      </w:pPr>
      <w:r>
        <w:rPr>
          <w:b/>
        </w:rPr>
        <w:t xml:space="preserve">Notes: </w:t>
      </w:r>
      <w:r>
        <w:t>abstract_source=crossref</w:t>
      </w:r>
    </w:p>
    <w:p>
      <w:pPr>
        <w:spacing w:before="0" w:after="80" w:lineRule="auto" w:line="276"/>
      </w:pPr>
      <w:r>
        <w:rPr>
          <w:b/>
        </w:rPr>
        <w:t xml:space="preserve">摘要（ZH）: </w:t>
      </w:r>
      <w:r>
        <w:t>摘要 胶质母细胞瘤是最具侵袭性的脑癌之一，预后不良。光动力疗法（PDT）是治疗胶质母细胞瘤的一种高效、无创策略。卟啉是PDT常用的光敏剂，但存在水溶性差和活性氧（ROS）产率低的问题。本文报道了一种通过级联制备增强ROS的卟啉光敏剂：锌中位-四(4-吡啶基)卟啉（ZnTPyP）自组装为四方纳米棒（NRs），随后经极性驱动形貌转变为六方纳米线（NWs）。光谱监测揭示了该形貌转变的连续解组装-再组装机制，并在40%（v/v）乙醇处观察到临界转变。与四方纳米棒的单轴Zn–N配位和对称π堆积结构不同，六方纳米线采用双轴配位和J聚集共轭堆积，形成开放的六方通道。纳米线的这种结构重组伴随着显著的吸收红移、增强的光捕获以及ROS生成提高1.9倍。在635 nm照射下，纳米线表现出优异的光动力效应（79.9%），优于四方纳米棒（44.5%）。载脂蛋白E（ApoE）修饰的纳米线可穿越血脑屏障，并通过增强的PDT在原位胶质瘤模型中有效抑制胶质瘤生长。总之，溶剂极性调控为构建超分子组装结构提供了一种强有力且通用的策略，为</w:t>
      </w:r>
    </w:p>
    <w:p>
      <w:pPr>
        <w:spacing w:before="0" w:after="200" w:lineRule="auto" w:line="276"/>
      </w:pPr>
      <w:r>
        <w:rPr>
          <w:b/>
        </w:rPr>
        <w:t xml:space="preserve">Abstract (EN): </w:t>
      </w:r>
      <w:r>
        <w:t>Glioblastoma is one of the most aggressive brain cancers with poor prognosis. Photodynamic therapy (PDT) is an efficient and noninvasive strategy for glioblastoma treatment. Porphyrins represent common photosensitizers for PDT but suffer from poor water solubility and low reactive oxygen species (ROS) yield. Herein, we report a porphyrin photosensitizer with enhanced ROS via a cascade fabrication involving the self-assembly of zinc meso-tetra(4-pyridyl)porphyrin (ZnTPyP) into tetragonal nanorods (NRs), followed by a polarity-driven morphological transition into hexagonal nanowires (NWs). Spectroscopic monitoring revealed a continuous disassembly-reassembly mechanism for this morphological transition, with a critical transition observed at 40% (v/v) ethanol. Different from the monoaxial Zn–N coordination and symmetric π-stacked structure of tetragonal NRs, the hexagonal NWs adopt a dual axial coordination and J-aggregated conjugated packing to form open hexagonal channels. This structural reorganization of NWs was accompanied by a significant absorption redshift, enhanced light harvesting, and a 1.9-fold increase in ROS generation. Upon 635 nm irradiation, the NWs exhibited a superior photodynamic effect (79.9%) compared to that of tetragonal NRs (44.5%). Apolipoprotein E (ApoE)-modified NWs traversed the blood-brain barrier and efficiently inhibited glioma growth in an orthotopic glioma model via enhanced PDT. Collectively, the solvent polarity modulation offers a powerful and general strategy to engineer supramolecular assembly architectures, paving the way for advanced photoactive nanotheranostics against brain diseases.</w:t>
      </w:r>
    </w:p>
    <w:p>
      <w:pPr>
        <w:spacing w:before="120" w:after="120"/>
      </w:pPr>
      <w:r>
        <w:rPr>
          <w:sz w:val="18"/>
        </w:rPr>
        <w:t>——————————————————————————————————————————————————————————————————————</w:t>
      </w:r>
    </w:p>
    <w:p>
      <w:pPr>
        <w:spacing w:before="160" w:after="40" w:line="240" w:lineRule="auto"/>
      </w:pPr>
      <w:r>
        <w:rPr>
          <w:b/>
        </w:rPr>
        <w:t xml:space="preserve">[221] </w:t>
      </w:r>
      <w:hyperlink r:id="rId826">
        <w:r>
          <w:rPr>
            <w:color w:val="1155CC"/>
            <w:u w:val="single"/>
          </w:rPr>
          <w:t>肝脏类器官与3D打印载体联合用于检测微塑料的时间依赖性摄取</w:t>
        </w:r>
      </w:hyperlink>
    </w:p>
    <w:p>
      <w:pPr>
        <w:spacing w:before="0" w:after="80"/>
      </w:pPr>
      <w:r>
        <w:rPr>
          <w:i/>
          <w:sz w:val="20"/>
        </w:rPr>
        <w:t>EN: Detection of Time-Dependent Uptake of Microplastics by Joint Utilization of Hepatic Organoids and a 3D-Printed Carrier</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26">
        <w:r>
          <w:rPr>
            <w:color w:val="1155CC"/>
            <w:u w:val="single"/>
          </w:rPr>
          <w:t>10.1021/acsami.6c10955</w:t>
        </w:r>
      </w:hyperlink>
    </w:p>
    <w:p>
      <w:pPr>
        <w:spacing w:before="0" w:after="120"/>
      </w:pPr>
      <w:r>
        <w:rPr>
          <w:b/>
        </w:rPr>
        <w:t xml:space="preserve">Notes: </w:t>
      </w:r>
      <w:r>
        <w:t>abstract_source=crossref</w:t>
      </w:r>
    </w:p>
    <w:p>
      <w:pPr>
        <w:spacing w:before="0" w:after="80" w:lineRule="auto" w:line="276"/>
      </w:pPr>
      <w:r>
        <w:rPr>
          <w:b/>
        </w:rPr>
        <w:t xml:space="preserve">摘要（ZH）: </w:t>
      </w:r>
      <w:r>
        <w:t>摘要 微塑料（MPs，5 μm的颗粒几乎不发生内化，而3D HOs通过组织层渗透和细胞旁滞留表现出完整微米级MPs的显著积累，其中PP摄取在48小时内达到约~40%的峰值，并长期滞留约~18%。这引发了剂量和时间依赖性肝毒性（40–4000 ng/mL），表现为8小时起CD36上调、线粒体损伤以及LDH和AST水平升高。值得注意的是，NR荧光强度由聚合物化学而非表面粗糙度决定，可实现材料特异性检测。本工作在3D体外模型中提供了新颖的无标记技术，用于探究微米级MPs的储库和有效浓度，增进对MPs在摄取和沉积后诱导细胞损伤的理解。</w:t>
      </w:r>
    </w:p>
    <w:p>
      <w:pPr>
        <w:spacing w:before="0" w:after="200" w:lineRule="auto" w:line="276"/>
      </w:pPr>
      <w:r>
        <w:rPr>
          <w:b/>
        </w:rPr>
        <w:t xml:space="preserve">Abstract (EN): </w:t>
      </w:r>
      <w:r>
        <w:t>Microplastics (MPs, 5 μm particles show negligible internalization, 3D HOs exhibited significant accumulation of intact micron-scale MPs via tissue-layer penetration and paracellular retention, with PP uptake peaking at ∼40% within 48 h and ∼18% retained long-term. This triggered dose- and time-dependent hepatotoxicity (40–4000 ng/mL), marked by CD36 upregulation from 8 h, mitochondrial impairment, and elevated LDH and AST levels. Notably, NR fluorescence intensity was governed by polymer chemistry rather than surface roughness, enabling material-specific detection. This work provides novel label-free techniques within 3D in vitro models to explore the depot and effective concentration of micron-scale MPs, advancing understanding of MP-induced cellular damage upon uptake and deposition.</w:t>
      </w:r>
    </w:p>
    <w:p>
      <w:pPr>
        <w:spacing w:before="120" w:after="120"/>
      </w:pPr>
      <w:r>
        <w:rPr>
          <w:sz w:val="18"/>
        </w:rPr>
        <w:t>——————————————————————————————————————————————————————————————————————</w:t>
      </w:r>
    </w:p>
    <w:p>
      <w:pPr>
        <w:spacing w:before="160" w:after="40" w:line="240" w:lineRule="auto"/>
      </w:pPr>
      <w:r>
        <w:rPr>
          <w:b/>
        </w:rPr>
        <w:t xml:space="preserve">[222] </w:t>
      </w:r>
      <w:hyperlink r:id="rId827">
        <w:r>
          <w:rPr>
            <w:color w:val="1155CC"/>
            <w:u w:val="single"/>
          </w:rPr>
          <w:t>铈-芦丁配位聚合物纳米粒子清除ROS并抑制阿尔茨海默病中淀粉样-β纤维化</w:t>
        </w:r>
      </w:hyperlink>
    </w:p>
    <w:p>
      <w:pPr>
        <w:spacing w:before="0" w:after="80"/>
      </w:pPr>
      <w:r>
        <w:rPr>
          <w:i/>
          <w:sz w:val="20"/>
        </w:rPr>
        <w:t>EN: Cerium-Rutin Coordination Polymer Nanoparticles for Scavenging ROS and Inhibiting Amyloid-β Fibrillation in Alzheimer's Disease</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27">
        <w:r>
          <w:rPr>
            <w:color w:val="1155CC"/>
            <w:u w:val="single"/>
          </w:rPr>
          <w:t>10.1021/acsami.6c12785</w:t>
        </w:r>
      </w:hyperlink>
    </w:p>
    <w:p>
      <w:pPr>
        <w:spacing w:before="0" w:after="120"/>
      </w:pPr>
      <w:r>
        <w:rPr>
          <w:b/>
        </w:rPr>
        <w:t xml:space="preserve">Notes: </w:t>
      </w:r>
      <w:r>
        <w:t>abstract_source=crossref</w:t>
      </w:r>
    </w:p>
    <w:p>
      <w:pPr>
        <w:spacing w:before="0" w:after="80" w:lineRule="auto" w:line="276"/>
      </w:pPr>
      <w:r>
        <w:rPr>
          <w:b/>
        </w:rPr>
        <w:t xml:space="preserve">摘要（ZH）: </w:t>
      </w:r>
      <w:r>
        <w:t>摘要 淀粉样蛋白-β (Aβ) 的异常积累通过活性氧 (ROS) 和神经炎症等过程引发细胞功能障碍和组织损伤，最终导致 AD 症状的表现。然而，现有研究表明，单独清除淀粉样蛋白-β (Aβ)、活性氧 (ROS) 或神经炎症对 AD 患者的认知和记忆功能没有显著益处。因此，鉴于 AD 复杂的致病机制，多靶点协同治疗是一种有前景的治疗策略。本文报道了由铈 (Ce)、芦丁 (Ru) 和转铁蛋白 (Trf) 组成的配位聚合物纳米粒子 Ce-Ru@Trf NPs，其能够高效清除各种 ROS、抗神经炎症并抑制 Aβ 纤维化。由于 Trf 修饰，其在脑组织中的积累显著增加。Ce-Ru@Trf NPs 还通过将小胶质细胞重定向至 M2 表型并减少促炎因子释放来抑制神经炎症。在 AD APP/PS1 模型中，它显著实现了神经保护作用并改善了认知功能。研究结果表明，由金属和天然产物组成的生物相容性配位聚合物可能为阿尔茨海默病提供一种可行的治疗策略。</w:t>
      </w:r>
    </w:p>
    <w:p>
      <w:pPr>
        <w:spacing w:before="0" w:after="200" w:lineRule="auto" w:line="276"/>
      </w:pPr>
      <w:r>
        <w:rPr>
          <w:b/>
        </w:rPr>
        <w:t xml:space="preserve">Abstract (EN): </w:t>
      </w:r>
      <w:r>
        <w:t>The abnormal accumulation of amyloid-beta (Aβ) triggers cellular dysfunction and tissue damage through processes including reactive oxygen species (ROS) and neuroinflammation, ultimately leading to the manifestation of AD symptoms. However, existing studies have revealed that the isolated clearance of amyloid-beta (Aβ), reactive oxygen species (ROS), or neuroinflammation confers no significant benefit on cognitive and memory function in AD patients. Thus, given the complex pathogenic mechanisms underlying AD, multitarget synergistic therapy represents a promising therapeutic strategy. Herein, we reported coordination polymer nanoparticles, Ce-Ru@Trf NPs, composed of cerium (Ce), rutin (Ru), and transferrin (Trf), which efficiently scavenge various ROS and anti-neuroinflammation and inhibit Aβ fibrillization. Owing to Trf modification, its accumulation in brain tissues increased significantly. The Ce-Ru@Trf NPs also dampened neuroinflammation by redirecting microglia toward the M2 phenotype and curtailing proinflammatory factor release. In an AD APP/PS1 model, it significantly achieved a neuroprotective effect and improved cognitive function. The findings suggest that biocompatible coordination polymers composed of metals and natural products may offer a viable therapeutic strategy for Alzheimer’s disease.</w:t>
      </w:r>
    </w:p>
    <w:p>
      <w:pPr>
        <w:spacing w:before="120" w:after="120"/>
      </w:pPr>
      <w:r>
        <w:rPr>
          <w:sz w:val="18"/>
        </w:rPr>
        <w:t>——————————————————————————————————————————————————————————————————————</w:t>
      </w:r>
    </w:p>
    <w:p>
      <w:pPr>
        <w:spacing w:before="160" w:after="40" w:line="240" w:lineRule="auto"/>
      </w:pPr>
      <w:r>
        <w:rPr>
          <w:b/>
        </w:rPr>
        <w:t xml:space="preserve">[223] </w:t>
      </w:r>
      <w:hyperlink r:id="rId828">
        <w:r>
          <w:rPr>
            <w:color w:val="1155CC"/>
            <w:u w:val="single"/>
          </w:rPr>
          <w:t>城市设计干预以性别敏感方式减少公共空间中的犯罪恐惧</w:t>
        </w:r>
      </w:hyperlink>
    </w:p>
    <w:p>
      <w:pPr>
        <w:spacing w:before="0" w:after="80"/>
      </w:pPr>
      <w:r>
        <w:rPr>
          <w:i/>
          <w:sz w:val="20"/>
        </w:rPr>
        <w:t>EN: Urban design interventions reduce fear of crime in public spaces in gender-sensitive ways</w:t>
      </w:r>
    </w:p>
    <w:p>
      <w:pPr>
        <w:spacing w:before="0" w:after="120"/>
      </w:pPr>
      <w:r>
        <w:rPr>
          <w:b/>
        </w:rPr>
        <w:t xml:space="preserve">Source: </w:t>
      </w:r>
      <w:r>
        <w:t>Nature Cities</w:t>
      </w:r>
      <w:r>
        <w:t xml:space="preserve">    </w:t>
      </w:r>
      <w:r>
        <w:rPr>
          <w:b/>
        </w:rPr>
        <w:t xml:space="preserve">Pub date: </w:t>
      </w:r>
      <w:r>
        <w:t>2026-08-31 00:00:00+00:00</w:t>
      </w:r>
      <w:r>
        <w:t xml:space="preserve">    </w:t>
      </w:r>
      <w:r>
        <w:rPr>
          <w:b/>
        </w:rPr>
        <w:t xml:space="preserve">DOI: </w:t>
      </w:r>
      <w:hyperlink r:id="rId829">
        <w:r>
          <w:rPr>
            <w:color w:val="1155CC"/>
            <w:u w:val="single"/>
          </w:rPr>
          <w:t>10.1038/s44284-026-00494-0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公共空间中的犯罪恐惧是全球性的重大政策问题。环境犯罪预防理论提出，改造建成环境可以减少犯罪恐惧，但关键问题仍然存在：这些干预措施对不同性别是否同样有效，以及在优化成本的同时何种强度能最大化安全感？我们在“破窗”失序背景下评估了三种干预措施：“街道之眼”（在盲墙上增加窗户）、中性刺激（通过重新粉刷墙壁去除涂鸦）和“自然基解决方案”（将整洁的植被整合到城市基础设施中）。干预措施以不同强度应用于四种类型的公共空间。我们通过在智利进行的一项使用照片模拟和改进版正负性情绪量表的随机实验，从 2,028 名受访者中收集了 18,150 项感知评分。结果表明，感知安全的改善是正向的但非线性的，表明超过一定干预强度后收益递减。至关重要的是，响应具有高度的性别特异性：干预措施对男性更有效，这表明仅靠环境改变无法完全解决女性的不安全感。</w:t>
      </w:r>
    </w:p>
    <w:p>
      <w:pPr>
        <w:spacing w:before="0" w:after="200" w:lineRule="auto" w:line="276"/>
      </w:pPr>
      <w:r>
        <w:rPr>
          <w:b/>
        </w:rPr>
        <w:t xml:space="preserve">Abstract (EN): </w:t>
      </w:r>
      <w:r>
        <w:t>Fear of crime in public spaces is a major policy problem worldwide. Environmental Crime Prevention proposes that modifying the built environment can reduce the fear of crime, but key questions remain: are these interventions equally effective across genders, and what intensity maximizes safety perceptions while optimizing costs? Here we evaluated three interventions: ‘Eyes on the Street’ (adding windows to blind walls), neutral stimuli (removing graffiti by repainting walls) and ‘Nature-Based Solutions’ (integrating tidy vegetation into urban infrastructure) in the context of ‘Broken Windows’ disorder. Interventions were applied at varying intensities across four types of public spaces. Using a randomized experiment in Chile with photo simulations and an adapted Positive and Negative Affective Schedule, we collected 18,150 perception ratings from 2,028 respondents. The results show that perceived safety improvements are positive but nonlinear, indicating diminishing returns beyond a certain intervention intensity. Critically, responses were highly gender specific: interventions were more effective for men, suggesting that environmental changes alone do not fully address women’s perceived insecurity.</w:t>
      </w:r>
    </w:p>
    <w:p>
      <w:pPr>
        <w:spacing w:before="120" w:after="120"/>
      </w:pPr>
      <w:r>
        <w:rPr>
          <w:sz w:val="18"/>
        </w:rPr>
        <w:t>——————————————————————————————————————————————————————————————————————</w:t>
      </w:r>
    </w:p>
    <w:p>
      <w:pPr>
        <w:spacing w:before="160" w:after="40" w:line="240" w:lineRule="auto"/>
      </w:pPr>
      <w:r>
        <w:rPr>
          <w:b/>
        </w:rPr>
        <w:t xml:space="preserve">[224] </w:t>
      </w:r>
      <w:hyperlink r:id="rId830">
        <w:r>
          <w:rPr>
            <w:color w:val="1155CC"/>
            <w:u w:val="single"/>
          </w:rPr>
          <w:t>团簇介导生长的催化调控实现形貌可控单晶银纳米晶的可扩展合成</w:t>
        </w:r>
      </w:hyperlink>
    </w:p>
    <w:p>
      <w:pPr>
        <w:spacing w:before="0" w:after="80"/>
      </w:pPr>
      <w:r>
        <w:rPr>
          <w:i/>
          <w:sz w:val="20"/>
        </w:rPr>
        <w:t>EN: Catalytic Regulation of Cluster-Mediated Growth Enables Scalable Synthesis of Shape-Controlled Single-Crystalline Silver Nanocrystals</w:t>
      </w:r>
    </w:p>
    <w:p>
      <w:pPr>
        <w:spacing w:before="0" w:after="120"/>
      </w:pPr>
      <w:r>
        <w:rPr>
          <w:b/>
        </w:rPr>
        <w:t xml:space="preserve">Source: </w:t>
      </w:r>
      <w:r>
        <w:t>Journal of the American Chemical Society</w:t>
      </w:r>
      <w:r>
        <w:t xml:space="preserve">    </w:t>
      </w:r>
      <w:r>
        <w:rPr>
          <w:b/>
        </w:rPr>
        <w:t xml:space="preserve">Pub date: </w:t>
      </w:r>
      <w:r>
        <w:t>2026-08-31 00:00:00+00:00</w:t>
      </w:r>
      <w:r>
        <w:t xml:space="preserve">    </w:t>
      </w:r>
      <w:r>
        <w:rPr>
          <w:b/>
        </w:rPr>
        <w:t xml:space="preserve">DOI: </w:t>
      </w:r>
      <w:hyperlink r:id="rId830">
        <w:r>
          <w:rPr>
            <w:color w:val="1155CC"/>
            <w:u w:val="single"/>
          </w:rPr>
          <w:t>10.1021/jacs.6c12925</w:t>
        </w:r>
      </w:hyperlink>
    </w:p>
    <w:p>
      <w:pPr>
        <w:spacing w:before="0" w:after="120"/>
      </w:pPr>
      <w:r>
        <w:rPr>
          <w:b/>
        </w:rPr>
        <w:t xml:space="preserve">Notes: </w:t>
      </w:r>
      <w:r>
        <w:t>abstract_source=crossref</w:t>
      </w:r>
    </w:p>
    <w:p>
      <w:pPr>
        <w:spacing w:before="0" w:after="80" w:lineRule="auto" w:line="276"/>
      </w:pPr>
      <w:r>
        <w:rPr>
          <w:b/>
        </w:rPr>
        <w:t xml:space="preserve">摘要（ZH）: </w:t>
      </w:r>
      <w:r>
        <w:t>摘要 精确控制形貌和结晶度是决定胶体纳米晶（NCs）结构相关性能的核心，这对银（Ag）纳米晶尤为重要且极具挑战。本文报道了一种催化调控策略，该策略促进团簇介导的生长路径，实现了具有可编程形貌的单晶Ag纳米晶的可规模化合成。铜（Cu）辅助的一锅加热法可制备高度均匀的Ag纳米晶，其直径可调（5–11 nm），形貌涵盖截角八面体（“mecon”）至球形，同时保持克级批次产量、空气耐受性以及与连续流合成的兼容性。光谱和质谱分析揭示了涉及离散Ag团簇中间体的分步生长路径，微量Cu物种作为催化剂可加速这些中间体的形成和相互转化。密度泛函理论计算进一步表明，Cu可调节表面能和层错能，促进具有明确晶面的单晶生长。通过引入定量形貌描述符，我们建立了纳米晶形貌与等离激元响应之间的预测关系，并得到离散偶极近似模拟的支持。这些结果确立了一般性合成原理：催化物种与动态配体环境协同调控团簇相演化，从而实现对纳米晶结构与功能的精确、可规模化控制。</w:t>
      </w:r>
    </w:p>
    <w:p>
      <w:pPr>
        <w:spacing w:before="0" w:after="200" w:lineRule="auto" w:line="276"/>
      </w:pPr>
      <w:r>
        <w:rPr>
          <w:b/>
        </w:rPr>
        <w:t xml:space="preserve">Abstract (EN): </w:t>
      </w:r>
      <w:r>
        <w:t>Precisely controlling shape and crystallinity is central to defining structure-dependent properties in colloidal nanocrystals (NCs), which is particularly important yet challenging for silver (Ag) NCs. Here, we report catalytic regulation that facilitates cluster-mediated growth pathways to enable the scalable synthesis of single-crystalline Ag-NCs with programmable shapes. A copper (Cu)-assisted, one-pot heating-up process produces highly uniform Ag-NCs with tunable diameters (5–11 nm) and morphologies ranging from truncated-octahedral (“mecon”) to spherical geometries, while maintaining gram-scale batch output, air tolerance, and compatibility with continuous flow synthesis. Spectroscopic and mass spectrometric analyses reveal a stepwise growth pathway involving discrete Ag cluster intermediates, whose formation and interconversion are accelerated by trace Cu species acting as catalysts. Density functional theory calculations further show that Cu modulates surface and stacking-fault energetics, promoting single-crystalline growth with well-defined facets. By introducing a quantitative shape descriptor, we establish predictive relationships linking NC morphology to plasmonic response, supported by discrete dipole approximation simulations. These results define a general synthetic principle in which catalytic species and dynamic ligand environments cooperatively govern cluster-phase evolution, enabling precise and scalable control of NC structure and function.</w:t>
      </w:r>
    </w:p>
    <w:p>
      <w:pPr>
        <w:spacing w:before="120" w:after="120"/>
      </w:pPr>
      <w:r>
        <w:rPr>
          <w:sz w:val="18"/>
        </w:rPr>
        <w:t>——————————————————————————————————————————————————————————————————————</w:t>
      </w:r>
    </w:p>
    <w:p>
      <w:pPr>
        <w:spacing w:before="160" w:after="40" w:line="240" w:lineRule="auto"/>
      </w:pPr>
      <w:r>
        <w:rPr>
          <w:b/>
        </w:rPr>
        <w:t xml:space="preserve">[225] </w:t>
      </w:r>
      <w:hyperlink r:id="rId831">
        <w:r>
          <w:rPr>
            <w:color w:val="1155CC"/>
            <w:u w:val="single"/>
          </w:rPr>
          <w:t>活体系统中疏水相互作用的光触发解码</w:t>
        </w:r>
      </w:hyperlink>
    </w:p>
    <w:p>
      <w:pPr>
        <w:spacing w:before="0" w:after="80"/>
      </w:pPr>
      <w:r>
        <w:rPr>
          <w:i/>
          <w:sz w:val="20"/>
        </w:rPr>
        <w:t>EN: Light-Triggered Decoding of Hydrophobic Interactions in Living Systems</w:t>
      </w:r>
    </w:p>
    <w:p>
      <w:pPr>
        <w:spacing w:before="0" w:after="120"/>
      </w:pPr>
      <w:r>
        <w:rPr>
          <w:b/>
        </w:rPr>
        <w:t xml:space="preserve">Source: </w:t>
      </w:r>
      <w:r>
        <w:t>Journal of the American Chemical Society</w:t>
      </w:r>
      <w:r>
        <w:t xml:space="preserve">    </w:t>
      </w:r>
      <w:r>
        <w:rPr>
          <w:b/>
        </w:rPr>
        <w:t xml:space="preserve">Pub date: </w:t>
      </w:r>
      <w:r>
        <w:t>2026-08-31 00:00:00+00:00</w:t>
      </w:r>
      <w:r>
        <w:t xml:space="preserve">    </w:t>
      </w:r>
      <w:r>
        <w:rPr>
          <w:b/>
        </w:rPr>
        <w:t xml:space="preserve">DOI: </w:t>
      </w:r>
      <w:hyperlink r:id="rId831">
        <w:r>
          <w:rPr>
            <w:color w:val="1155CC"/>
            <w:u w:val="single"/>
          </w:rPr>
          <w:t>10.1021/jacs.6c11056</w:t>
        </w:r>
      </w:hyperlink>
    </w:p>
    <w:p>
      <w:pPr>
        <w:spacing w:before="0" w:after="120"/>
      </w:pPr>
      <w:r>
        <w:rPr>
          <w:b/>
        </w:rPr>
        <w:t xml:space="preserve">Notes: </w:t>
      </w:r>
      <w:r>
        <w:t>abstract_source=crossref</w:t>
      </w:r>
    </w:p>
    <w:p>
      <w:pPr>
        <w:spacing w:before="0" w:after="80" w:lineRule="auto" w:line="276"/>
      </w:pPr>
      <w:r>
        <w:rPr>
          <w:b/>
        </w:rPr>
        <w:t xml:space="preserve">摘要（ZH）: </w:t>
      </w:r>
      <w:r>
        <w:t>摘要 疏水效应是生物组织的核心，支撑着膜组装、分子识别和蛋白质折叠。尽管其重要性显著，但由于疏水效应源于C(sp3)–H键化学惰性的烃骨架周围的集体溶剂化自由能效应，对其时空控制极具挑战。本文表明，利用水溶性官能团和可见光，可在生理条件下按需编码和解码疏水相互作用。脂肪族碳骨架被编码于带电自由基前体中，显著降低了水溶剂化的自由能损失。光触发的单电子脱羧反应将这些前体转化为非极性烃类产物，恢复疏水相互作用。这一转变驱动了包括膜自组装、脂质介导的信号传导以及活细胞中靶向蛋白质降解等涌现行为。</w:t>
      </w:r>
    </w:p>
    <w:p>
      <w:pPr>
        <w:spacing w:before="0" w:after="200" w:lineRule="auto" w:line="276"/>
      </w:pPr>
      <w:r>
        <w:rPr>
          <w:b/>
        </w:rPr>
        <w:t xml:space="preserve">Abstract (EN): </w:t>
      </w:r>
      <w:r>
        <w:t>The hydrophobic effect is central to biological organization, underlying membrane assembly, molecular recognition, and protein folding. Despite its importance, spatiotemporal control of hydrophobicity is challenging because it emerges from collective solvation free-energy effects around hydrocarbon frameworks whose C(sp3)–H bonds are chemically inert. Here we show that hydrophobic interactions can be encoded and decoded on demand under physiological conditions using water-soluble functional groups and visible light. Aliphatic carbon frameworks are encoded in charged radical precursors, significantly reducing the free-energy penalty of aqueous solvation. Light-triggered single-electron decarboxylation converts these precursors into nonpolar hydrocarbon products, restoring hydrophobic interactions. This transition drives emergent behaviors including membrane self-assembly, lipid-mediated signaling, and targeted protein degradation in living cells.</w:t>
      </w:r>
    </w:p>
    <w:p>
      <w:pPr>
        <w:spacing w:before="120" w:after="120"/>
      </w:pPr>
      <w:r>
        <w:rPr>
          <w:sz w:val="18"/>
        </w:rPr>
        <w:t>——————————————————————————————————————————————————————————————————————</w:t>
      </w:r>
    </w:p>
    <w:p>
      <w:pPr>
        <w:spacing w:before="160" w:after="40" w:line="240" w:lineRule="auto"/>
      </w:pPr>
      <w:r>
        <w:rPr>
          <w:b/>
        </w:rPr>
        <w:t xml:space="preserve">[226] </w:t>
      </w:r>
      <w:hyperlink r:id="rId832">
        <w:r>
          <w:rPr>
            <w:color w:val="1155CC"/>
            <w:u w:val="single"/>
          </w:rPr>
          <w:t>BaCo x Fe0.8– x Zr0.1Y0.1O3−δ (BCFZY) 中组成对质子和氧离子传导的影响</w:t>
        </w:r>
      </w:hyperlink>
    </w:p>
    <w:p>
      <w:pPr>
        <w:spacing w:before="0" w:after="80"/>
      </w:pPr>
      <w:r>
        <w:rPr>
          <w:i/>
          <w:sz w:val="20"/>
        </w:rPr>
        <w:t>EN: Compositional Effects on Proton and Oxygen Ion Transport in BaCo x Fe0.8– x Zr0.1Y0.1O3−δ (BCFZY)</w:t>
      </w:r>
    </w:p>
    <w:p>
      <w:pPr>
        <w:spacing w:before="0" w:after="120"/>
      </w:pPr>
      <w:r>
        <w:rPr>
          <w:b/>
        </w:rPr>
        <w:t xml:space="preserve">Source: </w:t>
      </w:r>
      <w:r>
        <w:t>Journal of the American Chemical Society</w:t>
      </w:r>
      <w:r>
        <w:t xml:space="preserve">    </w:t>
      </w:r>
      <w:r>
        <w:rPr>
          <w:b/>
        </w:rPr>
        <w:t xml:space="preserve">Pub date: </w:t>
      </w:r>
      <w:r>
        <w:t>2026-08-31 00:00:00+00:00</w:t>
      </w:r>
      <w:r>
        <w:t xml:space="preserve">    </w:t>
      </w:r>
      <w:r>
        <w:rPr>
          <w:b/>
        </w:rPr>
        <w:t xml:space="preserve">DOI: </w:t>
      </w:r>
      <w:hyperlink r:id="rId832">
        <w:r>
          <w:rPr>
            <w:color w:val="1155CC"/>
            <w:u w:val="single"/>
          </w:rPr>
          <w:t>10.1021/jacs.6c04096</w:t>
        </w:r>
      </w:hyperlink>
    </w:p>
    <w:p>
      <w:pPr>
        <w:spacing w:before="0" w:after="120"/>
      </w:pPr>
      <w:r>
        <w:rPr>
          <w:b/>
        </w:rPr>
        <w:t xml:space="preserve">Notes: </w:t>
      </w:r>
      <w:r>
        <w:t>abstract_source=crossref</w:t>
      </w:r>
    </w:p>
    <w:p>
      <w:pPr>
        <w:spacing w:before="0" w:after="80" w:lineRule="auto" w:line="276"/>
      </w:pPr>
      <w:r>
        <w:rPr>
          <w:b/>
        </w:rPr>
        <w:t xml:space="preserve">摘要（ZH）: </w:t>
      </w:r>
      <w:r>
        <w:t>摘要 BaCo0.4Fe0.4Zr0.1Y0.1O3−δ（BCFZY4411）因其三重导电能力、易于合成和结构稳定性而备受关注。近期研究表明，通过精细调节Co/Fe比例可调控BaCoxFe0.8–xZr0.1Y0.1O3−δ（BCFZY）的电催化活性和H+/O2–输运行为；然而，支配这些性能的底层机制仍不明确。本文利用高通量密度泛函理论（HT-DFT）计算和中子衍射分析，研究了BCFZY固溶体系列的晶格离子空位、确定潜在质子位置，并计算了H+/O2–输运路径和迁移能垒。我们发现，增加Co含量会提高O空位浓度并降低O2–扩散能垒。虽然质子浓度极低（</w:t>
      </w:r>
    </w:p>
    <w:p>
      <w:pPr>
        <w:spacing w:before="0" w:after="200" w:lineRule="auto" w:line="276"/>
      </w:pPr>
      <w:r>
        <w:rPr>
          <w:b/>
        </w:rPr>
        <w:t xml:space="preserve">Abstract (EN): </w:t>
      </w:r>
      <w:r>
        <w:t>BaCo0.4Fe0.4Zr0.1Y0.1O3−δ (BCFZY4411) has garnered heightened interest due to its triple-conducting capability, accessible synthesis, and structural stability. The electrocatalytic activity and H+/O2– transport behavior of BaCoxFe0.8–xZr0.1Y0.1O3−δ (BCFZY) can be tailored by fine-tuning the Co/Fe ratio, as recent studies suggest; however, the underlying mechanisms governing these properties remain unclear. Here, we use high-throughput density functional theory (HT-DFT) calculations and neutron diffraction analysis to investigate lattice ion vacancies, locate potential proton positions, and calculate H+/O2– transport pathways and migration energy barriers across the BCFZY solid solution series. We find that increasing Co content increases O vacancy concentration and lowers O2– diffusion energy barriers. While the proton concentration is extremely low (</w:t>
      </w:r>
    </w:p>
    <w:p>
      <w:pPr>
        <w:spacing w:before="120" w:after="120"/>
      </w:pPr>
      <w:r>
        <w:rPr>
          <w:sz w:val="18"/>
        </w:rPr>
        <w:t>——————————————————————————————————————————————————————————————————————</w:t>
      </w:r>
    </w:p>
    <w:p>
      <w:pPr>
        <w:spacing w:before="160" w:after="40" w:line="240" w:lineRule="auto"/>
      </w:pPr>
      <w:r>
        <w:rPr>
          <w:b/>
        </w:rPr>
        <w:t xml:space="preserve">[227] </w:t>
      </w:r>
      <w:hyperlink r:id="rId833">
        <w:r>
          <w:rPr>
            <w:color w:val="1155CC"/>
            <w:u w:val="single"/>
          </w:rPr>
          <w:t>用于精确调控和生物功能调节的按需功能化神经电极界面</w:t>
        </w:r>
      </w:hyperlink>
    </w:p>
    <w:p>
      <w:pPr>
        <w:spacing w:before="0" w:after="80"/>
      </w:pPr>
      <w:r>
        <w:rPr>
          <w:i/>
          <w:sz w:val="20"/>
        </w:rPr>
        <w:t>EN: An On-Demand Functionalizable Neural Electrode Interface for Precise Interrogation and Biofunctional Regulation</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33">
        <w:r>
          <w:rPr>
            <w:color w:val="1155CC"/>
            <w:u w:val="single"/>
          </w:rPr>
          <w:t>10.1021/acsami.6c12522</w:t>
        </w:r>
      </w:hyperlink>
    </w:p>
    <w:p>
      <w:pPr>
        <w:spacing w:before="0" w:after="120"/>
      </w:pPr>
      <w:r>
        <w:rPr>
          <w:b/>
        </w:rPr>
        <w:t xml:space="preserve">Notes: </w:t>
      </w:r>
      <w:r>
        <w:t>abstract_source=crossref</w:t>
      </w:r>
    </w:p>
    <w:p>
      <w:pPr>
        <w:spacing w:before="0" w:after="80" w:lineRule="auto" w:line="276"/>
      </w:pPr>
      <w:r>
        <w:rPr>
          <w:b/>
        </w:rPr>
        <w:t xml:space="preserve">摘要（ZH）: </w:t>
      </w:r>
      <w:r>
        <w:t>摘要 能够实现精确探测和生物功能调控的神经电极——既包括长期电生理信号记录，也包括通过表面生物功能化对神经元或病理细胞行为的可调控制——在推进神经系统疾病的诊断和治疗方面具有重大前景。一个关键挑战在于缓解免疫介导的异物反应，该反应常导致胶质瘢痕形成，像“水泥”一样包裹植入物，严重损害其功能。为此，我们开发了一种苄氧羰基（Cbz）取代的聚（鸟氨酸-交替-甘氨酸）（OGCbz）界面，其本身可抵御生物污染和免疫排斥，同时不降低电学性能。值得注意的是，用各种功能基团替换Cbz基团不仅保持了这些优异的抗污染和生物相容性，还赋予了相应的功能。作为概念验证，将Cbz替换为多肽序列IKVAV和抗体西妥昔单抗，成功赋予界面神经元亲和性和肿瘤细胞增殖抑制能力，同时保留其固有的抗污染和抗异物反应特性。在六个月的体内植入期间，IKVAV功能化电极表现出显著延长的工作寿命和改善的电生理信号保真度。这项工作为开发耐用且多功能的神经界面提供了一种可靠且通用的界面策略。</w:t>
      </w:r>
    </w:p>
    <w:p>
      <w:pPr>
        <w:spacing w:before="0" w:after="200" w:lineRule="auto" w:line="276"/>
      </w:pPr>
      <w:r>
        <w:rPr>
          <w:b/>
        </w:rPr>
        <w:t xml:space="preserve">Abstract (EN): </w:t>
      </w:r>
      <w:r>
        <w:t>Neural electrodes capable of precise interrogation and biofunctional regulation—encompassing both long-term electrophysiological signal recording and tunable control of neuronal or pathological cell behavior via surface biofunctionalization—hold significant promise for advancing the diagnosis and treatment of neurological disorders. A critical challenge lies in mitigating the immune-mediated foreign body response, which often leads to glial scar formation that encapsulates implants like “cement,” severely compromising functionality. To address this, we develop a benzyloxycarbonyl (Cbz)-substituted poly(ornithine-alt-glycine) (OGCbz) interface, which inherently resists biofouling and immunogenic rejection without degrading electrical performance. Notably, substituting the Cbz group with various functional moieties not only maintains these excellent antifouling and biocompatibility properties but also imparts corresponding functionalities. As a proof-of-concept, replacing Cbz with the peptide sequence IKVAV and the antibody cetuximab successfully endows the interface with neuron-affinity and tumor cell proliferation inhibition, while retaining its inherent antifouling and anti-foreign-body reaction properties. During a six-month in vivo implantation period, the IKVAV-functionalized electrodes exhibit a significantly enhanced operational lifetime with improved electrophysiological signal fidelity. This work presents a reliable and versatile interfacial strategy for developing durable and multifunctional neural interfaces.</w:t>
      </w:r>
    </w:p>
    <w:p>
      <w:pPr>
        <w:spacing w:before="120" w:after="120"/>
      </w:pPr>
      <w:r>
        <w:rPr>
          <w:sz w:val="18"/>
        </w:rPr>
        <w:t>——————————————————————————————————————————————————————————————————————</w:t>
      </w:r>
    </w:p>
    <w:p>
      <w:pPr>
        <w:spacing w:before="160" w:after="40" w:line="240" w:lineRule="auto"/>
      </w:pPr>
      <w:r>
        <w:rPr>
          <w:b/>
        </w:rPr>
        <w:t xml:space="preserve">[228] </w:t>
      </w:r>
      <w:hyperlink r:id="rId834">
        <w:r>
          <w:rPr>
            <w:color w:val="1155CC"/>
            <w:u w:val="single"/>
          </w:rPr>
          <w:t>用于高效天蓝光准二维钙钛矿发光二极管的混合单铵/二铵配体</w:t>
        </w:r>
      </w:hyperlink>
    </w:p>
    <w:p>
      <w:pPr>
        <w:spacing w:before="0" w:after="80"/>
      </w:pPr>
      <w:r>
        <w:rPr>
          <w:i/>
          <w:sz w:val="20"/>
        </w:rPr>
        <w:t>EN: Mixed Monoammonium/Diammonium Ligands for High-Efficiency Sky-Blue Quasi-2D Perovskite Light-Emitting Diodes</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34">
        <w:r>
          <w:rPr>
            <w:color w:val="1155CC"/>
            <w:u w:val="single"/>
          </w:rPr>
          <w:t>10.1021/acsami.6c12907</w:t>
        </w:r>
      </w:hyperlink>
    </w:p>
    <w:p>
      <w:pPr>
        <w:spacing w:before="0" w:after="120"/>
      </w:pPr>
      <w:r>
        <w:rPr>
          <w:b/>
        </w:rPr>
        <w:t xml:space="preserve">Notes: </w:t>
      </w:r>
      <w:r>
        <w:t>abstract_source=crossref</w:t>
      </w:r>
    </w:p>
    <w:p>
      <w:pPr>
        <w:spacing w:before="0" w:after="80" w:lineRule="auto" w:line="276"/>
      </w:pPr>
      <w:r>
        <w:rPr>
          <w:b/>
        </w:rPr>
        <w:t xml:space="preserve">摘要（ZH）: </w:t>
      </w:r>
      <w:r>
        <w:t>摘要 准二维（quasi-2D）金属卤化物钙钛矿在发光显示领域展现出巨大潜力。单铵阳离子配体被广泛用于制备准二维钙钛矿。本文提出了一种混合配体策略，将单铵配体4-甲氧基苯乙基溴化铵与双铵配体3,6-二氧杂-1,8-辛二胺溴化氢盐（DADOBr2）相结合，用于制备蓝光发射准二维钙钛矿。DADOBr2的双铵配体不仅作为相邻无机层的连接体以增强准二维钙钛矿结构的刚性，还通过其氧原子有利于钝化未配位的Pb2+离子，从而减少激子–声子耦合和陷阱辅助非辐射复合造成的能量损失。研究还发现，混合配体策略导致准二维钙钛矿的随机晶体取向，限制了载流子传输并提高了辐射复合速率。混合配体策略显著提高了蓝色准二维钙钛矿薄膜的光致发光量子产率，并将蓝光器件的外量子效率提升至14.2%。</w:t>
      </w:r>
    </w:p>
    <w:p>
      <w:pPr>
        <w:spacing w:before="0" w:after="200" w:lineRule="auto" w:line="276"/>
      </w:pPr>
      <w:r>
        <w:rPr>
          <w:b/>
        </w:rPr>
        <w:t xml:space="preserve">Abstract (EN): </w:t>
      </w:r>
      <w:r>
        <w:t>Quasi-two-dimensional (quasi-2D) metal halide perovskites have demonstrated great potential in light-emitting displays. Monoammonium cation ligands are widely employed for preparing quasi-2D perovskites. Herein, a mixed-ligand strategy combining monoammonium ligand 4-methoxyphenethylammonium hydrobromide with diammonium ligand 3,6-dioxa-1,8-octanediammonium hydrobromide (DADOBr2) is proposed for preparing blue-emissive quasi-2D perovskites. The diammonium ligand of DADOBr2 not only serves as a linker of adjacent inorganic layers to enhance the rigidity of the quasi-2D perovskite structure, but also favors passivating the uncoordinated Pb2+ ions with its oxygen atoms, therefore reducing the energy loss caused by exciton–phonon coupling and trap-assisted nonradiative recombination. It is also found that the mixed-ligand strategy leads to random crystal orientation of quasi-2D perovskites, resulting in restricted carrier transport and increased radiative recombination rate. The mixed-ligand strategy significantly enhances the photoluminescence quantum yield of the blue quasi-2D perovskite film and boosts the external quantum efficiency of the blue device to 14.2%.</w:t>
      </w:r>
    </w:p>
    <w:p>
      <w:pPr>
        <w:spacing w:before="120" w:after="120"/>
      </w:pPr>
      <w:r>
        <w:rPr>
          <w:sz w:val="18"/>
        </w:rPr>
        <w:t>——————————————————————————————————————————————————————————————————————</w:t>
      </w:r>
    </w:p>
    <w:p>
      <w:pPr>
        <w:spacing w:before="160" w:after="40" w:line="240" w:lineRule="auto"/>
      </w:pPr>
      <w:r>
        <w:rPr>
          <w:b/>
        </w:rPr>
        <w:t xml:space="preserve">[229] </w:t>
      </w:r>
      <w:hyperlink r:id="rId835">
        <w:r>
          <w:rPr>
            <w:color w:val="1155CC"/>
            <w:u w:val="single"/>
          </w:rPr>
          <w:t>2-(4-硝基苯基)-1H-吲哚-3-基甲基 (NPIM) 衍生物光诱导键解离的机理研究：量子自旋操控解笼释放的案例研究</w:t>
        </w:r>
      </w:hyperlink>
    </w:p>
    <w:p>
      <w:pPr>
        <w:spacing w:before="0" w:after="80"/>
      </w:pPr>
      <w:r>
        <w:rPr>
          <w:i/>
          <w:sz w:val="20"/>
        </w:rPr>
        <w:t>EN: Mechanistic Insights into Photo-Induced Bond Dissociation of a 2-(4-Nitrophenyl)-1H-indole-3-ylmethyl (NPIM) Derivative: A Case Study on Quantum Spin-Manipulation for Uncaging</w:t>
      </w:r>
    </w:p>
    <w:p>
      <w:pPr>
        <w:spacing w:before="0" w:after="120"/>
      </w:pPr>
      <w:r>
        <w:rPr>
          <w:b/>
        </w:rPr>
        <w:t xml:space="preserve">Source: </w:t>
      </w:r>
      <w:r>
        <w:t>Journal of the American Chemical Society</w:t>
      </w:r>
      <w:r>
        <w:t xml:space="preserve">    </w:t>
      </w:r>
      <w:r>
        <w:rPr>
          <w:b/>
        </w:rPr>
        <w:t xml:space="preserve">Pub date: </w:t>
      </w:r>
      <w:r>
        <w:t>2026-08-31 00:00:00+00:00</w:t>
      </w:r>
      <w:r>
        <w:t xml:space="preserve">    </w:t>
      </w:r>
      <w:r>
        <w:rPr>
          <w:b/>
        </w:rPr>
        <w:t xml:space="preserve">DOI: </w:t>
      </w:r>
      <w:hyperlink r:id="rId835">
        <w:r>
          <w:rPr>
            <w:color w:val="1155CC"/>
            <w:u w:val="single"/>
          </w:rPr>
          <w:t>10.1021/jacs.6c13942</w:t>
        </w:r>
      </w:hyperlink>
    </w:p>
    <w:p>
      <w:pPr>
        <w:spacing w:before="0" w:after="120"/>
      </w:pPr>
      <w:r>
        <w:rPr>
          <w:b/>
        </w:rPr>
        <w:t xml:space="preserve">Notes: </w:t>
      </w:r>
      <w:r>
        <w:t>abstract_source=crossref</w:t>
      </w:r>
    </w:p>
    <w:p>
      <w:pPr>
        <w:spacing w:before="0" w:after="80" w:lineRule="auto" w:line="276"/>
      </w:pPr>
      <w:r>
        <w:rPr>
          <w:b/>
        </w:rPr>
        <w:t xml:space="preserve">摘要（ZH）: </w:t>
      </w:r>
      <w:r>
        <w:t>摘要 光不稳定保护基团（PPGs）是时空可控释放反应性官能团不可或缺的工具。最近，我们提出了一种量子自旋调控（QSM-1）策略，利用三重态基态阳离子使离子对复合自旋禁阻，从而提高脱笼量子产率。本研究考察了带有苯甲酸酯离去基团的2-(4-硝基苯基)-1H-吲哚-3-基甲基（NPIM）光笼的光解离机制，以评估三重态激发态介导的QSM路径（QSM-2）的有效性。光谱分析表明，NPIM的激发态具有相对较小的单重态–三重态能隙（ΔEST = 5.3 kcal mol–1），使得从分子内电荷转移单重态到三重态的高效系间窜越（ISC）成为可能。氧猝灭实验证明，光解离主要从三重态激发态进行。时间分辨吸收光谱识别出单重激发态（τ = 1.6 ns）、三重激发态（τ = 2.3 μs）和NPIM自由基中间体（τ = 1.5 ms）。原位红外分析直接检测到苯甲酸、氧化的NPIM产物以及由苯甲酰自由基生成的CO2，支持均裂键断裂机制。对NPIM发色团的超快时间分辨红外光谱揭示了扭曲分子内电荷转移态的形成，该态通过降低ΔEST促进ISC。密度泛函理论计算进一步表明，从</w:t>
      </w:r>
    </w:p>
    <w:p>
      <w:pPr>
        <w:spacing w:before="0" w:after="200" w:lineRule="auto" w:line="276"/>
      </w:pPr>
      <w:r>
        <w:rPr>
          <w:b/>
        </w:rPr>
        <w:t xml:space="preserve">Abstract (EN): </w:t>
      </w:r>
      <w:r>
        <w:t>Photolabile protecting groups (PPGs) are indispensable tools for spatiotemporally controlled release of reactive functional groups. Recently, we proposed a quantum spin-manipulation (QSM-1) strategy that employs triplet ground-state cations to render ion-pair recombination spin-forbidden, thereby enhancing the uncaging quantum yield. In this study, the photodissociation mechanism of a 2-(4-nitrophenyl)-1H-indole-3-ylmethyl (NPIM) photocage bearing a benzoate leaving group was investigated to evaluate the effectiveness of a triplet excited-state-mediated QSM pathway (QSM-2). Spectroscopic analyses revealed that the excited state of NPIM possesses a relatively small singlet–triplet energy gap (ΔEST = 5.3 kcal mol–1), enabling efficient intersystem crossing (ISC) from the intramolecular charge-transfer singlet excited state to the triplet excited state. Oxygen-quenching experiments demonstrated that photodissociation proceeds predominantly from the triplet excited state. Time-resolved absorption spectroscopy identified the singlet excited state (τ = 1.6 ns), triplet excited state (τ = 2.3 μs), and NPIM radical intermediate (τ = 1.5 ms). In situ infrared analysis directly detected benzoic acid, an oxidized NPIM product, and CO2 generated from the benzoyl radical, supporting a homolytic bond-cleavage mechanism. Ultrafast time-resolved infrared spectroscopy of the NPIM chromophore revealed formation of a twisted intramolecular charge-transfer state that promotes ISC by reducing ΔEST. Density functional theory calculations further indicate that C–O bond homolysis from the triplet excited state is energetically feasible and is driven by relief of excited-state antiaromaticity. These results establish that uncaging of NPIM derivatives proceeds through triplet-state homolysis and demonstrate the validity of the QSM-2 strategy for designing efficient photochemical release systems.</w:t>
      </w:r>
    </w:p>
    <w:p>
      <w:pPr>
        <w:spacing w:before="120" w:after="120"/>
      </w:pPr>
      <w:r>
        <w:rPr>
          <w:sz w:val="18"/>
        </w:rPr>
        <w:t>——————————————————————————————————————————————————————————————————————</w:t>
      </w:r>
    </w:p>
    <w:p>
      <w:pPr>
        <w:spacing w:before="160" w:after="40" w:line="240" w:lineRule="auto"/>
      </w:pPr>
      <w:r>
        <w:rPr>
          <w:b/>
        </w:rPr>
        <w:t xml:space="preserve">[230] </w:t>
      </w:r>
      <w:hyperlink r:id="rId836">
        <w:r>
          <w:rPr>
            <w:color w:val="1155CC"/>
            <w:u w:val="single"/>
          </w:rPr>
          <w:t>聚合物刷辅助制备层状金属氧化物异质结构用于未来电子器件应用</w:t>
        </w:r>
      </w:hyperlink>
    </w:p>
    <w:p>
      <w:pPr>
        <w:spacing w:before="0" w:after="80"/>
      </w:pPr>
      <w:r>
        <w:rPr>
          <w:i/>
          <w:sz w:val="20"/>
        </w:rPr>
        <w:t>EN: Polymer Brush-Assisted Fabrication of Layered Metal Oxide Heterostructures for Future Electronic Device Applications</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36">
        <w:r>
          <w:rPr>
            <w:color w:val="1155CC"/>
            <w:u w:val="single"/>
          </w:rPr>
          <w:t>10.1021/acsami.6c12431</w:t>
        </w:r>
      </w:hyperlink>
    </w:p>
    <w:p>
      <w:pPr>
        <w:spacing w:before="0" w:after="120"/>
      </w:pPr>
      <w:r>
        <w:rPr>
          <w:b/>
        </w:rPr>
        <w:t xml:space="preserve">Notes: </w:t>
      </w:r>
      <w:r>
        <w:t>abstract_source=crossref</w:t>
      </w:r>
    </w:p>
    <w:p>
      <w:pPr>
        <w:spacing w:before="0" w:after="80" w:lineRule="auto" w:line="276"/>
      </w:pPr>
      <w:r>
        <w:rPr>
          <w:b/>
        </w:rPr>
        <w:t xml:space="preserve">摘要（ZH）: </w:t>
      </w:r>
      <w:r>
        <w:t>摘要 对于电子器件的未来发展，除了性能和尺寸之外，材料的可持续利用以及能耗的降低也是需要考虑的因素。这促使人们探索集成电路制造中的替代工艺。在本研究中，我们提出了一种新颖且低成本的聚合物刷渗透技术，用于逐层制备介电体-半导体-介电体纳米薄膜。采用聚合物刷模板促进氧化铝（Al2O3）和氧化铟（In2O3）前驱体的均匀渗透，并随后通过UV/臭氧处理实现氧化物薄膜层的形成。利用原子力显微镜（AFM）、扫描电子显微镜（SEM）、X射线光电子能谱（XPS）和透射电子显微镜（TEM）对各层的结构完整性、组成和表面形貌进行了表征。电学测量证实了完整的Al2O3/In2O3/Al2O3栅极叠层的绝缘行为，而电容-电压（CV）特性则揭示了与含In2O3结构相关的电荷俘获行为。这项工作展示了一种可扩展且简便的Al2O3/In2O3/Al2O3多层氧化物异质结构的制备策略。结构和MOS电容器的表征确立了所制备多层叠层的质量及其电荷俘获行为，为未来的氧化物电子器件提供了一个有前景的材料平台。</w:t>
      </w:r>
    </w:p>
    <w:p>
      <w:pPr>
        <w:spacing w:before="0" w:after="200" w:lineRule="auto" w:line="276"/>
      </w:pPr>
      <w:r>
        <w:rPr>
          <w:b/>
        </w:rPr>
        <w:t xml:space="preserve">Abstract (EN): </w:t>
      </w:r>
      <w:r>
        <w:t>For the future advancement of electronic devices, the sustainable use of materials and a reduction of the energy consumed are factors which need to be considered, as well as performance and size. This has motivated the need to explore alternative processes in integrated circuit manufacture. In this study, we present a novel and cost-effective polymer brush infiltration technique for fabricating layer-by-layer dielectric-semiconductor-dielectric nanofilms. A polymer brush template was employed to facilitate the uniform infiltration of aluminium oxide (Al2O3) and indium oxide (In2O3) precursors, and subsequent UV/ozone treatment to achieve the formation of oxide film layers. The structural integrity, composition, and surface morphology of the layers were characterized using atomic force microscopy (AFM), scanning electron microscopy (SEM), X-ray photoelectron spectroscopy (XPS), and transmission electron microscopy (TEM). Electrical measurements confirmed the insulating behaviour of the complete Al2O3/In2O3/Al2O3 gate stack, whereas capacitance-voltage (CV) characteristics revealed charge trapping behaviour associated with the In2O3-containing structure. This work demonstrates a scalable and straightforward fabrication strategy for Al2O3/In2O3/Al2O3 multilayer oxide heterostructures. Structural and MOS capacitor characterization establish the quality of the fabricated multilayer stack and its charge trapping behaviour, providing a promising materials platform for future oxide electronic devices.</w:t>
      </w:r>
    </w:p>
    <w:p>
      <w:pPr>
        <w:spacing w:before="120" w:after="120"/>
      </w:pPr>
      <w:r>
        <w:rPr>
          <w:sz w:val="18"/>
        </w:rPr>
        <w:t>——————————————————————————————————————————————————————————————————————</w:t>
      </w:r>
    </w:p>
    <w:p>
      <w:pPr>
        <w:spacing w:before="160" w:after="40" w:line="240" w:lineRule="auto"/>
      </w:pPr>
      <w:r>
        <w:rPr>
          <w:b/>
        </w:rPr>
        <w:t xml:space="preserve">[231] </w:t>
      </w:r>
      <w:hyperlink r:id="rId837">
        <w:r>
          <w:rPr>
            <w:color w:val="1155CC"/>
            <w:u w:val="single"/>
          </w:rPr>
          <w:t>具有类过氧化物酶活性的最小血红素-白蛋白纳米酶实现酪氨酸交联水凝胶的形成</w:t>
        </w:r>
      </w:hyperlink>
    </w:p>
    <w:p>
      <w:pPr>
        <w:spacing w:before="0" w:after="80"/>
      </w:pPr>
      <w:r>
        <w:rPr>
          <w:i/>
          <w:sz w:val="20"/>
        </w:rPr>
        <w:t>EN: A Minimal Hemin-Albumin Nanozyme with Peroxidase-like Activity Enabling Tyrosine-Crosslinked Hydrogel Formation</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37">
        <w:r>
          <w:rPr>
            <w:color w:val="1155CC"/>
            <w:u w:val="single"/>
          </w:rPr>
          <w:t>10.1021/acsami.6c10477</w:t>
        </w:r>
      </w:hyperlink>
    </w:p>
    <w:p>
      <w:pPr>
        <w:spacing w:before="0" w:after="120"/>
      </w:pPr>
      <w:r>
        <w:rPr>
          <w:b/>
        </w:rPr>
        <w:t xml:space="preserve">Notes: </w:t>
      </w:r>
      <w:r>
        <w:t>abstract_source=crossref</w:t>
      </w:r>
    </w:p>
    <w:p>
      <w:pPr>
        <w:spacing w:before="0" w:after="80" w:lineRule="auto" w:line="276"/>
      </w:pPr>
      <w:r>
        <w:rPr>
          <w:b/>
        </w:rPr>
        <w:t xml:space="preserve">摘要（ZH）: </w:t>
      </w:r>
      <w:r>
        <w:t>摘要 血红素酶催化关键的氧化反应，但其生物技术应用常受到生产成本高、稳定性低以及操作条件复杂的限制。氯化血红素（hemin）作为血红素酶的催化性铁-卟啉辅因子，已被作为替代品加以探索。然而，其在水性介质中的聚集和失活限制了其实际应用。在此，我们报道了一种基于牛血清白蛋白（BSA）稳定氯化血红素的最简仿生纳米酶，以在温和的水性条件下实现水性催化和水凝胶形成。通过碱介导的合成，氯化血红素被BSA稳定，从而生成具有类过氧化物酶和类过氧化氢酶活性的Hemin@BSA非共价杂化物，其性能优于游离氯化血红素或在生理条件下制备的BSA-氯化血红素复合物。除标准过氧化物酶测定外，Hemin@BSA还催化了N-乙酰酪氨酸（NAT）的氧化C–C偶联，主要产物为双酪氨酸。这种类酶特性被成功应用于大分子水平，实现了透明质酸-酪胺（HA-TyrA）偶联物的交联，形成机械性能可与HRP介导交联水凝胶相媲美的水凝胶网络。在U87胶质母细胞瘤和正常人星形胶质细胞（NHA）中评估了氯化血红素和Hemin@BSA的细胞毒性，同时在U87细胞中研究了细胞摄取和活性氧（ROS）的产生，结果表明Hemin@BSA被细胞高效摄取，且游离氯化血红素诱导的ROS水平高于Hemin@BSA</w:t>
      </w:r>
    </w:p>
    <w:p>
      <w:pPr>
        <w:spacing w:before="0" w:after="200" w:lineRule="auto" w:line="276"/>
      </w:pPr>
      <w:r>
        <w:rPr>
          <w:b/>
        </w:rPr>
        <w:t xml:space="preserve">Abstract (EN): </w:t>
      </w:r>
      <w:r>
        <w:t>Heme enzymes catalyze key oxidative reactions, yet their use in biotechnology is often limited by high production costs, low stability, and intricate operational conditions. Hemin, the catalytic iron-porphyrin cofactor of heme enzymes, has been explored as an alternative. However, its practical use is limited by its aggregation and deactivation in aqueous media. Here, we report a minimal biomimetic nanozyme based on the stabilization of hemin with bovine serum albumin (BSA) to enable aqueous catalysis and hydrogel formation under mild aqueous conditions. Through alkaline-mediated synthesis, hemin was stabilized with BSA, allowing the generation of a Hemin@BSA noncovalent hybrid with peroxidase- and catalase-like activity, outperforming free hemin or BSA complexed with hemin prepared under physiological conditions. Beyond standard peroxidase assays, Hemin@BSA catalyzed the oxidative C–C coupling of N-acetyl-tyrosine (NAT), yielding dityrosine as the main product. This enzymatic-like property was successfully applied at the macromolecular level, enabling the crosslinking of hyaluronic acid-tyramine (HA-TyrA) conjugates, yielding the formation of hydrogel networks with mechanical properties comparable to HRP-mediated crosslinked hydrogels. The cytotoxicity of hemin and Hemin@BSA was evaluated in both U87 glioblastoma and normal human astrocytes (NHA) cells, while cellular uptake and reactive oxygen species (ROS) generation were investigated in U87 cells, demonstrating efficient cellular uptake of Hemin@BSA and higher ROS levels induced by free hemin compared with Hemin@BSA. Overall, simple heme-protein complexes lie as the interface between molecular catalysts and functional biomaterials. They provide a low-cost and robust alternative to natural peroxidases, making them promising tools for creating redox-based hydrogels towards biomedical applications.</w:t>
      </w:r>
    </w:p>
    <w:p>
      <w:pPr>
        <w:spacing w:before="120" w:after="120"/>
      </w:pPr>
      <w:r>
        <w:rPr>
          <w:sz w:val="18"/>
        </w:rPr>
        <w:t>——————————————————————————————————————————————————————————————————————</w:t>
      </w:r>
    </w:p>
    <w:p>
      <w:pPr>
        <w:spacing w:before="160" w:after="40" w:line="240" w:lineRule="auto"/>
      </w:pPr>
      <w:r>
        <w:rPr>
          <w:b/>
        </w:rPr>
        <w:t xml:space="preserve">[232] </w:t>
      </w:r>
      <w:hyperlink r:id="rId838">
        <w:r>
          <w:rPr>
            <w:color w:val="1155CC"/>
            <w:u w:val="single"/>
          </w:rPr>
          <w:t>聚天冬酰胺介导的信使核糖核酸递送通过增强细胞内化实现嵌合抗原受体自然杀伤细胞的高效离体工程化</w:t>
        </w:r>
      </w:hyperlink>
    </w:p>
    <w:p>
      <w:pPr>
        <w:spacing w:before="0" w:after="80"/>
      </w:pPr>
      <w:r>
        <w:rPr>
          <w:i/>
          <w:sz w:val="20"/>
        </w:rPr>
        <w:t>EN: Polyaspartamide-Mediated Messenger RNA Delivery Enables Efficient Ex Vivo Engineering of Chimeric Antigen Receptor Natural Killer Cells via Enhanced Cellular Internalization</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38">
        <w:r>
          <w:rPr>
            <w:color w:val="1155CC"/>
            <w:u w:val="single"/>
          </w:rPr>
          <w:t>10.1021/acsami.6c07623</w:t>
        </w:r>
      </w:hyperlink>
    </w:p>
    <w:p>
      <w:pPr>
        <w:spacing w:before="0" w:after="120"/>
      </w:pPr>
      <w:r>
        <w:rPr>
          <w:b/>
        </w:rPr>
        <w:t xml:space="preserve">Notes: </w:t>
      </w:r>
      <w:r>
        <w:t>abstract_source=crossref</w:t>
      </w:r>
    </w:p>
    <w:p>
      <w:pPr>
        <w:spacing w:before="0" w:after="80" w:lineRule="auto" w:line="276"/>
      </w:pPr>
      <w:r>
        <w:rPr>
          <w:b/>
        </w:rPr>
        <w:t xml:space="preserve">摘要（ZH）: </w:t>
      </w:r>
      <w:r>
        <w:t>摘要 表达嵌合抗原受体（CAR）的工程化自然杀伤（NK）细胞因其同种异体潜力而成为CAR T细胞疗法的有前景的替代方案。然而，目前的CAR NK细胞生产依赖慢病毒或逆转录病毒转导以实现稳定的CAR表达，需要复杂、多步骤且耗时的制造工艺，限制了可扩展性和及时的临床应用。在此，我们报道了一种非病毒策略，利用两亲性聚天冬酰胺基聚复合物递送CAR信使RNA（mRNA），实现CAR NK细胞的快速体外生成。掺入二乙烯三胺（DET）和环己基乙胺（CHE）的聚天冬酰胺衍生物（PAsp[DET/CHE]）实现了高效的mRNA复合、增强的细胞摄取以及NK细胞系中稳健的CAR表达。在机制上，提高聚复合物的N/P比（定义为DET氨基与mRNA磷酸基团的摩尔比）可增强细胞内化，从而提高转染效率。经CAR–NKG2D mRNA工程化的NK细胞对多种癌细胞系表现出有效且选择性的细胞毒性，并伴随细胞毒性介质和细胞因子表达升高，同时不损伤正常成纤维细胞。重要的是，全身给予工程化NK细胞在皮下结肠癌模型中显著抑制了肿瘤生长。总之，本研究建立了一个简单、可扩展且安全的CAR NK细胞制造平台，并提供了聚合物介导NK细胞mRNA递送的机制见解，提供了一个有前景</w:t>
      </w:r>
    </w:p>
    <w:p>
      <w:pPr>
        <w:spacing w:before="0" w:after="200" w:lineRule="auto" w:line="276"/>
      </w:pPr>
      <w:r>
        <w:rPr>
          <w:b/>
        </w:rPr>
        <w:t xml:space="preserve">Abstract (EN): </w:t>
      </w:r>
      <w:r>
        <w:t>Engineered natural killer (NK) cells expressing chimeric antigen receptor (CAR) represent a promising alternative to CAR T-cell therapy due to their allogeneic potential. However, current CAR NK cell production relies on lentiviral or retroviral transduction to achieve stable CAR expression, requiring complex, multistep, and time-consuming manufacturing processes that limit scalability and timely clinical application. Here, we report a nonviral strategy for rapid ex vivo generation of CAR NK cells using amphiphilic polyaspartamide-based polyplexes for CAR messenger RNA (mRNA) delivery. Polyaspartamide derivatives incorporating diethylenetriamine (DET) and cyclohexylethylamine (CHE) (PAsp[DET/CHE]) enabled efficient mRNA complexation, enhanced cellular uptake, and robust CAR expression in NK cell lines. Mechanistically, increasing the N/P ratio of polyplexes, defined as the molar ratio of DET amino groups to mRNA phosphate group, enhanced cellular internalization, leading to improved transfection efficiency. NK cells engineered with CAR–NKG2D mRNA exhibited potent and selective cytotoxicity against various cancer cell lines, accompanied by elevated expression of cytotoxic mediators and cytokines, while sparing normal fibroblasts. Importantly, systemic administration of engineered NK cells significantly suppressed tumor growth in a subcutaneous colon cancer model. Collectively, this study established a simple, scalable, and safe platform for CAR NK cell manufacturing and provides mechanistic insights into polymer-mediated mRNA delivery in NK cells, offering a promising alternative to conventional viral approaches for cancer immunotherapy.</w:t>
      </w:r>
    </w:p>
    <w:p>
      <w:pPr>
        <w:spacing w:before="120" w:after="120"/>
      </w:pPr>
      <w:r>
        <w:rPr>
          <w:sz w:val="18"/>
        </w:rPr>
        <w:t>——————————————————————————————————————————————————————————————————————</w:t>
      </w:r>
    </w:p>
    <w:p>
      <w:pPr>
        <w:spacing w:before="160" w:after="40" w:line="240" w:lineRule="auto"/>
      </w:pPr>
      <w:r>
        <w:rPr>
          <w:b/>
        </w:rPr>
        <w:t xml:space="preserve">[233] </w:t>
      </w:r>
      <w:hyperlink r:id="rId839">
        <w:r>
          <w:rPr>
            <w:color w:val="1155CC"/>
            <w:u w:val="single"/>
          </w:rPr>
          <w:t>通过旋转热拉伸在聚合物纤维中构建可编程扭曲微通道以增强微混合</w:t>
        </w:r>
      </w:hyperlink>
    </w:p>
    <w:p>
      <w:pPr>
        <w:spacing w:before="0" w:after="80"/>
      </w:pPr>
      <w:r>
        <w:rPr>
          <w:i/>
          <w:sz w:val="20"/>
        </w:rPr>
        <w:t>EN: Programmable Twisted Microchannels in Polymer Fibers via Rotational Thermal Drawing for Enhanced Micromixing</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39">
        <w:r>
          <w:rPr>
            <w:color w:val="1155CC"/>
            <w:u w:val="single"/>
          </w:rPr>
          <w:t>10.1021/acsami.6c06952</w:t>
        </w:r>
      </w:hyperlink>
    </w:p>
    <w:p>
      <w:pPr>
        <w:spacing w:before="0" w:after="120"/>
      </w:pPr>
      <w:r>
        <w:rPr>
          <w:b/>
        </w:rPr>
        <w:t xml:space="preserve">Notes: </w:t>
      </w:r>
      <w:r>
        <w:t>abstract_source=crossref</w:t>
      </w:r>
    </w:p>
    <w:p>
      <w:pPr>
        <w:spacing w:before="0" w:after="80" w:lineRule="auto" w:line="276"/>
      </w:pPr>
      <w:r>
        <w:rPr>
          <w:b/>
        </w:rPr>
        <w:t xml:space="preserve">摘要（ZH）: </w:t>
      </w:r>
      <w:r>
        <w:t>摘要 微混合器是微流控系统的关键组件，能够在微升和亚微升尺度上实现快速且均匀的混合。尽管三维（3D）微通道几何结构可以显著提高混合性能，但其更广泛的应用受到制造挑战的限制，这些挑战限制了几何控制、可扩展性和系统集成。在此，我们报道了一种由旋转热拉伸（rTDP）制备的纤维内扭转微混合器，称为Fiber-μMixer。通过在拉伸过程中引入受控的旋转和公转，该方法能够可扩展地制备具有居中和偏心几何形状的微通道，特征尺寸可小至100 μm，扭转螺距可小至4 mm。由此产生的扭转和螺旋通道结构通过旋流诱导的对流和Dean涡驱动的二次流的联合效应增强了微尺度混合。数值模拟和实验表明，在一系列雷诺数范围内均具有较强的混合性能，在中等流态（1 ≤ Re ≤ 30）下混合效率超过75%且压力损失可忽略不计，而传统被动微混合器在该流态下通常表现不佳。这种纤维内微混合平台为紧凑、柔性且多功能的微流控系统提供了一条实用且可扩展的途径，为纤维实验室技术和先进的微尺度流体操控开辟了机遇。</w:t>
      </w:r>
    </w:p>
    <w:p>
      <w:pPr>
        <w:spacing w:before="0" w:after="200" w:lineRule="auto" w:line="276"/>
      </w:pPr>
      <w:r>
        <w:rPr>
          <w:b/>
        </w:rPr>
        <w:t xml:space="preserve">Abstract (EN): </w:t>
      </w:r>
      <w:r>
        <w:t>Micromixers are essential components of microfluidic systems, enabling rapid and homogeneous mixing at microliter and submicroliter scales. Although three-dimensional (3D) microchannel geometries can significantly enhance mixing performance, their broader adoption has been limited by fabrication challenges that restrict geometric control, scalability, and system integration. Here, we report an in-fiber twisted micromixer, termed the Fiber-μMixer, fabricated by rotational thermal drawing (rTDP). By introducing controlled rotation and revolution during drawing, this method enables scalable fabrication of microchannels with centered and off-centered geometries, feature sizes down to 100 μm, and twist pitches as small as 4 mm. The resulting twisted and helical channel architectures enhance microscale mixing through the combined effects of swirl-induced advection and Dean-vortex-driven secondary flows. Numerical simulations and experiments demonstrate strong mixing performance across a range of Reynolds numbers, with mixing efficiencies exceeding 75% and negligible pressure penalty in the intermediate regime (1 ≤ Re ≤ 30), where conventional passive micromixers typically underperform. This in-fiber micromixing platform provides a practical and scalable route toward compact, flexible, and multifunctional microfluidic systems, opening opportunities for lab-in-fiber technologies and advanced microscale fluid handling.</w:t>
      </w:r>
    </w:p>
    <w:p>
      <w:pPr>
        <w:spacing w:before="120" w:after="120"/>
      </w:pPr>
      <w:r>
        <w:rPr>
          <w:sz w:val="18"/>
        </w:rPr>
        <w:t>——————————————————————————————————————————————————————————————————————</w:t>
      </w:r>
    </w:p>
    <w:p>
      <w:pPr>
        <w:spacing w:before="160" w:after="40" w:line="240" w:lineRule="auto"/>
      </w:pPr>
      <w:r>
        <w:rPr>
          <w:b/>
        </w:rPr>
        <w:t xml:space="preserve">[234] </w:t>
      </w:r>
      <w:hyperlink r:id="rId840">
        <w:r>
          <w:rPr>
            <w:color w:val="1155CC"/>
            <w:u w:val="single"/>
          </w:rPr>
          <w:t>使用不同功能化磁性材料评估细胞外囊泡的富集性能及其在前列腺癌尿液蛋白质组学中的应用</w:t>
        </w:r>
      </w:hyperlink>
    </w:p>
    <w:p>
      <w:pPr>
        <w:spacing w:before="0" w:after="80"/>
      </w:pPr>
      <w:r>
        <w:rPr>
          <w:i/>
          <w:sz w:val="20"/>
        </w:rPr>
        <w:t>EN: Enrichment Performance Assessment of Extracellular Vesicles Using Different Functionalized Magnetic Materials and Application in Urinary Proteomics of Prostate Cancer</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40">
        <w:r>
          <w:rPr>
            <w:color w:val="1155CC"/>
            <w:u w:val="single"/>
          </w:rPr>
          <w:t>10.1021/acsami.6c12149</w:t>
        </w:r>
      </w:hyperlink>
    </w:p>
    <w:p>
      <w:pPr>
        <w:spacing w:before="0" w:after="120"/>
      </w:pPr>
      <w:r>
        <w:rPr>
          <w:b/>
        </w:rPr>
        <w:t xml:space="preserve">Notes: </w:t>
      </w:r>
      <w:r>
        <w:t>abstract_source=crossref</w:t>
      </w:r>
    </w:p>
    <w:p>
      <w:pPr>
        <w:spacing w:before="0" w:after="80" w:lineRule="auto" w:line="276"/>
      </w:pPr>
      <w:r>
        <w:rPr>
          <w:b/>
        </w:rPr>
        <w:t xml:space="preserve">摘要（ZH）: </w:t>
      </w:r>
      <w:r>
        <w:t>摘要 细胞外囊泡（EVs）是介导细胞间通讯的脂质双层纳米囊泡，在临床应用方面具有巨大潜力。尽管基于材料的分离策略为传统方法提供了有前景的替代方案，但其相对性能尚未得到系统评估。在本研究中，我们对具有不同表面功能的磁性纳米材料进行了比较评估，包括金属氧化物（TiO2）、金属有机框架（UiO-66）、生物聚合物材料（壳聚糖）和脂质探针（DSPE-PEG、DOPE-PEG和CLS-PEG）。从捕获容量、捕获速率、样品体积和产物纯度等多个维度进行的综合评估表明，双功能磁性纳米材料Fe3O4@UiO-66@DSPE表现出优异的EV捕获性能。该材料通过Zr4+-磷酸配位与脂质双层锚定的协同作用，实现了高纯度EV的高效稳定富集，并保持了EV的生物完整性和活性。同时，该方法与蛋白质组学高度兼容，通过对尿液EV的蛋白质组学分析鉴定出1000多种蛋白质，其中相对于健康供体，前列腺癌患者中有34种蛋白质上调、25种蛋白质下调。值得注意的是，差异表达蛋白如AGT、ITIH4和PGLYRP2与疾病进展相关。总体而言，这项工作凸显了Fe3O4@UiO-66@DSPE材料在高效选择性EV分离方面的优异性能。它提供了一个强大的</w:t>
      </w:r>
    </w:p>
    <w:p>
      <w:pPr>
        <w:spacing w:before="0" w:after="200" w:lineRule="auto" w:line="276"/>
      </w:pPr>
      <w:r>
        <w:rPr>
          <w:b/>
        </w:rPr>
        <w:t xml:space="preserve">Abstract (EN): </w:t>
      </w:r>
      <w:r>
        <w:t>Extracellular vesicles (EVs) are lipid bilayer nanovesicles that mediate intercellular communication and hold significant potential for clinical applications. Although material-based isolation strategies offer promising alternatives to conventional methods, their relative performances have not been systematically evaluated. In this study, we conducted a comparative assessment of magnetic nanomaterials with distinct surface functionalities, including metal oxides (TiO2), metal–organic frameworks (UiO-66), biopolymeric materials (chitosan), and lipid probes (DSPE-PEG, DOPE-PEG, and CLS-PEG). A comprehensive evaluation across multiple dimensions including capture capacity, capture rate, sample volume, and product purity reveals that the bifunctional magnetic nanomaterial Fe3O4@UiO-66@DSPE material exhibits superior EV capture performance. This material enables the efficient and stable enrichment of high-purity EVs by synergizing Zr4+-phosphate coordination with lipid bilayer anchoring, and preserves EV biological integrity and activity. Meanwhile, this method could be highly compatible with proteomics, and over 1000 proteins are identified by proteomic analysis of urinary EVs, while 34 proteins are upregulated and 25 proteins are downregulated in prostate cancer patients relative to healthy donors. Notably, the differentially expressed proteins, such as AGT, ITIH4, and PGLYRP2, are associated with disease progression. Overall, this work highlights the superior performance of the Fe3O4@UiO-66@DSPE material for efficient and selective EV isolation. It provides a powerful tool for clinical liquid biopsy and proteomic biomarker discovery, enabling early diagnosis, prognostic evaluation, and precision therapy.</w:t>
      </w:r>
    </w:p>
    <w:p>
      <w:pPr>
        <w:spacing w:before="120" w:after="120"/>
      </w:pPr>
      <w:r>
        <w:rPr>
          <w:sz w:val="18"/>
        </w:rPr>
        <w:t>——————————————————————————————————————————————————————————————————————</w:t>
      </w:r>
    </w:p>
    <w:p>
      <w:pPr>
        <w:spacing w:before="160" w:after="40" w:line="240" w:lineRule="auto"/>
      </w:pPr>
      <w:r>
        <w:rPr>
          <w:b/>
        </w:rPr>
        <w:t xml:space="preserve">[235] </w:t>
      </w:r>
      <w:hyperlink r:id="rId841">
        <w:r>
          <w:rPr>
            <w:color w:val="1155CC"/>
            <w:u w:val="single"/>
          </w:rPr>
          <w:t>基于AuNPs@RCA纳米凝胶集成的多足DNAWalker的双模式荧光和比色生物传感器用于超灵敏miRNA检测</w:t>
        </w:r>
      </w:hyperlink>
    </w:p>
    <w:p>
      <w:pPr>
        <w:spacing w:before="0" w:after="80"/>
      </w:pPr>
      <w:r>
        <w:rPr>
          <w:i/>
          <w:sz w:val="20"/>
        </w:rPr>
        <w:t>EN: A Dual-Mode Fluorescent and Colorimetric Biosensor Based on AuNPs@RCA Nanogel-Integrated Multipedal DNA Walker for Ultrasensitive miRNA Detection</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41">
        <w:r>
          <w:rPr>
            <w:color w:val="1155CC"/>
            <w:u w:val="single"/>
          </w:rPr>
          <w:t>10.1021/acsami.6c10465</w:t>
        </w:r>
      </w:hyperlink>
    </w:p>
    <w:p>
      <w:pPr>
        <w:spacing w:before="0" w:after="120"/>
      </w:pPr>
      <w:r>
        <w:rPr>
          <w:b/>
        </w:rPr>
        <w:t xml:space="preserve">Notes: </w:t>
      </w:r>
      <w:r>
        <w:t>abstract_source=crossref</w:t>
      </w:r>
    </w:p>
    <w:p>
      <w:pPr>
        <w:spacing w:before="0" w:after="80" w:lineRule="auto" w:line="276"/>
      </w:pPr>
      <w:r>
        <w:rPr>
          <w:b/>
        </w:rPr>
        <w:t xml:space="preserve">摘要（ZH）: </w:t>
      </w:r>
      <w:r>
        <w:t>摘要 开发高灵敏度和可靠的生物传感器对于癌症的早期诊断和治疗监测至关重要。在此，我们报道了一个用于超灵敏检测miRNA-21的双模式荧光-比色生物传感平台，该平台将AuNP支撑的双级滚环扩增（RCA）与RCA生成的多足结合-切割机制相结合。传感层级由靶标依赖的金纳米颗粒（AuNP）表面初级RCA激活启动，产生具有多个重复识别结构域的长DNA链，这些结构域作为大量行走器“腿”并形成富含DNA的纳米凝胶基质。通过这些重复结构域，RCA生成的多足行走器重复且多价地结合AuNP表面上的荧光标记发夹底物，从而促进APE1介导的底物切割和荧光恢复。APE1生成的切割片段随后在加入T2模板后启动二级RCA。两次连续的RCA反应最终产生含有大量G-四链体/氯化血红素DNAzyme的Au@RCA DNA纳米凝胶，催化视觉可检测的颜色变化。通过将多足行走器介导的多价结合-切割过程与双级RCA相结合，该平台实现了具有高效信号放大和低背景的双模式荧光-比色检测，荧光和比色模式的检测限分别为9.854和790 fM。此外，两种互补输出提供了</w:t>
      </w:r>
    </w:p>
    <w:p>
      <w:pPr>
        <w:spacing w:before="0" w:after="200" w:lineRule="auto" w:line="276"/>
      </w:pPr>
      <w:r>
        <w:rPr>
          <w:b/>
        </w:rPr>
        <w:t xml:space="preserve">Abstract (EN): </w:t>
      </w:r>
      <w:r>
        <w:t>The development of highly sensitive and reliable biosensors is essential for the early diagnosis and therapeutic monitoring of cancer. Herein, we report a dual-mode fluorescence–colorimetric biosensing platform for the ultrasensitive detection of miRNA-21, integrating AuNP-supported dual-stage rolling circle amplification (RCA) with an RCA-generated multipedal binding-and-cleavage mechanism. The sensing hierarchy is initiated by target-dependent activation of the primary RCA on the gold nanoparticle (AuNP) surface, producing long DNA strands with multiple repeated recognition domains that function as numerous walker “legs” and form a DNA-rich nanogel matrix. Through these repeated domains, the RCA-generated multipedal walker repeatedly and multivalently binds fluorophore-labeled hairpin substrates on the AuNP surface, thereby facilitating APE1-mediated substrate cleavage and fluorescence recovery. The APE1-generated cleavage fragments subsequently initiate the secondary RCA following the addition of the T2 template. The two successive RCA reactions ultimately produce an Au@RCA DNA nanogel containing abundant G-quadruplex/hemin DNAzymes that catalyze a visually detectable color change. By integrating the multipedal walker-mediated multivalent binding-and-cleavage process with dual-stage RCA, the platform enables dual-mode fluorescence–colorimetric detection with efficient signal amplification and low background, achieving limits of detection of 9.854 and 790 fM for the fluorescence and colorimetric modes, respectively. Furthermore, the two complementary outputs provide independent signal readouts for cross-validation. The biosensor demonstrated excellent specificity and distinguished the endogenous responses of MCF-7, HeLa, and HEK293T cell lysates. These results support the potential of the platform for ultrasensitive tumor-associated biomarker detection, while the cell-lysate experiments represent a preliminary proof-of-concept evaluation in complex biological matrices.</w:t>
      </w:r>
    </w:p>
    <w:p>
      <w:pPr>
        <w:spacing w:before="120" w:after="120"/>
      </w:pPr>
      <w:r>
        <w:rPr>
          <w:sz w:val="18"/>
        </w:rPr>
        <w:t>——————————————————————————————————————————————————————————————————————</w:t>
      </w:r>
    </w:p>
    <w:p>
      <w:pPr>
        <w:spacing w:before="160" w:after="40" w:line="240" w:lineRule="auto"/>
      </w:pPr>
      <w:r>
        <w:rPr>
          <w:b/>
        </w:rPr>
        <w:t xml:space="preserve">[236] </w:t>
      </w:r>
      <w:hyperlink r:id="rId842">
        <w:r>
          <w:rPr>
            <w:color w:val="1155CC"/>
            <w:u w:val="single"/>
          </w:rPr>
          <w:t>植入式心脏接口软微电极阵列的材料与设计策略</w:t>
        </w:r>
      </w:hyperlink>
    </w:p>
    <w:p>
      <w:pPr>
        <w:spacing w:before="0" w:after="80"/>
      </w:pPr>
      <w:r>
        <w:rPr>
          <w:i/>
          <w:sz w:val="20"/>
        </w:rPr>
        <w:t>EN: Material and Design Strategies of Soft Microelectrode Arrays for Implantable Cardiac Interfaces</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42">
        <w:r>
          <w:rPr>
            <w:color w:val="1155CC"/>
            <w:u w:val="single"/>
          </w:rPr>
          <w:t>10.1021/acsami.6c11995</w:t>
        </w:r>
      </w:hyperlink>
    </w:p>
    <w:p>
      <w:pPr>
        <w:spacing w:before="0" w:after="120"/>
      </w:pPr>
      <w:r>
        <w:rPr>
          <w:b/>
        </w:rPr>
        <w:t xml:space="preserve">Notes: </w:t>
      </w:r>
      <w:r>
        <w:t>abstract_source=crossref</w:t>
      </w:r>
    </w:p>
    <w:p>
      <w:pPr>
        <w:spacing w:before="0" w:after="80" w:lineRule="auto" w:line="276"/>
      </w:pPr>
      <w:r>
        <w:rPr>
          <w:b/>
        </w:rPr>
        <w:t xml:space="preserve">摘要（ZH）: </w:t>
      </w:r>
      <w:r>
        <w:t>摘要 心血管疾病（CVDs）仍然是全球主要的死亡原因之一。然而，常规的诊断和治疗技术往往体积庞大、功能有限，并且缺乏对患有危及生命的心脏疾病患者进行连续高保真监测与治疗所需的机械柔软性。近年来，材料科学、器件工程与系统集成领域的进展推动了力学柔顺型微电极阵列（MEAs）的发展，其能够在体内监测并调控心脏的电学、光学与机械活动。这些MEAs作为有前景的生物电子平台，可与心脏实现共形接口，用于监测心脏生理并治疗CVDs。本综述总结了软性可植入心脏MEAs的最新进展。我们首先介绍心脏电生理学的基本原理，随后详细讨论用于软性心脏微电极的候选材料。然后，我们评述了用于电生理标测与电治疗的最先进心脏MEAs，并详细阐述了透明与生物可吸收心脏MEAs。我们进一步讨论了集成电学、光学与机械功能的多模态器件，用于研究心脏电生理学、光生理学与力生理学。最后，我们展望了推动软性心脏MEAs迈向下一代心血管诊断、监测与治疗的未来方向。</w:t>
      </w:r>
    </w:p>
    <w:p>
      <w:pPr>
        <w:spacing w:before="0" w:after="200" w:lineRule="auto" w:line="276"/>
      </w:pPr>
      <w:r>
        <w:rPr>
          <w:b/>
        </w:rPr>
        <w:t xml:space="preserve">Abstract (EN): </w:t>
      </w:r>
      <w:r>
        <w:t>Cardiovascular diseases (CVDs) remain one of the leading causes of mortality worldwide. However, conventional diagnostic and therapeutic technologies are often bulky, limited in functionality, and lack the mechanical softness required for continuous high-fidelity monitoring and treatment of patients with life-threatening cardiac conditions. In recent years, advances in materials science, device engineering, and system integration have led to the development of mechanically compliant microelectrode arrays (MEAs) capable of monitoring and modulating cardiac electrical, optical, and mechanical activities in vivo. These MEAs serve as promising bioelectronic platforms for conformal interfacing with the heart, monitoring cardiac physiology, and treating CVDs. This Review summarizes recent advances in soft implantable cardiac MEAs. We begin by introducing the fundamental principles of cardiac electrophysiology, followed by a detailed discussion of material candidates used in soft cardiac microelectrodes. We then review state-of-the-art cardiac MEAs for electrophysiological mapping and electrotherapy. Transparent and bioresorbable cardiac MEAs are elaborated. We further discuss multimodal devices that integrate electrical, optical, and mechanical functionalities for studying cardiac electrophysiology, optophysiology, and mechanophysiology. Finally, we highlight future directions that will advance soft cardiac MEAs toward next-generation cardiovascular diagnosis, monitoring, and therapy.</w:t>
      </w:r>
    </w:p>
    <w:p>
      <w:pPr>
        <w:spacing w:before="120" w:after="120"/>
      </w:pPr>
      <w:r>
        <w:rPr>
          <w:sz w:val="18"/>
        </w:rPr>
        <w:t>——————————————————————————————————————————————————————————————————————</w:t>
      </w:r>
    </w:p>
    <w:p>
      <w:pPr>
        <w:spacing w:before="160" w:after="40" w:line="240" w:lineRule="auto"/>
      </w:pPr>
      <w:r>
        <w:rPr>
          <w:b/>
        </w:rPr>
        <w:t xml:space="preserve">[237] </w:t>
      </w:r>
      <w:hyperlink r:id="rId843">
        <w:r>
          <w:rPr>
            <w:color w:val="1155CC"/>
            <w:u w:val="single"/>
          </w:rPr>
          <w:t>基于银氨介导原位光还原的柔性纤维素纳米纤丝表面增强拉曼散射基底用于农药残留检测及福美双全光谱定量分析</w:t>
        </w:r>
      </w:hyperlink>
    </w:p>
    <w:p>
      <w:pPr>
        <w:spacing w:before="0" w:after="80"/>
      </w:pPr>
      <w:r>
        <w:rPr>
          <w:i/>
          <w:sz w:val="20"/>
        </w:rPr>
        <w:t>EN: Flexible Cellulose Nanofibril-Based Surface-Enhanced Raman Scattering Substrate via Silver–Ammonia-Mediated In SituPhotoreduction for Pesticide Residue Detection and Full-Spectrum Thiram Quantification</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43">
        <w:r>
          <w:rPr>
            <w:color w:val="1155CC"/>
            <w:u w:val="single"/>
          </w:rPr>
          <w:t>10.1021/acsami.6c12545</w:t>
        </w:r>
      </w:hyperlink>
    </w:p>
    <w:p>
      <w:pPr>
        <w:spacing w:before="0" w:after="120"/>
      </w:pPr>
      <w:r>
        <w:rPr>
          <w:b/>
        </w:rPr>
        <w:t xml:space="preserve">Notes: </w:t>
      </w:r>
      <w:r>
        <w:t>abstract_source=crossref</w:t>
      </w:r>
    </w:p>
    <w:p>
      <w:pPr>
        <w:spacing w:before="0" w:after="80" w:lineRule="auto" w:line="276"/>
      </w:pPr>
      <w:r>
        <w:rPr>
          <w:b/>
        </w:rPr>
        <w:t xml:space="preserve">摘要（ZH）: </w:t>
      </w:r>
      <w:r>
        <w:t>摘要 均匀且可重现的Ag纳米结构对于柔性纤维素基表面增强拉曼散射（SERS）基底至关重要。本文中，在不使用外部还原剂或表面活性剂的情况下，通过TEMPO氧化纤维素纳米纤丝（TOCNF）薄膜上银氨前驱体的原位光还原制备了柔性SERS基底。与AgNO3前驱体对照相比，银氨体系在更短的光照时间内（25 vs 70 min）即达到最佳SERS响应，并产生更均匀的AgNP组装体。优化后的基底可检测福美双和噻菌灵，检出限分别为1.39 × 10–8和1.16 × 10–7 M，同时在番茄表面上0.48和1.61 ng/cm2浓度下特征信号仍可区分。为了在宽浓度范围内改进福美双的定量分析，评估了全光谱PLS、线性SVR和RFR模型。RFR提供了最佳预测性能（Rp2 = 0.9859，RMSEP = 0.1839，RPD = 8.50），对加标96和9.6 ng/cm2的番茄样品的回收率分别为108.28%和103.37%。这些结果展示了柔性TOCNF薄膜上依赖于前驱体的SERS活性Ag纳米结构光化学生长，以及全光谱非线性回归在福美双定量中的实用性。</w:t>
      </w:r>
    </w:p>
    <w:p>
      <w:pPr>
        <w:spacing w:before="0" w:after="200" w:lineRule="auto" w:line="276"/>
      </w:pPr>
      <w:r>
        <w:rPr>
          <w:b/>
        </w:rPr>
        <w:t xml:space="preserve">Abstract (EN): </w:t>
      </w:r>
      <w:r>
        <w:t>Uniform and reproducible Ag nanostructures are essential for flexible cellulose-based surface-enhanced Raman scattering (SERS) substrates. Herein, a flexible SERS substrate was fabricated by in situ photoreduction of a silver–ammonia precursor on TEMPO-oxidized cellulose nanofibril (TOCNF) films without external reducing agents or surfactants during Ag photoreduction. Compared with an AgNO3 precursor control, the silver–ammonia system reached its optimal SERS response within a shorter irradiation time (25 vs 70 min) and produced more homogeneous AgNP assemblies. The optimized substrate enabled detection of thiram and thiabendazole with limits of detection of 1.39 × 10–8 and 1.16 × 10–7 M, respectively while characteristic signals remained distinguishable on tomato surfaces at 0.48 and 1.61 ng/cm2. To improve thiram quantification over a broad concentration range, full-spectrum PLS, linear SVR, and RFR models were evaluated. RFR provided the best predictive performance (Rp2 = 0.9859, RMSEP = 0.1839, and RPD = 8.50) and yielded recoveries of 108.28% and 103.37% for tomato samples spiked at 96 and 9.6 ng/cm2, respectively. These results demonstrate precursor-dependent photochemical growth of SERS-active Ag nanostructures on flexible TOCNF films and the utility of full-spectrum nonlinear regression for thiram quantification.</w:t>
      </w:r>
    </w:p>
    <w:p>
      <w:pPr>
        <w:spacing w:before="120" w:after="120"/>
      </w:pPr>
      <w:r>
        <w:rPr>
          <w:sz w:val="18"/>
        </w:rPr>
        <w:t>——————————————————————————————————————————————————————————————————————</w:t>
      </w:r>
    </w:p>
    <w:p>
      <w:pPr>
        <w:spacing w:before="160" w:after="40" w:line="240" w:lineRule="auto"/>
      </w:pPr>
      <w:r>
        <w:rPr>
          <w:b/>
        </w:rPr>
        <w:t xml:space="preserve">[238] </w:t>
      </w:r>
      <w:hyperlink r:id="rId844">
        <w:r>
          <w:rPr>
            <w:color w:val="1155CC"/>
            <w:u w:val="single"/>
          </w:rPr>
          <w:t>甘蔗渣衍生碳/多孔PDMS复合材料的变废为宝工程用于高效摩擦电能量收集</w:t>
        </w:r>
      </w:hyperlink>
    </w:p>
    <w:p>
      <w:pPr>
        <w:spacing w:before="0" w:after="80"/>
      </w:pPr>
      <w:r>
        <w:rPr>
          <w:i/>
          <w:sz w:val="20"/>
        </w:rPr>
        <w:t>EN: Waste-to-Wealth Engineering of Sugarcane Bagasse−Derived Carbon/Porous PDMS Composites for Efficient Triboelectric Energy Harvesting</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44">
        <w:r>
          <w:rPr>
            <w:color w:val="1155CC"/>
            <w:u w:val="single"/>
          </w:rPr>
          <w:t>10.1021/acsami.6c11922</w:t>
        </w:r>
      </w:hyperlink>
    </w:p>
    <w:p>
      <w:pPr>
        <w:spacing w:before="0" w:after="120"/>
      </w:pPr>
      <w:r>
        <w:rPr>
          <w:b/>
        </w:rPr>
        <w:t xml:space="preserve">Notes: </w:t>
      </w:r>
      <w:r>
        <w:t>abstract_source=crossref</w:t>
      </w:r>
    </w:p>
    <w:p>
      <w:pPr>
        <w:spacing w:before="0" w:after="80" w:lineRule="auto" w:line="276"/>
      </w:pPr>
      <w:r>
        <w:rPr>
          <w:b/>
        </w:rPr>
        <w:t xml:space="preserve">摘要（ZH）: </w:t>
      </w:r>
      <w:r>
        <w:t>摘要 面向高性能摩擦电纳米发电机（TENGs）的可持续材料设计对于推进自供能系统至关重要。在本研究中，农业废弃物甘蔗渣（SCB）通过简单的水热工艺转化为功能性碳质填料，并与多孔聚二甲基硅氧烷（PDMS）集成，构筑出高效的混合摩擦电界面。该策略提供了一条经济可行且环境友好的制造路线，并具有规模化潜力，凸显了面向高附加值能源材料的变废为宝的实用途径。掺入碱处理的甘蔗渣衍生碳显著增强了多孔PDMS的介电特性，介电常数从5.2提高到7.7，并改变了表面形貌以及碳–PDMS非均相界面环境。增强的介电响应连同改性的表面与界面特性，共同促成了复合材料摩擦电性能的提升。优化后的器件输出为121.6 V、8.8 μA和42.8 nC，峰值功率密度为804 mW m−2，显著优于纯PDMS。碱活化进一步改变了碳结构和可及孔特性，为复合材料的介电与摩擦电响应提供了额外增强。除能量收集外，优化后的器件还展示了作为自供能冲击传感器的能力，可检测机械系统中的外部振动，凸显了其潜……</w:t>
      </w:r>
    </w:p>
    <w:p>
      <w:pPr>
        <w:spacing w:before="0" w:after="200" w:lineRule="auto" w:line="276"/>
      </w:pPr>
      <w:r>
        <w:rPr>
          <w:b/>
        </w:rPr>
        <w:t xml:space="preserve">Abstract (EN): </w:t>
      </w:r>
      <w:r>
        <w:t>Sustainable material design for high-performance triboelectric nanogenerators (TENGs) is crucial for advancing self-powered systems. In this study, agro-waste sugarcane bagasse (SCB) is transformed into a functional carbonaceous filler via a simple hydrothermal process and integrated with porous polydimethylsiloxane (PDMS) to engineer an efficient hybrid triboelectric interface. The strategy offers an economically viable and environmentally benign fabrication route with potential for scale-up, highlighting a practical waste-to-wealth approach for value-added energy materials. The incorporation of alkali-treated sugarcane bagasse-derived carbon significantly enhanced the dielectric characteristics of the porous PDMS, increasing the dielectric constant from 5.2 to 7.7 and modifying the surface morphology and heterogeneous carbon−PDMS interfacial environment. The enhanced dielectric response, together with the modified surface and interfacial characteristics, contributes to the improved triboelectric performance of the composite. The optimized device delivers an output of 121.6 V, 8.8 μA, and 42.8 nC, along with a peak power density of 804 mW m−2, significantly outperforming pristine PDMS. Alkali activation further modifies the carbon structure and accessible pore characteristics, providing additional enhancement of the composite dielectric and triboelectric response. Beyond energy harvesting, the optimized device demonstrates the capability to operate as a self-powered impact sensor capable of detecting external vibrations in mechanical systems, highlighting its potential in energy conversion and sensing. This work presents a facile and sustainable pathway for developing high-performance biomass-derived triboelectric materials.</w:t>
      </w:r>
    </w:p>
    <w:p>
      <w:pPr>
        <w:spacing w:before="120" w:after="120"/>
      </w:pPr>
      <w:r>
        <w:rPr>
          <w:sz w:val="18"/>
        </w:rPr>
        <w:t>——————————————————————————————————————————————————————————————————————</w:t>
      </w:r>
    </w:p>
    <w:p>
      <w:pPr>
        <w:spacing w:before="160" w:after="40" w:line="240" w:lineRule="auto"/>
      </w:pPr>
      <w:r>
        <w:rPr>
          <w:b/>
        </w:rPr>
        <w:t xml:space="preserve">[239] </w:t>
      </w:r>
      <w:hyperlink r:id="rId845">
        <w:r>
          <w:rPr>
            <w:color w:val="1155CC"/>
            <w:u w:val="single"/>
          </w:rPr>
          <w:t>厚度调制Bi2O2Se横向同质结的温度调控生长用于自供电宽带光电探测</w:t>
        </w:r>
      </w:hyperlink>
    </w:p>
    <w:p>
      <w:pPr>
        <w:spacing w:before="0" w:after="80"/>
      </w:pPr>
      <w:r>
        <w:rPr>
          <w:i/>
          <w:sz w:val="20"/>
        </w:rPr>
        <w:t>EN: Temperature-Regulated Growth of Thickness-Modulated Bi2O2Se Lateral Homojunctions for Self-Powered Broadband Photodetection</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45">
        <w:r>
          <w:rPr>
            <w:color w:val="1155CC"/>
            <w:u w:val="single"/>
          </w:rPr>
          <w:t>10.1021/acsami.6c13881</w:t>
        </w:r>
      </w:hyperlink>
    </w:p>
    <w:p>
      <w:pPr>
        <w:spacing w:before="0" w:after="120"/>
      </w:pPr>
      <w:r>
        <w:rPr>
          <w:b/>
        </w:rPr>
        <w:t xml:space="preserve">Notes: </w:t>
      </w:r>
      <w:r>
        <w:t>abstract_source=crossref</w:t>
      </w:r>
    </w:p>
    <w:p>
      <w:pPr>
        <w:spacing w:before="0" w:after="80" w:lineRule="auto" w:line="276"/>
      </w:pPr>
      <w:r>
        <w:rPr>
          <w:b/>
        </w:rPr>
        <w:t xml:space="preserve">摘要（ZH）: </w:t>
      </w:r>
      <w:r>
        <w:t>摘要 二维横向同质结可在不引入异质材料界面的情况下引入内置电场,但其直接构筑仍具挑战性。在此,我们报道了一种温度调控的气相生长策略,用于构筑厚度调制的Bi2O2Se横向同质结。通过将低温横向生长与快速升温诱导的局部增厚相结合,在单个Bi2O2Se薄片中形成了横向连续的薄-厚区域。厚度依赖的能带结构有望在横向界面处诱导能带偏移,从而产生用于载流子分离和零偏压光电探测的内置电场。所得的自供电光电探测器表现出350至1050 nm的宽波段响应,响应度为0.41 A/W,探测度为2.48 × 1011 Jones,响应/恢复时间为9.4/5.6 ms,并具有良好的线性功率依赖性。此外,单像素成像展示了其在空间光探测和自供电成像方面的潜力。这项工作提供了一种简单的温度调控途径来设计Bi2O2Se横向同质结,并凸显了其在低功耗宽波段光电子学中的前景。</w:t>
      </w:r>
    </w:p>
    <w:p>
      <w:pPr>
        <w:spacing w:before="0" w:after="200" w:lineRule="auto" w:line="276"/>
      </w:pPr>
      <w:r>
        <w:rPr>
          <w:b/>
        </w:rPr>
        <w:t xml:space="preserve">Abstract (EN): </w:t>
      </w:r>
      <w:r>
        <w:t>Two-dimensional lateral homojunctions can introduce built-in electric fields without dissimilar-material interfaces, but their direct construction remains challenging. Here, we report a temperature-regulated vapor-phase growth strategy for constructing thickness-modulated Bi2O2Se lateral homojunctions. By combining low-temperature lateral growth with rapid heating-induced local thickening, laterally continuous thin–thick regions are formed within individual Bi2O2Se flakes. The thickness-dependent band structure is expected to induce a band offset at the lateral interface, thereby generating a built-in electric field for carrier separation and zero-bias photodetection. The resulting self-powered photodetector exhibits a broadband response from 350 to 1050 nm, with a responsivity of 0.41 A/W, a detectivity of 2.48 × 1011 Jones, response/recovery times of 9.4/5.6 ms, and good linear power dependence. Moreover, single-pixel imaging demonstrates its potential for spatial optical sensing and self-powered imaging. This work provides a simple temperature-regulated route for engineering Bi2O2Se lateral homojunctions and highlights their promise for low-power broadband optoelectronics.</w:t>
      </w:r>
    </w:p>
    <w:p>
      <w:pPr>
        <w:spacing w:before="120" w:after="120"/>
      </w:pPr>
      <w:r>
        <w:rPr>
          <w:sz w:val="18"/>
        </w:rPr>
        <w:t>——————————————————————————————————————————————————————————————————————</w:t>
      </w:r>
    </w:p>
    <w:p>
      <w:pPr>
        <w:spacing w:before="160" w:after="40" w:line="240" w:lineRule="auto"/>
      </w:pPr>
      <w:r>
        <w:rPr>
          <w:b/>
        </w:rPr>
        <w:t xml:space="preserve">[240] </w:t>
      </w:r>
      <w:hyperlink r:id="rId846">
        <w:r>
          <w:rPr>
            <w:color w:val="1155CC"/>
            <w:u w:val="single"/>
          </w:rPr>
          <w:t>通过外延合成Ag-Au核壳纳米线网络的网格图案化结构制备柔性透明电极</w:t>
        </w:r>
      </w:hyperlink>
    </w:p>
    <w:p>
      <w:pPr>
        <w:spacing w:before="0" w:after="80"/>
      </w:pPr>
      <w:r>
        <w:rPr>
          <w:i/>
          <w:sz w:val="20"/>
        </w:rPr>
        <w:t>EN: Flexible Transparent Electrodes via a Grid-Patterned Structure of Epitaxially Synthesized Ag-Au Core-Shell Nanowire Networks</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46">
        <w:r>
          <w:rPr>
            <w:color w:val="1155CC"/>
            <w:u w:val="single"/>
          </w:rPr>
          <w:t>10.1021/acsami.6c12811</w:t>
        </w:r>
      </w:hyperlink>
    </w:p>
    <w:p>
      <w:pPr>
        <w:spacing w:before="0" w:after="120"/>
      </w:pPr>
      <w:r>
        <w:rPr>
          <w:b/>
        </w:rPr>
        <w:t xml:space="preserve">Notes: </w:t>
      </w:r>
      <w:r>
        <w:t>abstract_source=crossref</w:t>
      </w:r>
    </w:p>
    <w:p>
      <w:pPr>
        <w:spacing w:before="0" w:after="80" w:lineRule="auto" w:line="276"/>
      </w:pPr>
      <w:r>
        <w:rPr>
          <w:b/>
        </w:rPr>
        <w:t xml:space="preserve">摘要（ZH）: </w:t>
      </w:r>
      <w:r>
        <w:t>摘要 本研究描述了银-金核壳纳米线的合成及其在具有规整网格图案的透明加热器中的集成。通过采用可控外延生长策略,我们实现了金壳在银纳米线上的均匀形成,从而防止银核的结构退化并赋予其卓越的化学稳定性。该方法使透明加热器的制备能够兼具高电导率、优异的光透过率和出色的耐久性。所制备的加热器具有14.2 Ω/sq的低方块电阻和550 nm处超过85%的光透过率,同时在腐蚀性条件下(如暴露于过氧化氢和硝酸)保持稳定而 robust的性能。该加热器实现了均匀且稳定的焦耳加热性能,可在15 s内有效除霜、7 s内除雾,使其适用于汽车挡风玻璃、相机传感器和户外电子显示器。本研究为高性能、耐用且透明的加热器件建立了一个平台,并凸显了银-金核壳纳米线在下一代光电子和热管理应用中的巨大潜力。</w:t>
      </w:r>
    </w:p>
    <w:p>
      <w:pPr>
        <w:spacing w:before="0" w:after="200" w:lineRule="auto" w:line="276"/>
      </w:pPr>
      <w:r>
        <w:rPr>
          <w:b/>
        </w:rPr>
        <w:t xml:space="preserve">Abstract (EN): </w:t>
      </w:r>
      <w:r>
        <w:t>This study describes the synthesis of silver-gold core-shell nanowires and their integration into transparent heaters with well-defined grid patterns. By employing a controlled epitaxial growth strategy, we achieved uniform formation of gold shells on silver nanowires, which prevents structural degradation of the silver core and imparts exceptional chemical stability. This approach enables the fabrication of transparent heaters that combine high electrical conductivity, excellent optical transmittance, and outstanding durability. The fabricated heaters have a low sheet resistance of 14.2 Ω/sq and an optical transmittance exceeding 85% at 550 nm, while maintaining stable and robust performance under corrosive conditions, such as exposure to hydrogen peroxide and nitric acid. The heaters achieve uniform and stable Joule heating performance, effectively removing frost within 15 s and clearing fog within 7 s, making them suitable for automotive windshields, camera sensors, and outdoor electronic displays. This research establishes a platform for high-performance, durable, and transparent heating devices and highlights the significant potential of silver-gold core-shell nanowires for next-generation optoelectronic and thermal management applications.</w:t>
      </w:r>
    </w:p>
    <w:p>
      <w:pPr>
        <w:spacing w:before="120" w:after="120"/>
      </w:pPr>
      <w:r>
        <w:rPr>
          <w:sz w:val="18"/>
        </w:rPr>
        <w:t>——————————————————————————————————————————————————————————————————————</w:t>
      </w:r>
    </w:p>
    <w:p>
      <w:pPr>
        <w:spacing w:before="160" w:after="40" w:line="240" w:lineRule="auto"/>
      </w:pPr>
      <w:r>
        <w:rPr>
          <w:b/>
        </w:rPr>
        <w:t xml:space="preserve">[241] </w:t>
      </w:r>
      <w:hyperlink r:id="rId847">
        <w:r>
          <w:rPr>
            <w:color w:val="1155CC"/>
            <w:u w:val="single"/>
          </w:rPr>
          <w:t>2,2,6,6-四甲基哌啶-1-氧自由基(TEMPO)氧化纤维素纳米纤丝增强水凝胶用于高输出、机械稳健的摩擦纳米发电机</w:t>
        </w:r>
      </w:hyperlink>
    </w:p>
    <w:p>
      <w:pPr>
        <w:spacing w:before="0" w:after="80"/>
      </w:pPr>
      <w:r>
        <w:rPr>
          <w:i/>
          <w:sz w:val="20"/>
        </w:rPr>
        <w:t>EN: 2,2,6,6-Tetramethylpiperidine-1-oxyl (TEMPO)-Oxidized Cellulose Nanofibril-Reinforced Hydrogels for High-Output, Mechanically Robust Triboelectric Nanogenerators</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47">
        <w:r>
          <w:rPr>
            <w:color w:val="1155CC"/>
            <w:u w:val="single"/>
          </w:rPr>
          <w:t>10.1021/acsami.6c12056</w:t>
        </w:r>
      </w:hyperlink>
    </w:p>
    <w:p>
      <w:pPr>
        <w:spacing w:before="0" w:after="120"/>
      </w:pPr>
      <w:r>
        <w:rPr>
          <w:b/>
        </w:rPr>
        <w:t xml:space="preserve">Notes: </w:t>
      </w:r>
      <w:r>
        <w:t>abstract_source=crossref</w:t>
      </w:r>
    </w:p>
    <w:p>
      <w:pPr>
        <w:spacing w:before="0" w:after="80" w:lineRule="auto" w:line="276"/>
      </w:pPr>
      <w:r>
        <w:rPr>
          <w:b/>
        </w:rPr>
        <w:t xml:space="preserve">摘要（ZH）: </w:t>
      </w:r>
      <w:r>
        <w:t>摘要 随着可穿戴传感器和物联网的快速发展,自供电系统已成为可持续、低维护电子产品的必需品。摩擦纳米发电机是极具前景的候选者;然而,同时实现高电输出与机械鲁棒性仍具挑战性。在此,我们报道了一种基于2,2,6,6-四甲基哌啶-1-氧自由基氧化纤维素纳米纤维增强导电水凝胶的超韧、可拉伸TENG。该设计带来双重益处:TOCNF上丰富的羧基增强了摩擦电荷转移并提升了电输出,同时TOCNF形成了坚固的三重交联网络,赋予其耐久性。所得TENG实现了69.4 V的开路电压、2.8 μA的短路电流、12.15 μW/cm2的功率密度、908%伸长率下3.05 MPa的拉伸强度以及80%应变下4.10 MPa的压缩强度,优于大多数已报道的基于水凝胶的TENG。在传感方面,其灵敏度为0.36 V·kPa–1,响应/恢复时间快速(298/270 ms),并在5000次循环中稳定运行。此外,该器件可为微电子设备供电,实现无线摩尔斯电码通信,并支持自供电健康监测。这项工作解决了TENG设计中性能与耐久性之间的常见权衡问题,为自供电可穿戴电子和物联网应用提供了一个多功能平台。</w:t>
      </w:r>
    </w:p>
    <w:p>
      <w:pPr>
        <w:spacing w:before="0" w:after="200" w:lineRule="auto" w:line="276"/>
      </w:pPr>
      <w:r>
        <w:rPr>
          <w:b/>
        </w:rPr>
        <w:t xml:space="preserve">Abstract (EN): </w:t>
      </w:r>
      <w:r>
        <w:t>With the rapid advancement of wearable sensors and the Internet of Things (IoT), self-powered systems have become essential for sustainable, low-maintenance electronics. Triboelectric nanogenerators (TENGs) are promising candidates; however, achieving high electrical output together with mechanical robustness remains challenging. Herein, we report an ultra-tough, stretchable TENG based on a conductive hydrogel reinforced with 2,2,6,6-tetramethylpiperidine-1-oxyl (TEMPO)-oxidized cellulose nanofibrils (TOCNFs). The design delivers a dual benefit: abundant carboxyl groups on TOCNFs enhance triboelectric charge transfer and boost electrical output, while TOCNFs form a robust triple cross-linked network that imparts durability. The resulting TENG achieves an open-circuit voltage of 69.4 V, a short-circuit current of 2.8 μA, a power density of 12.15 μW/cm2, a tensile strength of 3.05 MPa at 908% elongation, and a compressive strength of 4.10 MPa at 80% strain, outperforming most reported hydrogel-based TENGs. For sensing, it exhibits a sensitivity of 0.36 V·kPa–1, fast response and recovery times (298/270 ms), and stable operation over 5000 cycles. Additionally, the device powers microelectronics, enables wireless Morse-code communication, and supports self-powered health monitoring. This work resolves the common trade-off between performance and durability in TENG design and provides a versatile platform for self-powered wearable electronics and IoT applications.</w:t>
      </w:r>
    </w:p>
    <w:p>
      <w:pPr>
        <w:spacing w:before="120" w:after="120"/>
      </w:pPr>
      <w:r>
        <w:rPr>
          <w:sz w:val="18"/>
        </w:rPr>
        <w:t>——————————————————————————————————————————————————————————————————————</w:t>
      </w:r>
    </w:p>
    <w:p>
      <w:pPr>
        <w:spacing w:before="160" w:after="40" w:line="240" w:lineRule="auto"/>
      </w:pPr>
      <w:r>
        <w:rPr>
          <w:b/>
        </w:rPr>
        <w:t xml:space="preserve">[242] </w:t>
      </w:r>
      <w:hyperlink r:id="rId848">
        <w:r>
          <w:rPr>
            <w:color w:val="1155CC"/>
            <w:u w:val="single"/>
          </w:rPr>
          <w:t>用于烯烃氢芳基化的通用光氧化还原平台</w:t>
        </w:r>
      </w:hyperlink>
    </w:p>
    <w:p>
      <w:pPr>
        <w:spacing w:before="0" w:after="80"/>
      </w:pPr>
      <w:r>
        <w:rPr>
          <w:i/>
          <w:sz w:val="20"/>
        </w:rPr>
        <w:t>EN: A General Photoredox Platform for the Hydroarylation of Olefins</w:t>
      </w:r>
    </w:p>
    <w:p>
      <w:pPr>
        <w:spacing w:before="0" w:after="120"/>
      </w:pPr>
      <w:r>
        <w:rPr>
          <w:b/>
        </w:rPr>
        <w:t xml:space="preserve">Source: </w:t>
      </w:r>
      <w:r>
        <w:t>Journal of the American Chemical Society</w:t>
      </w:r>
      <w:r>
        <w:t xml:space="preserve">    </w:t>
      </w:r>
      <w:r>
        <w:rPr>
          <w:b/>
        </w:rPr>
        <w:t xml:space="preserve">Pub date: </w:t>
      </w:r>
      <w:r>
        <w:t>2026-08-31 00:00:00+00:00</w:t>
      </w:r>
      <w:r>
        <w:t xml:space="preserve">    </w:t>
      </w:r>
      <w:r>
        <w:rPr>
          <w:b/>
        </w:rPr>
        <w:t xml:space="preserve">DOI: </w:t>
      </w:r>
      <w:hyperlink r:id="rId848">
        <w:r>
          <w:rPr>
            <w:color w:val="1155CC"/>
            <w:u w:val="single"/>
          </w:rPr>
          <w:t>10.1021/jacs.6c14333</w:t>
        </w:r>
      </w:hyperlink>
    </w:p>
    <w:p>
      <w:pPr>
        <w:spacing w:before="0" w:after="120"/>
      </w:pPr>
      <w:r>
        <w:rPr>
          <w:b/>
        </w:rPr>
        <w:t xml:space="preserve">Notes: </w:t>
      </w:r>
      <w:r>
        <w:t>abstract_source=crossref</w:t>
      </w:r>
    </w:p>
    <w:p>
      <w:pPr>
        <w:spacing w:before="0" w:after="80" w:lineRule="auto" w:line="276"/>
      </w:pPr>
      <w:r>
        <w:rPr>
          <w:b/>
        </w:rPr>
        <w:t xml:space="preserve">摘要（ZH）: </w:t>
      </w:r>
      <w:r>
        <w:t>摘要 烯烃氢芳基化反应提供了一种将芳基与富含C(sp3)的烯烃衍生片段相结合的直接策略，然而采用丰富的芳基溴化物并适用于多种烯烃类型的通用方法仍然难以实现。本文报道了XAT-Heck，这是一种自由基氢芳基化平台，可在温和的光氧化还原条件下通过卤原子转移（XAT）实现的芳基自由基生成，将芳基溴化物与烯烃偶联。该方法适用于末端烯烃、内烯烃和偕二取代烯烃，以及范围广泛的杂芳基和芳基溴化物。化学空间映射进一步支持了对市售烯烃和芳基溴化物空间的广泛覆盖。该平台的多功能性通过氘掺入、中环形成、后期官能团化以及蛋白降解靶向嵌合体（PROTAC）文库构建得以展示。</w:t>
      </w:r>
    </w:p>
    <w:p>
      <w:pPr>
        <w:spacing w:before="0" w:after="200" w:lineRule="auto" w:line="276"/>
      </w:pPr>
      <w:r>
        <w:rPr>
          <w:b/>
        </w:rPr>
        <w:t xml:space="preserve">Abstract (EN): </w:t>
      </w:r>
      <w:r>
        <w:t>Alkene hydroarylation provides a direct strategy for merging aryl groups with alkene-derived C(sp3)-rich fragments, yet general methods that employ abundant aryl bromides across diverse alkene classes remain elusive. Herein, we report XAT-Heck, a radical hydroarylation platform that couples aryl bromides with alkenes under mild photoredox conditions through halogen-atom transfer (XAT)-enabled aryl radical generation. The method accommodates terminal, internal, and gem-disubstituted alkenes, as well as a broad range of heteroaryl and aryl bromides. Chemical-space mapping further supports the broad coverage of commercially available olefin and aryl bromide space. The versatility of this platform is showcased through deuterium incorporation, medium-ring formation, late-stage functionalization, and proteolysis-targeting chimera (PROTAC) library construction.</w:t>
      </w:r>
    </w:p>
    <w:p>
      <w:pPr>
        <w:spacing w:before="120" w:after="120"/>
      </w:pPr>
      <w:r>
        <w:rPr>
          <w:sz w:val="18"/>
        </w:rPr>
        <w:t>——————————————————————————————————————————————————————————————————————</w:t>
      </w:r>
    </w:p>
    <w:p>
      <w:pPr>
        <w:spacing w:before="160" w:after="40" w:line="240" w:lineRule="auto"/>
      </w:pPr>
      <w:r>
        <w:rPr>
          <w:b/>
        </w:rPr>
        <w:t xml:space="preserve">[243] </w:t>
      </w:r>
      <w:hyperlink r:id="rId849">
        <w:r>
          <w:rPr>
            <w:color w:val="1155CC"/>
            <w:u w:val="single"/>
          </w:rPr>
          <w:t>钌二氢化物催化硫脲的氢化反应：一种由CS2温和实用制备甲硫醇的方法</w:t>
        </w:r>
      </w:hyperlink>
    </w:p>
    <w:p>
      <w:pPr>
        <w:spacing w:before="0" w:after="80"/>
      </w:pPr>
      <w:r>
        <w:rPr>
          <w:i/>
          <w:sz w:val="20"/>
        </w:rPr>
        <w:t>EN: A Ruthenium Dihydride-Catalyzed Hydrogenation of Thioureas: A Mild and Practical Approach from CS2 to Methanethiol</w:t>
      </w:r>
    </w:p>
    <w:p>
      <w:pPr>
        <w:spacing w:before="0" w:after="120"/>
      </w:pPr>
      <w:r>
        <w:rPr>
          <w:b/>
        </w:rPr>
        <w:t xml:space="preserve">Source: </w:t>
      </w:r>
      <w:r>
        <w:t>Journal of the American Chemical Society</w:t>
      </w:r>
      <w:r>
        <w:t xml:space="preserve">    </w:t>
      </w:r>
      <w:r>
        <w:rPr>
          <w:b/>
        </w:rPr>
        <w:t xml:space="preserve">Pub date: </w:t>
      </w:r>
      <w:r>
        <w:t>2026-08-31 00:00:00+00:00</w:t>
      </w:r>
      <w:r>
        <w:t xml:space="preserve">    </w:t>
      </w:r>
      <w:r>
        <w:rPr>
          <w:b/>
        </w:rPr>
        <w:t xml:space="preserve">DOI: </w:t>
      </w:r>
      <w:hyperlink r:id="rId849">
        <w:r>
          <w:rPr>
            <w:color w:val="1155CC"/>
            <w:u w:val="single"/>
          </w:rPr>
          <w:t>10.1021/jacs.6c11733</w:t>
        </w:r>
      </w:hyperlink>
    </w:p>
    <w:p>
      <w:pPr>
        <w:spacing w:before="0" w:after="120"/>
      </w:pPr>
      <w:r>
        <w:rPr>
          <w:b/>
        </w:rPr>
        <w:t xml:space="preserve">Notes: </w:t>
      </w:r>
      <w:r>
        <w:t>abstract_source=crossref</w:t>
      </w:r>
    </w:p>
    <w:p>
      <w:pPr>
        <w:spacing w:before="0" w:after="80" w:lineRule="auto" w:line="276"/>
      </w:pPr>
      <w:r>
        <w:rPr>
          <w:b/>
        </w:rPr>
        <w:t xml:space="preserve">摘要（ZH）: </w:t>
      </w:r>
      <w:r>
        <w:t>摘要 硫脲可由CS2和胺轻松形成，其催化氢化可为将CS2污染物加氢转化为高价值甲硫醇（蛋氨酸合成的重要原料）提供替代性的温和方法。本文报道了一种高活性的Ru-二氢化物[(triphos)Ru(PPh3)H2]，其具有一个解离能垒相对较低的可交换PPh3配体，从而无需任何添加剂即可高效催化硫脲的氢化反应。其他可还原的有机硫化合物，如硫代氨基甲酸酯、硫代酰胺或硫酯，甚至含硫的不饱和聚合物树脂，也均已成功实现转化。这种广泛的适用性表明这是一个通用平台，可在中性温和的反应条件下生产硫醇且不产生废物，这将推动这种钌二氢化物获得更广泛的应用性和可获得性。</w:t>
      </w:r>
    </w:p>
    <w:p>
      <w:pPr>
        <w:spacing w:before="0" w:after="200" w:lineRule="auto" w:line="276"/>
      </w:pPr>
      <w:r>
        <w:rPr>
          <w:b/>
        </w:rPr>
        <w:t xml:space="preserve">Abstract (EN): </w:t>
      </w:r>
      <w:r>
        <w:t>Catalytic hydrogenation of thioureas, which are readily formed from CS2 and amines, can provide alternative, mild approaches to the hydrogenation of the CS2 pollutant to high-value methanethiol, an important raw material for the synthesis of methionine. We report herein a highly active Ru-dihydride [(triphos)Ru(PPh3)H2], which features an exchangeable PPh3 ligand that has a relatively low dissociation energy barrier, thereby efficiently catalyzing the hydrogenation of thioureas without any additives. Other reducible organosulfur compounds such as thiocarbamates, thioamides, or thioesters, even unsaturated sulfur-containing polymer resins, have also been successfully achieved. The wide utility indicates that this is a universal platform that can produce thiols under neutral and mild reaction conditions without generating waste, which will drive this ruthenium dihydride to have a broader applicability and accessibility.</w:t>
      </w:r>
    </w:p>
    <w:p>
      <w:pPr>
        <w:spacing w:before="120" w:after="120"/>
      </w:pPr>
      <w:r>
        <w:rPr>
          <w:sz w:val="18"/>
        </w:rPr>
        <w:t>——————————————————————————————————————————————————————————————————————</w:t>
      </w:r>
    </w:p>
    <w:p>
      <w:pPr>
        <w:spacing w:before="160" w:after="40" w:line="240" w:lineRule="auto"/>
      </w:pPr>
      <w:r>
        <w:rPr>
          <w:b/>
        </w:rPr>
        <w:t xml:space="preserve">[244] </w:t>
      </w:r>
      <w:hyperlink r:id="rId850">
        <w:r>
          <w:rPr>
            <w:color w:val="1155CC"/>
            <w:u w:val="single"/>
          </w:rPr>
          <w:t>全球蛇咬伤规模估计</w:t>
        </w:r>
      </w:hyperlink>
    </w:p>
    <w:p>
      <w:pPr>
        <w:spacing w:before="0" w:after="80"/>
      </w:pPr>
      <w:r>
        <w:rPr>
          <w:i/>
          <w:sz w:val="20"/>
        </w:rPr>
        <w:t>EN: Scale of snakebites estimated globally</w:t>
      </w:r>
    </w:p>
    <w:p>
      <w:pPr>
        <w:spacing w:before="0" w:after="120"/>
      </w:pPr>
      <w:r>
        <w:rPr>
          <w:b/>
        </w:rPr>
        <w:t xml:space="preserve">Source: </w:t>
      </w:r>
      <w:r>
        <w:t>Nature</w:t>
      </w:r>
      <w:r>
        <w:t xml:space="preserve">    </w:t>
      </w:r>
      <w:r>
        <w:rPr>
          <w:b/>
        </w:rPr>
        <w:t xml:space="preserve">Pub date: </w:t>
      </w:r>
      <w:r>
        <w:t>2026-08-31 00:00:00+00:00</w:t>
      </w:r>
      <w:r>
        <w:t xml:space="preserve">    </w:t>
      </w:r>
      <w:r>
        <w:rPr>
          <w:b/>
        </w:rPr>
        <w:t xml:space="preserve">DOI: </w:t>
      </w:r>
      <w:hyperlink r:id="rId851">
        <w:r>
          <w:rPr>
            <w:color w:val="1155CC"/>
            <w:u w:val="single"/>
          </w:rPr>
          <w:t>10.1038/d41586-026-02642-x</w:t>
        </w:r>
      </w:hyperlink>
    </w:p>
    <w:p>
      <w:pPr>
        <w:spacing w:before="0" w:after="120"/>
      </w:pPr>
      <w:r>
        <w:rPr>
          <w:b/>
        </w:rPr>
        <w:t xml:space="preserve">Notes: </w:t>
      </w:r>
      <w:r>
        <w:t>abstract_source=rss_nature</w:t>
      </w:r>
    </w:p>
    <w:p>
      <w:pPr>
        <w:spacing w:before="0" w:after="80" w:lineRule="auto" w:line="276"/>
      </w:pPr>
      <w:r>
        <w:rPr>
          <w:b/>
        </w:rPr>
        <w:t xml:space="preserve">摘要（ZH）: </w:t>
      </w:r>
      <w:r>
        <w:t>利用现有数据和建模来评估蛇咬伤的发生率及相关死亡人数，可为应对这一公共卫生问题的努力提供所需信息。</w:t>
      </w:r>
    </w:p>
    <w:p>
      <w:pPr>
        <w:spacing w:before="0" w:after="200" w:lineRule="auto" w:line="276"/>
      </w:pPr>
      <w:r>
        <w:rPr>
          <w:b/>
        </w:rPr>
        <w:t xml:space="preserve">Abstract (EN): </w:t>
      </w:r>
      <w:r>
        <w:t>Using available data and modelling to assess the incidence of snakebites and associated deaths provides information needed for efforts to tackle this public-health concern.</w:t>
      </w:r>
    </w:p>
    <w:p>
      <w:pPr>
        <w:spacing w:before="120" w:after="120"/>
      </w:pPr>
      <w:r>
        <w:rPr>
          <w:sz w:val="18"/>
        </w:rPr>
        <w:t>——————————————————————————————————————————————————————————————————————</w:t>
      </w:r>
    </w:p>
    <w:p>
      <w:pPr>
        <w:spacing w:before="160" w:after="40" w:line="240" w:lineRule="auto"/>
      </w:pPr>
      <w:r>
        <w:rPr>
          <w:b/>
        </w:rPr>
        <w:t xml:space="preserve">[245] </w:t>
      </w:r>
      <w:hyperlink r:id="rId852">
        <w:r>
          <w:rPr>
            <w:color w:val="1155CC"/>
            <w:u w:val="single"/>
          </w:rPr>
          <w:t>你的实验室属于哪种原型？答案可能影响你如何使用AI</w:t>
        </w:r>
      </w:hyperlink>
    </w:p>
    <w:p>
      <w:pPr>
        <w:spacing w:before="0" w:after="80"/>
      </w:pPr>
      <w:r>
        <w:rPr>
          <w:i/>
          <w:sz w:val="20"/>
        </w:rPr>
        <w:t>EN: What’s your lab’s archetype? The answer could inform how you use AI</w:t>
      </w:r>
    </w:p>
    <w:p>
      <w:pPr>
        <w:spacing w:before="0" w:after="120"/>
      </w:pPr>
      <w:r>
        <w:rPr>
          <w:b/>
        </w:rPr>
        <w:t xml:space="preserve">Source: </w:t>
      </w:r>
      <w:r>
        <w:t>Nature</w:t>
      </w:r>
      <w:r>
        <w:t xml:space="preserve">    </w:t>
      </w:r>
      <w:r>
        <w:rPr>
          <w:b/>
        </w:rPr>
        <w:t xml:space="preserve">Pub date: </w:t>
      </w:r>
      <w:r>
        <w:t>2026-08-31 00:00:00+00:00</w:t>
      </w:r>
      <w:r>
        <w:t xml:space="preserve">    </w:t>
      </w:r>
      <w:r>
        <w:rPr>
          <w:b/>
        </w:rPr>
        <w:t xml:space="preserve">DOI: </w:t>
      </w:r>
      <w:hyperlink r:id="rId853">
        <w:r>
          <w:rPr>
            <w:color w:val="1155CC"/>
            <w:u w:val="single"/>
          </w:rPr>
          <w:t>10.1038/d41586-026-02543-z</w:t>
        </w:r>
      </w:hyperlink>
    </w:p>
    <w:p>
      <w:pPr>
        <w:spacing w:before="0" w:after="120"/>
      </w:pPr>
      <w:r>
        <w:rPr>
          <w:b/>
        </w:rPr>
        <w:t xml:space="preserve">Notes: </w:t>
      </w:r>
      <w:r>
        <w:t>abstract_source=rss_nature</w:t>
      </w:r>
    </w:p>
    <w:p>
      <w:pPr>
        <w:spacing w:before="0" w:after="80" w:lineRule="auto" w:line="276"/>
      </w:pPr>
      <w:r>
        <w:rPr>
          <w:b/>
        </w:rPr>
        <w:t xml:space="preserve">摘要（ZH）: </w:t>
      </w:r>
      <w:r>
        <w:t>一份白皮书为研究团队提供了四种优先模式，每种模式对人工智能的使用方式各不相同。</w:t>
      </w:r>
    </w:p>
    <w:p>
      <w:pPr>
        <w:spacing w:before="0" w:after="200" w:lineRule="auto" w:line="276"/>
      </w:pPr>
      <w:r>
        <w:rPr>
          <w:b/>
        </w:rPr>
        <w:t xml:space="preserve">Abstract (EN): </w:t>
      </w:r>
      <w:r>
        <w:t>A white paper gives research groups four priority models, each of which uses artificial intelligence differently.</w:t>
      </w:r>
    </w:p>
    <w:p>
      <w:pPr>
        <w:spacing w:before="120" w:after="120"/>
      </w:pPr>
      <w:r>
        <w:rPr>
          <w:sz w:val="18"/>
        </w:rPr>
        <w:t>——————————————————————————————————————————————————————————————————————</w:t>
      </w:r>
    </w:p>
    <w:p>
      <w:pPr>
        <w:spacing w:before="160" w:after="40" w:line="240" w:lineRule="auto"/>
      </w:pPr>
      <w:r>
        <w:rPr>
          <w:b/>
        </w:rPr>
        <w:t xml:space="preserve">[246] </w:t>
      </w:r>
      <w:hyperlink r:id="rId854">
        <w:r>
          <w:rPr>
            <w:color w:val="1155CC"/>
            <w:u w:val="single"/>
          </w:rPr>
          <w:t>无序中出有序：我们需要新的物理定律吗？</w:t>
        </w:r>
      </w:hyperlink>
    </w:p>
    <w:p>
      <w:pPr>
        <w:spacing w:before="0" w:after="80"/>
      </w:pPr>
      <w:r>
        <w:rPr>
          <w:i/>
          <w:sz w:val="20"/>
        </w:rPr>
        <w:t>EN: Order from disorder: do we need a new law of physics?</w:t>
      </w:r>
    </w:p>
    <w:p>
      <w:pPr>
        <w:spacing w:before="0" w:after="120"/>
      </w:pPr>
      <w:r>
        <w:rPr>
          <w:b/>
        </w:rPr>
        <w:t xml:space="preserve">Source: </w:t>
      </w:r>
      <w:r>
        <w:t>Nature</w:t>
      </w:r>
      <w:r>
        <w:t xml:space="preserve">    </w:t>
      </w:r>
      <w:r>
        <w:rPr>
          <w:b/>
        </w:rPr>
        <w:t xml:space="preserve">Pub date: </w:t>
      </w:r>
      <w:r>
        <w:t>2026-08-31 00:00:00+00:00</w:t>
      </w:r>
      <w:r>
        <w:t xml:space="preserve">    </w:t>
      </w:r>
      <w:r>
        <w:rPr>
          <w:b/>
        </w:rPr>
        <w:t xml:space="preserve">DOI: </w:t>
      </w:r>
      <w:hyperlink r:id="rId855">
        <w:r>
          <w:rPr>
            <w:color w:val="1155CC"/>
            <w:u w:val="single"/>
          </w:rPr>
          <w:t>10.1038/d41586-026-02685-0</w:t>
        </w:r>
      </w:hyperlink>
    </w:p>
    <w:p>
      <w:pPr>
        <w:spacing w:before="0" w:after="120"/>
      </w:pPr>
      <w:r>
        <w:rPr>
          <w:b/>
        </w:rPr>
        <w:t xml:space="preserve">Notes: </w:t>
      </w:r>
      <w:r>
        <w:t>abstract_source=rss_nature</w:t>
      </w:r>
    </w:p>
    <w:p>
      <w:pPr>
        <w:spacing w:before="0" w:after="80" w:lineRule="auto" w:line="276"/>
      </w:pPr>
      <w:r>
        <w:rPr>
          <w:b/>
        </w:rPr>
        <w:t xml:space="preserve">摘要（ZH）: </w:t>
      </w:r>
      <w:r>
        <w:t>一项认为演化压力对原子和动物同样适用的激进提议，应当引发科学界的讨论。</w:t>
      </w:r>
    </w:p>
    <w:p>
      <w:pPr>
        <w:spacing w:before="0" w:after="200" w:lineRule="auto" w:line="276"/>
      </w:pPr>
      <w:r>
        <w:rPr>
          <w:b/>
        </w:rPr>
        <w:t xml:space="preserve">Abstract (EN): </w:t>
      </w:r>
      <w:r>
        <w:t>A radical proposal that evolutionary pressures apply to atoms as much as animals should provoke scientific debate.</w:t>
      </w:r>
    </w:p>
    <w:p>
      <w:pPr>
        <w:spacing w:before="120" w:after="120"/>
      </w:pPr>
      <w:r>
        <w:rPr>
          <w:sz w:val="18"/>
        </w:rPr>
        <w:t>——————————————————————————————————————————————————————————————————————</w:t>
      </w:r>
    </w:p>
    <w:p>
      <w:pPr>
        <w:spacing w:before="160" w:after="40" w:line="240" w:lineRule="auto"/>
      </w:pPr>
      <w:r>
        <w:rPr>
          <w:b/>
        </w:rPr>
        <w:t xml:space="preserve">[247] </w:t>
      </w:r>
      <w:hyperlink r:id="rId856">
        <w:r>
          <w:rPr>
            <w:color w:val="1155CC"/>
            <w:u w:val="single"/>
          </w:rPr>
          <w:t>闰秒已死。闰小时万岁？</w:t>
        </w:r>
      </w:hyperlink>
    </w:p>
    <w:p>
      <w:pPr>
        <w:spacing w:before="0" w:after="80"/>
      </w:pPr>
      <w:r>
        <w:rPr>
          <w:i/>
          <w:sz w:val="20"/>
        </w:rPr>
        <w:t>EN: The leap second is dead. Long live the leap hour?</w:t>
      </w:r>
    </w:p>
    <w:p>
      <w:pPr>
        <w:spacing w:before="0" w:after="120"/>
      </w:pPr>
      <w:r>
        <w:rPr>
          <w:b/>
        </w:rPr>
        <w:t xml:space="preserve">Source: </w:t>
      </w:r>
      <w:r>
        <w:t>Nature</w:t>
      </w:r>
      <w:r>
        <w:t xml:space="preserve">    </w:t>
      </w:r>
      <w:r>
        <w:rPr>
          <w:b/>
        </w:rPr>
        <w:t xml:space="preserve">Pub date: </w:t>
      </w:r>
      <w:r>
        <w:t>2026-08-31 00:00:00+00:00</w:t>
      </w:r>
      <w:r>
        <w:t xml:space="preserve">    </w:t>
      </w:r>
      <w:r>
        <w:rPr>
          <w:b/>
        </w:rPr>
        <w:t xml:space="preserve">DOI: </w:t>
      </w:r>
      <w:hyperlink r:id="rId857">
        <w:r>
          <w:rPr>
            <w:color w:val="1155CC"/>
            <w:u w:val="single"/>
          </w:rPr>
          <w:t>10.1038/d41586-026-02669-0</w:t>
        </w:r>
      </w:hyperlink>
    </w:p>
    <w:p>
      <w:pPr>
        <w:spacing w:before="0" w:after="120"/>
      </w:pPr>
      <w:r>
        <w:rPr>
          <w:b/>
        </w:rPr>
        <w:t xml:space="preserve">Notes: </w:t>
      </w:r>
      <w:r>
        <w:t>abstract_source=rss_nature</w:t>
      </w:r>
    </w:p>
    <w:p>
      <w:pPr>
        <w:spacing w:before="0" w:after="80" w:lineRule="auto" w:line="276"/>
      </w:pPr>
      <w:r>
        <w:rPr>
          <w:b/>
        </w:rPr>
        <w:t xml:space="preserve">摘要（ZH）: </w:t>
      </w:r>
      <w:r>
        <w:t>对可能出现“负”闰秒的担忧正在加速废除该调整机制的计划。</w:t>
      </w:r>
    </w:p>
    <w:p>
      <w:pPr>
        <w:spacing w:before="0" w:after="200" w:lineRule="auto" w:line="276"/>
      </w:pPr>
      <w:r>
        <w:rPr>
          <w:b/>
        </w:rPr>
        <w:t xml:space="preserve">Abstract (EN): </w:t>
      </w:r>
      <w:r>
        <w:t>Fear of a possible ‘negative’ leap second is accelerating plans to abolish the adjustment.</w:t>
      </w:r>
    </w:p>
    <w:p>
      <w:pPr>
        <w:spacing w:before="120" w:after="120"/>
      </w:pPr>
      <w:r>
        <w:rPr>
          <w:sz w:val="18"/>
        </w:rPr>
        <w:t>——————————————————————————————————————————————————————————————————————</w:t>
      </w:r>
    </w:p>
    <w:p>
      <w:pPr>
        <w:spacing w:before="160" w:after="40" w:line="240" w:lineRule="auto"/>
      </w:pPr>
      <w:r>
        <w:rPr>
          <w:b/>
        </w:rPr>
        <w:t xml:space="preserve">[248] </w:t>
      </w:r>
      <w:hyperlink r:id="rId858">
        <w:r>
          <w:rPr>
            <w:color w:val="1155CC"/>
            <w:u w:val="single"/>
          </w:rPr>
          <w:t>位错系统的原子级数字孪生</w:t>
        </w:r>
      </w:hyperlink>
    </w:p>
    <w:p>
      <w:pPr>
        <w:spacing w:before="0" w:after="80"/>
      </w:pPr>
      <w:r>
        <w:rPr>
          <w:i/>
          <w:sz w:val="20"/>
        </w:rPr>
        <w:t>EN: An atomic-scale digital twin of dislocation systems</w:t>
      </w:r>
    </w:p>
    <w:p>
      <w:pPr>
        <w:spacing w:before="0" w:after="120"/>
      </w:pPr>
      <w:r>
        <w:rPr>
          <w:b/>
        </w:rPr>
        <w:t xml:space="preserve">Source: </w:t>
      </w:r>
      <w:r>
        <w:t>National Science Review Advance Access</w:t>
      </w:r>
      <w:r>
        <w:t xml:space="preserve">    </w:t>
      </w:r>
      <w:r>
        <w:rPr>
          <w:b/>
        </w:rPr>
        <w:t xml:space="preserve">Pub date: </w:t>
      </w:r>
      <w:r>
        <w:t>2026-08-31 00:00:00+00:00</w:t>
      </w:r>
      <w:r>
        <w:t xml:space="preserve">    </w:t>
      </w:r>
      <w:r>
        <w:rPr>
          <w:b/>
        </w:rPr>
        <w:t xml:space="preserve">DOI: </w:t>
      </w:r>
      <w:hyperlink r:id="rId859">
        <w:r>
          <w:rPr>
            <w:color w:val="1155CC"/>
            <w:u w:val="single"/>
          </w:rPr>
          <w:t>10.1093/nsr/nwag553</w:t>
        </w:r>
      </w:hyperlink>
    </w:p>
    <w:p>
      <w:pPr>
        <w:spacing w:before="0" w:after="120"/>
      </w:pPr>
      <w:r>
        <w:rPr>
          <w:b/>
        </w:rPr>
        <w:t xml:space="preserve">Notes: </w:t>
      </w:r>
      <w:r>
        <w:t>abstract_source=rss_oup</w:t>
      </w:r>
    </w:p>
    <w:p>
      <w:pPr>
        <w:spacing w:before="0" w:after="80" w:lineRule="auto" w:line="276"/>
      </w:pPr>
      <w:r>
        <w:rPr>
          <w:b/>
        </w:rPr>
        <w:t xml:space="preserve">摘要（ZH）: </w:t>
      </w:r>
      <w:r>
        <w:t>对可能出现“负闰秒”的担忧正在加速废除闰秒调整的计划。位错作为塑性的主要载体，决定着从金属到半导体等各类晶体材料的力学性能。位错的原子尺度行为受结构、应力、能量和化学环境等多维场控制，这些场决定了位错的固有迁移率及其与其他缺陷的相互作用。然而，同时获取这种多维信息长期以来仍是一项挑战，因为原子分辨率图像主要揭示原子位置等结构特征，而其他关键场仍然隐藏不见。本文中，我们介绍了AtomDiT，这是一种基于机器学习的框架，可直接从高分辨率显微图像构建位错的数字孪生。AtomDiT利用原子模拟学习局部原子环境与多维场之间的关系，并将这一知识迁移到实验图像中。它可从单幅图像中识别位错类型和核心位置，并构建周围的力学和化学场。AtomDiT适用于各种晶体结构、位错类型、化学复杂性和变形状态。利用该数字孪生，我们揭示了应力和元素分布如何调控位错-界面相互作用，为化学和结构复杂体系中的塑性提供了机理认识。基于实验测量得到的原子结构，该数字孪生可直接作为介观尺度和连续介质水平塑性模型的数据基础，架起了</w:t>
      </w:r>
    </w:p>
    <w:p>
      <w:pPr>
        <w:spacing w:before="0" w:after="200" w:lineRule="auto" w:line="276"/>
      </w:pPr>
      <w:r>
        <w:rPr>
          <w:b/>
        </w:rPr>
        <w:t xml:space="preserve">Abstract (EN): </w:t>
      </w:r>
      <w:r>
        <w:t>Dislocations, the primary carriers of plasticity, govern the mechanical properties of crystalline materials ranging from metals to semiconductors. The atomic-scale behavior of a dislocation is controlled by multi‑dimensional fields encompassing structure, stress, energy, and chemical environment, which govern its intrinsic mobility and interactions with other defects. However, simultaneously capturing such multi‑dimensional information remains a long‑standing challenge, since the atomic‑resolution images primarily reveal structural features like atomic positions, while other critical fields remain hidden. Here, we introduce AtomDiT, a machine learning-based framework that creates a digital twin of dislocations directly from a high‑resolution micrograph. AtomDiT uses atomistic simulations to learn the relationships between local atomic environment and multi‑dimensional fields, and transfers this knowledge to experimental images. Derived from a single image, it identifies dislocation types and core positions, constructing the surrounding mechanical and chemical fields. AtomDiT is applicable across various crystal structures, dislocation types, chemical complexities, and deformation states. Using the digital twin, we reveal how stress and elemental distribution regulate dislocation‑interface interactions, offering mechanistic insights into plasticity in chemically and structurally complex systems. Based on atomic structures derived from experimental measurements, the digital twin directly serves as a data foundation for mesoscale and continuum‑level plasticity models, bridging atomic‑scale defect dynamics with higher‑scale material behavior.</w:t>
      </w:r>
    </w:p>
    <w:p>
      <w:pPr>
        <w:spacing w:before="120" w:after="120"/>
      </w:pPr>
      <w:r>
        <w:rPr>
          <w:sz w:val="18"/>
        </w:rPr>
        <w:t>——————————————————————————————————————————————————————————————————————</w:t>
      </w:r>
    </w:p>
    <w:p>
      <w:pPr>
        <w:spacing w:before="160" w:after="40" w:line="240" w:lineRule="auto"/>
      </w:pPr>
      <w:r>
        <w:rPr>
          <w:b/>
        </w:rPr>
        <w:t xml:space="preserve">[249] </w:t>
      </w:r>
      <w:hyperlink r:id="rId860">
        <w:r>
          <w:rPr>
            <w:color w:val="1155CC"/>
            <w:u w:val="single"/>
          </w:rPr>
          <w:t>负载于Ni基MOF上的钯纳米粒子用于低温乙炔半加氢：打破活性-选择性权衡</w:t>
        </w:r>
      </w:hyperlink>
    </w:p>
    <w:p>
      <w:pPr>
        <w:spacing w:before="0" w:after="80"/>
      </w:pPr>
      <w:r>
        <w:rPr>
          <w:i/>
          <w:sz w:val="20"/>
        </w:rPr>
        <w:t>EN: Palladium nanoparticles supported on a Ni-Based MOF for low-temperature acetylene semi-hydrogenation: breaking the activity-selectivity trade-off</w:t>
      </w:r>
    </w:p>
    <w:p>
      <w:pPr>
        <w:spacing w:before="0" w:after="120"/>
      </w:pPr>
      <w:r>
        <w:rPr>
          <w:b/>
        </w:rPr>
        <w:t xml:space="preserve">Source: </w:t>
      </w:r>
      <w:r>
        <w:t>National Science Review Advance Access</w:t>
      </w:r>
      <w:r>
        <w:t xml:space="preserve">    </w:t>
      </w:r>
      <w:r>
        <w:rPr>
          <w:b/>
        </w:rPr>
        <w:t xml:space="preserve">Pub date: </w:t>
      </w:r>
      <w:r>
        <w:t>2026-08-31 00:00:00+00:00</w:t>
      </w:r>
      <w:r>
        <w:t xml:space="preserve">    </w:t>
      </w:r>
      <w:r>
        <w:rPr>
          <w:b/>
        </w:rPr>
        <w:t xml:space="preserve">DOI: </w:t>
      </w:r>
      <w:hyperlink r:id="rId861">
        <w:r>
          <w:rPr>
            <w:color w:val="1155CC"/>
            <w:u w:val="single"/>
          </w:rPr>
          <w:t>10.1093/nsr/nwag512</w:t>
        </w:r>
      </w:hyperlink>
    </w:p>
    <w:p>
      <w:pPr>
        <w:spacing w:before="0" w:after="120"/>
      </w:pPr>
      <w:r>
        <w:rPr>
          <w:b/>
        </w:rPr>
        <w:t xml:space="preserve">Notes: </w:t>
      </w:r>
      <w:r>
        <w:t>abstract_source=rss_oup</w:t>
      </w:r>
    </w:p>
    <w:p>
      <w:pPr>
        <w:spacing w:before="0" w:after="80" w:lineRule="auto" w:line="276"/>
      </w:pPr>
      <w:r>
        <w:rPr>
          <w:b/>
        </w:rPr>
        <w:t xml:space="preserve">摘要（ZH）: </w:t>
      </w:r>
      <w:r>
        <w:t>过量乙烯中乙炔的半加氢在石油化学工业中具有重要意义。传统催化剂通常依赖同时活化H2和C2H2的Pd位点，往往导致活性与选择性之间的权衡效应。在本工作中，通过Ni基金属有机框架（Ni-MOF）稳定Pd纳米颗粒，构建了Pd/Ni-MOF复合材料。Ni-MOF不仅能选择性富集并活化乙炔，还能调控Pd的电子结构，抑制其固有的乙炔活化能力，使其优先活化氢气。这一设计建立了氢气和乙炔的分离活化位点，从而即使在低温下也能在保持优异催化活性的同时实现较高的乙烯选择性。该Pd/Ni-MOF在80°C下实现了&gt;99.6%的乙炔转化率和92%的乙烯选择性，超越了大多数Pd基催化剂。这种协同机制在保持高活性的同时有效抑制了过度加氢，为选择性加氢多相催化剂的合理设计提供了一种有前景的策略。</w:t>
      </w:r>
    </w:p>
    <w:p>
      <w:pPr>
        <w:spacing w:before="0" w:after="200" w:lineRule="auto" w:line="276"/>
      </w:pPr>
      <w:r>
        <w:rPr>
          <w:b/>
        </w:rPr>
        <w:t xml:space="preserve">Abstract (EN): </w:t>
      </w:r>
      <w:r>
        <w:t>The semi-hydrogenation of acetylene in excess ethylene is of great importance in the petrochemical industry. Conventional catalysts typically rely on Pd sites that simultaneously activate H2 and C2H2, often resulting in a trade-off effect between activity and selectivity. In this work, Pd nanoparticles are stabilized by a Ni-based metal-organic framework (Ni-MOF) to afford a Pd/Ni-MOF composite. The Ni-MOF not only selectively concentrates and activates acetylene, but also modulates the electronic structure of Pd, suppressing its inherent acetylene activation ability and enabling it to preferentially activate hydrogen. This design establishes separated activation sites for hydrogen and acetylene, thereby achieving high ethylene selectivity while maintaining excellent catalytic activity even at low temperatures. This Pd/Ni-MOF achieves &gt; 99.6% acetylene conversion with 92% ethylene selectivity at 80°C, surpassing most Pd-based catalysts. This synergistic mechanism effectively suppresses over-hydrogenation while preserving high activity, offering a promising strategy for rational design of heterogeneous catalysts for selective hydrogenation.</w:t>
      </w:r>
    </w:p>
    <w:p>
      <w:pPr>
        <w:spacing w:before="120" w:after="120"/>
      </w:pPr>
      <w:r>
        <w:rPr>
          <w:sz w:val="18"/>
        </w:rPr>
        <w:t>——————————————————————————————————————————————————————————————————————</w:t>
      </w:r>
    </w:p>
    <w:p>
      <w:pPr>
        <w:spacing w:before="160" w:after="40" w:line="240" w:lineRule="auto"/>
      </w:pPr>
      <w:r>
        <w:rPr>
          <w:b/>
        </w:rPr>
        <w:t xml:space="preserve">[250] </w:t>
      </w:r>
      <w:hyperlink r:id="rId862">
        <w:r>
          <w:rPr>
            <w:color w:val="1155CC"/>
            <w:u w:val="single"/>
          </w:rPr>
          <w:t>面向水相有机合成的跨尺度可集成催化搅拌器</w:t>
        </w:r>
      </w:hyperlink>
    </w:p>
    <w:p>
      <w:pPr>
        <w:spacing w:before="0" w:after="80"/>
      </w:pPr>
      <w:r>
        <w:rPr>
          <w:i/>
          <w:sz w:val="20"/>
        </w:rPr>
        <w:t>EN: Cross-scale integratable catalytic stirrer for aqueous-phase organic synthesis</w:t>
      </w:r>
    </w:p>
    <w:p>
      <w:pPr>
        <w:spacing w:before="0" w:after="120"/>
      </w:pPr>
      <w:r>
        <w:rPr>
          <w:b/>
        </w:rPr>
        <w:t xml:space="preserve">Source: </w:t>
      </w:r>
      <w:r>
        <w:t>National Science Review Advance Access</w:t>
      </w:r>
      <w:r>
        <w:t xml:space="preserve">    </w:t>
      </w:r>
      <w:r>
        <w:rPr>
          <w:b/>
        </w:rPr>
        <w:t xml:space="preserve">Pub date: </w:t>
      </w:r>
      <w:r>
        <w:t>2026-08-31 00:00:00+00:00</w:t>
      </w:r>
      <w:r>
        <w:t xml:space="preserve">    </w:t>
      </w:r>
      <w:r>
        <w:rPr>
          <w:b/>
        </w:rPr>
        <w:t xml:space="preserve">DOI: </w:t>
      </w:r>
      <w:hyperlink r:id="rId863">
        <w:r>
          <w:rPr>
            <w:color w:val="1155CC"/>
            <w:u w:val="single"/>
          </w:rPr>
          <w:t>10.1093/nsr/nwag552</w:t>
        </w:r>
      </w:hyperlink>
    </w:p>
    <w:p>
      <w:pPr>
        <w:spacing w:before="0" w:after="120"/>
      </w:pPr>
      <w:r>
        <w:rPr>
          <w:b/>
        </w:rPr>
        <w:t xml:space="preserve">Notes: </w:t>
      </w:r>
      <w:r>
        <w:t>abstract_source=rss_oup</w:t>
      </w:r>
    </w:p>
    <w:p>
      <w:pPr>
        <w:spacing w:before="0" w:after="80" w:lineRule="auto" w:line="276"/>
      </w:pPr>
      <w:r>
        <w:rPr>
          <w:b/>
        </w:rPr>
        <w:t xml:space="preserve">摘要（ZH）: </w:t>
      </w:r>
      <w:r>
        <w:t>尽管水相反应是一种环境友好的有机合成方法，但其效果受限于不互溶传质与表面反应之间耦合的低效性。在此，我们提出一种跨尺度、可集成的催化搅拌器，通过强化过程的合成策略来降低这一限制。我们以水相中硝基苯的加氢为模型体系，验证了该搅拌器的有效性。在极其温和的条件下，分别以水合肼和H2为氢源时，在水中的生产速率相比使用粉体催化剂在有机溶剂中的传统加氢分别提高了26.7倍和9.7倍。该策略可推广用于合成多种胺类（78例，其中12例为药物中间体）、烷烃（9例）和醇类（8例）。我们预期这一设计策略将促进催化剂与器件集成的高级系统的发展，以实现多相体系中重要而具有挑战性的水相转化。</w:t>
      </w:r>
    </w:p>
    <w:p>
      <w:pPr>
        <w:spacing w:before="0" w:after="200" w:lineRule="auto" w:line="276"/>
      </w:pPr>
      <w:r>
        <w:rPr>
          <w:b/>
        </w:rPr>
        <w:t xml:space="preserve">Abstract (EN): </w:t>
      </w:r>
      <w:r>
        <w:t>Although aqueous-phase reactions are an environmentally friendly approach to organic synthesis, their effectiveness is limited by the inefficiency of coupling immiscible mass transfer with surface reactions. Here, we present a cross-scale, integratable catalytic stirrer that reduces this limitation by employing a synthesis strategy that intensifies the process. We demonstrate the stirrer’s effectiveness by using the hydrogenation of nitrobenzene in an aqueous phase as a model system. Production rates increase significantly under extremely mild conditions—by 26.7 and 9.7 times in water using hydrazine hydrate and H2 as hydrogen donors, respectively, compared to traditional hydrogenation in organic solvents using a powder catalyst. This strategy can be extended to synthesize a wide spectrum of amines (78 examples, 12 of which are drug intermediates), alkanes (9 examples) and alcohols (8 examples). We anticipate that our design strategy will facilitate the development of advanced systems that integrate catalysts and devices for significant yet challenging aqueous-phase transformations in multiphasic systems.</w:t>
      </w:r>
    </w:p>
    <w:p>
      <w:pPr>
        <w:spacing w:before="120" w:after="120"/>
      </w:pPr>
      <w:r>
        <w:rPr>
          <w:sz w:val="18"/>
        </w:rPr>
        <w:t>——————————————————————————————————————————————————————————————————————</w:t>
      </w:r>
    </w:p>
    <w:p>
      <w:pPr>
        <w:spacing w:before="160" w:after="40" w:line="240" w:lineRule="auto"/>
      </w:pPr>
      <w:r>
        <w:rPr>
          <w:b/>
        </w:rPr>
        <w:t xml:space="preserve">[251] </w:t>
      </w:r>
      <w:hyperlink r:id="rId864">
        <w:r>
          <w:rPr>
            <w:color w:val="1155CC"/>
            <w:u w:val="single"/>
          </w:rPr>
          <w:t>始新世晚期青藏高原东部的隆升与侵蚀启动了新生代长期全球变冷</w:t>
        </w:r>
      </w:hyperlink>
    </w:p>
    <w:p>
      <w:pPr>
        <w:spacing w:before="0" w:after="80"/>
      </w:pPr>
      <w:r>
        <w:rPr>
          <w:i/>
          <w:sz w:val="20"/>
        </w:rPr>
        <w:t>EN: Late eocene uplift and erosion of eastern tibet initiated long-term cenozoic global cooling</w:t>
      </w:r>
    </w:p>
    <w:p>
      <w:pPr>
        <w:spacing w:before="0" w:after="120"/>
      </w:pPr>
      <w:r>
        <w:rPr>
          <w:b/>
        </w:rPr>
        <w:t xml:space="preserve">Source: </w:t>
      </w:r>
      <w:r>
        <w:t>National Science Review Advance Access</w:t>
      </w:r>
      <w:r>
        <w:t xml:space="preserve">    </w:t>
      </w:r>
      <w:r>
        <w:rPr>
          <w:b/>
        </w:rPr>
        <w:t xml:space="preserve">Pub date: </w:t>
      </w:r>
      <w:r>
        <w:t>2026-08-31 00:00:00+00:00</w:t>
      </w:r>
      <w:r>
        <w:t xml:space="preserve">    </w:t>
      </w:r>
      <w:r>
        <w:rPr>
          <w:b/>
        </w:rPr>
        <w:t xml:space="preserve">DOI: </w:t>
      </w:r>
      <w:hyperlink r:id="rId865">
        <w:r>
          <w:rPr>
            <w:color w:val="1155CC"/>
            <w:u w:val="single"/>
          </w:rPr>
          <w:t>10.1093/nsr/nwag563</w:t>
        </w:r>
      </w:hyperlink>
    </w:p>
    <w:p>
      <w:pPr>
        <w:spacing w:before="0" w:after="120"/>
      </w:pPr>
      <w:r>
        <w:rPr>
          <w:b/>
        </w:rPr>
        <w:t xml:space="preserve">Notes: </w:t>
      </w:r>
      <w:r>
        <w:t>abstract_source=rss_oup</w:t>
      </w:r>
    </w:p>
    <w:p>
      <w:pPr>
        <w:spacing w:before="0" w:after="80" w:lineRule="auto" w:line="276"/>
      </w:pPr>
      <w:r>
        <w:rPr>
          <w:b/>
        </w:rPr>
        <w:t xml:space="preserve">摘要（ZH）: </w:t>
      </w:r>
      <w:r>
        <w:t>约5000万年前开始的全球降温通常归因于青藏高原和喜马拉雅隆升期间硅酸盐风化驱动的大气CO2消耗。然而，将地表抬升与降温直接联系起来的、有确切定年的直接证据仍然稀少。来自藏东芒康盆地的新古海拔和古环境数据（受放射性年代锚定的磁性地层学和旋回地层学约束）表明，在35.7至35.2 Ma之间，该区从3.3±0.9 km快速抬升至4.3±0.9 km，伴随约5°C的区域降温。因此，藏东在始新世-渐新世转折（EOT，33.9 Ma）之前、且远在喜马拉雅大规模隆升之前就达到了接近现代的海拔高度。此次抬升在时间上与地形雨增加、亚洲主要河流的起源、向边缘海沉积通量的增强以及海洋87Sr/86Sr比值的上升相关。我们认为，晚始新世藏东的抬升和侵蚀——而非稍晚的中新世喜马拉雅隆升或全高原范围的抬升——可能在驱动长期CO2下降和最终导致EOT的全球降温中发挥了重要作用。</w:t>
      </w:r>
    </w:p>
    <w:p>
      <w:pPr>
        <w:spacing w:before="0" w:after="200" w:lineRule="auto" w:line="276"/>
      </w:pPr>
      <w:r>
        <w:rPr>
          <w:b/>
        </w:rPr>
        <w:t xml:space="preserve">Abstract (EN): </w:t>
      </w:r>
      <w:r>
        <w:t>Global cooling beginning ∼50 million years ago is commonly attributed to atmospheric CO2 drawdown driven by silicate weathering during uplift of the Tibetan Plateau and Himalaya. Yet direct, well-dated evidence connecting surface rise to cooling remains scarce. New paleoelevation and paleoenvironment data from the Mangkang Basin, Eastern Tibet, constrained by radiometrically anchored magnetostratigraphy and cyclostratigraphy, show rapid uplift from 3.3 ± 0.9 km to 4.3 ± 0.9 km with ∼5°C regional cooling between 35.7 and 35.2 Ma. Thus, Eastern Tibet attained near-modern elevations prior to the Eocene–Oligocene transition (EOT, 33.9 Ma), and long before major Himalayan uplift. This uplift is temporally correlated with increased orographic rainfall, initiation of Asia’s major rivers, enhanced sediment flux to marginal seas, and rising oceanic 87Sr/86Sr ratios. We suggest that late Eocene uplift and erosion of Eastern Tibet—not the later Miocene Himalaya uplift or plateau-wide rise—may have played an important role in driving the long-term CO2 decline and global cooling that ultimately culminated in the EOT.</w:t>
      </w:r>
    </w:p>
    <w:p>
      <w:pPr>
        <w:spacing w:before="120" w:after="120"/>
      </w:pPr>
      <w:r>
        <w:rPr>
          <w:sz w:val="18"/>
        </w:rPr>
        <w:t>——————————————————————————————————————————————————————————————————————</w:t>
      </w:r>
    </w:p>
    <w:p>
      <w:pPr>
        <w:spacing w:before="160" w:after="40" w:line="240" w:lineRule="auto"/>
      </w:pPr>
      <w:r>
        <w:rPr>
          <w:b/>
        </w:rPr>
        <w:t xml:space="preserve">[252] </w:t>
      </w:r>
      <w:hyperlink r:id="rId866">
        <w:r>
          <w:rPr>
            <w:color w:val="1155CC"/>
            <w:u w:val="single"/>
          </w:rPr>
          <w:t>Bi掺杂宽带隙面内各向异性GaPS4中具有高度线偏振的亮红色自陷激子发射</w:t>
        </w:r>
      </w:hyperlink>
    </w:p>
    <w:p>
      <w:pPr>
        <w:spacing w:before="0" w:after="80"/>
      </w:pPr>
      <w:r>
        <w:rPr>
          <w:i/>
          <w:sz w:val="20"/>
        </w:rPr>
        <w:t>EN: Bright Red Self-Trapped Exciton Emission with Highly Linear Polarization in Bi-Doped Wide Bandgap In-Plane Anisotropic GaPS4</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66">
        <w:r>
          <w:rPr>
            <w:color w:val="1155CC"/>
            <w:u w:val="single"/>
          </w:rPr>
          <w:t>10.1021/acsami.6c10295</w:t>
        </w:r>
      </w:hyperlink>
    </w:p>
    <w:p>
      <w:pPr>
        <w:spacing w:before="0" w:after="120"/>
      </w:pPr>
      <w:r>
        <w:rPr>
          <w:b/>
        </w:rPr>
        <w:t xml:space="preserve">Notes: </w:t>
      </w:r>
      <w:r>
        <w:t>abstract_source=crossref</w:t>
      </w:r>
    </w:p>
    <w:p>
      <w:pPr>
        <w:spacing w:before="0" w:after="80" w:lineRule="auto" w:line="276"/>
      </w:pPr>
      <w:r>
        <w:rPr>
          <w:b/>
        </w:rPr>
        <w:t xml:space="preserve">摘要（ZH）: </w:t>
      </w:r>
      <w:r>
        <w:t>摘要 近年来，具有高光致发光量子产率（PLQYs）的卤化物自陷激子（STE）发光得到了广泛研究。相比之下，关于硫代磷酸盐中STE发光的研究非常有限，且相应的PLQY相当低。本文报道了Bi掺杂宽带隙面内各向异性范德华GaPS4（Bi:GaPS4）中一种出乎意料的明亮红色STE发光，并具有高度线偏振特性。Bi:GaPS4的光致发光（PL）光谱表现出两个超宽发射带，半峰全宽（FWHM）为143/147 nm，并具有1.54/1.81 eV的大斯托克斯位移。尽管本征GaPS4不发光，Bi:GaPS4却表现出明亮的红光发射，PLQY高达14.1%。激发功率和温度依赖的PL揭示了典型的激子复合而非缺陷相关发射，并伴随强烈的电子-声子相互作用，表明这种意外的红光发射可合理地归属于STE。值得注意的是，得益于低对称性晶体结构与稳健的面内各向异性电子-声子相互作用的协同贡献，Bi:GaPS4展现出显著的角度分辨偏振拉曼光谱（ARPRS）和高度线偏振发射，偏振度（DOP）高达0.54。这项工作提供了一种有效的掺杂策略来增强GaPS4基硫代磷酸盐的STE发光，并突显了其在线偏振敏感光子学和光电子学中的潜在应用。</w:t>
      </w:r>
    </w:p>
    <w:p>
      <w:pPr>
        <w:spacing w:before="0" w:after="200" w:lineRule="auto" w:line="276"/>
      </w:pPr>
      <w:r>
        <w:rPr>
          <w:b/>
        </w:rPr>
        <w:t xml:space="preserve">Abstract (EN): </w:t>
      </w:r>
      <w:r>
        <w:t>Self-trapped exciton (STE) emission from halides with high photoluminescence quantum yields (PLQYs) has been explored extensively in recent years. In contrast, studies on STE emission in thiophosphates are very limited, and the corresponding PLQY is rather low. Herein, we report an unexpected bright red STE emission with highly linear polarization in Bi-doped wide bandgap in-plane anisotropic van der Waals GaPS4 (Bi:GaPS4). The photoluminescence (PL) spectrum of Bi:GaPS4 exhibits two ultra-broadbands with a full width at half-maximum (FWHM) of 143/147 nm and a large Stokes shift of 1.54/1.81 eV. Although pristine GaPS4 is nonluminescent, Bi:GaPS4 displays a bright red emission with a PLQY of up to 14.1%. The excitation-power- and temperature-dependent PL reveals a typical excitonic recombination rather than defect-related emission, accompanied by a strong electron−phonon interaction, implying that this unexpected red emission can be assigned rationally to STEs. Notably, benefiting from the synergistic contributions of low-symmetry crystal structure and robust in-plane anisotropic electron−phonon interaction, Bi:GaPS4 demonstrates pronounced angle-resolved polarized Raman spectroscopy (ARPRS) and highly linear polarized emission. The degree of polarization (DOP) reaches as high as 0.54. This work offers an effective doping strategy to enhance the STE emission in GaPS4-based thiophosphates and highlights their potential applications in linear polarization-sensitive photonics and optoelectronics.</w:t>
      </w:r>
    </w:p>
    <w:p>
      <w:pPr>
        <w:spacing w:before="120" w:after="120"/>
      </w:pPr>
      <w:r>
        <w:rPr>
          <w:sz w:val="18"/>
        </w:rPr>
        <w:t>——————————————————————————————————————————————————————————————————————</w:t>
      </w:r>
    </w:p>
    <w:p>
      <w:pPr>
        <w:spacing w:before="160" w:after="40" w:line="240" w:lineRule="auto"/>
      </w:pPr>
      <w:r>
        <w:rPr>
          <w:b/>
        </w:rPr>
        <w:t xml:space="preserve">[253] </w:t>
      </w:r>
      <w:hyperlink r:id="rId867">
        <w:r>
          <w:rPr>
            <w:color w:val="1155CC"/>
            <w:u w:val="single"/>
          </w:rPr>
          <w:t>为什么富人如此悲观？数据怎么说</w:t>
        </w:r>
      </w:hyperlink>
    </w:p>
    <w:p>
      <w:pPr>
        <w:spacing w:before="0" w:after="80"/>
      </w:pPr>
      <w:r>
        <w:rPr>
          <w:i/>
          <w:sz w:val="20"/>
        </w:rPr>
        <w:t>EN: Why are rich people so pessimistic? What the numbers say</w:t>
      </w:r>
    </w:p>
    <w:p>
      <w:pPr>
        <w:spacing w:before="0" w:after="120"/>
      </w:pPr>
      <w:r>
        <w:rPr>
          <w:b/>
        </w:rPr>
        <w:t xml:space="preserve">Source: </w:t>
      </w:r>
      <w:r>
        <w:t>Nature</w:t>
      </w:r>
      <w:r>
        <w:t xml:space="preserve">    </w:t>
      </w:r>
      <w:r>
        <w:rPr>
          <w:b/>
        </w:rPr>
        <w:t xml:space="preserve">Pub date: </w:t>
      </w:r>
      <w:r>
        <w:t>2026-08-31 00:00:00+00:00</w:t>
      </w:r>
      <w:r>
        <w:t xml:space="preserve">    </w:t>
      </w:r>
      <w:r>
        <w:rPr>
          <w:b/>
        </w:rPr>
        <w:t xml:space="preserve">DOI: </w:t>
      </w:r>
      <w:hyperlink r:id="rId868">
        <w:r>
          <w:rPr>
            <w:color w:val="1155CC"/>
            <w:u w:val="single"/>
          </w:rPr>
          <w:t>10.1038/d41586-026-02687-y</w:t>
        </w:r>
      </w:hyperlink>
    </w:p>
    <w:p>
      <w:pPr>
        <w:spacing w:before="0" w:after="120"/>
      </w:pPr>
      <w:r>
        <w:rPr>
          <w:b/>
        </w:rPr>
        <w:t xml:space="preserve">Notes: </w:t>
      </w:r>
      <w:r>
        <w:t>abstract_source=rss_nature</w:t>
      </w:r>
    </w:p>
    <w:p>
      <w:pPr>
        <w:spacing w:before="0" w:after="80" w:lineRule="auto" w:line="276"/>
      </w:pPr>
      <w:r>
        <w:rPr>
          <w:b/>
        </w:rPr>
        <w:t xml:space="preserve">摘要（ZH）: </w:t>
      </w:r>
      <w:r>
        <w:t>如今，对未来的乐观情绪似乎很稀缺，但人们的年龄、居住地点以及期望对此有很大影响。</w:t>
      </w:r>
    </w:p>
    <w:p>
      <w:pPr>
        <w:spacing w:before="0" w:after="200" w:lineRule="auto" w:line="276"/>
      </w:pPr>
      <w:r>
        <w:rPr>
          <w:b/>
        </w:rPr>
        <w:t xml:space="preserve">Abstract (EN): </w:t>
      </w:r>
      <w:r>
        <w:t>Optimism about the future can seem in short supply nowadays, but people’s age, where they live and their expectations have a lot to do with it.</w:t>
      </w:r>
    </w:p>
    <w:p>
      <w:pPr>
        <w:spacing w:before="120" w:after="120"/>
      </w:pPr>
      <w:r>
        <w:rPr>
          <w:sz w:val="18"/>
        </w:rPr>
        <w:t>——————————————————————————————————————————————————————————————————————</w:t>
      </w:r>
    </w:p>
    <w:p>
      <w:pPr>
        <w:spacing w:before="160" w:after="40" w:line="240" w:lineRule="auto"/>
      </w:pPr>
      <w:r>
        <w:rPr>
          <w:b/>
        </w:rPr>
        <w:t xml:space="preserve">[254] </w:t>
      </w:r>
      <w:hyperlink r:id="rId869">
        <w:r>
          <w:rPr>
            <w:color w:val="1155CC"/>
            <w:u w:val="single"/>
          </w:rPr>
          <w:t>镍电催化阳极对映选择性酰氧基化与阴极脱酰氧基化C–O键</w:t>
        </w:r>
      </w:hyperlink>
    </w:p>
    <w:p>
      <w:pPr>
        <w:spacing w:before="0" w:after="80"/>
      </w:pPr>
      <w:r>
        <w:rPr>
          <w:i/>
          <w:sz w:val="20"/>
        </w:rPr>
        <w:t>EN: Nickel-Electrocatalyzed Anodic Enantioselective Acyloxylation and Cathodic Deacyloxylation of C–O Bonds</w:t>
      </w:r>
    </w:p>
    <w:p>
      <w:pPr>
        <w:spacing w:before="0" w:after="120"/>
      </w:pPr>
      <w:r>
        <w:rPr>
          <w:b/>
        </w:rPr>
        <w:t xml:space="preserve">Source: </w:t>
      </w:r>
      <w:r>
        <w:t>Journal of the American Chemical Society</w:t>
      </w:r>
      <w:r>
        <w:t xml:space="preserve">    </w:t>
      </w:r>
      <w:r>
        <w:rPr>
          <w:b/>
        </w:rPr>
        <w:t xml:space="preserve">Pub date: </w:t>
      </w:r>
      <w:r>
        <w:t>2026-08-31 00:00:00+00:00</w:t>
      </w:r>
      <w:r>
        <w:t xml:space="preserve">    </w:t>
      </w:r>
      <w:r>
        <w:rPr>
          <w:b/>
        </w:rPr>
        <w:t xml:space="preserve">DOI: </w:t>
      </w:r>
      <w:hyperlink r:id="rId869">
        <w:r>
          <w:rPr>
            <w:color w:val="1155CC"/>
            <w:u w:val="single"/>
          </w:rPr>
          <w:t>10.1021/jacs.6c14548</w:t>
        </w:r>
      </w:hyperlink>
    </w:p>
    <w:p>
      <w:pPr>
        <w:spacing w:before="0" w:after="120"/>
      </w:pPr>
      <w:r>
        <w:rPr>
          <w:b/>
        </w:rPr>
        <w:t xml:space="preserve">Notes: </w:t>
      </w:r>
      <w:r>
        <w:t>abstract_source=crossref</w:t>
      </w:r>
    </w:p>
    <w:p>
      <w:pPr>
        <w:spacing w:before="0" w:after="80" w:lineRule="auto" w:line="276"/>
      </w:pPr>
      <w:r>
        <w:rPr>
          <w:b/>
        </w:rPr>
        <w:t xml:space="preserve">摘要（ZH）: </w:t>
      </w:r>
      <w:r>
        <w:t>摘要 不对称催化对于手性分子的合成不可或缺，但通常受到热力学和动力学壁垒的限制。在单一催化平台上实现立体选择性的成键与断键将极大地拓展不对称催化的能力与通用性。我们提出了一种对映选择性的镍电催化体系，利用自旋-中心转移（SCS）机制实现选择性C–O键转化。多种市售羧酸和2-酰基咪唑可通过阳极氧化交叉脱氢酰氧基化直接偶联，获得优异的对映体过量（高达99% ee），所得酯可通过阴极还原裂解以释放羧酸和2-酰基咪唑（产率高达92%）。机理研究表明，二茂铁介体促进氧化偶联过程，同时抑制还原裂解路径。这种不对称电催化策略实现了灵活的C–O键转化，促进了高立体选择性和高效的酰氧基化-脱酰氧基化过程。</w:t>
      </w:r>
    </w:p>
    <w:p>
      <w:pPr>
        <w:spacing w:before="0" w:after="200" w:lineRule="auto" w:line="276"/>
      </w:pPr>
      <w:r>
        <w:rPr>
          <w:b/>
        </w:rPr>
        <w:t xml:space="preserve">Abstract (EN): </w:t>
      </w:r>
      <w:r>
        <w:t>Asymmetric catalysis is indispensable for the synthesis of chiral molecules, yet it is typically constrained by thermodynamic and kinetic barriers. Achieving stereoselective bond formation and cleavage within a single, catalytic platform would dramatically expand the power and versatility of asymmetric catalysis. We present an enantioselective nickel-electrocatalytic system that utilizes a spin–center shift (SCS) mechanism to enable selective C–O linkage transformations. A variety of commercially available carboxylic acids and 2-acylimidazoles can be directly coupled through anodic oxidative cross-dehydrogenative acyloxylation with excellent enantiomeric excess (up to 99% ee), and the resulting esters can be cleaved to release the carboxylic acids and 2-acylimidazoles via cathodic reduction (up to 92% yield). Mechanistic exploration revealed that the ferrocene mediator promotes the oxidative coupling process while suppressing the reductive cleavage pathway. This asymmetric electrocatalytic strategy enables flexible C–O transformations, facilitating a highly stereoselective and efficient acyloxylation–deacyloxylation process.</w:t>
      </w:r>
    </w:p>
    <w:p>
      <w:pPr>
        <w:spacing w:before="120" w:after="120"/>
      </w:pPr>
      <w:r>
        <w:rPr>
          <w:sz w:val="18"/>
        </w:rPr>
        <w:t>——————————————————————————————————————————————————————————————————————</w:t>
      </w:r>
    </w:p>
    <w:p>
      <w:pPr>
        <w:spacing w:before="160" w:after="40" w:line="240" w:lineRule="auto"/>
      </w:pPr>
      <w:r>
        <w:rPr>
          <w:b/>
        </w:rPr>
        <w:t xml:space="preserve">[255] </w:t>
      </w:r>
      <w:hyperlink r:id="rId870">
        <w:r>
          <w:rPr>
            <w:color w:val="1155CC"/>
            <w:u w:val="single"/>
          </w:rPr>
          <w:t>高电荷卟啉分子线</w:t>
        </w:r>
      </w:hyperlink>
    </w:p>
    <w:p>
      <w:pPr>
        <w:spacing w:before="0" w:after="80"/>
      </w:pPr>
      <w:r>
        <w:rPr>
          <w:i/>
          <w:sz w:val="20"/>
        </w:rPr>
        <w:t>EN: Highly Charged Porphyrin Molecular Wires</w:t>
      </w:r>
    </w:p>
    <w:p>
      <w:pPr>
        <w:spacing w:before="0" w:after="120"/>
      </w:pPr>
      <w:r>
        <w:rPr>
          <w:b/>
        </w:rPr>
        <w:t xml:space="preserve">Source: </w:t>
      </w:r>
      <w:r>
        <w:t>Journal of the American Chemical Society</w:t>
      </w:r>
      <w:r>
        <w:t xml:space="preserve">    </w:t>
      </w:r>
      <w:r>
        <w:rPr>
          <w:b/>
        </w:rPr>
        <w:t xml:space="preserve">Pub date: </w:t>
      </w:r>
      <w:r>
        <w:t>2026-08-31 00:00:00+00:00</w:t>
      </w:r>
      <w:r>
        <w:t xml:space="preserve">    </w:t>
      </w:r>
      <w:r>
        <w:rPr>
          <w:b/>
        </w:rPr>
        <w:t xml:space="preserve">DOI: </w:t>
      </w:r>
      <w:hyperlink r:id="rId870">
        <w:r>
          <w:rPr>
            <w:color w:val="1155CC"/>
            <w:u w:val="single"/>
          </w:rPr>
          <w:t>10.1021/jacs.6c09441</w:t>
        </w:r>
      </w:hyperlink>
    </w:p>
    <w:p>
      <w:pPr>
        <w:spacing w:before="0" w:after="120"/>
      </w:pPr>
      <w:r>
        <w:rPr>
          <w:b/>
        </w:rPr>
        <w:t xml:space="preserve">Notes: </w:t>
      </w:r>
      <w:r>
        <w:t>abstract_source=crossref</w:t>
      </w:r>
    </w:p>
    <w:p>
      <w:pPr>
        <w:spacing w:before="0" w:after="80" w:lineRule="auto" w:line="276"/>
      </w:pPr>
      <w:r>
        <w:rPr>
          <w:b/>
        </w:rPr>
        <w:t xml:space="preserve">摘要（ZH）: </w:t>
      </w:r>
      <w:r>
        <w:t>摘要 扩展分子π体系的连续氧化或还原可使其电子结构相比中性或单电荷对应体发生显著变化。在本工作中，我们研究了丁二炔连接的卟啉寡聚物的高度还原态，其中包含多达九个卟啉单元，每个卟啉带有一个负电荷。利用CW-EPR和1H Mims ENDOR光谱探测了这些多阴离子中的质子超精细相互作用。两种技术均表明，随着电荷数和寡聚物长度同时增加，谱图持续变窄，对应于最大超精细相互作用幅值的减小。这与密度泛函理论计算结果一致，计算支持自旋密度在整个分子长度上的离域，并具有高度的自旋极化和非均匀的自旋密度分布。这些自旋分布也可用Hubbard模型描述，其中相邻位点上的电子之间存在反铁磁自旋耦合。寻找相干波函数可覆盖π共轭分子整个长度（长度可超过10 nm）的体系，将有助于识别能够通过分子结实现相干电子隧穿的合适候选材料。</w:t>
      </w:r>
    </w:p>
    <w:p>
      <w:pPr>
        <w:spacing w:before="0" w:after="200" w:lineRule="auto" w:line="276"/>
      </w:pPr>
      <w:r>
        <w:rPr>
          <w:b/>
        </w:rPr>
        <w:t xml:space="preserve">Abstract (EN): </w:t>
      </w:r>
      <w:r>
        <w:t>Successive oxidations, or reductions, of an extended molecular π-system can give rise to significant changes in the electronic structure compared to the neutral or singly charged counterparts. In this work, we investigated highly reduced states of butadiyne-linked porphyrin oligomers with up to nine porphyrin units and one negative charge per porphyrin. CW-EPR and 1H Mims ENDOR spectroscopy were used to probe the proton hyperfine interactions in these polyanions. Both techniques show a continuous narrowing of the spectra with simultaneously increasing charge and oligomer length corresponding to a decrease in the magnitudes of the largest hyperfine interactions. This is consistent with density functional theory calculations that support delocalization of spin density over the entire lengths of the molecules with high degrees of spin polarization and nonuniform spin density distributions. These spin distributions can also be described by a Hubbard model with antiferromagnetic spin coupling between electrons on adjacent sites. Finding systems with coherent wave functions that span the entire length of π-conjugated molecules, up to a length of more than 10 nm, will help identifying suitable candidates capable of coherent electron tunneling through molecular junctions.</w:t>
      </w:r>
    </w:p>
    <w:p>
      <w:pPr>
        <w:spacing w:before="120" w:after="120"/>
      </w:pPr>
      <w:r>
        <w:rPr>
          <w:sz w:val="18"/>
        </w:rPr>
        <w:t>——————————————————————————————————————————————————————————————————————</w:t>
      </w:r>
    </w:p>
    <w:p>
      <w:pPr>
        <w:spacing w:before="160" w:after="40" w:line="240" w:lineRule="auto"/>
      </w:pPr>
      <w:r>
        <w:rPr>
          <w:b/>
        </w:rPr>
        <w:t xml:space="preserve">[256] </w:t>
      </w:r>
      <w:hyperlink r:id="rId871">
        <w:r>
          <w:rPr>
            <w:color w:val="1155CC"/>
            <w:u w:val="single"/>
          </w:rPr>
          <w:t>碳纳米环的拓扑调控助力增强长程相干传输</w:t>
        </w:r>
      </w:hyperlink>
    </w:p>
    <w:p>
      <w:pPr>
        <w:spacing w:before="0" w:after="80"/>
      </w:pPr>
      <w:r>
        <w:rPr>
          <w:i/>
          <w:sz w:val="20"/>
        </w:rPr>
        <w:t>EN: Topological Control of Carbon Nanohoops for Boosted Long-Range Coherent Transport</w:t>
      </w:r>
    </w:p>
    <w:p>
      <w:pPr>
        <w:spacing w:before="0" w:after="120"/>
      </w:pPr>
      <w:r>
        <w:rPr>
          <w:b/>
        </w:rPr>
        <w:t xml:space="preserve">Source: </w:t>
      </w:r>
      <w:r>
        <w:t>Journal of the American Chemical Society</w:t>
      </w:r>
      <w:r>
        <w:t xml:space="preserve">    </w:t>
      </w:r>
      <w:r>
        <w:rPr>
          <w:b/>
        </w:rPr>
        <w:t xml:space="preserve">Pub date: </w:t>
      </w:r>
      <w:r>
        <w:t>2026-08-31 00:00:00+00:00</w:t>
      </w:r>
      <w:r>
        <w:t xml:space="preserve">    </w:t>
      </w:r>
      <w:r>
        <w:rPr>
          <w:b/>
        </w:rPr>
        <w:t xml:space="preserve">DOI: </w:t>
      </w:r>
      <w:hyperlink r:id="rId871">
        <w:r>
          <w:rPr>
            <w:color w:val="1155CC"/>
            <w:u w:val="single"/>
          </w:rPr>
          <w:t>10.1021/jacs.6c14293</w:t>
        </w:r>
      </w:hyperlink>
    </w:p>
    <w:p>
      <w:pPr>
        <w:spacing w:before="0" w:after="120"/>
      </w:pPr>
      <w:r>
        <w:rPr>
          <w:b/>
        </w:rPr>
        <w:t xml:space="preserve">Notes: </w:t>
      </w:r>
      <w:r>
        <w:t>abstract_source=crossref</w:t>
      </w:r>
    </w:p>
    <w:p>
      <w:pPr>
        <w:spacing w:before="0" w:after="80" w:lineRule="auto" w:line="276"/>
      </w:pPr>
      <w:r>
        <w:rPr>
          <w:b/>
        </w:rPr>
        <w:t xml:space="preserve">摘要（ZH）: </w:t>
      </w:r>
      <w:r>
        <w:t>摘要 分子拓扑为调控分子电子学中的电荷输运提供了一种强大但尚未充分探索的策略。在此，我们基于含有超过15个亚苯基单元的联体碳双纳米环构建了双环单分子结。两个环之间固有的曲率不对称性引导Au−π结合，并实现了不同单环和双环输运构型的可控形成。与尺寸匹配的线性及单环类似物相比，双环拓扑具有更高的电导和显著降低的衰减因子，使相干隧穿能够在长达十个亚苯基单元的输运长度上得以维持。密度泛函理论计算将这一行为归因于双环连接带来的跨亚苯基单元增强的轨道耦合以及改善的电极耦合。这些结果确立了分子拓扑作为设计π共轭体系中长程电荷输运的有效设计参数。</w:t>
      </w:r>
    </w:p>
    <w:p>
      <w:pPr>
        <w:spacing w:before="0" w:after="200" w:lineRule="auto" w:line="276"/>
      </w:pPr>
      <w:r>
        <w:rPr>
          <w:b/>
        </w:rPr>
        <w:t xml:space="preserve">Abstract (EN): </w:t>
      </w:r>
      <w:r>
        <w:t>Molecular topology offers a powerful yet underexplored strategy for controlling charge transport in molecular electronics. Here, we construct double-loop single-molecule junctions based on conjoined carbon bisnanohoops containing more than 15 phenylene units. Intrinsic curvature asymmetry between the two loops directs Au−π binding and enables controlled formation of distinct single-loop and double-loop transport configurations. The double-loop topology results in higher conductance and a substantially reduced attenuation factor compared with size-matched linear and single-loop analogues, allowing coherent tunneling to be sustained over transport lengths of up to ten phenylene units. Density functional theory calculations attribute this behavior to enhanced orbital coupling across phenylene units and improved electrode coupling arising from the double-loop connectivity. These results establish molecular topology as an effective design parameter for engineering long-range charge transport in π-conjugated systems.</w:t>
      </w:r>
    </w:p>
    <w:p>
      <w:pPr>
        <w:spacing w:before="120" w:after="120"/>
      </w:pPr>
      <w:r>
        <w:rPr>
          <w:sz w:val="18"/>
        </w:rPr>
        <w:t>——————————————————————————————————————————————————————————————————————</w:t>
      </w:r>
    </w:p>
    <w:p>
      <w:pPr>
        <w:spacing w:before="160" w:after="40" w:line="240" w:lineRule="auto"/>
      </w:pPr>
      <w:r>
        <w:rPr>
          <w:b/>
        </w:rPr>
        <w:t xml:space="preserve">[257] </w:t>
      </w:r>
      <w:hyperlink r:id="rId872">
        <w:r>
          <w:rPr>
            <w:color w:val="1155CC"/>
            <w:u w:val="single"/>
          </w:rPr>
          <w:t>更正：《用于骨科植入体选择性细菌破坏和骨整合的仿生胺引导聚酚涂层》</w:t>
        </w:r>
      </w:hyperlink>
    </w:p>
    <w:p>
      <w:pPr>
        <w:spacing w:before="0" w:after="80"/>
      </w:pPr>
      <w:r>
        <w:rPr>
          <w:i/>
          <w:sz w:val="20"/>
        </w:rPr>
        <w:t>EN: Correction to “Bioinspired Amine-Guided Polyphenol Coatings for Selective Bacterial Disruption and Osseointegration on Orthopedic Implants”</w:t>
      </w:r>
    </w:p>
    <w:p>
      <w:pPr>
        <w:spacing w:before="0" w:after="120"/>
      </w:pPr>
      <w:r>
        <w:rPr>
          <w:b/>
        </w:rPr>
        <w:t xml:space="preserve">Source: </w:t>
      </w:r>
      <w:r>
        <w:t>Journal of the American Chemical Society</w:t>
      </w:r>
      <w:r>
        <w:t xml:space="preserve">    </w:t>
      </w:r>
      <w:r>
        <w:rPr>
          <w:b/>
        </w:rPr>
        <w:t xml:space="preserve">Pub date: </w:t>
      </w:r>
      <w:r>
        <w:t>2026-08-31 00:00:00+00:00</w:t>
      </w:r>
      <w:r>
        <w:t xml:space="preserve">    </w:t>
      </w:r>
      <w:r>
        <w:rPr>
          <w:b/>
        </w:rPr>
        <w:t xml:space="preserve">DOI: </w:t>
      </w:r>
      <w:hyperlink r:id="rId872">
        <w:r>
          <w:rPr>
            <w:color w:val="1155CC"/>
            <w:u w:val="single"/>
          </w:rPr>
          <w:t>10.1021/jacs.6c16270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[258] </w:t>
      </w:r>
      <w:hyperlink r:id="rId873">
        <w:r>
          <w:rPr>
            <w:color w:val="1155CC"/>
            <w:u w:val="single"/>
          </w:rPr>
          <w:t>由受限平衡计算成核速率：临界团簇等价原理</w:t>
        </w:r>
      </w:hyperlink>
    </w:p>
    <w:p>
      <w:pPr>
        <w:spacing w:before="0" w:after="80"/>
      </w:pPr>
      <w:r>
        <w:rPr>
          <w:i/>
          <w:sz w:val="20"/>
        </w:rPr>
        <w:t>EN: Computing Nucleation Rates from Confined Equilibria: The Critical Cluster Equivalence Principle</w:t>
      </w:r>
    </w:p>
    <w:p>
      <w:pPr>
        <w:spacing w:before="0" w:after="120"/>
      </w:pPr>
      <w:r>
        <w:rPr>
          <w:b/>
        </w:rPr>
        <w:t xml:space="preserve">Source: </w:t>
      </w:r>
      <w:r>
        <w:t>Journal of the American Chemical Society</w:t>
      </w:r>
      <w:r>
        <w:t xml:space="preserve">    </w:t>
      </w:r>
      <w:r>
        <w:rPr>
          <w:b/>
        </w:rPr>
        <w:t xml:space="preserve">Pub date: </w:t>
      </w:r>
      <w:r>
        <w:t>2026-08-31 00:00:00+00:00</w:t>
      </w:r>
      <w:r>
        <w:t xml:space="preserve">    </w:t>
      </w:r>
      <w:r>
        <w:rPr>
          <w:b/>
        </w:rPr>
        <w:t xml:space="preserve">DOI: </w:t>
      </w:r>
      <w:hyperlink r:id="rId873">
        <w:r>
          <w:rPr>
            <w:color w:val="1155CC"/>
            <w:u w:val="single"/>
          </w:rPr>
          <w:t>10.1021/jacs.6c09002</w:t>
        </w:r>
      </w:hyperlink>
    </w:p>
    <w:p>
      <w:pPr>
        <w:spacing w:before="0" w:after="120"/>
      </w:pPr>
      <w:r>
        <w:rPr>
          <w:b/>
        </w:rPr>
        <w:t xml:space="preserve">Notes: </w:t>
      </w:r>
      <w:r>
        <w:t>abstract_source=crossref</w:t>
      </w:r>
    </w:p>
    <w:p>
      <w:pPr>
        <w:spacing w:before="0" w:after="80" w:lineRule="auto" w:line="276"/>
      </w:pPr>
      <w:r>
        <w:rPr>
          <w:b/>
        </w:rPr>
        <w:t xml:space="preserve">摘要（ZH）: </w:t>
      </w:r>
      <w:r>
        <w:t>摘要 成核是新物质形成过程中的基本步骤，成核速率决定相变路径与结果，进而影响化学、物理学和生物学领域的材料性质。然而，提取成核速率仍然充满挑战：实验受限于所涉及的微观长度尺度，而分子模拟则受限于成核的稀少事件特性，以及在实验和工业加工中典型的低过饱和条件下采样所需的大体系尺寸。在此，我们基于小尺寸封闭体系中稳定团簇与开放体系中临界团簇之间已确立的热力学对应关系，发展了其多组分扩展，即临界团簇等效原理（Critical Cluster Equivalence Principle），将该对应关系转化为计算成核速率的实用工作流程。我们利用这一等效原理，在宽广的过饱和度范围（SNaCl ∈ [1.5, 4]）内确定了溶剂介导的NaCl晶体成核驱动力和速率，并通过与氩蒸气冷凝的曲率校正均相成核速率进行基准比较，进一步验证了该框架。这些成果是通过少量暴力（brute-force）有限尺寸模拟获得的，其中稳态下的团簇尺寸统计和单体交换动力学可直接映射到宏观体系中的临界团簇。通过将这一多组分对应关系与此处发展的计算方法相结合，本研究获得的成核速率与实验结果高度吻合</w:t>
      </w:r>
    </w:p>
    <w:p>
      <w:pPr>
        <w:spacing w:before="0" w:after="200" w:lineRule="auto" w:line="276"/>
      </w:pPr>
      <w:r>
        <w:rPr>
          <w:b/>
        </w:rPr>
        <w:t xml:space="preserve">Abstract (EN): </w:t>
      </w:r>
      <w:r>
        <w:t>Nucleation is a fundamental step in the formation of new materials, with nucleation rates governing phase-transition pathways and outcomes that influence material properties across chemistry, physics, and biology. Nevertheless, extracting nucleation rates remains challenging: experiments are limited by the microscopic length scales involved, while molecular simulations are hindered by the rare-event nature of nucleation and the large system sizes required to sample low-supersaturation regimes typical of experiments and industrial processing. Here, we build on the established thermodynamic correspondence between stable clusters in small, closed systems and critical clusters in open systems and develop a multicomponent extension, the Critical Cluster Equivalence Principle, that transforms this correspondence into a practical workflow for calculating nucleation rates. We employ this equivalence to determine solvent-mediated NaCl crystal nucleation driving forces and rates over a wide range of supersaturations (SNaCl ∈ [1.5, 4]) and further validate the framework by benchmarking against curvature-corrected homogeneous nucleation rates for argon vapor condensation. This has been achieved using a small number of brute-force, finite-size simulations in which cluster-size statistics and monomer-exchange dynamics in the steady-state map directly onto critical clusters in macroscopic systems. By combining this multicomponent correspondence with the computational approach developed here, the current investigation has obtained nucleation rates in excellent agreement with experiments and enhanced sampling simulations. This approach provides a unified and generalizable tool for predicting nucleation rates with minimal computational effort, enabling routine application across a wide range of material systems.</w:t>
      </w:r>
    </w:p>
    <w:p>
      <w:pPr>
        <w:spacing w:before="120" w:after="120"/>
      </w:pPr>
      <w:r>
        <w:rPr>
          <w:sz w:val="18"/>
        </w:rPr>
        <w:t>——————————————————————————————————————————————————————————————————————</w:t>
      </w:r>
    </w:p>
    <w:p>
      <w:pPr>
        <w:spacing w:before="160" w:after="40" w:line="240" w:lineRule="auto"/>
      </w:pPr>
      <w:r>
        <w:rPr>
          <w:b/>
        </w:rPr>
        <w:t xml:space="preserve">[259] </w:t>
      </w:r>
      <w:hyperlink r:id="rId874">
        <w:r>
          <w:rPr>
            <w:color w:val="1155CC"/>
            <w:u w:val="single"/>
          </w:rPr>
          <w:t>镍催化区域可控的α,β-不饱和酰胺α-或β-羟烷基化</w:t>
        </w:r>
      </w:hyperlink>
    </w:p>
    <w:p>
      <w:pPr>
        <w:spacing w:before="0" w:after="80"/>
      </w:pPr>
      <w:r>
        <w:rPr>
          <w:i/>
          <w:sz w:val="20"/>
        </w:rPr>
        <w:t>EN: Nickel-Catalyzed Regio-Controllable α- or β-Hydroalkylation of α,β-Unsaturated Amides</w:t>
      </w:r>
    </w:p>
    <w:p>
      <w:pPr>
        <w:spacing w:before="0" w:after="120"/>
      </w:pPr>
      <w:r>
        <w:rPr>
          <w:b/>
        </w:rPr>
        <w:t xml:space="preserve">Source: </w:t>
      </w:r>
      <w:r>
        <w:t>Journal of the American Chemical Society</w:t>
      </w:r>
      <w:r>
        <w:t xml:space="preserve">    </w:t>
      </w:r>
      <w:r>
        <w:rPr>
          <w:b/>
        </w:rPr>
        <w:t xml:space="preserve">Pub date: </w:t>
      </w:r>
      <w:r>
        <w:t>2026-08-31 00:00:00+00:00</w:t>
      </w:r>
      <w:r>
        <w:t xml:space="preserve">    </w:t>
      </w:r>
      <w:r>
        <w:rPr>
          <w:b/>
        </w:rPr>
        <w:t xml:space="preserve">DOI: </w:t>
      </w:r>
      <w:hyperlink r:id="rId874">
        <w:r>
          <w:rPr>
            <w:color w:val="1155CC"/>
            <w:u w:val="single"/>
          </w:rPr>
          <w:t>10.1021/jacs.6c05261</w:t>
        </w:r>
      </w:hyperlink>
    </w:p>
    <w:p>
      <w:pPr>
        <w:spacing w:before="0" w:after="120"/>
      </w:pPr>
      <w:r>
        <w:rPr>
          <w:b/>
        </w:rPr>
        <w:t xml:space="preserve">Notes: </w:t>
      </w:r>
      <w:r>
        <w:t>abstract_source=crossref</w:t>
      </w:r>
    </w:p>
    <w:p>
      <w:pPr>
        <w:spacing w:before="0" w:after="80" w:lineRule="auto" w:line="276"/>
      </w:pPr>
      <w:r>
        <w:rPr>
          <w:b/>
        </w:rPr>
        <w:t xml:space="preserve">摘要（ZH）: </w:t>
      </w:r>
      <w:r>
        <w:t>摘要 新型过渡金属催化方法可用于调控化学选择性和区域选择性，为从同一底物定制C–C键形成提供了机会，从而丰富可获得的产物并拓展化学家的合成手段。本文发展了一种Ni催化的不饱和酰胺与非活化烷基溴的化学和区域选择性交叉亲电偶联反应。最值得注意的是，可以通过调控反应性，以优异的区域选择性在α-或β-碳上对不饱和酰胺进行烷基化。该选择性源于双齿氮配体结构以及添加剂（CaCl2）的细微差异。机理和DFT研究支持两种不同的反应路径。本文发展的反应性模式有别于以往报道，在药物合成中具有潜在应用价值。</w:t>
      </w:r>
    </w:p>
    <w:p>
      <w:pPr>
        <w:spacing w:before="0" w:after="200" w:lineRule="auto" w:line="276"/>
      </w:pPr>
      <w:r>
        <w:rPr>
          <w:b/>
        </w:rPr>
        <w:t xml:space="preserve">Abstract (EN): </w:t>
      </w:r>
      <w:r>
        <w:t>Novel transition-metal-catalyzed approaches to modulate chemo- and regioselectivity provide opportunities to tailor C–C bond formations from a common substrate, thereby diversifying accessible products and expanding chemists’ synthetic repertoire. Herein, a Ni-catalyzed chemo- and regioselective cross-electrophile coupling reaction of unsaturated amides with unactivated alkyl bromides has been developed. Most notably, the reactivity can be controlled to alkylate the unsaturated amide at the α- or β-carbon with excellent regioselectivity. The selectivity is attributed to subtle differences in the bidentate nitrogen-based ligand architectures and the additive (CaCl2). Mechanistic and DFT studies support two different reaction pathways. The reactivity patterns developed herein are distinct from previous reports and have potential applications in the synthesis of pharmaceuticals.</w:t>
      </w:r>
    </w:p>
    <w:p>
      <w:pPr>
        <w:spacing w:before="120" w:after="120"/>
      </w:pPr>
      <w:r>
        <w:rPr>
          <w:sz w:val="18"/>
        </w:rPr>
        <w:t>——————————————————————————————————————————————————————————————————————</w:t>
      </w:r>
    </w:p>
    <w:p>
      <w:pPr>
        <w:spacing w:before="160" w:after="40" w:line="240" w:lineRule="auto"/>
      </w:pPr>
      <w:r>
        <w:rPr>
          <w:b/>
        </w:rPr>
        <w:t xml:space="preserve">[260] </w:t>
      </w:r>
      <w:hyperlink r:id="rId875">
        <w:r>
          <w:rPr>
            <w:color w:val="1155CC"/>
            <w:u w:val="single"/>
          </w:rPr>
          <w:t>更正：《桥连硼蒽：通过芳构化驱动氧化挤出制备游离氧硼烷前体》</w:t>
        </w:r>
      </w:hyperlink>
    </w:p>
    <w:p>
      <w:pPr>
        <w:spacing w:before="0" w:after="80"/>
      </w:pPr>
      <w:r>
        <w:rPr>
          <w:i/>
          <w:sz w:val="20"/>
        </w:rPr>
        <w:t>EN: Correction to “Bridged Boranoanthracenes: Precursors for Free Oxoboranes through Aromatization-Driven Oxidative Extrusion”</w:t>
      </w:r>
    </w:p>
    <w:p>
      <w:pPr>
        <w:spacing w:before="0" w:after="120"/>
      </w:pPr>
      <w:r>
        <w:rPr>
          <w:b/>
        </w:rPr>
        <w:t xml:space="preserve">Source: </w:t>
      </w:r>
      <w:r>
        <w:t>Journal of the American Chemical Society</w:t>
      </w:r>
      <w:r>
        <w:t xml:space="preserve">    </w:t>
      </w:r>
      <w:r>
        <w:rPr>
          <w:b/>
        </w:rPr>
        <w:t xml:space="preserve">Pub date: </w:t>
      </w:r>
      <w:r>
        <w:t>2026-08-31 00:00:00+00:00</w:t>
      </w:r>
      <w:r>
        <w:t xml:space="preserve">    </w:t>
      </w:r>
      <w:r>
        <w:rPr>
          <w:b/>
        </w:rPr>
        <w:t xml:space="preserve">DOI: </w:t>
      </w:r>
      <w:hyperlink r:id="rId875">
        <w:r>
          <w:rPr>
            <w:color w:val="1155CC"/>
            <w:u w:val="single"/>
          </w:rPr>
          <w:t>10.1021/jacs.6c09597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[261] </w:t>
      </w:r>
      <w:hyperlink r:id="rId876">
        <w:r>
          <w:rPr>
            <w:color w:val="1155CC"/>
            <w:u w:val="single"/>
          </w:rPr>
          <w:t>利用重氮盐的声化学表面接枝</w:t>
        </w:r>
      </w:hyperlink>
    </w:p>
    <w:p>
      <w:pPr>
        <w:spacing w:before="0" w:after="80"/>
      </w:pPr>
      <w:r>
        <w:rPr>
          <w:i/>
          <w:sz w:val="20"/>
        </w:rPr>
        <w:t>EN: Sonochemical Surface Grafting Using Diazonium Salts</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76">
        <w:r>
          <w:rPr>
            <w:color w:val="1155CC"/>
            <w:u w:val="single"/>
          </w:rPr>
          <w:t>10.1021/acsami.6c09805</w:t>
        </w:r>
      </w:hyperlink>
    </w:p>
    <w:p>
      <w:pPr>
        <w:spacing w:before="0" w:after="120"/>
      </w:pPr>
      <w:r>
        <w:rPr>
          <w:b/>
        </w:rPr>
        <w:t xml:space="preserve">Notes: </w:t>
      </w:r>
      <w:r>
        <w:t>abstract_source=crossref</w:t>
      </w:r>
    </w:p>
    <w:p>
      <w:pPr>
        <w:spacing w:before="0" w:after="80" w:lineRule="auto" w:line="276"/>
      </w:pPr>
      <w:r>
        <w:rPr>
          <w:b/>
        </w:rPr>
        <w:t xml:space="preserve">摘要（ZH）: </w:t>
      </w:r>
      <w:r>
        <w:t>摘要 通过连接具有特定末端官能团的有机分子进行表面修饰因其在化学传感器与生物传感器、电催化以及分子电子学等领域的应用而备受关注。在现有的方法中，电化学还原重氮盐以形成表面键合有机薄膜是化学修饰金属、碳材料和半导体最广泛使用的方法之一。在此，我们报道了一种非电化学的重氮盐衍生薄膜形成方法：将表面浸入含有痕量水和二甲基亚砜的稀重氮盐溶液（1 mM）中，并进行探头超声（400 W，24 kHz）。超声诱导空化，主要通过气泡塌缩时形成的氢自由基产生瞬态还原环境，从而实现表面上的重氮盐还原。在还原之前，界面静电通过促进或阻碍阳离子型重氮盐前体在表面的预富集，调节其在表面附近的局部浓度。对于半导体Si–H，这种静电效应可通过掺杂类型加以调控，p型和n型Si产生相反的表面电势，从而导致不同程度的重氮盐富集。因此，超声提供还原所需的氢自由基，而基底静电决定前体的预富集，进而影响接枝程度。该方法可在多种基底上实现有机薄膜的接枝</w:t>
      </w:r>
    </w:p>
    <w:p>
      <w:pPr>
        <w:spacing w:before="0" w:after="200" w:lineRule="auto" w:line="276"/>
      </w:pPr>
      <w:r>
        <w:rPr>
          <w:b/>
        </w:rPr>
        <w:t xml:space="preserve">Abstract (EN): </w:t>
      </w:r>
      <w:r>
        <w:t>Surface modification via the attachment of organic molecules with specific end functionalities has attracted significant attention, driven by applications in chemical sensors and biosensors, electrocatalysis, and molecular electronics. Among the available approaches, electrochemical reduction of diazonium salts to form surface-bound organic thin films is one of the most widely used methods for chemically modifying metals, carbon materials, and semiconductors. Here, we report a nonelectrochemical approach to diazonium-derived thin-film formation, in which surfaces are immersed in a dilute diazonium solution (1 mM) containing traces of water and dimethyl sulfoxide and exposed to probe ultrasonication (400 W, 24 kHz). Ultrasonication induces cavitation, generating a transient reducing environment, primarily via hydrogen radicals formed upon bubble collapse, which enables diazonium reduction at the surface. Prior to reduction, interfacial electrostatics regulate the local concentration of the cationic diazonium precursor near the surface by promoting or hindering its pre-accumulation at the surface. For semiconducting Si–H, this electrostatic effect can be controlled by the doping type, with p-type and n-type Si producing opposite surface potentials and therefore different degrees of diazonium accumulation. Thus, sonication supplies the hydrogen radicals required for reduction, whereas substrate electrostatics determine precursor pre-concentration and thereby influence the extent of grafting. This method enables grafting of organic thin films across diverse substrates and establishes interfacial electrostatics as a promising control parameter for surface reactions involving charged species.</w:t>
      </w:r>
    </w:p>
    <w:p>
      <w:pPr>
        <w:spacing w:before="120" w:after="120"/>
      </w:pPr>
      <w:r>
        <w:rPr>
          <w:sz w:val="18"/>
        </w:rPr>
        <w:t>——————————————————————————————————————————————————————————————————————</w:t>
      </w:r>
    </w:p>
    <w:p>
      <w:pPr>
        <w:spacing w:before="160" w:after="40" w:line="240" w:lineRule="auto"/>
      </w:pPr>
      <w:r>
        <w:rPr>
          <w:b/>
        </w:rPr>
        <w:t xml:space="preserve">[262] </w:t>
      </w:r>
      <w:hyperlink r:id="rId877">
        <w:r>
          <w:rPr>
            <w:color w:val="1155CC"/>
            <w:u w:val="single"/>
          </w:rPr>
          <w:t>白蛋白包覆的介孔聚多巴胺纳米粒子用于递送表没食子儿茶素没食子酸酯以对抗顺铂诱导的急性肾损伤</w:t>
        </w:r>
      </w:hyperlink>
    </w:p>
    <w:p>
      <w:pPr>
        <w:spacing w:before="0" w:after="80"/>
      </w:pPr>
      <w:r>
        <w:rPr>
          <w:i/>
          <w:sz w:val="20"/>
        </w:rPr>
        <w:t>EN: Albumin-Coated Mesoporous Polydopamine Nanoparticles for Renal Delivery of Epigallocatechin Gallate against Cisplatin-Induced Acute Kidney Injury</w:t>
      </w:r>
    </w:p>
    <w:p>
      <w:pPr>
        <w:spacing w:before="0" w:after="120"/>
      </w:pPr>
      <w:r>
        <w:rPr>
          <w:b/>
        </w:rPr>
        <w:t xml:space="preserve">Source: </w:t>
      </w:r>
      <w:r>
        <w:t>ACS Applied Materials &amp; Interfaces</w:t>
      </w:r>
      <w:r>
        <w:t xml:space="preserve">    </w:t>
      </w:r>
      <w:r>
        <w:rPr>
          <w:b/>
        </w:rPr>
        <w:t xml:space="preserve">Pub date: </w:t>
      </w:r>
      <w:r>
        <w:t>2026-08-31 00:00:00+00:00</w:t>
      </w:r>
      <w:r>
        <w:t xml:space="preserve">    </w:t>
      </w:r>
      <w:r>
        <w:rPr>
          <w:b/>
        </w:rPr>
        <w:t xml:space="preserve">DOI: </w:t>
      </w:r>
      <w:hyperlink r:id="rId877">
        <w:r>
          <w:rPr>
            <w:color w:val="1155CC"/>
            <w:u w:val="single"/>
          </w:rPr>
          <w:t>10.1021/acsami.6c12054</w:t>
        </w:r>
      </w:hyperlink>
    </w:p>
    <w:p>
      <w:pPr>
        <w:spacing w:before="0" w:after="120"/>
      </w:pPr>
      <w:r>
        <w:rPr>
          <w:b/>
        </w:rPr>
        <w:t xml:space="preserve">Notes: </w:t>
      </w:r>
      <w:r>
        <w:t>abstract_source=crossref</w:t>
      </w:r>
    </w:p>
    <w:p>
      <w:pPr>
        <w:spacing w:before="0" w:after="80" w:lineRule="auto" w:line="276"/>
      </w:pPr>
      <w:r>
        <w:rPr>
          <w:b/>
        </w:rPr>
        <w:t xml:space="preserve">摘要（ZH）: </w:t>
      </w:r>
      <w:r>
        <w:t>摘要 顺铂诱导的急性肾损伤（AKI）仍是一种严重的临床并发症，过量活性氧（ROS）被认为是其关键诱因。天然抗氧化剂表没食子儿茶素没食子酸酯（EGCG）在减轻氧化应激相关损伤方面展现出前景。然而，其稳定性差和肾脏生物利用度低限制了临床应用。为此，我们通过将EGCG封装于介孔聚多巴胺纳米粒子（EGCG-MPDA）中，开发了一种生物相容的纳米平台。超小纳米粒子（</w:t>
      </w:r>
    </w:p>
    <w:p>
      <w:pPr>
        <w:spacing w:before="0" w:after="200" w:lineRule="auto" w:line="276"/>
      </w:pPr>
      <w:r>
        <w:rPr>
          <w:b/>
        </w:rPr>
        <w:t xml:space="preserve">Abstract (EN): </w:t>
      </w:r>
      <w:r>
        <w:t>Cisplatin-induced acute kidney injury (AKI) remains a serious clinical complication, with excessive reactive oxygen species (ROS) recognized as key contributors. The natural antioxidant epigallocatechin-3-gallate (EGCG) shows promise in mitigating oxidative stress–related damage. However, its clinical application is limited by poor stability and low renal bioavailability. To address this, we developed a biocompatible nanoplatform by encapsulating EGCG within mesoporous polydopamine nanoparticles (EGCG-MPDA). Ultrasmall nanoparticles (</w:t>
      </w:r>
    </w:p>
    <w:p>
      <w:pPr>
        <w:spacing w:before="120" w:after="120"/>
      </w:pPr>
      <w:r>
        <w:rPr>
          <w:sz w:val="18"/>
        </w:rPr>
        <w:t>——————————————————————————————————————————————————————————————————————</w:t>
      </w:r>
    </w:p>
    <w:p>
      <w:pPr>
        <w:spacing w:before="160" w:after="40" w:line="240" w:lineRule="auto"/>
      </w:pPr>
      <w:r>
        <w:rPr>
          <w:b/>
        </w:rPr>
        <w:t xml:space="preserve">[263] </w:t>
      </w:r>
      <w:hyperlink r:id="rId878">
        <w:r>
          <w:rPr>
            <w:color w:val="1155CC"/>
            <w:u w:val="single"/>
          </w:rPr>
          <w:t>巨噬细胞中IFN-γ驱动的iNOS诱导介导B细胞淋巴瘤中CAR T细胞的耐药性</w:t>
        </w:r>
      </w:hyperlink>
    </w:p>
    <w:p>
      <w:pPr>
        <w:spacing w:before="0" w:after="80"/>
      </w:pPr>
      <w:r>
        <w:rPr>
          <w:i/>
          <w:sz w:val="20"/>
        </w:rPr>
        <w:t>EN: IFN-γ-driven iNOS induction in macrophages mediates CAR T cell resistance in B cell lymphoma</w:t>
      </w:r>
    </w:p>
    <w:p>
      <w:pPr>
        <w:spacing w:before="0" w:after="120"/>
      </w:pPr>
      <w:r>
        <w:rPr>
          <w:b/>
        </w:rPr>
        <w:t xml:space="preserve">Source: </w:t>
      </w:r>
      <w:r>
        <w:t>Biological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嵌合抗原受体（CAR）T细胞疗法已经彻底改变了B细胞恶性肿瘤的治疗，但许多大B细胞淋巴瘤（LBCL）患者会出现原发性耐药或复发。为了揭示耐药机制，我们在此研究了输注前的肿瘤活检样本，观察到免疫调节性巨噬细胞的增加与不良临床反应相关。在小鼠模型中，CAR T细胞产生的干扰素-γ（IFN-γ）上调免疫调节性巨噬细胞中诱导型一氧化氮合酶（iNOS，NOS2）的表达，从而损害CAR T细胞功能。蛋白质组学分析显示，表达iNOS的巨噬细胞促进CAR T细胞的凋亡和细胞周期阻滞，同时下调蛋白质合成机器。在代谢方面，CAR T细胞表现出糖酵解中间产物减少和三羧酸（TCA）循环活性改变。药物抑制iNOS可在体内增强CAR T细胞治疗的疗效。白细胞分离术样本中iNOS+CD14+单核细胞水平升高与对CAR T细胞的非持久性反应相关。靶向免疫调节性巨噬细胞中的iNOS（可能通过调节CAR T细胞产生的IFN-γ），可改善LBCL的预后。</w:t>
      </w:r>
    </w:p>
    <w:p>
      <w:pPr>
        <w:spacing w:before="0" w:after="200" w:lineRule="auto" w:line="276"/>
      </w:pPr>
      <w:r>
        <w:rPr>
          <w:b/>
        </w:rPr>
        <w:t xml:space="preserve">Abstract (EN): </w:t>
      </w:r>
      <w:r>
        <w:t>Chimeric antigen receptor (CAR) T cell therapies have revolutionized B cell malignancy treatment, but many patients with large B cell lymphoma (LBCL) experience primary resistance or relapse. To uncover resistance mechanisms, here we examine pre-infusion tumor biopsies and observe that increased immunoregulatory macrophages correlate with poor clinical responses. In murine models, CAR T cell-produced interferon-gamma (IFN-γ) upregulates inducible nitric oxide synthase (iNOS, NOS2) in immunoregulatory macrophages, impairing CAR T cell function. Proteomic profiling reveals that iNOS-expressing macrophages promote apoptosis and cell cycle arrest while downregulating protein synthesis machinery in CAR T cells. Metabolically, CAR T cells exhibit reduced glycolytic intermediates and altered tricarboxylic acid (TCA) cycle activity. Pharmacological inhibition of iNOS enhances CAR T cell treatment efficacy in vivo. Elevated levels of iNOS+CD14+ monocytes in leukaphereses are associated with non-durable responses to CAR T cells. Targeting iNOS in immunoregulatory macrophages, potentially by modulating CAR T-produced IFN-γ, could improve LBCL outcomes.</w:t>
      </w:r>
    </w:p>
    <w:p>
      <w:pPr>
        <w:spacing w:before="120" w:after="120"/>
      </w:pPr>
      <w:r>
        <w:rPr>
          <w:sz w:val="18"/>
        </w:rPr>
        <w:t>——————————————————————————————————————————————————————————————————————</w:t>
      </w:r>
    </w:p>
    <w:p>
      <w:pPr>
        <w:spacing w:before="160" w:after="40" w:line="240" w:lineRule="auto"/>
      </w:pPr>
      <w:r>
        <w:rPr>
          <w:b/>
        </w:rPr>
        <w:t xml:space="preserve">[264] </w:t>
      </w:r>
      <w:hyperlink r:id="rId879">
        <w:r>
          <w:rPr>
            <w:color w:val="1155CC"/>
            <w:u w:val="single"/>
          </w:rPr>
          <w:t>α-KG在构象上稳定核内GLUD1-SNAIL复合物以促进转移中的跨内皮迁移</w:t>
        </w:r>
      </w:hyperlink>
    </w:p>
    <w:p>
      <w:pPr>
        <w:spacing w:before="0" w:after="80"/>
      </w:pPr>
      <w:r>
        <w:rPr>
          <w:i/>
          <w:sz w:val="20"/>
        </w:rPr>
        <w:t>EN: α-KG conformationally stabilizes nuclear GLUD1-SNAIL complex to fuel trans-endothelial migration in metastasis</w:t>
      </w:r>
    </w:p>
    <w:p>
      <w:pPr>
        <w:spacing w:before="0" w:after="120"/>
      </w:pPr>
      <w:r>
        <w:rPr>
          <w:b/>
        </w:rPr>
        <w:t xml:space="preserve">Source: </w:t>
      </w:r>
      <w:r>
        <w:t>Biological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跨内皮迁移（TEM）是肿瘤转移中一个关键的限制性速率屏障，但其机制基础仍不明确。我们在此表明，α-酮戊二酸（α-KG）及其代谢酶谷氨酸脱氢酶1（GLUD1）构成了调控这一过程的关键调节轴。在机制上，GLUD1易位至细胞核，α-KG结合其非催化位点（K147）引起构象变化，从而稳定GLUD1-SNAIL相互作用，促进核内三元复合物的组装。值得注意的是，该复合物在肿瘤中优先富集，特异性阻断K147可破坏该组装并消除转移效应。我们的发现揭示了GLUD1和α-KG在转录调控中的非经典作用，并提出了一种治疗范式，即选择性干扰依赖代谢物的复合物形成而非酶活性，为靶向TEM驱动的转移性细胞提供了精确策略。</w:t>
      </w:r>
    </w:p>
    <w:p>
      <w:pPr>
        <w:spacing w:before="0" w:after="200" w:lineRule="auto" w:line="276"/>
      </w:pPr>
      <w:r>
        <w:rPr>
          <w:b/>
        </w:rPr>
        <w:t xml:space="preserve">Abstract (EN): </w:t>
      </w:r>
      <w:r>
        <w:t>Trans-endothelial migration (TEM) is a critical rate-limiting barrier in tumor metastasis, yet its mechanistic basis remains poorly defined. Here we show that α-ketoglutarate (α-KG) and its metabolic enzyme glutamate dehydrogenase 1 (GLUD1) constitute a pivotal regulatory axis governing this process. Mechanistically, GLUD1 translocates to the nucleus, where α-KG binds to its non-catalytic site (K147) to induce a conformational change that stabilizes the GLUD1-SNAIL interaction, promoting assembly of a nuclear ternary complex. Notably, this complex is preferentially enriched in tumors, and specific blockade of K147 disrupts this assembly and abrogates metastatic effects. Our findings reveal a non-canonical role for GLUD1 and α-KG in transcriptional regulation and propose a therapeutic paradigm that selectively interferes with metabolite-dependent complex formation rather than enzymatic activity, offering a precise strategy to target TEM-driven metastatic cells.</w:t>
      </w:r>
    </w:p>
    <w:p>
      <w:pPr>
        <w:spacing w:before="120" w:after="120"/>
      </w:pPr>
      <w:r>
        <w:rPr>
          <w:sz w:val="18"/>
        </w:rPr>
        <w:t>——————————————————————————————————————————————————————————————————————</w:t>
      </w:r>
    </w:p>
    <w:p>
      <w:pPr>
        <w:spacing w:before="160" w:after="40" w:line="240" w:lineRule="auto"/>
      </w:pPr>
      <w:r>
        <w:rPr>
          <w:b/>
        </w:rPr>
        <w:t xml:space="preserve">[265] </w:t>
      </w:r>
      <w:hyperlink r:id="rId880">
        <w:r>
          <w:rPr>
            <w:color w:val="1155CC"/>
            <w:u w:val="single"/>
          </w:rPr>
          <w:t>已灭绝的塔斯马尼亚虎颅骨形态提示其独特的咬合方式</w:t>
        </w:r>
      </w:hyperlink>
    </w:p>
    <w:p>
      <w:pPr>
        <w:spacing w:before="0" w:after="80"/>
      </w:pPr>
      <w:r>
        <w:rPr>
          <w:i/>
          <w:sz w:val="20"/>
        </w:rPr>
        <w:t>EN: Skull morphology of the extinct Tasmanian tiger suggests unique biting style</w:t>
      </w:r>
    </w:p>
    <w:p>
      <w:pPr>
        <w:spacing w:before="0" w:after="120"/>
      </w:pPr>
      <w:r>
        <w:rPr>
          <w:b/>
        </w:rPr>
        <w:t xml:space="preserve">Source: </w:t>
      </w:r>
      <w:r>
        <w:t>Biological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最近灭绝的袋狼（塔斯马尼亚虎）是现代最大的有袋类捕食者。由于与胎盘类犬科动物（如狐狸和狼）惊人地相似，尤其是在颅骨方面，尽管存在约1.6亿年的演化分离，它被认为是演化趋同的经典例子。然而，我们在此提供的几何和线性形态学计量证据表明，袋狼的颅骨形态源于一组在有胎盘类犬科动物或其他现存哺乳类食肉动物中均不存在的镶嵌性状。袋狼的头部比例异常大，吻部高而纤细且犬齿区外扩，眶下孔明显较大。其中许多性状提示其对猎物捕获中快速、高冲击力的撕咬行为的适应，这与具有类似性状组合的若干现存和已灭绝的捕食性脊椎动物所提出的假说一致。因此，袋狼的颅骨功能可能无法通过观察现存哺乳动物来推断。然而，基因组学的进展为未来深入理解袋狼颅骨适应性演化与发育提供了新的机遇。</w:t>
      </w:r>
    </w:p>
    <w:p>
      <w:pPr>
        <w:spacing w:before="0" w:after="200" w:lineRule="auto" w:line="276"/>
      </w:pPr>
      <w:r>
        <w:rPr>
          <w:b/>
        </w:rPr>
        <w:t xml:space="preserve">Abstract (EN): </w:t>
      </w:r>
      <w:r>
        <w:t>The recently extinct thylacine (Tasmanian tiger) was the largest modern marsupial predator. It is considered a classic example of evolutionary convergence due to striking similarities with placental canids (e.g., foxes and wolves), particularly in the skull, despite ~160 million years of evolutionary separation. However, we here present geometric and linear morphometric evidence that the thylacine’s cranial form arises from a mosaic of traits not represented among canids or other living mammalian carnivores. Thylacines had disproportionately large heads, tall and gracile snouts with a flared canine region, and conspicuously large infraorbital foramina. Many of these traits suggest adaptations to fast, high-impact snapping behaviour in prey capture, as proposed for several living and extinct predatorial vertebrates with similar trait combinations. The thylacine’s cranial function may therefore not be inferable from observation of living mammals. However, genomic progress presents new opportunities for future insights into the evolution and development of thylacine cranial adaptation.</w:t>
      </w:r>
    </w:p>
    <w:p>
      <w:pPr>
        <w:spacing w:before="120" w:after="120"/>
      </w:pPr>
      <w:r>
        <w:rPr>
          <w:sz w:val="18"/>
        </w:rPr>
        <w:t>——————————————————————————————————————————————————————————————————————</w:t>
      </w:r>
    </w:p>
    <w:p>
      <w:pPr>
        <w:spacing w:before="160" w:after="40" w:line="240" w:lineRule="auto"/>
      </w:pPr>
      <w:r>
        <w:rPr>
          <w:b/>
        </w:rPr>
        <w:t xml:space="preserve">[266] </w:t>
      </w:r>
      <w:hyperlink r:id="rId881">
        <w:r>
          <w:rPr>
            <w:color w:val="1155CC"/>
            <w:u w:val="single"/>
          </w:rPr>
          <w:t>ERα微图谱（µMap）邻近标记揭示氟维司群的作用机制</w:t>
        </w:r>
      </w:hyperlink>
    </w:p>
    <w:p>
      <w:pPr>
        <w:spacing w:before="0" w:after="80"/>
      </w:pPr>
      <w:r>
        <w:rPr>
          <w:i/>
          <w:sz w:val="20"/>
        </w:rPr>
        <w:t>EN: ERα Micromap (µMap) proximity labeling reveals fulvestrant mechanisms</w:t>
      </w:r>
    </w:p>
    <w:p>
      <w:pPr>
        <w:spacing w:before="0" w:after="120"/>
      </w:pPr>
      <w:r>
        <w:rPr>
          <w:b/>
        </w:rPr>
        <w:t xml:space="preserve">Source: </w:t>
      </w:r>
      <w:r>
        <w:t>Biological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雌激素受体α（ERα）是ER+乳腺癌的主要驱动因子，可被小分子如氟维司群（一种选择性雌激素受体降解剂，SERD）靶向。尽管氟维司群早在二十多年前就已获批并常规用于绝经后女性，但其确切的抗肿瘤机制仍不清楚，多项报道显示其疗效并不依赖于ERα的降解。为研究氟维司群作用的分子基础，我们采用基于分裂内含肽的µMap光邻近标记技术来分析ERα相关的相互作用。我们的发现表明，氟维司群置换了雌二醇诱导的致瘤性相互作用，并促进ERα易位至早幼粒细胞白血病（PML）核体，导致转录特征改变和细胞衰老。总体而言，本研究为SERD的作用机制提供了见解，并为评估其他ERα调节剂和降解剂建立了框架。</w:t>
      </w:r>
    </w:p>
    <w:p>
      <w:pPr>
        <w:spacing w:before="0" w:after="200" w:lineRule="auto" w:line="276"/>
      </w:pPr>
      <w:r>
        <w:rPr>
          <w:b/>
        </w:rPr>
        <w:t xml:space="preserve">Abstract (EN): </w:t>
      </w:r>
      <w:r>
        <w:t>Estrogen Receptor alpha (ERα) is the primary driver in ER+ breast cancer and can be targeted using small molecules such as fulvestrant, a selective estrogen receptor degrader (SERD). Despite being approved over two decades ago and used regularly in post-menopausal women, its precise anti-tumor mechanism remains unclear, with several reports showing efficacy without the requirement for ERα degradation. To investigate the molecular basis of fulvestrant’s action, we employed split intein-based µMap photo-proximity labeling to profile ERα-associated interactions. Our findings reveal that fulvestrant displaces oncogenic interactions induced by estradiol and promotes ERα translocation to promyelocytic leukemia (PML) nuclear bodies, leading to altered transcriptional signatures and senescence. Overall, this study offers insights into SERD mechanism of action and establishes a framework for evaluating additional ERα modulators and degraders.</w:t>
      </w:r>
    </w:p>
    <w:p>
      <w:pPr>
        <w:spacing w:before="120" w:after="120"/>
      </w:pPr>
      <w:r>
        <w:rPr>
          <w:sz w:val="18"/>
        </w:rPr>
        <w:t>——————————————————————————————————————————————————————————————————————</w:t>
      </w:r>
    </w:p>
    <w:p>
      <w:pPr>
        <w:spacing w:before="160" w:after="40" w:line="240" w:lineRule="auto"/>
      </w:pPr>
      <w:r>
        <w:rPr>
          <w:b/>
        </w:rPr>
        <w:t xml:space="preserve">[267] </w:t>
      </w:r>
      <w:hyperlink r:id="rId882">
        <w:r>
          <w:rPr>
            <w:color w:val="1155CC"/>
            <w:u w:val="single"/>
          </w:rPr>
          <w:t>面向粮食安全、生物能源与森林保护的印度尼西亚土地利用优化</w:t>
        </w:r>
      </w:hyperlink>
    </w:p>
    <w:p>
      <w:pPr>
        <w:spacing w:before="0" w:after="80"/>
      </w:pPr>
      <w:r>
        <w:rPr>
          <w:i/>
          <w:sz w:val="20"/>
        </w:rPr>
        <w:t>EN: Land-use optimization for food security, bioenergy and forest conservation in Indonesia</w:t>
      </w:r>
    </w:p>
    <w:p>
      <w:pPr>
        <w:spacing w:before="0" w:after="120"/>
      </w:pPr>
      <w:r>
        <w:rPr>
          <w:b/>
        </w:rPr>
        <w:t xml:space="preserve">Source: </w:t>
      </w:r>
      <w:r>
        <w:t>Nature Sustainability</w:t>
      </w:r>
      <w:r>
        <w:t xml:space="preserve">    </w:t>
      </w:r>
      <w:r>
        <w:rPr>
          <w:b/>
        </w:rPr>
        <w:t xml:space="preserve">Pub date: </w:t>
      </w:r>
      <w:r>
        <w:t>2026-08-31 00:00:00+00:00</w:t>
      </w:r>
      <w:r>
        <w:t xml:space="preserve">    </w:t>
      </w:r>
      <w:r>
        <w:rPr>
          <w:b/>
        </w:rPr>
        <w:t xml:space="preserve">DOI: </w:t>
      </w:r>
      <w:hyperlink r:id="rId883">
        <w:r>
          <w:rPr>
            <w:color w:val="1155CC"/>
            <w:u w:val="single"/>
          </w:rPr>
          <w:t>10.1038/s41893-026-01923-7</w:t>
        </w:r>
      </w:hyperlink>
    </w:p>
    <w:p>
      <w:pPr>
        <w:spacing w:before="0" w:after="120"/>
      </w:pPr>
      <w:r>
        <w:rPr>
          <w:b/>
        </w:rPr>
        <w:t xml:space="preserve">Notes: </w:t>
      </w:r>
      <w:r>
        <w:t>abstract_source=rss_nature</w:t>
      </w:r>
    </w:p>
    <w:p>
      <w:pPr>
        <w:spacing w:before="0" w:after="80" w:lineRule="auto" w:line="276"/>
      </w:pPr>
      <w:r>
        <w:rPr>
          <w:b/>
        </w:rPr>
        <w:t xml:space="preserve">摘要（ZH）: </w:t>
      </w:r>
      <w:r>
        <w:t>平衡粮食安全与能源安全是印度尼西亚的一项重要优先事项，但相关的土地转换可能引发毁林。本研究探讨了在土地限制和当前政策条件下，如何最佳地优化能源安全（50%的生物柴油掺混比例）和粮食安全（水稻种植）。</w:t>
      </w:r>
    </w:p>
    <w:p>
      <w:pPr>
        <w:spacing w:before="0" w:after="200" w:lineRule="auto" w:line="276"/>
      </w:pPr>
      <w:r>
        <w:rPr>
          <w:b/>
        </w:rPr>
        <w:t xml:space="preserve">Abstract (EN): </w:t>
      </w:r>
      <w:r>
        <w:t>Balancing food and energy security is a key priority for Indonesia, but the associated land conversion could induce deforestation. This study examines how best to optimize energy security (biodiesel blend ratios of 50%) and food security (rice cropping) given land constraints and current policy.</w:t>
      </w:r>
    </w:p>
    <w:p>
      <w:pPr>
        <w:spacing w:before="120" w:after="120"/>
      </w:pPr>
      <w:r>
        <w:rPr>
          <w:sz w:val="18"/>
        </w:rPr>
        <w:t>——————————————————————————————————————————————————————————————————————</w:t>
      </w:r>
    </w:p>
    <w:p>
      <w:pPr>
        <w:spacing w:before="160" w:after="40" w:line="240" w:lineRule="auto"/>
      </w:pPr>
      <w:r>
        <w:rPr>
          <w:b/>
        </w:rPr>
        <w:t xml:space="preserve">[268] </w:t>
      </w:r>
      <w:hyperlink r:id="rId884">
        <w:r>
          <w:rPr>
            <w:color w:val="1155CC"/>
            <w:u w:val="single"/>
          </w:rPr>
          <w:t>半导体聚合物组装至完美</w:t>
        </w:r>
      </w:hyperlink>
    </w:p>
    <w:p>
      <w:pPr>
        <w:spacing w:before="0" w:after="80"/>
      </w:pPr>
      <w:r>
        <w:rPr>
          <w:i/>
          <w:sz w:val="20"/>
        </w:rPr>
        <w:t>EN: Semiconducting polymers assembled to perfection</w:t>
      </w:r>
    </w:p>
    <w:p>
      <w:pPr>
        <w:spacing w:before="0" w:after="120"/>
      </w:pPr>
      <w:r>
        <w:rPr>
          <w:b/>
        </w:rPr>
        <w:t xml:space="preserve">Source: </w:t>
      </w:r>
      <w:r>
        <w:t>Nature Materials</w:t>
      </w:r>
      <w:r>
        <w:t xml:space="preserve">    </w:t>
      </w:r>
      <w:r>
        <w:rPr>
          <w:b/>
        </w:rPr>
        <w:t xml:space="preserve">Pub date: </w:t>
      </w:r>
      <w:r>
        <w:t>2026-08-31 00:00:00+00:00</w:t>
      </w:r>
      <w:r>
        <w:t xml:space="preserve">    </w:t>
      </w:r>
      <w:r>
        <w:rPr>
          <w:b/>
        </w:rPr>
        <w:t xml:space="preserve">DOI: </w:t>
      </w:r>
      <w:hyperlink r:id="rId885">
        <w:r>
          <w:rPr>
            <w:color w:val="1155CC"/>
            <w:u w:val="single"/>
          </w:rPr>
          <w:t>10.1038/s41563-026-02720-5</w:t>
        </w:r>
      </w:hyperlink>
    </w:p>
    <w:p>
      <w:pPr>
        <w:spacing w:before="0" w:after="120"/>
      </w:pPr>
      <w:r>
        <w:rPr>
          <w:b/>
        </w:rPr>
        <w:t xml:space="preserve">Notes: </w:t>
      </w:r>
      <w:r>
        <w:t>abstract_source=rss_nature</w:t>
      </w:r>
    </w:p>
    <w:p>
      <w:pPr>
        <w:spacing w:before="0" w:after="80" w:lineRule="auto" w:line="276"/>
      </w:pPr>
      <w:r>
        <w:rPr>
          <w:b/>
        </w:rPr>
        <w:t xml:space="preserve">摘要（ZH）: </w:t>
      </w:r>
      <w:r>
        <w:t>通过调控溶液态聚集体和组装路径，制备出具有显著长程有序性和电荷迁移率的单晶聚合物。</w:t>
      </w:r>
    </w:p>
    <w:p>
      <w:pPr>
        <w:spacing w:before="0" w:after="200" w:lineRule="auto" w:line="276"/>
      </w:pPr>
      <w:r>
        <w:rPr>
          <w:b/>
        </w:rPr>
        <w:t xml:space="preserve">Abstract (EN): </w:t>
      </w:r>
      <w:r>
        <w:t>Single-crystalline polymers with remarkable long-range order and charge carrier mobilities are fabricated by regulating solution-state aggregates and assembly pathways.</w:t>
      </w:r>
    </w:p>
    <w:p>
      <w:pPr>
        <w:spacing w:before="120" w:after="120"/>
      </w:pPr>
      <w:r>
        <w:rPr>
          <w:sz w:val="18"/>
        </w:rPr>
        <w:t>——————————————————————————————————————————————————————————————————————</w:t>
      </w:r>
    </w:p>
    <w:p>
      <w:pPr>
        <w:spacing w:before="160" w:after="40" w:line="240" w:lineRule="auto"/>
      </w:pPr>
      <w:r>
        <w:rPr>
          <w:b/>
        </w:rPr>
        <w:t xml:space="preserve">[269] </w:t>
      </w:r>
      <w:hyperlink r:id="rId886">
        <w:r>
          <w:rPr>
            <w:color w:val="1155CC"/>
            <w:u w:val="single"/>
          </w:rPr>
          <w:t>光谱分区的全光忆阻器用于高度线性的神经形态视觉系统</w:t>
        </w:r>
      </w:hyperlink>
    </w:p>
    <w:p>
      <w:pPr>
        <w:spacing w:before="0" w:after="80"/>
      </w:pPr>
      <w:r>
        <w:rPr>
          <w:i/>
          <w:sz w:val="20"/>
        </w:rPr>
        <w:t>EN: Spectrally Partitioned All-Optical Memristors for Highly Linear Neuromorphic Vision Systems</w:t>
      </w:r>
    </w:p>
    <w:p>
      <w:pPr>
        <w:spacing w:before="0" w:after="120"/>
      </w:pPr>
      <w:r>
        <w:rPr>
          <w:b/>
        </w:rPr>
        <w:t xml:space="preserve">Source: </w:t>
      </w:r>
      <w:r>
        <w:t>Nano-Micro Letters</w:t>
      </w:r>
      <w:r>
        <w:t xml:space="preserve">    </w:t>
      </w:r>
      <w:r>
        <w:rPr>
          <w:b/>
        </w:rPr>
        <w:t xml:space="preserve">Pub date: </w:t>
      </w:r>
      <w:r>
        <w:t>2026-08-31 00:00:00+00:00</w:t>
      </w:r>
      <w:r>
        <w:t xml:space="preserve">    </w:t>
      </w:r>
      <w:r>
        <w:rPr>
          <w:b/>
        </w:rPr>
        <w:t xml:space="preserve">DOI: </w:t>
      </w:r>
      <w:hyperlink r:id="rId887">
        <w:r>
          <w:rPr>
            <w:color w:val="1155CC"/>
            <w:u w:val="single"/>
          </w:rPr>
          <w:t>10.1007/s40820-026-02331-4</w:t>
        </w:r>
      </w:hyperlink>
    </w:p>
    <w:p>
      <w:pPr>
        <w:spacing w:before="0" w:after="120"/>
      </w:pPr>
      <w:r>
        <w:rPr>
          <w:b/>
        </w:rPr>
        <w:t xml:space="preserve">Notes: </w:t>
      </w:r>
      <w:r>
        <w:t>abstract_source=rss_description</w:t>
      </w:r>
    </w:p>
    <w:p>
      <w:pPr>
        <w:spacing w:before="0" w:after="80" w:lineRule="auto" w:line="276"/>
      </w:pPr>
      <w:r>
        <w:rPr>
          <w:b/>
        </w:rPr>
        <w:t xml:space="preserve">摘要（ZH）: </w:t>
      </w:r>
      <w:r>
        <w:t>突触权重的全光调控为实现低功耗和大规模并行的神经形态硬件提供了一条有前景的途径。然而，现有的光电忆阻器通常需要电学辅助，或表现出非线性和非对称的电导更新，限制了其能效和可扩展性。本文报道了一种基于PbS/PEDOT:PSS/VOx异质结的分谱全光忆阻器，其中近红外光和可见光分别耦合到相反的缺陷态填充与耗尽路径。近红外照射选择性地激发PbS量子点，并通过PEDOT:PSS调控的界面驱动电子逐步转移到VOx中氧空位相关的缺陷态，产生持续的电导增强。相比之下，可见光照射激活VOx并促进界面空穴辅助复合，导致缺陷态电子的可逆耗尽和电导抑制。这种波长选择性的载流子转移过程实现了高度线性和对称的全光权重更新，线性度达到0.9994，有效电导分辨率为8位。在超低探测偏压下，计算得出每个光诱导突触事件的电学能耗低至0.63 fJ。通过将器件集成到32 × 32的全光编程阵列中，我们进一步演示了基于硬件的BloodMNIST显微血细胞图像分类，准确率达96.5%，并具有强噪声鲁棒性。这些结果为开发高线性度、低功耗</w:t>
      </w:r>
    </w:p>
    <w:p>
      <w:pPr>
        <w:spacing w:before="0" w:after="200" w:lineRule="auto" w:line="276"/>
      </w:pPr>
      <w:r>
        <w:rPr>
          <w:b/>
        </w:rPr>
        <w:t xml:space="preserve">Abstract (EN): </w:t>
      </w:r>
      <w:r>
        <w:t>All-optical control of synaptic weights offers a promising route toward low-power and massively parallel neuromorphic hardware. However, existing optoelectronic memristors often require electrical assistance or exhibit nonlinear and asymmetric conductance updates, limiting their energy efficiency and scalability. Herein, we report a spectrally partitioned all-optical memristor based on a PbS/PEDOT:PSS/VOx heterostructure, in which near-infrared and visible light are coupled to opposite defect-state filling and depletion pathways. Near-infrared illumination selectively excites PbS quantum dots and drives gradual electron transfer into oxygen-vacancy-related defect states in VOx through the PEDOT:PSS-regulated interface, producing continuous conductance potentiation. By contrast, visible illumination activates VOx and promotes interfacial hole-assisted recombination, leading to reversible depletion of defect-state electrons and conductance depression. This wavelength-selective carrier-transfer process enables highly linear and symmetric all-optical weight updates, achieving a linearity of 0.9994 and an effective 8-bit conductance resolution. The electrical energy consumption per optically induced synaptic event is calculated to be as low as 0.63 fJ under an ultralow probing bias. By integrating the devices into a 32 × 32 all-optically programmed array, we further demonstrate hardware-based BloodMNIST microscopic blood-cell image classification with an accuracy of 96.5% and strong noise robustness. These results provide a viable strategy for developing high-linearity, low-power, and spectrally programmable neuromorphic hardware. Highlights:1 A spectrally partitioned PbS/PEDOT:PSS/VOx all-optical memristor enables wavelength-selective potentiation and depression through regulated interfacial carrier dynamics.2 Highly linear bidirectional weight updates with a linearity of 0.9994, 8-bit conductance resolution, and an electrical energy consumption of 0.63 fJ per event are achieved.3 A 32 × 32 memristor array enables hardware-based BloodMNIST inference with 96.5% accuracy and strong noise robustness.</w:t>
      </w:r>
    </w:p>
    <w:p>
      <w:pPr>
        <w:spacing w:before="120" w:after="120"/>
      </w:pPr>
      <w:r>
        <w:rPr>
          <w:sz w:val="18"/>
        </w:rPr>
        <w:t>——————————————————————————————————————————————————————————————————————</w:t>
      </w:r>
    </w:p>
    <w:p>
      <w:pPr>
        <w:spacing w:before="160" w:after="40" w:line="240" w:lineRule="auto"/>
      </w:pPr>
      <w:r>
        <w:rPr>
          <w:b/>
        </w:rPr>
        <w:t xml:space="preserve">[270] </w:t>
      </w:r>
      <w:hyperlink r:id="rId888">
        <w:r>
          <w:rPr>
            <w:color w:val="1155CC"/>
            <w:u w:val="single"/>
          </w:rPr>
          <w:t>元思维方式</w:t>
        </w:r>
      </w:hyperlink>
    </w:p>
    <w:p>
      <w:pPr>
        <w:spacing w:before="0" w:after="80"/>
      </w:pPr>
      <w:r>
        <w:rPr>
          <w:i/>
          <w:sz w:val="20"/>
        </w:rPr>
        <w:t>EN: The meta way of thinking</w:t>
      </w:r>
    </w:p>
    <w:p>
      <w:pPr>
        <w:spacing w:before="0" w:after="120"/>
      </w:pPr>
      <w:r>
        <w:rPr>
          <w:b/>
        </w:rPr>
        <w:t xml:space="preserve">Source: </w:t>
      </w:r>
      <w:r>
        <w:t>Nature Materials</w:t>
      </w:r>
      <w:r>
        <w:t xml:space="preserve">    </w:t>
      </w:r>
      <w:r>
        <w:rPr>
          <w:b/>
        </w:rPr>
        <w:t xml:space="preserve">Pub date: </w:t>
      </w:r>
      <w:r>
        <w:t>2026-08-31 00:00:00+00:00</w:t>
      </w:r>
      <w:r>
        <w:t xml:space="preserve">    </w:t>
      </w:r>
      <w:r>
        <w:rPr>
          <w:b/>
        </w:rPr>
        <w:t xml:space="preserve">DOI: </w:t>
      </w:r>
      <w:hyperlink r:id="rId889">
        <w:r>
          <w:rPr>
            <w:color w:val="1155CC"/>
            <w:u w:val="single"/>
          </w:rPr>
          <w:t>10.1038/s41563-026-02710-7</w:t>
        </w:r>
      </w:hyperlink>
    </w:p>
    <w:p>
      <w:pPr>
        <w:spacing w:before="0" w:after="120"/>
      </w:pPr>
      <w:r>
        <w:rPr>
          <w:b/>
        </w:rPr>
        <w:t xml:space="preserve">Notes: </w:t>
      </w:r>
      <w:r>
        <w:t>abstract_source=rss_nature</w:t>
      </w:r>
    </w:p>
    <w:p>
      <w:pPr>
        <w:spacing w:before="0" w:after="80" w:lineRule="auto" w:line="276"/>
      </w:pPr>
      <w:r>
        <w:rPr>
          <w:b/>
        </w:rPr>
        <w:t xml:space="preserve">摘要（ZH）: </w:t>
      </w:r>
      <w:r>
        <w:t>超材料不仅实现了新的光学行为，还影响了我们对科学与工程中波与物质相互作用的认识。</w:t>
      </w:r>
    </w:p>
    <w:p>
      <w:pPr>
        <w:spacing w:before="0" w:after="200" w:lineRule="auto" w:line="276"/>
      </w:pPr>
      <w:r>
        <w:rPr>
          <w:b/>
        </w:rPr>
        <w:t xml:space="preserve">Abstract (EN): </w:t>
      </w:r>
      <w:r>
        <w:t>Beyond enabling new optical behaviours, metamaterials influence our thinking of wave–matter interactions in science and engineering.</w:t>
      </w:r>
    </w:p>
    <w:p>
      <w:pPr>
        <w:spacing w:before="120" w:after="120"/>
      </w:pPr>
      <w:r>
        <w:rPr>
          <w:sz w:val="18"/>
        </w:rPr>
        <w:t>——————————————————————————————————————————————————————————————————————</w:t>
      </w:r>
    </w:p>
    <w:p>
      <w:pPr>
        <w:spacing w:before="160" w:after="40" w:line="240" w:lineRule="auto"/>
      </w:pPr>
      <w:r>
        <w:rPr>
          <w:b/>
        </w:rPr>
        <w:t xml:space="preserve">[271] </w:t>
      </w:r>
      <w:hyperlink r:id="rId890">
        <w:r>
          <w:rPr>
            <w:color w:val="1155CC"/>
            <w:u w:val="single"/>
          </w:rPr>
          <w:t>结构明确的chi手性双核铜催化用于获取三氟甲基氨基酸衍生物</w:t>
        </w:r>
      </w:hyperlink>
    </w:p>
    <w:p>
      <w:pPr>
        <w:spacing w:before="0" w:after="80"/>
      </w:pPr>
      <w:r>
        <w:rPr>
          <w:i/>
          <w:sz w:val="20"/>
        </w:rPr>
        <w:t>EN: Well-defined chiral binuclear copper catalysis in accessing trifluoromethyl amino acid derivatives</w:t>
      </w:r>
    </w:p>
    <w:p>
      <w:pPr>
        <w:spacing w:before="0" w:after="120"/>
      </w:pPr>
      <w:r>
        <w:rPr>
          <w:b/>
        </w:rPr>
        <w:t xml:space="preserve">Source: </w:t>
      </w:r>
      <w:r>
        <w:t>Chem</w:t>
      </w:r>
      <w:r>
        <w:t xml:space="preserve">    </w:t>
      </w:r>
      <w:r>
        <w:rPr>
          <w:b/>
        </w:rPr>
        <w:t xml:space="preserve">Pub date: </w:t>
      </w:r>
      <w:r>
        <w:t>2026-08-31 00:00:00+00:00</w:t>
      </w:r>
      <w:r>
        <w:t xml:space="preserve">    </w:t>
      </w:r>
      <w:r>
        <w:rPr>
          <w:b/>
        </w:rPr>
        <w:t xml:space="preserve">DOI: </w:t>
      </w:r>
      <w:hyperlink r:id="rId891">
        <w:r>
          <w:rPr>
            <w:color w:val="1155CC"/>
            <w:u w:val="single"/>
          </w:rPr>
          <w:t>10.1016/j.chempr.2026.103215</w:t>
        </w:r>
      </w:hyperlink>
    </w:p>
    <w:p>
      <w:pPr>
        <w:spacing w:before="0" w:after="120"/>
      </w:pPr>
      <w:r>
        <w:rPr>
          <w:b/>
        </w:rPr>
        <w:t xml:space="preserve">Notes: </w:t>
      </w:r>
      <w:r>
        <w:t>abstract_source=rss_cell</w:t>
      </w:r>
    </w:p>
    <w:p>
      <w:pPr>
        <w:spacing w:before="0" w:after="80" w:lineRule="auto" w:line="276"/>
      </w:pPr>
      <w:r>
        <w:rPr>
          <w:b/>
        </w:rPr>
        <w:t xml:space="preserve">摘要（ZH）: </w:t>
      </w:r>
      <w:r>
        <w:t>我们报道了首个结构明确的双核铜催化剂，可用于烯烃的不对称自由基双官能化反应，其关键在于一种新月形配体能够预组织形成刚性空腔。与自发自组装不同，这种结构确保了叠氮配位的均一性和卓越的立体控制，从而为合成手性α-季碳三氟甲基化氨基酸和多肽提供了通用平台。</w:t>
      </w:r>
    </w:p>
    <w:p>
      <w:pPr>
        <w:spacing w:before="0" w:after="200" w:lineRule="auto" w:line="276"/>
      </w:pPr>
      <w:r>
        <w:rPr>
          <w:b/>
        </w:rPr>
        <w:t xml:space="preserve">Abstract (EN): </w:t>
      </w:r>
      <w:r>
        <w:t>We report the first well-defined binuclear copper catalyst for asymmetric radical difunctionalization of alkenes, enabled by a crescent-shaped ligand that preorganizes a rigid cavity. Unlike spontaneous self-assembly, this architecture ensures uniform azide coordination and exceptional stereocontrol, thereby providing a general platform for the synthesis of chiral α-quaternary trifluoromethylated amino acids and peptides.</w:t>
      </w:r>
    </w:p>
    <w:p>
      <w:pPr>
        <w:spacing w:before="120" w:after="120"/>
      </w:pPr>
      <w:r>
        <w:rPr>
          <w:sz w:val="18"/>
        </w:rPr>
        <w:t>——————————————————————————————————————————————————————————————————————</w:t>
      </w:r>
    </w:p>
    <w:p>
      <w:pPr>
        <w:spacing w:before="160" w:after="40" w:line="240" w:lineRule="auto"/>
      </w:pPr>
      <w:r>
        <w:rPr>
          <w:b/>
        </w:rPr>
        <w:t xml:space="preserve">[272] </w:t>
      </w:r>
      <w:hyperlink r:id="rId892">
        <w:r>
          <w:rPr>
            <w:color w:val="1155CC"/>
            <w:u w:val="single"/>
          </w:rPr>
          <w:t>更正：一种具有可打印响应性水凝胶界面的柔性生物传感器，用于检测和鉴别血液循环并发症</w:t>
        </w:r>
      </w:hyperlink>
    </w:p>
    <w:p>
      <w:pPr>
        <w:spacing w:before="0" w:after="80"/>
      </w:pPr>
      <w:r>
        <w:rPr>
          <w:i/>
          <w:sz w:val="20"/>
        </w:rPr>
        <w:t>EN: Correction to: A soft biosensor with printable responsive hydrogel interfaces for detection and differentiation of blood circulation complications</w:t>
      </w:r>
    </w:p>
    <w:p>
      <w:pPr>
        <w:spacing w:before="0" w:after="120"/>
      </w:pPr>
      <w:r>
        <w:rPr>
          <w:b/>
        </w:rPr>
        <w:t xml:space="preserve">Source: </w:t>
      </w:r>
      <w:r>
        <w:t>National Science Review Advance Access</w:t>
      </w:r>
      <w:r>
        <w:t xml:space="preserve">    </w:t>
      </w:r>
      <w:r>
        <w:rPr>
          <w:b/>
        </w:rPr>
        <w:t xml:space="preserve">Pub date: </w:t>
      </w:r>
      <w:r>
        <w:t>2026-08-31 00:00:00+00:00</w:t>
      </w:r>
      <w:r>
        <w:t xml:space="preserve">    </w:t>
      </w:r>
      <w:r>
        <w:rPr>
          <w:b/>
        </w:rPr>
        <w:t xml:space="preserve">DOI: </w:t>
      </w:r>
      <w:hyperlink r:id="rId893">
        <w:r>
          <w:rPr>
            <w:color w:val="1155CC"/>
            <w:u w:val="single"/>
          </w:rPr>
          <w:t>10.1093/nsr/nwag531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[273] </w:t>
      </w:r>
      <w:hyperlink r:id="rId894">
        <w:r>
          <w:rPr>
            <w:color w:val="1155CC"/>
            <w:u w:val="single"/>
          </w:rPr>
          <w:t>基于LLM语义解析与画像感知安全投影的Meta-RL电-氢能源站与新能源汽车多任务协同调度</w:t>
        </w:r>
      </w:hyperlink>
    </w:p>
    <w:p>
      <w:pPr>
        <w:spacing w:before="0" w:after="80"/>
      </w:pPr>
      <w:r>
        <w:rPr>
          <w:i/>
          <w:sz w:val="20"/>
        </w:rPr>
        <w:t>EN: LLM semantic parsing and profile-aware safety projection for Meta-RL based multi-task co-scheduling of electricity–hydrogen energy stations and new energy vehicles</w:t>
      </w:r>
    </w:p>
    <w:p>
      <w:pPr>
        <w:spacing w:before="0" w:after="120"/>
      </w:pPr>
      <w:r>
        <w:rPr>
          <w:b/>
        </w:rPr>
        <w:t xml:space="preserve">Source: </w:t>
      </w:r>
      <w:r>
        <w:t>ScienceDirect Publication: Applied Energy</w:t>
      </w:r>
      <w:r>
        <w:t xml:space="preserve">    </w:t>
      </w:r>
      <w:r>
        <w:rPr>
          <w:b/>
        </w:rPr>
        <w:t xml:space="preserve">Pub date: </w:t>
      </w:r>
      <w:r>
        <w:t>2026-08-31 00:00:00+00:00</w:t>
      </w:r>
      <w:r>
        <w:t xml:space="preserve">    </w:t>
      </w:r>
      <w:r>
        <w:rPr>
          <w:b/>
        </w:rPr>
        <w:t xml:space="preserve">DOI: </w:t>
      </w:r>
      <w:hyperlink r:id="rId895">
        <w:r>
          <w:rPr>
            <w:color w:val="1155CC"/>
            <w:u w:val="single"/>
          </w:rPr>
          <w:t>10.1016/j.apenergy.2026.128728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[274] </w:t>
      </w:r>
      <w:hyperlink r:id="rId896">
        <w:r>
          <w:rPr>
            <w:color w:val="1155CC"/>
            <w:u w:val="single"/>
          </w:rPr>
          <w:t>考虑子公司内部碳协同的跨区域发电企业二阶锥规划收益优化模型</w:t>
        </w:r>
      </w:hyperlink>
    </w:p>
    <w:p>
      <w:pPr>
        <w:spacing w:before="0" w:after="80"/>
      </w:pPr>
      <w:r>
        <w:rPr>
          <w:i/>
          <w:sz w:val="20"/>
        </w:rPr>
        <w:t>EN: Second-order cone programming based revenue optimization model for a cross-regional power generation corporation considering internal carbon synergy among subsidiaries</w:t>
      </w:r>
    </w:p>
    <w:p>
      <w:pPr>
        <w:spacing w:before="0" w:after="120"/>
      </w:pPr>
      <w:r>
        <w:rPr>
          <w:b/>
        </w:rPr>
        <w:t xml:space="preserve">Source: </w:t>
      </w:r>
      <w:r>
        <w:t>ScienceDirect Publication: Applied Energy</w:t>
      </w:r>
      <w:r>
        <w:t xml:space="preserve">    </w:t>
      </w:r>
      <w:r>
        <w:rPr>
          <w:b/>
        </w:rPr>
        <w:t xml:space="preserve">Pub date: </w:t>
      </w:r>
      <w:r>
        <w:t>2026-08-31 00:00:00+00:00</w:t>
      </w:r>
      <w:r>
        <w:t xml:space="preserve">    </w:t>
      </w:r>
      <w:r>
        <w:rPr>
          <w:b/>
        </w:rPr>
        <w:t xml:space="preserve">DOI: </w:t>
      </w:r>
      <w:hyperlink r:id="rId897">
        <w:r>
          <w:rPr>
            <w:color w:val="1155CC"/>
            <w:u w:val="single"/>
          </w:rPr>
          <w:t>10.1016/j.apenergy.2026.128731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[275] </w:t>
      </w:r>
      <w:hyperlink r:id="rId898">
        <w:r>
          <w:rPr>
            <w:color w:val="1155CC"/>
            <w:u w:val="single"/>
          </w:rPr>
          <w:t>调节莫尔扭转角提升块体范德华晶体的拉伸塑性</w:t>
        </w:r>
      </w:hyperlink>
    </w:p>
    <w:p>
      <w:pPr>
        <w:spacing w:before="0" w:after="80"/>
      </w:pPr>
      <w:r>
        <w:rPr>
          <w:i/>
          <w:sz w:val="20"/>
        </w:rPr>
        <w:t>EN: Tuning moiré twist angles enhances tensile plasticity in bulk van der Waals crystals</w:t>
      </w:r>
    </w:p>
    <w:p>
      <w:pPr>
        <w:spacing w:before="0" w:after="120"/>
      </w:pPr>
      <w:r>
        <w:rPr>
          <w:b/>
        </w:rPr>
        <w:t xml:space="preserve">Source: </w:t>
      </w:r>
      <w:r>
        <w:t>Nature Materials</w:t>
      </w:r>
      <w:r>
        <w:t xml:space="preserve">    </w:t>
      </w:r>
      <w:r>
        <w:rPr>
          <w:b/>
        </w:rPr>
        <w:t xml:space="preserve">Pub date: </w:t>
      </w:r>
      <w:r>
        <w:t>2026-08-31 00:00:00+00:00</w:t>
      </w:r>
      <w:r>
        <w:t xml:space="preserve">    </w:t>
      </w:r>
      <w:r>
        <w:rPr>
          <w:b/>
        </w:rPr>
        <w:t xml:space="preserve">DOI: </w:t>
      </w:r>
      <w:hyperlink r:id="rId899">
        <w:r>
          <w:rPr>
            <w:color w:val="1155CC"/>
            <w:u w:val="single"/>
          </w:rPr>
          <w:t>10.1038/s41563-026-02731-2</w:t>
        </w:r>
      </w:hyperlink>
    </w:p>
    <w:p>
      <w:pPr>
        <w:spacing w:before="0" w:after="120"/>
      </w:pPr>
      <w:r>
        <w:rPr>
          <w:b/>
        </w:rPr>
        <w:t xml:space="preserve">Notes: </w:t>
      </w:r>
      <w:r>
        <w:t>abstract_source=pubmed</w:t>
      </w:r>
    </w:p>
    <w:p>
      <w:pPr>
        <w:spacing w:before="0" w:after="80" w:lineRule="auto" w:line="276"/>
      </w:pPr>
      <w:r>
        <w:rPr>
          <w:b/>
        </w:rPr>
        <w:t xml:space="preserve">摘要（ZH）: </w:t>
      </w:r>
      <w:r>
        <w:t>莫尔扭转打破了晶体结构的固有对称性，为调控层状材料中的新兴量子现象和物理性质提供了一种有前景的方法。在此，我们展示了莫尔扭转还可被有效利用来显著增强块体层状范德华晶体的拉伸塑性。我们证明，在三元块体层状范德华晶体中，通过简单的离轴压缩可以可控地引入层间莫尔扭转，其扭转角范围广泛且与晶体的平移对称性相匹配。这种扭转在机械载荷下促进了高效应力弛豫，并使莫尔扭转角进一步增大，从而使室温宏观拉伸延展性大幅提升高达360%，沿a-b平面达到30%的拉伸应变。此外，莫尔扭转仅发生在层间，因此对面内电子性质影响甚微。本研究确立了可调莫尔扭转作为一种有效的塑性变形机制，为提升块体层状材料的拉伸延展性提供了一种广泛适用的策略。</w:t>
      </w:r>
    </w:p>
    <w:p>
      <w:pPr>
        <w:spacing w:before="0" w:after="200" w:lineRule="auto" w:line="276"/>
      </w:pPr>
      <w:r>
        <w:rPr>
          <w:b/>
        </w:rPr>
        <w:t xml:space="preserve">Abstract (EN): </w:t>
      </w:r>
      <w:r>
        <w:t>Moiré twisting breaks the inherent symmetry of crystal structures, providing a promising method for tuning emergent quantum phenomena and physical properties in layered materials. Here we demonstrate that moiré twisting can also be harnessed to effectively enhance the tensile plasticity of bulk layered van der Waals crystals. We show that interlayer moiré twisting, spanning a broad range of twist angles commensurate with the crystal's translational symmetry, can be controllably introduced through simple off-axis compression in ternary bulk layered van der Waals crystals. It facilitates efficient stress relaxation under mechanical loading with a further increase in the moiré twist angles and enables a substantial increase by up to 360% in room-temperature macroscopic tensile ductility, reaching 30% tensile strain along the a-b plane. Moreover, moiré twisting occurs only between layers and, thus, negligibly affects the in-plane electronic properties. By establishing tunable moiré twisting as an effective mechanism for plastic deformation, this work provides a broadly applicable strategy for enhancing tensile ductility in bulk layered materials.</w:t>
      </w:r>
    </w:p>
    <w:p>
      <w:pPr>
        <w:spacing w:before="120" w:after="120"/>
      </w:pPr>
      <w:r>
        <w:rPr>
          <w:sz w:val="18"/>
        </w:rPr>
        <w:t>——————————————————————————————————————————————————————————————————————</w:t>
      </w:r>
    </w:p>
    <w:p>
      <w:pPr>
        <w:spacing w:before="160" w:after="40" w:line="240" w:lineRule="auto"/>
      </w:pPr>
      <w:r>
        <w:rPr>
          <w:b/>
        </w:rPr>
        <w:t xml:space="preserve">[276] </w:t>
      </w:r>
      <w:hyperlink r:id="rId900">
        <w:r>
          <w:rPr>
            <w:color w:val="1155CC"/>
            <w:u w:val="single"/>
          </w:rPr>
          <w:t>无辅助双极光电化学合成H2O2</w:t>
        </w:r>
      </w:hyperlink>
    </w:p>
    <w:p>
      <w:pPr>
        <w:spacing w:before="0" w:after="80"/>
      </w:pPr>
      <w:r>
        <w:rPr>
          <w:i/>
          <w:sz w:val="20"/>
        </w:rPr>
        <w:t>EN: Unassisted bipolar photoelectrochemical synthesis of H2O2</w:t>
      </w:r>
    </w:p>
    <w:p>
      <w:pPr>
        <w:spacing w:before="0" w:after="120"/>
      </w:pPr>
      <w:r>
        <w:rPr>
          <w:b/>
        </w:rPr>
        <w:t xml:space="preserve">Source: </w:t>
      </w:r>
      <w:r>
        <w:t>Physical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光电化学双极系统通过整合光捕获、水氧化和氧还原反应，实现无偏压的H2O2合成。然而，竞争性4e-路径导致的选择性差、电荷转移缓慢以及稳定性不足严重限制了其实际应用。本文提出了一种用于H2O2生产的无偏压光电化学双极系统，该系统集成了用于2e-水氧化反应的Zn-TiO2/BVO/WO3光阳极和用于2e-氧还原反应的Ru:CuO/Nb-CBO光阴极。光阳极抑制*OOH中间体以促进H2O2生成，在0.6 VRHE下实现了90.2%的法拉第效率（FE）。光阴极稳定*OOH中间体，在相同条件下实现91.9%的FE，并保持性能超过50 h。在自然阳光下使用36 cm2电极进行的实际测试实现了163.37%的FE和11.44 mmol L−1的产率。原位生成的H2O2在60 min内实现了超过99%的细菌灭活。这项工作为太阳能驱动的H2O2合成和能量转换提供了一个适应性平台。</w:t>
      </w:r>
    </w:p>
    <w:p>
      <w:pPr>
        <w:spacing w:before="0" w:after="200" w:lineRule="auto" w:line="276"/>
      </w:pPr>
      <w:r>
        <w:rPr>
          <w:b/>
        </w:rPr>
        <w:t xml:space="preserve">Abstract (EN): </w:t>
      </w:r>
      <w:r>
        <w:t>Photoelectrochemical bipolar systems enable bias-free H2O2 synthesis by integrating light harvesting, water oxidation and oxygen reduction. However, poor selectivity due to competing 4e- pathways, slow charge transfer, and inferior stability severely limit their practical application. Herein, we present a bias-free photoelectrochemical bipolar system for H2O2 production, which integrates a Zn-TiO2/BVO/WO3 photoanode for the 2e- water oxidation reaction and a Ru:CuO/Nb-CBO photocathode for the 2e- oxygen reduction reaction. The photoanode suppresses *OOH intermediates to favor H2O2 formation, achieving a Faradaic efficiency (FE) of 90.2% at 0.6 VRHE. The photocathode stabilizes *OOH intermediates and delivers an FE of 91.9% under the same conditions while maintaining performance for over 50 h. Practical testing under natural sunlight with 36 cm2 electrodes achieves an FE of 163.37% and a yield of 11.44 mmol L−1. In situ generated H2O2 achieves over 99% bacterial inactivation within 60 min. This work provides an adaptive platform for solar-driven H2O2 synthesis and energy conversion.</w:t>
      </w:r>
    </w:p>
    <w:p>
      <w:pPr>
        <w:spacing w:before="120" w:after="120"/>
      </w:pPr>
      <w:r>
        <w:rPr>
          <w:sz w:val="18"/>
        </w:rPr>
        <w:t>——————————————————————————————————————————————————————————————————————</w:t>
      </w:r>
    </w:p>
    <w:p>
      <w:pPr>
        <w:spacing w:before="160" w:after="40" w:line="240" w:lineRule="auto"/>
      </w:pPr>
      <w:r>
        <w:rPr>
          <w:b/>
        </w:rPr>
        <w:t xml:space="preserve">[277] </w:t>
      </w:r>
      <w:hyperlink r:id="rId901">
        <w:r>
          <w:rPr>
            <w:color w:val="1155CC"/>
            <w:u w:val="single"/>
          </w:rPr>
          <w:t>李斯特菌通过靶向宿主去泛素化酶CYLD促进系统性感染</w:t>
        </w:r>
      </w:hyperlink>
    </w:p>
    <w:p>
      <w:pPr>
        <w:spacing w:before="0" w:after="80"/>
      </w:pPr>
      <w:r>
        <w:rPr>
          <w:i/>
          <w:sz w:val="20"/>
        </w:rPr>
        <w:t>EN: Listeria promotes systemic infection by targeting the host deubiquitinase CYLD</w:t>
      </w:r>
    </w:p>
    <w:p>
      <w:pPr>
        <w:spacing w:before="0" w:after="120"/>
      </w:pPr>
      <w:r>
        <w:rPr>
          <w:b/>
        </w:rPr>
        <w:t xml:space="preserve">Source: </w:t>
      </w:r>
      <w:r>
        <w:t>Biological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单核细胞增生李斯特菌（Lm）是一种胞内病原体，可引起危及生命的系统性感染。内化素C（InlC）是一种分泌因子，在系统性感染模型中对Lm的完全毒力至关重要，但其机制尚不清楚。在此，我们发现InlC与CYLD结合，后者是宿主的一种去泛素化酶和先天免疫调节因子。在结构上，我们揭示了InlC的LRR结构域结合CYLD的CAP-Gly2结构域，且独立于InlC与其他宿主靶蛋白的结合位点。我们研究了InlC中选择性破坏CYLD结合的氨基酸替换的Lm菌株。我们证明，在Lm进入宿主细胞质后，InlC将CYLD招募到泛素阳性的细菌上。CYLD的招募依赖于宿主E3连接酶RNF213，即泛素介导防御的主要启动因子。此外，InlC-CYLD结合有助于Lm在小鼠中的毒力。总之，这些发现揭示了细菌分泌因子如何响应泛素介导的防御而促进宿主去泛素化酶向胞质菌的招募。</w:t>
      </w:r>
    </w:p>
    <w:p>
      <w:pPr>
        <w:spacing w:before="0" w:after="200" w:lineRule="auto" w:line="276"/>
      </w:pPr>
      <w:r>
        <w:rPr>
          <w:b/>
        </w:rPr>
        <w:t xml:space="preserve">Abstract (EN): </w:t>
      </w:r>
      <w:r>
        <w:t>Listeria monocytogenes (Lm) is an intracellular pathogen that can cause life-threatening systemic infections. Internalin C (InlC) is a secreted factor required for full Lm virulence in systemic models of infection by mechanisms that remain unclear. Here, we show that InlC binds to CYLD, a host deubiquitinase and regulator of innate immunity. Structurally, we reveal the LRR domain of InlC binds the CAP-Gly2 domain of CYLD, independently of InlC’s binding site for other host target proteins. Lm strains harboring amino acid substitutions in InlC that selectively disrupt binding to CYLD were examined. We demonstrate that after Lm accesses the host cytosol, InlC recruits CYLD to ubiquitin-positive bacteria. Recruitment of CYLD was dependent on the host E3 ligase RNF213, a major initiator of ubiquitin-mediated defenses. Furthermore, InlC-CYLD binding contributed to Lm virulence in mice. Together, these findings reveal how a secreted bacterial factor promotes the recruitment of a host deubiquitinase to cytosolic bacteria in response to ubiquitin-mediated defenses.</w:t>
      </w:r>
    </w:p>
    <w:p>
      <w:pPr>
        <w:spacing w:before="120" w:after="120"/>
      </w:pPr>
      <w:r>
        <w:rPr>
          <w:sz w:val="18"/>
        </w:rPr>
        <w:t>——————————————————————————————————————————————————————————————————————</w:t>
      </w:r>
    </w:p>
    <w:p>
      <w:pPr>
        <w:spacing w:before="160" w:after="40" w:line="240" w:lineRule="auto"/>
      </w:pPr>
      <w:r>
        <w:rPr>
          <w:b/>
        </w:rPr>
        <w:t xml:space="preserve">[278] </w:t>
      </w:r>
      <w:hyperlink r:id="rId902">
        <w:r>
          <w:rPr>
            <w:color w:val="1155CC"/>
            <w:u w:val="single"/>
          </w:rPr>
          <w:t>单细胞图谱鉴定肥胖所致的大脑葡萄糖感知异常</w:t>
        </w:r>
      </w:hyperlink>
    </w:p>
    <w:p>
      <w:pPr>
        <w:spacing w:before="0" w:after="80"/>
      </w:pPr>
      <w:r>
        <w:rPr>
          <w:i/>
          <w:sz w:val="20"/>
        </w:rPr>
        <w:t>EN: Single-cell profiling identifies obesity-disrupted brain glucose sensing</w:t>
      </w:r>
    </w:p>
    <w:p>
      <w:pPr>
        <w:spacing w:before="0" w:after="120"/>
      </w:pPr>
      <w:r>
        <w:rPr>
          <w:b/>
        </w:rPr>
        <w:t xml:space="preserve">Source: </w:t>
      </w:r>
      <w:r>
        <w:t>Biological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人们认为下丘脑和脑干的神经元营养感知可调节能量和葡萄糖稳态，但这些脑区如何响应脂肪增多或血糖升高仍不清楚。我们对静脉输注葡萄糖或生理盐水的对照饮食和高脂饮食（HFD）喂养的雄性小鼠的弓状核、腹内侧下丘脑和背侧迷走神经复合体的75,787个细胞进行了单核RNA测序。HFD广泛改变了各类细胞的基因表达，包括Th/Slc6a3、Agrp、Ghrh和Trh/Cxcl12神经元。在对照饮食喂养的小鼠中，高血糖触发了各脑区星形胶质细胞和少突胶质细胞中保守的转录响应，以及Ghrh神经元中的响应，这与神经元活动降低一致。高血糖的转录响应在HFD后大部分消失或被逆转。在小鼠和人类GHRH神经元中富集的基因位于与人类血糖性状遗传连锁的基因座上。这些发现表明大脑具有感知高血糖的内在能力，并提示该检测系统在肥胖状态下受到严重损害。</w:t>
      </w:r>
    </w:p>
    <w:p>
      <w:pPr>
        <w:spacing w:before="0" w:after="200" w:lineRule="auto" w:line="276"/>
      </w:pPr>
      <w:r>
        <w:rPr>
          <w:b/>
        </w:rPr>
        <w:t xml:space="preserve">Abstract (EN): </w:t>
      </w:r>
      <w:r>
        <w:t>Neuronal nutrient sensing in the hypothalamus and brainstem is thought to regulate energy and glucose homeostasis, yet how these brain regions respond to elevated adiposity or blood glucose remains unclear. We performed single-nucleus RNA-sequencing on 75,787 cells from the arcuate nucleus, ventromedial hypothalamus, and dorsal vagal complex of control diet- and high-fat diet (HFD)-fed male mice following intravenous glucose or saline infusion. HFD broadly altered gene expression across cell types, including Th/Slc6a3, Agrp, Ghrh, and Trh/Cxcl12 neurons. In control diet-fed mice, hyperglycemia triggered transcriptional responses conserved across brain regions in astrocytes and oligodendrocytes, and a response in Ghrh neurons, consistent with reduced neuronal activity. The transcriptional responses to hyperglycemia were largely absent or reversed after HFD. Genes enriched in both mouse and human GHRH neurons were located in loci genetically linked to human glycemic traits. These findings point to the brain’s intrinsic capacity to sense hyperglycemia and suggest that this detection system is profoundly impaired in obesity.</w:t>
      </w:r>
    </w:p>
    <w:p>
      <w:pPr>
        <w:spacing w:before="120" w:after="120"/>
      </w:pPr>
      <w:r>
        <w:rPr>
          <w:sz w:val="18"/>
        </w:rPr>
        <w:t>——————————————————————————————————————————————————————————————————————</w:t>
      </w:r>
    </w:p>
    <w:p>
      <w:pPr>
        <w:spacing w:before="160" w:after="40" w:line="240" w:lineRule="auto"/>
      </w:pPr>
      <w:r>
        <w:rPr>
          <w:b/>
        </w:rPr>
        <w:t xml:space="preserve">[279] </w:t>
      </w:r>
      <w:hyperlink r:id="rId903">
        <w:r>
          <w:rPr>
            <w:color w:val="1155CC"/>
            <w:u w:val="single"/>
          </w:rPr>
          <w:t>脂质转移依赖性反馈环路在自噬启动中激活ATG9A隔室</w:t>
        </w:r>
      </w:hyperlink>
    </w:p>
    <w:p>
      <w:pPr>
        <w:spacing w:before="0" w:after="80"/>
      </w:pPr>
      <w:r>
        <w:rPr>
          <w:i/>
          <w:sz w:val="20"/>
        </w:rPr>
        <w:t>EN: A lipid transfer-dependent feedback loop activates ATG9A compartments in autophagy initiation</w:t>
      </w:r>
    </w:p>
    <w:p>
      <w:pPr>
        <w:spacing w:before="0" w:after="120"/>
      </w:pPr>
      <w:r>
        <w:rPr>
          <w:b/>
        </w:rPr>
        <w:t xml:space="preserve">Source: </w:t>
      </w:r>
      <w:r>
        <w:t>Biological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自噬通过将细胞物质隔离在自噬体内来降解它们，自噬体由称为吞噬泡的前体从头形成。吞噬泡的组装和扩张需要ATG9A阳性的种子区室、脂质转移蛋白ATG2A以及III类磷脂酰肌醇3-磷酸激酶复合物I（PI3KC3-C1）。PI3KC3-C1合成磷脂酰肌醇3-磷酸（PI3P），这是驱动吞噬泡扩张下游过程（包括ATG8脂化）的关键脂质。我们发现ATG9A区室仅含有微量的磷脂酰肌醇（PI），可能不足以有效产生PI3P或招募PI3P结合效应蛋白。然而，ATG2A被招募到这些区室并介导脂质（包括PI）向其中转移。值得注意的是，即使在无可检测PI3P的情况下，ATG9A区室也是ATG8脂化的直接底物，且ATG8蛋白本身增强了ATG2A介导的脂质转移。在细胞中，ATG2A对ATG9A区室上PI3P的出现至关重要。我们的发现支持这样一个模型：脂质转移驱动的反馈回路激活ATG9A区室以进行吞噬泡扩张。</w:t>
      </w:r>
    </w:p>
    <w:p>
      <w:pPr>
        <w:spacing w:before="0" w:after="200" w:lineRule="auto" w:line="276"/>
      </w:pPr>
      <w:r>
        <w:rPr>
          <w:b/>
        </w:rPr>
        <w:t xml:space="preserve">Abstract (EN): </w:t>
      </w:r>
      <w:r>
        <w:t>Autophagy degrades cellular material by sequestering it within autophagosomes, which form de novo from precursors called phagophores. Phagophore assembly and expansion require ATG9A-positive seed compartments, the lipid transfer protein ATG2A, and the class III phosphatidylinositol 3-phosphate kinase complex I (PI3KC3-C1). PI3KC3-C1 synthesizes phosphatidylinositol 3-phosphate (PI3P), a key lipid that drives downstream processes for phagophore expansion, including ATG8 lipidation. We find that ATG9A compartments contain only traces of phosphatidylinositol (PI), likely insufficient for efficient PI3P production or recruitment of PI3P-binding effectors. Nevertheless, ATG2A is recruited to these compartments and mediates lipid transfer, including PI, into them. Remarkably, even without detectable PI3P, ATG9A compartments are direct substrates for ATG8 lipidation, and ATG8 proteins themselves enhance ATG2A-mediated lipid transfer. In cells, ATG2A is essential for the appearance of PI3P on ATG9A compartments. Our findings support a model in which a lipid transfer-driven feedback loop activates ATG9A compartments for phagophore expansion.</w:t>
      </w:r>
    </w:p>
    <w:p>
      <w:pPr>
        <w:spacing w:before="120" w:after="120"/>
      </w:pPr>
      <w:r>
        <w:rPr>
          <w:sz w:val="18"/>
        </w:rPr>
        <w:t>——————————————————————————————————————————————————————————————————————</w:t>
      </w:r>
    </w:p>
    <w:p>
      <w:pPr>
        <w:spacing w:before="160" w:after="40" w:line="240" w:lineRule="auto"/>
      </w:pPr>
      <w:r>
        <w:rPr>
          <w:b/>
        </w:rPr>
        <w:t xml:space="preserve">[280] </w:t>
      </w:r>
      <w:hyperlink r:id="rId904">
        <w:r>
          <w:rPr>
            <w:color w:val="1155CC"/>
            <w:u w:val="single"/>
          </w:rPr>
          <w:t>在阿尔茨海默病动物模型中，默认模式网络尽管淀粉样蛋白广泛沉积仍表现出回路特异的选择性脆弱性</w:t>
        </w:r>
      </w:hyperlink>
    </w:p>
    <w:p>
      <w:pPr>
        <w:spacing w:before="0" w:after="80"/>
      </w:pPr>
      <w:r>
        <w:rPr>
          <w:i/>
          <w:sz w:val="20"/>
        </w:rPr>
        <w:t>EN: The default mode network exhibits circuit-specific selective vulnerability despite widespread amyloid burden in an animal model of Alzheimer’s disease</w:t>
      </w:r>
    </w:p>
    <w:p>
      <w:pPr>
        <w:spacing w:before="0" w:after="120"/>
      </w:pPr>
      <w:r>
        <w:rPr>
          <w:b/>
        </w:rPr>
        <w:t xml:space="preserve">Source: </w:t>
      </w:r>
      <w:r>
        <w:t>Biological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在阿尔茨海默病（AD）中，默认模式网络（DMN）在早期AD中表现出对功能衰退和β淀粉样蛋白（Aβ）斑块的选择性易损性。DMN的易损性可能仅仅是Aβ积累的结果。或者，Aβ可能揭示了DMN环路的内在易感性。如果DMN的易损性在全局Aβ沉积中持续存在，则支持后一种假说。我们利用具有广泛Aβ沉积的小鼠（APP/PS1）进行长期、多区域单细胞记录来检验这一点。我们追踪了压后皮层（DMN区域）内的一个神经元群体以及两个单突触连接的靶群体，一个在DMN内（前扣带皮层），另一个在DMN外（初级视觉皮层）。我们还记录了海马，并考察了DMN内和DMN外环路之间的相互作用。我们的数据揭示了仅限于DMN内环路的进行性功能障碍。相比之下，起源于DMN内但靶向DMN外群体的通信不受疾病影响。功能障碍在睡眠中尤为明显。</w:t>
      </w:r>
    </w:p>
    <w:p>
      <w:pPr>
        <w:spacing w:before="0" w:after="200" w:lineRule="auto" w:line="276"/>
      </w:pPr>
      <w:r>
        <w:rPr>
          <w:b/>
        </w:rPr>
        <w:t xml:space="preserve">Abstract (EN): </w:t>
      </w:r>
      <w:r>
        <w:t>In Alzheimer’s Disease (AD) the default mode network (DMN) exhibits selective vulnerability to functional decline and amyloid beta (Aβ) plaques in early AD. DMN vulnerability may simply be the result of Aβ accumulation. Alternately, Aβ may unmask an intrinsic susceptibility of DMN circuits. Should DMN vulnerability persist amidst global Aβ deposition, this would support the latter hypothesis. We tested this using long-term, multi-region recordings of single units in mice characterized by widespread Aβ (APP/PS1). We tracked a neuronal population within the retrosplenial cortex (a DMN region) and two monosynaptically connected target populations, one within (anterior cingulate) and the other outside the DMN (primary visual cortex). We also recorded in hippocampus and examined interactions between the in-DMN and out-DMN circuits. Our data revealed progressive dysfunction restricted to the in-DMN circuit. In contrast, communication originating within but targeting an out-DMN population was unaffected by disease. Dysfunction was pronounced in sleep.</w:t>
      </w:r>
    </w:p>
    <w:p>
      <w:pPr>
        <w:spacing w:before="120" w:after="120"/>
      </w:pPr>
      <w:r>
        <w:rPr>
          <w:sz w:val="18"/>
        </w:rPr>
        <w:t>——————————————————————————————————————————————————————————————————————</w:t>
      </w:r>
    </w:p>
    <w:p>
      <w:pPr>
        <w:spacing w:before="160" w:after="40" w:line="240" w:lineRule="auto"/>
      </w:pPr>
      <w:r>
        <w:rPr>
          <w:b/>
        </w:rPr>
        <w:t xml:space="preserve">[281] </w:t>
      </w:r>
      <w:hyperlink r:id="rId905">
        <w:r>
          <w:rPr>
            <w:color w:val="1155CC"/>
            <w:u w:val="single"/>
          </w:rPr>
          <w:t>OsIDD7整合丛枝菌根共生的信号网络</w:t>
        </w:r>
      </w:hyperlink>
    </w:p>
    <w:p>
      <w:pPr>
        <w:spacing w:before="0" w:after="80"/>
      </w:pPr>
      <w:r>
        <w:rPr>
          <w:i/>
          <w:sz w:val="20"/>
        </w:rPr>
        <w:t>EN: OsIDD7 integrates signaling networks for arbuscular mycorrhizal symbiosis</w:t>
      </w:r>
    </w:p>
    <w:p>
      <w:pPr>
        <w:spacing w:before="0" w:after="120"/>
      </w:pPr>
      <w:r>
        <w:rPr>
          <w:b/>
        </w:rPr>
        <w:t xml:space="preserve">Source: </w:t>
      </w:r>
      <w:r>
        <w:t>Biological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丛枝菌根（AM）共生是植物根系与球囊菌亚门（Glomeromycotina）真菌之间广泛存在的互利共生关系，通过丛枝实现养分交换。尽管已鉴定出许多AM共生的转录调控因子，但INDETERMINATE DOMAIN（IDD）蛋白的作用仍不清楚。我们发现水稻IDD7在含丛枝的细胞中强烈诱导表达，其缺失显著降低真菌定殖并破坏丛枝发育。IDD7是AM共生过程中脂肪酸生物合成、养分运输和共生信号相关基因诱导所必需的。IDD7通过其保守的TQDFLG结构域与转录因子SLENDER RICE 1（SLR1）和PHOSPHATE STARVATION RESPONSE 2（PHR2）相互作用。电泳迁移率变动实验表明IDD7可结合多种启动子基序。IDD7与SLR1和PHR2协同激活PHOSPHATE TRANSPORTER 11（PT11）以及AM相关转录因子PHR2、REQUIRED FOR ARBUSCULAR MYCORRHIZATION 1（RAM1）、WRINKLED 5a（WRI5a）和CYCLOPS的启动子。此外，IDD7是含丛枝细胞中PHR2表达所必需的。我们的研究表明，IDD7是含丛枝细胞中的核心转录调控因子。</w:t>
      </w:r>
    </w:p>
    <w:p>
      <w:pPr>
        <w:spacing w:before="0" w:after="200" w:lineRule="auto" w:line="276"/>
      </w:pPr>
      <w:r>
        <w:rPr>
          <w:b/>
        </w:rPr>
        <w:t xml:space="preserve">Abstract (EN): </w:t>
      </w:r>
      <w:r>
        <w:t>Arbuscular mycorrhizal (AM) symbiosis is a widespread mutualism between plant roots and Glomeromycotina fungi that enables nutrient exchange through arbuscules. Although many transcriptional regulators of AM symbiosis have been identified, the role of the INDETERMINATE DOMAIN (IDD) proteins remain unknown. We show that rice IDD7 expression is strongly induced in arbuscule-containing cells, and its loss markedly reduces fungal colonization and disrupts arbuscule development. IDD7 is required for induction of genes associated with fatty acid biosynthesis, nutrient transport, and symbiotic signaling during AM symbiosis. IDD7 interacts with the transcription factors SLENDER RICE 1 (SLR1) and PHOSPHATE STARVATION RESPONSE 2 (PHR2) through its conserved TQDFLG domain. Electrophoretic mobility shift assays show that IDD7 binds multiple promoter motifs. Together with SLR1 and PHR2, IDD7 synergistically activates the promoters of PHOSPHATE TRANSPORTER 11 (PT11) and the AM-associated transcription factors PHR2, REQUIRED FOR ARBUSCULAR MYCORRHIZATION 1 (RAM1), WRINKLED 5a (WRI5a), and CYCLOPS. Moreover, IDD7 is required for PHR2 expression in arbuscule-containing cells. Here, we show that IDD7 is a central transcriptional regulator in arbuscule-containing cells.</w:t>
      </w:r>
    </w:p>
    <w:p>
      <w:pPr>
        <w:spacing w:before="120" w:after="120"/>
      </w:pPr>
      <w:r>
        <w:rPr>
          <w:sz w:val="18"/>
        </w:rPr>
        <w:t>——————————————————————————————————————————————————————————————————————</w:t>
      </w:r>
    </w:p>
    <w:p>
      <w:pPr>
        <w:spacing w:before="160" w:after="40" w:line="240" w:lineRule="auto"/>
      </w:pPr>
      <w:r>
        <w:rPr>
          <w:b/>
        </w:rPr>
        <w:t xml:space="preserve">[282] </w:t>
      </w:r>
      <w:hyperlink r:id="rId906">
        <w:r>
          <w:rPr>
            <w:color w:val="1155CC"/>
            <w:u w:val="single"/>
          </w:rPr>
          <w:t>对早老蛋白法尼基化位点进行突变无关的碱基编辑可挽救神经肌肉类器官中的Hutchinson-Gilford早衰综合征表型</w:t>
        </w:r>
      </w:hyperlink>
    </w:p>
    <w:p>
      <w:pPr>
        <w:spacing w:before="0" w:after="80"/>
      </w:pPr>
      <w:r>
        <w:rPr>
          <w:i/>
          <w:sz w:val="20"/>
        </w:rPr>
        <w:t>EN: Mutation-agnostic base editing of the progerin farnesylation site rescues Hutchinson-Gilford progeria syndrome phenotypes in neuromuscular organoids</w:t>
      </w:r>
    </w:p>
    <w:p>
      <w:pPr>
        <w:spacing w:before="0" w:after="120"/>
      </w:pPr>
      <w:r>
        <w:rPr>
          <w:b/>
        </w:rPr>
        <w:t xml:space="preserve">Source: </w:t>
      </w:r>
      <w:r>
        <w:t>Biological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Hutchinson Gilford早衰综合征（HGPS）是一种致命的早衰性疾病，由致病性法尼基化lamin A变异体引起，这些变异体破坏核结构和DNA修复。现有疗法（包括法尼基转移酶抑制剂）仅能提供有限的生存获益且缺乏分子特异性，而突变特异的基因组编辑策略无法解决非典型核纤层蛋白病。在此，我们开发了法尼基化氨基酸靶向编辑（Farnesylation Amino acid Targeted Editing，FATE），这是一种突变不可知（mutation-agnostic）的碱基编辑平台，可选择性破坏LMNA法尼基化基序而不影响其他法尼基化蛋白。利用同基因人类多能干细胞来源的神经肌肉类器官（NMOs），我们揭示了肌肉特异性早老蛋白（progerin）的积累，其隔离53BP1并消除DNA损伤灶的形成。FATE可清除核周早老蛋白，恢复53BP1的移动性，重建DNA修复灶，并使异染色质结构正常化。重要的是，将脂质纳米颗粒偶联的FATE mRNA瞬时递送至HGPS NMOs可实现高效的碱基编辑和表型挽救。这些发现确立了FATE作为一种不依赖突变的治疗策略，针对HGPS的基本致病机制，并为早衰样疾病中基于RNA的原位基因组编辑提供了概念验证。</w:t>
      </w:r>
    </w:p>
    <w:p>
      <w:pPr>
        <w:spacing w:before="0" w:after="200" w:lineRule="auto" w:line="276"/>
      </w:pPr>
      <w:r>
        <w:rPr>
          <w:b/>
        </w:rPr>
        <w:t xml:space="preserve">Abstract (EN): </w:t>
      </w:r>
      <w:r>
        <w:t>Hutchinson Gilford progeria syndrome (HGPS) is a fatal premature aging disorder caused by pathogenic farnesylated lamin A variants that disrupt nuclear architecture and DNA repair. Current therapies, including farnesyltransferase inhibitors, provide only modest survival benefits and lack molecular specificity, while mutation-specific genome-editing strategies cannot address atypical laminopathies. Here, we develop Farnesylation Amino acid Targeted Editing (FATE), a mutation-agnostic base-editing platform that selectively disrupts the LMNA farnesylation motif without affecting other farnesylated proteins. Using isogenic human pluripotent stem cell derived neuromuscular organoids (NMOs), we reveal muscle-specific progerin accumulation that sequesters 53BP1 and abolishes DNA damage foci formation. FATE eliminates perinuclear progerin, restores 53BP1 mobility, reconstitutes DNA repair foci, and normalizes heterochromatin architecture. Importantly, transient delivery of FATE mRNA conjugated with lipid nanoparticles to HGPS NMOs achieves efficient base editing and phenotypic rescue. These findings establish FATE as a mutation-independent therapeutic strategy targeting a fundamental pathogenic mechanism in HGPS and provide a proof-of-concept for RNA-based in situ genome editing in progeroid disease.</w:t>
      </w:r>
    </w:p>
    <w:p>
      <w:pPr>
        <w:spacing w:before="120" w:after="120"/>
      </w:pPr>
      <w:r>
        <w:rPr>
          <w:sz w:val="18"/>
        </w:rPr>
        <w:t>——————————————————————————————————————————————————————————————————————</w:t>
      </w:r>
    </w:p>
    <w:p>
      <w:pPr>
        <w:spacing w:before="160" w:after="40" w:line="240" w:lineRule="auto"/>
      </w:pPr>
      <w:r>
        <w:rPr>
          <w:b/>
        </w:rPr>
        <w:t xml:space="preserve">[283] </w:t>
      </w:r>
      <w:hyperlink r:id="rId907">
        <w:r>
          <w:rPr>
            <w:color w:val="1155CC"/>
            <w:u w:val="single"/>
          </w:rPr>
          <w:t>染色体水平的Streptochaeta基因组揭示了禾草植物的祖先核型及其异源多倍体起源</w:t>
        </w:r>
      </w:hyperlink>
    </w:p>
    <w:p>
      <w:pPr>
        <w:spacing w:before="0" w:after="80"/>
      </w:pPr>
      <w:r>
        <w:rPr>
          <w:i/>
          <w:sz w:val="20"/>
        </w:rPr>
        <w:t>EN: Chromosome-level Streptochaeta genome elucidates the ancestral karyotype and allopolyploid origin of grasses</w:t>
      </w:r>
    </w:p>
    <w:p>
      <w:pPr>
        <w:spacing w:before="0" w:after="120"/>
      </w:pPr>
      <w:r>
        <w:rPr>
          <w:b/>
        </w:rPr>
        <w:t xml:space="preserve">Source: </w:t>
      </w:r>
      <w:r>
        <w:t>Biological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禾本科（Poaceae）草本是经济上最重要的植物类群。重建草本祖先基因组并研究塑造主要草本谱系的演化因素，对于理解包括水稻、小麦和玉米在内的谷类作物的演化至关重要。在此，我们报道了Streptochaeta spicata的染色体级别基因组组装，该物种代表缺乏典型小穗的谱系，是其余禾本科植物的姐妹群，并在主要草本谱系间进行了比较基因组学分析。我们证实了ρ全基因组加倍（ρ-WGD）在Streptochaeta中发生，表明所有现存草本植物共享一次异源四倍化事件。草本祖先核型（AGK）重建显示ρ前染色体数目为x = 8，ρ后为x = 12，随后在主要亚科内部多样化过程中伴随融合事件发生染色体数目减少。在Streptochaeta和主要草本谱系中观察到并可遗传有偏的亚基因组分化和显性。对S. spicata关键花发育基因的比较表达分析表明，这一早期分化谱系的小穗等同物可能代表草类小穗的修饰祖先状态。鉴于其关键的系统发育位置，Streptochaeta基因组为草类的早期核型演化以及与WGD相关的起源和关键形态创新提供了启示。</w:t>
      </w:r>
    </w:p>
    <w:p>
      <w:pPr>
        <w:spacing w:before="0" w:after="200" w:lineRule="auto" w:line="276"/>
      </w:pPr>
      <w:r>
        <w:rPr>
          <w:b/>
        </w:rPr>
        <w:t xml:space="preserve">Abstract (EN): </w:t>
      </w:r>
      <w:r>
        <w:t>Grasses (Poaceae) are the most economically important group of plants. Reconstructing the ancestral grass genome and studying the evolutionary factors shaping major grass lineages are crucial for understanding the evolution of cereals, including rice, wheat and maize. Here, we report a chromosome-level genome assembly of Streptochaeta spicata, which represents the lineage without typical spikelets and the sister to the rest of Poaceae, and perform comparative genomic analyses across major grass lineages. We confirm the occurrence of the ρ-whole-genome duplication (ρ-WGD) in Streptochaeta, suggesting a shared allotetraploidization event for all extant grasses. Reconstruction of the ancestral grass karyotype (AGK) reveals a chromosome number of ante-ρ (x = 8) and post-ρ (x = 12), followed by chromosome number reduction by fusion events accompanying the diversification within major subfamilies. Biased subgenome fractionation and dominance are observed and inherited across Streptochaeta and major grass lineages. Comparative expression analyses of key floral genes in S. spicata indicate that the spikelet equivalent of this early-diverging lineage might represent a modified ancestral state of grass spikelet. Given its critical phylogenetic position, the Streptochaeta genome sheds light on the early karyotypic evolution of grasses, and the origin and key morphological innovation with respect to WGDs.</w:t>
      </w:r>
    </w:p>
    <w:p>
      <w:pPr>
        <w:spacing w:before="120" w:after="120"/>
      </w:pPr>
      <w:r>
        <w:rPr>
          <w:sz w:val="18"/>
        </w:rPr>
        <w:t>——————————————————————————————————————————————————————————————————————</w:t>
      </w:r>
    </w:p>
    <w:p>
      <w:pPr>
        <w:spacing w:before="160" w:after="40" w:line="240" w:lineRule="auto"/>
      </w:pPr>
      <w:r>
        <w:rPr>
          <w:b/>
        </w:rPr>
        <w:t xml:space="preserve">[284] </w:t>
      </w:r>
      <w:hyperlink r:id="rId908">
        <w:r>
          <w:rPr>
            <w:color w:val="1155CC"/>
            <w:u w:val="single"/>
          </w:rPr>
          <w:t>下托空间编码源于预测性映射</w:t>
        </w:r>
      </w:hyperlink>
    </w:p>
    <w:p>
      <w:pPr>
        <w:spacing w:before="0" w:after="80"/>
      </w:pPr>
      <w:r>
        <w:rPr>
          <w:i/>
          <w:sz w:val="20"/>
        </w:rPr>
        <w:t>EN: Subicular spatial codes arise from predictive mapping</w:t>
      </w:r>
    </w:p>
    <w:p>
      <w:pPr>
        <w:spacing w:before="0" w:after="120"/>
      </w:pPr>
      <w:r>
        <w:rPr>
          <w:b/>
        </w:rPr>
        <w:t xml:space="preserve">Source: </w:t>
      </w:r>
      <w:r>
        <w:t>Biological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后继表征（successor representation）已成为理解哺乳动物导航和记忆的强大模型，可解释海马位置细胞和内嗅皮层网格细胞的空间编码特性。然而，下托（海马的主要输出结构）神经元多样化的空间反应一直缺乏统一的解释。在此，我们证明将啮齿动物的行为偏好纳入后继表征可以成功再现下托神经元的异质性活动模式。该框架解释了边界细胞和角细胞（上游海马区域中缺失的神经元类型）的产生。我们提供证据表明，与纯粹的空间模型或下托的边界向量细胞模型相比，下托的放电模式能被后继表征更准确地描述。我们的工作揭示了海马-下托处理中的时间层级，下托比CA1在更长的时间尺度上编码预测性表征，捕捉扩展的行为模式和环境可供性。</w:t>
      </w:r>
    </w:p>
    <w:p>
      <w:pPr>
        <w:spacing w:before="0" w:after="200" w:lineRule="auto" w:line="276"/>
      </w:pPr>
      <w:r>
        <w:rPr>
          <w:b/>
        </w:rPr>
        <w:t xml:space="preserve">Abstract (EN): </w:t>
      </w:r>
      <w:r>
        <w:t>The successor representation has emerged as a powerful model for understanding mammalian navigation and memory; explaining the spatial coding properties of hippocampal place cells and entorhinal grid cells. However, the diverse spatial responses of subicular neurons, the primary output of the hippocampus, have eluded a unified account. Here, we demonstrate that incorporating rodent behavioural biases into the successor representation successfully reproduces the heterogeneous activity patterns of subicular neurons. This framework accounts for the emergence of boundary and corner cells—neuronal types absent in upstream hippocampal regions. We provide evidence that subicular firing patterns are more accurately described by the successor representation than a purely spatial or boundary vector cell model of subiculum. Our work reveals a temporal hierarchy in hippocampal-subicular processing, with subiculum encoding predictive representations over longer time horizons than CA1, capturing extended behavioural patterns and environmental affordances.</w:t>
      </w:r>
    </w:p>
    <w:p>
      <w:pPr>
        <w:spacing w:before="120" w:after="120"/>
      </w:pPr>
      <w:r>
        <w:rPr>
          <w:sz w:val="18"/>
        </w:rPr>
        <w:t>——————————————————————————————————————————————————————————————————————</w:t>
      </w:r>
    </w:p>
    <w:p>
      <w:pPr>
        <w:spacing w:before="160" w:after="40" w:line="240" w:lineRule="auto"/>
      </w:pPr>
      <w:r>
        <w:rPr>
          <w:b/>
        </w:rPr>
        <w:t xml:space="preserve">[285] </w:t>
      </w:r>
      <w:hyperlink r:id="rId909">
        <w:r>
          <w:rPr>
            <w:color w:val="1155CC"/>
            <w:u w:val="single"/>
          </w:rPr>
          <w:t>基于临床属性的风险矩阵用于免疫治疗非小细胞肺癌的预后评估</w:t>
        </w:r>
      </w:hyperlink>
    </w:p>
    <w:p>
      <w:pPr>
        <w:spacing w:before="0" w:after="80"/>
      </w:pPr>
      <w:r>
        <w:rPr>
          <w:i/>
          <w:sz w:val="20"/>
        </w:rPr>
        <w:t>EN: Clinical attribute-based risk matrix for prognostication in immunotherapy-treated non-small cell lung cancer</w:t>
      </w:r>
    </w:p>
    <w:p>
      <w:pPr>
        <w:spacing w:before="0" w:after="120"/>
      </w:pPr>
      <w:r>
        <w:rPr>
          <w:b/>
        </w:rPr>
        <w:t xml:space="preserve">Source: </w:t>
      </w:r>
      <w:r>
        <w:t>Biological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用于指导非小细胞肺癌（NSCLC）免疫治疗的生物标志物具有侵入性、可得性不一且不足以捕捉临床和区域异质性，导致许多患者的预后分层不充分。我们开发了一个基于临床属性的框架，利用常规收集的变量来估计生存风险，即使在基线数据不完整的情况下也可行。我们分析了接受免疫治疗的17 051例NSCLC患者，数据来自已发表队列和多个地区的三级医疗中心，并采用两阶段生存建模策略评估了17个常见临床属性，在西方和东亚人群中进行了外部验证。临床属性在变量定义的分层和生存终点间表现出依赖于情境的预后效应，其中体能状态和疾病分期是生存风险预测最一致的决定因素，同时还存在区域特异性调节因子。我们的研究表明，这种“任意起点”的临床风险矩阵可提供稳健的、人群感知的预后分层，并作为生物标志物的补充用于评估NSCLC患者的免疫治疗结局。</w:t>
      </w:r>
    </w:p>
    <w:p>
      <w:pPr>
        <w:spacing w:before="0" w:after="200" w:lineRule="auto" w:line="276"/>
      </w:pPr>
      <w:r>
        <w:rPr>
          <w:b/>
        </w:rPr>
        <w:t xml:space="preserve">Abstract (EN): </w:t>
      </w:r>
      <w:r>
        <w:t>Biomarkers used to guide immunotherapy in non-small cell lung cancer (NSCLC) are invasive, variably available, and insufficient to capture clinical and regional heterogeneity, leaving many patients inadequately stratified for prognosis. We develop a clinical attribute–based framework that leverages routinely collected variables to estimate survival risk, even when baseline data are incomplete. We analyze 17 051 patients with NSCLC treated with immunotherapy, assembled from published cohorts and tertiary centers across multiple regions, and evaluate seventeen common clinical attributes using a two-stage survival modeling strategy with external validation in Western and East Asian populations. Clinical attributes exhibit context-dependent prognostic effects across variable-defined strata and survival endpoints, with performance status and disease stage emerging as the most consistent determinants of survival risk prediction, alongside region-specific modifiers. Here we show that this “start-anywhere” clinical risk matrix provides robust, population-aware prognostic stratification and complements biomarkers for assessing immunotherapy outcomes in patients with NSCLC.</w:t>
      </w:r>
    </w:p>
    <w:p>
      <w:pPr>
        <w:spacing w:before="120" w:after="120"/>
      </w:pPr>
      <w:r>
        <w:rPr>
          <w:sz w:val="18"/>
        </w:rPr>
        <w:t>——————————————————————————————————————————————————————————————————————</w:t>
      </w:r>
    </w:p>
    <w:p>
      <w:pPr>
        <w:spacing w:before="160" w:after="40" w:line="240" w:lineRule="auto"/>
      </w:pPr>
      <w:r>
        <w:rPr>
          <w:b/>
        </w:rPr>
        <w:t xml:space="preserve">[286] </w:t>
      </w:r>
      <w:hyperlink r:id="rId910">
        <w:r>
          <w:rPr>
            <w:color w:val="1155CC"/>
            <w:u w:val="single"/>
          </w:rPr>
          <w:t>肾周脂肪β₃-肾上腺素能信号通过调控糖尿病肾病中的Bcat2/BCAA-TNFα通路缓解肾纤维化</w:t>
        </w:r>
      </w:hyperlink>
    </w:p>
    <w:p>
      <w:pPr>
        <w:spacing w:before="0" w:after="80"/>
      </w:pPr>
      <w:r>
        <w:rPr>
          <w:i/>
          <w:sz w:val="20"/>
        </w:rPr>
        <w:t>EN: Perirenal fat β₃-adrenergic signaling alleviates renal fibrosis via regulating Bcat2/BCAA-TNFα pathway in diabetic kidney disease</w:t>
      </w:r>
    </w:p>
    <w:p>
      <w:pPr>
        <w:spacing w:before="0" w:after="120"/>
      </w:pPr>
      <w:r>
        <w:rPr>
          <w:b/>
        </w:rPr>
        <w:t xml:space="preserve">Source: </w:t>
      </w:r>
      <w:r>
        <w:t>Biological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肾小管间质纤维化预示糖尿病肾病（DKD）中不可逆的肾功能丧失，但塑造纤维化的脂肪衍生信号仍不明确。在此，我们发现肾周脂肪（PRF）——与肾脏相邻的脂肪库——富含β3肾上腺素能受体（ADRB3），且ADRB3表达在人类DKD和雄性小鼠DKD模型中降低。在db/db和链脲佐菌素/高脂饮食小鼠中，PRF质量增加与蛋白尿和血肌酐相关，而去除PRF可减轻小管脂质积累、线粒体损伤和纤维化。棕色脂肪细胞谱系ADRB3缺失通过CREB1/METTL3介导的m6A调控抑制依赖Bcat2的支链氨基酸分解代谢，从而增大PRF并增加脂肪细胞TNFα的释放。ADRB3激活或PRF限制性ADRB3恢复可减少PRF炎症和肾纤维化，而iBAT限制性恢复则不能重现这种肾脏保护作用。这些发现确定了一条促进糖尿病肾纤维化的PRF ADRB3-Bcat2/BCAA-TNFα通路。</w:t>
      </w:r>
    </w:p>
    <w:p>
      <w:pPr>
        <w:spacing w:before="0" w:after="200" w:lineRule="auto" w:line="276"/>
      </w:pPr>
      <w:r>
        <w:rPr>
          <w:b/>
        </w:rPr>
        <w:t xml:space="preserve">Abstract (EN): </w:t>
      </w:r>
      <w:r>
        <w:t>Tubulointerstitial fibrosis predicts irreversible kidney function loss in diabetic kidney disease (DKD), but adipose-derived signals that shape fibrogenesis are poorly defined. Here, we show that perirenal fat (PRF), an adipose depot contiguous with the kidney, is enriched for β3-adrenergic receptor (ADRB3) and that ADRB3 expression is reduced in human DKD and male mouse DKD models. In db/db and streptozotocin/high-fat diet mice, increased PRF mass associates with albuminuria and serum creatinine, whereas PRF removal attenuates tubular lipid accumulation, mitochondrial injury and fibrosis. Brown adipocyte-lineage ADRB3 deletion enlarges PRF and increases adipocyte TNFα release by suppressing Bcat2-dependent branched-chain amino-acid catabolism through CREB1/METTL3-mediated m6A regulation. ADRB3 activation or PRF-restricted ADRB3 restoration reduces PRF inflammation and renal fibrosis, while iBAT-restricted restoration does not reproduce this renal protection. These findings identify a PRF ADRB3-Bcat2/BCAA-TNFα pathway that contributes to diabetic renal fibrosis.</w:t>
      </w:r>
    </w:p>
    <w:p>
      <w:pPr>
        <w:spacing w:before="120" w:after="120"/>
      </w:pPr>
      <w:r>
        <w:rPr>
          <w:sz w:val="18"/>
        </w:rPr>
        <w:t>——————————————————————————————————————————————————————————————————————</w:t>
      </w:r>
    </w:p>
    <w:p>
      <w:pPr>
        <w:spacing w:before="160" w:after="40" w:line="240" w:lineRule="auto"/>
      </w:pPr>
      <w:r>
        <w:rPr>
          <w:b/>
        </w:rPr>
        <w:t xml:space="preserve">[287] </w:t>
      </w:r>
      <w:hyperlink r:id="rId911">
        <w:r>
          <w:rPr>
            <w:color w:val="1155CC"/>
            <w:u w:val="single"/>
          </w:rPr>
          <w:t>RBP驱动的RNA分选与局部翻译确立了单个感觉轴突的分子身份</w:t>
        </w:r>
      </w:hyperlink>
    </w:p>
    <w:p>
      <w:pPr>
        <w:spacing w:before="0" w:after="80"/>
      </w:pPr>
      <w:r>
        <w:rPr>
          <w:i/>
          <w:sz w:val="20"/>
        </w:rPr>
        <w:t>EN: RBP-Driven RNA sorting and local translation establish the molecular identities of individual sensory axons</w:t>
      </w:r>
    </w:p>
    <w:p>
      <w:pPr>
        <w:spacing w:before="0" w:after="120"/>
      </w:pPr>
      <w:r>
        <w:rPr>
          <w:b/>
        </w:rPr>
        <w:t xml:space="preserve">Source: </w:t>
      </w:r>
      <w:r>
        <w:t>Biological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神经元延伸出穿越不同微环境的长轴突，但这些亚细胞区室如何获得并维持特化的身份仍不清楚。在此，我们利用空间翻译组学定义了躯体感觉背根神经节（DRG）神经元的局部翻译组。翻译核糖体亲和纯化与RNA测序（TRAP-seq）揭示了数千种在中枢轴突、外周轴突或DRG胞体中被优先翻译的mRNA，确立了区室特异性的翻译程序。这些转录本中有许多编码离子通道和神经递质受体，可能赋予每条轴突不同的电生理和再生特性。将TRAP-seq数据与已发表的RNA-seq整合，我们鉴定了神经病理性损伤后发生变化的局部翻译组分，从而可能调节神经元活动。我们鉴定了由RNA结合蛋白（RBP）SFPQ和SRSF10协调的RNA调节子，它们分别优先结合并将mRNA运输至外周轴突或中枢轴突。这些发现表明，RBP引导的RNA分选和局部翻译能够建立躯体感觉功能并对其进行动态的局部调节。</w:t>
      </w:r>
    </w:p>
    <w:p>
      <w:pPr>
        <w:spacing w:before="0" w:after="200" w:lineRule="auto" w:line="276"/>
      </w:pPr>
      <w:r>
        <w:rPr>
          <w:b/>
        </w:rPr>
        <w:t xml:space="preserve">Abstract (EN): </w:t>
      </w:r>
      <w:r>
        <w:t>Neurons extend long axons that traverse distinct microenvironments, yet how these subcellular compartments acquire and maintain specialized identities remains unclear. Here, we use spatial translatomics to define the local translatomes of somatosensory dorsal root ganglion (DRG) neurons. Translating Ribosome Affinity Purification and RNA sequencing (TRAP-seq) reveal thousands of mRNAs preferentially translated within central axons, peripheral axons, or DRG somata, establishing compartment-specific translational programs. Many of these transcripts encode ion channels and neurotransmitter receptors that may confer distinct electrophysiological and regenerative properties to each axon. Integration of the TRAP-seq data with published RNA-seq identify locally translated components that change following neuropathic injury and could thereby adjust neuronal activity. We identify RNA regulons coordinated by RNA-binding proteins (RBPs) SFPQ and SRSF10, which preferentially bind and traffic mRNAs to peripheral or central axons, respectively. These findings indicate that RBP-guided RNA sorting and local translation enable the establishment and dynamic local modulation of somatosensory function.</w:t>
      </w:r>
    </w:p>
    <w:p>
      <w:pPr>
        <w:spacing w:before="120" w:after="120"/>
      </w:pPr>
      <w:r>
        <w:rPr>
          <w:sz w:val="18"/>
        </w:rPr>
        <w:t>——————————————————————————————————————————————————————————————————————</w:t>
      </w:r>
    </w:p>
    <w:p>
      <w:pPr>
        <w:spacing w:before="160" w:after="40" w:line="240" w:lineRule="auto"/>
      </w:pPr>
      <w:r>
        <w:rPr>
          <w:b/>
        </w:rPr>
        <w:t xml:space="preserve">[288] </w:t>
      </w:r>
      <w:hyperlink r:id="rId912">
        <w:r>
          <w:rPr>
            <w:color w:val="1155CC"/>
            <w:u w:val="single"/>
          </w:rPr>
          <w:t>采后植被再生的时间滞后放大了2000–2023年期间热带森林的碳损失</w:t>
        </w:r>
      </w:hyperlink>
    </w:p>
    <w:p>
      <w:pPr>
        <w:spacing w:before="0" w:after="80"/>
      </w:pPr>
      <w:r>
        <w:rPr>
          <w:i/>
          <w:sz w:val="20"/>
        </w:rPr>
        <w:t>EN: Temporal lag in post-mining regrowth amplifies carbon loss in tropical forests during the period 2000–2023</w:t>
      </w:r>
    </w:p>
    <w:p>
      <w:pPr>
        <w:spacing w:before="0" w:after="120"/>
      </w:pPr>
      <w:r>
        <w:rPr>
          <w:b/>
        </w:rPr>
        <w:t xml:space="preserve">Source: </w:t>
      </w:r>
      <w:r>
        <w:t>Earth and environmental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采矿引起的森林砍伐是一个未被充分认识的热带森林碳损失来源，而采矿后森林再生在多大程度上抵消这一损失仍不清楚。在此，我们利用高分辨率卫星观测重建了2000年至2023年热带地区与采矿相关的森林砍伐及随后森林再生的状况。我们估计采矿造成约4537 km2的森林砍伐，而采矿后的再生面积约为300 km2，相当于被砍伐面积的6.6%。森林再生还表现出明显的时间滞后，约40%发生在森林砍伐五年多之后，约16%至少在十年后才发生。与采矿相关的森林砍伐导致约47.5 Tg C的碳损失，而森林再生贡献了约3.8 Tg C的碳增益，抵消了8%的损失。这些发现表明，采矿后森林再生提供的碳抵消有限，凸显了在受采矿影响的热带森林中提高森林恢复的规模和及时性的必要性。</w:t>
      </w:r>
    </w:p>
    <w:p>
      <w:pPr>
        <w:spacing w:before="0" w:after="200" w:lineRule="auto" w:line="276"/>
      </w:pPr>
      <w:r>
        <w:rPr>
          <w:b/>
        </w:rPr>
        <w:t xml:space="preserve">Abstract (EN): </w:t>
      </w:r>
      <w:r>
        <w:t>Mining-induced deforestation is an under-recognized source of tropical forest carbon loss, and the extent to which post-mining regrowth offsets this loss remains unclear. Here, we reconstruct mining-related deforestation and subsequent forest regrowth across the tropics from 2000 to 2023 using high-resolution satellite observations. We estimate that mining causes ~4537 km2 of deforestation, whereas post-mining regrowth covers ~300 km2, equivalent to 6.6% of the deforested area. Forest regrowth also exhibits a pronounced temporal lag, with ~40% occurring more than five years after deforestation and ~16% occurring at least a decade later. Mining-related deforestation results in ~47.5 Tg C of carbon loss, while regrowth contributes ~3.8 Tg C of carbon gain, offsetting 8% of losses. These findings indicate that post-mining forest regrowth provides a limited carbon offset, highlighting the need to improve both the extent and timeliness of forest recovery in mining-affected tropical forests.</w:t>
      </w:r>
    </w:p>
    <w:p>
      <w:pPr>
        <w:spacing w:before="120" w:after="120"/>
      </w:pPr>
      <w:r>
        <w:rPr>
          <w:sz w:val="18"/>
        </w:rPr>
        <w:t>——————————————————————————————————————————————————————————————————————</w:t>
      </w:r>
    </w:p>
    <w:p>
      <w:pPr>
        <w:spacing w:before="160" w:after="40" w:line="240" w:lineRule="auto"/>
      </w:pPr>
      <w:r>
        <w:rPr>
          <w:b/>
        </w:rPr>
        <w:t xml:space="preserve">[289] </w:t>
      </w:r>
      <w:hyperlink r:id="rId913">
        <w:r>
          <w:rPr>
            <w:color w:val="1155CC"/>
            <w:u w:val="single"/>
          </w:rPr>
          <w:t>大型藻类碳埋藏在沿岸沉积物中的全球分布</w:t>
        </w:r>
      </w:hyperlink>
    </w:p>
    <w:p>
      <w:pPr>
        <w:spacing w:before="0" w:after="80"/>
      </w:pPr>
      <w:r>
        <w:rPr>
          <w:i/>
          <w:sz w:val="20"/>
        </w:rPr>
        <w:t>EN: The global distribution of macroalgal carbon burial in coastal sediments</w:t>
      </w:r>
    </w:p>
    <w:p>
      <w:pPr>
        <w:spacing w:before="0" w:after="120"/>
      </w:pPr>
      <w:r>
        <w:rPr>
          <w:b/>
        </w:rPr>
        <w:t xml:space="preserve">Source: </w:t>
      </w:r>
      <w:r>
        <w:t>Earth and environmental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大型藻类在全球海洋碳循环中发挥着关键作用，但其沿海碳埋藏（一个与国家清单相关的长期碳汇）的空间分布仍不清楚。在此，我们提出了一项高分辨率（5角分，在赤道处约9.2 km）的全球大型藻类碳埋藏指数（MCBI）评估，该指数衡量沿海环境对埋藏大型藻类碳的有利程度。通过综合最全面的沉积物堆积速率数据集（n = 1617），我们确定沉积环境是碳埋藏的关键制约因素，其作用独立于大型藻类生产力。高有利性碳汇在地理上十分稀有（</w:t>
      </w:r>
    </w:p>
    <w:p>
      <w:pPr>
        <w:spacing w:before="0" w:after="200" w:lineRule="auto" w:line="276"/>
      </w:pPr>
      <w:r>
        <w:rPr>
          <w:b/>
        </w:rPr>
        <w:t xml:space="preserve">Abstract (EN): </w:t>
      </w:r>
      <w:r>
        <w:t>Macroalgae play a pivotal role in the global ocean carbon cycle, yet the spatial distribution of their coastal carbon burial, a long-term sink relevant to national inventories, remains poorly resolved. Here, we present a high-resolution (5-arcminute, ~9.2 km at the equator) global assessment of the Macroalgal Carbon Burial Index (MCBI), a measure of how favorable coastal environments are for burying macroalgal carbon. Synthesizing the most comprehensive dataset of sediment accumulation rates (n = 1617), we identify the depositional environment as a critical constraint on burial, acting independently of macroalgal productivity. High-favorability sinks are geographically rare (</w:t>
      </w:r>
    </w:p>
    <w:p>
      <w:pPr>
        <w:spacing w:before="120" w:after="120"/>
      </w:pPr>
      <w:r>
        <w:rPr>
          <w:sz w:val="18"/>
        </w:rPr>
        <w:t>——————————————————————————————————————————————————————————————————————</w:t>
      </w:r>
    </w:p>
    <w:p>
      <w:pPr>
        <w:spacing w:before="160" w:after="40" w:line="240" w:lineRule="auto"/>
      </w:pPr>
      <w:r>
        <w:rPr>
          <w:b/>
        </w:rPr>
        <w:t xml:space="preserve">[290] </w:t>
      </w:r>
      <w:hyperlink r:id="rId914">
        <w:r>
          <w:rPr>
            <w:color w:val="1155CC"/>
            <w:u w:val="single"/>
          </w:rPr>
          <w:t>不完整数据的多模态学习</w:t>
        </w:r>
      </w:hyperlink>
    </w:p>
    <w:p>
      <w:pPr>
        <w:spacing w:before="0" w:after="80"/>
      </w:pPr>
      <w:r>
        <w:rPr>
          <w:i/>
          <w:sz w:val="20"/>
        </w:rPr>
        <w:t>EN: Multi-modal learning with incomplete data</w:t>
      </w:r>
    </w:p>
    <w:p>
      <w:pPr>
        <w:spacing w:before="0" w:after="120"/>
      </w:pPr>
      <w:r>
        <w:rPr>
          <w:b/>
        </w:rPr>
        <w:t xml:space="preserve">Source: </w:t>
      </w:r>
      <w:r>
        <w:t>Biological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多模态学习将多种数据类型整合在一起进行分析，已成为人工智能研究的核心领域，推动了众多领域的重大进展。然而，在许多实际情况下，部分样本可能缺失某些模态或变量，导致传统方法的性能受限或失效。这催生了不完整数据多模态学习领域，该领域因其广泛的现实应用而迅速发展。尽管如此，社区仍然缺乏有效处理不完整多模态数据的标准化工。为填补这一空白，我们开发了iMML，这是一个统一、用户友好的Python软件包，配备了多种用于整合、处理和分析不完整多模态数据的通用方法。在生物医学、文本分析和计算机视觉中针对多种机器学习任务的成功用例展示了iMML在复杂现实应用中充分利用现代数据集的强大能力。iMML软件包可在https://github.com/ocbe-uio/imml获取，详细文档见https://imml.readthedocs.io/。</w:t>
      </w:r>
    </w:p>
    <w:p>
      <w:pPr>
        <w:spacing w:before="0" w:after="200" w:lineRule="auto" w:line="276"/>
      </w:pPr>
      <w:r>
        <w:rPr>
          <w:b/>
        </w:rPr>
        <w:t xml:space="preserve">Abstract (EN): </w:t>
      </w:r>
      <w:r>
        <w:t>Multi-modal learning, in which diverse data types are integrated and analyzed together, has become a central area of research in artificial intelligence, driving major advances in a wide range of domains. However, in many practical situations, certain modalities or variables may be missing for part of the samples, leading to a limited performance or failure of conventional methods. This has given a rise to the field of multi-modal learning with incomplete data, an area that has grown rapidly due to its broad real-world applications. Despite this, the community still lacks standardized tools to effectively handle incomplete multi-modal data. To fill this gap, we developed iMML, a unified, user-friendly Python package with versatile methods designed for integrating, processing, and analyzing incomplete multi-modal data. Successful use cases in biomedicine, text analysis, and computer vision for diverse machine learning tasks show the potency of iMML for making the best use of modern datasets in complex real-world applications. The iMML package is available at https://github.com/ocbe-uio/imml with an extensive documentation at https://imml.readthedocs.io/.</w:t>
      </w:r>
    </w:p>
    <w:p>
      <w:pPr>
        <w:spacing w:before="120" w:after="120"/>
      </w:pPr>
      <w:r>
        <w:rPr>
          <w:sz w:val="18"/>
        </w:rPr>
        <w:t>——————————————————————————————————————————————————————————————————————</w:t>
      </w:r>
    </w:p>
    <w:p>
      <w:pPr>
        <w:spacing w:before="160" w:after="40" w:line="240" w:lineRule="auto"/>
      </w:pPr>
      <w:r>
        <w:rPr>
          <w:b/>
        </w:rPr>
        <w:t xml:space="preserve">[291] </w:t>
      </w:r>
      <w:hyperlink r:id="rId915">
        <w:r>
          <w:rPr>
            <w:color w:val="1155CC"/>
            <w:u w:val="single"/>
          </w:rPr>
          <w:t>利用多模态数据探索NiTi形状记忆合金超弹性退化的可解释学习框架</w:t>
        </w:r>
      </w:hyperlink>
    </w:p>
    <w:p>
      <w:pPr>
        <w:spacing w:before="0" w:after="80"/>
      </w:pPr>
      <w:r>
        <w:rPr>
          <w:i/>
          <w:sz w:val="20"/>
        </w:rPr>
        <w:t>EN: An interpretable learning framework for exploring superelastic degradation of NiTi shape memory alloys using multimodal data</w:t>
      </w:r>
    </w:p>
    <w:p>
      <w:pPr>
        <w:spacing w:before="0" w:after="120"/>
      </w:pPr>
      <w:r>
        <w:rPr>
          <w:b/>
        </w:rPr>
        <w:t xml:space="preserve">Source: </w:t>
      </w:r>
      <w:r>
        <w:t>Physical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超弹性退化（SED）是NiTi形状记忆合金在循环载荷下功能的渐进性丧失，其精确表征仍具挑战性，从而制约了其工程应用和更广泛的推广。在本研究中，我们提出了一个可解释的学习框架来预测NiTi合金的SED，并利用可解释性分析方法揭示其退化机制。该框架通过多分支架构纳入多源微观组织和加载条件，有效解耦并整合异构特征，实现了0.981的R2。研究识别了滑移与相变之间的竞争：在高应变幅下，SED由具有高Schmid因子的相变区域主导；而在低应变幅下，{011}〈001〉和{011}〈111〉滑移系上的位错滑移占主导地位。随后，我们量化了Ni4Ti3析出物的影响，揭示了其依赖于加载条件且非均匀的有益作用。研究结果突显了可解释机器学习在探索循环变形过程中的潜力，并为智能材料的AI驱动研究铺平了道路。</w:t>
      </w:r>
    </w:p>
    <w:p>
      <w:pPr>
        <w:spacing w:before="0" w:after="200" w:lineRule="auto" w:line="276"/>
      </w:pPr>
      <w:r>
        <w:rPr>
          <w:b/>
        </w:rPr>
        <w:t xml:space="preserve">Abstract (EN): </w:t>
      </w:r>
      <w:r>
        <w:t>Superelastic degradation (SED), a progressive loss of functionality in NiTi shape memory alloys under cyclic loading, remains challenging to characterize precisely, thereby constraining their engineering applications and broader adoption. In this study, an interpretable learning framework was proposed to predict the SED of NiTi alloys and uncover the degradation mechanisms using interpretability analysis methods. The framework incorporates multi-source microstructure and loading conditions through a multi-branch architecture that effectively decouples and integrates heterogeneous features, achieving an R2 of 0.981. The competition between slip and transformation was identified: at high amplitudes, SED is dominated by transformation regions with high Schmid factors, whereas at low amplitudes, dislocation slip on the {011}〈001〉 and {011}〈111〉 systems prevails. Subsequently, the influence of Ni4Ti3 precipitates was quantified, revealing a loading-dependent and non-uniformly beneficial role. The results highlight the potential of interpretable machine learning in exploring the cyclic deformation process and pave the way for AI-driven research on smart materials.</w:t>
      </w:r>
    </w:p>
    <w:p>
      <w:pPr>
        <w:spacing w:before="120" w:after="120"/>
      </w:pPr>
      <w:r>
        <w:rPr>
          <w:sz w:val="18"/>
        </w:rPr>
        <w:t>——————————————————————————————————————————————————————————————————————</w:t>
      </w:r>
    </w:p>
    <w:p>
      <w:pPr>
        <w:spacing w:before="160" w:after="40" w:line="240" w:lineRule="auto"/>
      </w:pPr>
      <w:r>
        <w:rPr>
          <w:b/>
        </w:rPr>
        <w:t xml:space="preserve">[292] </w:t>
      </w:r>
      <w:hyperlink r:id="rId916">
        <w:r>
          <w:rPr>
            <w:color w:val="1155CC"/>
            <w:u w:val="single"/>
          </w:rPr>
          <w:t>耐钙电极策略实现天然水中高效的过氧化氢电合成</w:t>
        </w:r>
      </w:hyperlink>
    </w:p>
    <w:p>
      <w:pPr>
        <w:spacing w:before="0" w:after="80"/>
      </w:pPr>
      <w:r>
        <w:rPr>
          <w:i/>
          <w:sz w:val="20"/>
        </w:rPr>
        <w:t>EN: Calcium-tolerant electrode strategy for efficient hydrogen peroxide electrosynthesis in natural water</w:t>
      </w:r>
    </w:p>
    <w:p>
      <w:pPr>
        <w:spacing w:before="0" w:after="120"/>
      </w:pPr>
      <w:r>
        <w:rPr>
          <w:b/>
        </w:rPr>
        <w:t xml:space="preserve">Source: </w:t>
      </w:r>
      <w:r>
        <w:t>Physical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钙垢 traditionally被视为通过双电子氧还原反应（2e− ORR）实现分布式H2O2电合成实际应用的主要障碍。在此，我们证明钙垢出乎意料地增强了H2O2的电生成。溶解的Ca2+而非沉淀的垢，是抑制H2O2电合成的主导因素。Ca2+的界面富集促进了水的解离和质子的可及性，使反应路径向4e− ORR转变。为应对这一挑战，我们开发了一种季铵盐阳离子表面活性剂修饰的阴极，实现了H2O2产率2.3倍的提升。理论计算表明，表面活性剂修饰削弱了Ca2+的吸附，并通过增强静电排斥减少了其界面积累。同时，疏水侧链嫁接通过破坏界面氢键网络降低了质子的可及性，从而提高了2e− ORR的选择性。此外，三维聚氨酯海绵围栏式阴极结构通过孔道限域建立了碱性微环境，缓解了Ca2+增强的质子可及性，使H2O2电生成量增加了293.3%。这些界面场操控和三维碱性限域策略为设计耐Ca2+的高效H2O2电合成阴极提供了有前景的范例。</w:t>
      </w:r>
    </w:p>
    <w:p>
      <w:pPr>
        <w:spacing w:before="0" w:after="200" w:lineRule="auto" w:line="276"/>
      </w:pPr>
      <w:r>
        <w:rPr>
          <w:b/>
        </w:rPr>
        <w:t xml:space="preserve">Abstract (EN): </w:t>
      </w:r>
      <w:r>
        <w:t>Calcium scaling is traditionally regarded as a major impediment to the practical application of decentralized H2O2 electrosynthesis via two-electron oxygen reduction reaction (2e− ORR). Herein, we demonstrate that the calcium scale unexpectedly enhances H2O2 electroproduction. Dissolved Ca2+, rather than precipitated scale, is the dominant factor suppressing H2O2 electrosynthesis. Interfacial enrichment of Ca2+ facilitates water dissociation and proton accessibility, shifting the pathway toward 4e− ORR. To address this challenge, a quaternary ammonium cationic surfactant-modified cathode is developed, demonstrating a 2.3-fold enhancement in H2O2 yield. Theoretical calculations suggest that surfactant modification weakens Ca2+ adsorption and reduces its interfacial accumulation through enhanced electrostatic repulsion. Simultaneously, hydrophobic side-chain grafting decreases proton accessibility by disrupting the interfacial hydrogen-bond network, thereby improving 2e− ORR selectivity. Furthermore, a 3D polyurethane sponge-fenced cathode architecture establishes an alkaline microenvironment via pore confinement, mitigating the Ca2+-enhanced proton accessibility and increasing H2O2 electroproduction by 293.3%. These strategies of interfacial field manipulation and 3D alkaline confinement provide a promising paradigm for designing Ca2+-tolerant cathode for efficient H2O2 electrosynthesis.</w:t>
      </w:r>
    </w:p>
    <w:p>
      <w:pPr>
        <w:spacing w:before="120" w:after="120"/>
      </w:pPr>
      <w:r>
        <w:rPr>
          <w:sz w:val="18"/>
        </w:rPr>
        <w:t>——————————————————————————————————————————————————————————————————————</w:t>
      </w:r>
    </w:p>
    <w:p>
      <w:pPr>
        <w:spacing w:before="160" w:after="40" w:line="240" w:lineRule="auto"/>
      </w:pPr>
      <w:r>
        <w:rPr>
          <w:b/>
        </w:rPr>
        <w:t xml:space="preserve">[293] </w:t>
      </w:r>
      <w:hyperlink r:id="rId917">
        <w:r>
          <w:rPr>
            <w:color w:val="1155CC"/>
            <w:u w:val="single"/>
          </w:rPr>
          <w:t>陶瓷气凝胶的晶界偏析实现极端条件下可靠的隔热</w:t>
        </w:r>
      </w:hyperlink>
    </w:p>
    <w:p>
      <w:pPr>
        <w:spacing w:before="0" w:after="80"/>
      </w:pPr>
      <w:r>
        <w:rPr>
          <w:i/>
          <w:sz w:val="20"/>
        </w:rPr>
        <w:t>EN: Grain boundary segregation of ceramic aerogels for reliable thermal insulation at extreme conditions</w:t>
      </w:r>
    </w:p>
    <w:p>
      <w:pPr>
        <w:spacing w:before="0" w:after="120"/>
      </w:pPr>
      <w:r>
        <w:rPr>
          <w:b/>
        </w:rPr>
        <w:t xml:space="preserve">Source: </w:t>
      </w:r>
      <w:r>
        <w:t>Physical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极端条件下的隔热要求材料具有高热稳定性和隔热性能，以保证航空航天、军事和高温工业中关键系统的功能与安全。陶瓷气凝胶是目前最具吸引力的候选材料，但由于高温下的晶粒长大效应，其结构稳定性不足且隔热性能退化，可能导致灾难性失效。本文报道了Y6Zr1O11纤维气凝胶中一种不寻常的晶界偏析现象，即锆在氧化钇-氧化锆晶界处偏析以抑制晶界迁移，从而实现细晶强化。该气凝胶采用气流辅助离心纺丝方法制备，晶粒尺寸仅为172 nm，在50 mg cm−3的密度下，于1,000 °C时体积收缩率为−1 K−1，具有高热稳定性。这项工作不仅为陶瓷气凝胶的材料设计建立了一套晶界偏析考量，还推动了此类气凝胶在极端条件下可靠隔热的大规模、低成本实际应用。</w:t>
      </w:r>
    </w:p>
    <w:p>
      <w:pPr>
        <w:spacing w:before="0" w:after="200" w:lineRule="auto" w:line="276"/>
      </w:pPr>
      <w:r>
        <w:rPr>
          <w:b/>
        </w:rPr>
        <w:t xml:space="preserve">Abstract (EN): </w:t>
      </w:r>
      <w:r>
        <w:t>Thermal insulation under extreme conditions requires materials to have high thermal stability and insulating properties to guarantee the critical system functionality and safety in aerospace, military, and high-temperature industries. Ceramic aerogels are the most attractive candidate to date, but due to the grain growth effect at high temperatures, they still suffer from insufficient structural stability and degraded thermal insulation that can lead to catastrophic failures. Here, we report an unusual grain boundary segregation in Y6Zr1O11 fibrous aerogels with zirconium segregated at the yttria-zirconia grain boundary to inhibit boundary migration for fine-grain enhancement. The aerogel, fabricated by an airflow-assisted centrifugal spinning method, exhibits a grain size of only 172 nm and high thermal stability with volume shrinkage −1 K−1 at 1,000 °C under a density of 50 mg cm−3. This work not only establishes a set of grain boundary segregation considerations in material design of ceramic aerogels, but also promotes the large-scale and low-cost practical applications of such aerogels for reliable thermal insulation at extreme conditions.</w:t>
      </w:r>
    </w:p>
    <w:p>
      <w:pPr>
        <w:spacing w:before="120" w:after="120"/>
      </w:pPr>
      <w:r>
        <w:rPr>
          <w:sz w:val="18"/>
        </w:rPr>
        <w:t>——————————————————————————————————————————————————————————————————————</w:t>
      </w:r>
    </w:p>
    <w:p>
      <w:pPr>
        <w:spacing w:before="160" w:after="40" w:line="240" w:lineRule="auto"/>
      </w:pPr>
      <w:r>
        <w:rPr>
          <w:b/>
        </w:rPr>
        <w:t xml:space="preserve">[294] </w:t>
      </w:r>
      <w:hyperlink r:id="rId918">
        <w:r>
          <w:rPr>
            <w:color w:val="1155CC"/>
            <w:u w:val="single"/>
          </w:rPr>
          <w:t>膳食蛋白质调控胰岛素信号在餐后肝脏mTORC1调节中的作用</w:t>
        </w:r>
      </w:hyperlink>
    </w:p>
    <w:p>
      <w:pPr>
        <w:spacing w:before="0" w:after="80"/>
      </w:pPr>
      <w:r>
        <w:rPr>
          <w:i/>
          <w:sz w:val="20"/>
        </w:rPr>
        <w:t>EN: Dietary protein governs the role of insulin signaling in the postprandial regulation of hepatic mTORC1</w:t>
      </w:r>
    </w:p>
    <w:p>
      <w:pPr>
        <w:spacing w:before="0" w:after="120"/>
      </w:pPr>
      <w:r>
        <w:rPr>
          <w:b/>
        </w:rPr>
        <w:t xml:space="preserve">Source: </w:t>
      </w:r>
      <w:r>
        <w:t>Biological sciences : Nature Communications subject feeds</w:t>
      </w:r>
      <w:r>
        <w:t xml:space="preserve">    </w:t>
      </w:r>
      <w:r>
        <w:rPr>
          <w:b/>
        </w:rPr>
        <w:t xml:space="preserve">Pub date: </w:t>
      </w:r>
      <w:r>
        <w:t>2026-08-31 00:00:00+00:00</w:t>
      </w:r>
    </w:p>
    <w:p>
      <w:pPr>
        <w:spacing w:before="0" w:after="120"/>
      </w:pPr>
      <w:r>
        <w:rPr>
          <w:b/>
        </w:rPr>
        <w:t xml:space="preserve">Notes: </w:t>
      </w:r>
      <w:r>
        <w:t>abstract_source=nature_html</w:t>
      </w:r>
    </w:p>
    <w:p>
      <w:pPr>
        <w:spacing w:before="0" w:after="80" w:lineRule="auto" w:line="276"/>
      </w:pPr>
      <w:r>
        <w:rPr>
          <w:b/>
        </w:rPr>
        <w:t xml:space="preserve">摘要（ZH）: </w:t>
      </w:r>
      <w:r>
        <w:t>营养感应机制性雷帕霉素靶蛋白复合物1（mTORC1）信号通路控制细胞和机体的生长与代谢，其异常激活与包括代谢性疾病在内的人类疾病相关。细胞研究已确立了影响mTORC1激活的调控机制，但在机体和组织水平上控制mTORC1的生理信号尚不明确。mTORC1在代谢组织中受禁食和进食的动态调节，营养物质和胰岛素均被认为可在进食后激活mTORC1。本研究利用肝脏特异性基因小鼠模型证明，AKT介导的TSC2磷酸化是胰岛素诱导肝脏mTORC1的主要机制，但对进食引起的激活并非必需。此外，肝脏mTORC1的餐后激活需要膳食蛋白质，后者决定了该通路对胰岛素的响应性。与传统观念相反，尽管存在明显的胰岛素和葡萄糖稳态受损，饮食诱导的肥胖并未引起肝脏mTORC1信号升高，且阻断肝脏AKT-TSC-mTORC1信号并不影响这些代谢表型。研究还提供了支持胰高血糖素在禁食期间抑制肝脏mTORC1作用的证据。本研究揭示了调控肝脏mTORC1的生理信号层级。</w:t>
      </w:r>
    </w:p>
    <w:p>
      <w:pPr>
        <w:spacing w:before="0" w:after="200" w:lineRule="auto" w:line="276"/>
      </w:pPr>
      <w:r>
        <w:rPr>
          <w:b/>
        </w:rPr>
        <w:t xml:space="preserve">Abstract (EN): </w:t>
      </w:r>
      <w:r>
        <w:t>The nutrient-sensing mechanistic target of rapamycin complex 1 (mTORC1) signaling pathway controls cellular and organismal growth and metabolism, and aberrant activation is linked to human disease, including metabolic disease. Cellular studies have established regulatory mechanisms influencing mTORC1 activation, but the physiological signals that control mTORC1 at the organismal and tissue levels are less well-defined. mTORC1 is dynamically regulated by fasting and feeding in metabolic tissues, with both nutrients and insulin proposed to activate mTORC1 in response to feeding. Here, studies employing a liver-specific genetic mouse model demonstrate that AKT-mediated TSC2 phosphorylation is the predominant mechanism of hepatic mTORC1 induction by insulin but is dispensable for activation by feeding. Furthermore, postprandial activation of hepatic mTORC1 requires dietary protein, which dictates the insulin-responsiveness of the pathway. Contrary to dogma, hepatic mTORC1 signaling was not elevated in response to diet-induced obesity, despite overt impairments in insulin and glucose homeostasis, and blocking hepatic AKT-TSC-mTORC1 signaling did not affect these metabolic phenotypes. Evidence is also provided supporting a role for glucagon in hepatic mTORC1 suppression during fasting. This study reveals a hierarchy of physiological signals regulating hepatic mTORC1.</w:t>
      </w:r>
    </w:p>
    <w:p>
      <w:pPr>
        <w:spacing w:before="120" w:after="120"/>
      </w:pPr>
      <w:r>
        <w:rPr>
          <w:sz w:val="18"/>
        </w:rPr>
        <w:t>——————————————————————————————————————————————————————————————————————</w:t>
      </w:r>
    </w:p>
    <w:p>
      <w:pPr>
        <w:spacing w:before="160" w:after="40" w:line="240" w:lineRule="auto"/>
      </w:pPr>
      <w:r>
        <w:rPr>
          <w:b/>
        </w:rPr>
        <w:t xml:space="preserve">[295] </w:t>
      </w:r>
      <w:hyperlink r:id="rId919">
        <w:r>
          <w:rPr>
            <w:color w:val="1155CC"/>
            <w:u w:val="single"/>
          </w:rPr>
          <w:t>具有可调时间动力学的易失性忆阻器件用于事件感知</w:t>
        </w:r>
      </w:hyperlink>
    </w:p>
    <w:p>
      <w:pPr>
        <w:spacing w:before="0" w:after="80"/>
      </w:pPr>
      <w:r>
        <w:rPr>
          <w:i/>
          <w:sz w:val="20"/>
        </w:rPr>
        <w:t>EN: Volatile Memristive Devices With Tunable Temporal Dynamics For Event‐Based Sensing</w:t>
      </w:r>
    </w:p>
    <w:p>
      <w:pPr>
        <w:spacing w:before="0" w:after="120"/>
      </w:pPr>
      <w:r>
        <w:rPr>
          <w:b/>
        </w:rPr>
        <w:t xml:space="preserve">Source: </w:t>
      </w:r>
      <w:r>
        <w:t>Wiley: Advanced Materials: Table of Contents</w:t>
      </w:r>
      <w:r>
        <w:t xml:space="preserve">    </w:t>
      </w:r>
      <w:r>
        <w:rPr>
          <w:b/>
        </w:rPr>
        <w:t xml:space="preserve">Pub date: </w:t>
      </w:r>
      <w:r>
        <w:t>2026-08-31 03:37:46+00:00</w:t>
      </w:r>
      <w:r>
        <w:t xml:space="preserve">    </w:t>
      </w:r>
      <w:r>
        <w:rPr>
          <w:b/>
        </w:rPr>
        <w:t xml:space="preserve">DOI: </w:t>
      </w:r>
      <w:hyperlink r:id="rId920">
        <w:r>
          <w:rPr>
            <w:color w:val="1155CC"/>
            <w:u w:val="single"/>
          </w:rPr>
          <w:t>10.1002/adma.74813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可控时间动态的易失性忆阻器件能够适应多样化的时间编码任务，使其在处理异步感觉流的低功耗神经形态边缘应用中颇具吸引力。然而，大多数已报道的易失性忆阻器依赖于剧烈的细丝型开关，存在高变异性、操作不可靠以及需要限流和电铸步骤等问题。本工作提出了一种基于Pt/‐//Ta堆叠结构的面积依赖型易失性忆阻器件，表现出基于离子的易失性和与CMOS BEOL兼容的工艺流程。该器件兼具低变异性与免电铸、自限流、整流操作以及渐进的类模拟开关特性，实现了 的ON/OFF比。本文对控制电流输运和易失行为的机制进行了深入的实验和物理分析。通过利用该器件丰富的离子动态特性，其易失性可通过外加刺激和堆叠工程进行系统调节，产生的衰减时间常数从几十毫秒到数秒不等。包括耐久性和多级操作在内的可靠性研究证明可重复地访问不同的易失状态。最后，展示了将该器件与脉冲神经元模型和CMOS电路相结合的完整系统如何利用其可编程时间动态实现基于事件的视觉，且宽范围的衰减常数可支持多种感觉模态。</w:t>
      </w:r>
    </w:p>
    <w:p>
      <w:pPr>
        <w:spacing w:before="0" w:after="200" w:lineRule="auto" w:line="276"/>
      </w:pPr>
      <w:r>
        <w:rPr>
          <w:b/>
        </w:rPr>
        <w:t xml:space="preserve">Abstract (EN): </w:t>
      </w:r>
      <w:r>
        <w:t>Volatile memristive devices with controllable temporal dynamics enable adaptation to diverse temporal coding tasks, making them attractive for low‐power neuromorphic edge applications that process asynchronous sensory streams. However, most reported volatile memristors rely on abrupt filamentary switching, suffering from high variability, unreliable operation, and the need for current compliance and forming steps. In this work, an area‐dependent volatile memristive device based on a Pt/‐//Ta stack is presented, exhibiting ionic‐based volatility and a CMOS BEOL‐compatible process flow. The device combines low variability with forming‐free, self‐compliant, rectifying operation and gradual, analog‐like switching, achieving an ON/OFF ratio of . An in‐depth experimental and physical analysis of the mechanisms governing current transport and volatile behavior is provided. By exploiting the device's rich ionic dynamics, its volatility can be systematically tuned through applied stimulus and stack engineering, yielding decay time constants from tens of milliseconds to several seconds. A reliability study, including endurance and multilevel operation, demonstrates reproducible access to distinct volatile states. Finally, it is shown how a complete system, combining the device with spiking neuron models and CMOS circuitry, could exploit its programmable temporal dynamics for event‐based vision, with the wide range of decay constants supporting multiple sensory modalities.</w:t>
      </w:r>
    </w:p>
    <w:p>
      <w:pPr>
        <w:spacing w:before="120" w:after="120"/>
      </w:pPr>
      <w:r>
        <w:rPr>
          <w:sz w:val="18"/>
        </w:rPr>
        <w:t>——————————————————————————————————————————————————————————————————————</w:t>
      </w:r>
    </w:p>
    <w:p>
      <w:pPr>
        <w:spacing w:before="160" w:after="40" w:line="240" w:lineRule="auto"/>
      </w:pPr>
      <w:r>
        <w:rPr>
          <w:b/>
        </w:rPr>
        <w:t xml:space="preserve">[296] </w:t>
      </w:r>
      <w:hyperlink r:id="rId921">
        <w:r>
          <w:rPr>
            <w:color w:val="1155CC"/>
            <w:u w:val="single"/>
          </w:rPr>
          <w:t>离子凝胶纤维中的双网络结构用于增强电磁干扰屏蔽与力学性能</w:t>
        </w:r>
      </w:hyperlink>
    </w:p>
    <w:p>
      <w:pPr>
        <w:spacing w:before="0" w:after="80"/>
      </w:pPr>
      <w:r>
        <w:rPr>
          <w:i/>
          <w:sz w:val="20"/>
        </w:rPr>
        <w:t>EN: Dual‐Network Structure in Ionogel Fiber for Enhancing Electromagnetic Interference Shielding and Mechanical Properties</w:t>
      </w:r>
    </w:p>
    <w:p>
      <w:pPr>
        <w:spacing w:before="0" w:after="120"/>
      </w:pPr>
      <w:r>
        <w:rPr>
          <w:b/>
        </w:rPr>
        <w:t xml:space="preserve">Source: </w:t>
      </w:r>
      <w:r>
        <w:t>Wiley: Advanced Materials: Table of Contents</w:t>
      </w:r>
      <w:r>
        <w:t xml:space="preserve">    </w:t>
      </w:r>
      <w:r>
        <w:rPr>
          <w:b/>
        </w:rPr>
        <w:t xml:space="preserve">Pub date: </w:t>
      </w:r>
      <w:r>
        <w:t>2026-08-31 03:39:48+00:00</w:t>
      </w:r>
      <w:r>
        <w:t xml:space="preserve">    </w:t>
      </w:r>
      <w:r>
        <w:rPr>
          <w:b/>
        </w:rPr>
        <w:t xml:space="preserve">DOI: </w:t>
      </w:r>
      <w:hyperlink r:id="rId922">
        <w:r>
          <w:rPr>
            <w:color w:val="1155CC"/>
            <w:u w:val="single"/>
          </w:rPr>
          <w:t>10.1002/adma.74817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5G/6G通信网络等技术的快速发展，电磁波污染已严重影响人体健康。对兼具高性能电磁防护和优异力学性能的可穿戴材料的需求十分迫切，但仍缺乏合理的多功能化制备策略。在此，我们开发了一种双网络结构策略，通过可规模化的干法纺丝方法构建高性能离子凝胶纤维。在该方法中，半结晶羟丙基纤维素（HPC）与聚硫辛酸（PTA）通过氢键网络作为结构骨架；同时，MXene纳米片与离子液体[EMI][ES]构建互联的三维导电网络，赋予骨架基体功能特性。该离子凝胶纤维表现出优异的电磁干扰屏蔽效能（60.6 dB）、高强度（9.5 MPa）、卓越的伸长率（&gt;200%）、良好的自愈性和可回收性。值得注意的是，我们发现由该离子凝胶纤维编织的织物在≤10.0%的应变范围内电磁屏蔽性能最高提升7.5%。这种增强可归因于MXene纳米片在拉伸诱导下的取向，从而优化了离子凝胶内部的导电网络。这项工作为开发适用于静态和动态环境的下一代可穿戴电磁防护材料提供了一条有前景的途径。</w:t>
      </w:r>
    </w:p>
    <w:p>
      <w:pPr>
        <w:spacing w:before="0" w:after="200" w:lineRule="auto" w:line="276"/>
      </w:pPr>
      <w:r>
        <w:rPr>
          <w:b/>
        </w:rPr>
        <w:t xml:space="preserve">Abstract (EN): </w:t>
      </w:r>
      <w:r>
        <w:t>Electromagnetic wave pollution has seriously affected human body health owing to rapid technological development, such as 5G/6G communication networks. The demand for wearable materials with high‐performance electromagnetic protection and excellent mechanical properties is urgent, but still lacks reasonable preparing strategies to realize multifunctional features. Here, we develop a dual‐network structural strategy to construct a high‐performance ionogel fiber by using a scalable dry‐spinning method. In this approach, semi‐crystalline hydroxypropyl cellulose (HPC) combined with poly thioctic acid (PTA) serves as a structural backbone by hydrogen bonding network; simultaneously, MXene nanosheets and IL [EMI][ES] build an interconnected 3D conductive network, imparting functional properties to the backbone matrix. The ionogel fiber exhibits excellent EMI shielding effectiveness (60.6 dB), high strength (9.5 MPa), superior elongation (&amp;gt;200%), good self‐healing, and recyclability. Notably, we found that the electromagnetic shielding performance of the fabric woven from the ionogel fibers increases by up to 7.5% within a strain range of ≤10.0%. This enhancement can be due to a stretch‐induced orientation of the MXene nanosheets, which optimizes the internal conductive network of the ionogel. This work offers a promising route toward next‐generation, wearable electromagnetic protection materials adaptable to both static and dynamic environments.</w:t>
      </w:r>
    </w:p>
    <w:p>
      <w:pPr>
        <w:spacing w:before="120" w:after="120"/>
      </w:pPr>
      <w:r>
        <w:rPr>
          <w:sz w:val="18"/>
        </w:rPr>
        <w:t>——————————————————————————————————————————————————————————————————————</w:t>
      </w:r>
    </w:p>
    <w:p>
      <w:pPr>
        <w:spacing w:before="160" w:after="40" w:line="240" w:lineRule="auto"/>
      </w:pPr>
      <w:r>
        <w:rPr>
          <w:b/>
        </w:rPr>
        <w:t xml:space="preserve">[297] </w:t>
      </w:r>
      <w:hyperlink r:id="rId923">
        <w:r>
          <w:rPr>
            <w:color w:val="1155CC"/>
            <w:u w:val="single"/>
          </w:rPr>
          <w:t>更正：“基于模块化可定制CRISPR/Cas辅助纳米孔操作纽带（CANON）的精准分子传感”</w:t>
        </w:r>
      </w:hyperlink>
    </w:p>
    <w:p>
      <w:pPr>
        <w:spacing w:before="0" w:after="80"/>
      </w:pPr>
      <w:r>
        <w:rPr>
          <w:i/>
          <w:sz w:val="20"/>
        </w:rPr>
        <w:t>EN: Correction to “Accurate Molecular Sensing based on a Modular and Customizable CRISPR/Cas‐Assisted Nanopore Operational Nexus (CANON)”</w:t>
      </w:r>
    </w:p>
    <w:p>
      <w:pPr>
        <w:spacing w:before="0" w:after="120"/>
      </w:pPr>
      <w:r>
        <w:rPr>
          <w:b/>
        </w:rPr>
        <w:t xml:space="preserve">Source: </w:t>
      </w:r>
      <w:r>
        <w:t>Wiley: Angewandte Chemie International Edition: Table of Contents</w:t>
      </w:r>
      <w:r>
        <w:t xml:space="preserve">    </w:t>
      </w:r>
      <w:r>
        <w:rPr>
          <w:b/>
        </w:rPr>
        <w:t xml:space="preserve">Pub date: </w:t>
      </w:r>
      <w:r>
        <w:t>2026-08-31 03:46:48+00:00</w:t>
      </w:r>
      <w:r>
        <w:t xml:space="preserve">    </w:t>
      </w:r>
      <w:r>
        <w:rPr>
          <w:b/>
        </w:rPr>
        <w:t xml:space="preserve">DOI: </w:t>
      </w:r>
      <w:hyperlink r:id="rId924">
        <w:r>
          <w:rPr>
            <w:color w:val="1155CC"/>
            <w:u w:val="single"/>
          </w:rPr>
          <w:t>10.1002/anie.6219762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[298] </w:t>
      </w:r>
      <w:hyperlink r:id="rId925">
        <w:r>
          <w:rPr>
            <w:color w:val="1155CC"/>
            <w:u w:val="single"/>
          </w:rPr>
          <w:t>面向SICTERS活性拉曼探针的荧光试剂分子定制</w:t>
        </w:r>
      </w:hyperlink>
    </w:p>
    <w:p>
      <w:pPr>
        <w:spacing w:before="0" w:after="80"/>
      </w:pPr>
      <w:r>
        <w:rPr>
          <w:i/>
          <w:sz w:val="20"/>
        </w:rPr>
        <w:t>EN: Molecular Tailoring of Fluorescent Agents Toward SICTERS‐Active Raman Probes</w:t>
      </w:r>
    </w:p>
    <w:p>
      <w:pPr>
        <w:spacing w:before="0" w:after="120"/>
      </w:pPr>
      <w:r>
        <w:rPr>
          <w:b/>
        </w:rPr>
        <w:t xml:space="preserve">Source: </w:t>
      </w:r>
      <w:r>
        <w:t>Wiley: Angewandte Chemie International Edition: Table of Contents</w:t>
      </w:r>
      <w:r>
        <w:t xml:space="preserve">    </w:t>
      </w:r>
      <w:r>
        <w:rPr>
          <w:b/>
        </w:rPr>
        <w:t xml:space="preserve">Pub date: </w:t>
      </w:r>
      <w:r>
        <w:t>2026-08-31 03:50:48+00:00</w:t>
      </w:r>
      <w:r>
        <w:t xml:space="preserve">    </w:t>
      </w:r>
      <w:r>
        <w:rPr>
          <w:b/>
        </w:rPr>
        <w:t xml:space="preserve">DOI: </w:t>
      </w:r>
      <w:hyperlink r:id="rId926">
        <w:r>
          <w:rPr>
            <w:color w:val="1155CC"/>
            <w:u w:val="single"/>
          </w:rPr>
          <w:t>10.1002/anie.5300342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SICTERS机制的自堆积小分子已成为超灵敏体内拉曼成像的一个有前景的平台。然而，迄今为止报道的SICTERS活性分子数量有限，制约了其更广泛的应用。在此，我们基于两项基本发现报道了一种将传统荧光团转化为SICTERS探针的合理策略。其一是硫取代为硒能够抑制辐射跃迁以实现荧光淬灭，这不同于其在红移发射中的传统作用。其二是N‐烷基化能够调节吸收轮廓以实现拉曼增强，超越了其在改善分子溶解度方面的传统用途。机理研究验证了这些发现。因此，从代表性荧光团（HTS）出发合成了一种新型SICTERS活性分子（ATSe）。ATSe表现出显著的荧光淬灭（量子产率低至0.01%）和卓越的拉曼灵敏度（检出限为0.014 µg mL</w:t>
      </w:r>
      <w:r>
        <w:t xml:space="preserve"> </w:t>
      </w:r>
      <w:r>
        <w:t>−1</w:t>
      </w:r>
      <w:r>
        <w:t xml:space="preserve"> </w:t>
      </w:r>
      <w:r>
        <w:t>）。ATSe还表现出71.37%的卓越光热转换效率，这源于其加速的非辐射耗散。在原位结肠肿瘤模型中，ATSe实现了高效的拉曼成像引导光热治疗。这项工作引入了一种将传统荧光团转化为SICTERS探针的通用方法，为基于SICTERS的生物应用开辟了新途径。</w:t>
      </w:r>
    </w:p>
    <w:p>
      <w:pPr>
        <w:spacing w:before="0" w:after="200" w:lineRule="auto" w:line="276"/>
      </w:pPr>
      <w:r>
        <w:rPr>
          <w:b/>
        </w:rPr>
        <w:t xml:space="preserve">Abstract (EN): </w:t>
      </w:r>
      <w:r>
        <w:t>Self‐stacked small molecules relying on the SICTERS mechanism have emerged as a promising platform for ultrasensitive in vivo Raman imaging. However, only a limited number of SICTERS‑active molecules have been reported to date, constraining their broader applications. Herein, we reported a rational strategy to transform conventional fluorophores into SICTERS probes based on two fundamental findings. One is that sulfur‐to‐selenium substitution is capable of suppressing radiative decay for fluorescence quenching, distinct from its conventional role in red‐shifting emission. The other is that N‐alkylation enables tuning the absorption profile for Raman enhancement, beyond its traditional use in improving molecular solubility. Mechanistic studies validate these findings. Consequently, a novel SICTERS‐active molecule (ATSe) was synthesized from a representative fluorophore (HTS). ATSe exhibited pronounced fluorescence quenching (quantum yield as low as 0.01%) and superior Raman sensitivity (detection limit of 0.014 µg mL</w:t>
      </w:r>
      <w:r>
        <w:t xml:space="preserve"> </w:t>
      </w:r>
      <w:r>
        <w:t>−1</w:t>
      </w:r>
      <w:r>
        <w:t xml:space="preserve"> </w:t>
      </w:r>
      <w:r>
        <w:t>). ATSe also displayed an exceptional photothermal conversion efficiency of 71.37%, arising from its accelerated nonradiative dissipation. In an orthotopic colon tumor model, ATSe enabled highly effective Raman imaging‑guided photothermal therapy. This work introduces a general method to convert conventional fluorophores into SICTERS probes, opening new avenues for SICTERS‑based biological applications.</w:t>
      </w:r>
    </w:p>
    <w:p>
      <w:pPr>
        <w:spacing w:before="120" w:after="120"/>
      </w:pPr>
      <w:r>
        <w:rPr>
          <w:sz w:val="18"/>
        </w:rPr>
        <w:t>——————————————————————————————————————————————————————————————————————</w:t>
      </w:r>
    </w:p>
    <w:p>
      <w:pPr>
        <w:spacing w:before="160" w:after="40" w:line="240" w:lineRule="auto"/>
      </w:pPr>
      <w:r>
        <w:rPr>
          <w:b/>
        </w:rPr>
        <w:t xml:space="preserve">[299] </w:t>
      </w:r>
      <w:hyperlink r:id="rId927">
        <w:r>
          <w:rPr>
            <w:color w:val="1155CC"/>
            <w:u w:val="single"/>
          </w:rPr>
          <w:t>用于有害废物解毒与产电的甲醛-臭氧电池</w:t>
        </w:r>
      </w:hyperlink>
    </w:p>
    <w:p>
      <w:pPr>
        <w:spacing w:before="0" w:after="80"/>
      </w:pPr>
      <w:r>
        <w:rPr>
          <w:i/>
          <w:sz w:val="20"/>
        </w:rPr>
        <w:t>EN: Formaldehyde‐Ozone Battery for the Detoxification of Hazardous Wastes and Electricity Generation</w:t>
      </w:r>
    </w:p>
    <w:p>
      <w:pPr>
        <w:spacing w:before="0" w:after="120"/>
      </w:pPr>
      <w:r>
        <w:rPr>
          <w:b/>
        </w:rPr>
        <w:t xml:space="preserve">Source: </w:t>
      </w:r>
      <w:r>
        <w:t>Wiley: Angewandte Chemie International Edition: Table of Contents</w:t>
      </w:r>
      <w:r>
        <w:t xml:space="preserve">    </w:t>
      </w:r>
      <w:r>
        <w:rPr>
          <w:b/>
        </w:rPr>
        <w:t xml:space="preserve">Pub date: </w:t>
      </w:r>
      <w:r>
        <w:t>2026-08-31 04:57:34+00:00</w:t>
      </w:r>
      <w:r>
        <w:t xml:space="preserve">    </w:t>
      </w:r>
      <w:r>
        <w:rPr>
          <w:b/>
        </w:rPr>
        <w:t xml:space="preserve">DOI: </w:t>
      </w:r>
      <w:hyperlink r:id="rId928">
        <w:r>
          <w:rPr>
            <w:color w:val="1155CC"/>
            <w:u w:val="single"/>
          </w:rPr>
          <w:t>10.1002/anie.5881961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甲醛（HCHO）和臭氧（O</w:t>
      </w:r>
      <w:r>
        <w:rPr>
          <w:vertAlign w:val="subscript"/>
        </w:rPr>
        <w:t>3</w:t>
      </w:r>
      <w:r>
        <w:t>）作为两种普遍存在且难以去除的污染物，对全球生态安全和公共健康构成严重威胁。物理吸附和催化降解等传统去除策略往往存在效率低、二次CO</w:t>
      </w:r>
      <w:r>
        <w:rPr>
          <w:vertAlign w:val="subscript"/>
        </w:rPr>
        <w:t>2</w:t>
      </w:r>
      <w:r>
        <w:t>排放或高能耗等问题。本文报道了一种新型甲醛‐臭氧电池，通过将阳极HCHO氧化与阴极O</w:t>
      </w:r>
      <w:r>
        <w:rPr>
          <w:vertAlign w:val="subscript"/>
        </w:rPr>
        <w:t>3</w:t>
      </w:r>
      <w:r>
        <w:t>还原反应耦合，同时实现有害废弃物的高效解毒与电能产生。以氮掺杂碳和CuAg复合材料分别作为阴极和阳极催化剂，所制备的甲醛‐臭氧电池具有相当高的开路电压（OCV）1.80 V和较大的峰值功率密度44.3 mW cm</w:t>
      </w:r>
      <w:r>
        <w:t xml:space="preserve"> </w:t>
      </w:r>
      <w:r>
        <w:t>−2</w:t>
      </w:r>
      <w:r>
        <w:t xml:space="preserve"> </w:t>
      </w:r>
      <w:r>
        <w:t>。即使在模拟废液中，一个大规模甲醛‐臭氧电池（25 cm</w:t>
      </w:r>
      <w:r>
        <w:rPr>
          <w:vertAlign w:val="subscript"/>
        </w:rPr>
        <w:t>2</w:t>
      </w:r>
      <w:r>
        <w:t>）也能实现99.1%的HCHO转化率和99.97%的O</w:t>
      </w:r>
      <w:r>
        <w:rPr>
          <w:vertAlign w:val="subscript"/>
        </w:rPr>
        <w:t>3</w:t>
      </w:r>
      <w:r>
        <w:t>转化率。因此，这项工作为去除HCHO和O</w:t>
      </w:r>
      <w:r>
        <w:rPr>
          <w:vertAlign w:val="subscript"/>
        </w:rPr>
        <w:t>3</w:t>
      </w:r>
      <w:r>
        <w:t>提供了一种可持续且高效的策略。</w:t>
      </w:r>
    </w:p>
    <w:p>
      <w:pPr>
        <w:spacing w:before="0" w:after="200" w:lineRule="auto" w:line="276"/>
      </w:pPr>
      <w:r>
        <w:rPr>
          <w:b/>
        </w:rPr>
        <w:t xml:space="preserve">Abstract (EN): </w:t>
      </w:r>
      <w:r>
        <w:t>As two ubiquitous and recalcitrant pollutants, formaldehyde (HCHO) and ozone (O</w:t>
      </w:r>
      <w:r>
        <w:rPr>
          <w:vertAlign w:val="subscript"/>
        </w:rPr>
        <w:t>3</w:t>
      </w:r>
      <w:r>
        <w:t>) pose severe threats to global ecological security and public health. Conventional removal strategies such as physical adsorption and catalytic degradation often suffer from low efficiency, secondary CO</w:t>
      </w:r>
      <w:r>
        <w:rPr>
          <w:vertAlign w:val="subscript"/>
        </w:rPr>
        <w:t>2</w:t>
      </w:r>
      <w:r>
        <w:t>emission, or high energy consumption. Herein, we report a novel formaldehyde‐ozone battery by coupling anodic HCHO oxidation with cathodic O</w:t>
      </w:r>
      <w:r>
        <w:rPr>
          <w:vertAlign w:val="subscript"/>
        </w:rPr>
        <w:t>3</w:t>
      </w:r>
      <w:r>
        <w:t>reduction reactions, which simultaneously enables the efficient detoxification of hazardous wastes and electricity generation. With nitrogen‐doped carbon and CuAg composites as the cathodic and anodic catalysts, the as‐fabricated formaldehyde‐ozone battery delivers a considerably high open‐circuit voltage (OCV) of 1.80 V and a large peak power density of 44.3 mW cm</w:t>
      </w:r>
      <w:r>
        <w:t xml:space="preserve"> </w:t>
      </w:r>
      <w:r>
        <w:t>−2</w:t>
      </w:r>
      <w:r>
        <w:t xml:space="preserve"> </w:t>
      </w:r>
      <w:r>
        <w:t>. Even in simulated waste streams, a large‐scale formaldehyde‐ozone battery (25 cm</w:t>
      </w:r>
      <w:r>
        <w:rPr>
          <w:vertAlign w:val="subscript"/>
        </w:rPr>
        <w:t>2</w:t>
      </w:r>
      <w:r>
        <w:t>) achieves conversions of 99.1% HCHO and 99.97% O</w:t>
      </w:r>
      <w:r>
        <w:rPr>
          <w:vertAlign w:val="subscript"/>
        </w:rPr>
        <w:t>3</w:t>
      </w:r>
      <w:r>
        <w:t>. Therefore, this work provides a sustainable and efficient strategy for the removal of HCHO and O</w:t>
      </w:r>
      <w:r>
        <w:rPr>
          <w:vertAlign w:val="subscript"/>
        </w:rPr>
        <w:t>3</w:t>
      </w:r>
      <w:r>
        <w:t>.</w:t>
      </w:r>
    </w:p>
    <w:p>
      <w:pPr>
        <w:spacing w:before="120" w:after="120"/>
      </w:pPr>
      <w:r>
        <w:rPr>
          <w:sz w:val="18"/>
        </w:rPr>
        <w:t>——————————————————————————————————————————————————————————————————————</w:t>
      </w:r>
    </w:p>
    <w:p>
      <w:pPr>
        <w:spacing w:before="160" w:after="40" w:line="240" w:lineRule="auto"/>
      </w:pPr>
      <w:r>
        <w:rPr>
          <w:b/>
        </w:rPr>
        <w:t xml:space="preserve">[300] </w:t>
      </w:r>
      <w:hyperlink r:id="rId929">
        <w:r>
          <w:rPr>
            <w:color w:val="1155CC"/>
            <w:u w:val="single"/>
          </w:rPr>
          <w:t>单原子Pt催化剂上烃类催化氧化中超氧化物与过氧化物阴离子的温度依赖动力学</w:t>
        </w:r>
      </w:hyperlink>
    </w:p>
    <w:p>
      <w:pPr>
        <w:spacing w:before="0" w:after="80"/>
      </w:pPr>
      <w:r>
        <w:rPr>
          <w:i/>
          <w:sz w:val="20"/>
        </w:rPr>
        <w:t>EN: Temperature‐Dependent Dynamics of Superoxide and Peroxide Anions in Hydrocarbon Catalytic Oxidation Over Single‐Atom Pt Catalysts</w:t>
      </w:r>
    </w:p>
    <w:p>
      <w:pPr>
        <w:spacing w:before="0" w:after="120"/>
      </w:pPr>
      <w:r>
        <w:rPr>
          <w:b/>
        </w:rPr>
        <w:t xml:space="preserve">Source: </w:t>
      </w:r>
      <w:r>
        <w:t>Wiley: Angewandte Chemie International Edition: Table of Contents</w:t>
      </w:r>
      <w:r>
        <w:t xml:space="preserve">    </w:t>
      </w:r>
      <w:r>
        <w:rPr>
          <w:b/>
        </w:rPr>
        <w:t xml:space="preserve">Pub date: </w:t>
      </w:r>
      <w:r>
        <w:t>2026-08-31 04:58:20+00:00</w:t>
      </w:r>
      <w:r>
        <w:t xml:space="preserve">    </w:t>
      </w:r>
      <w:r>
        <w:rPr>
          <w:b/>
        </w:rPr>
        <w:t xml:space="preserve">DOI: </w:t>
      </w:r>
      <w:hyperlink r:id="rId930">
        <w:r>
          <w:rPr>
            <w:color w:val="1155CC"/>
            <w:u w:val="single"/>
          </w:rPr>
          <w:t>10.1002/anie.2276045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理解活性氧物种（ROS）的性质对于高效氧化催化剂的设计至关重要，但其在氧化反应过程中的动力学仍不清楚。本文利用CeZrO</w:t>
      </w:r>
      <w:r>
        <w:rPr>
          <w:vertAlign w:val="subscript"/>
        </w:rPr>
        <w:t>2</w:t>
      </w:r>
      <w:r>
        <w:t>负载的单原子Pt催化剂（Pt</w:t>
      </w:r>
      <w:r>
        <w:t xml:space="preserve"> </w:t>
      </w:r>
      <w:r>
        <w:t>SA</w:t>
      </w:r>
      <w:r>
        <w:t xml:space="preserve"> </w:t>
      </w:r>
      <w:r>
        <w:t>/CeZrO</w:t>
      </w:r>
      <w:r>
        <w:rPr>
          <w:vertAlign w:val="subscript"/>
        </w:rPr>
        <w:t>2</w:t>
      </w:r>
      <w:r>
        <w:t>），研究了超氧（O</w:t>
      </w:r>
      <w:r>
        <w:rPr>
          <w:vertAlign w:val="subscript"/>
        </w:rPr>
        <w:t>2</w:t>
      </w:r>
      <w:r>
        <w:t>•−</w:t>
      </w:r>
      <w:r>
        <w:t>）和过氧（O</w:t>
      </w:r>
      <w:r>
        <w:rPr>
          <w:vertAlign w:val="subscript"/>
        </w:rPr>
        <w:t>2</w:t>
      </w:r>
      <w:r>
        <w:t>2−</w:t>
      </w:r>
      <w:r>
        <w:t>）阴离子的温度依赖行为，以及多种ROS如何参与混合烃类的催化氧化。我们表明，具有未配对电子和Pt‐O‐O结构的O</w:t>
      </w:r>
      <w:r>
        <w:rPr>
          <w:vertAlign w:val="subscript"/>
        </w:rPr>
        <w:t>2</w:t>
      </w:r>
      <w:r>
        <w:t>•−</w:t>
      </w:r>
      <w:r>
        <w:t>物种主导了较低温度下的表面反应性，这对200°C以下甲苯开环至关重要。在较高温度（200°C–450°C）下，O</w:t>
      </w:r>
      <w:r>
        <w:rPr>
          <w:vertAlign w:val="subscript"/>
        </w:rPr>
        <w:t>2</w:t>
      </w:r>
      <w:r>
        <w:t>•−</w:t>
      </w:r>
      <w:r>
        <w:t>发生脱附，而以Pt‐O‐O@Vo形式锚定于氧空位（Vo）的O</w:t>
      </w:r>
      <w:r>
        <w:rPr>
          <w:vertAlign w:val="subscript"/>
        </w:rPr>
        <w:t>2</w:t>
      </w:r>
      <w:r>
        <w:t>2−</w:t>
      </w:r>
      <w:r>
        <w:t>阴离子则表现出高稳定性和活性，促进丙烷的初始活化。通过O</w:t>
      </w:r>
      <w:r>
        <w:rPr>
          <w:vertAlign w:val="subscript"/>
        </w:rPr>
        <w:t>2</w:t>
      </w:r>
      <w:r>
        <w:t>•−</w:t>
      </w:r>
      <w:r>
        <w:t>与O</w:t>
      </w:r>
      <w:r>
        <w:rPr>
          <w:vertAlign w:val="subscript"/>
        </w:rPr>
        <w:t>2</w:t>
      </w:r>
      <w:r>
        <w:t>2−</w:t>
      </w:r>
      <w:r>
        <w:t>物种的“接力”协作，Pt</w:t>
      </w:r>
      <w:r>
        <w:t xml:space="preserve"> </w:t>
      </w:r>
      <w:r>
        <w:t>SA</w:t>
      </w:r>
      <w:r>
        <w:t xml:space="preserve"> </w:t>
      </w:r>
      <w:r>
        <w:t>/CeZrO</w:t>
      </w:r>
      <w:r>
        <w:rPr>
          <w:vertAlign w:val="subscript"/>
        </w:rPr>
        <w:t>2</w:t>
      </w:r>
      <w:r>
        <w:t>（Pt负载</w:t>
      </w:r>
    </w:p>
    <w:p>
      <w:pPr>
        <w:spacing w:before="0" w:after="200" w:lineRule="auto" w:line="276"/>
      </w:pPr>
      <w:r>
        <w:rPr>
          <w:b/>
        </w:rPr>
        <w:t xml:space="preserve">Abstract (EN): </w:t>
      </w:r>
      <w:r>
        <w:t>Understanding the properties of reactive oxygen species (ROS) is crucial for efficient oxidation catalyst design, yet their dynamics during oxidative reactions are still unclear. Herein, using a CeZrO</w:t>
      </w:r>
      <w:r>
        <w:rPr>
          <w:vertAlign w:val="subscript"/>
        </w:rPr>
        <w:t>2</w:t>
      </w:r>
      <w:r>
        <w:t>‐supported single‐atom Pt catalyst (Pt</w:t>
      </w:r>
      <w:r>
        <w:t xml:space="preserve"> </w:t>
      </w:r>
      <w:r>
        <w:t>SA</w:t>
      </w:r>
      <w:r>
        <w:t xml:space="preserve"> </w:t>
      </w:r>
      <w:r>
        <w:t>/CeZrO</w:t>
      </w:r>
      <w:r>
        <w:rPr>
          <w:vertAlign w:val="subscript"/>
        </w:rPr>
        <w:t>2</w:t>
      </w:r>
      <w:r>
        <w:t>), we studied temperature‐dependent behaviors of superoxide (O</w:t>
      </w:r>
      <w:r>
        <w:rPr>
          <w:vertAlign w:val="subscript"/>
        </w:rPr>
        <w:t>2</w:t>
      </w:r>
      <w:r>
        <w:t>•−</w:t>
      </w:r>
      <w:r>
        <w:t>) and peroxide (O</w:t>
      </w:r>
      <w:r>
        <w:rPr>
          <w:vertAlign w:val="subscript"/>
        </w:rPr>
        <w:t>2</w:t>
      </w:r>
      <w:r>
        <w:t>2−</w:t>
      </w:r>
      <w:r>
        <w:t>) anions and how multiple ROS are involved in the catalytic oxidation of mixed hydrocarbons. We show that O</w:t>
      </w:r>
      <w:r>
        <w:rPr>
          <w:vertAlign w:val="subscript"/>
        </w:rPr>
        <w:t>2</w:t>
      </w:r>
      <w:r>
        <w:t>•−</w:t>
      </w:r>
      <w:r>
        <w:t>species, having an unpaired electron and a Pt‐O‐O structure, accounts for surface reactivity at lower temperatures, which is critical to toluene ring‐opening below 200°C. At higher temperatures (200°C–450°C), O</w:t>
      </w:r>
      <w:r>
        <w:rPr>
          <w:vertAlign w:val="subscript"/>
        </w:rPr>
        <w:t>2</w:t>
      </w:r>
      <w:r>
        <w:t>•−</w:t>
      </w:r>
      <w:r>
        <w:t>desorbs, while the O</w:t>
      </w:r>
      <w:r>
        <w:rPr>
          <w:vertAlign w:val="subscript"/>
        </w:rPr>
        <w:t>2</w:t>
      </w:r>
      <w:r>
        <w:t>2−</w:t>
      </w:r>
      <w:r>
        <w:t>anion, anchored by an oxygen vacancy (Vo) in the form of Pt‐O‐O@Vo, exhibits high stability and activity, promoting initial propane activation. Through the “relay” cooperation of O</w:t>
      </w:r>
      <w:r>
        <w:rPr>
          <w:vertAlign w:val="subscript"/>
        </w:rPr>
        <w:t>2</w:t>
      </w:r>
      <w:r>
        <w:t>•−</w:t>
      </w:r>
      <w:r>
        <w:t>and O</w:t>
      </w:r>
      <w:r>
        <w:rPr>
          <w:vertAlign w:val="subscript"/>
        </w:rPr>
        <w:t>2</w:t>
      </w:r>
      <w:r>
        <w:t>2−</w:t>
      </w:r>
      <w:r>
        <w:t>species, the Pt</w:t>
      </w:r>
      <w:r>
        <w:t xml:space="preserve"> </w:t>
      </w:r>
      <w:r>
        <w:t>SA</w:t>
      </w:r>
      <w:r>
        <w:t xml:space="preserve"> </w:t>
      </w:r>
      <w:r>
        <w:t>/CeZrO</w:t>
      </w:r>
      <w:r>
        <w:rPr>
          <w:vertAlign w:val="subscript"/>
        </w:rPr>
        <w:t>2</w:t>
      </w:r>
      <w:r>
        <w:t>(Pt loading of 0.4 g</w:t>
      </w:r>
      <w:r>
        <w:t xml:space="preserve"> </w:t>
      </w:r>
      <w:r>
        <w:t>Pt</w:t>
      </w:r>
      <w:r>
        <w:t xml:space="preserve"> </w:t>
      </w:r>
      <w:r>
        <w:t>/L) achieves complete removal of mixed toluene and propane at 450°C, 150°C lower than on a commercial high‐Pt loading Pt</w:t>
      </w:r>
      <w:r>
        <w:t xml:space="preserve"> </w:t>
      </w:r>
      <w:r>
        <w:t>NP</w:t>
      </w:r>
      <w:r>
        <w:t xml:space="preserve"> </w:t>
      </w:r>
      <w:r>
        <w:t>/CeZrO</w:t>
      </w:r>
      <w:r>
        <w:rPr>
          <w:vertAlign w:val="subscript"/>
        </w:rPr>
        <w:t>2</w:t>
      </w:r>
      <w:r>
        <w:t>catalyst (0.9 gPt/L). Our study advances the understanding of the dynamics and synergism of multiple ROS in mixed hydrocarbon oxidation process and paves the way for the development of next‐generation catalysts suited for a broad operational temperature window.</w:t>
      </w:r>
    </w:p>
    <w:p>
      <w:pPr>
        <w:spacing w:before="120" w:after="120"/>
      </w:pPr>
      <w:r>
        <w:rPr>
          <w:sz w:val="18"/>
        </w:rPr>
        <w:t>——————————————————————————————————————————————————————————————————————</w:t>
      </w:r>
    </w:p>
    <w:p>
      <w:pPr>
        <w:spacing w:before="160" w:after="40" w:line="240" w:lineRule="auto"/>
      </w:pPr>
      <w:r>
        <w:rPr>
          <w:b/>
        </w:rPr>
        <w:t xml:space="preserve">[301] </w:t>
      </w:r>
      <w:hyperlink r:id="rId931">
        <w:r>
          <w:rPr>
            <w:color w:val="1155CC"/>
            <w:u w:val="single"/>
          </w:rPr>
          <w:t>揭示CTAB调控Pd单原子催化剂中的电极–电解质界面协同效应以实现高效H2O2电合成</w:t>
        </w:r>
      </w:hyperlink>
    </w:p>
    <w:p>
      <w:pPr>
        <w:spacing w:before="0" w:after="80"/>
      </w:pPr>
      <w:r>
        <w:rPr>
          <w:i/>
          <w:sz w:val="20"/>
        </w:rPr>
        <w:t>EN: Unveiling Electrode–Electrolyte Interfacial Synergy in CTAB‐Modulated Pd Single‐Atom Catalysts for Efficient H2O2 Electrosynthesis</w:t>
      </w:r>
    </w:p>
    <w:p>
      <w:pPr>
        <w:spacing w:before="0" w:after="120"/>
      </w:pPr>
      <w:r>
        <w:rPr>
          <w:b/>
        </w:rPr>
        <w:t xml:space="preserve">Source: </w:t>
      </w:r>
      <w:r>
        <w:t>Wiley: Angewandte Chemie International Edition: Table of Contents</w:t>
      </w:r>
      <w:r>
        <w:t xml:space="preserve">    </w:t>
      </w:r>
      <w:r>
        <w:rPr>
          <w:b/>
        </w:rPr>
        <w:t xml:space="preserve">Pub date: </w:t>
      </w:r>
      <w:r>
        <w:t>2026-08-31 04:59:38+00:00</w:t>
      </w:r>
      <w:r>
        <w:t xml:space="preserve">    </w:t>
      </w:r>
      <w:r>
        <w:rPr>
          <w:b/>
        </w:rPr>
        <w:t xml:space="preserve">DOI: </w:t>
      </w:r>
      <w:hyperlink r:id="rId932">
        <w:r>
          <w:rPr>
            <w:color w:val="1155CC"/>
            <w:u w:val="single"/>
          </w:rPr>
          <w:t>10.1002/anie.2707273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面向两电子氧还原的高活性单原子催化剂（SACs）的设计主要依赖调控活性位点对*OOH中间体的吸附能，而催化剂–电解质界面处的质子活性这一关键因素却未受到足够重视。本文采用电极–电解质协同策略，通过构建Pd/CeO</w:t>
      </w:r>
      <w:r>
        <w:rPr>
          <w:vertAlign w:val="subscript"/>
        </w:rPr>
        <w:t>2</w:t>
      </w:r>
      <w:r>
        <w:t>‐MXene异质结构调控Pd单原子位点的电子结构，并利用十六烷基三甲基溴化铵（CTAB）添加剂调控氢键强度。X射线吸收谱（XAS）和密度泛函理论（DFT）计算表明，真正的活性位点是经由Pd‐O‐Ce键合锚定的Pd单原子位点，其显著降低了关键反应步骤（H</w:t>
      </w:r>
      <w:r>
        <w:rPr>
          <w:vertAlign w:val="subscript"/>
        </w:rPr>
        <w:t>2</w:t>
      </w:r>
      <w:r>
        <w:t>O→*OOH→H</w:t>
      </w:r>
      <w:r>
        <w:rPr>
          <w:vertAlign w:val="subscript"/>
        </w:rPr>
        <w:t>2</w:t>
      </w:r>
      <w:r>
        <w:t>O</w:t>
      </w:r>
      <w:r>
        <w:rPr>
          <w:vertAlign w:val="subscript"/>
        </w:rPr>
        <w:t>2</w:t>
      </w:r>
      <w:r>
        <w:t>）的自由能。原位衰减全反射表面增强红外吸收光谱（ATR‐SEIRAS）进一步证实，吸附在反应界面的CTAB可增强界面水分子的氢键强度，减少界面*H物种的供给，从而有效抑制H</w:t>
      </w:r>
      <w:r>
        <w:rPr>
          <w:vertAlign w:val="subscript"/>
        </w:rPr>
        <w:t>2</w:t>
      </w:r>
      <w:r>
        <w:t>O</w:t>
      </w:r>
      <w:r>
        <w:rPr>
          <w:vertAlign w:val="subscript"/>
        </w:rPr>
        <w:t>2</w:t>
      </w:r>
      <w:r>
        <w:t>分解。因此，Pd/CeO</w:t>
      </w:r>
      <w:r>
        <w:rPr>
          <w:vertAlign w:val="subscript"/>
        </w:rPr>
        <w:t>2</w:t>
      </w:r>
      <w:r>
        <w:t>‐MXene+CTAB体系实现了低至2.02的电子转移数，并且</w:t>
      </w:r>
    </w:p>
    <w:p>
      <w:pPr>
        <w:spacing w:before="0" w:after="200" w:lineRule="auto" w:line="276"/>
      </w:pPr>
      <w:r>
        <w:rPr>
          <w:b/>
        </w:rPr>
        <w:t xml:space="preserve">Abstract (EN): </w:t>
      </w:r>
      <w:r>
        <w:t>The design of high‐activity single‐atom catalysts (SACs) toward two‐electron oxygen reduction is dominated by regulating the adsorption energy of *OOH intermediates at active sites, whereas the critical factor of proton activity at the catalyst–electrolyte interface has received insufficient attention. Herein, an electrode–electrolyte synergistic strategy was employed to modulate the electronic structure of Pd single‐atom sites via the construction of a Pd/CeO</w:t>
      </w:r>
      <w:r>
        <w:rPr>
          <w:vertAlign w:val="subscript"/>
        </w:rPr>
        <w:t>2</w:t>
      </w:r>
      <w:r>
        <w:t>‐MXene heterostructure and hydrogen bond strength using cetyltrimethylammonium bromide (CTAB) additive. X‐ray absorption spectroscopy (XAS) and density functional theory (DFT) calculations revealed that the real active sites are Pd single‐atom sites anchored via Pd‐O‐Ce bonding, which significantly reduces the free energies of the key reaction steps (H</w:t>
      </w:r>
      <w:r>
        <w:rPr>
          <w:vertAlign w:val="subscript"/>
        </w:rPr>
        <w:t>2</w:t>
      </w:r>
      <w:r>
        <w:t>O→*OOH→H</w:t>
      </w:r>
      <w:r>
        <w:rPr>
          <w:vertAlign w:val="subscript"/>
        </w:rPr>
        <w:t>2</w:t>
      </w:r>
      <w:r>
        <w:t>O</w:t>
      </w:r>
      <w:r>
        <w:rPr>
          <w:vertAlign w:val="subscript"/>
        </w:rPr>
        <w:t>2</w:t>
      </w:r>
      <w:r>
        <w:t>). In situ attenuated total reflection surface‐enhanced infrared absorption spectroscopy (ATR‐SEIRAS) further verified that CTAB adsorbed at the reaction interface can enhance the hydrogen bond strength of interfacial water molecules, reduce the supply of interfacial *H species, and thereby effectively suppress H</w:t>
      </w:r>
      <w:r>
        <w:rPr>
          <w:vertAlign w:val="subscript"/>
        </w:rPr>
        <w:t>2</w:t>
      </w:r>
      <w:r>
        <w:t>O</w:t>
      </w:r>
      <w:r>
        <w:rPr>
          <w:vertAlign w:val="subscript"/>
        </w:rPr>
        <w:t>2</w:t>
      </w:r>
      <w:r>
        <w:t>decomposition. As a result, the Pd/CeO</w:t>
      </w:r>
      <w:r>
        <w:rPr>
          <w:vertAlign w:val="subscript"/>
        </w:rPr>
        <w:t>2</w:t>
      </w:r>
      <w:r>
        <w:t>‐MXene+CTAB system achieves a low electron transfer number of 2.02 and a high H</w:t>
      </w:r>
      <w:r>
        <w:rPr>
          <w:vertAlign w:val="subscript"/>
        </w:rPr>
        <w:t>2</w:t>
      </w:r>
      <w:r>
        <w:t>O</w:t>
      </w:r>
      <w:r>
        <w:rPr>
          <w:vertAlign w:val="subscript"/>
        </w:rPr>
        <w:t>2</w:t>
      </w:r>
      <w:r>
        <w:t>selectivity of 98.8% at 0.5 V. This study provides a novel insight into the rational design of proton‐coupled electrocatalysts through the integration of interfacial hydrogen bond engineering and single‐atom catalysts.</w:t>
      </w:r>
    </w:p>
    <w:p>
      <w:pPr>
        <w:spacing w:before="120" w:after="120"/>
      </w:pPr>
      <w:r>
        <w:rPr>
          <w:sz w:val="18"/>
        </w:rPr>
        <w:t>——————————————————————————————————————————————————————————————————————</w:t>
      </w:r>
    </w:p>
    <w:p>
      <w:pPr>
        <w:spacing w:before="160" w:after="40" w:line="240" w:lineRule="auto"/>
      </w:pPr>
      <w:r>
        <w:rPr>
          <w:b/>
        </w:rPr>
        <w:t xml:space="preserve">[302] </w:t>
      </w:r>
      <w:hyperlink r:id="rId933">
        <w:r>
          <w:rPr>
            <w:color w:val="1155CC"/>
            <w:u w:val="single"/>
          </w:rPr>
          <w:t>一种可超声激活的前分子胶用于时空可控的靶向蛋白降解</w:t>
        </w:r>
      </w:hyperlink>
    </w:p>
    <w:p>
      <w:pPr>
        <w:spacing w:before="0" w:after="80"/>
      </w:pPr>
      <w:r>
        <w:rPr>
          <w:i/>
          <w:sz w:val="20"/>
        </w:rPr>
        <w:t>EN: A Sonochemically Activatable Pro‐Molecular Glue for Spatiotemporally Controlled Targeted Protein Degradation</w:t>
      </w:r>
    </w:p>
    <w:p>
      <w:pPr>
        <w:spacing w:before="0" w:after="120"/>
      </w:pPr>
      <w:r>
        <w:rPr>
          <w:b/>
        </w:rPr>
        <w:t xml:space="preserve">Source: </w:t>
      </w:r>
      <w:r>
        <w:t>Wiley: Angewandte Chemie International Edition: Table of Contents</w:t>
      </w:r>
      <w:r>
        <w:t xml:space="preserve">    </w:t>
      </w:r>
      <w:r>
        <w:rPr>
          <w:b/>
        </w:rPr>
        <w:t xml:space="preserve">Pub date: </w:t>
      </w:r>
      <w:r>
        <w:t>2026-08-31 05:02:06+00:00</w:t>
      </w:r>
      <w:r>
        <w:t xml:space="preserve">    </w:t>
      </w:r>
      <w:r>
        <w:rPr>
          <w:b/>
        </w:rPr>
        <w:t xml:space="preserve">DOI: </w:t>
      </w:r>
      <w:hyperlink r:id="rId934">
        <w:r>
          <w:rPr>
            <w:color w:val="1155CC"/>
            <w:u w:val="single"/>
          </w:rPr>
          <w:t>10.1002/anie.7024563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分子胶为靶向“不可成药”蛋白提供了强有力的范式，但其临床转化常受到靶点在位、肿瘤脱靶毒性的阻碍。由于分子胶结构紧凑且缺乏可修饰位点，开发可激活的分子胶策略仍然是一项艰巨挑战。本文报道了一种可在时空上实现可控靶向蛋白降解的超声化学可激活前体分子胶策略。通过识别作为新底物募集关键支点的关键苯胺基团为最佳笼化位点，我们合理设计了带有单线态氧（</w:t>
      </w:r>
      <w:r>
        <w:rPr>
          <w:vertAlign w:val="subscript"/>
        </w:rPr>
        <w:t>1</w:t>
      </w:r>
      <w:r>
        <w:t>O</w:t>
      </w:r>
      <w:r>
        <w:rPr>
          <w:vertAlign w:val="subscript"/>
        </w:rPr>
        <w:t>2</w:t>
      </w:r>
      <w:r>
        <w:t>）可切割自牺牲连接子的前体来那度胺（PL）。该前药与半导体聚合物（SP）声敏剂共组装以构建可激活的纳米平台。在超声辐照下，原位生成的</w:t>
      </w:r>
      <w:r>
        <w:rPr>
          <w:vertAlign w:val="subscript"/>
        </w:rPr>
        <w:t>1</w:t>
      </w:r>
      <w:r>
        <w:t>O</w:t>
      </w:r>
      <w:r>
        <w:rPr>
          <w:vertAlign w:val="subscript"/>
        </w:rPr>
        <w:t>2</w:t>
      </w:r>
      <w:r>
        <w:t>作为精确的化学开关，触发连接子的氧化裂解，从而在肿瘤微环境中解除分子胶的笼化。这种“关‐开”能力通过将声动力应激与恢复的IKZF1/3降解相协同，协调出强大的抗肿瘤响应。独特的是，该策略将药理活性严格限制于肿瘤部位，从而在拓宽治疗窗口的同时引发稳健的治疗效果。这项工作确立了一种可推广的</w:t>
      </w:r>
    </w:p>
    <w:p>
      <w:pPr>
        <w:spacing w:before="0" w:after="200" w:lineRule="auto" w:line="276"/>
      </w:pPr>
      <w:r>
        <w:rPr>
          <w:b/>
        </w:rPr>
        <w:t xml:space="preserve">Abstract (EN): </w:t>
      </w:r>
      <w:r>
        <w:t>Molecular glues offer a powerful paradigm for targeting undruggable proteins, yet their clinical translation is frequently impeded by on‐target, off‐tumor toxicities. Developing activatable strategies for molecular glues remains a formidable challenge due to their compact, featureless scaffolds that resist chemical modification. Herein, we report a sonochemically activatable pro‐molecular glue strategy for spatiotemporally controlled targeted protein degradation. By identifying the critical aniline group, a structural linchpin for neosubstrate recruitment, as the optimal caging site, we rationally designed a pro‐lenalidomide (PL) equipped with a singlet oxygen (</w:t>
      </w:r>
      <w:r>
        <w:rPr>
          <w:vertAlign w:val="subscript"/>
        </w:rPr>
        <w:t>1</w:t>
      </w:r>
      <w:r>
        <w:t>O</w:t>
      </w:r>
      <w:r>
        <w:rPr>
          <w:vertAlign w:val="subscript"/>
        </w:rPr>
        <w:t>2</w:t>
      </w:r>
      <w:r>
        <w:t>)‐cleavable self‐immolative linker. This prodrug is co‐assembled with a semiconducting polymer (SP) sonosensitizer to construct an activatable nanoplatform. Upon ultrasound irradiation, the in situ‐generated</w:t>
      </w:r>
      <w:r>
        <w:rPr>
          <w:vertAlign w:val="subscript"/>
        </w:rPr>
        <w:t>1</w:t>
      </w:r>
      <w:r>
        <w:t>O</w:t>
      </w:r>
      <w:r>
        <w:rPr>
          <w:vertAlign w:val="subscript"/>
        </w:rPr>
        <w:t>2</w:t>
      </w:r>
      <w:r>
        <w:t>functions as a precise chemical switch, triggering the oxidative cleavage of the linker to uncage the molecular glue within the tumor microenvironment. This “off‐to‐on” capability orchestrates a potent antitumor response by synergizing sonodynamic stress with reinstated IKZF1/3 degradation. Uniquely, this strategy confines pharmacological activity strictly to the tumor site, thereby eliciting robust therapeutic efficacy while broadening the therapeutic window. This work establishes a generalizable chemical toolkit for designing activatable molecular glues, paving the way for safer precision cancer therapies.</w:t>
      </w:r>
    </w:p>
    <w:p>
      <w:pPr>
        <w:spacing w:before="120" w:after="120"/>
      </w:pPr>
      <w:r>
        <w:rPr>
          <w:sz w:val="18"/>
        </w:rPr>
        <w:t>——————————————————————————————————————————————————————————————————————</w:t>
      </w:r>
    </w:p>
    <w:p>
      <w:pPr>
        <w:spacing w:before="160" w:after="40" w:line="240" w:lineRule="auto"/>
      </w:pPr>
      <w:r>
        <w:rPr>
          <w:b/>
        </w:rPr>
        <w:t xml:space="preserve">[303] </w:t>
      </w:r>
      <w:hyperlink r:id="rId935">
        <w:r>
          <w:rPr>
            <w:color w:val="1155CC"/>
            <w:u w:val="single"/>
          </w:rPr>
          <w:t>超越窄带发射的弯曲B,N掺杂纳米石墨烯</w:t>
        </w:r>
      </w:hyperlink>
    </w:p>
    <w:p>
      <w:pPr>
        <w:spacing w:before="0" w:after="80"/>
      </w:pPr>
      <w:r>
        <w:rPr>
          <w:i/>
          <w:sz w:val="20"/>
        </w:rPr>
        <w:t>EN: Curved B,N‐Doped Nanographene Beyond Narrowband Emission</w:t>
      </w:r>
    </w:p>
    <w:p>
      <w:pPr>
        <w:spacing w:before="0" w:after="120"/>
      </w:pPr>
      <w:r>
        <w:rPr>
          <w:b/>
        </w:rPr>
        <w:t xml:space="preserve">Source: </w:t>
      </w:r>
      <w:r>
        <w:t>Wiley: Angewandte Chemie International Edition: Table of Contents</w:t>
      </w:r>
      <w:r>
        <w:t xml:space="preserve">    </w:t>
      </w:r>
      <w:r>
        <w:rPr>
          <w:b/>
        </w:rPr>
        <w:t xml:space="preserve">Pub date: </w:t>
      </w:r>
      <w:r>
        <w:t>2026-08-31 05:02:49+00:00</w:t>
      </w:r>
      <w:r>
        <w:t xml:space="preserve">    </w:t>
      </w:r>
      <w:r>
        <w:rPr>
          <w:b/>
        </w:rPr>
        <w:t xml:space="preserve">DOI: </w:t>
      </w:r>
      <w:hyperlink r:id="rId936">
        <w:r>
          <w:rPr>
            <w:color w:val="1155CC"/>
            <w:u w:val="single"/>
          </w:rPr>
          <w:t>10.1002/anie.8498677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固有弯曲的π骨架对发光材料颇具吸引力,因为其非平面几何结构可以调节激发态耦合,并创造平面稠环体系无法实现的分子界面。然而,这类体系的发展常受限于增强的激发态弛豫和低效的三线态激子利用。本文报道了一种构象锁定的、嵌入五个硼原子的鞍形B,N掺杂纳米石墨烯PB‐U。其刚性骨架和多重共振电子结构抑制了结构重组,而其鞍形骨架促进了自旋‐轨道耦合并有利于反向系间窜越。因此,PB‐U在甲苯中表现出绿光发射,半峰全宽为17 nm,光致发光量子产率为98%,并具有高效的热激活延迟荧光(TADF),反向系间窜越速率为3.6 × 10^6 s^−1。相应的非敏化OLED器件实现了35.3%的最大外量子效率(EQE),且效率滚降显著降低,即使在10 000 cd m^−2下仍保持26.6%的EQE。除了高效的窄带发射外,PB‐U还通过其凹形π表面与C60表现出可观的亲和力,这一点已被其共晶结构所证实。这些发现表明,构象锁定是同时利用光物理性质和界面性质的有效策略。</w:t>
      </w:r>
    </w:p>
    <w:p>
      <w:pPr>
        <w:spacing w:before="0" w:after="200" w:lineRule="auto" w:line="276"/>
      </w:pPr>
      <w:r>
        <w:rPr>
          <w:b/>
        </w:rPr>
        <w:t xml:space="preserve">Abstract (EN): </w:t>
      </w:r>
      <w:r>
        <w:t>Intrinsically curved π‐frameworks are attractive for emissive materials because their nonplanar geometries can modulate excited‐state coupling and create molecular interfaces inaccessible to planar fused systems. Their development, however, is often hindered by enhanced excited‐state relaxation and inefficient triplet‐exciton utilization. Here, we report a conformationally locked, saddle‐shaped pentaboron‐embedded B,N‐doped nanographene, PB‐U. Its rigid skeleton and multiple‐resonance electronic structure suppress structural reorganization, while its saddle‐shaped framework promotes spin‐orbit coupling and facilitates reverse intersystem crossing. As a result, PB‐U exhibits green emission in toluene with a full‐width at half‐maximum of 17 nm, a photoluminescence quantum yield of 98%, and efficient thermally activated delayed fluorescence (TADF) with a reverse intersystem crossing rate of 3.6 × 10</w:t>
      </w:r>
      <w:r>
        <w:rPr>
          <w:vertAlign w:val="subscript"/>
        </w:rPr>
        <w:t>6</w:t>
      </w:r>
      <w:r>
        <w:t>s</w:t>
      </w:r>
      <w:r>
        <w:t xml:space="preserve"> </w:t>
      </w:r>
      <w:r>
        <w:t>−1</w:t>
      </w:r>
      <w:r>
        <w:t xml:space="preserve"> </w:t>
      </w:r>
      <w:r>
        <w:t>. The corresponding non‐sensitized OLEDs deliver a maximum external quantum efficiency (EQE) of 35.3% with significantly reduced efficiency roll‐off, sustaining an EQE of 26.6% even at 10 000 cd m</w:t>
      </w:r>
      <w:r>
        <w:t xml:space="preserve"> </w:t>
      </w:r>
      <w:r>
        <w:t>−2</w:t>
      </w:r>
      <w:r>
        <w:t xml:space="preserve"> </w:t>
      </w:r>
      <w:r>
        <w:t>. Beyond efficient narrowband emission, PB‐U shows appreciable affinity with C</w:t>
      </w:r>
      <w:r>
        <w:rPr>
          <w:vertAlign w:val="subscript"/>
        </w:rPr>
        <w:t>60</w:t>
      </w:r>
      <w:r>
        <w:t>through its concave π‐surface as demonstrated by their cocrystal structure. These findings identify conformational locking as an effective strategy to exploit both the photophysical and interfacial advantages of curved structure while enabling narrowband, efficient TADF emission.</w:t>
      </w:r>
    </w:p>
    <w:p>
      <w:pPr>
        <w:spacing w:before="120" w:after="120"/>
      </w:pPr>
      <w:r>
        <w:rPr>
          <w:sz w:val="18"/>
        </w:rPr>
        <w:t>——————————————————————————————————————————————————————————————————————</w:t>
      </w:r>
    </w:p>
    <w:p>
      <w:pPr>
        <w:spacing w:before="160" w:after="40" w:line="240" w:lineRule="auto"/>
      </w:pPr>
      <w:r>
        <w:rPr>
          <w:b/>
        </w:rPr>
        <w:t xml:space="preserve">[304] </w:t>
      </w:r>
      <w:hyperlink r:id="rId937">
        <w:r>
          <w:rPr>
            <w:color w:val="1155CC"/>
            <w:u w:val="single"/>
          </w:rPr>
          <w:t>一种稳定的噻吨二氧化物自由基基元：模块化构建高自旋双自由基及全稠合四自由基类骨架</w:t>
        </w:r>
      </w:hyperlink>
    </w:p>
    <w:p>
      <w:pPr>
        <w:spacing w:before="0" w:after="80"/>
      </w:pPr>
      <w:r>
        <w:rPr>
          <w:i/>
          <w:sz w:val="20"/>
        </w:rPr>
        <w:t>EN: A Stable Thioxanthene Dioxide Radical Motif for Modular Access to High‐Spin Diradical and Fully‐Fused Tetraradicaloid Scaffold</w:t>
      </w:r>
    </w:p>
    <w:p>
      <w:pPr>
        <w:spacing w:before="0" w:after="120"/>
      </w:pPr>
      <w:r>
        <w:rPr>
          <w:b/>
        </w:rPr>
        <w:t xml:space="preserve">Source: </w:t>
      </w:r>
      <w:r>
        <w:t>Wiley: Angewandte Chemie International Edition: Table of Contents</w:t>
      </w:r>
      <w:r>
        <w:t xml:space="preserve">    </w:t>
      </w:r>
      <w:r>
        <w:rPr>
          <w:b/>
        </w:rPr>
        <w:t xml:space="preserve">Pub date: </w:t>
      </w:r>
      <w:r>
        <w:t>2026-08-31 05:07:16+00:00</w:t>
      </w:r>
      <w:r>
        <w:t xml:space="preserve">    </w:t>
      </w:r>
      <w:r>
        <w:rPr>
          <w:b/>
        </w:rPr>
        <w:t xml:space="preserve">DOI: </w:t>
      </w:r>
      <w:hyperlink r:id="rId938">
        <w:r>
          <w:rPr>
            <w:color w:val="1155CC"/>
            <w:u w:val="single"/>
          </w:rPr>
          <w:t>10.1002/anie.9341514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壳层π共轭体系因其引人入胜的电子和磁性性质而备受关注,但其理性构建仍然具有挑战性。本文报道了一种氰基封端的硫杂蒽二氧化物自由基(MR),作为构建复杂双自由基/四自由基体系的稳健构筑单元。MR基元具有砜稠合的准平面核心,在吸电子的对位氰基协同作用下,提供了显著的热力学稳定性,使其具有长达81天的非凡环境半衰期(t1/2)。利用该骨架,我们通过高效的自由基介导氧化环化方案,实现了间亚苯基桥连双自由基(DR)和全稠合四自由基类化合物(TR)的模块化合成。DR是一种罕见的空气稳定的三线态基态双自由基(ΔES‐T = 0.13 kcal/mol),而四自由基类化合物TR则具有由其π核心全局芳香性稳定的单线态基态,并伴有非常规的能级结构,其最低热可及激发态为五重态流形。</w:t>
      </w:r>
    </w:p>
    <w:p>
      <w:pPr>
        <w:spacing w:before="0" w:after="200" w:lineRule="auto" w:line="276"/>
      </w:pPr>
      <w:r>
        <w:rPr>
          <w:b/>
        </w:rPr>
        <w:t xml:space="preserve">Abstract (EN): </w:t>
      </w:r>
      <w:r>
        <w:t>Open‐shell π‐conjugated systems are of fundamental interest due to their fascinating electronic and magnetic properties, yet their rational construction remains challenging. Herein, we report a cyano‐terminated thioxanthene dioxide radical (</w:t>
      </w:r>
      <w:r>
        <w:t xml:space="preserve"> </w:t>
      </w:r>
      <w:r>
        <w:t>MR</w:t>
      </w:r>
      <w:r>
        <w:t xml:space="preserve"> </w:t>
      </w:r>
      <w:r>
        <w:t>) as a robust building block for constructing complex di‐/tetraradical architectures. The</w:t>
      </w:r>
      <w:r>
        <w:t xml:space="preserve"> </w:t>
      </w:r>
      <w:r>
        <w:t>MR</w:t>
      </w:r>
      <w:r>
        <w:t xml:space="preserve"> </w:t>
      </w:r>
      <w:r>
        <w:t>motif features a sulfone‐fused, quasi‐planar core that, synergized by electron‐withdrawing</w:t>
      </w:r>
      <w:r>
        <w:t xml:space="preserve"> </w:t>
      </w:r>
      <w:r>
        <w:t>para</w:t>
      </w:r>
      <w:r>
        <w:t xml:space="preserve"> </w:t>
      </w:r>
      <w:r>
        <w:t>‐cyano groups, provides significant thermodynamic stabilization to yield an exceptional ambient half‐life time (</w:t>
      </w:r>
      <w:r>
        <w:t xml:space="preserve"> </w:t>
      </w:r>
      <w:r>
        <w:t>t</w:t>
      </w:r>
      <w:r>
        <w:t xml:space="preserve"> </w:t>
      </w:r>
      <w:r>
        <w:t>1/2</w:t>
      </w:r>
      <w:r>
        <w:t xml:space="preserve"> </w:t>
      </w:r>
      <w:r>
        <w:t>) of 81 days. Leveraging this scaffold, we achieved the modular synthesis of an</w:t>
      </w:r>
      <w:r>
        <w:t xml:space="preserve"> </w:t>
      </w:r>
      <w:r>
        <w:t>m</w:t>
      </w:r>
      <w:r>
        <w:t xml:space="preserve"> </w:t>
      </w:r>
      <w:r>
        <w:t>‐phenylene‐bridged diradical (</w:t>
      </w:r>
      <w:r>
        <w:t xml:space="preserve"> </w:t>
      </w:r>
      <w:r>
        <w:t>DR</w:t>
      </w:r>
      <w:r>
        <w:t xml:space="preserve"> </w:t>
      </w:r>
      <w:r>
        <w:t>) and a fully‐fused tetraradicaloid (</w:t>
      </w:r>
      <w:r>
        <w:t xml:space="preserve"> </w:t>
      </w:r>
      <w:r>
        <w:t>TR</w:t>
      </w:r>
      <w:r>
        <w:t xml:space="preserve"> </w:t>
      </w:r>
      <w:r>
        <w:t>) via a high‐efficiency radical‐mediated oxidative cyclization protocol. While</w:t>
      </w:r>
      <w:r>
        <w:t xml:space="preserve"> </w:t>
      </w:r>
      <w:r>
        <w:t>DR</w:t>
      </w:r>
      <w:r>
        <w:t xml:space="preserve"> </w:t>
      </w:r>
      <w:r>
        <w:t>represents a rare air‐stable triplet‐ground‐state diradical (Δ</w:t>
      </w:r>
      <w:r>
        <w:t xml:space="preserve"> </w:t>
      </w:r>
      <w:r>
        <w:t>E</w:t>
      </w:r>
      <w:r>
        <w:t xml:space="preserve"> </w:t>
      </w:r>
      <w:r>
        <w:t>S‐T</w:t>
      </w:r>
      <w:r>
        <w:t xml:space="preserve"> </w:t>
      </w:r>
      <w:r>
        <w:t>= 0.13 kcal/mol), the tetraradicaloid</w:t>
      </w:r>
      <w:r>
        <w:t xml:space="preserve"> </w:t>
      </w:r>
      <w:r>
        <w:t>TR</w:t>
      </w:r>
      <w:r>
        <w:t xml:space="preserve"> </w:t>
      </w:r>
      <w:r>
        <w:t>possesses a singlet ground state stabilized by global aromaticity across its π‐core, accompanied by an unconventional energy hierarchy featuring a quintet manifold as the lowest thermally accessible excited state. Notably,</w:t>
      </w:r>
      <w:r>
        <w:t xml:space="preserve"> </w:t>
      </w:r>
      <w:r>
        <w:t>TR</w:t>
      </w:r>
      <w:r>
        <w:t xml:space="preserve"> </w:t>
      </w:r>
      <w:r>
        <w:t>demonstrates excellent room‐temperature spin coherence, with spin‐lattice relaxation/spin dephasing time (</w:t>
      </w:r>
      <w:r>
        <w:t xml:space="preserve"> </w:t>
      </w:r>
      <w:r>
        <w:t>T</w:t>
      </w:r>
      <w:r>
        <w:rPr>
          <w:vertAlign w:val="subscript"/>
        </w:rPr>
        <w:t>1</w:t>
      </w:r>
      <w:r>
        <w:t>/T</w:t>
      </w:r>
      <w:r>
        <w:rPr>
          <w:vertAlign w:val="subscript"/>
        </w:rPr>
        <w:t>2</w:t>
      </w:r>
      <w:r>
        <w:t xml:space="preserve"> </w:t>
      </w:r>
      <w:r>
        <w:t>) of 85.47/1.17 µs, suggesting its good potential as robust spin qubits under ambient conditions. These results establish</w:t>
      </w:r>
      <w:r>
        <w:t xml:space="preserve"> </w:t>
      </w:r>
      <w:r>
        <w:t>MR</w:t>
      </w:r>
      <w:r>
        <w:t xml:space="preserve"> </w:t>
      </w:r>
      <w:r>
        <w:t>as a versatile radical motif for developing complex multi‐spin systems with emergent magnetic/quantum information functionalities.</w:t>
      </w:r>
    </w:p>
    <w:p>
      <w:pPr>
        <w:spacing w:before="120" w:after="120"/>
      </w:pPr>
      <w:r>
        <w:rPr>
          <w:sz w:val="18"/>
        </w:rPr>
        <w:t>——————————————————————————————————————————————————————————————————————</w:t>
      </w:r>
    </w:p>
    <w:p>
      <w:pPr>
        <w:spacing w:before="160" w:after="40" w:line="240" w:lineRule="auto"/>
      </w:pPr>
      <w:r>
        <w:rPr>
          <w:b/>
        </w:rPr>
        <w:t xml:space="preserve">[305] </w:t>
      </w:r>
      <w:hyperlink r:id="rId939">
        <w:r>
          <w:rPr>
            <w:color w:val="1155CC"/>
            <w:u w:val="single"/>
          </w:rPr>
          <w:t>配体位阻工程化的空间不对称单原子催化剂：电化学氧还原反应的新平台</w:t>
        </w:r>
      </w:hyperlink>
    </w:p>
    <w:p>
      <w:pPr>
        <w:spacing w:before="0" w:after="80"/>
      </w:pPr>
      <w:r>
        <w:rPr>
          <w:i/>
          <w:sz w:val="20"/>
        </w:rPr>
        <w:t>EN: Ligand Steric Hindrance‐Engineered Spatially Asymmetric Single‐Atom Catalysts: A New Platform for Electrochemical Oxygen Reduction</w:t>
      </w:r>
    </w:p>
    <w:p>
      <w:pPr>
        <w:spacing w:before="0" w:after="120"/>
      </w:pPr>
      <w:r>
        <w:rPr>
          <w:b/>
        </w:rPr>
        <w:t xml:space="preserve">Source: </w:t>
      </w:r>
      <w:r>
        <w:t>Wiley: Angewandte Chemie International Edition: Table of Contents</w:t>
      </w:r>
      <w:r>
        <w:t xml:space="preserve">    </w:t>
      </w:r>
      <w:r>
        <w:rPr>
          <w:b/>
        </w:rPr>
        <w:t xml:space="preserve">Pub date: </w:t>
      </w:r>
      <w:r>
        <w:t>2026-08-31 05:09:37+00:00</w:t>
      </w:r>
      <w:r>
        <w:t xml:space="preserve">    </w:t>
      </w:r>
      <w:r>
        <w:rPr>
          <w:b/>
        </w:rPr>
        <w:t xml:space="preserve">DOI: </w:t>
      </w:r>
      <w:hyperlink r:id="rId940">
        <w:r>
          <w:rPr>
            <w:color w:val="1155CC"/>
            <w:u w:val="single"/>
          </w:rPr>
          <w:t>10.1002/anie.5047569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原子催化剂(SACs)因其高原子利用率和明确的活性位点,在非均相电催化中展现出巨大潜力。然而,常规SACs通常表现出对称的电子密度分布,导致对反应中间体的吸附/脱附和活化性能较差,从而限制了催化效率。在本研究中,我们通过配体位阻工程设计并合成了一种新型的空间不对称SACs,即将大位阻、构象受限的2,2':6',2″‐三联吡啶(Tpy)配体后合成引入预先锚定单个Co原子的乙烯基连接共价有机框架中,从而在Co中心周围形成非平面的不对称配位环境,得到COF‐Co‐Tpy。与具有平面或空间对称结构的SACs不同,COF‐Co‐Tpy具有由三联吡啶部分赋予的空间不对称结构,这不仅诱导了Co中心的低自旋态,还创造了独特的反应微环境,使中间体以垂直于传质方向的方式吸附在Co位点上。这种协同效应显著降低了*OH中间体的吸附能垒。因此,COF‐Co‐Tpy表现出卓越的氧还原反应(ORR)性能,半波电位高达0.90 V,其本征催化活性分别是平面对称和空间对称SACs的22.46倍和6.15倍。</w:t>
      </w:r>
    </w:p>
    <w:p>
      <w:pPr>
        <w:spacing w:before="0" w:after="200" w:lineRule="auto" w:line="276"/>
      </w:pPr>
      <w:r>
        <w:rPr>
          <w:b/>
        </w:rPr>
        <w:t xml:space="preserve">Abstract (EN): </w:t>
      </w:r>
      <w:r>
        <w:t>Single‐atom catalysts (SACs) have demonstrated tremendous potential in heterogeneous electrocatalysis due to their high atom utilization and well‐defined active sites. However, conventional SACs typically exhibit a symmetric electron density distribution, which leads to poor adsorption/desorption and activation of reaction intermediates and thus limits catalytic efficiency. In this study, we designed and synthesized a novel spatially asymmetric SACs through ligand steric hindrance engineering, which involves the post‑synthetic introduction of a bulky, conformationally constrained ligand of 2,2’:6’,2″‐terpyridine (Tpy), into a vinylene‐linked covalent organic framework pre‑anchored with single Co atoms, thereby creating a non‑planar, asymmetric coordination environment around the Co center to afford COF‑Co‑Tpy. Unlike SACs with planar or spatially symmetric structures, COF‐Co‐Tpy possesses a spatially asymmetric structure imparted by the terpyridine moiety, which not only induces a low‐spin state at the Co center, but also creates a unique reaction microenvironment where intermediates are adsorbed at the Co sites perpendicular to the mass transfer direction. The synergistic effect significantly reduces the adsorption energy barrier of the *OH intermediates. Consequently, COF‐Co‐Tpy exhibits remarkable oxygen reduction reaction (ORR) performance with a half‐wave potential up to 0.90 V, and its intrinsic catalytic activity is 22.46 and 6.15 times higher than those of planarly and spatially symmetric SACs, respectively.</w:t>
      </w:r>
    </w:p>
    <w:p>
      <w:pPr>
        <w:spacing w:before="120" w:after="120"/>
      </w:pPr>
      <w:r>
        <w:rPr>
          <w:sz w:val="18"/>
        </w:rPr>
        <w:t>——————————————————————————————————————————————————————————————————————</w:t>
      </w:r>
    </w:p>
    <w:p>
      <w:pPr>
        <w:spacing w:before="160" w:after="40" w:line="240" w:lineRule="auto"/>
      </w:pPr>
      <w:r>
        <w:rPr>
          <w:b/>
        </w:rPr>
        <w:t xml:space="preserve">[306] </w:t>
      </w:r>
      <w:hyperlink r:id="rId941">
        <w:r>
          <w:rPr>
            <w:color w:val="1155CC"/>
            <w:u w:val="single"/>
          </w:rPr>
          <w:t>三重态苯与丙二烯的可控去芳香化光环加成</w:t>
        </w:r>
      </w:hyperlink>
    </w:p>
    <w:p>
      <w:pPr>
        <w:spacing w:before="0" w:after="80"/>
      </w:pPr>
      <w:r>
        <w:rPr>
          <w:i/>
          <w:sz w:val="20"/>
        </w:rPr>
        <w:t>EN: Controllable Dearomative Photocycloaddition of Triplet Benzenes With Allenes</w:t>
      </w:r>
    </w:p>
    <w:p>
      <w:pPr>
        <w:spacing w:before="0" w:after="120"/>
      </w:pPr>
      <w:r>
        <w:rPr>
          <w:b/>
        </w:rPr>
        <w:t xml:space="preserve">Source: </w:t>
      </w:r>
      <w:r>
        <w:t>Wiley: Angewandte Chemie International Edition: Table of Contents</w:t>
      </w:r>
      <w:r>
        <w:t xml:space="preserve">    </w:t>
      </w:r>
      <w:r>
        <w:rPr>
          <w:b/>
        </w:rPr>
        <w:t xml:space="preserve">Pub date: </w:t>
      </w:r>
      <w:r>
        <w:t>2026-08-31 05:12:31+00:00</w:t>
      </w:r>
      <w:r>
        <w:t xml:space="preserve">    </w:t>
      </w:r>
      <w:r>
        <w:rPr>
          <w:b/>
        </w:rPr>
        <w:t xml:space="preserve">DOI: </w:t>
      </w:r>
      <w:hyperlink r:id="rId942">
        <w:r>
          <w:rPr>
            <w:color w:val="1155CC"/>
            <w:u w:val="single"/>
          </w:rPr>
          <w:t>10.1002/anie.2982207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本文描述了苯类衍生物与丙二烯的发散性可见光诱导光环加成反应(PCA),该反应通过使用铱三线态敏化剂对简单芳烃部分的高效敏化得以实现。这些反应受系链丙二烯链的支配,选择性地通过两条不同路径进行:对位和邻位环加成。对位环加成路径受取代基效应影响,可经随后的二‐π‐甲烷重排进一步提供一系列形式间位型产物。相比之下,邻位环加成路径通过级联电环化反应产生线性三环环丁烯。在丙二烯部分取代基的调控下,顺序的二‐π‐甲烷重排可提供不同的形式间位型产物。对照实验结合密度泛函理论(DFT)计算,为深入理解底层反应路径提供了全面的依据。</w:t>
      </w:r>
    </w:p>
    <w:p>
      <w:pPr>
        <w:spacing w:before="0" w:after="200" w:lineRule="auto" w:line="276"/>
      </w:pPr>
      <w:r>
        <w:rPr>
          <w:b/>
        </w:rPr>
        <w:t xml:space="preserve">Abstract (EN): </w:t>
      </w:r>
      <w:r>
        <w:t>A divergent visible light‐induced photocycloaddition (PCA) of benzene derivatives with allenes is described, enabled by efficient sensitization of simple arene moieties using an iridium triplet sensitizer. The reactions, governed by the tethered allene chain, proceed selectively through two distinct pathways:</w:t>
      </w:r>
      <w:r>
        <w:t xml:space="preserve"> </w:t>
      </w:r>
      <w:r>
        <w:t>para</w:t>
      </w:r>
      <w:r>
        <w:t xml:space="preserve"> </w:t>
      </w:r>
      <w:r>
        <w:t>‐ and</w:t>
      </w:r>
      <w:r>
        <w:t xml:space="preserve"> </w:t>
      </w:r>
      <w:r>
        <w:t>ortho</w:t>
      </w:r>
      <w:r>
        <w:t xml:space="preserve"> </w:t>
      </w:r>
      <w:r>
        <w:t>‐cycloaddition. The</w:t>
      </w:r>
      <w:r>
        <w:t xml:space="preserve"> </w:t>
      </w:r>
      <w:r>
        <w:t>para</w:t>
      </w:r>
      <w:r>
        <w:t xml:space="preserve"> </w:t>
      </w:r>
      <w:r>
        <w:t>‐cycloaddition pathway, influenced by substituent effect, can further deliver a range of formal</w:t>
      </w:r>
      <w:r>
        <w:t xml:space="preserve"> </w:t>
      </w:r>
      <w:r>
        <w:t>meta</w:t>
      </w:r>
      <w:r>
        <w:t xml:space="preserve"> </w:t>
      </w:r>
      <w:r>
        <w:t>‐type products following a subsequent di‐π‐methane rearrangement. In comparison, the</w:t>
      </w:r>
      <w:r>
        <w:t xml:space="preserve"> </w:t>
      </w:r>
      <w:r>
        <w:t>ortho</w:t>
      </w:r>
      <w:r>
        <w:t xml:space="preserve"> </w:t>
      </w:r>
      <w:r>
        <w:t>‐cycloaddition pathway produces linear tricyclic cyclobutenes via cascade electrocyclic reactions. Modulated by the substituent on the allene moiety, a sequential di‐π‐methane rearrangement furnishes different formal</w:t>
      </w:r>
      <w:r>
        <w:t xml:space="preserve"> </w:t>
      </w:r>
      <w:r>
        <w:t>meta</w:t>
      </w:r>
      <w:r>
        <w:t xml:space="preserve"> </w:t>
      </w:r>
      <w:r>
        <w:t>‐type products. Control experiments, together with density functional theory (DFT) calculations, provide a comprehensive understanding of the underlying reaction pathways.</w:t>
      </w:r>
    </w:p>
    <w:p>
      <w:pPr>
        <w:spacing w:before="120" w:after="120"/>
      </w:pPr>
      <w:r>
        <w:rPr>
          <w:sz w:val="18"/>
        </w:rPr>
        <w:t>——————————————————————————————————————————————————————————————————————</w:t>
      </w:r>
    </w:p>
    <w:p>
      <w:pPr>
        <w:spacing w:before="160" w:after="40" w:line="240" w:lineRule="auto"/>
      </w:pPr>
      <w:r>
        <w:rPr>
          <w:b/>
        </w:rPr>
        <w:t xml:space="preserve">[307] </w:t>
      </w:r>
      <w:hyperlink r:id="rId943">
        <w:r>
          <w:rPr>
            <w:color w:val="1155CC"/>
            <w:u w:val="single"/>
          </w:rPr>
          <w:t>上皮汇聚延伸作为一种调谐过程</w:t>
        </w:r>
      </w:hyperlink>
    </w:p>
    <w:p>
      <w:pPr>
        <w:spacing w:before="0" w:after="80"/>
      </w:pPr>
      <w:r>
        <w:rPr>
          <w:i/>
          <w:sz w:val="20"/>
        </w:rPr>
        <w:t>EN: Epithelial convergent extension as a tuning process</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44">
        <w:r>
          <w:rPr>
            <w:color w:val="1155CC"/>
            <w:u w:val="single"/>
          </w:rPr>
          <w:t>10.1073/pnas.2532099123</w:t>
        </w:r>
      </w:hyperlink>
    </w:p>
    <w:p>
      <w:pPr>
        <w:spacing w:before="0" w:after="120"/>
      </w:pPr>
      <w:r>
        <w:rPr>
          <w:b/>
        </w:rPr>
        <w:t xml:space="preserve">Notes: </w:t>
      </w:r>
      <w:r>
        <w:t>abstract_source=crossref</w:t>
      </w:r>
    </w:p>
    <w:p>
      <w:pPr>
        <w:spacing w:before="0" w:after="80" w:lineRule="auto" w:line="276"/>
      </w:pPr>
      <w:r>
        <w:rPr>
          <w:b/>
        </w:rPr>
        <w:t xml:space="preserve">摘要（ZH）: </w:t>
      </w:r>
      <w:r>
        <w:t>自调节——即无序系统通过响应反馈调整内部耦合以产生所需集体行为的能力——最近已成为理解非晶固体、机械超材料和电网络中适应性的强大框架。这些系统可以学习所需的响应、编码记忆,并在重复刺激下稳健地重组,非常类似于人工神经网络,但无需处理器来调整其权重。在此,我们将这一范式扩展到形态发生领域,并表明将上皮组织视为可调谐物质、将上皮汇聚伸展(CE)视为自调节过程是有益的。利用具有活性界面张力的顶点模型,我们系统比较了不同的张力更新过程,包括外部施加的剪切、全局梯度下降优化以及分散式局部反馈规则。我们发现,虽然所有方法都能产生组织伸长,但只有局部的取向和长度敏感规则才能以合理的保真度再现CE的关键实验特征。这些特征包括超细胞肌动蛋白‐肌球蛋白图案的形成、细胞形状变化以及连接对齐。相比之下,全局优化产生均匀的、近乎各向同性的张力图案,且组织状态对力扰动的鲁棒性较差。通过调节的视角解释CE,我们的框架将可调谐物质物理学与发展生物学联系起来,揭示了简单的局部规则如何使组织通过分散化机制高效地协调复杂的形态发生结果。</w:t>
      </w:r>
    </w:p>
    <w:p>
      <w:pPr>
        <w:spacing w:before="0" w:after="200" w:lineRule="auto" w:line="276"/>
      </w:pPr>
      <w:r>
        <w:rPr>
          <w:b/>
        </w:rPr>
        <w:t xml:space="preserve">Abstract (EN): </w:t>
      </w:r>
      <w:r>
        <w:t>Self-tuning—the ability of disordered systems to develop desired collective behaviors by tuning internal couplings in response to feedback—has recently emerged as a powerful framework for understanding adaptation in amorphous solids, mechanical metamaterials, and electrical networks. These systems can learn desired responses, encode memory, and robustly reorganize under repeated stimuli, much like artificial neural networks but without requiring processors to adjust their weights. Here, we extend this paradigm to morphogenesis and show that it is useful to view the epithelium as tunable matter and epithelial convergent extension (CE) as a self-tuning process. Using a vertex model with active interfacial tensions, we systematically compare distinct tension-update processes, including externally imposed shear, global gradient descent optimization, and decentralized local feedback rules. We find that while all methods can generate tissue elongation, only a local orientation- and length-sensitive rule reproduces key experimental features of CE with reasonable fidelity. These features include supracellular actomyosin pattern formation, cell shape changes, and junctional alignment. In contrast, global optimization produces homogeneous, nearly isotropic tension patterns and tissue states that are less robust to force perturbations. By interpreting CE through the lens of tuning, our framework bridges the physics of tunable matter with developmental biology, revealing how simple, local rules enable tissues to efficiently orchestrate complex morphogenetic outcomes through decentralized mechanical feedback and adaptation.</w:t>
      </w:r>
    </w:p>
    <w:p>
      <w:pPr>
        <w:spacing w:before="120" w:after="120"/>
      </w:pPr>
      <w:r>
        <w:rPr>
          <w:sz w:val="18"/>
        </w:rPr>
        <w:t>——————————————————————————————————————————————————————————————————————</w:t>
      </w:r>
    </w:p>
    <w:p>
      <w:pPr>
        <w:spacing w:before="160" w:after="40" w:line="240" w:lineRule="auto"/>
      </w:pPr>
      <w:r>
        <w:rPr>
          <w:b/>
        </w:rPr>
        <w:t xml:space="preserve">[308] </w:t>
      </w:r>
      <w:hyperlink r:id="rId945">
        <w:r>
          <w:rPr>
            <w:color w:val="1155CC"/>
            <w:u w:val="single"/>
          </w:rPr>
          <w:t>光感受器记录显示小型独居蜂比较大物种具有显著更高的视觉锐度</w:t>
        </w:r>
      </w:hyperlink>
    </w:p>
    <w:p>
      <w:pPr>
        <w:spacing w:before="0" w:after="80"/>
      </w:pPr>
      <w:r>
        <w:rPr>
          <w:i/>
          <w:sz w:val="20"/>
        </w:rPr>
        <w:t>EN: Photoreceptor recordings reveal remarkable acuity in small solitary bees compared with larger species</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46">
        <w:r>
          <w:rPr>
            <w:color w:val="1155CC"/>
            <w:u w:val="single"/>
          </w:rPr>
          <w:t>10.1073/pnas.2534625123</w:t>
        </w:r>
      </w:hyperlink>
    </w:p>
    <w:p>
      <w:pPr>
        <w:spacing w:before="0" w:after="120"/>
      </w:pPr>
      <w:r>
        <w:rPr>
          <w:b/>
        </w:rPr>
        <w:t xml:space="preserve">Notes: </w:t>
      </w:r>
      <w:r>
        <w:t>abstract_source=crossref</w:t>
      </w:r>
    </w:p>
    <w:p>
      <w:pPr>
        <w:spacing w:before="0" w:after="80" w:lineRule="auto" w:line="276"/>
      </w:pPr>
      <w:r>
        <w:rPr>
          <w:b/>
        </w:rPr>
        <w:t xml:space="preserve">摘要（ZH）: </w:t>
      </w:r>
      <w:r>
        <w:t>蜜蜂在躲避捕食者、锁定配偶以及环境导航等重要任务中高度依赖视觉线索。然而，关于蜜蜂感光细胞分辨率的生理学测量仍然十分匮乏。本研究利用光适应眼的细胞内记录，估算了四种蜜蜂雌雄两性复眼感光细胞的感受野（角灵敏度，Δρ）和可探测性阈值。我们记录了熊蜂 Bombus terrestris；两种亲缘关系密切但生物地理分布相距甚远的蜜蜂科物种 Anthophora quadrimaculata 和 Amegilla murrayensis；以及独居性物种 Anthidium manicatum。为了将这些生理学测量置于光学背景中，我们量化了相应眼区的小眼间夹角（Δφ），以评估空间采样分辨率，并将结果与已发表的 Apis mellifera 雌雄两性的数据进行比较。所有物种两性的感光细胞均显示出显著优于雌性采集蜂（工蜂）的分辨率，其中 Amegilla 两性以及 Anthophora 和 Anthidium 的雄性分辨率最高。尽管体型较小，Amegilla 表现出令人惊叹的感光细胞可探测性阈值，仅有体型大得多的雄性蜜蜂可与之匹敌。</w:t>
      </w:r>
    </w:p>
    <w:p>
      <w:pPr>
        <w:spacing w:before="0" w:after="200" w:lineRule="auto" w:line="276"/>
      </w:pPr>
      <w:r>
        <w:rPr>
          <w:b/>
        </w:rPr>
        <w:t xml:space="preserve">Abstract (EN): </w:t>
      </w:r>
      <w:r>
        <w:t>Bees rely strongly on visual cues for essential tasks such as avoiding predators, targeting mates, and navigating their environment. However, physiological measures of photoreceptor acuity in bees remain scarce. Here, we used intracellular recordings in light-adapted eyes to estimate photoreceptor receptive fields (angular sensitivity, Δρ) and detectability thresholds in compound eyes of both sexes in four bee species. We recorded from the bumblebee</w:t>
      </w:r>
      <w:r>
        <w:t xml:space="preserve"> </w:t>
      </w:r>
      <w:r>
        <w:t>Bombus terrestris</w:t>
      </w:r>
      <w:r>
        <w:t xml:space="preserve"> </w:t>
      </w:r>
      <w:r>
        <w:t>; two closely related but biogeographically distant apid species,</w:t>
      </w:r>
      <w:r>
        <w:t xml:space="preserve"> </w:t>
      </w:r>
      <w:r>
        <w:t>Anthophora quadrimaculata</w:t>
      </w:r>
      <w:r>
        <w:t xml:space="preserve"> </w:t>
      </w:r>
      <w:r>
        <w:t>and</w:t>
      </w:r>
      <w:r>
        <w:t xml:space="preserve"> </w:t>
      </w:r>
      <w:r>
        <w:t>Amegilla murrayensis</w:t>
      </w:r>
      <w:r>
        <w:t xml:space="preserve"> </w:t>
      </w:r>
      <w:r>
        <w:t>; and the solitary species</w:t>
      </w:r>
      <w:r>
        <w:t xml:space="preserve"> </w:t>
      </w:r>
      <w:r>
        <w:t>Anthidium manicatum</w:t>
      </w:r>
      <w:r>
        <w:t xml:space="preserve"> </w:t>
      </w:r>
      <w:r>
        <w:t>. To place these physiological measurements in an optical context, we quantified interommatidial angles (Δφ) in corresponding eye regions to assess spatial sampling resolution and compared our results with previously published data for both sexes of</w:t>
      </w:r>
      <w:r>
        <w:t xml:space="preserve"> </w:t>
      </w:r>
      <w:r>
        <w:t>Apis mellifera</w:t>
      </w:r>
      <w:r>
        <w:t xml:space="preserve"> </w:t>
      </w:r>
      <w:r>
        <w:t>. Photoreceptors of both sexes and all species show significantly better resolution than female forager honeybees, with highest acuity in both sexes of</w:t>
      </w:r>
      <w:r>
        <w:t xml:space="preserve"> </w:t>
      </w:r>
      <w:r>
        <w:t>Amegilla</w:t>
      </w:r>
      <w:r>
        <w:t xml:space="preserve"> </w:t>
      </w:r>
      <w:r>
        <w:t>and in males of</w:t>
      </w:r>
      <w:r>
        <w:t xml:space="preserve"> </w:t>
      </w:r>
      <w:r>
        <w:t>Anthophora</w:t>
      </w:r>
      <w:r>
        <w:t xml:space="preserve"> </w:t>
      </w:r>
      <w:r>
        <w:t>and</w:t>
      </w:r>
      <w:r>
        <w:t xml:space="preserve"> </w:t>
      </w:r>
      <w:r>
        <w:t>Anthidium</w:t>
      </w:r>
      <w:r>
        <w:t xml:space="preserve"> </w:t>
      </w:r>
      <w:r>
        <w:t>. Despite small body size,</w:t>
      </w:r>
      <w:r>
        <w:t xml:space="preserve"> </w:t>
      </w:r>
      <w:r>
        <w:t>Amegilla</w:t>
      </w:r>
      <w:r>
        <w:t xml:space="preserve"> </w:t>
      </w:r>
      <w:r>
        <w:t>shows impressive photoreceptor detectability thresholds, matched only by much larger honeybee drones. Optical sampling revealed very small interommatidial angles (Δφ</w:t>
      </w:r>
      <w:r>
        <w:t xml:space="preserve"> </w:t>
      </w:r>
      <w:r>
        <w:t>V</w:t>
      </w:r>
      <w:r>
        <w:t xml:space="preserve"> </w:t>
      </w:r>
      <w:r>
        <w:t>&amp;lt; 1°), indicating high spatial resolution, with more than twofold variation across species and particularly high resolution in solitary bees and honeybee drones. By correlating photoreceptor acuity with maximal corneal facet diameter and distal rhabdom diameter, we reveal morphological adaptations underpinning physiological performance. These findings provide evidence for functional adaptation in early visual processing across bee species and highlight mechanisms supporting the detection of moving targets.</w:t>
      </w:r>
    </w:p>
    <w:p>
      <w:pPr>
        <w:spacing w:before="120" w:after="120"/>
      </w:pPr>
      <w:r>
        <w:rPr>
          <w:sz w:val="18"/>
        </w:rPr>
        <w:t>——————————————————————————————————————————————————————————————————————</w:t>
      </w:r>
    </w:p>
    <w:p>
      <w:pPr>
        <w:spacing w:before="160" w:after="40" w:line="240" w:lineRule="auto"/>
      </w:pPr>
      <w:r>
        <w:rPr>
          <w:b/>
        </w:rPr>
        <w:t xml:space="preserve">[309] </w:t>
      </w:r>
      <w:hyperlink r:id="rId947">
        <w:r>
          <w:rPr>
            <w:color w:val="1155CC"/>
            <w:u w:val="single"/>
          </w:rPr>
          <w:t>在小农农业中使私人激励与社会目标保持一致</w:t>
        </w:r>
      </w:hyperlink>
    </w:p>
    <w:p>
      <w:pPr>
        <w:spacing w:before="0" w:after="80"/>
      </w:pPr>
      <w:r>
        <w:rPr>
          <w:i/>
          <w:sz w:val="20"/>
        </w:rPr>
        <w:t>EN: Aligning private incentives with societal goals in smallholder agriculture</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48">
        <w:r>
          <w:rPr>
            <w:color w:val="1155CC"/>
            <w:u w:val="single"/>
          </w:rPr>
          <w:t>10.1073/pnas.2536548123</w:t>
        </w:r>
      </w:hyperlink>
    </w:p>
    <w:p>
      <w:pPr>
        <w:spacing w:before="0" w:after="120"/>
      </w:pPr>
      <w:r>
        <w:rPr>
          <w:b/>
        </w:rPr>
        <w:t xml:space="preserve">Notes: </w:t>
      </w:r>
      <w:r>
        <w:t>abstract_source=crossref</w:t>
      </w:r>
    </w:p>
    <w:p>
      <w:pPr>
        <w:spacing w:before="0" w:after="80" w:lineRule="auto" w:line="276"/>
      </w:pPr>
      <w:r>
        <w:rPr>
          <w:b/>
        </w:rPr>
        <w:t xml:space="preserve">摘要（ZH）: </w:t>
      </w:r>
      <w:r>
        <w:t>低收入国家的小规模农户常被鼓励采用能够产生重大社会效益的新投入品和实践，例如改善营养、食品安全和环境可持续性。这些属性的可观察性有限，加之生产规模小且私人激励不一致，导致采用水平低于社会最优水平。解决这一问题往往需要组合由不同学科提出的、跨越多个政策部门的工具，而这类整合工作很少被联合阐述。本文旨在通过一个简单的概念框架来阐明这一点，该框架解释了农户在面临收益与成本、获得金融工具的机会以及影响其决策的信息和偏好时，如何决定是否采用具有社会效益的投入品和实践。本文识别了相关的政策渠道，并探讨社会回报是否足以证明提供这些渠道的公共成本是合理的。我们将其应用于三个案例研究：黄曲霉毒素减控、生物强化作物品种和保护性农业。针对每个案例，我们识别了哪些参数构成约束、哪些工具可以改变这些参数，以及新兴技术如何进一步发挥作用。由此形成的议程从寻求单一工具的解决方案转向识别现有工具与新兴可政策操作工具的正确组合。</w:t>
      </w:r>
    </w:p>
    <w:p>
      <w:pPr>
        <w:spacing w:before="0" w:after="200" w:lineRule="auto" w:line="276"/>
      </w:pPr>
      <w:r>
        <w:rPr>
          <w:b/>
        </w:rPr>
        <w:t xml:space="preserve">Abstract (EN): </w:t>
      </w:r>
      <w:r>
        <w:t>Small-scale farmers in low-income countries are often encouraged to adopt new inputs and practices that generate significant societal benefits, such as improved nutrition, food safety, and environmental sustainability. The limited observability of these attributes, combined with small production scale and misaligned private incentives, leads to adoption levels below the social optimum. Addressing this issue often requires combining instruments identified by different scientific disciplines, spanning across multiple policy sectors, an exercise that is rarely articulated jointly. This paper aims to clarify this, through a simple conceptual framework that explains how farmers decide whether to adopt socially desirable inputs and practices, given the returns and costs they face, their access to financial instruments, and the information and preferences that shape their decisions. It identifies the relevant policy channels, and asks whether the social returns justify the public cost of delivering them. We apply it to three case studies: aflatoxin mitigation, biofortified crop varieties, and conservation agriculture. For each, we identify which parameters bind, which instruments can move them, and how emerging technologies may further contribute. The agenda that follows moves from seeking single-instrument fixes toward identifying the right combination of existing and emerging policy-actionable tools.</w:t>
      </w:r>
    </w:p>
    <w:p>
      <w:pPr>
        <w:spacing w:before="120" w:after="120"/>
      </w:pPr>
      <w:r>
        <w:rPr>
          <w:sz w:val="18"/>
        </w:rPr>
        <w:t>——————————————————————————————————————————————————————————————————————</w:t>
      </w:r>
    </w:p>
    <w:p>
      <w:pPr>
        <w:spacing w:before="160" w:after="40" w:line="240" w:lineRule="auto"/>
      </w:pPr>
      <w:r>
        <w:rPr>
          <w:b/>
        </w:rPr>
        <w:t xml:space="preserve">[310] </w:t>
      </w:r>
      <w:hyperlink r:id="rId949">
        <w:r>
          <w:rPr>
            <w:color w:val="1155CC"/>
            <w:u w:val="single"/>
          </w:rPr>
          <w:t>小鼠内侧缰核中GABAB受体对恐惧表达的不对称调节</w:t>
        </w:r>
      </w:hyperlink>
    </w:p>
    <w:p>
      <w:pPr>
        <w:spacing w:before="0" w:after="80"/>
      </w:pPr>
      <w:r>
        <w:rPr>
          <w:i/>
          <w:sz w:val="20"/>
        </w:rPr>
        <w:t>EN: Asymmetrical modulation of fear expression via GABAB receptors in the mouse medial habenula</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50">
        <w:r>
          <w:rPr>
            <w:color w:val="1155CC"/>
            <w:u w:val="single"/>
          </w:rPr>
          <w:t>10.1073/pnas.2536560123</w:t>
        </w:r>
      </w:hyperlink>
    </w:p>
    <w:p>
      <w:pPr>
        <w:spacing w:before="0" w:after="120"/>
      </w:pPr>
      <w:r>
        <w:rPr>
          <w:b/>
        </w:rPr>
        <w:t xml:space="preserve">Notes: </w:t>
      </w:r>
      <w:r>
        <w:t>abstract_source=crossref</w:t>
      </w:r>
    </w:p>
    <w:p>
      <w:pPr>
        <w:spacing w:before="0" w:after="80" w:lineRule="auto" w:line="276"/>
      </w:pPr>
      <w:r>
        <w:rPr>
          <w:b/>
        </w:rPr>
        <w:t xml:space="preserve">摘要（ZH）: </w:t>
      </w:r>
      <w:r>
        <w:t>内侧缰核（MHb）参与调节对厌恶事件的情绪反应。斑马鱼中的研究在背侧缰核（哺乳动物MHb的斑马鱼同源结构）—脚间核（IPN）通路中发现了显著的形态学左右不对称性及其在行为中的不对称作用。然而，哺乳动物MHb-IPN通路在结构或功能侧化方面的证据很少。本研究检测了小鼠左、右MHb向IPN投射的突触特性及其在条件性恐惧表达中的作用。我们发现每个IPN神经元同时接收来自左、右MHb的输入，但与右侧MHb来源的突触相比，左侧MHb来源的突触表现出更低的释放概率和更高的γ-氨基丁酸B型受体（GABA_B R）介导的增强。有趣的是，这些不对称特性在内脏器官侧性正常的内脏逆位突变小鼠（situs solitus）中持续存在，而在内脏器官侧性反转的小鼠（situs inversus）中几乎消失。在行为上，化学遗传学抑制胆碱能神经元以及条件性敲除左侧（而非右侧）MHb中的GABA_B R显著削弱了线索依赖的恐惧记忆回忆。我们的结果证明了小鼠MHb在结点流动部分影响下的功能不对称性，揭示了GABA_B R介导的信号传导在左侧MHb-IPN通路中的主导作用</w:t>
      </w:r>
    </w:p>
    <w:p>
      <w:pPr>
        <w:spacing w:before="0" w:after="200" w:lineRule="auto" w:line="276"/>
      </w:pPr>
      <w:r>
        <w:rPr>
          <w:b/>
        </w:rPr>
        <w:t xml:space="preserve">Abstract (EN): </w:t>
      </w:r>
      <w:r>
        <w:t>The medial habenula (MHb) is implicated in regulating emotional responses to aversive events. Studies in zebrafish have identified a remarkable morphological left–right asymmetry in the dorsal habenula (zebrafish equivalent of mammalian MHb)-interpeduncular nucleus (IPN) pathway and its asymmetrical roles in behavior. However, there is little evidence for structural or functional lateralization in the mammalian MHb-IPN pathway. Here, we investigated the synaptic properties of left- and right-MHb afferents to the IPN and their roles in the expression of conditioned fear in mice. We found that each IPN neuron receives inputs from both left and right MHb, but the left MHb-originating synapses exhibit lower release probability and higher γ-aminobutyric acid type B receptor (GABA</w:t>
      </w:r>
      <w:r>
        <w:t xml:space="preserve"> </w:t>
      </w:r>
      <w:r>
        <w:t>B</w:t>
      </w:r>
      <w:r>
        <w:t xml:space="preserve"> </w:t>
      </w:r>
      <w:r>
        <w:t>R)-mediated potentiation compared to the right MHb-originating synapses. Interestingly, these asymmetrical properties persist in the inversus visceral mutant mice with normal internal organ laterality (situs solitus), but nearly disappear in those with reversed internal organ laterality (situs inversus). Behaviorally, chemogenetic inhibition of cholinergic neurons and conditional deletion of GABA</w:t>
      </w:r>
      <w:r>
        <w:t xml:space="preserve"> </w:t>
      </w:r>
      <w:r>
        <w:t>B</w:t>
      </w:r>
      <w:r>
        <w:t xml:space="preserve"> </w:t>
      </w:r>
      <w:r>
        <w:t>R in the left, but not the right, MHb significantly attenuated cue-dependent fear recall. Our results demonstrate functional asymmetry of the MHb under partial influence of the nodal flow in mice, revealing a predominant role of GABA</w:t>
      </w:r>
      <w:r>
        <w:t xml:space="preserve"> </w:t>
      </w:r>
      <w:r>
        <w:t>B</w:t>
      </w:r>
      <w:r>
        <w:t xml:space="preserve"> </w:t>
      </w:r>
      <w:r>
        <w:t>R-mediated signaling in the left MHb-IPN pathway in modulating fear memories. These findings suggest that lateralized MHb pathways could represent a fundamental principle in the neural regulation of emotion across species but that they develop differently in zebrafish and mice.</w:t>
      </w:r>
    </w:p>
    <w:p>
      <w:pPr>
        <w:spacing w:before="120" w:after="120"/>
      </w:pPr>
      <w:r>
        <w:rPr>
          <w:sz w:val="18"/>
        </w:rPr>
        <w:t>——————————————————————————————————————————————————————————————————————</w:t>
      </w:r>
    </w:p>
    <w:p>
      <w:pPr>
        <w:spacing w:before="160" w:after="40" w:line="240" w:lineRule="auto"/>
      </w:pPr>
      <w:r>
        <w:rPr>
          <w:b/>
        </w:rPr>
        <w:t xml:space="preserve">[311] </w:t>
      </w:r>
      <w:hyperlink r:id="rId951">
        <w:r>
          <w:rPr>
            <w:color w:val="1155CC"/>
            <w:u w:val="single"/>
          </w:rPr>
          <w:t>海带林崩溃改变珊瑚礁微生物组及相关代谢组</w:t>
        </w:r>
      </w:hyperlink>
    </w:p>
    <w:p>
      <w:pPr>
        <w:spacing w:before="0" w:after="80"/>
      </w:pPr>
      <w:r>
        <w:rPr>
          <w:i/>
          <w:sz w:val="20"/>
        </w:rPr>
        <w:t>EN: Kelp forest collapse alters the reef microbiome and associated metabolome</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52">
        <w:r>
          <w:rPr>
            <w:color w:val="1155CC"/>
            <w:u w:val="single"/>
          </w:rPr>
          <w:t>10.1073/pnas.2525548123</w:t>
        </w:r>
      </w:hyperlink>
    </w:p>
    <w:p>
      <w:pPr>
        <w:spacing w:before="0" w:after="120"/>
      </w:pPr>
      <w:r>
        <w:rPr>
          <w:b/>
        </w:rPr>
        <w:t xml:space="preserve">Notes: </w:t>
      </w:r>
      <w:r>
        <w:t>abstract_source=crossref</w:t>
      </w:r>
    </w:p>
    <w:p>
      <w:pPr>
        <w:spacing w:before="0" w:after="80" w:lineRule="auto" w:line="276"/>
      </w:pPr>
      <w:r>
        <w:rPr>
          <w:b/>
        </w:rPr>
        <w:t xml:space="preserve">摘要（ZH）: </w:t>
      </w:r>
      <w:r>
        <w:t>在许多正经历海洋快速变暖的温带地区，巨藻（海藻）林正被低矮的草皮藻类所取代。然而，这种生物源栖息地的变化是否改变了珊瑚礁层面的微生物结构与功能（包括碳和营养盐循环）仍 largely未知。本研究整合了鸟枪法宏基因组学和非靶向代谢组学，揭示巨藻林丧失改变了礁体微生物群落组成及其相关的生化机制，导致巨藻主导与草皮藻主导的珊瑚礁上产生截然不同的代谢组以及微生物驱动的元素利用/转化。因此，我们的结果表明微生物在塑造巨藻林生态系统功能中发挥关键作用。此外，研究结果证明人类引起的海洋变暖对微生物介导的化学过程具有级联效应，对沿海碳储存和营养盐再生具有重要意义。</w:t>
      </w:r>
    </w:p>
    <w:p>
      <w:pPr>
        <w:spacing w:before="0" w:after="200" w:lineRule="auto" w:line="276"/>
      </w:pPr>
      <w:r>
        <w:rPr>
          <w:b/>
        </w:rPr>
        <w:t xml:space="preserve">Abstract (EN): </w:t>
      </w:r>
      <w:r>
        <w:t>In many temperate regions experiencing rapid ocean warming, kelp forests are being replaced by low-lying turf algae. Yet, whether this change in biogenic habitat alters reef-level microbial structure and function, including carbon and nutrient cycling, remains largely unknown. Here, we integrated shotgun metagenomics and nontargeted metabolomics to reveal that kelp forest loss alters the composition of the reef microbial community and its associated biochemical machinery, resulting in distinct metabolomes and microbially driven elemental use/transformations on kelp- vs. turf-dominated reefs. Our results therefore suggest that microbes play a key role in shaping kelp forest ecosystem functioning. Further, they demonstrate that human-induced ocean warming has cascading effects on microbially mediated chemistry, with implications for coastal carbon storage and nutrient regeneration.</w:t>
      </w:r>
    </w:p>
    <w:p>
      <w:pPr>
        <w:spacing w:before="120" w:after="120"/>
      </w:pPr>
      <w:r>
        <w:rPr>
          <w:sz w:val="18"/>
        </w:rPr>
        <w:t>——————————————————————————————————————————————————————————————————————</w:t>
      </w:r>
    </w:p>
    <w:p>
      <w:pPr>
        <w:spacing w:before="160" w:after="40" w:line="240" w:lineRule="auto"/>
      </w:pPr>
      <w:r>
        <w:rPr>
          <w:b/>
        </w:rPr>
        <w:t xml:space="preserve">[312] </w:t>
      </w:r>
      <w:hyperlink r:id="rId953">
        <w:r>
          <w:rPr>
            <w:color w:val="1155CC"/>
            <w:u w:val="single"/>
          </w:rPr>
          <w:t>基于祖先模式的孕期饮食促进胎儿皮层下脑区生长</w:t>
        </w:r>
      </w:hyperlink>
    </w:p>
    <w:p>
      <w:pPr>
        <w:spacing w:before="0" w:after="80"/>
      </w:pPr>
      <w:r>
        <w:rPr>
          <w:i/>
          <w:sz w:val="20"/>
        </w:rPr>
        <w:t>EN: Pregnancy diet based on ancestral patterns increases growth in subcortical fetal brain regions</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54">
        <w:r>
          <w:rPr>
            <w:color w:val="1155CC"/>
            <w:u w:val="single"/>
          </w:rPr>
          <w:t>10.1073/pnas.2602218123</w:t>
        </w:r>
      </w:hyperlink>
    </w:p>
    <w:p>
      <w:pPr>
        <w:spacing w:before="0" w:after="120"/>
      </w:pPr>
      <w:r>
        <w:rPr>
          <w:b/>
        </w:rPr>
        <w:t xml:space="preserve">Notes: </w:t>
      </w:r>
      <w:r>
        <w:t>abstract_source=crossref</w:t>
      </w:r>
    </w:p>
    <w:p>
      <w:pPr>
        <w:spacing w:before="0" w:after="80" w:lineRule="auto" w:line="276"/>
      </w:pPr>
      <w:r>
        <w:rPr>
          <w:b/>
        </w:rPr>
        <w:t xml:space="preserve">摘要（ZH）: </w:t>
      </w:r>
      <w:r>
        <w:t>关于母体营养影响胎儿和新生儿神经发育的生物学基础的证据仍然有限。这项在厄瓜多尔开展的随机对照试验检验了一种母体膳食模式——源自人类进化营养学的实证研究并经过本地化调整——对后代生长和大脑发育的影响。处于孕早期的孕妇（n = 215）被随机分为：1）对照组（n = 104）；或2）Mikhuna（克丘亚语中“滋养”之意）干预组（n = 111）。干预措施从孕12周持续至分娩，包括每周食品配送（8个鸡蛋、500克鱼以及多种可持续来源的果蔬）和一项鼓励膳食多样性、限制高度加工食品的行为改变传播策略。纵向数据采集分别在孕12周、21周、35周及产后2周进行，包括胎儿骨骼和大脑参数的超声成像、母体膳食摄入、人体测量、社会人口学变量及其他生物标志物。干预结束时，Mikhuna组达到最低膳食多样性阈值的女性比例（74.5%）显著高于对照组（55.8%）（P = 0.004）。广义线性回归模型显示，从孕21周到35周，Mikhuna组与对照组相比以下指标存在显著差异：胼胝体长度0.19 cm（95% CI [0.02, 0.35]），丘脑神经节卵圆体高度0.15 cm（95% CI [0.03, 0.26]），股骨长度−0.10 cm（95% CI [−0.19, −0.02]）；以及胼胝体Z值0.56（95% CI [0.03, 1.09]）和股骨长度Z值−0.21（95% CI</w:t>
      </w:r>
    </w:p>
    <w:p>
      <w:pPr>
        <w:spacing w:before="0" w:after="200" w:lineRule="auto" w:line="276"/>
      </w:pPr>
      <w:r>
        <w:rPr>
          <w:b/>
        </w:rPr>
        <w:t xml:space="preserve">Abstract (EN): </w:t>
      </w:r>
      <w:r>
        <w:t>Evidence on the biological basis for maternal nutrition effects on fetal and newborn neurodevelopment remains limited. This randomized controlled trial in Ecuador tested a maternal dietary pattern—derived from empirical studies of nutrition in human evolution and adapted locally—on offspring growth and brain development. Pregnant women (n = 215) in their first trimester were randomized to: 1) control (n = 104); or 2) Mikhuna (“nourish” in Kichwa) intervention (n = 111). The intervention, from 12 wk gestation to birth, consisted of a weekly food delivery (8 eggs, 500 g fish, and a variety of sustainably sourced fruits and vegetables) and a behavior change communication strategy encouraging diet diversity and limiting highly processed foods. Longitudinal data collection occurred at 12 wk, 21 wk, 35 wk gestation, and 2 wk postpartum, and included ultrasound imaging of fetal bone and brain parameters, maternal dietary intakes, anthropometry, socioeconomic and demographic variables, and other biomarkers. At close of intervention, a significantly higher percentage of women met the minimum dietary diversity threshold in Mikhuna (74.5%) vs. control groups (55.8%) (</w:t>
      </w:r>
      <w:r>
        <w:t xml:space="preserve"> </w:t>
      </w:r>
      <w:r>
        <w:t>P</w:t>
      </w:r>
      <w:r>
        <w:t xml:space="preserve"> </w:t>
      </w:r>
      <w:r>
        <w:t>= 0.004). Generalized linear regression models showed significant differences in Mikhuna compared to control for: corpus callosum length 0.19 cm (95% CI [0.02, 0.35]), gangliothalamic ovoid height 0.15 cm (95% CI [0.03 to 0.26]), and femur length −0.10 cm (95% CI [−0.19, −0.02]) from 21 wk to 35 wk; and corpus callosum Z 0.56 (95% CI [0.03, 1.09]) and femur length Z −0.21 (95% CI [−0.42, 0.00]) at 35 wk. The Mikhuna intervention increased the growth of subcortical fetal brain structures, which have established roles in motor control, cognition, and signal transmission.</w:t>
      </w:r>
    </w:p>
    <w:p>
      <w:pPr>
        <w:spacing w:before="120" w:after="120"/>
      </w:pPr>
      <w:r>
        <w:rPr>
          <w:sz w:val="18"/>
        </w:rPr>
        <w:t>——————————————————————————————————————————————————————————————————————</w:t>
      </w:r>
    </w:p>
    <w:p>
      <w:pPr>
        <w:spacing w:before="160" w:after="40" w:line="240" w:lineRule="auto"/>
      </w:pPr>
      <w:r>
        <w:rPr>
          <w:b/>
        </w:rPr>
        <w:t xml:space="preserve">[313] </w:t>
      </w:r>
      <w:hyperlink r:id="rId955">
        <w:r>
          <w:rPr>
            <w:color w:val="1155CC"/>
            <w:u w:val="single"/>
          </w:rPr>
          <w:t>尖端起始复合物内的β链添加许可多种IV型纤毛的组装</w:t>
        </w:r>
      </w:hyperlink>
    </w:p>
    <w:p>
      <w:pPr>
        <w:spacing w:before="0" w:after="80"/>
      </w:pPr>
      <w:r>
        <w:rPr>
          <w:i/>
          <w:sz w:val="20"/>
        </w:rPr>
        <w:t>EN: β-strand addition within tip initiation complexes licenses assembly of diverse type IV filaments</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56">
        <w:r>
          <w:rPr>
            <w:color w:val="1155CC"/>
            <w:u w:val="single"/>
          </w:rPr>
          <w:t>10.1073/pnas.2602298123</w:t>
        </w:r>
      </w:hyperlink>
    </w:p>
    <w:p>
      <w:pPr>
        <w:spacing w:before="0" w:after="120"/>
      </w:pPr>
      <w:r>
        <w:rPr>
          <w:b/>
        </w:rPr>
        <w:t xml:space="preserve">Notes: </w:t>
      </w:r>
      <w:r>
        <w:t>abstract_source=crossref</w:t>
      </w:r>
    </w:p>
    <w:p>
      <w:pPr>
        <w:spacing w:before="0" w:after="80" w:lineRule="auto" w:line="276"/>
      </w:pPr>
      <w:r>
        <w:rPr>
          <w:b/>
        </w:rPr>
        <w:t xml:space="preserve">摘要（ZH）: </w:t>
      </w:r>
      <w:r>
        <w:t>PilC/PilY1蛋白是IV型菌毛（T4P）的顶端定位黏附素，对T4P在多种行为中的功能至关重要，包括蹭行运动、DNA摄取和宿主细胞黏附。据推测，PilC和PilY1黏附素与由次要菌毛蛋白（PilIJK家族蛋白）组成的起始复合物相互作用，以帮助启动T4P的聚合，但PilC/PilY1蛋白如何促进纤维组装一直不清楚。我们结合结构建模、遗传学和生化实验，利用 Neisseria gonorrhoeae 和 Acinetobacter baylyi 阐明了PilC/PilY1如何调控T4P组装：PilC/PilY1 C末端的一个短肽通过与PilK家族次要菌毛蛋白的β链加合启动T4P组装。该β链是触发纤维组装的必要条件且部分足够。在工作模型中，PilK-PilC/PilY1复合物被预先形成的PilI-PilJ异源二聚体识别，形成四元“许可复合物”，进而模板化并启动纤维组装。在缺乏PilC/PilY1的II型分泌系统（T2SS）中，PilK同源物直接整合由T4P中PilC/PilY1提供的末端β链。此外，系统发育上独特的Tad T4P缺乏经典的PilK同源物，而是含有一种结构相似的次要菌毛蛋白样蛋白TadG/CpaL，该蛋白对纤维组装十分重要。我们证明 Caulobacter crescentus Tad T4P的CpaL与T2SS的PilK同源物作用相似，提供组装所需的C末端β链</w:t>
      </w:r>
    </w:p>
    <w:p>
      <w:pPr>
        <w:spacing w:before="0" w:after="200" w:lineRule="auto" w:line="276"/>
      </w:pPr>
      <w:r>
        <w:rPr>
          <w:b/>
        </w:rPr>
        <w:t xml:space="preserve">Abstract (EN): </w:t>
      </w:r>
      <w:r>
        <w:t>PilC/PilY1 proteins are tip-located adhesins of type IV pili (T4P) that are critical for T4P function in diverse behaviors including twitching motility, DNA uptake, and host cell adhesion. PilC and PilY1 adhesins are proposed to interact with initiation complexes composed of minor pilins (PilIJK family proteins) to aid in initiation of T4P polymerization, but it has been unclear how PilC/PilY1 proteins promote fiber assembly. We combined structural modeling, genetic, and biochemical experiments using</w:t>
      </w:r>
      <w:r>
        <w:t xml:space="preserve"> </w:t>
      </w:r>
      <w:r>
        <w:t>Neisseria gonorrhoeae</w:t>
      </w:r>
      <w:r>
        <w:t xml:space="preserve"> </w:t>
      </w:r>
      <w:r>
        <w:t>and</w:t>
      </w:r>
      <w:r>
        <w:t xml:space="preserve"> </w:t>
      </w:r>
      <w:r>
        <w:t>Acinetobacter baylyi</w:t>
      </w:r>
      <w:r>
        <w:t xml:space="preserve"> </w:t>
      </w:r>
      <w:r>
        <w:t>to delineate how PilC/PilY1 control T4P assembly: a short peptide at the C-terminus of PilC/PilY1 initiates T4P assembly via β-strand addition with PilK-family minor pilins. This β-strand is necessary and partially sufficient to trigger fiber assembly. In a working model, the PilK-PilC/PilY1 complex is recognized by a preformed PilI-PilJ heterodimer to form a quaternary “licensing complex” that then templates and initiates fiber assembly. In type II secretion systems (T2SS) lacking PilC/PilY1, PilK homologs directly incorporate the terminal β-strand provided by PilC/PilY1 in T4P. Moreover, phylogenetically distinct Tad T4P lack a canonical PilK homolog and instead contain a structurally similar minor pilin-like protein called TadG/CpaL that is important for fiber assembly. We show that CpaL of</w:t>
      </w:r>
      <w:r>
        <w:t xml:space="preserve"> </w:t>
      </w:r>
      <w:r>
        <w:t>Caulobacter crescentus</w:t>
      </w:r>
      <w:r>
        <w:t xml:space="preserve"> </w:t>
      </w:r>
      <w:r>
        <w:t>Tad T4P acts similarly to the T2SS PilK homolog to provide the C-terminal β-strand required for assembly. Our results explain how PilC/PilY1 adhesins are retained on the fiber tip under enormous tensile loads generated during mechanical shear and T4P retraction and demonstrate how diverse T4P systems employ β-strand addition to license fiber assembly.</w:t>
      </w:r>
    </w:p>
    <w:p>
      <w:pPr>
        <w:spacing w:before="120" w:after="120"/>
      </w:pPr>
      <w:r>
        <w:rPr>
          <w:sz w:val="18"/>
        </w:rPr>
        <w:t>——————————————————————————————————————————————————————————————————————</w:t>
      </w:r>
    </w:p>
    <w:p>
      <w:pPr>
        <w:spacing w:before="160" w:after="40" w:line="240" w:lineRule="auto"/>
      </w:pPr>
      <w:r>
        <w:rPr>
          <w:b/>
        </w:rPr>
        <w:t xml:space="preserve">[314] </w:t>
      </w:r>
      <w:hyperlink r:id="rId957">
        <w:r>
          <w:rPr>
            <w:color w:val="1155CC"/>
            <w:u w:val="single"/>
          </w:rPr>
          <w:t>Zhang等人的更正：《重建大流行性呼吸道病毒在美国的早期空间传播》</w:t>
        </w:r>
      </w:hyperlink>
    </w:p>
    <w:p>
      <w:pPr>
        <w:spacing w:before="0" w:after="80"/>
      </w:pPr>
      <w:r>
        <w:rPr>
          <w:i/>
          <w:sz w:val="20"/>
        </w:rPr>
        <w:t>EN: Correction for Zhang et al., Reconstructing the early spatial spread of pandemic respiratory viruses in the United States</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58">
        <w:r>
          <w:rPr>
            <w:color w:val="1155CC"/>
            <w:u w:val="single"/>
          </w:rPr>
          <w:t>10.1073/pnas.2628616123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[315] </w:t>
      </w:r>
      <w:hyperlink r:id="rId959">
        <w:r>
          <w:rPr>
            <w:color w:val="1155CC"/>
            <w:u w:val="single"/>
          </w:rPr>
          <w:t>情感标注仅在优势母语中下调杏仁核活动</w:t>
        </w:r>
      </w:hyperlink>
    </w:p>
    <w:p>
      <w:pPr>
        <w:spacing w:before="0" w:after="80"/>
      </w:pPr>
      <w:r>
        <w:rPr>
          <w:i/>
          <w:sz w:val="20"/>
        </w:rPr>
        <w:t>EN: Affect labeling down-regulates amygdala only in a dominant native language</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60">
        <w:r>
          <w:rPr>
            <w:color w:val="1155CC"/>
            <w:u w:val="single"/>
          </w:rPr>
          <w:t>10.1073/pnas.2603126123</w:t>
        </w:r>
      </w:hyperlink>
    </w:p>
    <w:p>
      <w:pPr>
        <w:spacing w:before="0" w:after="120"/>
      </w:pPr>
      <w:r>
        <w:rPr>
          <w:b/>
        </w:rPr>
        <w:t xml:space="preserve">Notes: </w:t>
      </w:r>
      <w:r>
        <w:t>abstract_source=crossref</w:t>
      </w:r>
    </w:p>
    <w:p>
      <w:pPr>
        <w:spacing w:before="0" w:after="80" w:lineRule="auto" w:line="276"/>
      </w:pPr>
      <w:r>
        <w:rPr>
          <w:b/>
        </w:rPr>
        <w:t xml:space="preserve">摘要（ZH）: </w:t>
      </w:r>
      <w:r>
        <w:t>一种成功的情绪下调策略就是简单地给情绪贴标签（例如，在感到悲伤时说“我很难过”）。然而，这种被称为情感标注的方法究竟由何种机制发挥作用仍未解决。在本研究中，我们通过在一个此前被忽视的新群体——双语者——中检验情感标注的作用范围，从而约束所提出的情感标注机制。具体而言，我们考察了两个在语言优势性上有所不同的双语群体（西班牙语-英语、西班牙语-加泰罗尼亚语）（N = 151）。在不平衡双语者中，标注仅在优势的母语中降低了杏仁核活动，这一模式在两个双语群体中均得到重复。相比之下，令人惊讶的是，平衡双语者在两种语言中均未表现出杏仁核下调。此外，语言间杏仁核活动的差异随着第二语言使用的减少而增大。连接性分析与这些效应相一致：当用优势母语进行情感标注时，杏仁核-腹外侧前额叶皮层之间的耦合更高，而在较弱的第二语言中这一关系则发生逆转。总体而言，我们的研究发现将语言优势性确定为情感标注的边界条件，并表明现有理论在解释其神经调节效应时必须纳入语言经验。</w:t>
      </w:r>
    </w:p>
    <w:p>
      <w:pPr>
        <w:spacing w:before="0" w:after="200" w:lineRule="auto" w:line="276"/>
      </w:pPr>
      <w:r>
        <w:rPr>
          <w:b/>
        </w:rPr>
        <w:t xml:space="preserve">Abstract (EN): </w:t>
      </w:r>
      <w:r>
        <w:t>A successful strategy to down-regulate emotions is to simply label them (e.g., saying “I’m sad” when feeling sad). It however remains unresolved which mechanism is responsible for the efficacy of this approach known as affect labeling. Here, we constrain the proposed mechanisms of affect labeling by testing the scope of affect labeling in a new population previously neglected: bilinguals. Specifically, we examined two bilingual groups (Spanish-English, Spanish-Catalan) that varied in language dominance (N = 151). In unbalanced bilinguals, labeling reduced amygdala activity only in the dominant, native language, a pattern reproduced across both bilingual groups. In contrast, and surprisingly, balanced bilinguals showed no amygdala down-regulation in either language. Furthermore, the difference in amygdala activity between languages was larger with a reduced use of the second language. Connectivity analyses paralleled these effects: while the coupling between amygdala-ventrolateral prefrontal cortex was higher during affect labeling in a dominant native language, the relationship reversed in a weak second language. Overall, our findings identify language dominance as a boundary condition on affect labeling and suggest that current theories must incorporate language experience when explaining its neural regulatory effects.</w:t>
      </w:r>
    </w:p>
    <w:p>
      <w:pPr>
        <w:spacing w:before="120" w:after="120"/>
      </w:pPr>
      <w:r>
        <w:rPr>
          <w:sz w:val="18"/>
        </w:rPr>
        <w:t>——————————————————————————————————————————————————————————————————————</w:t>
      </w:r>
    </w:p>
    <w:p>
      <w:pPr>
        <w:spacing w:before="160" w:after="40" w:line="240" w:lineRule="auto"/>
      </w:pPr>
      <w:r>
        <w:rPr>
          <w:b/>
        </w:rPr>
        <w:t xml:space="preserve">[316] </w:t>
      </w:r>
      <w:hyperlink r:id="rId961">
        <w:r>
          <w:rPr>
            <w:color w:val="1155CC"/>
            <w:u w:val="single"/>
          </w:rPr>
          <w:t>风暴前微弱的地表中尺度海面温度梯度有利于热带气旋增强</w:t>
        </w:r>
      </w:hyperlink>
    </w:p>
    <w:p>
      <w:pPr>
        <w:spacing w:before="0" w:after="80"/>
      </w:pPr>
      <w:r>
        <w:rPr>
          <w:i/>
          <w:sz w:val="20"/>
        </w:rPr>
        <w:t>EN: Weak prestorm submesoscale sea surface temperature gradients conducive to tropical cyclone intensification</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62">
        <w:r>
          <w:rPr>
            <w:color w:val="1155CC"/>
            <w:u w:val="single"/>
          </w:rPr>
          <w:t>10.1073/pnas.2603330123</w:t>
        </w:r>
      </w:hyperlink>
    </w:p>
    <w:p>
      <w:pPr>
        <w:spacing w:before="0" w:after="120"/>
      </w:pPr>
      <w:r>
        <w:rPr>
          <w:b/>
        </w:rPr>
        <w:t xml:space="preserve">Notes: </w:t>
      </w:r>
      <w:r>
        <w:t>abstract_source=crossref</w:t>
      </w:r>
    </w:p>
    <w:p>
      <w:pPr>
        <w:spacing w:before="0" w:after="80" w:lineRule="auto" w:line="276"/>
      </w:pPr>
      <w:r>
        <w:rPr>
          <w:b/>
        </w:rPr>
        <w:t xml:space="preserve">摘要（ZH）: </w:t>
      </w:r>
      <w:r>
        <w:t>温暖的海水为热带气旋（TC）提供 essential 能量来源。众所周知，上层海洋的垂直温度梯度会显著影响热带气旋自身引起的海表冷却，从而调节热带气旋的加强。最近的高分辨率卫星图像显示，在热带气旋活跃区域普遍存在水平亚中尺度海表温度梯度（SSTGs），但它们是否以及如何影响热带气旋仍不清楚。在此我们表明，弱的台风前SSTGs会显著抑制气旋引起的冷却，而强的SSTGs在顺风向（down-front）风的作用下会增强冷却。顺风向风沿锋面吹拂，暖水位于其右侧；在地球自转的影响下，相关的上层海洋流通过Ekman输送将冷的、重的水体跨越锋面推向暖水一侧。在全球范围内汇总，弱的SSTGs有利于热带气旋加强，并使其强度比较强SSTGs上空的气旋高约40%。此外，约70%的快速加强的强热带气旋发生在弱SSTGs上空，约60%的强登陆热带气旋在登陆前几天经历了低于平均水平的SSTGs。因此，自1993年以来在所有热带气旋活跃区域观测到的SSTGs每十年约10%的下降趋势，应有利于热带气旋强度增强的趋势。因此，弱的台风前SSTG可作为具有破坏性影响的强热带气旋的预警信号，而解析亚中尺度SSTGs对于业务预报系统和用于热带气旋预估的气候模式至关重要。</w:t>
      </w:r>
    </w:p>
    <w:p>
      <w:pPr>
        <w:spacing w:before="0" w:after="200" w:lineRule="auto" w:line="276"/>
      </w:pPr>
      <w:r>
        <w:rPr>
          <w:b/>
        </w:rPr>
        <w:t xml:space="preserve">Abstract (EN): </w:t>
      </w:r>
      <w:r>
        <w:t>Warm ocean provides essential energy for tropical cyclones (TCs). It is well recognized that the upper-ocean vertical temperature gradients substantially influence TC-self-induced sea surface cooling, thereby moderating TC intensification. Recent high-resolution satellite imagery reveals ubiquitous horizontal submesoscale sea surface temperature gradients (SSTGs) in TC-active regions, but whether and how they might affect TCs remains unknown. Here, we show that weak prestorm SSTGs substantially suppress TC-induced cooling, whereas strong SSTGs enhance cooling under down-front winds. Down-front winds blow along the front with warm water on the right-hand side, and the associated current in the upper ocean pushing the cold, heavy water across the front to the warm side through Ekman transport under the influence of Earth’s rotation. Aggregated globally, weak SSTGs favor TC intensification and lead to approximately 40% higher TC intensity than that over strong SSTGs. Further, approximately 70% of rapidly intensifying intense TCs occur over weak SSTGs and approximately 60% of intense landfalling TCs experience below-average SSTGs in the days preceding landfall. Consequently, a decreasing trend of approximately 10% per decade in SSTGs, across all TC-active regions observed since 1993, should be conducive to a trend of increased TC intensity. Thus, weak prestorm SSTG can be an early-warning for intense TCs with destructive impacts, and resolving submesoscale SSTGs is essential in operational prediction systems and in climate models used for TC projection.</w:t>
      </w:r>
    </w:p>
    <w:p>
      <w:pPr>
        <w:spacing w:before="120" w:after="120"/>
      </w:pPr>
      <w:r>
        <w:rPr>
          <w:sz w:val="18"/>
        </w:rPr>
        <w:t>——————————————————————————————————————————————————————————————————————</w:t>
      </w:r>
    </w:p>
    <w:p>
      <w:pPr>
        <w:spacing w:before="160" w:after="40" w:line="240" w:lineRule="auto"/>
      </w:pPr>
      <w:r>
        <w:rPr>
          <w:b/>
        </w:rPr>
        <w:t xml:space="preserve">[317] </w:t>
      </w:r>
      <w:hyperlink r:id="rId963">
        <w:r>
          <w:rPr>
            <w:color w:val="1155CC"/>
            <w:u w:val="single"/>
          </w:rPr>
          <w:t>Polycomb抑制复合物2驱动血管炎症和疾病背后的血流敏感性内皮状态</w:t>
        </w:r>
      </w:hyperlink>
    </w:p>
    <w:p>
      <w:pPr>
        <w:spacing w:before="0" w:after="80"/>
      </w:pPr>
      <w:r>
        <w:rPr>
          <w:i/>
          <w:sz w:val="20"/>
        </w:rPr>
        <w:t>EN: Polycomb Repressive Complex 2 drives flow-sensitive endothelial states underlying vascular inflammation and disease</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64">
        <w:r>
          <w:rPr>
            <w:color w:val="1155CC"/>
            <w:u w:val="single"/>
          </w:rPr>
          <w:t>10.1073/pnas.2603888123</w:t>
        </w:r>
      </w:hyperlink>
    </w:p>
    <w:p>
      <w:pPr>
        <w:spacing w:before="0" w:after="120"/>
      </w:pPr>
      <w:r>
        <w:rPr>
          <w:b/>
        </w:rPr>
        <w:t xml:space="preserve">Notes: </w:t>
      </w:r>
      <w:r>
        <w:t>abstract_source=crossref</w:t>
      </w:r>
    </w:p>
    <w:p>
      <w:pPr>
        <w:spacing w:before="0" w:after="80" w:lineRule="auto" w:line="276"/>
      </w:pPr>
      <w:r>
        <w:rPr>
          <w:b/>
        </w:rPr>
        <w:t xml:space="preserve">摘要（ZH）: </w:t>
      </w:r>
      <w:r>
        <w:t>动脉粥样硬化性心血管疾病（ASCVD）是全球首要死因，其驱动因素是内皮细胞（EC）的炎症激活，并由保护性机械敏感转录因子Klf2和Klf4（Klf2/4）所制衡。斑块起始于动脉弯曲或分支处，在那里扰动剪切应力（DSS）抑制Klf2/4的表达并促进内皮的炎症激活。重要的是，DSS决定了斑块破裂的易损性，而斑块破裂是晚期疾病中引发心脏病发作或卒中的事件。然而，内皮炎症性力转导的核心决定因素及其用于治疗ASCVD病理的干预性靶向仍缺乏深入探索。在此，我们鉴定出多梳抑制复合物（PRC）2是血管内皮炎症和ASCVD进展的一个强效且可治疗靶向的驱动因子。PRC2对基因启动子/增强子（包括Klf2/4）中的组蛋白H3第27位赖氨酸进行三甲基化，从而阻断基因转录。整合的机制计算和实验研究确定PRC2是内皮细胞向炎症激活状态转变的核心决定因素。在来自人类ASCVD病变的内皮中，PRC2活性升高。在小鼠急性和慢性血管炎症模型中，使用tazemetostat（一种获美国食品药品监督管理局（FDA）批准的PRC2甲基转移酶EZH2抑制剂）进行干预治疗，减少了内皮炎症基因，延缓了疾病进展，并显著改善了斑块稳定性指标。本研究阐明了血管梗死中一种基本的表观遗传机制</w:t>
      </w:r>
    </w:p>
    <w:p>
      <w:pPr>
        <w:spacing w:before="0" w:after="200" w:lineRule="auto" w:line="276"/>
      </w:pPr>
      <w:r>
        <w:rPr>
          <w:b/>
        </w:rPr>
        <w:t xml:space="preserve">Abstract (EN): </w:t>
      </w:r>
      <w:r>
        <w:t>Atherosclerotic cardiovascular disease (ASCVD), the leading cause of mortality worldwide, is driven by endothelial cell (EC) inflammatory activation and counterbalanced by protective mechanosensitive transcription factors Klf2 and Klf4 (Klf2/4). Plaques initiate in arterial curves or branches where disturbed shear stress (DSS) restrains Klf2/4 expression and promotes inflammatory activation of the endothelium. Importantly, DSS determines plaque vulnerability to rupture, the event that precipitates heart attack or stroke in advanced disease. However, the central determinants of endothelial inflammatory mechanotransduction and their interventional targeting to treat ASCVD pathology remain underexplored. Here, we identify Polycomb Repressive Complex (PRC) 2 as a potent, therapeutically targetable driver of vascular endothelial inflammation and ASCVD progression. PRC2 trimethylates Histone H3 Lysine27 in gene promoters/enhancers, including Klf2/4, to block gene transcription. Integrated mechanistic computation and experimental studies identified PRC2 as a central determinant of the EC state transition to inflammatory activation. PRC2 activity is elevated in endothelium from human ASCVD lesions. In murine models of acute and chronic vascular inflammation, interventional treatment with tazemetostat, a Federal Drug Administration (FDA)-approved inhibitor of the PRC2 methyltransferase EZH2, reduced endothelial inflammatory genes, slowed disease progression, and drastically improved markers of plaque stability. This study elucidates a fundamental epigenetic mechanism in vascular inflammation and suggests a potential treatment for advanced and chronic cardiovascular inflammatory diseases.</w:t>
      </w:r>
    </w:p>
    <w:p>
      <w:pPr>
        <w:spacing w:before="120" w:after="120"/>
      </w:pPr>
      <w:r>
        <w:rPr>
          <w:sz w:val="18"/>
        </w:rPr>
        <w:t>——————————————————————————————————————————————————————————————————————</w:t>
      </w:r>
    </w:p>
    <w:p>
      <w:pPr>
        <w:spacing w:before="160" w:after="40" w:line="240" w:lineRule="auto"/>
      </w:pPr>
      <w:r>
        <w:rPr>
          <w:b/>
        </w:rPr>
        <w:t xml:space="preserve">[318] </w:t>
      </w:r>
      <w:hyperlink r:id="rId965">
        <w:r>
          <w:rPr>
            <w:color w:val="1155CC"/>
            <w:u w:val="single"/>
          </w:rPr>
          <w:t>线粒体表型偶联mtDNA基因分型的单细胞图谱分析</w:t>
        </w:r>
      </w:hyperlink>
    </w:p>
    <w:p>
      <w:pPr>
        <w:spacing w:before="0" w:after="80"/>
      </w:pPr>
      <w:r>
        <w:rPr>
          <w:i/>
          <w:sz w:val="20"/>
        </w:rPr>
        <w:t>EN: Single-cell profiling of mitochondrial phenotyping–coupled mtDNA genotyping</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66">
        <w:r>
          <w:rPr>
            <w:color w:val="1155CC"/>
            <w:u w:val="single"/>
          </w:rPr>
          <w:t>10.1073/pnas.2531151123</w:t>
        </w:r>
      </w:hyperlink>
    </w:p>
    <w:p>
      <w:pPr>
        <w:spacing w:before="0" w:after="120"/>
      </w:pPr>
      <w:r>
        <w:rPr>
          <w:b/>
        </w:rPr>
        <w:t xml:space="preserve">Notes: </w:t>
      </w:r>
      <w:r>
        <w:t>abstract_source=crossref</w:t>
      </w:r>
    </w:p>
    <w:p>
      <w:pPr>
        <w:spacing w:before="0" w:after="80" w:lineRule="auto" w:line="276"/>
      </w:pPr>
      <w:r>
        <w:rPr>
          <w:b/>
        </w:rPr>
        <w:t xml:space="preserve">摘要（ZH）: </w:t>
      </w:r>
      <w:r>
        <w:t>由于缺乏能将线粒体基因型与其功能状态进行对应整合的方法，在单细胞水平上同时分析线粒体DNA（mtDNA）异质性和表型变异仍是一项挑战。我们引入了人类单细胞线粒体表型偶联mtDNA测序（scMPCDS），该平台可在单个细胞内同时定量mtDNA突变与异质性，以及线粒体膜电位和活性氧。与混样测序或独立的单组学技术不同，scMPCDS能直接将线粒体基因组不稳定性与功能结果相关联。利用该方法，我们证明DdCBE介导的mtDNA编辑会在线粒体基因组中诱发细胞特异性的脱靶突变，并伴随多样化的表型变化。将scMPCDS应用于HeLa细胞和透明细胞肾癌组织，我们鉴定出具有不同mtDNA突变负荷和生物能量谱改变的细胞亚群，提示线粒体异质性驱动的肿瘤演化潜能。总体而言，scMPCDS作为一种多功能工具，可在正常和疾病状态下解析单细胞水平的线粒体基因型—表型关系，从而推动精准的线粒体诊断与治疗。</w:t>
      </w:r>
    </w:p>
    <w:p>
      <w:pPr>
        <w:spacing w:before="0" w:after="200" w:lineRule="auto" w:line="276"/>
      </w:pPr>
      <w:r>
        <w:rPr>
          <w:b/>
        </w:rPr>
        <w:t xml:space="preserve">Abstract (EN): </w:t>
      </w:r>
      <w:r>
        <w:t>Simultaneously profiling mitochondrial DNA (mtDNA) heteroplasmy and phenotypic variability at the single-cell level remains a challenge due to the absence of integrated methods that map mitochondrial genotypes alongside their functional states. We introduce human single-cell mitochondrial phenotype–coupled mtDNA sequencing (scMPCDS), a platform that quantifies mtDNA mutations and heteroplasmy together with mitochondrial membrane potential and reactive oxygen species within individual cells. Unlike bulk sequencing or separate single-omics techniques, scMPCDS directly correlates mitochondrial genomic instability with functional outcomes. Using this approach, we demonstrate that DdCBE-mediated mtDNA editing induces cell-specific off-target mutations in the mitochondrial genome, which coincide with diverse phenotypic changes. Applying scMPCDS to HeLa cells and clear cell renal cell carcinoma tissues, we identify single-cell subpopulations exhibiting distinct mtDNA mutation burdens and altered bioenergetic profiles, implicating potential mitochondrial heterogeneity-driven tumor evolution. Overall, scMPCDS serves as a versatile tool to unravel mitochondrial genotype–phenotype relationships at the single-cell level in both normal and disease states, thereby advancing precise mitochondrial diagnostics and therapeutics.</w:t>
      </w:r>
    </w:p>
    <w:p>
      <w:pPr>
        <w:spacing w:before="120" w:after="120"/>
      </w:pPr>
      <w:r>
        <w:rPr>
          <w:sz w:val="18"/>
        </w:rPr>
        <w:t>——————————————————————————————————————————————————————————————————————</w:t>
      </w:r>
    </w:p>
    <w:p>
      <w:pPr>
        <w:spacing w:before="160" w:after="40" w:line="240" w:lineRule="auto"/>
      </w:pPr>
      <w:r>
        <w:rPr>
          <w:b/>
        </w:rPr>
        <w:t xml:space="preserve">[319] </w:t>
      </w:r>
      <w:hyperlink r:id="rId967">
        <w:r>
          <w:rPr>
            <w:color w:val="1155CC"/>
            <w:u w:val="single"/>
          </w:rPr>
          <w:t>近亲结婚与亲密伴侣暴力及强迫控制暴露的减少</w:t>
        </w:r>
      </w:hyperlink>
    </w:p>
    <w:p>
      <w:pPr>
        <w:spacing w:before="0" w:after="80"/>
      </w:pPr>
      <w:r>
        <w:rPr>
          <w:i/>
          <w:sz w:val="20"/>
        </w:rPr>
        <w:t>EN: Cousin marriage and reduced exposure to intimate partner violence and coercive control</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68">
        <w:r>
          <w:rPr>
            <w:color w:val="1155CC"/>
            <w:u w:val="single"/>
          </w:rPr>
          <w:t>10.1073/pnas.2600906123</w:t>
        </w:r>
      </w:hyperlink>
    </w:p>
    <w:p>
      <w:pPr>
        <w:spacing w:before="0" w:after="120"/>
      </w:pPr>
      <w:r>
        <w:rPr>
          <w:b/>
        </w:rPr>
        <w:t xml:space="preserve">Notes: </w:t>
      </w:r>
      <w:r>
        <w:t>abstract_source=crossref</w:t>
      </w:r>
    </w:p>
    <w:p>
      <w:pPr>
        <w:spacing w:before="0" w:after="80" w:lineRule="auto" w:line="276"/>
      </w:pPr>
      <w:r>
        <w:rPr>
          <w:b/>
        </w:rPr>
        <w:t xml:space="preserve">摘要（ZH）: </w:t>
      </w:r>
      <w:r>
        <w:t>近亲结婚（表亲联姻）在世界超过10%的人口中实行，通过血缘与姻亲关系的重叠重构了亲属网络。关于这种亲属密度如何影响家庭内部冲突，理论给出了相互竞争的预测。“保护”观点认为，近亲结合使配偶利益一致，并增强亲属监督，从而降低男性使用强迫的动机和机会。相反，“约束”观点强调，密集的亲属网络可能将家庭凝聚置于女性自主权之上，从而可能抑制求助行为并助长控制。在此，我利用来自埃及、约旦、巴基斯坦和土耳其的约36,000至46,000名女性的数据对这些假说进行裁决。使用聚类固定效应模型，在同一人口与健康调查初级抽样单元和调查轮次内比较女性，我发现与表亲结婚相比，嫁给第一代堂/表亲的女性遭受身体亲密伴侣暴力的概率低2.5个百分点（相对风险降低约11%）。强制性控制行为也出现类似的降低，且在匹配可观测混杂因素后估计结果依然稳健。身体暴力的保护性关联在父系表亲中比母系表亲更强，这与保护依赖于父系制度中对男性拥有公认权威的亲属而非泛化的亲缘关系相一致。在土耳其，该关联在调整双方父母的近亲结婚状况后仍然存在，表明其并不能完全由与t相关的家庭层面特征解释。</w:t>
      </w:r>
    </w:p>
    <w:p>
      <w:pPr>
        <w:spacing w:before="0" w:after="200" w:lineRule="auto" w:line="276"/>
      </w:pPr>
      <w:r>
        <w:rPr>
          <w:b/>
        </w:rPr>
        <w:t xml:space="preserve">Abstract (EN): </w:t>
      </w:r>
      <w:r>
        <w:t>Cousin marriage, practiced by over 10% of the world’s population, restructures kinship networks by overlapping blood and affinal ties. Theory makes competing predictions about how such kin density shapes intrahousehold conflict. “Protection” accounts posit that consanguinity aligns spouses’ interests and increases kin oversight, reducing men’s incentives and opportunities to use coercion. “Constraint” accounts, by contrast, emphasize that dense kin networks can prioritize family cohesion over women’s autonomy, potentially suppressing help-seeking and facilitating control. Here, I adjudicate between these hypotheses using data on ~36 to 46,000 women from Egypt, Jordan, Pakistan, and Türkiye. Using cluster-fixed-effects models that compare women within the same Demographic and Health Survey primary sampling units and survey waves, I find that marriage to a first cousin is associated with a 2.5 percentage-point lower probability of physical intimate partner violence relative to nonconsanguineous unions (≈11% lower relative risk). Parallel reductions are observed for coercive controlling behaviors and estimates are robust to matching on observed confounders. The protective association for physical violence is stronger for patrilateral than matrilateral cousins, consistent with protection depending on kin with recognized authority over men in patrilineal systems rather than generic relatedness. In Türkiye, the association persists after adjusting for both spouses’ parental consanguinity, suggesting that it is not explained solely by family-level characteristics associated with the intergenerational practice of cousin marriage. These findings indicate that, in these settings, consanguinity is associated with lower reported violence and control.</w:t>
      </w:r>
    </w:p>
    <w:p>
      <w:pPr>
        <w:spacing w:before="120" w:after="120"/>
      </w:pPr>
      <w:r>
        <w:rPr>
          <w:sz w:val="18"/>
        </w:rPr>
        <w:t>——————————————————————————————————————————————————————————————————————</w:t>
      </w:r>
    </w:p>
    <w:p>
      <w:pPr>
        <w:spacing w:before="160" w:after="40" w:line="240" w:lineRule="auto"/>
      </w:pPr>
      <w:r>
        <w:rPr>
          <w:b/>
        </w:rPr>
        <w:t xml:space="preserve">[320] </w:t>
      </w:r>
      <w:hyperlink r:id="rId969">
        <w:r>
          <w:rPr>
            <w:color w:val="1155CC"/>
            <w:u w:val="single"/>
          </w:rPr>
          <w:t>干旱针叶林景观中近期的高强度野火在五个世纪内前所未有并预示未来森林丧失</w:t>
        </w:r>
      </w:hyperlink>
    </w:p>
    <w:p>
      <w:pPr>
        <w:spacing w:before="0" w:after="80"/>
      </w:pPr>
      <w:r>
        <w:rPr>
          <w:i/>
          <w:sz w:val="20"/>
        </w:rPr>
        <w:t>EN: Recent high-severity wildfires in a dry-conifer landscape are unprecedented over five centuries and foretell future forest loss</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70">
        <w:r>
          <w:rPr>
            <w:color w:val="1155CC"/>
            <w:u w:val="single"/>
          </w:rPr>
          <w:t>10.1073/pnas.2513731123</w:t>
        </w:r>
      </w:hyperlink>
    </w:p>
    <w:p>
      <w:pPr>
        <w:spacing w:before="0" w:after="120"/>
      </w:pPr>
      <w:r>
        <w:rPr>
          <w:b/>
        </w:rPr>
        <w:t xml:space="preserve">Notes: </w:t>
      </w:r>
      <w:r>
        <w:t>abstract_source=crossref</w:t>
      </w:r>
    </w:p>
    <w:p>
      <w:pPr>
        <w:spacing w:before="0" w:after="80" w:lineRule="auto" w:line="276"/>
      </w:pPr>
      <w:r>
        <w:rPr>
          <w:b/>
        </w:rPr>
        <w:t xml:space="preserve">摘要（ZH）: </w:t>
      </w:r>
      <w:r>
        <w:t>美国西部的干旱森林在频繁、空间广泛、低强度火灾中演化，随后经历了一个世纪的火灾排除。近来，这些森林遭遇了大规模且日益严重的火灾，造成广泛的森林损失。现代高强度火灾在多大程度上偏离了1900年以前的火灾状况，这些偏离又如何影响干旱针叶林的未来存续？我们采用多尺度方法回答这些问题，将北美最大的景观尺度树轮火疤网络与中性景观模型模拟相结合，应用于新墨西哥州北部的Jemez山脉。火疤记录了约公元1500–1900年期间连续400年的频繁低强度火灾历史，跨越各个样点、景观和世纪。我们评估了展现这一记录的森林若在历史上以现代高强度火灾模式燃烧是否能合理存续。在240,000公顷的Jemez景观中，1995–2024年的高强度火灾烧毁了32%的火疮样点和25%的干旱针叶林。在Las Conches火灾火线范围内——一个61,000公顷、被多次火灾复燃的区域——66%的火疤样点和71%的森林遭受高强度燃烧，抹去了数个世纪的森林与火灾历史。模拟表明，在现代高强度火灾率下，观测到的火疤网络得以存续的概率接近于零（</w:t>
      </w:r>
      <w:r>
        <w:t xml:space="preserve"> </w:t>
      </w:r>
      <w:r>
        <w:t>P</w:t>
      </w:r>
      <w:r>
        <w:t xml:space="preserve"> </w:t>
      </w:r>
      <w:r>
        <w:t>&lt; 0.001）。将这些动态向前投影表明，干旱针叶林和树轮火灾史都将迅速丧失。</w:t>
      </w:r>
    </w:p>
    <w:p>
      <w:pPr>
        <w:spacing w:before="0" w:after="200" w:lineRule="auto" w:line="276"/>
      </w:pPr>
      <w:r>
        <w:rPr>
          <w:b/>
        </w:rPr>
        <w:t xml:space="preserve">Abstract (EN): </w:t>
      </w:r>
      <w:r>
        <w:t>Dry forests of the western United States evolved with frequent, spatially extensive, low-severity fires, followed by a century of fire exclusion. Recently, these same forests have experienced large and increasingly severe fires causing widespread forest loss. To what extent do modern high-severity fires depart from pre-1900 fire regimes, and how do these departures affect the future persistence of dry-conifer forests? We address these questions using a multiscalar approach that combines the largest landscape-scale tree-ring fire-scar network in North America with neutral landscape model simulations in the Jemez Mountains of northern New Mexico. Fire scars recorded a continuous 400-y history (ca. 1500–1900 CE) of frequent, low-severity fires across individual sites, landscapes, and centuries. We evaluated whether forests exhibiting this record could plausibly persist if they had historically burned under modern patterns of high-severity fire. Across the 240,000-ha Jemez landscape, high-severity fires from 1995–2024 burned 32% of fire-scar sites and 25% of dry-conifer forests. Within the Las Conchas Fire perimeter—a 61,000 ha area reburned by multiple fires—66% of fire-scar sites and 71% of forests were burned at high severity, erasing multiple centuries of forest and fire history. Simulations indicate that the probability of the observed fire-scar network persisting under modern high-severity fire rates is near-zero (</w:t>
      </w:r>
      <w:r>
        <w:t xml:space="preserve"> </w:t>
      </w:r>
      <w:r>
        <w:t>P</w:t>
      </w:r>
      <w:r>
        <w:t xml:space="preserve"> </w:t>
      </w:r>
      <w:r>
        <w:t>&amp;lt; 0.001). Projecting these dynamics forward indicates rapid loss of both dry-conifer forests and tree-ring fire histories—50% of modern dry-conifer forest will remain by 2055, and 24% by 2115. Modern high-severity fire regimes appear incompatible with dry-conifer forest persistence.</w:t>
      </w:r>
    </w:p>
    <w:p>
      <w:pPr>
        <w:spacing w:before="120" w:after="120"/>
      </w:pPr>
      <w:r>
        <w:rPr>
          <w:sz w:val="18"/>
        </w:rPr>
        <w:t>——————————————————————————————————————————————————————————————————————</w:t>
      </w:r>
    </w:p>
    <w:p>
      <w:pPr>
        <w:spacing w:before="160" w:after="40" w:line="240" w:lineRule="auto"/>
      </w:pPr>
      <w:r>
        <w:rPr>
          <w:b/>
        </w:rPr>
        <w:t xml:space="preserve">[321] </w:t>
      </w:r>
      <w:hyperlink r:id="rId971">
        <w:r>
          <w:rPr>
            <w:color w:val="1155CC"/>
            <w:u w:val="single"/>
          </w:rPr>
          <w:t>超越小鼠和鹿：莱姆病作为一项群落生态学挑战</w:t>
        </w:r>
      </w:hyperlink>
    </w:p>
    <w:p>
      <w:pPr>
        <w:spacing w:before="0" w:after="80"/>
      </w:pPr>
      <w:r>
        <w:rPr>
          <w:i/>
          <w:sz w:val="20"/>
        </w:rPr>
        <w:t>EN: Beyond mice and deer: Lyme disease as a community ecology challenge</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72">
        <w:r>
          <w:rPr>
            <w:color w:val="1155CC"/>
            <w:u w:val="single"/>
          </w:rPr>
          <w:t>10.1073/pnas.2626808123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[322] </w:t>
      </w:r>
      <w:hyperlink r:id="rId973">
        <w:r>
          <w:rPr>
            <w:color w:val="1155CC"/>
            <w:u w:val="single"/>
          </w:rPr>
          <w:t>解读免疫检查点抑制剂治疗中与疫苗相关的生存差异</w:t>
        </w:r>
      </w:hyperlink>
    </w:p>
    <w:p>
      <w:pPr>
        <w:spacing w:before="0" w:after="80"/>
      </w:pPr>
      <w:r>
        <w:rPr>
          <w:i/>
          <w:sz w:val="20"/>
        </w:rPr>
        <w:t>EN: Interpreting vaccine-associated survival differences in immune checkpoint inhibitor therapy</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74">
        <w:r>
          <w:rPr>
            <w:color w:val="1155CC"/>
            <w:u w:val="single"/>
          </w:rPr>
          <w:t>10.1073/pnas.2621501123</w:t>
        </w:r>
      </w:hyperlink>
    </w:p>
    <w:p>
      <w:pPr>
        <w:spacing w:before="0" w:after="120"/>
      </w:pPr>
      <w:r>
        <w:rPr>
          <w:b/>
        </w:rPr>
        <w:t xml:space="preserve">Notes: </w:t>
      </w:r>
      <w:r>
        <w:t>abstract_source=crossref</w:t>
      </w:r>
    </w:p>
    <w:p>
      <w:pPr>
        <w:spacing w:before="0" w:after="80" w:lineRule="auto" w:line="276"/>
      </w:pPr>
      <w:r>
        <w:rPr>
          <w:b/>
        </w:rPr>
        <w:t xml:space="preserve">摘要（ZH）: </w:t>
      </w:r>
      <w:r>
        <w:t>近期研究提出，SARS-CoV-2 mRNA疫苗可能通过免疫调节使肿瘤对免疫检查点抑制剂（ICI）治疗增敏。我们利用100%全国Medicare按服务收费报销数据，评估了接受ICI治疗的疫苗接种患者之间的生存差异是否为mRNA疫苗所特有。在121,676例开始系统性抗癌治疗的患者（包括10,824例开始ICI治疗的患者）中，治疗开始前后接种疫苗与较低的死亡率相关，这一现象在mRNA COVID-19疫苗、腺病毒载体COVID-19疫苗和流感疫苗中均存在。我们发现，疫苗平台之间的生存相关性以及疫苗–ICI formal交互效应相似。这些发现表明，目前可获得的群体水平生存数据无法证实一种mRNA特异性的肿瘤增敏机制。</w:t>
      </w:r>
    </w:p>
    <w:p>
      <w:pPr>
        <w:spacing w:before="0" w:after="200" w:lineRule="auto" w:line="276"/>
      </w:pPr>
      <w:r>
        <w:rPr>
          <w:b/>
        </w:rPr>
        <w:t xml:space="preserve">Abstract (EN): </w:t>
      </w:r>
      <w:r>
        <w:t>Recent studies proposed that SARS-CoV-2 mRNA vaccination may sensitize tumors to immune checkpoint inhibitor (ICI) therapy through immune modulation. Using 100% national Medicare fee-for-service claims data, we evaluated whether survival differences among vaccinated patients receiving ICIs were specific to mRNA vaccines. Among 121,676 beneficiaries initiating systemic anticancer therapy, including 10,824 initiating ICIs, vaccination near treatment initiation was associated with lower mortality across mRNA COVID-19, adenoviral COVID-19, and influenza vaccines. We found that survival associations and formal vaccine–ICI interaction effects were similar across vaccine platforms. These findings suggest that currently available population-level survival data do not isolate an mRNA-specific tumor-sensitization mechanism.</w:t>
      </w:r>
    </w:p>
    <w:p>
      <w:pPr>
        <w:spacing w:before="120" w:after="120"/>
      </w:pPr>
      <w:r>
        <w:rPr>
          <w:sz w:val="18"/>
        </w:rPr>
        <w:t>——————————————————————————————————————————————————————————————————————</w:t>
      </w:r>
    </w:p>
    <w:p>
      <w:pPr>
        <w:spacing w:before="160" w:after="40" w:line="240" w:lineRule="auto"/>
      </w:pPr>
      <w:r>
        <w:rPr>
          <w:b/>
        </w:rPr>
        <w:t xml:space="preserve">[323] </w:t>
      </w:r>
      <w:hyperlink r:id="rId975">
        <w:r>
          <w:rPr>
            <w:color w:val="1155CC"/>
            <w:u w:val="single"/>
          </w:rPr>
          <w:t>CDK8对DELLA的磷酸化限制了赤霉素信号通路中Mediator的招募</w:t>
        </w:r>
      </w:hyperlink>
    </w:p>
    <w:p>
      <w:pPr>
        <w:spacing w:before="0" w:after="80"/>
      </w:pPr>
      <w:r>
        <w:rPr>
          <w:i/>
          <w:sz w:val="20"/>
        </w:rPr>
        <w:t>EN: CDK8 phosphorylation of DELLA limits Mediator recruitment in gibberellin signaling</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76">
        <w:r>
          <w:rPr>
            <w:color w:val="1155CC"/>
            <w:u w:val="single"/>
          </w:rPr>
          <w:t>10.1073/pnas.2619939123</w:t>
        </w:r>
      </w:hyperlink>
    </w:p>
    <w:p>
      <w:pPr>
        <w:spacing w:before="0" w:after="120"/>
      </w:pPr>
      <w:r>
        <w:rPr>
          <w:b/>
        </w:rPr>
        <w:t xml:space="preserve">Notes: </w:t>
      </w:r>
      <w:r>
        <w:t>abstract_source=crossref</w:t>
      </w:r>
    </w:p>
    <w:p>
      <w:pPr>
        <w:spacing w:before="0" w:after="80" w:lineRule="auto" w:line="276"/>
      </w:pPr>
      <w:r>
        <w:rPr>
          <w:b/>
        </w:rPr>
        <w:t xml:space="preserve">摘要（ZH）: </w:t>
      </w:r>
      <w:r>
        <w:t>赤霉素（GA）主要通过触发DELLA转录调节因子的降解来促进植物生长，但DELLA活性如何在蛋白水解之外通过磷酸化被动态精细调控仍知之甚少。在此，我们发现Mediator复合物的CDK8激酶模块通过调节辅激活因子的招募来减弱拟南芥DELLA蛋白REPRESSOR OF ga1-3（RGA）的活性。利用基于TurboID的邻近标记、生化和遗传分析，我们鉴定CDK8为一种在植物体内磷酸化RGA其无序PolyS/T区Ser170位点的激酶。该磷酸化不影响RGA的稳定性、定位或与转录因子及组蛋白H2A的相互作用，但选择性削弱RGA与Mediator亚基MED15的结合，从而降低DELLA依赖的转录激活。与此一致，cdk8突变体表现出GA响应受损和发育阶段转换延迟，而DELLA功能缺失可部分挽救这些表型。我们的发现揭示了一种磷酸化依赖的机制，即Mediator激酶模块通过对DELLA–辅激活因子相互作用的选择性控制来精细调控激素响应转录。</w:t>
      </w:r>
    </w:p>
    <w:p>
      <w:pPr>
        <w:spacing w:before="0" w:after="200" w:lineRule="auto" w:line="276"/>
      </w:pPr>
      <w:r>
        <w:rPr>
          <w:b/>
        </w:rPr>
        <w:t xml:space="preserve">Abstract (EN): </w:t>
      </w:r>
      <w:r>
        <w:t>Gibberellin (GA) promotes plant growth primarily by triggering degradation of DELLA transcription regulators, yet how DELLA activity is fine-tuned dynamically by phosphorylation independently of proteolysis remains poorly understood. Here, we show that the CDK8 kinase module of the Mediator complex attenuates activity of the</w:t>
      </w:r>
      <w:r>
        <w:t xml:space="preserve"> </w:t>
      </w:r>
      <w:r>
        <w:t>Arabidopsis</w:t>
      </w:r>
      <w:r>
        <w:t xml:space="preserve"> </w:t>
      </w:r>
      <w:r>
        <w:t>DELLA protein REPRESSOR OF</w:t>
      </w:r>
      <w:r>
        <w:t xml:space="preserve"> </w:t>
      </w:r>
      <w:r>
        <w:t>ga1-3</w:t>
      </w:r>
      <w:r>
        <w:t xml:space="preserve"> </w:t>
      </w:r>
      <w:r>
        <w:t>(RGA) by modulating coactivator recruitment. Using TurboID-based proximity labeling, biochemical and genetic analyses, we identify CDK8 as an in planta kinase that phosphorylates RGA at Ser170 within its disordered PolyS/T region. This phosphorylation does not affect RGA stability, localization, or interactions with transcription factors or histone H2A, but selectively weakens RGA association with the Mediator subunit MED15, thereby reducing DELLA-dependent transcription activation. Consistently,</w:t>
      </w:r>
      <w:r>
        <w:t xml:space="preserve"> </w:t>
      </w:r>
      <w:r>
        <w:t>cdk8</w:t>
      </w:r>
      <w:r>
        <w:t xml:space="preserve"> </w:t>
      </w:r>
      <w:r>
        <w:t>mutants show impaired GA-responses and delayed developmental phase transitions that are partially rescued by loss of DELLA function. Our findings uncover a phosphorylation-dependent mechanism by which the Mediator kinase module fine-tunes hormone-responsive transcription through selective control of DELLA–coactivator interactions.</w:t>
      </w:r>
    </w:p>
    <w:p>
      <w:pPr>
        <w:spacing w:before="120" w:after="120"/>
      </w:pPr>
      <w:r>
        <w:rPr>
          <w:sz w:val="18"/>
        </w:rPr>
        <w:t>——————————————————————————————————————————————————————————————————————</w:t>
      </w:r>
    </w:p>
    <w:p>
      <w:pPr>
        <w:spacing w:before="160" w:after="40" w:line="240" w:lineRule="auto"/>
      </w:pPr>
      <w:r>
        <w:rPr>
          <w:b/>
        </w:rPr>
        <w:t xml:space="preserve">[324] </w:t>
      </w:r>
      <w:hyperlink r:id="rId977">
        <w:r>
          <w:rPr>
            <w:color w:val="1155CC"/>
            <w:u w:val="single"/>
          </w:rPr>
          <w:t>多肽偶联红细胞治疗多发性硬化症可诱导抗原特异性调节性T细胞</w:t>
        </w:r>
      </w:hyperlink>
    </w:p>
    <w:p>
      <w:pPr>
        <w:spacing w:before="0" w:after="80"/>
      </w:pPr>
      <w:r>
        <w:rPr>
          <w:i/>
          <w:sz w:val="20"/>
        </w:rPr>
        <w:t>EN: Treatment of multiple sclerosis with peptide-coupled red blood cells induces antigen-specific T regulatory cells</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78">
        <w:r>
          <w:rPr>
            <w:color w:val="1155CC"/>
            <w:u w:val="single"/>
          </w:rPr>
          <w:t>10.1073/pnas.2614908123</w:t>
        </w:r>
      </w:hyperlink>
    </w:p>
    <w:p>
      <w:pPr>
        <w:spacing w:before="0" w:after="120"/>
      </w:pPr>
      <w:r>
        <w:rPr>
          <w:b/>
        </w:rPr>
        <w:t xml:space="preserve">Notes: </w:t>
      </w:r>
      <w:r>
        <w:t>abstract_source=crossref</w:t>
      </w:r>
    </w:p>
    <w:p>
      <w:pPr>
        <w:spacing w:before="0" w:after="80" w:lineRule="auto" w:line="276"/>
      </w:pPr>
      <w:r>
        <w:rPr>
          <w:b/>
        </w:rPr>
        <w:t xml:space="preserve">摘要（ZH）: </w:t>
      </w:r>
      <w:r>
        <w:t>诱导抗原特异性免疫耐受是包括多发性硬化症（MS）在内的器官特异性自身免疫性疾病的长期目标。我们开发了一种基于自体红细胞（RBC）作为自身抗原耐受载体的疗法，并在一项开放标签、剂量递增的Ib期临床试验中以临床、影像和机制读出指标进行了检验。偶联七种免疫优势髓鞘肽的红细胞（pcRBC）安全且耐受性良好。多项临床和影像读出指标保持稳定，神经丝轻链的减少提供了支持，表明脑内组织炎症降低。单细胞RNA测序发现，单次给予pcRBC三个月后，抗原特异性CD4+记忆性T细胞向调节性表型扩增，而促炎性细胞减少。这一结果得到自身反应性CD4+ T细胞应答减少以及IL-10、Tr1调节性T细胞和耐受性单核细胞及浆细胞样树突状细胞早期增加的证实。小鼠和人体内的生物分布研究表明，pcRBC被肝脏Kupffer细胞和脾脏边缘区巨噬细胞快速处理。总之，pcRBC是一种有望在MS中实现抗原特异性免疫耐受的自体细胞疗法。</w:t>
      </w:r>
    </w:p>
    <w:p>
      <w:pPr>
        <w:spacing w:before="0" w:after="200" w:lineRule="auto" w:line="276"/>
      </w:pPr>
      <w:r>
        <w:rPr>
          <w:b/>
        </w:rPr>
        <w:t xml:space="preserve">Abstract (EN): </w:t>
      </w:r>
      <w:r>
        <w:t>Inducing antigen-specific immune tolerance is a long-standing aim in organ-specific autoimmune diseases including multiple sclerosis (MS). We developed a therapy based on autologous red blood cells (RBCs) as tolerizing carriers of autoantigens and tested these in an open-label, dose-escalation, phase Ib clinical trial with clinical, imaging, and mechanistic readouts. RBCs coupled with seven immunodominant myelin peptides (pcRBCs) were safe and well tolerated. Several clinical and imaging readouts remained stable, which was supported by a reduction of neurofilament light chain indicating reduced tissue inflammation in the brain. Single-cell RNA sequencing identified expansion of antigen-specific CD4+ memory T cells with regulatory phenotypes and loss of proinflammatory cells three months after a single administration of pcRBCs. This was corroborated by a reduction of autoreactive CD4+ T cell responses and an early increase of IL-10, Tr1 regulatory T cells and tolerogenic monocytes and plasmacytoid dendritic cells. Biodistribution studies in mice and humans demonstrate that pcRBCs are rapidly processed by Kupffer cells in the liver and by marginal zone macrophages in the spleen. In summary, pcRBCs are a promising autologous cell therapy for achieving antigen-specific immune tolerance in MS.</w:t>
      </w:r>
    </w:p>
    <w:p>
      <w:pPr>
        <w:spacing w:before="120" w:after="120"/>
      </w:pPr>
      <w:r>
        <w:rPr>
          <w:sz w:val="18"/>
        </w:rPr>
        <w:t>——————————————————————————————————————————————————————————————————————</w:t>
      </w:r>
    </w:p>
    <w:p>
      <w:pPr>
        <w:spacing w:before="160" w:after="40" w:line="240" w:lineRule="auto"/>
      </w:pPr>
      <w:r>
        <w:rPr>
          <w:b/>
        </w:rPr>
        <w:t xml:space="preserve">[325] </w:t>
      </w:r>
      <w:hyperlink r:id="rId979">
        <w:r>
          <w:rPr>
            <w:color w:val="1155CC"/>
            <w:u w:val="single"/>
          </w:rPr>
          <w:t>南极土壤细菌特有性与局部适应的证据</w:t>
        </w:r>
      </w:hyperlink>
    </w:p>
    <w:p>
      <w:pPr>
        <w:spacing w:before="0" w:after="80"/>
      </w:pPr>
      <w:r>
        <w:rPr>
          <w:i/>
          <w:sz w:val="20"/>
        </w:rPr>
        <w:t>EN: Evidence for endemism and local adaptation in Antarctic soil bacteria</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80">
        <w:r>
          <w:rPr>
            <w:color w:val="1155CC"/>
            <w:u w:val="single"/>
          </w:rPr>
          <w:t>10.1073/pnas.2611373123</w:t>
        </w:r>
      </w:hyperlink>
    </w:p>
    <w:p>
      <w:pPr>
        <w:spacing w:before="0" w:after="120"/>
      </w:pPr>
      <w:r>
        <w:rPr>
          <w:b/>
        </w:rPr>
        <w:t xml:space="preserve">Notes: </w:t>
      </w:r>
      <w:r>
        <w:t>abstract_source=crossref</w:t>
      </w:r>
    </w:p>
    <w:p>
      <w:pPr>
        <w:spacing w:before="0" w:after="80" w:lineRule="auto" w:line="276"/>
      </w:pPr>
      <w:r>
        <w:rPr>
          <w:b/>
        </w:rPr>
        <w:t xml:space="preserve">摘要（ZH）: </w:t>
      </w:r>
      <w:r>
        <w:t>南极土壤是地球上微生物生命最极端的环境之一，但它们孕育着异质且多样的微生物群落。生物学家长期假设，由于极端的地理隔离以及南极典型的寒冷、干燥和严酷条件，南极微生物与其他大陆的微生物不同。为检验这一假设，我们聚焦于一个遍布全球的细菌属——节杆菌属（Arthrobacter），其广泛分布于全球土壤中。我们首先对来自南极和非南极表层土壤的全球宏基因组数据集进行分析，以量化Arthrobacter菌株的分布。尽管存在高度的菌株水平多样性，南极土壤中90%的菌株仅在该大陆被发现。随后，我们利用基于培养的表型分析和菌株水平基因组比较，评估南极菌株与非南极菌株在性状和环境偏好上的差异。我们不仅发现了特有性的证据，而且南极Arthrobacter还具有独特的基因特征和环境耐受性，表明它们独特地适应了南极环境。</w:t>
      </w:r>
    </w:p>
    <w:p>
      <w:pPr>
        <w:spacing w:before="0" w:after="200" w:lineRule="auto" w:line="276"/>
      </w:pPr>
      <w:r>
        <w:rPr>
          <w:b/>
        </w:rPr>
        <w:t xml:space="preserve">Abstract (EN): </w:t>
      </w:r>
      <w:r>
        <w:t>Antarctic soils represent one of the most extreme environments for microbial life on Earth, yet they harbor heterogeneous and diverse microbial communities. Biologists have long hypothesized that Antarctic microorganisms are unique from those found on other continents due to the extreme geographic isolation and the cold, dry, and challenging conditions typical of Antarctica. To test this hypothesis, we focused on a cosmopolitan bacterial genus,</w:t>
      </w:r>
      <w:r>
        <w:t xml:space="preserve"> </w:t>
      </w:r>
      <w:r>
        <w:t>Arthrobacter</w:t>
      </w:r>
      <w:r>
        <w:t xml:space="preserve"> </w:t>
      </w:r>
      <w:r>
        <w:t>, that is widely distributed across global soils. We first profiled a global metagenomic dataset from both Antarctic and non-Antarctic surface soils to quantify the distributions of</w:t>
      </w:r>
      <w:r>
        <w:t xml:space="preserve"> </w:t>
      </w:r>
      <w:r>
        <w:t>Arthrobacter</w:t>
      </w:r>
      <w:r>
        <w:t xml:space="preserve"> </w:t>
      </w:r>
      <w:r>
        <w:t>strains. Despite high strain-level diversity, 90% of the strains found in the Antarctic soils were only found on the continent. We then used cultivation-based phenotypic analyses and strain-level genomic comparisons to assess how Antarctic strains and non-Antarctic strains differ in their traits and environmental preferences. Not only did we find evidence of endemism, but Antarctic</w:t>
      </w:r>
      <w:r>
        <w:t xml:space="preserve"> </w:t>
      </w:r>
      <w:r>
        <w:t>Arthrobacter</w:t>
      </w:r>
      <w:r>
        <w:t xml:space="preserve"> </w:t>
      </w:r>
      <w:r>
        <w:t>also have genomic characteristics and environmental tolerances that suggest they are uniquely adapted to Antarctic conditions.</w:t>
      </w:r>
    </w:p>
    <w:p>
      <w:pPr>
        <w:spacing w:before="120" w:after="120"/>
      </w:pPr>
      <w:r>
        <w:rPr>
          <w:sz w:val="18"/>
        </w:rPr>
        <w:t>——————————————————————————————————————————————————————————————————————</w:t>
      </w:r>
    </w:p>
    <w:p>
      <w:pPr>
        <w:spacing w:before="160" w:after="40" w:line="240" w:lineRule="auto"/>
      </w:pPr>
      <w:r>
        <w:rPr>
          <w:b/>
        </w:rPr>
        <w:t xml:space="preserve">[326] </w:t>
      </w:r>
      <w:hyperlink r:id="rId981">
        <w:r>
          <w:rPr>
            <w:color w:val="1155CC"/>
            <w:u w:val="single"/>
          </w:rPr>
          <w:t>在单细胞分辨率下解析认知障碍中ISR的细胞生物学</w:t>
        </w:r>
      </w:hyperlink>
    </w:p>
    <w:p>
      <w:pPr>
        <w:spacing w:before="0" w:after="80"/>
      </w:pPr>
      <w:r>
        <w:rPr>
          <w:i/>
          <w:sz w:val="20"/>
        </w:rPr>
        <w:t>EN: Dissecting the cell biology of the ISR in cognitive disorders at the single-cell resolution</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82">
        <w:r>
          <w:rPr>
            <w:color w:val="1155CC"/>
            <w:u w:val="single"/>
          </w:rPr>
          <w:t>10.1073/pnas.2623373123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[327] </w:t>
      </w:r>
      <w:hyperlink r:id="rId983">
        <w:r>
          <w:rPr>
            <w:color w:val="1155CC"/>
            <w:u w:val="single"/>
          </w:rPr>
          <w:t>双因子认证机制许可菌毛蛋白在革兰氏阳性细菌中进行菌毛组装</w:t>
        </w:r>
      </w:hyperlink>
    </w:p>
    <w:p>
      <w:pPr>
        <w:spacing w:before="0" w:after="80"/>
      </w:pPr>
      <w:r>
        <w:rPr>
          <w:i/>
          <w:sz w:val="20"/>
        </w:rPr>
        <w:t>EN: A two-factor authentication mechanism licenses pilins for pilus assembly in gram-positive bacteria</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84">
        <w:r>
          <w:rPr>
            <w:color w:val="1155CC"/>
            <w:u w:val="single"/>
          </w:rPr>
          <w:t>10.1073/pnas.2609822123</w:t>
        </w:r>
      </w:hyperlink>
    </w:p>
    <w:p>
      <w:pPr>
        <w:spacing w:before="0" w:after="120"/>
      </w:pPr>
      <w:r>
        <w:rPr>
          <w:b/>
        </w:rPr>
        <w:t xml:space="preserve">Notes: </w:t>
      </w:r>
      <w:r>
        <w:t>abstract_source=crossref</w:t>
      </w:r>
    </w:p>
    <w:p>
      <w:pPr>
        <w:spacing w:before="0" w:after="80" w:lineRule="auto" w:line="276"/>
      </w:pPr>
      <w:r>
        <w:rPr>
          <w:b/>
        </w:rPr>
        <w:t xml:space="preserve">摘要（ZH）: </w:t>
      </w:r>
      <w:r>
        <w:t>革兰氏阳性菌展示毒力相关的菌毛，促进黏附和生物膜形成。这些菌毛由C类sortase酶共价聚合，后者在众多携带细胞壁分选信号（CWSS）的蛋白中选择性识别其同源菌毛蛋白底物。这种严格底物特异性的分子基础一直不清楚。在此，我们开发了一种快速、定量的荧光激活细胞分选分析方法，用于监测白喉棒状杆菌（Corynebacterium diphtheriae）中的菌毛组装，从而实现对SpaA菌毛蛋白和SrtA sortase变体的高通量分析。利用该平台以及分子建模和动力学模拟，我们表明SrtA与几乎整个SpaA CWSS结合，形成一个嵌入膜的复合物，其中不仅包含LPXTG基序，还包含其连接区和跨膜螺旋元件。该界面的形成会移开抑制性的活性位点盖，激活酶以装载菌毛蛋白底物。系统的CWSS交换实验和深度突变扫描进一步支持这一模型，证明非同源菌毛蛋白因无法形成所需界面而被排除。相反，活性位点盖被人工解锁的SrtA变体可绕过对该界面的需求，表明膜驱动的复合物形成对底物许可至关重要。总之，这些发现定义了革兰氏阳性菌菌毛组装的“双重验证”机制：C类sortase首先通过形成嵌入膜的复合物验证菌毛蛋白身份</w:t>
      </w:r>
    </w:p>
    <w:p>
      <w:pPr>
        <w:spacing w:before="0" w:after="200" w:lineRule="auto" w:line="276"/>
      </w:pPr>
      <w:r>
        <w:rPr>
          <w:b/>
        </w:rPr>
        <w:t xml:space="preserve">Abstract (EN): </w:t>
      </w:r>
      <w:r>
        <w:t>Gram-positive bacteria display virulence-associated pili that facilitate adhesion and biofilm formation. These pili are covalently polymerized by class C sortase enzymes, which selectively recognize their cognate pilin substrates amid numerous cell wall sorting signal (CWSS)-bearing proteins. The molecular basis for this stringent substrate specificity has remained unclear. Here, we develop a rapid, quantitative fluorescence-activated cell sorting assay to monitor pilus assembly in</w:t>
      </w:r>
      <w:r>
        <w:t xml:space="preserve"> </w:t>
      </w:r>
      <w:r>
        <w:t>Corynebacterium diphtheriae</w:t>
      </w:r>
      <w:r>
        <w:t xml:space="preserve"> </w:t>
      </w:r>
      <w:r>
        <w:t>, enabling high-throughput analysis of SpaA pilin and SrtA sortase variants. Using this platform, together with molecular modeling and dynamics simulations, we show that SrtA engages nearly the entire SpaA CWSS to form a membrane-embedded complex that incorporates not only the LPXTG motif but also its connector and transmembrane helix elements. Formation of this interface displaces an inhibitory active-site lid and activates the enzyme to load the pilin substrate. Systematic CWSS swapping experiments and deep mutational scanning further support this model, demonstrating that noncognate pilins are excluded because they fail to form the required interface. Conversely, SrtA variants with an artificially unlatched lid bypass the need for this interface, indicating that membrane-driven complex formation is important for substrate licensing. Together, these findings define a “two-factor authentication” mechanism for pilus assembly in gram-positive bacteria: class C sortases first verify pilin identity by forming a membrane-embedded interface that activates the enzyme, then they recognize the LPXTG motif to initiate loading and crosslinking. This work provides a unified molecular framework for selective pilin incorporation in gram-positive bacteria and identifies potential vulnerabilities in the licensing machinery that may be exploited therapeutically.</w:t>
      </w:r>
    </w:p>
    <w:p>
      <w:pPr>
        <w:spacing w:before="120" w:after="120"/>
      </w:pPr>
      <w:r>
        <w:rPr>
          <w:sz w:val="18"/>
        </w:rPr>
        <w:t>——————————————————————————————————————————————————————————————————————</w:t>
      </w:r>
    </w:p>
    <w:p>
      <w:pPr>
        <w:spacing w:before="160" w:after="40" w:line="240" w:lineRule="auto"/>
      </w:pPr>
      <w:r>
        <w:rPr>
          <w:b/>
        </w:rPr>
        <w:t xml:space="preserve">[328] </w:t>
      </w:r>
      <w:hyperlink r:id="rId985">
        <w:r>
          <w:rPr>
            <w:color w:val="1155CC"/>
            <w:u w:val="single"/>
          </w:rPr>
          <w:t>人类皮层下大规模脑网络的功能分割</w:t>
        </w:r>
      </w:hyperlink>
    </w:p>
    <w:p>
      <w:pPr>
        <w:spacing w:before="0" w:after="80"/>
      </w:pPr>
      <w:r>
        <w:rPr>
          <w:i/>
          <w:sz w:val="20"/>
        </w:rPr>
        <w:t>EN: Functional fractionation of large-scale brain networks in the human subcortex</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86">
        <w:r>
          <w:rPr>
            <w:color w:val="1155CC"/>
            <w:u w:val="single"/>
          </w:rPr>
          <w:t>10.1073/pnas.2608875123</w:t>
        </w:r>
      </w:hyperlink>
    </w:p>
    <w:p>
      <w:pPr>
        <w:spacing w:before="0" w:after="120"/>
      </w:pPr>
      <w:r>
        <w:rPr>
          <w:b/>
        </w:rPr>
        <w:t xml:space="preserve">Notes: </w:t>
      </w:r>
      <w:r>
        <w:t>abstract_source=crossref</w:t>
      </w:r>
    </w:p>
    <w:p>
      <w:pPr>
        <w:spacing w:before="0" w:after="80" w:lineRule="auto" w:line="276"/>
      </w:pPr>
      <w:r>
        <w:rPr>
          <w:b/>
        </w:rPr>
        <w:t xml:space="preserve">摘要（ZH）: </w:t>
      </w:r>
      <w:r>
        <w:t>人脑通过大规模网络运作，其皮层下组分对意识、情绪和认知至关重要。尽管皮层网络连接已被越来越精确地绘制，但由于两个根本性障碍，皮层下网络制图远远落后：脑网络的重叠和相关性——常规分析方法无法将其分离——以及皮层下功能成像数据固有的低信噪比。因此，皮层下功能脑连接尚无共识或规范性图谱，这一关键空白阻碍了基础神经科学和靶向神经调控疗法的发展。在本工作中，我们利用NASCAR——一种明确设计用于分离重叠和相关性网络的张量分解方法——分析了人类连接组计划中1,000名健康个体的静息态功能MRI数据。该方法使我们能够将四个大规模脑网络分解为跨越皮层和皮层下结构的15个高度可重复的子网络，揭示它们的神经解剖重叠位点，并基于皮层下连接定义了一个规范性全脑功能图谱。作为该框架转化潜力的原理验证，我们表明子网络的个体模式可预测严重创伤性脑损伤患者的意识水平。通过建立皮层下功能脑组织的金标准、开放获取参考，本工</w:t>
      </w:r>
    </w:p>
    <w:p>
      <w:pPr>
        <w:spacing w:before="0" w:after="200" w:lineRule="auto" w:line="276"/>
      </w:pPr>
      <w:r>
        <w:rPr>
          <w:b/>
        </w:rPr>
        <w:t xml:space="preserve">Abstract (EN): </w:t>
      </w:r>
      <w:r>
        <w:t>The human brain operates through large-scale networks whose subcortical components are critical for consciousness, emotion, and cognition. While cortical network connectivity has been mapped with increasing precision, subcortical network mapping has lagged far behind due to two fundamental barriers: the overlapping and correlated nature of brain networks, which conventional analytic methods cannot disentangle, and the inherently low signal-to-noise ratio of functional imaging data within the subcortex. As a result, no consensus or normative atlas for subcortical functional brain connectivity exists—a critical gap that has impeded both basic neuroscience and the development of targeted neuromodulatory therapies. In this work, we address these barriers using NASCAR, a tensor decomposition method explicitly designed to separate overlapping and correlated networks, applied to resting-state functional MRI data from 1,000 healthy individuals in the Human Connectome Project. This approach enabled us to fractionate four large-scale brain networks into 15 highly reproducible subnetworks spanning both cortical and subcortical structures, revealing their sites of neuroanatomic overlap and defining a normative whole-brain functional atlas grounded in subcortical connectivity. As proof of principle for the translational potential of this framework, we show that individual patterns of subnetworks predict levels of consciousness in patients with severe traumatic brain injury. By establishing a gold-standard, openly accessible reference for subcortical functional brain organization, this work expands the landscape of human brain network mapping and opens avenues for precision targeting in the treatment of a broad spectrum of neurological and psychiatric disorders.</w:t>
      </w:r>
    </w:p>
    <w:p>
      <w:pPr>
        <w:spacing w:before="120" w:after="120"/>
      </w:pPr>
      <w:r>
        <w:rPr>
          <w:sz w:val="18"/>
        </w:rPr>
        <w:t>——————————————————————————————————————————————————————————————————————</w:t>
      </w:r>
    </w:p>
    <w:p>
      <w:pPr>
        <w:spacing w:before="160" w:after="40" w:line="240" w:lineRule="auto"/>
      </w:pPr>
      <w:r>
        <w:rPr>
          <w:b/>
        </w:rPr>
        <w:t xml:space="preserve">[329] </w:t>
      </w:r>
      <w:hyperlink r:id="rId987">
        <w:r>
          <w:rPr>
            <w:color w:val="1155CC"/>
            <w:u w:val="single"/>
          </w:rPr>
          <w:t>催化活性胶体盘片的光可调倾斜与悬浮</w:t>
        </w:r>
      </w:hyperlink>
    </w:p>
    <w:p>
      <w:pPr>
        <w:spacing w:before="0" w:after="80"/>
      </w:pPr>
      <w:r>
        <w:rPr>
          <w:i/>
          <w:sz w:val="20"/>
        </w:rPr>
        <w:t>EN: Phototunable tilt and levitation in catalytically active colloidal platelets</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88">
        <w:r>
          <w:rPr>
            <w:color w:val="1155CC"/>
            <w:u w:val="single"/>
          </w:rPr>
          <w:t>10.1073/pnas.2606380123</w:t>
        </w:r>
      </w:hyperlink>
    </w:p>
    <w:p>
      <w:pPr>
        <w:spacing w:before="0" w:after="120"/>
      </w:pPr>
      <w:r>
        <w:rPr>
          <w:b/>
        </w:rPr>
        <w:t xml:space="preserve">Notes: </w:t>
      </w:r>
      <w:r>
        <w:t>abstract_source=crossref</w:t>
      </w:r>
    </w:p>
    <w:p>
      <w:pPr>
        <w:spacing w:before="0" w:after="80" w:lineRule="auto" w:line="276"/>
      </w:pPr>
      <w:r>
        <w:rPr>
          <w:b/>
        </w:rPr>
        <w:t xml:space="preserve">摘要（ZH）: </w:t>
      </w:r>
      <w:r>
        <w:t>化学活性胶体是一类合成微型实体，通过催化表面反应实现自驱动，无需外场作用。然而，尽管近来在近边界和流体体相中操控场驱动胶体方面取得了进展，实现对化学驱动粒子的类似控制仍然困难。这在边界附近尤为具有挑战性，因为趋化与流体动力学相互作用与粒子几何形状强烈耦合。在此，我们引入了光激活赤铁矿薄片，它能够在黏性流体中在表面附近实现自驱动、抬升与悬浮。这些输运模式可以通过光强度精确控制并开关。通过结合实验与解析理论，我们表明薄片的倾斜运动和悬浮源于扩散电渗流、重力与几何各向异性的相互作用。利用有限元模拟，我们进一步揭示了趋化力与渗透力之间的相互作用。当薄片因重力在底面附近滑动时，后者变得愈发重要。与各向同性的活性胶体不同，我们的光激活薄片所展现的丰富动态行为谱系源于其较大的纵横比。这为在表面附近和体相流体中控制并引导催化粒子提供了一条替代途径。</w:t>
      </w:r>
    </w:p>
    <w:p>
      <w:pPr>
        <w:spacing w:before="0" w:after="200" w:lineRule="auto" w:line="276"/>
      </w:pPr>
      <w:r>
        <w:rPr>
          <w:b/>
        </w:rPr>
        <w:t xml:space="preserve">Abstract (EN): </w:t>
      </w:r>
      <w:r>
        <w:t>Chemically active colloids are synthetic microentities that self-propel by catalyzing surface reactions without the need for external fields. But, despite recent progress in steering field-driven colloids both near boundaries and in fluid bulk, achieving a similar control over chemically powered particles remains difficult. This is particularly challenging near boundaries, where phoretic and hydrodynamic interactions strongly couple to particle geometry. Here we introduce photoactivated hematite platelets capable of self-propulsion, lift, and levitation near a surface in a viscous fluid. These transport modes can be switched on or off and precisely controlled by light intensity. By combining experiments and analytical theory we show that the platelet tilted motion and levitation arise from the interplay of diffusiophoretic flow, gravitational forces, and geometric anisotropy. Using finite element simulations, we further unveil the interplay between phoretic and osmotic forces. The latter become increasingly important as the platelet slides close to the bottom surface due to gravity. In contrast to isotropic active colloids, the rich spectrum of dynamic regimes observed with our photoactivated platelets results from their large aspect ratio. This provides an alternative way to control and direct catalytic particles close to surfaces and in bulk fluids.</w:t>
      </w:r>
    </w:p>
    <w:p>
      <w:pPr>
        <w:spacing w:before="120" w:after="120"/>
      </w:pPr>
      <w:r>
        <w:rPr>
          <w:sz w:val="18"/>
        </w:rPr>
        <w:t>——————————————————————————————————————————————————————————————————————</w:t>
      </w:r>
    </w:p>
    <w:p>
      <w:pPr>
        <w:spacing w:before="160" w:after="40" w:line="240" w:lineRule="auto"/>
      </w:pPr>
      <w:r>
        <w:rPr>
          <w:b/>
        </w:rPr>
        <w:t xml:space="preserve">[330] </w:t>
      </w:r>
      <w:hyperlink r:id="rId989">
        <w:r>
          <w:rPr>
            <w:color w:val="1155CC"/>
            <w:u w:val="single"/>
          </w:rPr>
          <w:t>气候变化下海洋生物体型变化的不均一性</w:t>
        </w:r>
      </w:hyperlink>
    </w:p>
    <w:p>
      <w:pPr>
        <w:spacing w:before="0" w:after="80"/>
      </w:pPr>
      <w:r>
        <w:rPr>
          <w:i/>
          <w:sz w:val="20"/>
        </w:rPr>
        <w:t>EN: Nonuniform resizing of marine life under climate change</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90">
        <w:r>
          <w:rPr>
            <w:color w:val="1155CC"/>
            <w:u w:val="single"/>
          </w:rPr>
          <w:t>10.1073/pnas.2606099123</w:t>
        </w:r>
      </w:hyperlink>
    </w:p>
    <w:p>
      <w:pPr>
        <w:spacing w:before="0" w:after="120"/>
      </w:pPr>
      <w:r>
        <w:rPr>
          <w:b/>
        </w:rPr>
        <w:t xml:space="preserve">Notes: </w:t>
      </w:r>
      <w:r>
        <w:t>abstract_source=crossref</w:t>
      </w:r>
    </w:p>
    <w:p>
      <w:pPr>
        <w:spacing w:before="0" w:after="80" w:lineRule="auto" w:line="276"/>
      </w:pPr>
      <w:r>
        <w:rPr>
          <w:b/>
        </w:rPr>
        <w:t xml:space="preserve">摘要（ZH）: </w:t>
      </w:r>
      <w:r>
        <w:t>全球变暖常被预测会导致动物体型普遍缩小，但实证证据仍不明确。这一点在海洋系统中尤为突出，因为体型分布不仅受温度影响，还受氧气和生产力的影响，而这些因素在未来的海洋中都将发生巨大改变。区域气候轨迹的差异以及海洋类群的生理特征也表明，体型响应不会在空间或生态上保持一致。我们利用包含23,329种海洋软体动物的数据库，通过预测各海洋盆地内物种平均体型的未来变化来应对这些复杂性。我们量化了体型分布在能量梯度上的变化，并预测了五个主要软体动物类群在全部10个海洋盆地中的群落水平变化。在高温室气体排放情景下，我们预测68%的类群–盆地组合（50个中的34个）体型显著下降，某些支系预计到2100年平均体长缩减约16%。然而，这些响应并非普遍存在，而是受支系水平上主导生态与生理策略的差异以及气候变化的地理格局所支配。由于生物量与体长呈异速缩放关系，这些趋势可能对应于物种平均质量的巨大变化，根据支系和区域不同，从下降46%到增加15%不等。这种广泛的功能性破坏可能威胁关键的生态系统服务（碳固存、营养循环和人类食物供给），其影响涉及</w:t>
      </w:r>
    </w:p>
    <w:p>
      <w:pPr>
        <w:spacing w:before="0" w:after="200" w:lineRule="auto" w:line="276"/>
      </w:pPr>
      <w:r>
        <w:rPr>
          <w:b/>
        </w:rPr>
        <w:t xml:space="preserve">Abstract (EN): </w:t>
      </w:r>
      <w:r>
        <w:t>Global warming is often predicted to drive universal declines in animal body size, but empirical evidence remains equivocal. This is particularly true in marine systems, where body size distributions are influenced not only by temperature but also by oxygen and productivity, all of which are expected to be greatly altered in future oceans. Differences in regional climate trajectories and the physiology of marine taxa also suggest that body size responses will not be spatially or ecologically uniform. We address these complexities by projecting future changes in mean body size across species within ocean basins using a database of 23,329 marine mollusc species. We quantify how body size distributions change across energetic gradients and forecast assemblage level shifts of the five major classes of molluscs across all 10 oceanic basins. Under high greenhouse gas emission scenarios, we project a significant decline in body size in 68% of class–basin combinations (34 of 50), with some clades expected to shrink by ~16% in mean length by 2100. However, these responses are not universal but are governed by clade-level differences in dominant ecological and physiological strategies and the geography of climate change. Because biomass scales allometrically with length, these trends can correspond to substantial changes in the mass of the average species, from a 46% decline to a 15% increase depending on clade and region. Such widespread functional disruptions may threaten critical ecosystem services (carbon sequestration, nutrient cycling, and human food provisioning), with implications for global marine ecosystem functioning and services.</w:t>
      </w:r>
    </w:p>
    <w:p>
      <w:pPr>
        <w:spacing w:before="120" w:after="120"/>
      </w:pPr>
      <w:r>
        <w:rPr>
          <w:sz w:val="18"/>
        </w:rPr>
        <w:t>——————————————————————————————————————————————————————————————————————</w:t>
      </w:r>
    </w:p>
    <w:p>
      <w:pPr>
        <w:spacing w:before="160" w:after="40" w:line="240" w:lineRule="auto"/>
      </w:pPr>
      <w:r>
        <w:rPr>
          <w:b/>
        </w:rPr>
        <w:t xml:space="preserve">[331] </w:t>
      </w:r>
      <w:hyperlink r:id="rId991">
        <w:r>
          <w:rPr>
            <w:color w:val="1155CC"/>
            <w:u w:val="single"/>
          </w:rPr>
          <w:t>pH和人型支原体内共生对阴道毛滴虫致病性的影响</w:t>
        </w:r>
      </w:hyperlink>
    </w:p>
    <w:p>
      <w:pPr>
        <w:spacing w:before="0" w:after="80"/>
      </w:pPr>
      <w:r>
        <w:rPr>
          <w:i/>
          <w:sz w:val="20"/>
        </w:rPr>
        <w:t>EN: Impact of pH and Mycoplasma hominis endosymbiosis on Trichomonas vaginalis pathogenesis</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92">
        <w:r>
          <w:rPr>
            <w:color w:val="1155CC"/>
            <w:u w:val="single"/>
          </w:rPr>
          <w:t>10.1073/pnas.2610627123</w:t>
        </w:r>
      </w:hyperlink>
    </w:p>
    <w:p>
      <w:pPr>
        <w:spacing w:before="0" w:after="120"/>
      </w:pPr>
      <w:r>
        <w:rPr>
          <w:b/>
        </w:rPr>
        <w:t xml:space="preserve">Notes: </w:t>
      </w:r>
      <w:r>
        <w:t>abstract_source=crossref</w:t>
      </w:r>
    </w:p>
    <w:p>
      <w:pPr>
        <w:spacing w:before="0" w:after="80" w:lineRule="auto" w:line="276"/>
      </w:pPr>
      <w:r>
        <w:rPr>
          <w:b/>
        </w:rPr>
        <w:t xml:space="preserve">摘要（ZH）: </w:t>
      </w:r>
      <w:r>
        <w:t>寄生虫阴道毛滴虫定植于人类阴道道内，黏附并裂解上皮细胞，引发炎症性感染。阴道道通常呈酸性，pH范围为3.8至5.1；然而，以往的致病性研究是在pH 5.9至6.2下培养的寄生虫上进行的。在此，我们比较了在pH 5.1和pH 5.9下培养的阴道毛滴虫的黏附性和细胞毒性，并鉴定了表面蛋白质组中导致该寄生虫在pH 5.1下致病性增强的变化。我们发现，寄生虫在pH 5.1下生长显著增强了对宿主细胞的黏附和裂解，并且在常见细菌内共生体人型支原体存在时被强烈放大。定量蛋白质组学揭示了推定表面蛋白的上调，其中三个被证实参与增强寄生虫黏附和宿主细胞杀伤。机制实验表明，一种蓖麻毒素B样蛋白通过其碳水化合物识别结构域以依赖宿主糖胺聚糖的方式介导寄生虫黏附，而一种EF手状蛋白则促进Ca²⁺依赖性黏附。蓖麻毒素B过表达被发现可重编程宿主代谢，激活ERK1/2和HIF-1α，驱动类Warburg糖酵解转换并大幅增加乳酸释放，这可能创造一个营养丰富的生态位，支持寄生虫的持续存在和宿主细胞毒性。这些研究</w:t>
      </w:r>
    </w:p>
    <w:p>
      <w:pPr>
        <w:spacing w:before="0" w:after="200" w:lineRule="auto" w:line="276"/>
      </w:pPr>
      <w:r>
        <w:rPr>
          <w:b/>
        </w:rPr>
        <w:t xml:space="preserve">Abstract (EN): </w:t>
      </w:r>
      <w:r>
        <w:t>The parasite</w:t>
      </w:r>
      <w:r>
        <w:t xml:space="preserve"> </w:t>
      </w:r>
      <w:r>
        <w:t>Trichomonas vaginalis</w:t>
      </w:r>
      <w:r>
        <w:t xml:space="preserve"> </w:t>
      </w:r>
      <w:r>
        <w:t>colonizes the human vaginal tract and adheres to and lyses epithelial cells causing an inflammatory infection. The vaginal tract is typically acidic, ranging from pH 3.8 to 5.1; however, pathogenesis studies have previously been conducted on parasites grown at pH 5.9 to 6.2. Here we compared the adherence and cytotoxicity of</w:t>
      </w:r>
      <w:r>
        <w:t xml:space="preserve"> </w:t>
      </w:r>
      <w:r>
        <w:t>T. vaginalis</w:t>
      </w:r>
      <w:r>
        <w:t xml:space="preserve"> </w:t>
      </w:r>
      <w:r>
        <w:t>grown at pH 5.1 and pH 5.9, identifying changes in the surface proteome that contribute to increased pathogenesis of the parasite at pH 5.1. We show that growth of the parasite at pH 5.1 significantly enhances adherence to and lysis of host cells and that this is strongly amplified by the presence of a common bacterial endosymbiont,</w:t>
      </w:r>
      <w:r>
        <w:t xml:space="preserve"> </w:t>
      </w:r>
      <w:r>
        <w:t>Mycoplasma hominis</w:t>
      </w:r>
      <w:r>
        <w:t xml:space="preserve"> </w:t>
      </w:r>
      <w:r>
        <w:t>. Quantitative proteomics revealed the upregulation of putative surface proteins, three of which were found to be involved in increased parasite adherence and host cell killing. Mechanistic assays demonstrated that a Ricin B-like protein mediates parasite adherence dependent on host glycosaminoglycans via its carbohydrate-recognition domain, while an EF-hand-like protein is shown to promote Ca</w:t>
      </w:r>
      <w:r>
        <w:t xml:space="preserve"> </w:t>
      </w:r>
      <w:r>
        <w:t>2+</w:t>
      </w:r>
      <w:r>
        <w:t xml:space="preserve"> </w:t>
      </w:r>
      <w:r>
        <w:t>dependent adherence. Ricin B overexpression was found to reprogram host metabolism, activating ERK1/2 and HIF-1α and driving a Warburg-like glycolytic shift with greatly increased lactate release, which may create a nutrient-rich niche that supports parasite persistence and host cell cytotoxicity. These studies demonstrate a coordinated upregulation of multiple adhesins rather than a single factor at pH 5.1 in the presence of</w:t>
      </w:r>
      <w:r>
        <w:t xml:space="preserve"> </w:t>
      </w:r>
      <w:r>
        <w:t>M. hominis</w:t>
      </w:r>
      <w:r>
        <w:t xml:space="preserve"> </w:t>
      </w:r>
      <w:r>
        <w:t>and explore the mechanisms underlying the interaction of parasite surface proteins with the host cell.</w:t>
      </w:r>
    </w:p>
    <w:p>
      <w:pPr>
        <w:spacing w:before="120" w:after="120"/>
      </w:pPr>
      <w:r>
        <w:rPr>
          <w:sz w:val="18"/>
        </w:rPr>
        <w:t>——————————————————————————————————————————————————————————————————————</w:t>
      </w:r>
    </w:p>
    <w:p>
      <w:pPr>
        <w:spacing w:before="160" w:after="40" w:line="240" w:lineRule="auto"/>
      </w:pPr>
      <w:r>
        <w:rPr>
          <w:b/>
        </w:rPr>
        <w:t xml:space="preserve">[332] </w:t>
      </w:r>
      <w:hyperlink r:id="rId993">
        <w:r>
          <w:rPr>
            <w:color w:val="1155CC"/>
            <w:u w:val="single"/>
          </w:rPr>
          <w:t>一项为期三十年的分析显示全球供应链中受威胁物种日益增多及责任缺口</w:t>
        </w:r>
      </w:hyperlink>
    </w:p>
    <w:p>
      <w:pPr>
        <w:spacing w:before="0" w:after="80"/>
      </w:pPr>
      <w:r>
        <w:rPr>
          <w:i/>
          <w:sz w:val="20"/>
        </w:rPr>
        <w:t>EN: A three-decade-long analysis shows rising threatened species and responsibility gaps in global supply chains</w:t>
      </w:r>
    </w:p>
    <w:p>
      <w:pPr>
        <w:spacing w:before="0" w:after="120"/>
      </w:pPr>
      <w:r>
        <w:rPr>
          <w:b/>
        </w:rPr>
        <w:t xml:space="preserve">Source: </w:t>
      </w:r>
      <w:r>
        <w:t>Proceedings of the National Academy of Sciences: Keyword search for query</w:t>
      </w:r>
      <w:r>
        <w:t xml:space="preserve">    </w:t>
      </w:r>
      <w:r>
        <w:rPr>
          <w:b/>
        </w:rPr>
        <w:t xml:space="preserve">Pub date: </w:t>
      </w:r>
      <w:r>
        <w:t>2026-08-31 07:00:00+00:00</w:t>
      </w:r>
      <w:r>
        <w:t xml:space="preserve">    </w:t>
      </w:r>
      <w:r>
        <w:rPr>
          <w:b/>
        </w:rPr>
        <w:t xml:space="preserve">DOI: </w:t>
      </w:r>
      <w:hyperlink r:id="rId994">
        <w:r>
          <w:rPr>
            <w:color w:val="1155CC"/>
            <w:u w:val="single"/>
          </w:rPr>
          <w:t>10.1073/pnas.2604868123</w:t>
        </w:r>
      </w:hyperlink>
    </w:p>
    <w:p>
      <w:pPr>
        <w:spacing w:before="0" w:after="120"/>
      </w:pPr>
      <w:r>
        <w:rPr>
          <w:b/>
        </w:rPr>
        <w:t xml:space="preserve">Notes: </w:t>
      </w:r>
      <w:r>
        <w:t>abstract_source=crossref</w:t>
      </w:r>
    </w:p>
    <w:p>
      <w:pPr>
        <w:spacing w:before="0" w:after="80" w:lineRule="auto" w:line="276"/>
      </w:pPr>
      <w:r>
        <w:rPr>
          <w:b/>
        </w:rPr>
        <w:t xml:space="preserve">摘要（ZH）: </w:t>
      </w:r>
      <w:r>
        <w:t>快速全球化及其相应的供应链加速了生物多样性的丧失。然而，对生物多样性状况和趋势的及时评估仍然不足，限制了针对供应链动态的有效保护行动。在此，我们提供了长达三十年的分析，涵盖185个国家之间生产、贸易和最终消费环节中三大主要生物多样性威胁和21,207个受威胁物种的状况与趋势。结果显示，全球供应链中生物多样性影响呈加剧趋势，并新识别出威胁–物种–国家–活动网络。我们识别出人们消费结构的变化和经济活动的物种强度是这一加剧趋势的主要驱动因素。国际贸易在大多数国家的受威胁物种总数中占很大且不断增长的比例，尤其是输往美国、日本的进口以及来自马达加斯加、巴布亚新几内亚的出口。特别是，美国与马达加斯加之间的双边贸易在全世界所有双边贸易流中造成的受威胁物种数量最多（191 ± 17）。此外，我们的生物多样性评估揭示了一个独特模式：与碳足迹等其他环境压力不同，拉丁美洲和加勒比地区（发展中地区）人均最终需求所威胁的物种数量至少比发达地区高38%，是全球平均水平的三倍。及时理解生产国和消费国在生物多样性威胁与状况上的共同责任，可为……提供科学基础</w:t>
      </w:r>
    </w:p>
    <w:p>
      <w:pPr>
        <w:spacing w:before="0" w:after="200" w:lineRule="auto" w:line="276"/>
      </w:pPr>
      <w:r>
        <w:rPr>
          <w:b/>
        </w:rPr>
        <w:t xml:space="preserve">Abstract (EN): </w:t>
      </w:r>
      <w:r>
        <w:t>Rapid globalization and its accordant supply chains accelerates biodiversity loss. Yet timely assessments of biodiversity status and trends remain insufficient, limiting effective conservation actions in response to supply chain dynamics. Here, we provide a three-decade-long analysis of status and trends of three main biodiversity threats and 21,207 threatened species along production, trade, and final consumption between 185 countries. Results show escalating trends and newly identified threat-species-country-activity networks in biodiversity impacts across global supply chains. We identify changes in people’s consumption structure and species intensity of economic activities as the main drivers of this escalation. International trade contributes a large and increasing proportion of total threatened species in most countries, especially for imports to the United States, Japan, and exports from Madagascar, Papua New Guinea. In particular, the bilateral trade between the United States and Madagascar causes the largest number of threatened species (191 ± 17) among all bilateral trade flows worldwide. Furthermore, a unique pattern is revealed from our biodiversity assessment, unlike other environmental pressures such as carbon footprints, that species threatened by per-capita final demand in Latin America, and Caribbean (a developing region) is at least 38% higher than those in developed regions and three times the global average. A timely understanding of shared responsibilities of producer- and consumer-nations for biodiversity threats and status offers a scientific basis for fair and accountable biodiversity governance.</w:t>
      </w:r>
    </w:p>
    <w:p>
      <w:pPr>
        <w:spacing w:before="120" w:after="120"/>
      </w:pPr>
      <w:r>
        <w:rPr>
          <w:sz w:val="18"/>
        </w:rPr>
        <w:t>——————————————————————————————————————————————————————————————————————</w:t>
      </w:r>
    </w:p>
    <w:p>
      <w:pPr>
        <w:spacing w:before="160" w:after="40" w:line="240" w:lineRule="auto"/>
      </w:pPr>
      <w:r>
        <w:rPr>
          <w:b/>
        </w:rPr>
        <w:t xml:space="preserve">[333] </w:t>
      </w:r>
      <w:hyperlink r:id="rId995">
        <w:r>
          <w:rPr>
            <w:color w:val="1155CC"/>
            <w:u w:val="single"/>
          </w:rPr>
          <w:t>光驱动不对称纳米孔电极实现单个神经免疫细胞内源性ROS监测</w:t>
        </w:r>
      </w:hyperlink>
    </w:p>
    <w:p>
      <w:pPr>
        <w:spacing w:before="0" w:after="80"/>
      </w:pPr>
      <w:r>
        <w:rPr>
          <w:i/>
          <w:sz w:val="20"/>
        </w:rPr>
        <w:t>EN: Photo‐Driven Asymmetric Nanopore Electrode Enables Endogenous ROS Monitoring in Single Neuroimmune Cells</w:t>
      </w:r>
    </w:p>
    <w:p>
      <w:pPr>
        <w:spacing w:before="0" w:after="120"/>
      </w:pPr>
      <w:r>
        <w:rPr>
          <w:b/>
        </w:rPr>
        <w:t xml:space="preserve">Source: </w:t>
      </w:r>
      <w:r>
        <w:t>Wiley: Angewandte Chemie International Edition: Table of Contents</w:t>
      </w:r>
      <w:r>
        <w:t xml:space="preserve">    </w:t>
      </w:r>
      <w:r>
        <w:rPr>
          <w:b/>
        </w:rPr>
        <w:t xml:space="preserve">Pub date: </w:t>
      </w:r>
      <w:r>
        <w:t>2026-08-31 07:44:09+00:00</w:t>
      </w:r>
      <w:r>
        <w:t xml:space="preserve">    </w:t>
      </w:r>
      <w:r>
        <w:rPr>
          <w:b/>
        </w:rPr>
        <w:t xml:space="preserve">DOI: </w:t>
      </w:r>
      <w:hyperlink r:id="rId996">
        <w:r>
          <w:rPr>
            <w:color w:val="1155CC"/>
            <w:u w:val="single"/>
          </w:rPr>
          <w:t>10.1002/anie.7149031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活性氧（ROS）在神经炎症信号传导和神经免疫功能中发挥着核心作用。然而，由于ROS丰度低且对电和化学扰动高度敏感，在活的神经免疫细胞中对ROS进行定量检测仍然具有挑战性。虽然传统纳米电极可以监测癌细胞和巨噬细胞中的ROS，但它们需要较高的工作电位，可能破坏膜的完整性和氧化还原稳态，限制了其在敏感神经免疫细胞中的应用。在此，我们报道了一种光驱动非对称纳米孔电极（PNE），能够实现零偏压（0 mV）检测细胞内H₂O₂。通过将光响应g-C₃N₄量子点集成到非对称石英纳米吸管中，脉冲光激发产生离子光电流，该电流随H₂O₂浓度的增加而定量降低。该PNE具有从10 nM到5 µM的线性检测范围，检测限低至10 nM。进一步的细胞成像表征证实，该平台最大限度地减少了细胞扰动，可在氧化应激刺激下原位监测单个小胶质细胞内的H₂O₂动态变化。凭借这种最小扰动</w:t>
      </w:r>
    </w:p>
    <w:p>
      <w:pPr>
        <w:spacing w:before="0" w:after="200" w:lineRule="auto" w:line="276"/>
      </w:pPr>
      <w:r>
        <w:rPr>
          <w:b/>
        </w:rPr>
        <w:t xml:space="preserve">Abstract (EN): </w:t>
      </w:r>
      <w:r>
        <w:t>Reactive oxygen species (ROS) play central roles in neuroinflammatory signaling and neuroimmune function. However, quantitative detection of ROS in living neuroimmune cells remains challenging due to their low abundance and high sensitivity to electrical and chemical perturbations. While conventional nanoelectrodes can monitor ROS in cancer cells and macrophages, they require high operation potentials that may disrupt membrane integrity and redox homeostasis, limiting their use in sensitive neuroimmune cells. Here, we report a photo‐driven asymmetric nanopore electrode (PNE) that enables zero‐bias (0 mV) detection of intracellular H</w:t>
      </w:r>
      <w:r>
        <w:rPr>
          <w:vertAlign w:val="subscript"/>
        </w:rPr>
        <w:t>2</w:t>
      </w:r>
      <w:r>
        <w:t>O</w:t>
      </w:r>
      <w:r>
        <w:rPr>
          <w:vertAlign w:val="subscript"/>
        </w:rPr>
        <w:t>2</w:t>
      </w:r>
      <w:r>
        <w:t>. By integrating photo‐responsive g‐C</w:t>
      </w:r>
      <w:r>
        <w:rPr>
          <w:vertAlign w:val="subscript"/>
        </w:rPr>
        <w:t>3</w:t>
      </w:r>
      <w:r>
        <w:t>N</w:t>
      </w:r>
      <w:r>
        <w:rPr>
          <w:vertAlign w:val="subscript"/>
        </w:rPr>
        <w:t>4</w:t>
      </w:r>
      <w:r>
        <w:t>quantum dots within an asymmetric quartz nanopipette, pulsed light excitation generates an ionic photocurrent that decreases quantitatively with increasing H</w:t>
      </w:r>
      <w:r>
        <w:rPr>
          <w:vertAlign w:val="subscript"/>
        </w:rPr>
        <w:t>2</w:t>
      </w:r>
      <w:r>
        <w:t>O</w:t>
      </w:r>
      <w:r>
        <w:rPr>
          <w:vertAlign w:val="subscript"/>
        </w:rPr>
        <w:t>2</w:t>
      </w:r>
      <w:r>
        <w:t>concentration. The PNE delivers a linear detection range from 10 nM to 5 µM with a detection limit down to 10 nM. Further cellular imaging characterization confirms that this platform minimizes cellular perturbation, enabling in situ monitoring of intracellular H</w:t>
      </w:r>
      <w:r>
        <w:rPr>
          <w:vertAlign w:val="subscript"/>
        </w:rPr>
        <w:t>2</w:t>
      </w:r>
      <w:r>
        <w:t>O</w:t>
      </w:r>
      <w:r>
        <w:rPr>
          <w:vertAlign w:val="subscript"/>
        </w:rPr>
        <w:t>2</w:t>
      </w:r>
      <w:r>
        <w:t>dynamics in single microglial cells under oxidative stress stimulation. By virtue of this minimal perturbation, this study represents the first real‐time observation of a concentration‐dependent transition in ROS scavenging dynamics in single microglial cells, providing a previously inaccessible view of neuroinflammatory redox regulation under undisturbed physiological conditions.</w:t>
      </w:r>
    </w:p>
    <w:p>
      <w:pPr>
        <w:spacing w:before="120" w:after="120"/>
      </w:pPr>
      <w:r>
        <w:rPr>
          <w:sz w:val="18"/>
        </w:rPr>
        <w:t>——————————————————————————————————————————————————————————————————————</w:t>
      </w:r>
    </w:p>
    <w:p>
      <w:pPr>
        <w:spacing w:before="160" w:after="40" w:line="240" w:lineRule="auto"/>
      </w:pPr>
      <w:r>
        <w:rPr>
          <w:b/>
        </w:rPr>
        <w:t xml:space="preserve">[334] </w:t>
      </w:r>
      <w:hyperlink r:id="rId997">
        <w:r>
          <w:rPr>
            <w:color w:val="1155CC"/>
            <w:u w:val="single"/>
          </w:rPr>
          <w:t>电位控制的选择性电催化还原硝酸盐为四种不同产物</w:t>
        </w:r>
      </w:hyperlink>
    </w:p>
    <w:p>
      <w:pPr>
        <w:spacing w:before="0" w:after="80"/>
      </w:pPr>
      <w:r>
        <w:rPr>
          <w:i/>
          <w:sz w:val="20"/>
        </w:rPr>
        <w:t>EN: Potential‐Controlled Selective Electrocatalytic Reduction of Nitrite to Four Different Products</w:t>
      </w:r>
    </w:p>
    <w:p>
      <w:pPr>
        <w:spacing w:before="0" w:after="120"/>
      </w:pPr>
      <w:r>
        <w:rPr>
          <w:b/>
        </w:rPr>
        <w:t xml:space="preserve">Source: </w:t>
      </w:r>
      <w:r>
        <w:t>Wiley: Angewandte Chemie International Edition: Table of Contents</w:t>
      </w:r>
      <w:r>
        <w:t xml:space="preserve">    </w:t>
      </w:r>
      <w:r>
        <w:rPr>
          <w:b/>
        </w:rPr>
        <w:t xml:space="preserve">Pub date: </w:t>
      </w:r>
      <w:r>
        <w:t>2026-08-31 07:45:08+00:00</w:t>
      </w:r>
      <w:r>
        <w:t xml:space="preserve">    </w:t>
      </w:r>
      <w:r>
        <w:rPr>
          <w:b/>
        </w:rPr>
        <w:t xml:space="preserve">DOI: </w:t>
      </w:r>
      <w:hyperlink r:id="rId998">
        <w:r>
          <w:rPr>
            <w:color w:val="1155CC"/>
            <w:u w:val="single"/>
          </w:rPr>
          <w:t>10.1002/anie.6061192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首次证明Pd金属可在近中性电解质中将NO₂⁻转化为N₂O、N₂、NH₂OH和NH₃，并通过调节施加的电极电位实现对每种产物的高选择性。值得注意的是，通常难以获得的N₂和NH₂OH成为主导产物。结合计算与实验研究的机理研究表明，Pd上的NO₂⁻电还原受施加电位和吸附氢原子表面覆盖度的控制。这两个因素的相互作用产生了四种不同的反应微环境，与实验观察到的产物分布一致。在正电位下，原始Pd表面有利于*NO–*NO偶联和N₂O的生成；而在较不负的电位下，同一表面凭借更强的还原能力有利于生成N₂。在轻度负电位下，部分氢覆盖促进*NO还原而非偶联，导致NH₂OH生成；而在强负电位下，大量吸附氢驱动完全还原</w:t>
      </w:r>
    </w:p>
    <w:p>
      <w:pPr>
        <w:spacing w:before="0" w:after="200" w:lineRule="auto" w:line="276"/>
      </w:pPr>
      <w:r>
        <w:rPr>
          <w:b/>
        </w:rPr>
        <w:t xml:space="preserve">Abstract (EN): </w:t>
      </w:r>
      <w:r>
        <w:t>We demonstrate for the first time that Pd metal can convert NO</w:t>
      </w:r>
      <w:r>
        <w:rPr>
          <w:vertAlign w:val="subscript"/>
        </w:rPr>
        <w:t>2</w:t>
      </w:r>
      <w:r>
        <w:t>−</w:t>
      </w:r>
      <w:r>
        <w:t>to N</w:t>
      </w:r>
      <w:r>
        <w:rPr>
          <w:vertAlign w:val="subscript"/>
        </w:rPr>
        <w:t>2</w:t>
      </w:r>
      <w:r>
        <w:t>O, N</w:t>
      </w:r>
      <w:r>
        <w:rPr>
          <w:vertAlign w:val="subscript"/>
        </w:rPr>
        <w:t>2</w:t>
      </w:r>
      <w:r>
        <w:t>, NH</w:t>
      </w:r>
      <w:r>
        <w:rPr>
          <w:vertAlign w:val="subscript"/>
        </w:rPr>
        <w:t>2</w:t>
      </w:r>
      <w:r>
        <w:t>OH, and NH</w:t>
      </w:r>
      <w:r>
        <w:rPr>
          <w:vertAlign w:val="subscript"/>
        </w:rPr>
        <w:t>3</w:t>
      </w:r>
      <w:r>
        <w:t>in a near‐neutral electrolyte, with high selectivity to each product attained by adjusting the applied electrode potential. Notably, N</w:t>
      </w:r>
      <w:r>
        <w:rPr>
          <w:vertAlign w:val="subscript"/>
        </w:rPr>
        <w:t>2</w:t>
      </w:r>
      <w:r>
        <w:t>and NH</w:t>
      </w:r>
      <w:r>
        <w:rPr>
          <w:vertAlign w:val="subscript"/>
        </w:rPr>
        <w:t>2</w:t>
      </w:r>
      <w:r>
        <w:t>OH, which are typically difficult to access, emerge as dominant products. Mechanistic investigation combining computational and experimental studies shows that NO</w:t>
      </w:r>
      <w:r>
        <w:rPr>
          <w:vertAlign w:val="subscript"/>
        </w:rPr>
        <w:t>2</w:t>
      </w:r>
      <w:r>
        <w:t>−</w:t>
      </w:r>
      <w:r>
        <w:t>electroreduction on Pd is controlled by the applied potential and surface coverage of adsorbed H atoms. The interplay of these two factors gives rise to four distinct reaction microenvironments that are consistent with the experimentally observed product distributions. At positive potentials, the pristine Pd surface favors *NO‐*NO coupling and N</w:t>
      </w:r>
      <w:r>
        <w:rPr>
          <w:vertAlign w:val="subscript"/>
        </w:rPr>
        <w:t>2</w:t>
      </w:r>
      <w:r>
        <w:t>O production, whereas at less positive potentials, the same surface with more reducing power favors N</w:t>
      </w:r>
      <w:r>
        <w:rPr>
          <w:vertAlign w:val="subscript"/>
        </w:rPr>
        <w:t>2</w:t>
      </w:r>
      <w:r>
        <w:t>. At mildly negative potentials, partial H coverage promotes *NO reduction over coupling and leads to NH</w:t>
      </w:r>
      <w:r>
        <w:rPr>
          <w:vertAlign w:val="subscript"/>
        </w:rPr>
        <w:t>2</w:t>
      </w:r>
      <w:r>
        <w:t>OH production, while at strongly negative potentials, abundant adsorbed H drives complete reduction to NH</w:t>
      </w:r>
      <w:r>
        <w:rPr>
          <w:vertAlign w:val="subscript"/>
        </w:rPr>
        <w:t>3</w:t>
      </w:r>
      <w:r>
        <w:t>. Together, these studies provide insight into the rich reductive chemistry at Pd active sites under electrochemical control and enable the rational design of Pd catalysts for environmental remediation and sustainable chemical synthesis.</w:t>
      </w:r>
    </w:p>
    <w:p>
      <w:pPr>
        <w:spacing w:before="120" w:after="120"/>
      </w:pPr>
      <w:r>
        <w:rPr>
          <w:sz w:val="18"/>
        </w:rPr>
        <w:t>——————————————————————————————————————————————————————————————————————</w:t>
      </w:r>
    </w:p>
    <w:p>
      <w:pPr>
        <w:spacing w:before="160" w:after="40" w:line="240" w:lineRule="auto"/>
      </w:pPr>
      <w:r>
        <w:rPr>
          <w:b/>
        </w:rPr>
        <w:t xml:space="preserve">[335] </w:t>
      </w:r>
      <w:hyperlink r:id="rId999">
        <w:r>
          <w:rPr>
            <w:color w:val="1155CC"/>
            <w:u w:val="single"/>
          </w:rPr>
          <w:t>用于细胞摄取的DNA纳米结构迭代筛选</w:t>
        </w:r>
      </w:hyperlink>
    </w:p>
    <w:p>
      <w:pPr>
        <w:spacing w:before="0" w:after="80"/>
      </w:pPr>
      <w:r>
        <w:rPr>
          <w:i/>
          <w:sz w:val="20"/>
        </w:rPr>
        <w:t>EN: Iterative Selection of DNA Nanostructures for Cellular Uptake</w:t>
      </w:r>
    </w:p>
    <w:p>
      <w:pPr>
        <w:spacing w:before="0" w:after="120"/>
      </w:pPr>
      <w:r>
        <w:rPr>
          <w:b/>
        </w:rPr>
        <w:t xml:space="preserve">Source: </w:t>
      </w:r>
      <w:r>
        <w:t>Wiley: Advanced Materials: Table of Contents</w:t>
      </w:r>
      <w:r>
        <w:t xml:space="preserve">    </w:t>
      </w:r>
      <w:r>
        <w:rPr>
          <w:b/>
        </w:rPr>
        <w:t xml:space="preserve">Pub date: </w:t>
      </w:r>
      <w:r>
        <w:t>2026-08-31 08:44:38+00:00</w:t>
      </w:r>
      <w:r>
        <w:t xml:space="preserve">    </w:t>
      </w:r>
      <w:r>
        <w:rPr>
          <w:b/>
        </w:rPr>
        <w:t xml:space="preserve">DOI: </w:t>
      </w:r>
      <w:hyperlink r:id="rId1000">
        <w:r>
          <w:rPr>
            <w:color w:val="1155CC"/>
            <w:u w:val="single"/>
          </w:rPr>
          <w:t>10.1002/adma.74852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DNA纳米技术提供精确、生物相容的结构，在靶向药物递送方面具有巨大潜力，然而目前的发现方法依赖于测试单个设计，限制了对结构多样性的探索。在本研究中，我们引入了一种迭代筛选策略，用于筛选大型DNA纳米结构文库，每种结构均由与扩增和测序兼容的单链“结构基因组”折叠而成。细胞内化被用作选择压力：将文库与哺乳动物细胞共孵育，从裂解物中回收内化的结构，并在HEK293T和RAW264.7细胞中进行多轮迭代。对回收结构基因组的高通量测序揭示了细胞类型特异的富集模式，从而能够鉴定具有优先摄取的单一纳米结构。选定的候选物被合成并作为纯化结构进行评估，通过定量流式细胞术和显微镜证实了差异化的内化。将DNA纳米结构的发现转化为基于选择的过程，可以实现对结构多样性的高通量探索，并为识别具有细胞特异性摄取特性的纳米结构用于生物医学应用提供替代途径。</w:t>
      </w:r>
    </w:p>
    <w:p>
      <w:pPr>
        <w:spacing w:before="0" w:after="200" w:lineRule="auto" w:line="276"/>
      </w:pPr>
      <w:r>
        <w:rPr>
          <w:b/>
        </w:rPr>
        <w:t xml:space="preserve">Abstract (EN): </w:t>
      </w:r>
      <w:r>
        <w:t>DNA nanotechnology offers precise, biocompatible structures with strong potential for targeted drug delivery, yet current discovery approaches rely on testing individual designs, limiting exploration of structural diversity. In this study, we introduce an iterative selection strategy that screens large libraries of DNA nanostructures, each folded from a single‑stranded “structure genome” compatible with amplification and sequencing. Cellular internalization is used as the selection pressure: libraries are incubated with mammalian cells, internalized structures are recovered from lysates, and the process is iterated across multiple rounds in HEK293T and RAW264.7 cells. High‑throughput sequencing of recovered structure genomes reveals cell‑type‐specific enrichment patterns, enabling the identification of individual nanostructures with preferential uptake. Selected candidates were synthesized and evaluated as purified structures, confirming differential internalization by quantitative flow cytometry and microscopy. Turning DNA nanostructure discovery into a selection‑based process could enable high‐throughput exploration of structural diversity and provide an alternative route to identify nanostructures with cell‑specific uptake properties for biomedical applications.</w:t>
      </w:r>
    </w:p>
    <w:p>
      <w:pPr>
        <w:spacing w:before="120" w:after="120"/>
      </w:pPr>
      <w:r>
        <w:rPr>
          <w:sz w:val="18"/>
        </w:rPr>
        <w:t>——————————————————————————————————————————————————————————————————————</w:t>
      </w:r>
    </w:p>
    <w:p>
      <w:pPr>
        <w:spacing w:before="160" w:after="40" w:line="240" w:lineRule="auto"/>
      </w:pPr>
      <w:r>
        <w:rPr>
          <w:b/>
        </w:rPr>
        <w:t xml:space="preserve">[336] </w:t>
      </w:r>
      <w:hyperlink r:id="rId1001">
        <w:r>
          <w:rPr>
            <w:color w:val="1155CC"/>
            <w:u w:val="single"/>
          </w:rPr>
          <w:t>用于机器人触觉与味觉双模态感知系统的自供能液体TVNG传感器</w:t>
        </w:r>
      </w:hyperlink>
    </w:p>
    <w:p>
      <w:pPr>
        <w:spacing w:before="0" w:after="80"/>
      </w:pPr>
      <w:r>
        <w:rPr>
          <w:i/>
          <w:sz w:val="20"/>
        </w:rPr>
        <w:t>EN: Self‐Powered Liquid TVNG Sensor for Robot Tactile and Gustatory Dual‐Mode Sensing System</w:t>
      </w:r>
    </w:p>
    <w:p>
      <w:pPr>
        <w:spacing w:before="0" w:after="120"/>
      </w:pPr>
      <w:r>
        <w:rPr>
          <w:b/>
        </w:rPr>
        <w:t xml:space="preserve">Source: </w:t>
      </w:r>
      <w:r>
        <w:t>Wiley: Advanced Materials: Table of Contents</w:t>
      </w:r>
      <w:r>
        <w:t xml:space="preserve">    </w:t>
      </w:r>
      <w:r>
        <w:rPr>
          <w:b/>
        </w:rPr>
        <w:t xml:space="preserve">Pub date: </w:t>
      </w:r>
      <w:r>
        <w:t>2026-08-31 09:37:29+00:00</w:t>
      </w:r>
      <w:r>
        <w:t xml:space="preserve">    </w:t>
      </w:r>
      <w:r>
        <w:rPr>
          <w:b/>
        </w:rPr>
        <w:t xml:space="preserve">DOI: </w:t>
      </w:r>
      <w:hyperlink r:id="rId1002">
        <w:r>
          <w:rPr>
            <w:color w:val="1155CC"/>
            <w:u w:val="single"/>
          </w:rPr>
          <w:t>10.1002/adma.74866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摩擦伏特纳米发电机（TVNG）具有自供电、低阻抗和高直流瞬态响应的特点，非常适合机器人传感。然而，接触分离模式的固-固TVNG性能较差且缺乏智能传感终端，限制了其先进应用。我们提出了一种耦合滑动和接触分离模式的 自供电液体TVNG传感器（LTVNGS），并与深度学习集成用于机器人触觉和味觉双模态传感系统。金属-半导体界面处的低电阻水溶液促进了LTVNG的电荷传输效率，灵敏度已从nA水平提升至µA水平。我们揭示了LTVNG的工作机理，并通过对GO分散液的定性和定量分析，解释了固-固非接触LTVNGS灵敏度增强的原理。此外，LTVNGs实现了水滴高度的预测。更进一步，LTVNG借助深度学习模型，通过对不同材料和液体的感知，实现了触觉材料和味觉液体的识别，平均识别准确率超过98%。这项工作为多模态TVNG及其在智能机器人中的应用提供了科学框架，为机器人液体分析提供了创新方法，并增强了识别危险液体和人机交互（HMI）的能力。</w:t>
      </w:r>
    </w:p>
    <w:p>
      <w:pPr>
        <w:spacing w:before="0" w:after="200" w:lineRule="auto" w:line="276"/>
      </w:pPr>
      <w:r>
        <w:rPr>
          <w:b/>
        </w:rPr>
        <w:t xml:space="preserve">Abstract (EN): </w:t>
      </w:r>
      <w:r>
        <w:t>Tribovoltaic nanogenerator (TVNG) offers self‐powered, low impedance, and high direct current transient response, making it highly suitable for robotic sensing. However, the poor performance and lack of intelligent sensing terminals in the solid–solid TVNG of the contact separation mode have limited its advanced applications. We present a self‐powered liquid TVNG sensor (LTVNGS) coupling sliding and contact‐separation modes, integrated with deep learning for robotic tactile and gustatory dual‐mode sensing system. The low‐resistance aqueous solution at the metal‐semiconductor interface promotes the charge transport efficiency of LTVNG, and the sensitivity has been improved from the nA to the µA level. The working mechanism of LTVNG was revealed, and the principle of enhancing sensitivity in the solid–solid noncontact LTVNGS through the qualitative and quantitative analysis of the GO dispersion solution was explained. Besides, LTVNGs achieve prediction of water droplet height. Furthermore, LTVNG achieves tactile material and gustatory liquid recognition with an average identification accuracy exceeding 98%, assisted by deep learning models through the perception of different materials and liquids. This work provides a scientific framework for multimodal TVNG and its application in intelligent robots, offers an innovative approach for robot liquid analysis, and enhances the ability to identify hazardous liquids and the HMI.</w:t>
      </w:r>
    </w:p>
    <w:p>
      <w:pPr>
        <w:spacing w:before="120" w:after="120"/>
      </w:pPr>
      <w:r>
        <w:rPr>
          <w:sz w:val="18"/>
        </w:rPr>
        <w:t>——————————————————————————————————————————————————————————————————————</w:t>
      </w:r>
    </w:p>
    <w:p>
      <w:pPr>
        <w:spacing w:before="160" w:after="40" w:line="240" w:lineRule="auto"/>
      </w:pPr>
      <w:r>
        <w:rPr>
          <w:b/>
        </w:rPr>
        <w:t xml:space="preserve">[337] </w:t>
      </w:r>
      <w:hyperlink r:id="rId1003">
        <w:r>
          <w:rPr>
            <w:color w:val="1155CC"/>
            <w:u w:val="single"/>
          </w:rPr>
          <w:t>动力学Kagome磁性：从自陷RVB极化子到半经典关联</w:t>
        </w:r>
      </w:hyperlink>
    </w:p>
    <w:p>
      <w:pPr>
        <w:spacing w:before="0" w:after="80"/>
      </w:pPr>
      <w:r>
        <w:rPr>
          <w:i/>
          <w:sz w:val="20"/>
        </w:rPr>
        <w:t>EN: Kinetic Kagome Magnetism: From Self-Trapping RVB Polarons to Semiclassical Correlations</w:t>
      </w:r>
    </w:p>
    <w:p>
      <w:pPr>
        <w:spacing w:before="0" w:after="120"/>
      </w:pPr>
      <w:r>
        <w:rPr>
          <w:b/>
        </w:rPr>
        <w:t xml:space="preserve">Source: </w:t>
      </w:r>
      <w:r>
        <w:t>Recent Articles in Phys. Rev. Lett.</w:t>
      </w:r>
      <w:r>
        <w:t xml:space="preserve">    </w:t>
      </w:r>
      <w:r>
        <w:rPr>
          <w:b/>
        </w:rPr>
        <w:t xml:space="preserve">Pub date: </w:t>
      </w:r>
      <w:r>
        <w:t>2026-08-31 10:00:00+00:00</w:t>
      </w:r>
      <w:r>
        <w:t xml:space="preserve">    </w:t>
      </w:r>
      <w:r>
        <w:rPr>
          <w:b/>
        </w:rPr>
        <w:t xml:space="preserve">DOI: </w:t>
      </w:r>
      <w:hyperlink r:id="rId1004">
        <w:r>
          <w:rPr>
            <w:color w:val="1155CC"/>
            <w:u w:val="single"/>
          </w:rPr>
          <w:t>10.1103/zbxv-vtq8</w:t>
        </w:r>
      </w:hyperlink>
    </w:p>
    <w:p>
      <w:pPr>
        <w:spacing w:before="0" w:after="120"/>
      </w:pPr>
      <w:r>
        <w:rPr>
          <w:b/>
        </w:rPr>
        <w:t xml:space="preserve">Notes: </w:t>
      </w:r>
      <w:r>
        <w:t>abstract_source=rss_description</w:t>
      </w:r>
    </w:p>
    <w:p>
      <w:pPr>
        <w:spacing w:before="0" w:after="80" w:lineRule="auto" w:line="276"/>
      </w:pPr>
      <w:r>
        <w:rPr>
          <w:b/>
        </w:rPr>
        <w:t xml:space="preserve">摘要（ZH）: </w:t>
      </w:r>
      <w:r>
        <w:t>作者：Yufei Pei, Shuai A. Chen, Claudio Castelnovo和Roderich Moessner</w:t>
      </w:r>
      <w:r>
        <w:t xml:space="preserve"> </w:t>
      </w:r>
      <w:r>
        <w:t>对kagome晶格上无限U Hubbard模型中单空穴的反Nagaoka问题的研究揭示了一种新型极化子——共振价键极化子，其在极化降低时转变为半经典有序态。[Phys. Rev. Lett. 137, 106702] 发布于2026年8月31日星期一</w:t>
      </w:r>
    </w:p>
    <w:p>
      <w:pPr>
        <w:spacing w:before="0" w:after="200" w:lineRule="auto" w:line="276"/>
      </w:pPr>
      <w:r>
        <w:rPr>
          <w:b/>
        </w:rPr>
        <w:t xml:space="preserve">Abstract (EN): </w:t>
      </w:r>
      <w:r>
        <w:t>Author(s): Yufei Pei, Shuai A. Chen, Claudio Castelnovo, and Roderich MoessnerA study of the counter-Nagaoka problem of a single hole in an infinite-U Hubbard model on the kagome lattice reveals a new type of polaron, a resonating-valence-bond polaron that morphs into semiclassical order as polarization is reduced.[Phys. Rev. Lett. 137, 106702] Published Mon Aug 31, 2026</w:t>
      </w:r>
    </w:p>
    <w:p>
      <w:pPr>
        <w:spacing w:before="120" w:after="120"/>
      </w:pPr>
      <w:r>
        <w:rPr>
          <w:sz w:val="18"/>
        </w:rPr>
        <w:t>——————————————————————————————————————————————————————————————————————</w:t>
      </w:r>
    </w:p>
    <w:p>
      <w:pPr>
        <w:spacing w:before="160" w:after="40" w:line="240" w:lineRule="auto"/>
      </w:pPr>
      <w:r>
        <w:rPr>
          <w:b/>
        </w:rPr>
        <w:t xml:space="preserve">[338] </w:t>
      </w:r>
      <w:hyperlink r:id="rId1005">
        <w:r>
          <w:rPr>
            <w:color w:val="1155CC"/>
            <w:u w:val="single"/>
          </w:rPr>
          <w:t>利用最小尺寸关联的多体纠缠实验探测</w:t>
        </w:r>
      </w:hyperlink>
    </w:p>
    <w:p>
      <w:pPr>
        <w:spacing w:before="0" w:after="80"/>
      </w:pPr>
      <w:r>
        <w:rPr>
          <w:i/>
          <w:sz w:val="20"/>
        </w:rPr>
        <w:t>EN: Experimental Multipartite Entanglement Detection with Minimal-Size Correlations</w:t>
      </w:r>
    </w:p>
    <w:p>
      <w:pPr>
        <w:spacing w:before="0" w:after="120"/>
      </w:pPr>
      <w:r>
        <w:rPr>
          <w:b/>
        </w:rPr>
        <w:t xml:space="preserve">Source: </w:t>
      </w:r>
      <w:r>
        <w:t>Recent Articles in Phys. Rev. Lett.</w:t>
      </w:r>
      <w:r>
        <w:t xml:space="preserve">    </w:t>
      </w:r>
      <w:r>
        <w:rPr>
          <w:b/>
        </w:rPr>
        <w:t xml:space="preserve">Pub date: </w:t>
      </w:r>
      <w:r>
        <w:t>2026-08-31 10:00:00+00:00</w:t>
      </w:r>
      <w:r>
        <w:t xml:space="preserve">    </w:t>
      </w:r>
      <w:r>
        <w:rPr>
          <w:b/>
        </w:rPr>
        <w:t xml:space="preserve">DOI: </w:t>
      </w:r>
      <w:hyperlink r:id="rId1006">
        <w:r>
          <w:rPr>
            <w:color w:val="1155CC"/>
            <w:u w:val="single"/>
          </w:rPr>
          <w:t>10.1103/w6fl-nx59</w:t>
        </w:r>
      </w:hyperlink>
    </w:p>
    <w:p>
      <w:pPr>
        <w:spacing w:before="0" w:after="120"/>
      </w:pPr>
      <w:r>
        <w:rPr>
          <w:b/>
        </w:rPr>
        <w:t xml:space="preserve">Notes: </w:t>
      </w:r>
      <w:r>
        <w:t>abstract_source=rss_description</w:t>
      </w:r>
    </w:p>
    <w:p>
      <w:pPr>
        <w:spacing w:before="0" w:after="80" w:lineRule="auto" w:line="276"/>
      </w:pPr>
      <w:r>
        <w:rPr>
          <w:b/>
        </w:rPr>
        <w:t xml:space="preserve">摘要（ZH）: </w:t>
      </w:r>
      <w:r>
        <w:t>作者：Dian Wu, Fei Shi, Jia-Cheng Sun, Bo-Wen Wang, Xue-Mei Gu, Giulio Chiribella, Qi Zhao, 和 Jian Wu多体纠缠是量子技术的关键资源，然而其认证通常依赖于涉及所有粒子的测量关联，这使得随着系统规模增大，认证越来越容易受到缺陷的影响。在此，我们报告了……的首次实验演示……[Phys. Rev. Lett. 137, 100201] 发布于2026年8月31日（周一）</w:t>
      </w:r>
    </w:p>
    <w:p>
      <w:pPr>
        <w:spacing w:before="0" w:after="200" w:lineRule="auto" w:line="276"/>
      </w:pPr>
      <w:r>
        <w:rPr>
          <w:b/>
        </w:rPr>
        <w:t xml:space="preserve">Abstract (EN): </w:t>
      </w:r>
      <w:r>
        <w:t>Author(s): Dian Wu, Fei Shi, Jia-Cheng Sun, Bo-Wen Wang, Xue-Mei Gu, Giulio Chiribella, Qi Zhao, and Jian WuMultipartite entanglement is a key resource for quantum technologies, yet its certification typically relies on correlations from measurements involving all particles, making it increasingly vulnerable to imperfections as the system size grows. Here we report the first experimental demonstration of …[Phys. Rev. Lett. 137, 100201] Published Mon Aug 31, 2026</w:t>
      </w:r>
    </w:p>
    <w:p>
      <w:pPr>
        <w:spacing w:before="120" w:after="120"/>
      </w:pPr>
      <w:r>
        <w:rPr>
          <w:sz w:val="18"/>
        </w:rPr>
        <w:t>——————————————————————————————————————————————————————————————————————</w:t>
      </w:r>
    </w:p>
    <w:p>
      <w:pPr>
        <w:spacing w:before="160" w:after="40" w:line="240" w:lineRule="auto"/>
      </w:pPr>
      <w:r>
        <w:rPr>
          <w:b/>
        </w:rPr>
        <w:t xml:space="preserve">[339] </w:t>
      </w:r>
      <w:hyperlink r:id="rId1007">
        <w:r>
          <w:rPr>
            <w:color w:val="1155CC"/>
            <w:u w:val="single"/>
          </w:rPr>
          <w:t>氘核纵向响应函数的微扰有效场论计算</w:t>
        </w:r>
      </w:hyperlink>
    </w:p>
    <w:p>
      <w:pPr>
        <w:spacing w:before="0" w:after="80"/>
      </w:pPr>
      <w:r>
        <w:rPr>
          <w:i/>
          <w:sz w:val="20"/>
        </w:rPr>
        <w:t>EN: Perturbative effective-field-theory calculation of the deuteron longitudinal response function</w:t>
      </w:r>
    </w:p>
    <w:p>
      <w:pPr>
        <w:spacing w:before="0" w:after="120"/>
      </w:pPr>
      <w:r>
        <w:rPr>
          <w:b/>
        </w:rPr>
        <w:t xml:space="preserve">Source: </w:t>
      </w:r>
      <w:r>
        <w:t>Recent Articles in Phys. Rev. C</w:t>
      </w:r>
      <w:r>
        <w:t xml:space="preserve">    </w:t>
      </w:r>
      <w:r>
        <w:rPr>
          <w:b/>
        </w:rPr>
        <w:t xml:space="preserve">Pub date: </w:t>
      </w:r>
      <w:r>
        <w:t>2026-08-31 10:00:00+00:00</w:t>
      </w:r>
      <w:r>
        <w:t xml:space="preserve">    </w:t>
      </w:r>
      <w:r>
        <w:rPr>
          <w:b/>
        </w:rPr>
        <w:t xml:space="preserve">DOI: </w:t>
      </w:r>
      <w:hyperlink r:id="rId1008">
        <w:r>
          <w:rPr>
            <w:color w:val="1155CC"/>
            <w:u w:val="single"/>
          </w:rPr>
          <w:t>10.1103/zgbl-rffb</w:t>
        </w:r>
      </w:hyperlink>
    </w:p>
    <w:p>
      <w:pPr>
        <w:spacing w:before="0" w:after="120"/>
      </w:pPr>
      <w:r>
        <w:rPr>
          <w:b/>
        </w:rPr>
        <w:t xml:space="preserve">Notes: </w:t>
      </w:r>
      <w:r>
        <w:t>abstract_source=rss_description</w:t>
      </w:r>
    </w:p>
    <w:p>
      <w:pPr>
        <w:spacing w:before="0" w:after="80" w:lineRule="auto" w:line="276"/>
      </w:pPr>
      <w:r>
        <w:rPr>
          <w:b/>
        </w:rPr>
        <w:t xml:space="preserve">摘要（ZH）: </w:t>
      </w:r>
      <w:r>
        <w:t>作者：Andrew J. Andis, Songlin Lyu (吕松林), Bingwei Long (龙炳蔚), 和 Sebastian König核有效场论（EFTs）对第一性原理核物理产生了巨大影响，但其发展和应用仍存在许多悬而未决的问题。本研究以严格RG不变的表述研究手征EFT，并将其应用于氘核电致离解过程，将此类计算的范围从静态性质扩展到探测更大范围物理的破裂过程。为实现这一目标，洛伦兹积分变换（LIT）方法被扩展，使得包括电磁流算符修正在内的所有次领头阶修正均以微扰论方式纳入，达到EFT展开的二阶。与现有数据符合良好，这一微扰LIT框架为涉及更重核的类似研究铺平了道路。[Phys. Rev. C 114, 024004] 发布于2026年8月31日（周一）</w:t>
      </w:r>
    </w:p>
    <w:p>
      <w:pPr>
        <w:spacing w:before="0" w:after="200" w:lineRule="auto" w:line="276"/>
      </w:pPr>
      <w:r>
        <w:rPr>
          <w:b/>
        </w:rPr>
        <w:t xml:space="preserve">Abstract (EN): </w:t>
      </w:r>
      <w:r>
        <w:t>Author(s): Andrew J. Andis, Songlin Lyu (吕松林), Bingwei Long (龙炳蔚), and Sebastian KönigNuclear effective field theories (EFTs) have had enormous impact on ab initio nuclear physics, yet many open questions remain regarding their development and application. This work studies Chiral EFT in a strictly RG-invariant formulation and applies it to the process of deuteron electrodisintegration, extending the reach of such calculations from static properties to breakup processes that probe a larger range of physics. To achieve this, the Lorentz Integral Transform (LIT) method is extended such that all subleading corrections, including those to the electromagnetic current operator, are included in perturbation theory, reaching second order in the EFT expansion. Finding good agreement with available data, this perturbative LIT framework paves the way for similar studies involving heavier nuclei.[Phys. Rev. C 114, 024004] Published Mon Aug 31, 2026</w:t>
      </w:r>
    </w:p>
    <w:p>
      <w:pPr>
        <w:spacing w:before="120" w:after="120"/>
      </w:pPr>
      <w:r>
        <w:rPr>
          <w:sz w:val="18"/>
        </w:rPr>
        <w:t>——————————————————————————————————————————————————————————————————————</w:t>
      </w:r>
    </w:p>
    <w:p>
      <w:pPr>
        <w:spacing w:before="160" w:after="40" w:line="240" w:lineRule="auto"/>
      </w:pPr>
      <w:r>
        <w:rPr>
          <w:b/>
        </w:rPr>
        <w:t xml:space="preserve">[340] </w:t>
      </w:r>
      <w:hyperlink r:id="rId1009">
        <w:r>
          <w:rPr>
            <w:color w:val="1155CC"/>
            <w:u w:val="single"/>
          </w:rPr>
          <w:t>共线$p$波磁性与隐藏轨道亚铁磁性</w:t>
        </w:r>
      </w:hyperlink>
    </w:p>
    <w:p>
      <w:pPr>
        <w:spacing w:before="0" w:after="80"/>
      </w:pPr>
      <w:r>
        <w:rPr>
          <w:i/>
          <w:sz w:val="20"/>
        </w:rPr>
        <w:t>EN: Collinear $p$-Wave Magnetism and Hidden Orbital Ferrimagnetism</w:t>
      </w:r>
    </w:p>
    <w:p>
      <w:pPr>
        <w:spacing w:before="0" w:after="120"/>
      </w:pPr>
      <w:r>
        <w:rPr>
          <w:b/>
        </w:rPr>
        <w:t xml:space="preserve">Source: </w:t>
      </w:r>
      <w:r>
        <w:t>Recent Articles in Phys. Rev. Lett.</w:t>
      </w:r>
      <w:r>
        <w:t xml:space="preserve">    </w:t>
      </w:r>
      <w:r>
        <w:rPr>
          <w:b/>
        </w:rPr>
        <w:t xml:space="preserve">Pub date: </w:t>
      </w:r>
      <w:r>
        <w:t>2026-08-31 10:00:00+00:00</w:t>
      </w:r>
      <w:r>
        <w:t xml:space="preserve">    </w:t>
      </w:r>
      <w:r>
        <w:rPr>
          <w:b/>
        </w:rPr>
        <w:t xml:space="preserve">DOI: </w:t>
      </w:r>
      <w:hyperlink r:id="rId1010">
        <w:r>
          <w:rPr>
            <w:color w:val="1155CC"/>
            <w:u w:val="single"/>
          </w:rPr>
          <w:t>10.1103/ydjj-6r9l</w:t>
        </w:r>
      </w:hyperlink>
    </w:p>
    <w:p>
      <w:pPr>
        <w:spacing w:before="0" w:after="120"/>
      </w:pPr>
      <w:r>
        <w:rPr>
          <w:b/>
        </w:rPr>
        <w:t xml:space="preserve">Notes: </w:t>
      </w:r>
      <w:r>
        <w:t>abstract_source=rss_description</w:t>
      </w:r>
    </w:p>
    <w:p>
      <w:pPr>
        <w:spacing w:before="0" w:after="80" w:lineRule="auto" w:line="276"/>
      </w:pPr>
      <w:r>
        <w:rPr>
          <w:b/>
        </w:rPr>
        <w:t xml:space="preserve">摘要（ZH）: </w:t>
      </w:r>
      <w:r>
        <w:t>作者：Valentin Leeb 和 Johannes Knolle针对共线磁体总是具有空间反演对称能带结构这一普遍公认证明的反例，以及该证明失效时的对称性分析，对共线磁体的现有分类提出了挑战。[Phys. Rev. Lett. 137, 106701] 发布于2026年8月31日（周一）</w:t>
      </w:r>
    </w:p>
    <w:p>
      <w:pPr>
        <w:spacing w:before="0" w:after="200" w:lineRule="auto" w:line="276"/>
      </w:pPr>
      <w:r>
        <w:rPr>
          <w:b/>
        </w:rPr>
        <w:t xml:space="preserve">Abstract (EN): </w:t>
      </w:r>
      <w:r>
        <w:t>Author(s): Valentin Leeb and Johannes KnolleCounter examples to the commonly accepted proof that collinear magnets always have an inversion symmetric band structure along with a symmetry analysis when the proof breaks down challenges the existing classification of collinear magnets.[Phys. Rev. Lett. 137, 106701] Published Mon Aug 31, 2026</w:t>
      </w:r>
    </w:p>
    <w:p>
      <w:pPr>
        <w:spacing w:before="120" w:after="120"/>
      </w:pPr>
      <w:r>
        <w:rPr>
          <w:sz w:val="18"/>
        </w:rPr>
        <w:t>——————————————————————————————————————————————————————————————————————</w:t>
      </w:r>
    </w:p>
    <w:p>
      <w:pPr>
        <w:spacing w:before="160" w:after="40" w:line="240" w:lineRule="auto"/>
      </w:pPr>
      <w:r>
        <w:rPr>
          <w:b/>
        </w:rPr>
        <w:t xml:space="preserve">[341] </w:t>
      </w:r>
      <w:hyperlink r:id="rId1011">
        <w:r>
          <w:rPr>
            <w:color w:val="1155CC"/>
            <w:u w:val="single"/>
          </w:rPr>
          <w:t>胶体悬浮液的休止角可低于非热无摩擦颗粒的最小值</w:t>
        </w:r>
      </w:hyperlink>
    </w:p>
    <w:p>
      <w:pPr>
        <w:spacing w:before="0" w:after="80"/>
      </w:pPr>
      <w:r>
        <w:rPr>
          <w:i/>
          <w:sz w:val="20"/>
        </w:rPr>
        <w:t>EN: Colloidal Suspensions Can Have Nonzero Angles of Repose below the Minimal Value for Athermal Frictionless Particles</w:t>
      </w:r>
    </w:p>
    <w:p>
      <w:pPr>
        <w:spacing w:before="0" w:after="120"/>
      </w:pPr>
      <w:r>
        <w:rPr>
          <w:b/>
        </w:rPr>
        <w:t xml:space="preserve">Source: </w:t>
      </w:r>
      <w:r>
        <w:t>Recent Articles in Phys. Rev. Lett.</w:t>
      </w:r>
      <w:r>
        <w:t xml:space="preserve">    </w:t>
      </w:r>
      <w:r>
        <w:rPr>
          <w:b/>
        </w:rPr>
        <w:t xml:space="preserve">Pub date: </w:t>
      </w:r>
      <w:r>
        <w:t>2026-08-31 10:00:00+00:00</w:t>
      </w:r>
      <w:r>
        <w:t xml:space="preserve">    </w:t>
      </w:r>
      <w:r>
        <w:rPr>
          <w:b/>
        </w:rPr>
        <w:t xml:space="preserve">DOI: </w:t>
      </w:r>
      <w:hyperlink r:id="rId1012">
        <w:r>
          <w:rPr>
            <w:color w:val="1155CC"/>
            <w:u w:val="single"/>
          </w:rPr>
          <w:t>10.1103/hgfn-k4ql</w:t>
        </w:r>
      </w:hyperlink>
    </w:p>
    <w:p>
      <w:pPr>
        <w:spacing w:before="0" w:after="120"/>
      </w:pPr>
      <w:r>
        <w:rPr>
          <w:b/>
        </w:rPr>
        <w:t xml:space="preserve">Notes: </w:t>
      </w:r>
      <w:r>
        <w:t>abstract_source=rss_description</w:t>
      </w:r>
    </w:p>
    <w:p>
      <w:pPr>
        <w:spacing w:before="0" w:after="80" w:lineRule="auto" w:line="276"/>
      </w:pPr>
      <w:r>
        <w:rPr>
          <w:b/>
        </w:rPr>
        <w:t xml:space="preserve">摘要（ZH）: </w:t>
      </w:r>
      <w:r>
        <w:t>作者：Jesús Fernández, Loïc Vanel, 和 Antoine Bérut在由对布朗运动敏感的粒子组成的稠密胶体悬浮液中，引力Peclet数决定了重力与热扰动达到平衡时的中间休止角。[Phys. Rev. Lett. 137, 108201] 发布于2026年8月31日（周一）</w:t>
      </w:r>
    </w:p>
    <w:p>
      <w:pPr>
        <w:spacing w:before="0" w:after="200" w:lineRule="auto" w:line="276"/>
      </w:pPr>
      <w:r>
        <w:rPr>
          <w:b/>
        </w:rPr>
        <w:t xml:space="preserve">Abstract (EN): </w:t>
      </w:r>
      <w:r>
        <w:t>Author(s): Jesús Fernández, Loïc Vanel, and Antoine BérutIn dense colloidal suspensions composed of particles sensitive to Brownian motion, a gravitational Peclet number governs an intermediate angle of repose where gravity and thermal agitation strike a balance.[Phys. Rev. Lett. 137, 108201] Published Mon Aug 31, 2026</w:t>
      </w:r>
    </w:p>
    <w:p>
      <w:pPr>
        <w:spacing w:before="120" w:after="120"/>
      </w:pPr>
      <w:r>
        <w:rPr>
          <w:sz w:val="18"/>
        </w:rPr>
        <w:t>——————————————————————————————————————————————————————————————————————</w:t>
      </w:r>
    </w:p>
    <w:p>
      <w:pPr>
        <w:spacing w:before="160" w:after="40" w:line="240" w:lineRule="auto"/>
      </w:pPr>
      <w:r>
        <w:rPr>
          <w:b/>
        </w:rPr>
        <w:t xml:space="preserve">[342] </w:t>
      </w:r>
      <w:hyperlink r:id="rId1013">
        <w:r>
          <w:rPr>
            <w:color w:val="1155CC"/>
            <w:u w:val="single"/>
          </w:rPr>
          <w:t>从Rh到Mo的$A=105$同量异位素$β$衰变性质的改进</w:t>
        </w:r>
      </w:hyperlink>
    </w:p>
    <w:p>
      <w:pPr>
        <w:spacing w:before="0" w:after="80"/>
      </w:pPr>
      <w:r>
        <w:rPr>
          <w:i/>
          <w:sz w:val="20"/>
        </w:rPr>
        <w:t>EN: Improved $β$-decay properties of the $A=105$ isobars from Rh to Mo</w:t>
      </w:r>
    </w:p>
    <w:p>
      <w:pPr>
        <w:spacing w:before="0" w:after="120"/>
      </w:pPr>
      <w:r>
        <w:rPr>
          <w:b/>
        </w:rPr>
        <w:t xml:space="preserve">Source: </w:t>
      </w:r>
      <w:r>
        <w:t>Recent Articles in Phys. Rev. C</w:t>
      </w:r>
      <w:r>
        <w:t xml:space="preserve">    </w:t>
      </w:r>
      <w:r>
        <w:rPr>
          <w:b/>
        </w:rPr>
        <w:t xml:space="preserve">Pub date: </w:t>
      </w:r>
      <w:r>
        <w:t>2026-08-31 10:00:00+00:00</w:t>
      </w:r>
      <w:r>
        <w:t xml:space="preserve">    </w:t>
      </w:r>
      <w:r>
        <w:rPr>
          <w:b/>
        </w:rPr>
        <w:t xml:space="preserve">DOI: </w:t>
      </w:r>
      <w:hyperlink r:id="rId1014">
        <w:r>
          <w:rPr>
            <w:color w:val="1155CC"/>
            <w:u w:val="single"/>
          </w:rPr>
          <w:t>10.1103/z381-vk5n</w:t>
        </w:r>
      </w:hyperlink>
    </w:p>
    <w:p>
      <w:pPr>
        <w:spacing w:before="0" w:after="120"/>
      </w:pPr>
      <w:r>
        <w:rPr>
          <w:b/>
        </w:rPr>
        <w:t xml:space="preserve">Notes: </w:t>
      </w:r>
      <w:r>
        <w:t>abstract_source=rss_description</w:t>
      </w:r>
    </w:p>
    <w:p>
      <w:pPr>
        <w:spacing w:before="0" w:after="80" w:lineRule="auto" w:line="276"/>
      </w:pPr>
      <w:r>
        <w:rPr>
          <w:b/>
        </w:rPr>
        <w:t xml:space="preserve">摘要（ZH）: </w:t>
      </w:r>
      <w:r>
        <w:t>作者：T. J. Ruland, J. C. Blackmon, B. C. Rasco, K. P. Rykaczewski, N. T. Brewer, J. Clark, M. P. Cooper, A. Fijałkowska, R. K. Grzywacz, M. Karny, T. T. King, A. Laminack, M. M. Rajabali, D. Santiago-Gonzalez, G. Savard, P. Shuai, M. Stepaniuk, D. W. Stracener, G. Wilson, M. Wolińska-Cichocka, 和 E. F. Zganjar背景：最近通过总吸收谱学对裂变碎片β衰变的研究发现，归于轻子的衰变能比以前认为的更少，其中对$^{105}\mathrm{Mo}$和$^{105}\mathrm{Tc}$的研究对反应堆衰变热尤为重要。这些结果……[Phys. Rev. C 114, 024346] 发布于2026年8月31日（周一）</w:t>
      </w:r>
    </w:p>
    <w:p>
      <w:pPr>
        <w:spacing w:before="0" w:after="200" w:lineRule="auto" w:line="276"/>
      </w:pPr>
      <w:r>
        <w:rPr>
          <w:b/>
        </w:rPr>
        <w:t xml:space="preserve">Abstract (EN): </w:t>
      </w:r>
      <w:r>
        <w:t>Author(s): T. J. Ruland, J. C. Blackmon, B. C. Rasco, K. P. Rykaczewski, N. T. Brewer, J. Clark, M. P. Cooper, A. Fijałkowska, R. K. Grzywacz, M. Karny, T. T. King, A. Laminack, M. M. Rajabali, D. Santiago-Gonzalez, G. Savard, P. Shuai, M. Stepaniuk, D. W. Stracener, G. Wilson, M. Wolińska-Cichocka, and E. F. ZganjarBackground: Recent studies of the β decay of fission fragments by total absorption spectroscopy have found less decay energy attributed to leptons than previously believed, with studies of $^{105}\mathrm{Mo}$ and $^{105}\mathrm{Tc}$ being particularly impactful for reactor decay heat. These results …[Phys. Rev. C 114, 024346] Published Mon Aug 31, 2026</w:t>
      </w:r>
    </w:p>
    <w:p>
      <w:pPr>
        <w:spacing w:before="120" w:after="120"/>
      </w:pPr>
      <w:r>
        <w:rPr>
          <w:sz w:val="18"/>
        </w:rPr>
        <w:t>——————————————————————————————————————————————————————————————————————</w:t>
      </w:r>
    </w:p>
    <w:p>
      <w:pPr>
        <w:spacing w:before="160" w:after="40" w:line="240" w:lineRule="auto"/>
      </w:pPr>
      <w:r>
        <w:rPr>
          <w:b/>
        </w:rPr>
        <w:t xml:space="preserve">[343] </w:t>
      </w:r>
      <w:hyperlink r:id="rId1015">
        <w:r>
          <w:rPr>
            <w:color w:val="1155CC"/>
            <w:u w:val="single"/>
          </w:rPr>
          <w:t>通过同时分析测量质量和总动能研究$^{193}\mathrm{Tl}$中的不对称裂变</w:t>
        </w:r>
      </w:hyperlink>
    </w:p>
    <w:p>
      <w:pPr>
        <w:spacing w:before="0" w:after="80"/>
      </w:pPr>
      <w:r>
        <w:rPr>
          <w:i/>
          <w:sz w:val="20"/>
        </w:rPr>
        <w:t>EN: Asymmetric fission in $^{193}\mathrm{Tl}$ from simultaneous analysis of measured mass and total kinetic energy</w:t>
      </w:r>
    </w:p>
    <w:p>
      <w:pPr>
        <w:spacing w:before="0" w:after="120"/>
      </w:pPr>
      <w:r>
        <w:rPr>
          <w:b/>
        </w:rPr>
        <w:t xml:space="preserve">Source: </w:t>
      </w:r>
      <w:r>
        <w:t>Recent Articles in Phys. Rev. C</w:t>
      </w:r>
      <w:r>
        <w:t xml:space="preserve">    </w:t>
      </w:r>
      <w:r>
        <w:rPr>
          <w:b/>
        </w:rPr>
        <w:t xml:space="preserve">Pub date: </w:t>
      </w:r>
      <w:r>
        <w:t>2026-08-31 10:00:00+00:00</w:t>
      </w:r>
      <w:r>
        <w:t xml:space="preserve">    </w:t>
      </w:r>
      <w:r>
        <w:rPr>
          <w:b/>
        </w:rPr>
        <w:t xml:space="preserve">DOI: </w:t>
      </w:r>
      <w:hyperlink r:id="rId1016">
        <w:r>
          <w:rPr>
            <w:color w:val="1155CC"/>
            <w:u w:val="single"/>
          </w:rPr>
          <w:t>10.1103/nvsj-f4x9</w:t>
        </w:r>
      </w:hyperlink>
    </w:p>
    <w:p>
      <w:pPr>
        <w:spacing w:before="0" w:after="120"/>
      </w:pPr>
      <w:r>
        <w:rPr>
          <w:b/>
        </w:rPr>
        <w:t xml:space="preserve">Notes: </w:t>
      </w:r>
      <w:r>
        <w:t>abstract_source=rss_description</w:t>
      </w:r>
    </w:p>
    <w:p>
      <w:pPr>
        <w:spacing w:before="0" w:after="80" w:lineRule="auto" w:line="276"/>
      </w:pPr>
      <w:r>
        <w:rPr>
          <w:b/>
        </w:rPr>
        <w:t xml:space="preserve">摘要（ZH）: </w:t>
      </w:r>
      <w:r>
        <w:t>作者：Vineet Kumar, K. Mahata, Sangeeta Dhuri, K. Ramachandran, A. Shrivastava, S. K. Pandit, V. V. Parkar, Prasanna M., Arati Chavan, S. Rathi, A. Kumar, 和 P. C. Rout在重叠的激发能下，测量了通过$^{28}\mathrm{Si}+^{165}\mathrm{Ho}$和$^{34}\mathrm{S}+^{159}\mathrm{Tb}$反应布居的缺中子核$^{193}\mathrm{Tl}$的裂变碎片质量和总动能（TKE）分布。通过采用二维……[Phys. Rev. C 114, 024612] 发布于2026年8月31日（周一）</w:t>
      </w:r>
    </w:p>
    <w:p>
      <w:pPr>
        <w:spacing w:before="0" w:after="200" w:lineRule="auto" w:line="276"/>
      </w:pPr>
      <w:r>
        <w:rPr>
          <w:b/>
        </w:rPr>
        <w:t xml:space="preserve">Abstract (EN): </w:t>
      </w:r>
      <w:r>
        <w:t>Author(s): Vineet Kumar, K. Mahata, Sangeeta Dhuri, K. Ramachandran, A. Shrivastava, S. K. Pandit, V. V. Parkar, Prasanna M., Arati Chavan, S. Rathi, A. Kumar, and P. C. RoutThe fission fragment mass and total kinetic energy (TKE) distributions of neutron deficient $^{193}\mathrm{Tl}$, populated in the $^{28}\mathrm{Si}+^{165}\mathrm{Ho}$ and $^{34}\mathrm{S}+^{159}\mathrm{Tb}$ reactions, have been measured at overlapping excitation energies. By employing a two-dimensio…[Phys. Rev. C 114, 024612] Published Mon Aug 31, 2026</w:t>
      </w:r>
    </w:p>
    <w:p>
      <w:pPr>
        <w:spacing w:before="120" w:after="120"/>
      </w:pPr>
      <w:r>
        <w:rPr>
          <w:sz w:val="18"/>
        </w:rPr>
        <w:t>——————————————————————————————————————————————————————————————————————</w:t>
      </w:r>
    </w:p>
    <w:p>
      <w:pPr>
        <w:spacing w:before="160" w:after="40" w:line="240" w:lineRule="auto"/>
      </w:pPr>
      <w:r>
        <w:rPr>
          <w:b/>
        </w:rPr>
        <w:t xml:space="preserve">[344] </w:t>
      </w:r>
      <w:hyperlink r:id="rId1017">
        <w:r>
          <w:rPr>
            <w:color w:val="1155CC"/>
            <w:u w:val="single"/>
          </w:rPr>
          <w:t>boost不变且柱对称的完全自旋流体力学</w:t>
        </w:r>
      </w:hyperlink>
    </w:p>
    <w:p>
      <w:pPr>
        <w:spacing w:before="0" w:after="80"/>
      </w:pPr>
      <w:r>
        <w:rPr>
          <w:i/>
          <w:sz w:val="20"/>
        </w:rPr>
        <w:t>EN: Boost-invariant and cylindrically symmetric perfect spin hydrodynamics</w:t>
      </w:r>
    </w:p>
    <w:p>
      <w:pPr>
        <w:spacing w:before="0" w:after="120"/>
      </w:pPr>
      <w:r>
        <w:rPr>
          <w:b/>
        </w:rPr>
        <w:t xml:space="preserve">Source: </w:t>
      </w:r>
      <w:r>
        <w:t>Recent Articles in Phys. Rev. C</w:t>
      </w:r>
      <w:r>
        <w:t xml:space="preserve">    </w:t>
      </w:r>
      <w:r>
        <w:rPr>
          <w:b/>
        </w:rPr>
        <w:t xml:space="preserve">Pub date: </w:t>
      </w:r>
      <w:r>
        <w:t>2026-08-31 10:00:00+00:00</w:t>
      </w:r>
      <w:r>
        <w:t xml:space="preserve">    </w:t>
      </w:r>
      <w:r>
        <w:rPr>
          <w:b/>
        </w:rPr>
        <w:t xml:space="preserve">DOI: </w:t>
      </w:r>
      <w:hyperlink r:id="rId1018">
        <w:r>
          <w:rPr>
            <w:color w:val="1155CC"/>
            <w:u w:val="single"/>
          </w:rPr>
          <w:t>10.1103/28jg-542v</w:t>
        </w:r>
      </w:hyperlink>
    </w:p>
    <w:p>
      <w:pPr>
        <w:spacing w:before="0" w:after="120"/>
      </w:pPr>
      <w:r>
        <w:rPr>
          <w:b/>
        </w:rPr>
        <w:t xml:space="preserve">Notes: </w:t>
      </w:r>
      <w:r>
        <w:t>abstract_source=rss_description</w:t>
      </w:r>
    </w:p>
    <w:p>
      <w:pPr>
        <w:spacing w:before="0" w:after="80" w:lineRule="auto" w:line="276"/>
      </w:pPr>
      <w:r>
        <w:rPr>
          <w:b/>
        </w:rPr>
        <w:t xml:space="preserve">摘要（ZH）: </w:t>
      </w:r>
      <w:r>
        <w:t>作者：Zbigniew Drogosz、Wojciech Florkowski 和 Jakub Witkowski 针对受 wounded nucleon 模型启发的初始条件，数值求解了具有 boost 不变性和柱对称性的完美流体力学方程。能量-动量张量和自旋张量采用描述由 Boltzmann 统计支配的相对论性大质量气体的形式。……[Phys. Rev. C 114, 024910] 发布于 2026 年 8 月 31 日星期一</w:t>
      </w:r>
    </w:p>
    <w:p>
      <w:pPr>
        <w:spacing w:before="0" w:after="200" w:lineRule="auto" w:line="276"/>
      </w:pPr>
      <w:r>
        <w:rPr>
          <w:b/>
        </w:rPr>
        <w:t xml:space="preserve">Abstract (EN): </w:t>
      </w:r>
      <w:r>
        <w:t>Author(s): Zbigniew Drogosz, Wojciech Florkowski, and Jakub WitkowskiEquations of a boost-invariant and cylindrically symmetric perfect hydrodynamics are solved numerically for initial conditions inspired by the wounded nucleon model. The energy-momentum and spin tensors are used in the form that describes a relativistic massive gas governed by Boltzmann statistics. …[Phys. Rev. C 114, 024910] Published Mon Aug 31, 2026</w:t>
      </w:r>
    </w:p>
    <w:p>
      <w:pPr>
        <w:spacing w:before="120" w:after="120"/>
      </w:pPr>
      <w:r>
        <w:rPr>
          <w:sz w:val="18"/>
        </w:rPr>
        <w:t>——————————————————————————————————————————————————————————————————————</w:t>
      </w:r>
    </w:p>
    <w:p>
      <w:pPr>
        <w:spacing w:before="160" w:after="40" w:line="240" w:lineRule="auto"/>
      </w:pPr>
      <w:r>
        <w:rPr>
          <w:b/>
        </w:rPr>
        <w:t xml:space="preserve">[345] </w:t>
      </w:r>
      <w:hyperlink r:id="rId1019">
        <w:r>
          <w:rPr>
            <w:color w:val="1155CC"/>
            <w:u w:val="single"/>
          </w:rPr>
          <w:t>具有可变统计精度的夸克-胶子等离子体建模的高效贝叶斯仿真</w:t>
        </w:r>
      </w:hyperlink>
    </w:p>
    <w:p>
      <w:pPr>
        <w:spacing w:before="0" w:after="80"/>
      </w:pPr>
      <w:r>
        <w:rPr>
          <w:i/>
          <w:sz w:val="20"/>
        </w:rPr>
        <w:t>EN: Cost-efficient Bayesian emulation of quark-gluon plasma modeling with variable statistical precision</w:t>
      </w:r>
    </w:p>
    <w:p>
      <w:pPr>
        <w:spacing w:before="0" w:after="120"/>
      </w:pPr>
      <w:r>
        <w:rPr>
          <w:b/>
        </w:rPr>
        <w:t xml:space="preserve">Source: </w:t>
      </w:r>
      <w:r>
        <w:t>Recent Articles in Phys. Rev. C</w:t>
      </w:r>
      <w:r>
        <w:t xml:space="preserve">    </w:t>
      </w:r>
      <w:r>
        <w:rPr>
          <w:b/>
        </w:rPr>
        <w:t xml:space="preserve">Pub date: </w:t>
      </w:r>
      <w:r>
        <w:t>2026-08-31 10:00:00+00:00</w:t>
      </w:r>
      <w:r>
        <w:t xml:space="preserve">    </w:t>
      </w:r>
      <w:r>
        <w:rPr>
          <w:b/>
        </w:rPr>
        <w:t xml:space="preserve">DOI: </w:t>
      </w:r>
      <w:hyperlink r:id="rId1020">
        <w:r>
          <w:rPr>
            <w:color w:val="1155CC"/>
            <w:u w:val="single"/>
          </w:rPr>
          <w:t>10.1103/jqzf-d1tz</w:t>
        </w:r>
      </w:hyperlink>
    </w:p>
    <w:p>
      <w:pPr>
        <w:spacing w:before="0" w:after="120"/>
      </w:pPr>
      <w:r>
        <w:rPr>
          <w:b/>
        </w:rPr>
        <w:t xml:space="preserve">Notes: </w:t>
      </w:r>
      <w:r>
        <w:t>abstract_source=rss_description</w:t>
      </w:r>
    </w:p>
    <w:p>
      <w:pPr>
        <w:spacing w:before="0" w:after="80" w:lineRule="auto" w:line="276"/>
      </w:pPr>
      <w:r>
        <w:rPr>
          <w:b/>
        </w:rPr>
        <w:t xml:space="preserve">摘要（ZH）: </w:t>
      </w:r>
      <w:r>
        <w:t>作者：R. Ehlers、Y. Ji、P. M. Jacobs 和 S. Mak 我们提出了变精度 GP（VarP-GP），一种用于具有可变统计精度的昂贵计算模型的新型高性价比贝叶斯仿真器。我们专注于通过与……的比较来解释高能核碰撞中产生的夸克-胶子等离子体（QGP）的测量结果……[Phys. Rev. C 114, 024911] 发布于 2026 年 8 月 31 日星期一</w:t>
      </w:r>
    </w:p>
    <w:p>
      <w:pPr>
        <w:spacing w:before="0" w:after="200" w:lineRule="auto" w:line="276"/>
      </w:pPr>
      <w:r>
        <w:rPr>
          <w:b/>
        </w:rPr>
        <w:t xml:space="preserve">Abstract (EN): </w:t>
      </w:r>
      <w:r>
        <w:t>Author(s): R. Ehlers, Y. Ji, P. M. Jacobs, and S. MakWe present variable precision GP (VarP-GP), a new cost-efficient Bayesian emulator for expensive computational models with variable statistical precision. We focus on the interpretation of measurements of the quark-gluon plasma (QGP) generated in high-energy nuclear collisions, through comparison to…[Phys. Rev. C 114, 024911] Published Mon Aug 31, 2026</w:t>
      </w:r>
    </w:p>
    <w:p>
      <w:pPr>
        <w:spacing w:before="120" w:after="120"/>
      </w:pPr>
      <w:r>
        <w:rPr>
          <w:sz w:val="18"/>
        </w:rPr>
        <w:t>——————————————————————————————————————————————————————————————————————</w:t>
      </w:r>
    </w:p>
    <w:p>
      <w:pPr>
        <w:spacing w:before="160" w:after="40" w:line="240" w:lineRule="auto"/>
      </w:pPr>
      <w:r>
        <w:rPr>
          <w:b/>
        </w:rPr>
        <w:t xml:space="preserve">[346] </w:t>
      </w:r>
      <w:hyperlink r:id="rId1021">
        <w:r>
          <w:rPr>
            <w:color w:val="1155CC"/>
            <w:u w:val="single"/>
          </w:rPr>
          <w:t>裂变中颈部断裂弹射出的中子</w:t>
        </w:r>
      </w:hyperlink>
    </w:p>
    <w:p>
      <w:pPr>
        <w:spacing w:before="0" w:after="80"/>
      </w:pPr>
      <w:r>
        <w:rPr>
          <w:i/>
          <w:sz w:val="20"/>
        </w:rPr>
        <w:t>EN: Catapult neutrons from neck snapping in fission</w:t>
      </w:r>
    </w:p>
    <w:p>
      <w:pPr>
        <w:spacing w:before="0" w:after="120"/>
      </w:pPr>
      <w:r>
        <w:rPr>
          <w:b/>
        </w:rPr>
        <w:t xml:space="preserve">Source: </w:t>
      </w:r>
      <w:r>
        <w:t>Recent Articles in Phys. Rev. C</w:t>
      </w:r>
      <w:r>
        <w:t xml:space="preserve">    </w:t>
      </w:r>
      <w:r>
        <w:rPr>
          <w:b/>
        </w:rPr>
        <w:t xml:space="preserve">Pub date: </w:t>
      </w:r>
      <w:r>
        <w:t>2026-08-31 10:00:00+00:00</w:t>
      </w:r>
      <w:r>
        <w:t xml:space="preserve">    </w:t>
      </w:r>
      <w:r>
        <w:rPr>
          <w:b/>
        </w:rPr>
        <w:t xml:space="preserve">DOI: </w:t>
      </w:r>
      <w:hyperlink r:id="rId1022">
        <w:r>
          <w:rPr>
            <w:color w:val="1155CC"/>
            <w:u w:val="single"/>
          </w:rPr>
          <w:t>10.1103/pfz5-4r78</w:t>
        </w:r>
      </w:hyperlink>
    </w:p>
    <w:p>
      <w:pPr>
        <w:spacing w:before="0" w:after="120"/>
      </w:pPr>
      <w:r>
        <w:rPr>
          <w:b/>
        </w:rPr>
        <w:t xml:space="preserve">Notes: </w:t>
      </w:r>
      <w:r>
        <w:t>abstract_source=rss_description</w:t>
      </w:r>
    </w:p>
    <w:p>
      <w:pPr>
        <w:spacing w:before="0" w:after="80" w:lineRule="auto" w:line="276"/>
      </w:pPr>
      <w:r>
        <w:rPr>
          <w:b/>
        </w:rPr>
        <w:t xml:space="preserve">摘要（ZH）: </w:t>
      </w:r>
      <w:r>
        <w:t>作者：Jørgen Randrup、Roberto Capote 和 Ramona Vogt 动力学裂变计算表明，裂变后构型类似于两个共线的梨形碎片，随着碎片获得更平滑的形状，其相邻的表面凸起会相对较快地消退。凸起表面愈合所伴随的高速可能提升其中核子的速度……[Phys. Rev. C 114, 024613] 发布于 2026 年 8 月 31 日星期一</w:t>
      </w:r>
    </w:p>
    <w:p>
      <w:pPr>
        <w:spacing w:before="0" w:after="200" w:lineRule="auto" w:line="276"/>
      </w:pPr>
      <w:r>
        <w:rPr>
          <w:b/>
        </w:rPr>
        <w:t xml:space="preserve">Abstract (EN): </w:t>
      </w:r>
      <w:r>
        <w:t>Author(s): Jørgen Randrup, Roberto Capote, and Ramona VogtDynamical fission calculations show that the post-scission configurations resemble two collinear pear-shaped fragments whose juxtaposed surface bulges subside relatively quickly, as the fragments acquire smoother shapes. The associated rapid speed of the healing bulge surface may boost nucleons in t…[Phys. Rev. C 114, 024613] Published Mon Aug 31, 2026</w:t>
      </w:r>
    </w:p>
    <w:p>
      <w:pPr>
        <w:spacing w:before="120" w:after="120"/>
      </w:pPr>
      <w:r>
        <w:rPr>
          <w:sz w:val="18"/>
        </w:rPr>
        <w:t>——————————————————————————————————————————————————————————————————————</w:t>
      </w:r>
    </w:p>
    <w:p>
      <w:pPr>
        <w:spacing w:before="160" w:after="40" w:line="240" w:lineRule="auto"/>
      </w:pPr>
      <w:r>
        <w:rPr>
          <w:b/>
        </w:rPr>
        <w:t xml:space="preserve">[347] </w:t>
      </w:r>
      <w:hyperlink r:id="rId1023">
        <w:r>
          <w:rPr>
            <w:color w:val="1155CC"/>
            <w:u w:val="single"/>
          </w:rPr>
          <w:t>基于相对论密度泛函理论的核能级密度微观统计计算</w:t>
        </w:r>
      </w:hyperlink>
    </w:p>
    <w:p>
      <w:pPr>
        <w:spacing w:before="0" w:after="80"/>
      </w:pPr>
      <w:r>
        <w:rPr>
          <w:i/>
          <w:sz w:val="20"/>
        </w:rPr>
        <w:t>EN: Microscopic statistical calculation of nuclear level density based on relativistic density functional theory</w:t>
      </w:r>
    </w:p>
    <w:p>
      <w:pPr>
        <w:spacing w:before="0" w:after="120"/>
      </w:pPr>
      <w:r>
        <w:rPr>
          <w:b/>
        </w:rPr>
        <w:t xml:space="preserve">Source: </w:t>
      </w:r>
      <w:r>
        <w:t>Recent Articles in Phys. Rev. C</w:t>
      </w:r>
      <w:r>
        <w:t xml:space="preserve">    </w:t>
      </w:r>
      <w:r>
        <w:rPr>
          <w:b/>
        </w:rPr>
        <w:t xml:space="preserve">Pub date: </w:t>
      </w:r>
      <w:r>
        <w:t>2026-08-31 10:00:00+00:00</w:t>
      </w:r>
      <w:r>
        <w:t xml:space="preserve">    </w:t>
      </w:r>
      <w:r>
        <w:rPr>
          <w:b/>
        </w:rPr>
        <w:t xml:space="preserve">DOI: </w:t>
      </w:r>
      <w:hyperlink r:id="rId1024">
        <w:r>
          <w:rPr>
            <w:color w:val="1155CC"/>
            <w:u w:val="single"/>
          </w:rPr>
          <w:t>10.1103/fdxf-plrh</w:t>
        </w:r>
      </w:hyperlink>
    </w:p>
    <w:p>
      <w:pPr>
        <w:spacing w:before="0" w:after="120"/>
      </w:pPr>
      <w:r>
        <w:rPr>
          <w:b/>
        </w:rPr>
        <w:t xml:space="preserve">Notes: </w:t>
      </w:r>
      <w:r>
        <w:t>abstract_source=rss_description</w:t>
      </w:r>
    </w:p>
    <w:p>
      <w:pPr>
        <w:spacing w:before="0" w:after="80" w:lineRule="auto" w:line="276"/>
      </w:pPr>
      <w:r>
        <w:rPr>
          <w:b/>
        </w:rPr>
        <w:t xml:space="preserve">摘要（ZH）: </w:t>
      </w:r>
      <w:r>
        <w:t>作者：Zi-Cheng Wang、Peng-Xiang Du、Jian Li、T. M. Shneidman 和 Shan-Gui Zhou基于相对论密度泛函理论（RDFT）的微观统计模型被发展用于计算核能级密度（NLD）。该方法采用从RDFT获得的自洽单粒子能级作为输入，并在有限温度下引入对关联……[Phys. Rev. C 114, 024345] 发布于2026年8月31日星期一</w:t>
      </w:r>
    </w:p>
    <w:p>
      <w:pPr>
        <w:spacing w:before="0" w:after="200" w:lineRule="auto" w:line="276"/>
      </w:pPr>
      <w:r>
        <w:rPr>
          <w:b/>
        </w:rPr>
        <w:t xml:space="preserve">Abstract (EN): </w:t>
      </w:r>
      <w:r>
        <w:t>Author(s): Zi-Cheng Wang, Peng-Xiang Du, Jian Li, T. M. Shneidman, and Shan-Gui ZhouA microscopic statistical model based on the relativistic density functional theory (RDFT) is developed to calculate the nuclear level density (NLD). The approach employs self-consistent single-particle levels obtained from RDFT as input, incorporates pairing correlations within a finite-temperature…[Phys. Rev. C 114, 024345] Published Mon Aug 31, 2026</w:t>
      </w:r>
    </w:p>
    <w:p>
      <w:pPr>
        <w:spacing w:before="120" w:after="120"/>
      </w:pPr>
      <w:r>
        <w:rPr>
          <w:sz w:val="18"/>
        </w:rPr>
        <w:t>——————————————————————————————————————————————————————————————————————</w:t>
      </w:r>
    </w:p>
    <w:p>
      <w:pPr>
        <w:spacing w:before="160" w:after="40" w:line="240" w:lineRule="auto"/>
      </w:pPr>
      <w:r>
        <w:rPr>
          <w:b/>
        </w:rPr>
        <w:t xml:space="preserve">[348] </w:t>
      </w:r>
      <w:hyperlink r:id="rId1025">
        <w:r>
          <w:rPr>
            <w:color w:val="1155CC"/>
            <w:u w:val="single"/>
          </w:rPr>
          <w:t>夸克-胶子等离子体中底夸克偶素势的数据驱动分析</w:t>
        </w:r>
      </w:hyperlink>
    </w:p>
    <w:p>
      <w:pPr>
        <w:spacing w:before="0" w:after="80"/>
      </w:pPr>
      <w:r>
        <w:rPr>
          <w:i/>
          <w:sz w:val="20"/>
        </w:rPr>
        <w:t>EN: Data-driven analysis for the bottomonium potential in the quark-gluon plasma</w:t>
      </w:r>
    </w:p>
    <w:p>
      <w:pPr>
        <w:spacing w:before="0" w:after="120"/>
      </w:pPr>
      <w:r>
        <w:rPr>
          <w:b/>
        </w:rPr>
        <w:t xml:space="preserve">Source: </w:t>
      </w:r>
      <w:r>
        <w:t>Recent Articles in Phys. Rev. C</w:t>
      </w:r>
      <w:r>
        <w:t xml:space="preserve">    </w:t>
      </w:r>
      <w:r>
        <w:rPr>
          <w:b/>
        </w:rPr>
        <w:t xml:space="preserve">Pub date: </w:t>
      </w:r>
      <w:r>
        <w:t>2026-08-31 10:00:00+00:00</w:t>
      </w:r>
      <w:r>
        <w:t xml:space="preserve">    </w:t>
      </w:r>
      <w:r>
        <w:rPr>
          <w:b/>
        </w:rPr>
        <w:t xml:space="preserve">DOI: </w:t>
      </w:r>
      <w:hyperlink r:id="rId1026">
        <w:r>
          <w:rPr>
            <w:color w:val="1155CC"/>
            <w:u w:val="single"/>
          </w:rPr>
          <w:t>10.1103/b8n3-yrq1</w:t>
        </w:r>
      </w:hyperlink>
    </w:p>
    <w:p>
      <w:pPr>
        <w:spacing w:before="0" w:after="120"/>
      </w:pPr>
      <w:r>
        <w:rPr>
          <w:b/>
        </w:rPr>
        <w:t xml:space="preserve">Notes: </w:t>
      </w:r>
      <w:r>
        <w:t>abstract_source=rss_description</w:t>
      </w:r>
    </w:p>
    <w:p>
      <w:pPr>
        <w:spacing w:before="0" w:after="80" w:lineRule="auto" w:line="276"/>
      </w:pPr>
      <w:r>
        <w:rPr>
          <w:b/>
        </w:rPr>
        <w:t xml:space="preserve">摘要（ZH）: </w:t>
      </w:r>
      <w:r>
        <w:t>作者：Shuhan Zheng、Baoyi Chen、Xiaojian Du、Shuzhe Shi 我们在量子演化微观框架内进行数据驱动分析，以约束介质中底夸克偶素势。在相对论性重离子碰撞中，底夸克偶素束缚态由于在……中的产生可忽略不计，是夸克-胶子等离子体（QGP）的宝贵探针…[Phys. Rev. C 114, 024912] 2026年8月31日（周一）出版</w:t>
      </w:r>
    </w:p>
    <w:p>
      <w:pPr>
        <w:spacing w:before="0" w:after="200" w:lineRule="auto" w:line="276"/>
      </w:pPr>
      <w:r>
        <w:rPr>
          <w:b/>
        </w:rPr>
        <w:t xml:space="preserve">Abstract (EN): </w:t>
      </w:r>
      <w:r>
        <w:t>Author(s): Shuhan Zheng, Baoyi Chen, Xiaojian Du, and Shuzhe ShiWe present a data-driven analysis within a quantum evolutionary microscopic framework to constrain the in-medium bottomonium potential. In relativistic heavy-ion collisions, bottomonium bound states serve as invaluable probes of the quark-gluon plasma (QGP) owing to their negligible production in th…[Phys. Rev. C 114, 024912] Published Mon Aug 31, 2026</w:t>
      </w:r>
    </w:p>
    <w:p>
      <w:pPr>
        <w:spacing w:before="120" w:after="120"/>
      </w:pPr>
      <w:r>
        <w:rPr>
          <w:sz w:val="18"/>
        </w:rPr>
        <w:t>——————————————————————————————————————————————————————————————————————</w:t>
      </w:r>
    </w:p>
    <w:p>
      <w:pPr>
        <w:spacing w:before="160" w:after="40" w:line="240" w:lineRule="auto"/>
      </w:pPr>
      <w:r>
        <w:rPr>
          <w:b/>
        </w:rPr>
        <w:t xml:space="preserve">[349] </w:t>
      </w:r>
      <w:hyperlink r:id="rId1027">
        <w:r>
          <w:rPr>
            <w:color w:val="1155CC"/>
            <w:u w:val="single"/>
          </w:rPr>
          <w:t>基于多金属氧酸盐功能化介孔MOF的赝电容电荷转移界面用于高度可靠、高保真的生物电子水凝胶</w:t>
        </w:r>
      </w:hyperlink>
    </w:p>
    <w:p>
      <w:pPr>
        <w:spacing w:before="0" w:after="80"/>
      </w:pPr>
      <w:r>
        <w:rPr>
          <w:i/>
          <w:sz w:val="20"/>
        </w:rPr>
        <w:t>EN: Pseudocapacitive Charge‐Transfer Interface via Polyoxometalate‐Functionalized Mesoporous MOF for Highly Reliable and High‐Fidelity Bioelectronic Hydrogels</w:t>
      </w:r>
    </w:p>
    <w:p>
      <w:pPr>
        <w:spacing w:before="0" w:after="120"/>
      </w:pPr>
      <w:r>
        <w:rPr>
          <w:b/>
        </w:rPr>
        <w:t xml:space="preserve">Source: </w:t>
      </w:r>
      <w:r>
        <w:t>Wiley: Advanced Materials: Table of Contents</w:t>
      </w:r>
      <w:r>
        <w:t xml:space="preserve">    </w:t>
      </w:r>
      <w:r>
        <w:rPr>
          <w:b/>
        </w:rPr>
        <w:t xml:space="preserve">Pub date: </w:t>
      </w:r>
      <w:r>
        <w:t>2026-08-31 10:41:34+00:00</w:t>
      </w:r>
      <w:r>
        <w:t xml:space="preserve">    </w:t>
      </w:r>
      <w:r>
        <w:rPr>
          <w:b/>
        </w:rPr>
        <w:t xml:space="preserve">DOI: </w:t>
      </w:r>
      <w:hyperlink r:id="rId1028">
        <w:r>
          <w:rPr>
            <w:color w:val="1155CC"/>
            <w:u w:val="single"/>
          </w:rPr>
          <w:t>10.1002/adma.74792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软体生物电子学需要兼具平衡机械-电学性能的导电水凝胶，以实现高保真电生理记录，然而传统水凝胶由于界面电荷传输不佳，缺乏拉伸性与电化学稳定性之间的平衡。我们提出了一种分子工程化的多金属氧酸盐功能化介孔金属-有机框架（meso-MOF@POM）纳米结构，可同时增强水凝胶网络并改善界面电荷动力学。meso-MOF作为具有多尺度通道的分级支架用于聚合物锚定，而亚纳米级Keggin型POM层则创造了丰富的氧化还原介导电子传输通路。将meso-MOF@POM整合到双网络聚（丙烯酸）/聚丙烯酰胺水凝胶中后，该复合水凝胶具有高拉伸性（&gt;1000%应变）、极小的电学蠕变（&lt;0.13% s⁻¹@100%应变）和良好的循环耐久性（&gt;3000次循环）。关键的是，这种工程化的有机-无机界面赋予水凝胶优异的赝电容电荷转移动力学，实现了较低的皮肤-电极阻抗（1 Hz下为64 kΩ，而Ag/AgCl凝胶在1 Hz下为287 kΩ）。因此，该皮肤界面电极能够高保真记录体表电生理信号，包括心电图、肌电图和眼电图，并具有更高的信噪比（例如，心电图为23.8 dB，而Ag/AgCl凝胶为21.3 dB）。本工作提供了一种新颖的制备</w:t>
      </w:r>
    </w:p>
    <w:p>
      <w:pPr>
        <w:spacing w:before="0" w:after="200" w:lineRule="auto" w:line="276"/>
      </w:pPr>
      <w:r>
        <w:rPr>
          <w:b/>
        </w:rPr>
        <w:t xml:space="preserve">Abstract (EN): </w:t>
      </w:r>
      <w:r>
        <w:t>Soft bioelectronics require conductive hydrogels with balanced mechanical–electrical performance for high‐fidelity electrophysiological recording, yet conventional ones lack a balance between stretchability and electrochemical stability due to poor interfacial charge transfer. We present a molecularly engineered polyoxometalate‐functionalized mesoporous metal–organic framework (meso‐MOF@POM) nanoarchitecture that simultaneously reinforces the hydrogel network and enhances interfacial charge kinetics. The meso‐MOF serves as a hierarchical scaffold with multiscale channels for polymer anchoring, while the sub‐nanometer Keggin‐type POM layer creates abundant redox‐mediated electron transfer pathways. Upon integration of meso‐MOF@POM into a dual‐network poly(acrylic acid)/polyacrylamide hydrogel, the composite hydrogel enables high stretchability (&amp;gt;1000% strain), minimal electrical creep (&amp;lt;0.13% s</w:t>
      </w:r>
      <w:r>
        <w:t xml:space="preserve"> </w:t>
      </w:r>
      <w:r>
        <w:t>−1</w:t>
      </w:r>
      <w:r>
        <w:t xml:space="preserve"> </w:t>
      </w:r>
      <w:r>
        <w:t>@100% strain), and good cyclic durability (&amp;gt;3000 cycles). Crucially, the engineered organic–inorganic interface endows the hydrogel with excellent pseudocapacitive charge‐transfer kinetics, which achieves low skin–electrode impedance (64 kΩ at 1 Hz vs. 287 kΩ at 1 Hz for Ag/AgCl gel). As a result, the skin‐interfacing electrode enables high‐fidelity recording of on‐skin electrophysiological signals, including electrocardiogram, electromyogram, and electrooculogram, with an enhanced signal‐to‐noise ratio (e.g., 23.8 dB for ECG vs. 21.3 dB for Ag/AgCl gel). This work provides a novel fabrication strategy for highly conductive interfaces, enabling long‐term applications in wearable health monitors and human–machine interfaces.</w:t>
      </w:r>
    </w:p>
    <w:p>
      <w:pPr>
        <w:spacing w:before="120" w:after="120"/>
      </w:pPr>
      <w:r>
        <w:rPr>
          <w:sz w:val="18"/>
        </w:rPr>
        <w:t>——————————————————————————————————————————————————————————————————————</w:t>
      </w:r>
    </w:p>
    <w:p>
      <w:pPr>
        <w:spacing w:before="160" w:after="40" w:line="240" w:lineRule="auto"/>
      </w:pPr>
      <w:r>
        <w:rPr>
          <w:b/>
        </w:rPr>
        <w:t xml:space="preserve">[350] </w:t>
      </w:r>
      <w:hyperlink r:id="rId1029">
        <w:r>
          <w:rPr>
            <w:color w:val="1155CC"/>
            <w:u w:val="single"/>
          </w:rPr>
          <w:t>电化学去甲硅烷基氟化反应实现N-单氟甲基酰胺和多肽的合成</w:t>
        </w:r>
      </w:hyperlink>
    </w:p>
    <w:p>
      <w:pPr>
        <w:spacing w:before="0" w:after="80"/>
      </w:pPr>
      <w:r>
        <w:rPr>
          <w:i/>
          <w:sz w:val="20"/>
        </w:rPr>
        <w:t>EN: Electrochemical Desilylative Fluorination Enables Access to N‐Monofluoromethyl Amides and Peptides</w:t>
      </w:r>
    </w:p>
    <w:p>
      <w:pPr>
        <w:spacing w:before="0" w:after="120"/>
      </w:pPr>
      <w:r>
        <w:rPr>
          <w:b/>
        </w:rPr>
        <w:t xml:space="preserve">Source: </w:t>
      </w:r>
      <w:r>
        <w:t>Wiley: Angewandte Chemie International Edition: Table of Contents</w:t>
      </w:r>
      <w:r>
        <w:t xml:space="preserve">    </w:t>
      </w:r>
      <w:r>
        <w:rPr>
          <w:b/>
        </w:rPr>
        <w:t xml:space="preserve">Pub date: </w:t>
      </w:r>
      <w:r>
        <w:t>2026-08-31 11:08:11+00:00</w:t>
      </w:r>
      <w:r>
        <w:t xml:space="preserve">    </w:t>
      </w:r>
      <w:r>
        <w:rPr>
          <w:b/>
        </w:rPr>
        <w:t xml:space="preserve">DOI: </w:t>
      </w:r>
      <w:hyperlink r:id="rId1030">
        <w:r>
          <w:rPr>
            <w:color w:val="1155CC"/>
            <w:u w:val="single"/>
          </w:rPr>
          <w:t>10.1002/anie.5407928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氟烷基酰胺已成为极具吸引力的研究目标，因为N-氟甲基化可以调节构象、稳定性、亲脂性和分子识别。然而，尽管N-CF3和N-CF2H酰胺的化学研究进展迅速，相应的N-单氟甲基（N-CH2F）酰胺的合成方法仍然显著不足。现有方法往往受限于使用银基氟化试剂、不稳定的中间体以及与多肽底物有限的相容性。在本研究中，我们报道了一种以氟化物为氟源的N-单氟甲基酰胺电化学合成策略。以易于获得的N-CH2TMS酰胺为前体，通过电化学氧化活化高效构建目标骨架。该转化在温和条件下进行，并对氨基酸衍生酰胺和不同链长的多肽底物表现出广泛的相容性。</w:t>
      </w:r>
    </w:p>
    <w:p>
      <w:pPr>
        <w:spacing w:before="0" w:after="200" w:lineRule="auto" w:line="276"/>
      </w:pPr>
      <w:r>
        <w:rPr>
          <w:b/>
        </w:rPr>
        <w:t xml:space="preserve">Abstract (EN): </w:t>
      </w:r>
      <w:r>
        <w:t>N</w:t>
      </w:r>
      <w:r>
        <w:t xml:space="preserve"> </w:t>
      </w:r>
      <w:r>
        <w:t>‐Fluoroalkyl amides have emerged as highly attractive targets because</w:t>
      </w:r>
      <w:r>
        <w:t xml:space="preserve"> </w:t>
      </w:r>
      <w:r>
        <w:t>N</w:t>
      </w:r>
      <w:r>
        <w:t xml:space="preserve"> </w:t>
      </w:r>
      <w:r>
        <w:t>‐fluoromethylation can modulate conformation, stability, lipophilicity, and molecular recognition. However, despite the rapidly advancing chemistry of</w:t>
      </w:r>
      <w:r>
        <w:t xml:space="preserve"> </w:t>
      </w:r>
      <w:r>
        <w:t>N</w:t>
      </w:r>
      <w:r>
        <w:t xml:space="preserve"> </w:t>
      </w:r>
      <w:r>
        <w:t>‐CF</w:t>
      </w:r>
      <w:r>
        <w:rPr>
          <w:vertAlign w:val="subscript"/>
        </w:rPr>
        <w:t>3</w:t>
      </w:r>
      <w:r>
        <w:t>and</w:t>
      </w:r>
      <w:r>
        <w:t xml:space="preserve"> </w:t>
      </w:r>
      <w:r>
        <w:t>N</w:t>
      </w:r>
      <w:r>
        <w:t xml:space="preserve"> </w:t>
      </w:r>
      <w:r>
        <w:t>‐CF</w:t>
      </w:r>
      <w:r>
        <w:rPr>
          <w:vertAlign w:val="subscript"/>
        </w:rPr>
        <w:t>2</w:t>
      </w:r>
      <w:r>
        <w:t>H amides, access to the corresponding</w:t>
      </w:r>
      <w:r>
        <w:t xml:space="preserve"> </w:t>
      </w:r>
      <w:r>
        <w:t>N</w:t>
      </w:r>
      <w:r>
        <w:t xml:space="preserve"> </w:t>
      </w:r>
      <w:r>
        <w:t>‐monofluoromethyl (</w:t>
      </w:r>
      <w:r>
        <w:t xml:space="preserve"> </w:t>
      </w:r>
      <w:r>
        <w:t>N</w:t>
      </w:r>
      <w:r>
        <w:t xml:space="preserve"> </w:t>
      </w:r>
      <w:r>
        <w:t>‐CH</w:t>
      </w:r>
      <w:r>
        <w:rPr>
          <w:vertAlign w:val="subscript"/>
        </w:rPr>
        <w:t>2</w:t>
      </w:r>
      <w:r>
        <w:t>F) amides remains significantly underdeveloped. Existing approaches are often constrained by the use of silver‐based fluorinating reagents, unstable intermediates, and limited compatibility with peptide substrates. In this study, we report an electrochemical strategy for the synthesis of</w:t>
      </w:r>
      <w:r>
        <w:t xml:space="preserve"> </w:t>
      </w:r>
      <w:r>
        <w:t>N</w:t>
      </w:r>
      <w:r>
        <w:t xml:space="preserve"> </w:t>
      </w:r>
      <w:r>
        <w:t>‐monofluoromethyl amides using fluoride as the fluorine source. Employing</w:t>
      </w:r>
      <w:r>
        <w:t xml:space="preserve"> </w:t>
      </w:r>
      <w:r>
        <w:t>N</w:t>
      </w:r>
      <w:r>
        <w:t xml:space="preserve"> </w:t>
      </w:r>
      <w:r>
        <w:t>‐CH</w:t>
      </w:r>
      <w:r>
        <w:rPr>
          <w:vertAlign w:val="subscript"/>
        </w:rPr>
        <w:t>2</w:t>
      </w:r>
      <w:r>
        <w:t>TMS amides as readily accessible precursors, the target framework is efficiently constructed through electrochemical oxidative activation. The transformation proceeds under mild conditions and exhibits broad compatibility with amino acid‐derived amides and peptide substrates of varying chain lengths.</w:t>
      </w:r>
    </w:p>
    <w:p>
      <w:pPr>
        <w:spacing w:before="120" w:after="120"/>
      </w:pPr>
      <w:r>
        <w:rPr>
          <w:sz w:val="18"/>
        </w:rPr>
        <w:t>——————————————————————————————————————————————————————————————————————</w:t>
      </w:r>
    </w:p>
    <w:p>
      <w:pPr>
        <w:spacing w:before="160" w:after="40" w:line="240" w:lineRule="auto"/>
      </w:pPr>
      <w:r>
        <w:rPr>
          <w:b/>
        </w:rPr>
        <w:t xml:space="preserve">[351] </w:t>
      </w:r>
      <w:hyperlink r:id="rId1031">
        <w:r>
          <w:rPr>
            <w:color w:val="1155CC"/>
            <w:u w:val="single"/>
          </w:rPr>
          <w:t>卷首插图：甘油缩酮保护用于强碱性介质中甘油酸的选择性电合成</w:t>
        </w:r>
      </w:hyperlink>
    </w:p>
    <w:p>
      <w:pPr>
        <w:spacing w:before="0" w:after="80"/>
      </w:pPr>
      <w:r>
        <w:rPr>
          <w:i/>
          <w:sz w:val="20"/>
        </w:rPr>
        <w:t>EN: Frontispiece: Ketal Protection of Glycerol for Selective Electrosynthesis of Glyceric Acid in Highly Alkaline Media</w:t>
      </w:r>
    </w:p>
    <w:p>
      <w:pPr>
        <w:spacing w:before="0" w:after="120"/>
      </w:pPr>
      <w:r>
        <w:rPr>
          <w:b/>
        </w:rPr>
        <w:t xml:space="preserve">Source: </w:t>
      </w:r>
      <w:r>
        <w:t>Wiley: Angewandte Chemie International Edition: Table of Contents</w:t>
      </w:r>
      <w:r>
        <w:t xml:space="preserve">    </w:t>
      </w:r>
      <w:r>
        <w:rPr>
          <w:b/>
        </w:rPr>
        <w:t xml:space="preserve">Pub date: </w:t>
      </w:r>
      <w:r>
        <w:t>2026-08-31 13:02:42+00:00</w:t>
      </w:r>
      <w:r>
        <w:t xml:space="preserve">    </w:t>
      </w:r>
      <w:r>
        <w:rPr>
          <w:b/>
        </w:rPr>
        <w:t xml:space="preserve">DOI: </w:t>
      </w:r>
      <w:hyperlink r:id="rId1032">
        <w:r>
          <w:rPr>
            <w:color w:val="1155CC"/>
            <w:u w:val="single"/>
          </w:rPr>
          <w:t>10.1002/anie.2026-m3007110600</w:t>
        </w:r>
      </w:hyperlink>
    </w:p>
    <w:p>
      <w:pPr>
        <w:spacing w:before="0" w:after="120"/>
      </w:pPr>
      <w:r>
        <w:rPr>
          <w:b/>
        </w:rPr>
        <w:t xml:space="preserve">Notes: </w:t>
      </w:r>
      <w:r>
        <w:t>abstract_source=openalex</w:t>
      </w:r>
    </w:p>
    <w:p>
      <w:pPr>
        <w:spacing w:before="0" w:after="80" w:lineRule="auto" w:line="276"/>
      </w:pPr>
      <w:r>
        <w:rPr>
          <w:b/>
        </w:rPr>
        <w:t xml:space="preserve">摘要（ZH）: </w:t>
      </w:r>
      <w:r>
        <w:t>在研究论文e5555743中，Hong Liu、Mats Johnsson、Xiaowen Yu及其同事报道了一种用于甘油位点选择性电氧化的底物保护策略。通过在强碱性条件下选择性地氧化丙酮保护的甘油（solketal，缩水甘油醚）中暴露的羟基，该方法可利用非贵金属催化剂高效生产高附加值的甘油酸。</w:t>
      </w:r>
    </w:p>
    <w:p>
      <w:pPr>
        <w:spacing w:before="0" w:after="200" w:lineRule="auto" w:line="276"/>
      </w:pPr>
      <w:r>
        <w:rPr>
          <w:b/>
        </w:rPr>
        <w:t xml:space="preserve">Abstract (EN): </w:t>
      </w:r>
      <w:r>
        <w:t>In Research Article e5555743, Hong Liu, Mats Johnsson, Xiaowen Yu, and co-workers report a substrate-protection strategy for the site-selective electrooxidation of glycerol. By selectively oxidizing the exposed hydroxyl group of acetone-protected glycerol (solketal) under strongly alkaline conditions, this approach enables the efficient production of value-added glyceric acid using a non-precious-metal catalyst.</w:t>
      </w:r>
    </w:p>
    <w:p>
      <w:pPr>
        <w:spacing w:before="120" w:after="120"/>
      </w:pPr>
      <w:r>
        <w:rPr>
          <w:sz w:val="18"/>
        </w:rPr>
        <w:t>——————————————————————————————————————————————————————————————————————</w:t>
      </w:r>
    </w:p>
    <w:p>
      <w:pPr>
        <w:spacing w:before="160" w:after="40" w:line="240" w:lineRule="auto"/>
      </w:pPr>
      <w:r>
        <w:rPr>
          <w:b/>
        </w:rPr>
        <w:t xml:space="preserve">[352] </w:t>
      </w:r>
      <w:hyperlink r:id="rId1033">
        <w:r>
          <w:rPr>
            <w:color w:val="1155CC"/>
            <w:u w:val="single"/>
          </w:rPr>
          <w:t>基于分子光开关的波长和螺旋度可重构圆偏振光学二极管</w:t>
        </w:r>
      </w:hyperlink>
    </w:p>
    <w:p>
      <w:pPr>
        <w:spacing w:before="0" w:after="80"/>
      </w:pPr>
      <w:r>
        <w:rPr>
          <w:i/>
          <w:sz w:val="20"/>
        </w:rPr>
        <w:t>EN: Wavelength‐ and Helicity‐Reconfigurable Circularly Polarized Optical Diodes Enabled by Molecular Photoswitches</w:t>
      </w:r>
    </w:p>
    <w:p>
      <w:pPr>
        <w:spacing w:before="0" w:after="120"/>
      </w:pPr>
      <w:r>
        <w:rPr>
          <w:b/>
        </w:rPr>
        <w:t xml:space="preserve">Source: </w:t>
      </w:r>
      <w:r>
        <w:t>Wiley: Advanced Materials: Table of Contents</w:t>
      </w:r>
      <w:r>
        <w:t xml:space="preserve">    </w:t>
      </w:r>
      <w:r>
        <w:rPr>
          <w:b/>
        </w:rPr>
        <w:t xml:space="preserve">Pub date: </w:t>
      </w:r>
      <w:r>
        <w:t>2026-08-31 13:37:33+00:00</w:t>
      </w:r>
      <w:r>
        <w:t xml:space="preserve">    </w:t>
      </w:r>
      <w:r>
        <w:rPr>
          <w:b/>
        </w:rPr>
        <w:t xml:space="preserve">DOI: </w:t>
      </w:r>
      <w:hyperlink r:id="rId1034">
        <w:r>
          <w:rPr>
            <w:color w:val="1155CC"/>
            <w:u w:val="single"/>
          </w:rPr>
          <w:t>10.1002/adma.74882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圆偏振光（CPL）的非互易传输对于手性光子学和自旋选择性光通信至关重要，然而现有的光学二极管通常只能在固定波长下工作。在此，我们报道了一种全光、可光开关的二极管型器件，利用夹在聚乙烯醇（PVA）与聚多巴胺（PDA）-PVA复合层之间的分子马达（光开关）掺杂胆甾相液晶（CLC），在宽光谱范围内实现CPL的可调非互易（不对称）传输。在紫外光照射下，光开关持续调控CLC的螺旋扭曲力，使光子带隙（PBG）可逆调谐，并在较高照射水平下发生具有相反手性的螺旋反转。因此，我们在单一器件架构中演示了工作波长和隔离CPL手性的动态切换。不对称的PDA@PVA光热界面在正向入射下实现胆甾相-各向同性相转变的光热活化，同时在反向入射下保持自旋选择性布拉格反射。该机制可对右旋和左旋CPL实现波长可调且手性自适应的非互易传输。该器件在所有测试波长下隔离比均超过15.10 dB，在980 nm处达到最大值15.80 dB，同时插入损耗保持在2.89 dB以下，最低可达1.05 dB。此外，工作阈值和热耐受性可通过液晶组分进行调控。</w:t>
      </w:r>
    </w:p>
    <w:p>
      <w:pPr>
        <w:spacing w:before="0" w:after="200" w:lineRule="auto" w:line="276"/>
      </w:pPr>
      <w:r>
        <w:rPr>
          <w:b/>
        </w:rPr>
        <w:t xml:space="preserve">Abstract (EN): </w:t>
      </w:r>
      <w:r>
        <w:t>Achieving nonreciprocal transmission of circularly polarized light (CPL) is critical for chiral photonics and spin‐selective optical communication, yet existing optical diodes typically operate at fixed wavelengths. Here, we report an all‐optical, photoswitchable diode‐type device for tunable nonreciprocal (asymmetric) transmission of CPL across a broad spectrum of light using molecular motor (photoswitch)‐doped cholesteric liquid crystals (CLCs) sandwiched between polyvinyl alcohol (PVA) and polydopamine (PDA)‐PVA composite layers. Under ultraviolet irradiation, the photoswitches continuously modulate the helical twisting power of the CLC, enabling reversible tuning of the photonic bandgap (PBG) and, at higher irradiation levels, helix inversion with opposite handedness. Thus, we demonstrate dynamic switching of both the operating wavelength and the isolated CPL helicity within a single device architecture. The asymmetric PDA@PVA photothermal interface enables forward photothermal activation of the cholesteric–isotropic transition while maintaining spin‐selective Bragg reflection under backward incidence. This mechanism enables wavelength‐tunable and chirality‐adaptive nonreciprocal transmission for both right‐ and left‐handed CPL. The device achieves isolation ratios exceeding 15.10 dB at all tested wavelengths, with a maximum value of 15.80 dB at 980 nm, while maintaining insertion losses below 2.89 dB, reaching as low as 1.05 dB. Furthermore, the operating thresholds and thermal tolerance can be tailored through liquid‐crystal composition.</w:t>
      </w:r>
    </w:p>
    <w:p>
      <w:pPr>
        <w:spacing w:before="120" w:after="120"/>
      </w:pPr>
      <w:r>
        <w:rPr>
          <w:sz w:val="18"/>
        </w:rPr>
        <w:t>——————————————————————————————————————————————————————————————————————</w:t>
      </w:r>
    </w:p>
    <w:p>
      <w:pPr>
        <w:spacing w:before="160" w:after="40" w:line="240" w:lineRule="auto"/>
      </w:pPr>
      <w:r>
        <w:rPr>
          <w:b/>
        </w:rPr>
        <w:t xml:space="preserve">[353] </w:t>
      </w:r>
      <w:hyperlink r:id="rId1035">
        <w:r>
          <w:rPr>
            <w:color w:val="1155CC"/>
            <w:u w:val="single"/>
          </w:rPr>
          <w:t>单线态裂解作为下一代光电材料的激子管理平台</w:t>
        </w:r>
      </w:hyperlink>
    </w:p>
    <w:p>
      <w:pPr>
        <w:spacing w:before="0" w:after="80"/>
      </w:pPr>
      <w:r>
        <w:rPr>
          <w:i/>
          <w:sz w:val="20"/>
        </w:rPr>
        <w:t>EN: Singlet Fission as an Exciton‐Management Platform for Next‐Generation Optoelectronic Materials</w:t>
      </w:r>
    </w:p>
    <w:p>
      <w:pPr>
        <w:spacing w:before="0" w:after="120"/>
      </w:pPr>
      <w:r>
        <w:rPr>
          <w:b/>
        </w:rPr>
        <w:t xml:space="preserve">Source: </w:t>
      </w:r>
      <w:r>
        <w:t>Wiley: Advanced Materials: Table of Contents</w:t>
      </w:r>
      <w:r>
        <w:t xml:space="preserve">    </w:t>
      </w:r>
      <w:r>
        <w:rPr>
          <w:b/>
        </w:rPr>
        <w:t xml:space="preserve">Pub date: </w:t>
      </w:r>
      <w:r>
        <w:t>2026-08-31 13:43:54+00:00</w:t>
      </w:r>
      <w:r>
        <w:t xml:space="preserve">    </w:t>
      </w:r>
      <w:r>
        <w:rPr>
          <w:b/>
        </w:rPr>
        <w:t xml:space="preserve">DOI: </w:t>
      </w:r>
      <w:hyperlink r:id="rId1036">
        <w:r>
          <w:rPr>
            <w:color w:val="1155CC"/>
            <w:u w:val="single"/>
          </w:rPr>
          <w:t>10.1002/adma.74838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线态裂分（SF）是将一个光激发单线态激子自旋守恒地转换为两个三线态激子的过程，已成为光电子学和量子技术中一种多功能的激子管理策略。虽然SF最初被探索用于突破单结光伏的效率极限，但如今它被视为工程化相关激发态的更广泛平台。高效的三线态生成和自旋相关对在光伏、光电探测、光催化、光子上转换、量子光源、自旋-光子界面和生物成像等领域创造了机遇。本综述总结了支配SF的基本机制、能量要求和分子设计原理，以及超分子组织和外部刺激对其动力学的影响。特别强调了分子能量学、激发态特性、分子堆积、三线态对分离、三线态传输和界面能量或电荷转移之间的多尺度关系，这些最终决定了器件性能。我们进一步讨论了SFenabled的光电子和量子应用的最新进展。尽管进展迅速，在建立统一的机制框架、理解聚合物和无序体系中的SF以及扩充稳定高性能SF材料库方面仍存在重大挑战。最后，我们重点展望了机器学习辅助材料发现、激发态工程以及将SF集成到下一代功能器件中的未来机遇</w:t>
      </w:r>
    </w:p>
    <w:p>
      <w:pPr>
        <w:spacing w:before="0" w:after="200" w:lineRule="auto" w:line="276"/>
      </w:pPr>
      <w:r>
        <w:rPr>
          <w:b/>
        </w:rPr>
        <w:t xml:space="preserve">Abstract (EN): </w:t>
      </w:r>
      <w:r>
        <w:t>Singlet fission (SF), the spin‐conserving conversion of one photoexcited singlet exciton into two triplet excitons has emerged as a versatile exciton‐management strategy for optoelectronics and quantum technologies. While initially explored to overcome the efficiency limit of single‐junction photovoltaics, SF is now recognized as a broader platform for engineering correlated excited states. Efficient triplet generation and spin‐correlated pairs create opportunities in photovoltaics, photodetection, photocatalysis, photon up‐conversion, quantum light sources, spin–photon interfaces, and bioimaging. This Review summarizes the fundamental mechanisms, energetic requirements, and molecular design principles governing SF, together with the influence of supramolecular organization and external stimuli on its dynamics. Particular emphasis is placed on the multiscale relationships among molecular energetics, excited‐state character, molecular packing, triplet‐pair separation, triplet transport, and interfacial energy or charge transfer, which ultimately determine device performance. We further discuss recent advances in SF‐enabled optoelectronic and quantum applications. Despite rapid progress, major challenges remain in establishing a unified mechanistic framework, understanding SF in polymeric and disordered systems, and expanding the library of stable, high‐performance SF materials. Finally, we highlight future opportunities in machine‐learning‐assisted materials discovery, excited‐state engineering, and the integration of SF into next‐generation functional optoelectronic devices.</w:t>
      </w:r>
    </w:p>
    <w:p>
      <w:pPr>
        <w:spacing w:before="120" w:after="120"/>
      </w:pPr>
      <w:r>
        <w:rPr>
          <w:sz w:val="18"/>
        </w:rPr>
        <w:t>——————————————————————————————————————————————————————————————————————</w:t>
      </w:r>
    </w:p>
    <w:p>
      <w:pPr>
        <w:spacing w:before="160" w:after="40" w:line="240" w:lineRule="auto"/>
      </w:pPr>
      <w:r>
        <w:rPr>
          <w:b/>
        </w:rPr>
        <w:t xml:space="preserve">[354] </w:t>
      </w:r>
      <w:hyperlink r:id="rId1037">
        <w:r>
          <w:rPr>
            <w:color w:val="1155CC"/>
            <w:u w:val="single"/>
          </w:rPr>
          <w:t>仿生骨膜-骨一体化支架的生物打印</w:t>
        </w:r>
      </w:hyperlink>
    </w:p>
    <w:p>
      <w:pPr>
        <w:spacing w:before="0" w:after="80"/>
      </w:pPr>
      <w:r>
        <w:rPr>
          <w:i/>
          <w:sz w:val="20"/>
        </w:rPr>
        <w:t>EN: Bioprinting of Biomimetic Periosteum‐Bone Integrated Scaffolds</w:t>
      </w:r>
    </w:p>
    <w:p>
      <w:pPr>
        <w:spacing w:before="0" w:after="120"/>
      </w:pPr>
      <w:r>
        <w:rPr>
          <w:b/>
        </w:rPr>
        <w:t xml:space="preserve">Source: </w:t>
      </w:r>
      <w:r>
        <w:t>Wiley: Advanced Materials: Table of Contents</w:t>
      </w:r>
      <w:r>
        <w:t xml:space="preserve">    </w:t>
      </w:r>
      <w:r>
        <w:rPr>
          <w:b/>
        </w:rPr>
        <w:t xml:space="preserve">Pub date: </w:t>
      </w:r>
      <w:r>
        <w:t>2026-08-31 13:44:51+00:00</w:t>
      </w:r>
      <w:r>
        <w:t xml:space="preserve">    </w:t>
      </w:r>
      <w:r>
        <w:rPr>
          <w:b/>
        </w:rPr>
        <w:t xml:space="preserve">DOI: </w:t>
      </w:r>
      <w:hyperlink r:id="rId1038">
        <w:r>
          <w:rPr>
            <w:color w:val="1155CC"/>
            <w:u w:val="single"/>
          </w:rPr>
          <w:t>10.1002/adma.74879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骨由骨膜、皮质骨和松质骨组成。开发模拟骨组织这三部分并实现协同功能性能的组织工程支架仍然是一项重大挑战。本文通过将外层工程化骨膜与内层哈佛骨模块组装，成功制备了仿生骨膜-骨一体化支架，实现了对天然骨组织的结构与功能仿生。由骨膜细胞（PCs）与硅酸锌纳米棒（ZS）构建的工程化骨膜自发重现了天然骨膜的多种生物活性，从而在体外与骨髓相关细胞共培养时促进协同成骨。粗粒化分子动力学模拟表明，ZS的表面曲率影响内吞过程中的膜弯曲能景和颗粒重取向，进而通过改变细胞内离子积累动力学调控PCs的功能。值得注意的是，在节段性骨缺损中，工程化骨膜与哈佛骨模块在体内展现出优异的整合性骨再生协同效应。更重要的是，研究发现工程化骨膜能够以ZS激活具有强软骨形成和神经血管通信能力的特定成纤维亚群的机制功能性替代天然骨膜。这种仿生骨膜-骨一体化支架为设计全结构和功能模拟的骨组织工程提供了新视角</w:t>
      </w:r>
    </w:p>
    <w:p>
      <w:pPr>
        <w:spacing w:before="0" w:after="200" w:lineRule="auto" w:line="276"/>
      </w:pPr>
      <w:r>
        <w:rPr>
          <w:b/>
        </w:rPr>
        <w:t xml:space="preserve">Abstract (EN): </w:t>
      </w:r>
      <w:r>
        <w:t>Bone is composed of periosteum, cortical bone, and cancellous bone. The development of tissue engineering scaffolds mimicking these three parts of bone tissue and enabling synergistic functional performance remains a significant challenge. Herein, a biomimetic periosteum‐bone integrated scaffold was successfully fabricated by assembling the outer engineered periosteum with the inner Haversian bone module, achieving structural and functional biomimicry of natural bone tissue. The engineered periosteum constructed with periosteal cells (PCs) with zinc silicate nanorods (ZS) spontaneously recapitulated the diverse bioactivities of natural periosteum, thus facilitating the synergistic osteogenesis when co‐cultured with bone marrow related cells in vitro. Coarse‑grained molecular dynamics simulations revealed that surface curvature of ZS affected membrane bending‐energy landscape and particle reorientation during endocytosis, thereby regulating PCs’ function via altered intracellular ion accumulation kinetics. Notably, in a segmental bone defect, the engineered periosteum and Haversian‐bone module exhibited the superior synergistic effect on integrative bone regeneration in vivo. More importantly, the engineered periosteum was found to functionally replace natural periosteum with the mechanism of ZS activating a specific fibrogenic sub‐cluster with potent chondrogenesis and neurovascular communication. This biomimetic periosteum‐bone integrated scaffold offers a fresh perspective for the design of full structure and function‐mimicking bone tissue engineering materials.</w:t>
      </w:r>
    </w:p>
    <w:p>
      <w:pPr>
        <w:spacing w:before="120" w:after="120"/>
      </w:pPr>
      <w:r>
        <w:rPr>
          <w:sz w:val="18"/>
        </w:rPr>
        <w:t>——————————————————————————————————————————————————————————————————————</w:t>
      </w:r>
    </w:p>
    <w:p>
      <w:pPr>
        <w:spacing w:before="160" w:after="40" w:line="240" w:lineRule="auto"/>
      </w:pPr>
      <w:r>
        <w:rPr>
          <w:b/>
        </w:rPr>
        <w:t xml:space="preserve">[355] </w:t>
      </w:r>
      <w:hyperlink r:id="rId1039">
        <w:r>
          <w:rPr>
            <w:color w:val="1155CC"/>
            <w:u w:val="single"/>
          </w:rPr>
          <w:t>多体关联驱动的超辐射钙钛矿量子点中的非常规双激子动力学</w:t>
        </w:r>
      </w:hyperlink>
    </w:p>
    <w:p>
      <w:pPr>
        <w:spacing w:before="0" w:after="80"/>
      </w:pPr>
      <w:r>
        <w:rPr>
          <w:i/>
          <w:sz w:val="20"/>
        </w:rPr>
        <w:t>EN: Unconventional Biexciton Dynamics in Superradiant Perovskite Quantum Dots Driven by Many‐Body Correlations</w:t>
      </w:r>
    </w:p>
    <w:p>
      <w:pPr>
        <w:spacing w:before="0" w:after="120"/>
      </w:pPr>
      <w:r>
        <w:rPr>
          <w:b/>
        </w:rPr>
        <w:t xml:space="preserve">Source: </w:t>
      </w:r>
      <w:r>
        <w:t>Wiley: Advanced Materials: Table of Contents</w:t>
      </w:r>
      <w:r>
        <w:t xml:space="preserve">    </w:t>
      </w:r>
      <w:r>
        <w:rPr>
          <w:b/>
        </w:rPr>
        <w:t xml:space="preserve">Pub date: </w:t>
      </w:r>
      <w:r>
        <w:t>2026-08-31 14:14:57+00:00</w:t>
      </w:r>
      <w:r>
        <w:t xml:space="preserve">    </w:t>
      </w:r>
      <w:r>
        <w:rPr>
          <w:b/>
        </w:rPr>
        <w:t xml:space="preserve">DOI: </w:t>
      </w:r>
      <w:hyperlink r:id="rId1040">
        <w:r>
          <w:rPr>
            <w:color w:val="1155CC"/>
            <w:u w:val="single"/>
          </w:rPr>
          <w:t>10.1002/adma.74849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激子和双激子的发射特性,例如量子产率、寿命和相干性,决定着器件性能指标,包括亮度、光增益阈值以及单光子和纠缠光子产生的效率。传统观点认为双激子的辐射衰变快于激子。这一观点主要源于强限制量子点(QDs)中的研究,其中激子间关联常被忽略。相比之下,弱限制体系(如大尺寸CsPbBr3 QDs)表现出显著的库仑关联,因此需要一个修正的双激子辐射动力学框架,而由于实验认识有限,该框架一直不完整。在此,我们将单颗粒光致发光(PL)光谱与有效质量变分量子蒙特卡罗(VQMC)模拟相结合,直接探测了不同尺寸和温度下CsPbBr3 QDs中的双激子几何结构、激子-声子相互作用和辐射衰变。我们揭示了双激子与激子的辐射衰变寿命比受到激子间关联的强烈调控,并在弱限制区域出现了预期衰变寿命层级的显著反转。具体而言,在低温下,双激子表现出反常更长的辐射寿命(148 ± 30 ps),长于激子(106 ± 16 ps),挑战了传统模型。这些发现揭示了多激子物理中关联驱动的机制,并支撑</w:t>
      </w:r>
    </w:p>
    <w:p>
      <w:pPr>
        <w:spacing w:before="0" w:after="200" w:lineRule="auto" w:line="276"/>
      </w:pPr>
      <w:r>
        <w:rPr>
          <w:b/>
        </w:rPr>
        <w:t xml:space="preserve">Abstract (EN): </w:t>
      </w:r>
      <w:r>
        <w:t>Excitons and biexcitons emission traits, for example, quantum yield, lifetime, and coherence, govern device performance metrics including brightness, optical gain thresholds, and the efficiency of single‐ and entangled‐photon generation. Biexcitons are conventionally understood to radiatively decay more rapidly than excitons. This view stems largely from studies in strongly confined quantum dots (QDs), where inter‐exciton correlations are often neglected. In contrast, weakly confined systems such as large CsPbBr</w:t>
      </w:r>
      <w:r>
        <w:rPr>
          <w:vertAlign w:val="subscript"/>
        </w:rPr>
        <w:t>3</w:t>
      </w:r>
      <w:r>
        <w:t>QDs exhibit significant Coulomb correlations, necessitating a revised framework for biexciton radiative dynamics, one that has remained incomplete due to limited experimental insights. Here, we combine single‐particle photoluminescence (PL) spectroscopy with effective‐mass variational quantum Monte Carlo (VQMC) simulations to directly probe the biexciton geometry, exciton–phonon interactions, and radiative decay in CsPbBr</w:t>
      </w:r>
      <w:r>
        <w:rPr>
          <w:vertAlign w:val="subscript"/>
        </w:rPr>
        <w:t>3</w:t>
      </w:r>
      <w:r>
        <w:t>QDs across a range of sizes and temperatures. We reveal that the biexciton‐to‐exciton radiative decay lifetime ratio is strongly modulated by inter‐exciton correlations, with a striking inversion of the expected decay lifetime hierarchy in the weak‐confinement regime. Specifically, at cryogenic temperatures, biexcitons exhibit anomalously longer radiative lifetime (148 ± 30 ps) than excitons (106 ± 16 ps), challenging conventional models. These findings uncover a correlation‐driven regime of multiexciton physics and suggest new routes for tailoring light–matter interactions for classical and quantum photonic applications.</w:t>
      </w:r>
    </w:p>
    <w:p>
      <w:pPr>
        <w:spacing w:before="120" w:after="120"/>
      </w:pPr>
      <w:r>
        <w:rPr>
          <w:sz w:val="18"/>
        </w:rPr>
        <w:t>——————————————————————————————————————————————————————————————————————</w:t>
      </w:r>
    </w:p>
    <w:p>
      <w:pPr>
        <w:spacing w:before="160" w:after="40" w:line="240" w:lineRule="auto"/>
      </w:pPr>
      <w:r>
        <w:rPr>
          <w:b/>
        </w:rPr>
        <w:t xml:space="preserve">[356] </w:t>
      </w:r>
      <w:hyperlink r:id="rId1041">
        <w:r>
          <w:rPr>
            <w:color w:val="1155CC"/>
            <w:u w:val="single"/>
          </w:rPr>
          <w:t>基于DNA的环路放大荧光信号网络实现假体周围微生物骨感染的快速定量病原体检测</w:t>
        </w:r>
      </w:hyperlink>
    </w:p>
    <w:p>
      <w:pPr>
        <w:spacing w:before="0" w:after="80"/>
      </w:pPr>
      <w:r>
        <w:rPr>
          <w:i/>
          <w:sz w:val="20"/>
        </w:rPr>
        <w:t>EN: DNA‐Based Loop‐Amplifier Fluorescence Signaling Networks Enable Rapid Quantitative Pathogen Detection of Periprosthetic Microbial Bone Infection</w:t>
      </w:r>
    </w:p>
    <w:p>
      <w:pPr>
        <w:spacing w:before="0" w:after="120"/>
      </w:pPr>
      <w:r>
        <w:rPr>
          <w:b/>
        </w:rPr>
        <w:t xml:space="preserve">Source: </w:t>
      </w:r>
      <w:r>
        <w:t>Wiley: Advanced Materials: Table of Contents</w:t>
      </w:r>
      <w:r>
        <w:t xml:space="preserve">    </w:t>
      </w:r>
      <w:r>
        <w:rPr>
          <w:b/>
        </w:rPr>
        <w:t xml:space="preserve">Pub date: </w:t>
      </w:r>
      <w:r>
        <w:t>2026-08-31 14:17:53+00:00</w:t>
      </w:r>
      <w:r>
        <w:t xml:space="preserve">    </w:t>
      </w:r>
      <w:r>
        <w:rPr>
          <w:b/>
        </w:rPr>
        <w:t xml:space="preserve">DOI: </w:t>
      </w:r>
      <w:hyperlink r:id="rId1042">
        <w:r>
          <w:rPr>
            <w:color w:val="1155CC"/>
            <w:u w:val="single"/>
          </w:rPr>
          <w:t>10.1002/adma.202505096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假体周围微生物骨感染(PMBI)是一种严重的病理状态,若不及时治疗干预可能导致可怕的后果。然而,PMBI的临床管理面临着高效准确鉴定病原微生物的困难。为此,我们报道了一种基于DNA的环路放大荧光信号网络(DLFSN),用于在PMBI背景下高效准确地检测病原微生物。DLFSN系统由放大器单元A和定量器单元B组成。具体而言,放大器单元A通过熵驱动的自动化反应回路将病原微生物遗传物质转化为荧光DNA分子,从而实现对病原体特异性基因组输入信号的高效精确放大。随后,定量器单元B将淬灭的荧光中间产物转化为激活状态,从而能够以定量方式精确识别病原微生物的遗传特征。DLFSN表现出与金标准PMBI诊断技术(包括组织切片染色和qPCR)相当的高诊断准确性,而对真实患者的实际检测时间要低得多,仅约30分钟。DLFSN系统为PMBI的早期诊断提供了一种有前景的精准诊断工具,有望改善临床骨科治疗效果。</w:t>
      </w:r>
    </w:p>
    <w:p>
      <w:pPr>
        <w:spacing w:before="0" w:after="200" w:lineRule="auto" w:line="276"/>
      </w:pPr>
      <w:r>
        <w:rPr>
          <w:b/>
        </w:rPr>
        <w:t xml:space="preserve">Abstract (EN): </w:t>
      </w:r>
      <w:r>
        <w:t>Periprosthetic microbial bone infection (PMBI) is a serious pathological condition that may lead to terrible consequences without timely therapeutic intervention. However, the clinical management of PMBI is challenged by the difficulties in the efficient and accurate identification of microbial pathogens. For this purpose, we report a DNA‐based loop‐amplifier fluorescence signaling network (DLFSN) for the efficient and accurate detection of pathogenic microbes in the context of PMBI. The DLFSN system comprises an Amplifier Unit A and a Quantifier Unit B. Specifically, Amplifier Unit A transforms pathogenic microbial genetic materials into fluorescent DNA molecules through an entropy‐driven automated reaction loop, leading to efficient and precise amplification of pathogen‐specific genomic input signals. Subsequently, Quantifier Unit B converts the quenched fluorescent intermediate products into an activated state, thus allowing the precise identification of the genetic signature of pathogenic microorganisms in a quantitative manner. DLFSN demonstrated high diagnostic accuracy comparable to gold standard PMBI diagnostic technologies, including tissue section staining and qPCR, while the actual assay time was much lower at only around 30 min for real‐life patients. The DLFSN system provides a promising precision diagnostic tool for early PMBI diagnosis, holding promise to improve orthopedic outcomes in the clinic.</w:t>
      </w:r>
    </w:p>
    <w:p>
      <w:pPr>
        <w:spacing w:before="120" w:after="120"/>
      </w:pPr>
      <w:r>
        <w:rPr>
          <w:sz w:val="18"/>
        </w:rPr>
        <w:t>——————————————————————————————————————————————————————————————————————</w:t>
      </w:r>
    </w:p>
    <w:p>
      <w:pPr>
        <w:spacing w:before="160" w:after="40" w:line="240" w:lineRule="auto"/>
      </w:pPr>
      <w:r>
        <w:rPr>
          <w:b/>
        </w:rPr>
        <w:t xml:space="preserve">[357] </w:t>
      </w:r>
      <w:hyperlink r:id="rId1043">
        <w:r>
          <w:rPr>
            <w:color w:val="1155CC"/>
            <w:u w:val="single"/>
          </w:rPr>
          <w:t>用于表皮汗液生物传感的纺织基、无电池、电致变色可视化平台</w:t>
        </w:r>
      </w:hyperlink>
    </w:p>
    <w:p>
      <w:pPr>
        <w:spacing w:before="0" w:after="80"/>
      </w:pPr>
      <w:r>
        <w:rPr>
          <w:i/>
          <w:sz w:val="20"/>
        </w:rPr>
        <w:t>EN: A Textile‐Based, Battery‐Free, Electrochromic Platform for Visual Epidermal Sweat Biosensing</w:t>
      </w:r>
    </w:p>
    <w:p>
      <w:pPr>
        <w:spacing w:before="0" w:after="120"/>
      </w:pPr>
      <w:r>
        <w:rPr>
          <w:b/>
        </w:rPr>
        <w:t xml:space="preserve">Source: </w:t>
      </w:r>
      <w:r>
        <w:t>Wiley: Advanced Materials: Table of Contents</w:t>
      </w:r>
      <w:r>
        <w:t xml:space="preserve">    </w:t>
      </w:r>
      <w:r>
        <w:rPr>
          <w:b/>
        </w:rPr>
        <w:t xml:space="preserve">Pub date: </w:t>
      </w:r>
      <w:r>
        <w:t>2026-08-31 14:35:01+00:00</w:t>
      </w:r>
      <w:r>
        <w:t xml:space="preserve">    </w:t>
      </w:r>
      <w:r>
        <w:rPr>
          <w:b/>
        </w:rPr>
        <w:t xml:space="preserve">DOI: </w:t>
      </w:r>
      <w:hyperlink r:id="rId1044">
        <w:r>
          <w:rPr>
            <w:color w:val="1155CC"/>
            <w:u w:val="single"/>
          </w:rPr>
          <w:t>10.1002/adma.74878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创可穿戴汗液传感器在个性化健康管理方面前景广阔,但其广泛采用受到复杂多组件架构、对刚性电池的依赖以及缺乏直观视觉反馈的阻碍。在此,我们提出了一种汗液驱动的代谢-视觉转导机制,利用汗液同时作为能源和检测目标。我们制备了一种基于织物的汗液发电采集器,利用汗液能量产生稳定的功率输出,实现无电池的传感操作。耦合的酶传感电极-电致变色显示系统将汗液葡萄糖浓度转化为可直接感知的颜色变化。为克服传统比色法固有的主观误差,采用基于神经网络的智能手机应用程序提供精确的定量视觉读数,实现了对汗液葡萄糖的高精度估计(R2 = 0.997),在人体佩戴评估中可与商业检测试剂盒相媲美。通过成功地将可穿戴传感器与刚性电源解耦,同时将自供电电致变色显示器与AI辅助数字读数相融合,这一轻量化纺织平台为用户友好且智能的代谢监测建立了一种按需策略。</w:t>
      </w:r>
    </w:p>
    <w:p>
      <w:pPr>
        <w:spacing w:before="0" w:after="200" w:lineRule="auto" w:line="276"/>
      </w:pPr>
      <w:r>
        <w:rPr>
          <w:b/>
        </w:rPr>
        <w:t xml:space="preserve">Abstract (EN): </w:t>
      </w:r>
      <w:r>
        <w:t>Noninvasive wearable sweat sensors are promising for personalized health management, yet their widespread adoption is hindered by complex multi‐component architectures, reliance on rigid batteries, and a lack of intuitive visual feedback. Herein, we propose a sweat‐powered metabolism‐to‐visual transduction mechanism that utilizes sweat as both an energy source and a detection target. A fabric‐based sweat electricity harvester is fabricated, which harnesses sweat energy to yield a stable power output, enabling battery‐free sensing operation. Coupled enzymatic sensing electrode–electrochromic display system translates sweat glucose concentration into directly perceptible color change. To overcome the subjective errors inherent in traditional colorimetry, a neural network‐based smartphone application is employed to provide precise quantitative visual readouts, achieving highly accurate estimation of sweat glucose (R</w:t>
      </w:r>
      <w:r>
        <w:rPr>
          <w:vertAlign w:val="subscript"/>
        </w:rPr>
        <w:t>2</w:t>
      </w:r>
      <w:r>
        <w:t>= 0.997) comparable to commercial assay kits in on‐body evaluation on human subjects. By successfully decoupling wearable sensors from rigid power sources while fusing self‐powered electrochromic displays with AI‐assisted digital readouts, this lightweight textile platform establishes an on‐demand strategy for user‐friendly, and intelligent metabolic monitoring.</w:t>
      </w:r>
    </w:p>
    <w:p>
      <w:pPr>
        <w:spacing w:before="120" w:after="120"/>
      </w:pPr>
      <w:r>
        <w:rPr>
          <w:sz w:val="18"/>
        </w:rPr>
        <w:t>——————————————————————————————————————————————————————————————————————</w:t>
      </w:r>
    </w:p>
    <w:p>
      <w:pPr>
        <w:spacing w:before="160" w:after="40" w:line="240" w:lineRule="auto"/>
      </w:pPr>
      <w:r>
        <w:rPr>
          <w:b/>
        </w:rPr>
        <w:t xml:space="preserve">[358] </w:t>
      </w:r>
      <w:hyperlink r:id="rId1045">
        <w:r>
          <w:rPr>
            <w:color w:val="1155CC"/>
            <w:u w:val="single"/>
          </w:rPr>
          <w:t>异构虚拟电厂中点对点能源交易的全分布式市场出清框架</w:t>
        </w:r>
      </w:hyperlink>
    </w:p>
    <w:p>
      <w:pPr>
        <w:spacing w:before="0" w:after="80"/>
      </w:pPr>
      <w:r>
        <w:rPr>
          <w:i/>
          <w:sz w:val="20"/>
        </w:rPr>
        <w:t>EN: A Fully Distributed Market Clearing Framework for Peer-to-Peer Energy Trading in Heterogeneous Virtual Power Plants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46">
        <w:r>
          <w:rPr>
            <w:color w:val="1155CC"/>
            <w:u w:val="single"/>
          </w:rPr>
          <w:t>10.1109/tsg.2026.3673769</w:t>
        </w:r>
      </w:hyperlink>
    </w:p>
    <w:p>
      <w:pPr>
        <w:spacing w:before="0" w:after="120"/>
      </w:pPr>
      <w:r>
        <w:rPr>
          <w:b/>
        </w:rPr>
        <w:t xml:space="preserve">Notes: </w:t>
      </w:r>
      <w:r>
        <w:t>abstract_source=semanticscholar</w:t>
      </w:r>
    </w:p>
    <w:p>
      <w:pPr>
        <w:spacing w:before="0" w:after="80" w:lineRule="auto" w:line="276"/>
      </w:pPr>
      <w:r>
        <w:rPr>
          <w:b/>
        </w:rPr>
        <w:t xml:space="preserve">摘要（ZH）: </w:t>
      </w:r>
      <w:r>
        <w:t>虚拟电厂（VPP）被提出用于聚合众多小规模产消者，以解决其因容量要求而参与对等（P2P）市场的障碍。然而，由于VPP的异构性、通信资源限制以及VPP内部市场与VPP之间市场的耦合，包含多个VPP的P2P能源市场出清面临挑战。本文针对该场景构建了一个市场出清框架。对于通信成本高的VPP间市场和通信资源不足以减轻通信负担的VPP内部市场，设计了全分布式P2P能源市场，而其他VPP内部市场则采用分布式框架。在此设置下，通过基于分布式估计重构全分布式P2P能源市场出清问题，构建了多个异构虚拟电厂的P2P能源市场出清问题。基于一致性ADMM和并行ADMM开发了市场出清算法，以最大化通信资源利用率并提高通信效率。此外，基于边际成本定价，讨论了异构VPP内部市场和VPP间市场的电价。最后，在IEEE 37节点和IEEE 123节点测试馈线上验证了所提算法的收敛性和可扩展性以及电价分析的有效性。</w:t>
      </w:r>
    </w:p>
    <w:p>
      <w:pPr>
        <w:spacing w:before="0" w:after="200" w:lineRule="auto" w:line="276"/>
      </w:pPr>
      <w:r>
        <w:rPr>
          <w:b/>
        </w:rPr>
        <w:t xml:space="preserve">Abstract (EN): </w:t>
      </w:r>
      <w:r>
        <w:t>Virtual Power Plants (VPPs) are proposed to aggregate numerous small-scale prosumers to handle their barriers in participating in Peer-to-Peer (P2P) markets due to capacity requirements. However, market clearing in P2P energy markets with multiple VPPs is challenging because of VPP heterogeneity, communication resource constraints, and the coupling between intra- and inter-VPP markets. This paper constructs a market clearing framework for this scenery. The fully distributed P2P energy market is designed for inter-VPP market with high communication costs and the intra-VPP market with insufficient communication resources to release the communication burden, while other intra-VPP market apply the distributed framework. Under such a setting, through the reconstruction of the fully - distributed P2P energy market clearing problem based on distributed estimation, the P2P energy market clearing problem for multiple heterogeneous virtual power plants is constructed. A market clearing algorithm is developed based on the consensus ADMM and parallel ADMM to maximize the utilization of communication resources and improving communication efficiency. Furthermore, based on marginal cost pricing, the electricity prices in the heterogeneous intra-VPP markets and inter-VPP market are discussed. Finally, the convergence and scalability of the proposed algorithm and the effectiveness of the electricity price analysis are verified on the IEEE 37-bus and IEEE 123-bus test feeders.</w:t>
      </w:r>
    </w:p>
    <w:p>
      <w:pPr>
        <w:spacing w:before="120" w:after="120"/>
      </w:pPr>
      <w:r>
        <w:rPr>
          <w:sz w:val="18"/>
        </w:rPr>
        <w:t>——————————————————————————————————————————————————————————————————————</w:t>
      </w:r>
    </w:p>
    <w:p>
      <w:pPr>
        <w:spacing w:before="160" w:after="40" w:line="240" w:lineRule="auto"/>
      </w:pPr>
      <w:r>
        <w:rPr>
          <w:b/>
        </w:rPr>
        <w:t xml:space="preserve">[359] </w:t>
      </w:r>
      <w:hyperlink r:id="rId1047">
        <w:r>
          <w:rPr>
            <w:color w:val="1155CC"/>
            <w:u w:val="single"/>
          </w:rPr>
          <w:t>用于抑制SiC基电机驱动系统中电机端子过电压的dv/dt输出滤波器</w:t>
        </w:r>
      </w:hyperlink>
    </w:p>
    <w:p>
      <w:pPr>
        <w:spacing w:before="0" w:after="80"/>
      </w:pPr>
      <w:r>
        <w:rPr>
          <w:i/>
          <w:sz w:val="20"/>
        </w:rPr>
        <w:t>EN: A dv / dt Output Filter for Mitigating Motor Terminal Overvoltage in SiC-Based Motor Drive Systems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48">
        <w:r>
          <w:rPr>
            <w:color w:val="1155CC"/>
            <w:u w:val="single"/>
          </w:rPr>
          <w:t>10.1109/tec.2026.3673835</w:t>
        </w:r>
      </w:hyperlink>
    </w:p>
    <w:p>
      <w:pPr>
        <w:spacing w:before="0" w:after="120"/>
      </w:pPr>
      <w:r>
        <w:rPr>
          <w:b/>
        </w:rPr>
        <w:t xml:space="preserve">Notes: </w:t>
      </w:r>
      <w:r>
        <w:t>abstract_source=semanticscholar</w:t>
      </w:r>
    </w:p>
    <w:p>
      <w:pPr>
        <w:spacing w:before="0" w:after="80" w:lineRule="auto" w:line="276"/>
      </w:pPr>
      <w:r>
        <w:rPr>
          <w:b/>
        </w:rPr>
        <w:t xml:space="preserve">摘要（ZH）: </w:t>
      </w:r>
      <w:r>
        <w:t>碳化硅（SiC）MOSFET作为一种突出的宽禁带器件，凭借其高速开关特性被广泛应用于电机驱动系统。然而，较高的dv/dt会在电机端子处产生过电压，加速绕组和轴承的老化，严重威胁电机绕组绝缘，缩短电机的使用寿命。针对这一关键挑战，本文提出了一种新颖的三阶LCRL dv/dt滤波器拓扑，通过引入并联电感提高电缆匹配的灵活性，并对阻尼电阻进行分流以降低阻尼损耗，从而显著减小散热器的体积和成本。提出了适用于高阶滤波器的参数设计方法和基于最优损耗模型的多维设计优化策略，以同时找到最小化电机端子过电压和系统总损耗的最佳方案，为高阶dv/dt滤波器的应用提供理论指导。一系列实验结果表明，与传统的LCR滤波器相比，所提滤波器的电机端子过电压、阻尼损耗和体积分别降低了81.5%、43.7%和33.3%，在不牺牲系统效率的情况下提高了电机在高速开关应用中的可靠性。</w:t>
      </w:r>
    </w:p>
    <w:p>
      <w:pPr>
        <w:spacing w:before="0" w:after="200" w:lineRule="auto" w:line="276"/>
      </w:pPr>
      <w:r>
        <w:rPr>
          <w:b/>
        </w:rPr>
        <w:t xml:space="preserve">Abstract (EN): </w:t>
      </w:r>
      <w:r>
        <w:t>The Silicon carbide (SiC) MOSFET, as a prominent wide bandgap device, is extensively used in motor drive systems due to its high-speed switching characteristic. However, higher dv/dt will cause overvoltage at the motor terminals, accelerate the aging of windings and bearings, seriously threaten the insulation of motor windings, and shorten the service life of the motor. To address the critical challenge, this paper proposes a novel third-order LCRL dv/dt filter topology, which introduces parallel inductance to improve the flexibility of cable matching and shunts damping resistors to reduce damping loss, thereby significantly reducing the volume and cost of the heat sink. A parameter design method suitable for high-order filters and a multi-dimensional design optimization strategy based on the optimal loss model are proposed to simultaneously find the best solution to minimize motor terminal overvoltage and total system loss, providing theoretical guidance for the application of high-order dv/dt filters. A series of experimental results demonstrate that the motor terminal overvoltage, damping loss, and volume of the proposed filter are reduced by 81.5%, 43.7%, and 33.3%, respectively, compared with the conventional LCR filter, which improves motor reliability in high-speed switching applications without compromising system efficiency.</w:t>
      </w:r>
    </w:p>
    <w:p>
      <w:pPr>
        <w:spacing w:before="120" w:after="120"/>
      </w:pPr>
      <w:r>
        <w:rPr>
          <w:sz w:val="18"/>
        </w:rPr>
        <w:t>——————————————————————————————————————————————————————————————————————</w:t>
      </w:r>
    </w:p>
    <w:p>
      <w:pPr>
        <w:spacing w:before="160" w:after="40" w:line="240" w:lineRule="auto"/>
      </w:pPr>
      <w:r>
        <w:rPr>
          <w:b/>
        </w:rPr>
        <w:t xml:space="preserve">[360] </w:t>
      </w:r>
      <w:hyperlink r:id="rId1049">
        <w:r>
          <w:rPr>
            <w:color w:val="1155CC"/>
            <w:u w:val="single"/>
          </w:rPr>
          <w:t>基于高频电压注入的无传感器控制电流测量标度误差的分析与消除</w:t>
        </w:r>
      </w:hyperlink>
    </w:p>
    <w:p>
      <w:pPr>
        <w:spacing w:before="0" w:after="80"/>
      </w:pPr>
      <w:r>
        <w:rPr>
          <w:i/>
          <w:sz w:val="20"/>
        </w:rPr>
        <w:t>EN: Analysis and Elimination of Current Measurement Scaling Error for High-Frequency Voltage Injection-Based Sensorless Control</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50">
        <w:r>
          <w:rPr>
            <w:color w:val="1155CC"/>
            <w:u w:val="single"/>
          </w:rPr>
          <w:t>10.1109/tec.2026.3661923</w:t>
        </w:r>
      </w:hyperlink>
    </w:p>
    <w:p>
      <w:pPr>
        <w:spacing w:before="0" w:after="120"/>
      </w:pPr>
      <w:r>
        <w:rPr>
          <w:b/>
        </w:rPr>
        <w:t xml:space="preserve">Notes: </w:t>
      </w:r>
      <w:r>
        <w:t>abstract_source=semanticscholar</w:t>
      </w:r>
    </w:p>
    <w:p>
      <w:pPr>
        <w:spacing w:before="0" w:after="80" w:lineRule="auto" w:line="276"/>
      </w:pPr>
      <w:r>
        <w:rPr>
          <w:b/>
        </w:rPr>
        <w:t xml:space="preserve">摘要（ZH）: </w:t>
      </w:r>
      <w:r>
        <w:t>电流测量标度误差（CMSE）是永磁同步电机（PMSM）驱动系统中的常见问题，可分为电流测量标度差异误差（CMSDE）和电流测量标度平均误差（CMSAE）。本研究旨在分析和消除CMSE对基于旋转高频电压注入（HFVI）的无传感器控制的影响。首先，详细分析了CMSE引起的位置估计误差，揭示了位置估计误差与CMSE之间的关系，表明CMSE在位置估计中引入了直流偏置和二次谐波。其次，提出了一种有效的顺序消除策略，第一步处理CMSDE，第二步处理CMSAE。设计了滑动平均滤波器（MAF）以提取误差信号，随后通过滑模控制器（SMC）消除CMSDE和CMSAE。最后，通过实验结果验证了理论分析和CMSE的消除方法。</w:t>
      </w:r>
    </w:p>
    <w:p>
      <w:pPr>
        <w:spacing w:before="0" w:after="200" w:lineRule="auto" w:line="276"/>
      </w:pPr>
      <w:r>
        <w:rPr>
          <w:b/>
        </w:rPr>
        <w:t xml:space="preserve">Abstract (EN): </w:t>
      </w:r>
      <w:r>
        <w:t>Current measurement scaling error (CMSE) is a common problem in permanent magnet synchronous machine (PMSM) drive systems. It can be categorized into current measurement scaling difference error (CMSDE) and current measurement scaling average error (CMSAE). This research aims to analyze and eliminate the effects of the CMSE on rotating high-frequency voltage injection (HFVI)-based sensorless control. Firstly, a detailed analysis of the CMSE-induced position estimation error is presented, revealing the relationship between the position estimation error and the CMSE. It indicates that the CMSE introduces both a DC offset and a 2nd harmonic into the position estimation. Secondly, an effective sequential elimination strategy is proposed to address the CMSDE as its first step, and then the CMSAE as the second step. A moving average filter (MAF) is designed to extract the error signal, followed by a sliding mode controller (SMC) to eliminate the CMSDE and CMSAE. Finally, the theoretical analysis and the elimination methods of the CMSE have been validated by the experimental results.</w:t>
      </w:r>
    </w:p>
    <w:p>
      <w:pPr>
        <w:spacing w:before="120" w:after="120"/>
      </w:pPr>
      <w:r>
        <w:rPr>
          <w:sz w:val="18"/>
        </w:rPr>
        <w:t>——————————————————————————————————————————————————————————————————————</w:t>
      </w:r>
    </w:p>
    <w:p>
      <w:pPr>
        <w:spacing w:before="160" w:after="40" w:line="240" w:lineRule="auto"/>
      </w:pPr>
      <w:r>
        <w:rPr>
          <w:b/>
        </w:rPr>
        <w:t xml:space="preserve">[361] </w:t>
      </w:r>
      <w:hyperlink r:id="rId1051">
        <w:r>
          <w:rPr>
            <w:color w:val="1155CC"/>
            <w:u w:val="single"/>
          </w:rPr>
          <w:t>风电场解耦模型的细粒度优化分配用于CPU-GPU并行EMT仿真</w:t>
        </w:r>
      </w:hyperlink>
    </w:p>
    <w:p>
      <w:pPr>
        <w:spacing w:before="0" w:after="80"/>
      </w:pPr>
      <w:r>
        <w:rPr>
          <w:i/>
          <w:sz w:val="20"/>
        </w:rPr>
        <w:t>EN: Fine-Grained Optimal Allocation of Wind Farm Decoupled Models for CPU-GPU Parallel EMT Simulation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52">
        <w:r>
          <w:rPr>
            <w:color w:val="1155CC"/>
            <w:u w:val="single"/>
          </w:rPr>
          <w:t>10.1109/tec.2026.3669438</w:t>
        </w:r>
      </w:hyperlink>
    </w:p>
    <w:p>
      <w:pPr>
        <w:spacing w:before="0" w:after="120"/>
      </w:pPr>
      <w:r>
        <w:rPr>
          <w:b/>
        </w:rPr>
        <w:t xml:space="preserve">Notes: </w:t>
      </w:r>
      <w:r>
        <w:t>abstract_source=semanticscholar</w:t>
      </w:r>
    </w:p>
    <w:p>
      <w:pPr>
        <w:spacing w:before="0" w:after="80" w:lineRule="auto" w:line="276"/>
      </w:pPr>
      <w:r>
        <w:rPr>
          <w:b/>
        </w:rPr>
        <w:t xml:space="preserve">摘要（ZH）: </w:t>
      </w:r>
      <w:r>
        <w:t>基于CPU-GPU异构硬件的并行仿真因其高加速比，已成为加速风电场电磁暂态（EMT）仿真的有效途径。然而，现有研究大多主要依赖硬件多线程能力，对模型-硬件适应性的定量分析有限，导致CPU与GPU互补优势未被充分挖掘。为此，本文提出了一种细粒度最优分配方法（FGOAM），将风电场中各子系统的硬件分配问题表述为以仿真效率最大化为目标的约束优化问题。首先，开发了一种自底向上的量化方法，通过将计算过程分解为串行和可并行步骤，准确评估解耦模型的计算资源和求解时间。其次，首次针对解耦风电场模型提出了FGOAM，将步级计算分配表述为整数非线性规划（INLP）问题。最后，为进一步提高FGOAM的求解效率，在不牺牲分配最优性的前提下，通过整数变量缩减推导出增强型FGOAM（E-FGOAM）。验证了所提量化方法的准确性以及最优分配后仿真效率的提升。仿真结果表明，对于由400台风机构成的风电场，仿真速度提高了两个数量级。</w:t>
      </w:r>
    </w:p>
    <w:p>
      <w:pPr>
        <w:spacing w:before="0" w:after="200" w:lineRule="auto" w:line="276"/>
      </w:pPr>
      <w:r>
        <w:rPr>
          <w:b/>
        </w:rPr>
        <w:t xml:space="preserve">Abstract (EN): </w:t>
      </w:r>
      <w:r>
        <w:t>Parallel. simulation based on CPU-GPU heterogeneous hardware, owing to its high speed-up ratio, has emerged as an effective approach for accelerating electromagnetic transient (EMT) simulation of wind farms. However, most existing studies rely mainly on hardware multi-threading capabilities, with limited quantitative analysis of model–hardware adaptability, resulting in insufficient exploitation of the complementary advantages of CPUs and GPUs. To this end, this paper proposes a fine-grained optimal allocation method (FGOAM) that formulates the hardware assignment of each subsystem in wind farms as a constrained optimization problem for maximal simulation efficiency. Firstly, a bottom-up quantification method is developed to accurately assess the computational resources and solution time of decoupled models by decomposing the computation process into sequential and parallelizable steps. Secondly, a FGOAM for decoupled wind farm models is proposed, for the first time, by formulating an integer nonlinear programming (INLP) problem for step-level computation allocation. Finally, to further improve solution efficiency of FGOAM, an enhanced FGOAM (E-FGOAM) is derived via integer variable reduction without sacrificing allocation optimality. The accuracy of the proposed quantification method and the improvement on simulation efficiency after optimal allocation are validated. Simulation results demonstrate that the simulation speed is increased by two orders of magnitude for a wind farm consisting of 400 turbines.</w:t>
      </w:r>
    </w:p>
    <w:p>
      <w:pPr>
        <w:spacing w:before="120" w:after="120"/>
      </w:pPr>
      <w:r>
        <w:rPr>
          <w:sz w:val="18"/>
        </w:rPr>
        <w:t>——————————————————————————————————————————————————————————————————————</w:t>
      </w:r>
    </w:p>
    <w:p>
      <w:pPr>
        <w:spacing w:before="160" w:after="40" w:line="240" w:lineRule="auto"/>
      </w:pPr>
      <w:r>
        <w:rPr>
          <w:b/>
        </w:rPr>
        <w:t xml:space="preserve">[362] </w:t>
      </w:r>
      <w:hyperlink r:id="rId1053">
        <w:r>
          <w:rPr>
            <w:color w:val="1155CC"/>
            <w:u w:val="single"/>
          </w:rPr>
          <w:t>双极性直流微电网中基于下垂控制的功率分配与电压均衡分层控制</w:t>
        </w:r>
      </w:hyperlink>
    </w:p>
    <w:p>
      <w:pPr>
        <w:spacing w:before="0" w:after="80"/>
      </w:pPr>
      <w:r>
        <w:rPr>
          <w:i/>
          <w:sz w:val="20"/>
        </w:rPr>
        <w:t>EN: Droop-Based Hierarchical Control for Power-Sharing and Voltage Balancing in Bipolar DC Microgrids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54">
        <w:r>
          <w:rPr>
            <w:color w:val="1155CC"/>
            <w:u w:val="single"/>
          </w:rPr>
          <w:t>10.1109/tsg.2026.3676808</w:t>
        </w:r>
      </w:hyperlink>
    </w:p>
    <w:p>
      <w:pPr>
        <w:spacing w:before="0" w:after="120"/>
      </w:pPr>
      <w:r>
        <w:rPr>
          <w:b/>
        </w:rPr>
        <w:t xml:space="preserve">Notes: </w:t>
      </w:r>
      <w:r>
        <w:t>abstract_source=semanticscholar</w:t>
      </w:r>
    </w:p>
    <w:p>
      <w:pPr>
        <w:spacing w:before="0" w:after="80" w:lineRule="auto" w:line="276"/>
      </w:pPr>
      <w:r>
        <w:rPr>
          <w:b/>
        </w:rPr>
        <w:t xml:space="preserve">摘要（ZH）: </w:t>
      </w:r>
      <w:r>
        <w:t>双极性直流微电网由三根线和三个电压母线组成，与单极性系统相比可提供更高的可靠性和灵活性，因而在现代电力系统中日益受到关注。双极性直流微电网的主要任务之一是通过变换器间的功率分配实现高效运行。然而，与单极性系统相比，双极性系统的运行需要考虑更多因素，如三条母线间的功率耦合、不平衡负载和电压不平衡。为解决上述问题，本文提出了双极性直流微电网中基于下垂控制的分层控制，包括一次和二次控制层。一次控制层通过下垂控制实现功率分配，该控制基于双极性直流微电网的等效下垂电路模型以及功率耦合和负载不平衡条件的分析进行设计。二次控制层通过低带宽通信实现电压恢复以及双极性直流微电网中双极性母线电压或储能系统SoC的均衡。对包含一次和二次控制层的整个控制系统进行了稳定性分析。最后，通过实验室规模的直流微电网实验验证了所提分层控制的运行和有效性。</w:t>
      </w:r>
    </w:p>
    <w:p>
      <w:pPr>
        <w:spacing w:before="0" w:after="200" w:lineRule="auto" w:line="276"/>
      </w:pPr>
      <w:r>
        <w:rPr>
          <w:b/>
        </w:rPr>
        <w:t xml:space="preserve">Abstract (EN): </w:t>
      </w:r>
      <w:r>
        <w:t>Bipolar DC microgrids, which consist of three lines and three voltage buses, are increasingly being explored in modern power systems as they can provide higher reliability and flexibility compared to unipolar systems. One of the main assignments of bipolar DC microgrids is the efficient operation through power-sharing between converters. However, compared to unipolar systems, there are more considerations to operate bipolar systems such as power coupling across three buses, unbalanced load, and voltage imbalance. To settle the above considerations, this article presents droop-based hierarchical control in bipolar DC microgrid, consisting of primary and secondary control levels. The primary level performs power-sharing through droop control, which is designed based on the equivalent droop circuit model of bipolar DC microgrid and analysis of power coupling and load imbalance conditions. The second level is implemented through low-bandwidth communication and performs voltage restoration and balancing bipolar bus voltages or SoC of energy storage systems in the bipolar DC microgrid. Stability analysis of the entire control system including primary and second control levels is conducted. Finally, the operation and effectiveness of the proposed hierarchical control are validated via lab-scale DC microgrid experiments.</w:t>
      </w:r>
    </w:p>
    <w:p>
      <w:pPr>
        <w:spacing w:before="120" w:after="120"/>
      </w:pPr>
      <w:r>
        <w:rPr>
          <w:sz w:val="18"/>
        </w:rPr>
        <w:t>——————————————————————————————————————————————————————————————————————</w:t>
      </w:r>
    </w:p>
    <w:p>
      <w:pPr>
        <w:spacing w:before="160" w:after="40" w:line="240" w:lineRule="auto"/>
      </w:pPr>
      <w:r>
        <w:rPr>
          <w:b/>
        </w:rPr>
        <w:t xml:space="preserve">[363] </w:t>
      </w:r>
      <w:hyperlink r:id="rId1055">
        <w:r>
          <w:rPr>
            <w:color w:val="1155CC"/>
            <w:u w:val="single"/>
          </w:rPr>
          <w:t>可并行化复数神经动力学模型用于PMSM温度估计及硬件加速</w:t>
        </w:r>
      </w:hyperlink>
    </w:p>
    <w:p>
      <w:pPr>
        <w:spacing w:before="0" w:after="80"/>
      </w:pPr>
      <w:r>
        <w:rPr>
          <w:i/>
          <w:sz w:val="20"/>
        </w:rPr>
        <w:t>EN: Parallelizable Complex Neural Dynamics Models for PMSM Temperature Estimation With Hardware Acceleration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56">
        <w:r>
          <w:rPr>
            <w:color w:val="1155CC"/>
            <w:u w:val="single"/>
          </w:rPr>
          <w:t>10.1109/tec.2026.3685235</w:t>
        </w:r>
      </w:hyperlink>
    </w:p>
    <w:p>
      <w:pPr>
        <w:spacing w:before="0" w:after="120"/>
      </w:pPr>
      <w:r>
        <w:rPr>
          <w:b/>
        </w:rPr>
        <w:t xml:space="preserve">Notes: </w:t>
      </w:r>
      <w:r>
        <w:t>abstract_source=semanticscholar</w:t>
      </w:r>
    </w:p>
    <w:p>
      <w:pPr>
        <w:spacing w:before="0" w:after="80" w:lineRule="auto" w:line="276"/>
      </w:pPr>
      <w:r>
        <w:rPr>
          <w:b/>
        </w:rPr>
        <w:t xml:space="preserve">摘要（ZH）: </w:t>
      </w:r>
      <w:r>
        <w:t>永磁同步电机精确高效的热动力学模型对于高效的热管理策略至关重要。物理信息方法融合了基于模型的方法与数据驱动方法，相比基于模型的方法具有更强的灵活性，相比数据驱动的方法具有更优的可解释性。然而，在实时性、估计精度与可解释性之间取得平衡仍存在挑战。本文通过对状态空间模型进行线性解耦、对角化和重参数化，提出了一种硬件高效的新型复杂神经动力学模型，为物理信息方法引入了一种新范式，在电机温度估计任务中兼具高可解释性与高精度。我们在NVIDIA A800 GPU上，利用JAX机器学习框架、并行前缀和算法以及计算统一设备架构（CUDA）平台对该物理信息方法进行了验证。通过对实际电机的实验评估，我们展示了其卓越的估计性能与可并行的硬件加速能力。</w:t>
      </w:r>
    </w:p>
    <w:p>
      <w:pPr>
        <w:spacing w:before="0" w:after="200" w:lineRule="auto" w:line="276"/>
      </w:pPr>
      <w:r>
        <w:rPr>
          <w:b/>
        </w:rPr>
        <w:t xml:space="preserve">Abstract (EN): </w:t>
      </w:r>
      <w:r>
        <w:t>Accurate and efficient thermal dynamics models of permanent magnet synchronous motors are vital to efficient thermal management strategies. Physics-informed methods combine model-based and data-driven methods, offering greater flexibility than model-based methods and superior explainability compared to data-driven methods. Nonetheless, there are still challenges in balancing real-time performance, estimation accuracy, and explainability. This paper presents a hardware-efficient complex neural dynamics model achieved through the linear decoupling, diagonalization, and reparameterization of the state-space model, introducing a novel paradigm for the physics-informed method that offers high explainability and accuracy in electric motor temperature estimation tasks. We validate this physics-informed method on an NVIDIA A800 GPU using the JAX machine learning framework, the parallel prefix-sum algorithm, and the Compute Unified Device Architecture (CUDA) platform. We demonstrate its superior estimation performance and parallelizable hardware acceleration capabilities through experimental evaluation on a real electric motor.</w:t>
      </w:r>
    </w:p>
    <w:p>
      <w:pPr>
        <w:spacing w:before="120" w:after="120"/>
      </w:pPr>
      <w:r>
        <w:rPr>
          <w:sz w:val="18"/>
        </w:rPr>
        <w:t>——————————————————————————————————————————————————————————————————————</w:t>
      </w:r>
    </w:p>
    <w:p>
      <w:pPr>
        <w:spacing w:before="160" w:after="40" w:line="240" w:lineRule="auto"/>
      </w:pPr>
      <w:r>
        <w:rPr>
          <w:b/>
        </w:rPr>
        <w:t xml:space="preserve">[364] </w:t>
      </w:r>
      <w:hyperlink r:id="rId1057">
        <w:r>
          <w:rPr>
            <w:color w:val="1155CC"/>
            <w:u w:val="single"/>
          </w:rPr>
          <w:t>无锁相环方法：并网逆变器中基于无功功率的同步</w:t>
        </w:r>
      </w:hyperlink>
    </w:p>
    <w:p>
      <w:pPr>
        <w:spacing w:before="0" w:after="80"/>
      </w:pPr>
      <w:r>
        <w:rPr>
          <w:i/>
          <w:sz w:val="20"/>
        </w:rPr>
        <w:t>EN: PLL-Free Approach: Reactive Power-Based Synchronization in Grid-Following Inverters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58">
        <w:r>
          <w:rPr>
            <w:color w:val="1155CC"/>
            <w:u w:val="single"/>
          </w:rPr>
          <w:t>10.1109/tec.2026.3657222</w:t>
        </w:r>
      </w:hyperlink>
    </w:p>
    <w:p>
      <w:pPr>
        <w:spacing w:before="0" w:after="120"/>
      </w:pPr>
      <w:r>
        <w:rPr>
          <w:b/>
        </w:rPr>
        <w:t xml:space="preserve">Notes: </w:t>
      </w:r>
      <w:r>
        <w:t>abstract_source=semanticscholar</w:t>
      </w:r>
    </w:p>
    <w:p>
      <w:pPr>
        <w:spacing w:before="0" w:after="80" w:lineRule="auto" w:line="276"/>
      </w:pPr>
      <w:r>
        <w:rPr>
          <w:b/>
        </w:rPr>
        <w:t xml:space="preserve">摘要（ZH）: </w:t>
      </w:r>
      <w:r>
        <w:t>基于逆变器资源渗透率的快速增长，正导致跟网型和构网型逆变器在交流电网中的广泛应用。尽管这两种逆变器模式具有不同的运行特性，但它们在基本原理上具有相似性，这促成了对其属性的联合研究。基于所识别的这些装置之间的对称性，本文提出了一种受构网型控制架构启发的无锁相环跟网型控制新策略。所提出的方法简化了跟网型逆变器的控制结构，同时保留了其固有能力，并能够直观地配置同步惯量和阻尼。解析、实验和仿真结果验证了所提策略的有效性。</w:t>
      </w:r>
    </w:p>
    <w:p>
      <w:pPr>
        <w:spacing w:before="0" w:after="200" w:lineRule="auto" w:line="276"/>
      </w:pPr>
      <w:r>
        <w:rPr>
          <w:b/>
        </w:rPr>
        <w:t xml:space="preserve">Abstract (EN): </w:t>
      </w:r>
      <w:r>
        <w:t>The rapid growth in inverter-based resource penetration is leading to the widespread integration of grid-following and grid-forming inverters within ac grids. Despite their distinct operational characteristics, these two inverter modes share fundamental similarities, motivating joint investigations into their attributes. Building on the identified symmetry between these devices, this paper proposes a novel phase-locked loop-free grid-following control strategy inspired by the grid-forming control architecture. The proposed approach simplifies the grid-following inverter control structure while retaining its inherent capabilities and enabling the intuitive configuration of synchronous inertia and damping. Analytical, experimental, and simulation results validate the effectiveness of the proposed strategy.</w:t>
      </w:r>
    </w:p>
    <w:p>
      <w:pPr>
        <w:spacing w:before="120" w:after="120"/>
      </w:pPr>
      <w:r>
        <w:rPr>
          <w:sz w:val="18"/>
        </w:rPr>
        <w:t>——————————————————————————————————————————————————————————————————————</w:t>
      </w:r>
    </w:p>
    <w:p>
      <w:pPr>
        <w:spacing w:before="160" w:after="40" w:line="240" w:lineRule="auto"/>
      </w:pPr>
      <w:r>
        <w:rPr>
          <w:b/>
        </w:rPr>
        <w:t xml:space="preserve">[365] </w:t>
      </w:r>
      <w:hyperlink r:id="rId1059">
        <w:r>
          <w:rPr>
            <w:color w:val="1155CC"/>
            <w:u w:val="single"/>
          </w:rPr>
          <w:t>采用量化技术的端到端学习模型用于主动配电网动态预测-决策联合制定</w:t>
        </w:r>
      </w:hyperlink>
    </w:p>
    <w:p>
      <w:pPr>
        <w:spacing w:before="0" w:after="80"/>
      </w:pPr>
      <w:r>
        <w:rPr>
          <w:i/>
          <w:sz w:val="20"/>
        </w:rPr>
        <w:t>EN: An End-to-End Learning Model With Quantization Technology for Dynamic Prediction-Decision Joint-Making in Active Distribution Networks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60">
        <w:r>
          <w:rPr>
            <w:color w:val="1155CC"/>
            <w:u w:val="single"/>
          </w:rPr>
          <w:t>10.1109/tsg.2026.3668484</w:t>
        </w:r>
      </w:hyperlink>
    </w:p>
    <w:p>
      <w:pPr>
        <w:spacing w:before="0" w:after="120"/>
      </w:pPr>
      <w:r>
        <w:rPr>
          <w:b/>
        </w:rPr>
        <w:t xml:space="preserve">Notes: </w:t>
      </w:r>
      <w:r>
        <w:t>abstract_source=semanticscholar</w:t>
      </w:r>
    </w:p>
    <w:p>
      <w:pPr>
        <w:spacing w:before="0" w:after="80" w:lineRule="auto" w:line="276"/>
      </w:pPr>
      <w:r>
        <w:rPr>
          <w:b/>
        </w:rPr>
        <w:t xml:space="preserve">摘要（ZH）: </w:t>
      </w:r>
      <w:r>
        <w:t>有源配电网（ADN）中高效的负荷管理与系统稳定性在很大程度上依赖于光伏（PV）出力预测、负荷需求预测以及可靠的动态决策。本文提出了一种用于有源配电网动态预测—决策联合制定的新型端到端联合学习模型。该模型集成了预测模块与控制决策模块：预测模块利用注意力量化长短期记忆（AQLSTM）网络预测光伏出力、有功负荷和无功负荷；决策模块基于双延迟深度确定性策略梯度（TD3）。预测输出被馈入决策模块，以实现对网络参数的动态调整。引入了一种反馈机制，将决策损失纳入预测模块以提高预测精度，从而构建了一个紧耦合的端到端联合优化框架。此外，采用了一种敏感性感知的混合精度量化技术，以降低计算开销并实现高效部署。在IEEE 33母线和123母线配电网上的实验结果表明，所提模型在预测精度和动态控制效果方面优于其他方法，显著提升了ADN的运行效率与稳定性。</w:t>
      </w:r>
    </w:p>
    <w:p>
      <w:pPr>
        <w:spacing w:before="0" w:after="200" w:lineRule="auto" w:line="276"/>
      </w:pPr>
      <w:r>
        <w:rPr>
          <w:b/>
        </w:rPr>
        <w:t xml:space="preserve">Abstract (EN): </w:t>
      </w:r>
      <w:r>
        <w:t>Efficient load management and system stability in active distribution networks (ADNs) depend heavily on accurate forecasting of photovoltaic (PV) generation, load demand, and reliable dynamic decision-making. This paper proposes a novel end-to-end joint learning model for dynamic prediction-decision joint-making in active distribution networks. The model integrates a prediction module, leveraging attentional-quantization long short-term memory (AQLSTM) networks to forecast photovoltaic generation, active power load, and reactive power load, with a control decision module based on Twin Delayed Deep Deterministic Policy Gradient (TD3). The forecasting outputs are fed into the decision-making module, enabling dynamic adjustments to network parameters. A feedback mechanism is introduced which incorporates decision losses into the prediction module to enhance forecasting accuracy, thereby creating a tightly coupled, end-to-end joint optimization framework. In addition, a sensitivity-aware mixed-precision quantization technology is adopted to reduce computational overhead and facilitate efficient deployment. Experimental results on IEEE 33-bus and 123-bus distribution networks demonstrate that the proposed model outperforms other methods in terms of forecasting accuracy and dynamic control effectiveness, resulting in substantial improvements in the operational efficiency and stability of ADNs.</w:t>
      </w:r>
    </w:p>
    <w:p>
      <w:pPr>
        <w:spacing w:before="120" w:after="120"/>
      </w:pPr>
      <w:r>
        <w:rPr>
          <w:sz w:val="18"/>
        </w:rPr>
        <w:t>——————————————————————————————————————————————————————————————————————</w:t>
      </w:r>
    </w:p>
    <w:p>
      <w:pPr>
        <w:spacing w:before="160" w:after="40" w:line="240" w:lineRule="auto"/>
      </w:pPr>
      <w:r>
        <w:rPr>
          <w:b/>
        </w:rPr>
        <w:t xml:space="preserve">[366] </w:t>
      </w:r>
      <w:hyperlink r:id="rId1061">
        <w:r>
          <w:rPr>
            <w:color w:val="1155CC"/>
            <w:u w:val="single"/>
          </w:rPr>
          <w:t>考虑表后DER的情境感知滚动时域多级负荷恢复</w:t>
        </w:r>
      </w:hyperlink>
    </w:p>
    <w:p>
      <w:pPr>
        <w:spacing w:before="0" w:after="80"/>
      </w:pPr>
      <w:r>
        <w:rPr>
          <w:i/>
          <w:sz w:val="20"/>
        </w:rPr>
        <w:t>EN: Situationally Aware Rolling Horizon Multi-Tier Load Restoration Considering Behind-the-Meter DER</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62">
        <w:r>
          <w:rPr>
            <w:color w:val="1155CC"/>
            <w:u w:val="single"/>
          </w:rPr>
          <w:t>10.1109/tsg.2026.3677352</w:t>
        </w:r>
      </w:hyperlink>
    </w:p>
    <w:p>
      <w:pPr>
        <w:spacing w:before="0" w:after="120"/>
      </w:pPr>
      <w:r>
        <w:rPr>
          <w:b/>
        </w:rPr>
        <w:t xml:space="preserve">Notes: </w:t>
      </w:r>
      <w:r>
        <w:t>abstract_source=semanticscholar</w:t>
      </w:r>
    </w:p>
    <w:p>
      <w:pPr>
        <w:spacing w:before="0" w:after="80" w:lineRule="auto" w:line="276"/>
      </w:pPr>
      <w:r>
        <w:rPr>
          <w:b/>
        </w:rPr>
        <w:t xml:space="preserve">摘要（ZH）: </w:t>
      </w:r>
      <w:r>
        <w:t>配电系统（PDS）的恢复问题已被广泛研究，然而，现有研究大多集中于网络分区与微电网构建，其中负荷转供仅限于相邻馈线。这一关注点并不切合实际，因为当相邻馈线容量不足时，实际中电力公司可能会向更远的馈线寻求支持。这种分层恢复十分复杂，尤其是当涉及由冷负荷投入和表后DER延迟并网引起的系统条件变化时。为填补这一研究空白，提出了一种情境感知的多层级负荷恢复框架。具体而言，建立了描述多层级负荷恢复的模型，包括多层级负荷转供以及变电站变压器与馈线保护模型。通过引入二元动作切换变量和负荷块转供变量，该模型有效刻画了开关动作与多层级转供过程的动态特性。为了纳入对系统条件演变的情境感知，该问题被表述为混合整数线性规划（MILP），并嵌入滚动时域优化之中。特别地，基于分段级恢复收益界开发了一组保护性约束，以缓解传统滚动时域优化的短视性。所提出的保护性滚动策略保证每个时间步均以其最优恢复潜力的 $(1-\varepsilon)$ 比例为下界，从而在短期开关决策与长期恢复目标之间取得平衡。最后，算例</w:t>
      </w:r>
    </w:p>
    <w:p>
      <w:pPr>
        <w:spacing w:before="0" w:after="200" w:lineRule="auto" w:line="276"/>
      </w:pPr>
      <w:r>
        <w:rPr>
          <w:b/>
        </w:rPr>
        <w:t xml:space="preserve">Abstract (EN): </w:t>
      </w:r>
      <w:r>
        <w:t>Restoration in power distribution systems (PDSs) is well studied, however, most existing research focuses on network partition and microgrid formation, where load transfer is limited to adjacent feeders. This focus is not practical, as when adjacent feeders lack sufficient capacity, utilities may request support from more distant feeders in practice. Such a hierarchical restoration is complex, especially when involving changing system conditions due to cold load pickup and delayed reconnection of behind-the-meter DERs. To fill this research gap, a situationally aware multi-tier load restoration framework is proposed. Specifically, models are proposed to describe the multi-tier load restoration, including the multi-tier load transfer and substation transformer and feeder protection models. By introducing binary actional switching variables and load block transfer variables, the models effectively captures the dynamics of switches and multi-tier transfer process. To integrate situational awareness of evolving system conditions, the problem is formulated as a mixed-integer linear program (MILP) and then embedded within a rolling horizon optimization. Particularly, a set of safeguarded constraints are developed based on segment-level restoration reward bounds to mitigate the myopia of traditional rolling horizon optimization. The proposed safeguarded rolling strategy guarantees that each time step is lower bounded by a $(1-\varepsilon)$ -fraction of its optimal restoration potential, thereby balancing short-term switching decisions with long-term restoration goals. Finally, cases studies on the modified IEEE 123-node test feeder validate the proposed multi-tier restoration framework.</w:t>
      </w:r>
    </w:p>
    <w:p>
      <w:pPr>
        <w:spacing w:before="120" w:after="120"/>
      </w:pPr>
      <w:r>
        <w:rPr>
          <w:sz w:val="18"/>
        </w:rPr>
        <w:t>——————————————————————————————————————————————————————————————————————</w:t>
      </w:r>
    </w:p>
    <w:p>
      <w:pPr>
        <w:spacing w:before="160" w:after="40" w:line="240" w:lineRule="auto"/>
      </w:pPr>
      <w:r>
        <w:rPr>
          <w:b/>
        </w:rPr>
        <w:t xml:space="preserve">[367] </w:t>
      </w:r>
      <w:hyperlink r:id="rId1063">
        <w:r>
          <w:rPr>
            <w:color w:val="1155CC"/>
            <w:u w:val="single"/>
          </w:rPr>
          <w:t>抽水蓄能电站变频器供电同步电机励磁绕组中的附加交流铜耗</w:t>
        </w:r>
      </w:hyperlink>
    </w:p>
    <w:p>
      <w:pPr>
        <w:spacing w:before="0" w:after="80"/>
      </w:pPr>
      <w:r>
        <w:rPr>
          <w:i/>
          <w:sz w:val="20"/>
        </w:rPr>
        <w:t>EN: Additional AC Copper Losses in the Field Winding of Converter-Fed Synchronous Machines for Pumped Storage Hydropower Plants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64">
        <w:r>
          <w:rPr>
            <w:color w:val="1155CC"/>
            <w:u w:val="single"/>
          </w:rPr>
          <w:t>10.1109/tec.2026.3666367</w:t>
        </w:r>
      </w:hyperlink>
    </w:p>
    <w:p>
      <w:pPr>
        <w:spacing w:before="0" w:after="120"/>
      </w:pPr>
      <w:r>
        <w:rPr>
          <w:b/>
        </w:rPr>
        <w:t xml:space="preserve">Notes: </w:t>
      </w:r>
      <w:r>
        <w:t>abstract_source=semanticscholar</w:t>
      </w:r>
    </w:p>
    <w:p>
      <w:pPr>
        <w:spacing w:before="0" w:after="80" w:lineRule="auto" w:line="276"/>
      </w:pPr>
      <w:r>
        <w:rPr>
          <w:b/>
        </w:rPr>
        <w:t xml:space="preserve">摘要（ZH）: </w:t>
      </w:r>
      <w:r>
        <w:t>随着波动性可再生能源占比的不断提高，用于变速抽水蓄能电站的变流器馈电同步电机正变得越来越重要。连接到定子端子的逆变器会在定子绕组中引起附加谐波电流，并在励磁绕组中感应出附加谐波电流。由于涡流效应以及典型的成形绕组线圈设计，励磁绕组中的这些附加谐波电流即使幅值相对较小，也可能导致显著的附加损耗。本文旨在计算这些附加损耗。为此，采用数值计算方法在 $\text{0}\,\text{Hz}$ 至 $\text{15}\,\text{kHz}$ 的频带范围内确定电阻因子，并同时考虑饱和效应。此外，在一台研究用水轮发电机上针对不同的逆变器开关频率进行了两次测量。利用实测电流和所确定的电阻因子，计算了由开关频率引起的附加损耗，并通过励磁绕组的温度测量进行了验证。由于励磁绕组中的附加交流损耗通常被忽视，本工作的结果对于未来采用成形绕组励磁线圈的大型变流器馈电同步电机的设计与冷却具有重要意义。</w:t>
      </w:r>
    </w:p>
    <w:p>
      <w:pPr>
        <w:spacing w:before="0" w:after="200" w:lineRule="auto" w:line="276"/>
      </w:pPr>
      <w:r>
        <w:rPr>
          <w:b/>
        </w:rPr>
        <w:t xml:space="preserve">Abstract (EN): </w:t>
      </w:r>
      <w:r>
        <w:t>Converter-fed synchronous machines for variable speed pumped storage hydropower plants are becoming increasingly important as the share of fluctuating renewable energy increases. The inverter connected to the stator terminals causes additional harmonic currents in the stator winding, which induce additional harmonic currents in the field winding. Due to the eddy current effects and the typical form-wound coil design, these additional harmonic currents in the field winding can lead to significant additional losses, even with relatively small amplitudes. The aim of this paper is to calculate these additional losses. Therefore, numerical calculations are used to determine the resistance factor for a frequency band from $\text{0}\,\text{Hz}$ to $\text{15}\,\text{kHz}$ while also considering saturation. In addition, two measurements are carried out on a research hydro generator at different inverter switching frequencies. Using the measured currents and determined resistance factors, the additional losses due to the switching frequency are calculated and validated using a temperature measurement in the field winding. The results of this work are important for the future design and cooling of large converter-fed synchronous machines with form-wound field coils, as the additional AC losses in the field winding are usually neglected.</w:t>
      </w:r>
    </w:p>
    <w:p>
      <w:pPr>
        <w:spacing w:before="120" w:after="120"/>
      </w:pPr>
      <w:r>
        <w:rPr>
          <w:sz w:val="18"/>
        </w:rPr>
        <w:t>——————————————————————————————————————————————————————————————————————</w:t>
      </w:r>
    </w:p>
    <w:p>
      <w:pPr>
        <w:spacing w:before="160" w:after="40" w:line="240" w:lineRule="auto"/>
      </w:pPr>
      <w:r>
        <w:rPr>
          <w:b/>
        </w:rPr>
        <w:t xml:space="preserve">[368] </w:t>
      </w:r>
      <w:hyperlink r:id="rId1065">
        <w:r>
          <w:rPr>
            <w:color w:val="1155CC"/>
            <w:u w:val="single"/>
          </w:rPr>
          <w:t>考虑构网型和跟网型DG的主动配电网扩展潮流静态电压稳定与DG接纳容量量化方法</w:t>
        </w:r>
      </w:hyperlink>
    </w:p>
    <w:p>
      <w:pPr>
        <w:spacing w:before="0" w:after="80"/>
      </w:pPr>
      <w:r>
        <w:rPr>
          <w:i/>
          <w:sz w:val="20"/>
        </w:rPr>
        <w:t>EN: Static Voltage Stability and DGs Integration Capacity Quantification Method With Extended Power Flow for ADNs With Grid-Forming and Grid-Following DGs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66">
        <w:r>
          <w:rPr>
            <w:color w:val="1155CC"/>
            <w:u w:val="single"/>
          </w:rPr>
          <w:t>10.1109/tsg.2026.3673095</w:t>
        </w:r>
      </w:hyperlink>
    </w:p>
    <w:p>
      <w:pPr>
        <w:spacing w:before="0" w:after="120"/>
      </w:pPr>
      <w:r>
        <w:rPr>
          <w:b/>
        </w:rPr>
        <w:t xml:space="preserve">Notes: </w:t>
      </w:r>
      <w:r>
        <w:t>abstract_source=semanticscholar</w:t>
      </w:r>
    </w:p>
    <w:p>
      <w:pPr>
        <w:spacing w:before="0" w:after="80" w:lineRule="auto" w:line="276"/>
      </w:pPr>
      <w:r>
        <w:rPr>
          <w:b/>
        </w:rPr>
        <w:t xml:space="preserve">摘要（ZH）: </w:t>
      </w:r>
      <w:r>
        <w:t>有源配电网（ADN）的潮流计算与静态电压稳定（SVS）分析正面临由极端条件以及构网型（GFM）和跟网型（GFL）分布式电源（DG）控制策略所引发的收敛性与适用性问题。为解决这些挑战，提出了一种基于扩展全纯嵌入潮流（EHEPF）的SVS与DG并网容量量化方法，包括四个方面：1）开发了兼顾收敛性与变流器内部一次和二次控制特性的DG的EHEPF算法；2）利用Padé逼近推导了EHEPF的不可解数学表达，以明确区分无解与下分支（不可运行）解；3）构建了结合DG不同控制策略的EHEPF电压灵敏度与SVS指标，用于分析ADN的弱母线与SVS；4）通过在EHEPF计算的电压分布下平衡SVS与网损来量化DG并网容量。在12母线、IEEE 33和IEEE 123母线系统上进行了算例研究。通过分析大量测试结果，验证了所提EHEPF方法在ADN的SVS与DG并网容量量化中的适用性、收敛性与有效性。</w:t>
      </w:r>
    </w:p>
    <w:p>
      <w:pPr>
        <w:spacing w:before="0" w:after="200" w:lineRule="auto" w:line="276"/>
      </w:pPr>
      <w:r>
        <w:rPr>
          <w:b/>
        </w:rPr>
        <w:t xml:space="preserve">Abstract (EN): </w:t>
      </w:r>
      <w:r>
        <w:t>Power flow calculation and static voltage stability (SVS) analysis of active distribution networks (ADNs) are facing convergence and applicability issues caused by extreme conditions and control strategies of grid-forming (GFM) and grid-following (GFL) distributed generations (DGs). To solve these challenges, an SVS and DG integration capacity quantification method based on extended holomorphic embedding power flow (EHEPF) is proposed which includes four aspects: 1) an EHEPF algorithm is developed that accommodates both convergence and converter’s internal primary and secondary control characteristics of DGs; 2) the unsolvable mathematical expression of EHEPF is derived using Padé approximant to clearly distinguish between no solution and lower-branch (inoperable) solution; 3) the voltage sensitivity and SVS indexes of EHEPF combining different control strategies of DGs are formulated to analyze the weak bus and SVS of ADNs; 4) the DGs integration capacity is quantified by balancing SVS and network loss under voltage distribution calculated in EHEPF. Case studies are carried out on 12 bus, IEEE 33 and IEEE 123 bus systems. Numerous test results are analyzed to verify the applicability, convergence and effectiveness of proposed EHEPF for SVS and DGs integration capacity quantification in ADNs.</w:t>
      </w:r>
    </w:p>
    <w:p>
      <w:pPr>
        <w:spacing w:before="120" w:after="120"/>
      </w:pPr>
      <w:r>
        <w:rPr>
          <w:sz w:val="18"/>
        </w:rPr>
        <w:t>——————————————————————————————————————————————————————————————————————</w:t>
      </w:r>
    </w:p>
    <w:p>
      <w:pPr>
        <w:spacing w:before="160" w:after="40" w:line="240" w:lineRule="auto"/>
      </w:pPr>
      <w:r>
        <w:rPr>
          <w:b/>
        </w:rPr>
        <w:t xml:space="preserve">[369] </w:t>
      </w:r>
      <w:hyperlink r:id="rId1067">
        <w:r>
          <w:rPr>
            <w:color w:val="1155CC"/>
            <w:u w:val="single"/>
          </w:rPr>
          <w:t>双三相PMSM系统的直接谐波电流抑制技术</w:t>
        </w:r>
      </w:hyperlink>
    </w:p>
    <w:p>
      <w:pPr>
        <w:spacing w:before="0" w:after="80"/>
      </w:pPr>
      <w:r>
        <w:rPr>
          <w:i/>
          <w:sz w:val="20"/>
        </w:rPr>
        <w:t>EN: A Direct Harmonic Current Suppression Technique for Dual Three-Phase PMSM System</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68">
        <w:r>
          <w:rPr>
            <w:color w:val="1155CC"/>
            <w:u w:val="single"/>
          </w:rPr>
          <w:t>10.1109/tec.2026.3690281</w:t>
        </w:r>
      </w:hyperlink>
    </w:p>
    <w:p>
      <w:pPr>
        <w:spacing w:before="0" w:after="120"/>
      </w:pPr>
      <w:r>
        <w:rPr>
          <w:b/>
        </w:rPr>
        <w:t xml:space="preserve">Notes: </w:t>
      </w:r>
      <w:r>
        <w:t>abstract_source=semanticscholar</w:t>
      </w:r>
    </w:p>
    <w:p>
      <w:pPr>
        <w:spacing w:before="0" w:after="80" w:lineRule="auto" w:line="276"/>
      </w:pPr>
      <w:r>
        <w:rPr>
          <w:b/>
        </w:rPr>
        <w:t xml:space="preserve">摘要（ZH）: </w:t>
      </w:r>
      <w:r>
        <w:t>由于谐波回路中等效阻抗较小，双三相永磁同步电机系统中的谐波电流相对较大，会导致相电流严重畸变和额外的系统损耗。因此，谐波电流的抑制不可或缺。为进一步提升抑制性能，提出了一种简化技术。在所提技术中，设计了两个由参考电压动态确定的可变虚拟电压矢量，并在基波相关子平面和谐波相关子平面下的调制过程中均加以应用。所提技术的新颖之处在于，与以往方法相比，在有效抑制谐波电流的同时，大幅简化了调制的实现。最后，通过实验测试验证了所提技术的有效性。</w:t>
      </w:r>
    </w:p>
    <w:p>
      <w:pPr>
        <w:spacing w:before="0" w:after="200" w:lineRule="auto" w:line="276"/>
      </w:pPr>
      <w:r>
        <w:rPr>
          <w:b/>
        </w:rPr>
        <w:t xml:space="preserve">Abstract (EN): </w:t>
      </w:r>
      <w:r>
        <w:t>Due to the small equivalent impedance in harmonic loop, the harmonic currents in dual three-phase permanent-magnet synchronous machine system are relatively large, which would lead to the serious distortion of phase currents and extra system loss. Hence, the suppression of harmonic currents is indispensable. To further improve the suppression performance, the simplified technique is proposed. In the proposed technique, two variable virtual voltage vectors, which are dynamically determined by the reference voltages, are designed and applied in modulation process, under both the fundamental-related sub-plane and the harmonic-related sub-planes. The novelty of the proposed technique is that the modulation implementation is greatly simplified while the harmonic currents are effectively suppressed, compared with the previous methods. Finally, the effectiveness of the proposed technique is validated through the experimental test.</w:t>
      </w:r>
    </w:p>
    <w:p>
      <w:pPr>
        <w:spacing w:before="120" w:after="120"/>
      </w:pPr>
      <w:r>
        <w:rPr>
          <w:sz w:val="18"/>
        </w:rPr>
        <w:t>——————————————————————————————————————————————————————————————————————</w:t>
      </w:r>
    </w:p>
    <w:p>
      <w:pPr>
        <w:spacing w:before="160" w:after="40" w:line="240" w:lineRule="auto"/>
      </w:pPr>
      <w:r>
        <w:rPr>
          <w:b/>
        </w:rPr>
        <w:t xml:space="preserve">[370] </w:t>
      </w:r>
      <w:hyperlink r:id="rId1069">
        <w:r>
          <w:rPr>
            <w:color w:val="1155CC"/>
            <w:u w:val="single"/>
          </w:rPr>
          <w:t>基于嵌入大语言模型的多智能体强化学习的综合能源系统低碳调度</w:t>
        </w:r>
      </w:hyperlink>
    </w:p>
    <w:p>
      <w:pPr>
        <w:spacing w:before="0" w:after="80"/>
      </w:pPr>
      <w:r>
        <w:rPr>
          <w:i/>
          <w:sz w:val="20"/>
        </w:rPr>
        <w:t>EN: Low Carbon Scheduling of Integrated Energy System Based on Large Language Model-Embedded Multi-Agent Reinforcement Learning</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70">
        <w:r>
          <w:rPr>
            <w:color w:val="1155CC"/>
            <w:u w:val="single"/>
          </w:rPr>
          <w:t>10.1109/tsg.2026.3672814</w:t>
        </w:r>
      </w:hyperlink>
    </w:p>
    <w:p>
      <w:pPr>
        <w:spacing w:before="0" w:after="120"/>
      </w:pPr>
      <w:r>
        <w:rPr>
          <w:b/>
        </w:rPr>
        <w:t xml:space="preserve">Notes: </w:t>
      </w:r>
      <w:r>
        <w:t>abstract_source=semanticscholar</w:t>
      </w:r>
    </w:p>
    <w:p>
      <w:pPr>
        <w:spacing w:before="0" w:after="80" w:lineRule="auto" w:line="276"/>
      </w:pPr>
      <w:r>
        <w:rPr>
          <w:b/>
        </w:rPr>
        <w:t xml:space="preserve">摘要（ZH）: </w:t>
      </w:r>
      <w:r>
        <w:t>综合能源系统（IES）固有的复杂多能耦合特性给低碳调度的实施带来了前所未有的挑战。现有优化方法在系统可扩展性、算法自适应性以及复杂IES的碳减排效果方面往往存在局限。本文提出一种大语言模型嵌入式多智能体强化学习方法（LEMARL）以解决上述问题。所提方法将LLM的全局感知能力与MARL的动态优化能力相结合。具体而言，LLM嵌入式模块从全局视角生成高质量的奖励函数和策略框架，而MARL模块利用这些LLM生成的策略进行分布式交互迭代，从而大幅提升计算效率和可扩展性。仿真结果表明，在小规模IES中，LEMARL将碳排放降低7.76%，同时将运行成本降低4.49%。此外，在集成51节点热系统的IEEE 141节点电网的大规模IES中，LEMARL也表现出优越的适用性和可扩展性。</w:t>
      </w:r>
    </w:p>
    <w:p>
      <w:pPr>
        <w:spacing w:before="0" w:after="200" w:lineRule="auto" w:line="276"/>
      </w:pPr>
      <w:r>
        <w:rPr>
          <w:b/>
        </w:rPr>
        <w:t xml:space="preserve">Abstract (EN): </w:t>
      </w:r>
      <w:r>
        <w:t>The complex multi-energy coupling characteristics inherent to integrated energy system (IES) present unprecedented challenges for the implementation of low-carbon scheduling. Existing optimization methods often exhibit limitations in system scalability, algorithm adaptivity, and carbon reduction efficacy for complex IES. This paper proposes a Large Language Model (LLM)-Embedded Multi-Agent Reinforcement Learning (LEMARL) to address the aforementioned issues. The proposed method integrates the global perception capability of LLMs with the dynamic optimization capability of MARL. Specifically, the LLM-Embedded module generates high-quality reward functions and policy frameworks from a global perspective, while the MARL module leverages these LLM-generated strategies for distributed interactive iterations—greatly enhancing computation efficiency and scalability. Simulation results demonstrate that LEMARL reduces carbon emissions by 7.76% and simultaneously decreases operating costs by 4.49% in a small-scale IES. Furthermore, LEMARL also exhibits superior applicability and scalability in large-scale IES of the IEEE 141-bus power grid integrated with 51-node thermal system.</w:t>
      </w:r>
    </w:p>
    <w:p>
      <w:pPr>
        <w:spacing w:before="120" w:after="120"/>
      </w:pPr>
      <w:r>
        <w:rPr>
          <w:sz w:val="18"/>
        </w:rPr>
        <w:t>——————————————————————————————————————————————————————————————————————</w:t>
      </w:r>
    </w:p>
    <w:p>
      <w:pPr>
        <w:spacing w:before="160" w:after="40" w:line="240" w:lineRule="auto"/>
      </w:pPr>
      <w:r>
        <w:rPr>
          <w:b/>
        </w:rPr>
        <w:t xml:space="preserve">[371] </w:t>
      </w:r>
      <w:hyperlink r:id="rId1071">
        <w:r>
          <w:rPr>
            <w:color w:val="1155CC"/>
            <w:u w:val="single"/>
          </w:rPr>
          <w:t>基于共形预测的表后光伏系统概率分解</w:t>
        </w:r>
      </w:hyperlink>
    </w:p>
    <w:p>
      <w:pPr>
        <w:spacing w:before="0" w:after="80"/>
      </w:pPr>
      <w:r>
        <w:rPr>
          <w:i/>
          <w:sz w:val="20"/>
        </w:rPr>
        <w:t>EN: Probabilistic Disaggregation of Behind-the-Meter PV Systems Using Conformal Prediction</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72">
        <w:r>
          <w:rPr>
            <w:color w:val="1155CC"/>
            <w:u w:val="single"/>
          </w:rPr>
          <w:t>10.1109/tsg.2026.3676842</w:t>
        </w:r>
      </w:hyperlink>
    </w:p>
    <w:p>
      <w:pPr>
        <w:spacing w:before="0" w:after="120"/>
      </w:pPr>
      <w:r>
        <w:rPr>
          <w:b/>
        </w:rPr>
        <w:t xml:space="preserve">Notes: </w:t>
      </w:r>
      <w:r>
        <w:t>abstract_source=semanticscholar</w:t>
      </w:r>
    </w:p>
    <w:p>
      <w:pPr>
        <w:spacing w:before="0" w:after="80" w:lineRule="auto" w:line="276"/>
      </w:pPr>
      <w:r>
        <w:rPr>
          <w:b/>
        </w:rPr>
        <w:t xml:space="preserve">摘要（ZH）: </w:t>
      </w:r>
      <w:r>
        <w:t>从智能电表数据中分解太阳能光伏（PV）出力曲线受到广泛关注，因为配电系统运营商（DSO）需要街道级PV发电曲线以改进电网运行与规划。鉴于可靠性在运行决策中的重要性，概率性结果更受青睐，以避免忽视潜在越限。本文提出一种基于保形预测（CP）的概率分解框架，CP是一种前沿的不确定性量化方法。该框架训练一个确定性回归器来估计归一化的PV发电曲线，并提出一种高效的容量估计算法以辅助计算完整的PV发电曲线。为获得概率性结果，该框架采用不同变体的CP方法，如Mondrian分箱（MB）和保形预测系统（CPS），以提升预测区间的可靠性。针对CP结合MB中箱数任意选取的问题，本文提出一种新颖的CP变体，即自适应Mondrian分箱（AMB）。基于荷兰阿姆斯特丹地区和澳大利亚悉尼的两个实际数据集，对该方法及其他CP方法的性能进行了评估，并与分位数回归方法进行了基准对比。结果表明，以LightGBM作为确定性回归器时，AMB优于分位数回归和其他CP变体。本文还从概率输出以及确定性分解和容量估计等关键子过程两方面分析了所提框架的泛化能力。</w:t>
      </w:r>
    </w:p>
    <w:p>
      <w:pPr>
        <w:spacing w:before="0" w:after="200" w:lineRule="auto" w:line="276"/>
      </w:pPr>
      <w:r>
        <w:rPr>
          <w:b/>
        </w:rPr>
        <w:t xml:space="preserve">Abstract (EN): </w:t>
      </w:r>
      <w:r>
        <w:t>Disaggregating solar photovoltaics (PV) profiles from smart electricity meter data has attracted attention, as Distribution System Operators (DSOs) need street-level PV generation profiles to improve grid operations and planning. Given the importance of reliability in operational decisions, probabilistic results are preferred to avoid overlooking potential violations. This paper proposes a probabilistic disaggregation framework based on Conformal Prediction (CP), a cutting-edge uncertainty quantification methodology. This framework trains a deterministic regressor to estimate normalized PV generation profiles and proposes an efficient capacity estimation algorithm to help compute the full PV generation profiles. To obtain probabilistic results, the framework applied CP with different variants, such as Mondrian Binning (MB) and Conformal Predictive System (CPS), to enhance the reliability of prediction intervals. To address the arbitrary bin count in CP with MB, the paper proposes a novel CP variant, namely: Adaptive Mondrian Binning (AMB). Its performance, along with other CP methods, is evaluated and benchmarked against quantile regression methods on two actual datasets from the region of Amsterdam, the Netherlands, and Sydney, Australia. Results show that using LightGBM as the deterministic regressor, AMB outperforms quantile regression and other CP variants. The generalizability of the proposed framework is analysed for both probabilistic outputs and key sub-processes, such as deterministic disaggregation and capacity estimation.</w:t>
      </w:r>
    </w:p>
    <w:p>
      <w:pPr>
        <w:spacing w:before="120" w:after="120"/>
      </w:pPr>
      <w:r>
        <w:rPr>
          <w:sz w:val="18"/>
        </w:rPr>
        <w:t>——————————————————————————————————————————————————————————————————————</w:t>
      </w:r>
    </w:p>
    <w:p>
      <w:pPr>
        <w:spacing w:before="160" w:after="40" w:line="240" w:lineRule="auto"/>
      </w:pPr>
      <w:r>
        <w:rPr>
          <w:b/>
        </w:rPr>
        <w:t xml:space="preserve">[372] </w:t>
      </w:r>
      <w:hyperlink r:id="rId1073">
        <w:r>
          <w:rPr>
            <w:color w:val="1155CC"/>
            <w:u w:val="single"/>
          </w:rPr>
          <w:t>面向柔性牵引供电系统的多时间尺度分布式随机经济调度</w:t>
        </w:r>
      </w:hyperlink>
    </w:p>
    <w:p>
      <w:pPr>
        <w:spacing w:before="0" w:after="80"/>
      </w:pPr>
      <w:r>
        <w:rPr>
          <w:i/>
          <w:sz w:val="20"/>
        </w:rPr>
        <w:t>EN: Multi-Time Scale Distributed Stochastic Economic Dispatch for Flexible Traction Power Supply System</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74">
        <w:r>
          <w:rPr>
            <w:color w:val="1155CC"/>
            <w:u w:val="single"/>
          </w:rPr>
          <w:t>10.1109/tsg.2026.3678340</w:t>
        </w:r>
      </w:hyperlink>
    </w:p>
    <w:p>
      <w:pPr>
        <w:spacing w:before="0" w:after="120"/>
      </w:pPr>
      <w:r>
        <w:rPr>
          <w:b/>
        </w:rPr>
        <w:t xml:space="preserve">Notes: </w:t>
      </w:r>
      <w:r>
        <w:t>abstract_source=semanticscholar</w:t>
      </w:r>
    </w:p>
    <w:p>
      <w:pPr>
        <w:spacing w:before="0" w:after="80" w:lineRule="auto" w:line="276"/>
      </w:pPr>
      <w:r>
        <w:rPr>
          <w:b/>
        </w:rPr>
        <w:t xml:space="preserve">摘要（ZH）: </w:t>
      </w:r>
      <w:r>
        <w:t>柔性牵引供电系统（FTPSS）集成了可再生能源、储能和潮流控制器（PFC），为铁路的安全经济运行提供了巨大潜力。然而，牵引负荷和光伏（PV）出力的不确定性给经济调度带来了重大挑战。为此，提出一种适用于FTPSS的多时间尺度分布式随机经济调度方法。预测模块利用LSTM生成点预测，同时采用KDE对预测误差建模以构建预测区间并为PV出力和牵引负荷生成场景。随后建立随机规划模型，其中牵引负荷和PV的不确定性由机会约束和场景表示。第一阶段，利用日前预测求解随机优化模型以最小化日运行成本。第二阶段，调度器将日前计划作为软参考，在每个滚动步利用更新的概率预测进行再优化，仅执行首个控制动作，以保持实时响应能力和经济性。优化模型采用基于ADMM的分布式算法求解，该算法考虑了子系统间有限的通信能力并降低了计算复杂度。基于某实际电气化铁路的案例研究表明，所提方法在不确定性环境下将运行成本降低约9%，提升了经济性能。</w:t>
      </w:r>
    </w:p>
    <w:p>
      <w:pPr>
        <w:spacing w:before="0" w:after="200" w:lineRule="auto" w:line="276"/>
      </w:pPr>
      <w:r>
        <w:rPr>
          <w:b/>
        </w:rPr>
        <w:t xml:space="preserve">Abstract (EN): </w:t>
      </w:r>
      <w:r>
        <w:t>Flexible traction power supply system (FTPSS), integrated with renewable energy, energy storage, and power flow controllers (PFC), offers great potential for safe and economical railway operation. However, the uncertainty in traction load and photovoltaic (PV) output poses significant challenges to cost-effective dispatch. Therefore, a multi-time scale distributed stochastic economic dispatch method for FTPSS is proposed. The prediction module uses LSTM to produce point forecasts, while KDE models the forecast errors to construct predictive intervals and generate scenarios for PV output and traction load. A stochastic programming model is then formulated, where uncertainties in traction load and PV are represented by chance constraints and scenarios. In the first stage, the day-ahead forecast is used to solve the stochastic optimization model to minimize daily operational cost. In the second stage, the scheduler uses the day-ahead plan as a soft reference and re-optimizes at each rolling step with updated probabilistic forecasts, implementing only the first control move to maintain real-time responsiveness and economic efficiency. The optimization model is solved using an ADMM-based distributed algorithm, which accounts for limited inter-subsystem communication and reduces computational complexity. A case study based on a real electrified railway demonstrates that the proposed method improves economic performance by reducing operating costs by approximately 9% under uncertainty.</w:t>
      </w:r>
    </w:p>
    <w:p>
      <w:pPr>
        <w:spacing w:before="120" w:after="120"/>
      </w:pPr>
      <w:r>
        <w:rPr>
          <w:sz w:val="18"/>
        </w:rPr>
        <w:t>——————————————————————————————————————————————————————————————————————</w:t>
      </w:r>
    </w:p>
    <w:p>
      <w:pPr>
        <w:spacing w:before="160" w:after="40" w:line="240" w:lineRule="auto"/>
      </w:pPr>
      <w:r>
        <w:rPr>
          <w:b/>
        </w:rPr>
        <w:t xml:space="preserve">[373] </w:t>
      </w:r>
      <w:hyperlink r:id="rId1075">
        <w:r>
          <w:rPr>
            <w:color w:val="1155CC"/>
            <w:u w:val="single"/>
          </w:rPr>
          <w:t>价格响应型柔性负荷的动态行为建模：一种深度学习参数化逆优化方法</w:t>
        </w:r>
      </w:hyperlink>
    </w:p>
    <w:p>
      <w:pPr>
        <w:spacing w:before="0" w:after="80"/>
      </w:pPr>
      <w:r>
        <w:rPr>
          <w:i/>
          <w:sz w:val="20"/>
        </w:rPr>
        <w:t>EN: Dynamic Behavior Modeling of Price-Responsive Flexible Loads: A Deep Learning-Parameterized Inverse Optimization Approach</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76">
        <w:r>
          <w:rPr>
            <w:color w:val="1155CC"/>
            <w:u w:val="single"/>
          </w:rPr>
          <w:t>10.1109/tsg.2026.3672613</w:t>
        </w:r>
      </w:hyperlink>
    </w:p>
    <w:p>
      <w:pPr>
        <w:spacing w:before="0" w:after="120"/>
      </w:pPr>
      <w:r>
        <w:rPr>
          <w:b/>
        </w:rPr>
        <w:t xml:space="preserve">Notes: </w:t>
      </w:r>
      <w:r>
        <w:t>abstract_source=semanticscholar</w:t>
      </w:r>
    </w:p>
    <w:p>
      <w:pPr>
        <w:spacing w:before="0" w:after="80" w:lineRule="auto" w:line="276"/>
      </w:pPr>
      <w:r>
        <w:rPr>
          <w:b/>
        </w:rPr>
        <w:t xml:space="preserve">摘要（ZH）: </w:t>
      </w:r>
      <w:r>
        <w:t>准确建模价格响应型柔性负荷（PRFL）的行为对于提升电力系统灵活性日益关键。现有逆优化方法虽可仅利用外部价格响应数据实现柔性负荷建模，但含时不变参数的代理模型严重限制了其捕捉由用户需求、天气条件等因素引起的动态行为的能力。与主流静态建模方法不同，本文提出一种深度学习参数化逆优化（DL-IO）方法，实现PRFL的动态代理建模。具体而言，构建动态虚拟储能（DVES）模型作为代理模型，其参数由多任务深度学习表示以呈现时变特性。随后，将DVES模型集成到DL-IO框架中，仅基于价格响应数据和公开信息即可逼近温控负荷（TCL）和电动汽车（EV）的响应行为。为求解由此产生的双层DL-IO问题，将其重构为经验风险最小化任务，包括基于深度学习的参数估计层和基于优化的响应估计层。进而推导出解析的端到端梯度并在两层之间反向传播，实现行为学习。数值测试表明，所提建模方法优于现有逆优化和数据驱动回归方法。</w:t>
      </w:r>
    </w:p>
    <w:p>
      <w:pPr>
        <w:spacing w:before="0" w:after="200" w:lineRule="auto" w:line="276"/>
      </w:pPr>
      <w:r>
        <w:rPr>
          <w:b/>
        </w:rPr>
        <w:t xml:space="preserve">Abstract (EN): </w:t>
      </w:r>
      <w:r>
        <w:t>Accurately modeling the behavior of price-responsive flexible loads (PRFLs) is increasingly critical for enhancing power system flexibility. While existing inverse optimization methods can achieve flexible load modeling using only external price-response data, the surrogate model with time-invariant parameters severely limits its ability to capture dynamic behaviors induced by user demands, weather conditions, etc. In contrast to mainstream static modeling formulations, this paper proposes a Deep Learning-parameterized Inverse Optimization (DL-IO) method that enables dynamic surrogate modeling of PRFLs. Specifically, a dynamic virtual energy storage (DVES) model is formulated as the surrogate model, with its parameters represented by multi-task deep learning to exhibit time-varying properties. Then, the DVES model is integrated into the DL-IO framework, enabling the approximation of response behaviors for thermostatically controlled loads (TCLs) and electric vehicles (EVs) based solely on price-response data and public information. To solve the resulting bi-level DL-IO problem, it is reformulated as an empirical risk minimization task, which consists of a deep learning-based parameter estimation layer and an optimization-based response estimation layer. An analytical end-to-end gradient is then derived and backpropagated through both layers to achieve behavior learning. Numerical tests indicate that the proposed modeling method outperforms existing inverse optimization and data-driven regression approaches.</w:t>
      </w:r>
    </w:p>
    <w:p>
      <w:pPr>
        <w:spacing w:before="120" w:after="120"/>
      </w:pPr>
      <w:r>
        <w:rPr>
          <w:sz w:val="18"/>
        </w:rPr>
        <w:t>——————————————————————————————————————————————————————————————————————</w:t>
      </w:r>
    </w:p>
    <w:p>
      <w:pPr>
        <w:spacing w:before="160" w:after="40" w:line="240" w:lineRule="auto"/>
      </w:pPr>
      <w:r>
        <w:rPr>
          <w:b/>
        </w:rPr>
        <w:t xml:space="preserve">[374] </w:t>
      </w:r>
      <w:hyperlink r:id="rId1077">
        <w:r>
          <w:rPr>
            <w:color w:val="1155CC"/>
            <w:u w:val="single"/>
          </w:rPr>
          <w:t>基于零序电容变化的配电网跨线相继故障检测</w:t>
        </w:r>
      </w:hyperlink>
    </w:p>
    <w:p>
      <w:pPr>
        <w:spacing w:before="0" w:after="80"/>
      </w:pPr>
      <w:r>
        <w:rPr>
          <w:i/>
          <w:sz w:val="20"/>
        </w:rPr>
        <w:t>EN: A Cross-Line Successive Fault Detection of Distribution Network Based on Zero-Sequence Capacitance Variation</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78">
        <w:r>
          <w:rPr>
            <w:color w:val="1155CC"/>
            <w:u w:val="single"/>
          </w:rPr>
          <w:t>10.1109/tsg.2026.3687196</w:t>
        </w:r>
      </w:hyperlink>
    </w:p>
    <w:p>
      <w:pPr>
        <w:spacing w:before="0" w:after="120"/>
      </w:pPr>
      <w:r>
        <w:rPr>
          <w:b/>
        </w:rPr>
        <w:t xml:space="preserve">Notes: </w:t>
      </w:r>
      <w:r>
        <w:t>abstract_source=semanticscholar</w:t>
      </w:r>
    </w:p>
    <w:p>
      <w:pPr>
        <w:spacing w:before="0" w:after="80" w:lineRule="auto" w:line="276"/>
      </w:pPr>
      <w:r>
        <w:rPr>
          <w:b/>
        </w:rPr>
        <w:t xml:space="preserve">摘要（ZH）: </w:t>
      </w:r>
      <w:r>
        <w:t>在小电流接地系统中，单相接地（SPG）故障引起的相电压升高对系统绝缘完整性构成严重威胁。配电网电缆化率的提高导致由初始故障引发的跨线路双重连续单相接地（SSPG）故障比例不断上升。针对此类连续故障特征微弱、检测困难的问题，本文提出一种基于零序电容变化的SSPG检测方法。首先，简化连续故障期间的动态零序等效网络，推导过阻尼和欠阻尼条件下各馈线的零序电流（ZSC）表达式。随后，采用奇异值分解-总体最小二乘扩展Prony算法拟合零序电压（ZSV）和ZSC，从而在复频域中计算初始故障和连续故障的零序电容。进而利用电容的变化构建检测判据。最后，数字仿真和现场录波数据验证了理论分析的正确性和可行性。</w:t>
      </w:r>
    </w:p>
    <w:p>
      <w:pPr>
        <w:spacing w:before="0" w:after="200" w:lineRule="auto" w:line="276"/>
      </w:pPr>
      <w:r>
        <w:rPr>
          <w:b/>
        </w:rPr>
        <w:t xml:space="preserve">Abstract (EN): </w:t>
      </w:r>
      <w:r>
        <w:t>In non-effectively grounded system, the rise in phase voltage during single-phase grounding (SPG) fault poses a significant threat to the system’s insulation integrity. The increasing cabling rate in distribution network has led to a rising proportion of cross-line double successive single-phase grounding (SSPG) faults triggered by initial fault. To address the challenges of weak characteristic and difficult detection of such successive fault, this paper proposes a SSPG detection method based on zero-sequence capacitance variation. First, the dynamic zero-sequence equivalent network during successive faults is simplified, and derive the zero-sequence current (ZSC) expressions for each feeder under both overdamped and underdamped conditions. Subsequently, the singular value decomposition-total least squares extended Prony algorithm is employed to fit the zero-sequence voltage (ZSV) and ZSC, enabling the calculation of zero-sequence capacitance for both initial and successive faults in the complex frequency domain. A detection criterion is then constructed using the variation of capacitance. Finally, digital simulations and recorded field data validate the correctness and feasibility of the theoretical analysis.</w:t>
      </w:r>
    </w:p>
    <w:p>
      <w:pPr>
        <w:spacing w:before="120" w:after="120"/>
      </w:pPr>
      <w:r>
        <w:rPr>
          <w:sz w:val="18"/>
        </w:rPr>
        <w:t>——————————————————————————————————————————————————————————————————————</w:t>
      </w:r>
    </w:p>
    <w:p>
      <w:pPr>
        <w:spacing w:before="160" w:after="40" w:line="240" w:lineRule="auto"/>
      </w:pPr>
      <w:r>
        <w:rPr>
          <w:b/>
        </w:rPr>
        <w:t xml:space="preserve">[375] </w:t>
      </w:r>
      <w:hyperlink r:id="rId1079">
        <w:r>
          <w:rPr>
            <w:color w:val="1155CC"/>
            <w:u w:val="single"/>
          </w:rPr>
          <w:t>面向磁悬浮平面电机功耗最小化的动子空间约束结构优化</w:t>
        </w:r>
      </w:hyperlink>
    </w:p>
    <w:p>
      <w:pPr>
        <w:spacing w:before="0" w:after="80"/>
      </w:pPr>
      <w:r>
        <w:rPr>
          <w:i/>
          <w:sz w:val="20"/>
        </w:rPr>
        <w:t>EN: Spatial-Constrained Structure Optimization of the Mover for Minimizing Power Consumption in Maglev Planar Motors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80">
        <w:r>
          <w:rPr>
            <w:color w:val="1155CC"/>
            <w:u w:val="single"/>
          </w:rPr>
          <w:t>10.1109/tec.2026.3674968</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了一种针对动圈式磁悬浮平面电机（MLPMs）线圈的新型空间结构优化方法，以解决功耗与空间约束相互耦合的挑战。所提出的框架可在满足所需力输出且动子体积严格受限的条件下，系统性地确定最优的线圈几何形状与排布，以实现功耗最小化。采用基于谐波的电磁力模型，通过定义线圈的数目、长度和间距来指导紧凑的线圈布局。随后将这些参数纳入功耗最小化模型，以确定线圈宽度和梁宽。最终进行折衷优化，以平衡高次谐波抑制与制造公差，从而形成一套完整的设计策略。实验结果验证了所提方法的优越性：在电机尺寸和磁极距相同的情况下，优化设计使推重比（TWR）提升超过40%，同时将推力波动降至15%以下。此外，在恒定悬浮高度下，与传统系统相比，所提设计将功耗降低了10%至25%。这些结果表明系统稳定性和力效率得到显著改善，为高性能动圈式MLPM提供了一套通用且实用的设计准则。</w:t>
      </w:r>
    </w:p>
    <w:p>
      <w:pPr>
        <w:spacing w:before="0" w:after="200" w:lineRule="auto" w:line="276"/>
      </w:pPr>
      <w:r>
        <w:rPr>
          <w:b/>
        </w:rPr>
        <w:t xml:space="preserve">Abstract (EN): </w:t>
      </w:r>
      <w:r>
        <w:t>This paper presents a novel spatial-structure optimization method for the coils of moving-coil magnetically levitated planar motors (MLPMs) to address the coupled challenges of power consumption and spatial constraints. The proposed framework systematically determines the optimal coil geometry and arrangement to minimize power consumption under a required force output and a strictly confined mover volume. A harmonic-based electromagnetic force model is employed to guide a compact coil layout by defining the number, length, and spacing of coils. These parameters are subsequently incorporated into a power-minimization model to determine the coil and beam widths. A final trade-off optimization is performed to balance high-order harmonic suppression and manufacturing tolerance, resulting in a comprehensive design strategy. Experimental results validate the superiority of the proposed method: under identical motor dimensions and magnetic pole pitch, the optimized design achieves more than a 40% increase in thrust-to-weight ratio (TWR) while reducing thrust fluctuation to below 15%. Furthermore, at a constant levitation height, the proposed design reduces power consumption by 10% to 25% compared with conventional systems. These findings demonstrate significant improvements in system stability and force efficiency, offering a generalized and practical design guideline for high-performance moving-coil MLPM.</w:t>
      </w:r>
    </w:p>
    <w:p>
      <w:pPr>
        <w:spacing w:before="120" w:after="120"/>
      </w:pPr>
      <w:r>
        <w:rPr>
          <w:sz w:val="18"/>
        </w:rPr>
        <w:t>——————————————————————————————————————————————————————————————————————</w:t>
      </w:r>
    </w:p>
    <w:p>
      <w:pPr>
        <w:spacing w:before="160" w:after="40" w:line="240" w:lineRule="auto"/>
      </w:pPr>
      <w:r>
        <w:rPr>
          <w:b/>
        </w:rPr>
        <w:t xml:space="preserve">[376] </w:t>
      </w:r>
      <w:hyperlink r:id="rId1081">
        <w:r>
          <w:rPr>
            <w:color w:val="1155CC"/>
            <w:u w:val="single"/>
          </w:rPr>
          <w:t>磁电导磁导电合金屏蔽结构对空冷同步调相机端部多物理场的影响</w:t>
        </w:r>
      </w:hyperlink>
    </w:p>
    <w:p>
      <w:pPr>
        <w:spacing w:before="0" w:after="80"/>
      </w:pPr>
      <w:r>
        <w:rPr>
          <w:i/>
          <w:sz w:val="20"/>
        </w:rPr>
        <w:t>EN: Impact of Shielding Configurations With Magnetic-Electrically Conductive Alloy on Multi-Physical Fields in the End Region of Air-Cooled Synchronous Condenser</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82">
        <w:r>
          <w:rPr>
            <w:color w:val="1155CC"/>
            <w:u w:val="single"/>
          </w:rPr>
          <w:t>10.1109/tec.2026.3686179</w:t>
        </w:r>
      </w:hyperlink>
    </w:p>
    <w:p>
      <w:pPr>
        <w:spacing w:before="0" w:after="120"/>
      </w:pPr>
      <w:r>
        <w:rPr>
          <w:b/>
        </w:rPr>
        <w:t xml:space="preserve">Notes: </w:t>
      </w:r>
      <w:r>
        <w:t>abstract_source=semanticscholar</w:t>
      </w:r>
    </w:p>
    <w:p>
      <w:pPr>
        <w:spacing w:before="0" w:after="80" w:lineRule="auto" w:line="276"/>
      </w:pPr>
      <w:r>
        <w:rPr>
          <w:b/>
        </w:rPr>
        <w:t xml:space="preserve">摘要（ZH）: </w:t>
      </w:r>
      <w:r>
        <w:t>在大容量空冷同步调相机（ACSCs）深度进相运行条件下，显著的端部漏磁会在定子端部部件中引起 substantial 损耗和发热。因此，有效的电磁屏蔽是一个关键的设计考量，本文提出了一种利用磁电导电合金的新型屏蔽结构。以一台300 MVar的ACSC为例，首先建立了端部区域的三维瞬态电磁场模型。分析了四种结构（铜屏蔽+磁屏蔽、Fe-16%Cu合金屏蔽+磁屏蔽、单一Fe-20%Cu合金屏蔽以及单一磁屏蔽）对端部部件漏磁通密度和损耗的影响。随后，针对每种结构建立了全局通风网络和端部区域的流体-热耦合模型。网络结果和上述损耗作为流体-热耦合模型的边界条件，进而确定了不同结构下的流场和温度分布。研究结果表明，每种屏蔽结构各有其优势与局限。基于传统方案的实验验证证实了模型和方法的准确性。仿真结果阐明了Fe-Cu合金的巨大潜力。单一Fe-20%</w:t>
      </w:r>
    </w:p>
    <w:p>
      <w:pPr>
        <w:spacing w:before="0" w:after="200" w:lineRule="auto" w:line="276"/>
      </w:pPr>
      <w:r>
        <w:rPr>
          <w:b/>
        </w:rPr>
        <w:t xml:space="preserve">Abstract (EN): </w:t>
      </w:r>
      <w:r>
        <w:t>In large-capacity air-cooled synchronous condensers (ACSCs) operating under deep leading-phase conditions, significant end leakage flux induces substantial losses and heating in the stator end components. Effective electromagnetic shielding is therefore a critical design consideration and a novel shielding configuration utilizing magnetic-electrical conductive alloys is proposed in this article. Using a 300 MVar ACSC as a case study, the three-dimensional transient electromagnetic field model of the end region is first established. The effects of four configurations (copper shield+magnetic shield, Fe-16&lt;inline-formula&gt;&lt;tex-math notation="LaTeX"&gt;$\%$&lt;/tex-math&gt;&lt;/inline-formula&gt;Cu alloy shield+magnetic shield, single Fe-20&lt;inline-formula&gt;&lt;tex-math notation="LaTeX"&gt;$\%$&lt;/tex-math&gt;&lt;/inline-formula&gt;Cu alloy shield, and single magnetic shield) on the leakage flux density and losses in end components are analyzed. Subsequently, a global ventilation network and a fluid-thermal coupling model for the end region are developed for each configuration. The results from network and aforementioned losses serve as boundary conditions for the fluid-thermal coupling model. The flow fields and the temperature distributions under different configurations are then determined. The findings demonstrate that each shielding configuration exhibits specific advantages and limitations. Experimental validation based on traditional scheme confirms the accuracy of the model and methodology. The simulation results elucidate the significant potential of the Fe-Cu alloy. The single Fe-20&lt;inline-formula&gt;&lt;tex-math notation="LaTeX"&gt;$\%$&lt;/tex-math&gt;&lt;/inline-formula&gt;Cu configuration reduces the hot-spot temperature of shield, and significantly lowers weight and cost while effectively protecting the end iron core.</w:t>
      </w:r>
    </w:p>
    <w:p>
      <w:pPr>
        <w:spacing w:before="120" w:after="120"/>
      </w:pPr>
      <w:r>
        <w:rPr>
          <w:sz w:val="18"/>
        </w:rPr>
        <w:t>——————————————————————————————————————————————————————————————————————</w:t>
      </w:r>
    </w:p>
    <w:p>
      <w:pPr>
        <w:spacing w:before="160" w:after="40" w:line="240" w:lineRule="auto"/>
      </w:pPr>
      <w:r>
        <w:rPr>
          <w:b/>
        </w:rPr>
        <w:t xml:space="preserve">[377] </w:t>
      </w:r>
      <w:hyperlink r:id="rId1083">
        <w:r>
          <w:rPr>
            <w:color w:val="1155CC"/>
            <w:u w:val="single"/>
          </w:rPr>
          <w:t>混合偏心下表贴式永磁同步电机杂散磁场的分段解析建模</w:t>
        </w:r>
      </w:hyperlink>
    </w:p>
    <w:p>
      <w:pPr>
        <w:spacing w:before="0" w:after="80"/>
      </w:pPr>
      <w:r>
        <w:rPr>
          <w:i/>
          <w:sz w:val="20"/>
        </w:rPr>
        <w:t>EN: Stage-Wise Analytical Modeling of the Stray Magnetic Field in Surface-Mounted Permanent Magnet Synchronous Motors Under Mixed Eccentricity</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84">
        <w:r>
          <w:rPr>
            <w:color w:val="1155CC"/>
            <w:u w:val="single"/>
          </w:rPr>
          <w:t>10.1109/tec.2026.3657215</w:t>
        </w:r>
      </w:hyperlink>
    </w:p>
    <w:p>
      <w:pPr>
        <w:spacing w:before="0" w:after="120"/>
      </w:pPr>
      <w:r>
        <w:rPr>
          <w:b/>
        </w:rPr>
        <w:t xml:space="preserve">Notes: </w:t>
      </w:r>
      <w:r>
        <w:t>abstract_source=semanticscholar</w:t>
      </w:r>
    </w:p>
    <w:p>
      <w:pPr>
        <w:spacing w:before="0" w:after="80" w:lineRule="auto" w:line="276"/>
      </w:pPr>
      <w:r>
        <w:rPr>
          <w:b/>
        </w:rPr>
        <w:t xml:space="preserve">摘要（ZH）: </w:t>
      </w:r>
      <w:r>
        <w:t>传统子域方法在计算偏心条件下表贴式永磁同步电机（SPMSMs）的杂散磁场时，由于无法处理复杂边界而面临挑战，导致计算效率低下。为解决这些问题，本文提出了一种基于单元的Schwarz-Christoffel（SC）映射方法和分段计算策略，在保持精度的同时提高计算效率。首先，建立了结合等效面电流与保角变换法的解析模型（AM）。基于磁场叠加，推导了负载气隙磁场。其次，采用基于分段子域的计算策略，将气隙区域和外部空气区域的磁场计算解耦。利用SC映射和分离变量法对杂散磁场进行了解析建模。最后，在一台具有混合偏心的8极18槽内转子SPMSM上通过实验验证了所提方法。结果表明，该方法（TM）的计算误差仅为3.49%，计算速度比有限元法（FEM）快136倍。</w:t>
      </w:r>
    </w:p>
    <w:p>
      <w:pPr>
        <w:spacing w:before="0" w:after="200" w:lineRule="auto" w:line="276"/>
      </w:pPr>
      <w:r>
        <w:rPr>
          <w:b/>
        </w:rPr>
        <w:t xml:space="preserve">Abstract (EN): </w:t>
      </w:r>
      <w:r>
        <w:t>Conventional subdomain methods face challenges in calculating the stray magnetic field of surface-mounted permanent magnet synchronous motors (SPMSMs) under eccentric conditions due to their inability to handle complex boundaries, leading to low computational efficiency. To address these issues, this paper proposes a cell-based Schwarz-Christoffel (SC) mapping method and a stage-wise calculation strategy to improve computational efficiency while maintaining accuracy. First, an analytical model (AM) integrating equivalent surface current, conformal transformation method is established. Based on magnetic field superposition, the load air-gap magnetic field is derived. Second, a stage-wise subdomain-based computational strategy is employed to decouple the magnetic field calculations for the air-gap region and the outer air region. The stray magnetic field is analytically modeled using SC mapping and separation of variables. Finally, the proposed method is validated through experiments on an 8-pole 18-slot interior-rotor SPMSM with mixed eccentricity. Results show that the TM achieves a computational error of only 3.49% and that the computational speed is 136 times faster than that of the finite element method (FEM).</w:t>
      </w:r>
    </w:p>
    <w:p>
      <w:pPr>
        <w:spacing w:before="120" w:after="120"/>
      </w:pPr>
      <w:r>
        <w:rPr>
          <w:sz w:val="18"/>
        </w:rPr>
        <w:t>——————————————————————————————————————————————————————————————————————</w:t>
      </w:r>
    </w:p>
    <w:p>
      <w:pPr>
        <w:spacing w:before="160" w:after="40" w:line="240" w:lineRule="auto"/>
      </w:pPr>
      <w:r>
        <w:rPr>
          <w:b/>
        </w:rPr>
        <w:t xml:space="preserve">[378] </w:t>
      </w:r>
      <w:hyperlink r:id="rId1085">
        <w:r>
          <w:rPr>
            <w:color w:val="1155CC"/>
            <w:u w:val="single"/>
          </w:rPr>
          <w:t>基于模型预测算法反电动势观测器的永磁同步电机无传感器控制</w:t>
        </w:r>
      </w:hyperlink>
    </w:p>
    <w:p>
      <w:pPr>
        <w:spacing w:before="0" w:after="80"/>
      </w:pPr>
      <w:r>
        <w:rPr>
          <w:i/>
          <w:sz w:val="20"/>
        </w:rPr>
        <w:t>EN: Sensorless Control of Permanent Magnet Synchronous Motors Using Model Predictive Algorithm Based Back-EMF Observer</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86">
        <w:r>
          <w:rPr>
            <w:color w:val="1155CC"/>
            <w:u w:val="single"/>
          </w:rPr>
          <w:t>10.1109/tec.2026.3687962</w:t>
        </w:r>
      </w:hyperlink>
    </w:p>
    <w:p>
      <w:pPr>
        <w:spacing w:before="0" w:after="120"/>
      </w:pPr>
      <w:r>
        <w:rPr>
          <w:b/>
        </w:rPr>
        <w:t xml:space="preserve">Notes: </w:t>
      </w:r>
      <w:r>
        <w:t>abstract_source=semanticscholar</w:t>
      </w:r>
    </w:p>
    <w:p>
      <w:pPr>
        <w:spacing w:before="0" w:after="80" w:lineRule="auto" w:line="276"/>
      </w:pPr>
      <w:r>
        <w:rPr>
          <w:b/>
        </w:rPr>
        <w:t xml:space="preserve">摘要（ZH）: </w:t>
      </w:r>
      <w:r>
        <w:t>基于反电动势（back-EMF）的无传感器控制广泛应用于永磁同步电机（PMSM）驱动系统。对于高增益反电动势观测器，其控制律往往导致稳态精度与动态响应之间固有的折衷。针对这一问题，本文提出了一种在离散时间域中设计的基于模型预测控制（MPC）的观测器。在所研究的观测器中，采用从预定集合中选取的最优控制动作来消除电流估计误差，随后可从所施加的控制动作中提取估计的反电动势。借助遍历优化，所提方法在保持快速响应和鲁棒性的同时，提高了电流误差和观测精度。在1-kW PMSM平台上进行的实验结果验证了所提观测器的有效性。</w:t>
      </w:r>
    </w:p>
    <w:p>
      <w:pPr>
        <w:spacing w:before="0" w:after="200" w:lineRule="auto" w:line="276"/>
      </w:pPr>
      <w:r>
        <w:rPr>
          <w:b/>
        </w:rPr>
        <w:t xml:space="preserve">Abstract (EN): </w:t>
      </w:r>
      <w:r>
        <w:t>Back-electromotive force (back-EMF) based sensorless control is widely applied in permanent magnet synchronous motor (PMSM) drives. For high-gain back-EMF observers, the control law often leads to an inherent trade-off between steady-state accuracy and dynamic response. To address this issue, a model predictive control (MPC)-based observer designed in discrete-time domain is proposed in this article. In the studied observer, the optimal control action selected from a predetermined set is adopted to eliminate the current estimation error. Then, the estimated back-EMFs can be extracted from the applied control actions. By leveraging traversing optimization, the proposed method improves the current error and observation accuracy while maintaining fast response and robustness. Experimental results conducted on a 1-kW PMSM platform verify the effectiveness of the proposed observer.</w:t>
      </w:r>
    </w:p>
    <w:p>
      <w:pPr>
        <w:spacing w:before="120" w:after="120"/>
      </w:pPr>
      <w:r>
        <w:rPr>
          <w:sz w:val="18"/>
        </w:rPr>
        <w:t>——————————————————————————————————————————————————————————————————————</w:t>
      </w:r>
    </w:p>
    <w:p>
      <w:pPr>
        <w:spacing w:before="160" w:after="40" w:line="240" w:lineRule="auto"/>
      </w:pPr>
      <w:r>
        <w:rPr>
          <w:b/>
        </w:rPr>
        <w:t xml:space="preserve">[379] </w:t>
      </w:r>
      <w:hyperlink r:id="rId1087">
        <w:r>
          <w:rPr>
            <w:color w:val="1155CC"/>
            <w:u w:val="single"/>
          </w:rPr>
          <w:t>提升瞬态稳定性的带恒功率负载并网电压源变换器动态电流控制策略</w:t>
        </w:r>
      </w:hyperlink>
    </w:p>
    <w:p>
      <w:pPr>
        <w:spacing w:before="0" w:after="80"/>
      </w:pPr>
      <w:r>
        <w:rPr>
          <w:i/>
          <w:sz w:val="20"/>
        </w:rPr>
        <w:t>EN: Dynamic Current Control Strategy of Grid-Connected Voltage Source Converters Feeding Constant Power Loads for Transient Stability Enhancement</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88">
        <w:r>
          <w:rPr>
            <w:color w:val="1155CC"/>
            <w:u w:val="single"/>
          </w:rPr>
          <w:t>10.1109/tec.2026.3657355</w:t>
        </w:r>
      </w:hyperlink>
    </w:p>
    <w:p>
      <w:pPr>
        <w:spacing w:before="0" w:after="120"/>
      </w:pPr>
      <w:r>
        <w:rPr>
          <w:b/>
        </w:rPr>
        <w:t xml:space="preserve">Notes: </w:t>
      </w:r>
      <w:r>
        <w:t>abstract_source=semanticscholar</w:t>
      </w:r>
    </w:p>
    <w:p>
      <w:pPr>
        <w:spacing w:before="0" w:after="80" w:lineRule="auto" w:line="276"/>
      </w:pPr>
      <w:r>
        <w:rPr>
          <w:b/>
        </w:rPr>
        <w:t xml:space="preserve">摘要（ZH）: </w:t>
      </w:r>
      <w:r>
        <w:t>恒功率负载（CPLs）的负阻抗特性会通过引入正反馈环路导致并网电压源变换器（VSCs）失稳。为此，本文提出了一种适用于带CPLs的并网VSCs的动态电流控制策略，以增强系统暂态同步稳定性（TSS）。首先，建立了VSCs的非线性锁相环动态模型，明确纳入了CPL的影响，表明CPLs会在VSC端电压的d轴和q轴分量之间引入耦合，并在VSC控制方案中形成正反馈环路。其次，分别采用等面积准则和相轨迹分析对CPL影响TSS的程度进行定性和定量分析。研究结果表明，该影响与VSC输出电流相关。因此，提出了VSCs的动态电流控制策略，通过添加电流补偿项来中和CPL引起的不稳定效应，保证稳定平衡点的存在，从而在电网故障下既确保TSS，又确保CPLs在额定功率下运行。同时，提出了一种简单快速的VSC容量计算方法，能够准确计算实现上述控制目标所需的VSC容量。最后，与现有方法的仿真和实验对比验证了所提策略的有效性。</w:t>
      </w:r>
    </w:p>
    <w:p>
      <w:pPr>
        <w:spacing w:before="0" w:after="200" w:lineRule="auto" w:line="276"/>
      </w:pPr>
      <w:r>
        <w:rPr>
          <w:b/>
        </w:rPr>
        <w:t xml:space="preserve">Abstract (EN): </w:t>
      </w:r>
      <w:r>
        <w:t>The negative impedance characteristic of constant power loads (CPLs) can destabilize grid-connected voltage source converters (VSCs) by introducing positive feedback loops. To this end, this paper proposes a dynamic current control strategy for grid-connected VSCs with CPLs to enhance system transient synchronous stability (TSS). Firstly, a nonlinear phase-locked loop dynamic model is developed for VSCs. It explicitly incorporates the CPL impact, which indicates CPLs introduce coupling between the d-axis and q-axis components of VSC terminal voltage, and a positive feedback loop in VSC control scheme. Secondly, equal area criterion and phase-portrait analysis are used for qualitative and quantitative analysis to assess the CPL impact on TSS, respectively. The findings indicate the impact is related to the VSC output current. Therefore, a dynamic current control strategy for VSCs is proposed. It adds the current compensation term to neutralize CPL-induced destabilizing effects, guaranteeing the existence of stable equilibrium points that ensure both TSS and CPLs operation at rated power under grid faults. Meanwhile, a simple and fast VSC capacity calculation method is proposed. It can accurately calculate the required VSC capacity for achieving the above control objectives. Finally, simulation and experimental comparisons with existing methods verify the validity of the proposed strategy.</w:t>
      </w:r>
    </w:p>
    <w:p>
      <w:pPr>
        <w:spacing w:before="120" w:after="120"/>
      </w:pPr>
      <w:r>
        <w:rPr>
          <w:sz w:val="18"/>
        </w:rPr>
        <w:t>——————————————————————————————————————————————————————————————————————</w:t>
      </w:r>
    </w:p>
    <w:p>
      <w:pPr>
        <w:spacing w:before="160" w:after="40" w:line="240" w:lineRule="auto"/>
      </w:pPr>
      <w:r>
        <w:rPr>
          <w:b/>
        </w:rPr>
        <w:t xml:space="preserve">[380] </w:t>
      </w:r>
      <w:hyperlink r:id="rId1089">
        <w:r>
          <w:rPr>
            <w:color w:val="1155CC"/>
            <w:u w:val="single"/>
          </w:rPr>
          <w:t>用于分析电磁缓冲器的精确非线性涡流磁网络模型</w:t>
        </w:r>
      </w:hyperlink>
    </w:p>
    <w:p>
      <w:pPr>
        <w:spacing w:before="0" w:after="80"/>
      </w:pPr>
      <w:r>
        <w:rPr>
          <w:i/>
          <w:sz w:val="20"/>
        </w:rPr>
        <w:t>EN: A Precise Nonlinear Eddy-Current Magnetic Network Model for the Analysis of Electromagnetic Buffer</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90">
        <w:r>
          <w:rPr>
            <w:color w:val="1155CC"/>
            <w:u w:val="single"/>
          </w:rPr>
          <w:t>10.1109/tec.2026.3677039</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了一种精确非线性涡流磁网络（PNEMN）模型，用于分析圆柱形永磁（PM）电磁缓冲器（EB）的性能。在该EB中，永磁体沿径向磁化并由铁齿分隔。当EB工作时，会感应出强烈的涡流，严重畸变原始磁场，使得传统磁等效电路（MEC）模型无法提供准确的解。为解决这一问题，本文采用精细化的磁阻单元，并将涡流纳入磁网络模型中，使其与原始磁场完全耦合。详细讨论了该方法的收敛性。为使模型更加全面，还考虑了非线性磁饱和、端部效应和开槽效应。通过合理选择边界条件实现了最优计算效率。建立了有限元模型并在样机上进行了实验，以验证所提模型的准确性。最后，分析了涡流制动器的工作特性，其临界速度约为7.5 m/s。</w:t>
      </w:r>
    </w:p>
    <w:p>
      <w:pPr>
        <w:spacing w:before="0" w:after="200" w:lineRule="auto" w:line="276"/>
      </w:pPr>
      <w:r>
        <w:rPr>
          <w:b/>
        </w:rPr>
        <w:t xml:space="preserve">Abstract (EN): </w:t>
      </w:r>
      <w:r>
        <w:t>In this paper, a precise nonlinear eddy-current magnetic network (PNEMN) model is proposed to analyze the performance of the cylindrical permanent magnet (PM) electromagnetic buffer (EB). In this EB, the permanent magnet is radially magnetized and separated by iron teeth. When the EB is working, intense eddy currents are induced, severely distorting the original magnetic field, so that conventional magnetic equivalent circuit (MEC) models can no longer provide an accurate solution. To solve this problem, this paper adopted refined magnetic reluctance elements and incorporated eddy currents into the magnetic network model, fully coupling them with the original magnetic field. The convergence of this method is discussed in detail. To make this model more comprehensive, nonlinear magnetic saturation, end effects, and slot effects have also been taken into account. Optimal computational efficiency is achieved by judiciously selecting boundary conditions. A finite element model and the experiments on a prototype were built to verify the accuracy of the proposed model. Finally, the operating characteristics of the eddy current brake are analyzed, and its critical speed is about 7.5 m/s.</w:t>
      </w:r>
    </w:p>
    <w:p>
      <w:pPr>
        <w:spacing w:before="120" w:after="120"/>
      </w:pPr>
      <w:r>
        <w:rPr>
          <w:sz w:val="18"/>
        </w:rPr>
        <w:t>——————————————————————————————————————————————————————————————————————</w:t>
      </w:r>
    </w:p>
    <w:p>
      <w:pPr>
        <w:spacing w:before="160" w:after="40" w:line="240" w:lineRule="auto"/>
      </w:pPr>
      <w:r>
        <w:rPr>
          <w:b/>
        </w:rPr>
        <w:t xml:space="preserve">[381] </w:t>
      </w:r>
      <w:hyperlink r:id="rId1091">
        <w:r>
          <w:rPr>
            <w:color w:val="1155CC"/>
            <w:u w:val="single"/>
          </w:rPr>
          <w:t>基于自适应变速趋近律与扰动扩展滑模观测器的预测转矩控制感应电机驱动滑模速度控制</w:t>
        </w:r>
      </w:hyperlink>
    </w:p>
    <w:p>
      <w:pPr>
        <w:spacing w:before="0" w:after="80"/>
      </w:pPr>
      <w:r>
        <w:rPr>
          <w:i/>
          <w:sz w:val="20"/>
        </w:rPr>
        <w:t>EN: Sliding-Mode Speed Control for Predictive-Torque-Control-Based Induction-Machine Drives Based on Adaptive-Variable-Rate Reaching Law and Disturbance-Extended Sliding-Mode Observer</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92">
        <w:r>
          <w:rPr>
            <w:color w:val="1155CC"/>
            <w:u w:val="single"/>
          </w:rPr>
          <w:t>10.1109/tec.2025.3605898</w:t>
        </w:r>
      </w:hyperlink>
    </w:p>
    <w:p>
      <w:pPr>
        <w:spacing w:before="0" w:after="120"/>
      </w:pPr>
      <w:r>
        <w:rPr>
          <w:b/>
        </w:rPr>
        <w:t xml:space="preserve">Notes: </w:t>
      </w:r>
      <w:r>
        <w:t>abstract_source=semanticscholar</w:t>
      </w:r>
    </w:p>
    <w:p>
      <w:pPr>
        <w:spacing w:before="0" w:after="80" w:lineRule="auto" w:line="276"/>
      </w:pPr>
      <w:r>
        <w:rPr>
          <w:b/>
        </w:rPr>
        <w:t xml:space="preserve">摘要（ZH）: </w:t>
      </w:r>
      <w:r>
        <w:t>针对基于预测转矩控制（PTC）的感应电机（IM）驱动系统，为提升速度跟踪性能以及对各种未知扰动（如摩擦、外部负载扰动和参数失配）的鲁棒性，提出了一种采用自适应变速率趋近律的滑模控制（SMC-AVRRL）与一种扰动扩展滑模观测器（DESMO）。首先，分析了采用经典PI控制的PTC速度环，结果表明在突加负载扰动和感应电机参数失配情况下，PI控制器的控制性能明显下降。随后提出了采用自适应变速率趋近律的滑模控制。以典型的趋近律，即指数趋近律（ERL）作为对比对象，AVRRL方法能够同时减小抖振和收敛时间。通过Lyapunov稳定性理论分析了所提SMC-AVRRL的稳定性。此外，为进一步增强抗扰能力，将所提SMC-AVRRL与扰动扩展滑模观测器（DESMO）相结合，称为SMC-AVRRL + DESMO方法。实验结果表明，所提SMC-AVRRL + DESMO方法不仅能实现较高的速度跟踪精度，而且具有更好的鲁棒性。</w:t>
      </w:r>
    </w:p>
    <w:p>
      <w:pPr>
        <w:spacing w:before="0" w:after="200" w:lineRule="auto" w:line="276"/>
      </w:pPr>
      <w:r>
        <w:rPr>
          <w:b/>
        </w:rPr>
        <w:t xml:space="preserve">Abstract (EN): </w:t>
      </w:r>
      <w:r>
        <w:t>For the predictive-torque-control (PTC) based induction-machine (IM) drives, to promote the speed tracking performance as well as the robustness against various unknown disturbances, such as friction, external load disturbance and parameter mismatch. A sliding-mode control with adaptive-variable-rate reaching law (SMC-AVRRL) and a disturbance-extended sliding-mode observer (DESMO) is proposed. First, the speed loop of PTC which utilizes the classical PI control is analyzed. It indicates that the control performance of the PI controller degrades apparently under sudden load disturbances and induction-machine parameters mismatch. Then the sliding-mode control with adaptive-variable-rate reaching law is proposed. Taking the typical reaching law, namely exponential reaching law (ERL), as a comparison object, the AVRRL method can reduce the chattering and convergence time simultaneously. The stability of the proposed SMC-AVRRL is analyzed by the Lyapunov stability theory. Moreover, to further enhance the anti-disturbance capacity, the proposed SMC-AVRRL is then combined with a disturbance-extended sliding-mode observer (DESMO), named the SMC-AVRRL + DESMO method. The experimental results show that the proposed SMC-AVRRL + DESMO method can not only achieve high speed tracking accuracy, but also achieves better robustness.</w:t>
      </w:r>
    </w:p>
    <w:p>
      <w:pPr>
        <w:spacing w:before="120" w:after="120"/>
      </w:pPr>
      <w:r>
        <w:rPr>
          <w:sz w:val="18"/>
        </w:rPr>
        <w:t>——————————————————————————————————————————————————————————————————————</w:t>
      </w:r>
    </w:p>
    <w:p>
      <w:pPr>
        <w:spacing w:before="160" w:after="40" w:line="240" w:lineRule="auto"/>
      </w:pPr>
      <w:r>
        <w:rPr>
          <w:b/>
        </w:rPr>
        <w:t xml:space="preserve">[382] </w:t>
      </w:r>
      <w:hyperlink r:id="rId1093">
        <w:r>
          <w:rPr>
            <w:color w:val="1155CC"/>
            <w:u w:val="single"/>
          </w:rPr>
          <w:t>面向智能电表数据可用性提升的家电使用隐私定价</w:t>
        </w:r>
      </w:hyperlink>
    </w:p>
    <w:p>
      <w:pPr>
        <w:spacing w:before="0" w:after="80"/>
      </w:pPr>
      <w:r>
        <w:rPr>
          <w:i/>
          <w:sz w:val="20"/>
        </w:rPr>
        <w:t>EN: Pricing Appliance Usage Privacy for Enhancing Usability of Smart Meter Data</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94">
        <w:r>
          <w:rPr>
            <w:color w:val="1155CC"/>
            <w:u w:val="single"/>
          </w:rPr>
          <w:t>10.1109/tsg.2026.3669553</w:t>
        </w:r>
      </w:hyperlink>
    </w:p>
    <w:p>
      <w:pPr>
        <w:spacing w:before="0" w:after="120"/>
      </w:pPr>
      <w:r>
        <w:rPr>
          <w:b/>
        </w:rPr>
        <w:t xml:space="preserve">Notes: </w:t>
      </w:r>
      <w:r>
        <w:t>abstract_source=semanticscholar</w:t>
      </w:r>
    </w:p>
    <w:p>
      <w:pPr>
        <w:spacing w:before="0" w:after="80" w:lineRule="auto" w:line="276"/>
      </w:pPr>
      <w:r>
        <w:rPr>
          <w:b/>
        </w:rPr>
        <w:t xml:space="preserve">摘要（ZH）: </w:t>
      </w:r>
      <w:r>
        <w:t>消费者的隐私担忧往往限制了其智能电表数据在多种数据驱动应用中的使用。隐私保护算法虽然可以解决消费者的隐私担忧，但这些算法会抹去有用信息，从而降低数据可用性。如果电力公司能够直接利用消费者的智能电表数据，而无需通过隐私保护算法对其进行变换，则可以提高数据可用性。然而，除非消费者放弃对其智能电表数据的隐私权利，否则这是不可能实现的。向消费者提供货币补偿可能是鼓励其放弃智能电表数据隐私权利的一种可行途径。因此，本文提出了一种新颖的隐私定价方法，对同意放弃智能电表数据隐私权利的消费者所遭受的电器使用隐私损失给予货币补偿。首先，基于消费者用电量在给定时间段内的波动情况，对消费者的电器使用隐私进行建模。然后，利用该隐私模型提出了一个非线性凸优化问题，以在电力公司给定预算下确定一组消费者的隐私价格。通过数学方法证明了最优解的性质。结果表明，所提定价方法的实际实施不太可能影响消费者的用电模式。利用实际智能电表数据，在考虑</w:t>
      </w:r>
    </w:p>
    <w:p>
      <w:pPr>
        <w:spacing w:before="0" w:after="200" w:lineRule="auto" w:line="276"/>
      </w:pPr>
      <w:r>
        <w:rPr>
          <w:b/>
        </w:rPr>
        <w:t xml:space="preserve">Abstract (EN): </w:t>
      </w:r>
      <w:r>
        <w:t>Consumers’ privacy concerns often limit the usage of their smart meter data in several data-driven applications. While privacy-preserving algorithms can address the privacy concerns of consumers, these algorithms erase useful information; thus reducing the data usability. Data usability can be enhanced if the utility can directly utilize the smart meter data of consumers without transforming the same using privacy-preserving algorithms. However, this is not possible unless consumers give up their privacy rights over their smart meter data. Offering monetary compensations to consumers can be a possible approach to encourage them to give up the privacy rights over their smart meter data. Hence, this paper proposes a novel privacy pricing method that monetarily compensates the loss of appliance usage privacy incurred by the consumers who agreed to give up the privacy rights over their smart meter data. At first, a consumer’s appliance usage privacy is modeled based on how the consumer’s consumptions fluctuate over a given time period. Then, a nonlinear convex optimization problem is proposed using the privacy model to determine the privacy prices of a set of consumers under a given budget of the utility. The properties of the optimal solution are demonstrated mathematically. It is shown that the practical implementation of the proposed pricing method is unlikely to impact the consumption patterns of consumers. The impacts of the utility’s budget and the number of participating consumers on the privacy prices are illustrated using practical smart meter data while considering heterogeneity in the privacy concerns of consumers. Further, a novel metric is proposed which shows that, unlike the existing pricing methods, the privacy prices generated by the proposed method are sufficient to address the privacy concerns of most of the participating consumers.</w:t>
      </w:r>
    </w:p>
    <w:p>
      <w:pPr>
        <w:spacing w:before="120" w:after="120"/>
      </w:pPr>
      <w:r>
        <w:rPr>
          <w:sz w:val="18"/>
        </w:rPr>
        <w:t>——————————————————————————————————————————————————————————————————————</w:t>
      </w:r>
    </w:p>
    <w:p>
      <w:pPr>
        <w:spacing w:before="160" w:after="40" w:line="240" w:lineRule="auto"/>
      </w:pPr>
      <w:r>
        <w:rPr>
          <w:b/>
        </w:rPr>
        <w:t xml:space="preserve">[383] </w:t>
      </w:r>
      <w:hyperlink r:id="rId1095">
        <w:r>
          <w:rPr>
            <w:color w:val="1155CC"/>
            <w:u w:val="single"/>
          </w:rPr>
          <w:t>一种用于PMSM驱动系统差模与共模干扰抑制的新型磁集成三相EMI滤波器</w:t>
        </w:r>
      </w:hyperlink>
    </w:p>
    <w:p>
      <w:pPr>
        <w:spacing w:before="0" w:after="80"/>
      </w:pPr>
      <w:r>
        <w:rPr>
          <w:i/>
          <w:sz w:val="20"/>
        </w:rPr>
        <w:t>EN: A Novel Magnetic Integrated Three-Phase EMI Filter for Differential-Mode and Common-Mode Interference Suppression in PMSM Drive Systems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96">
        <w:r>
          <w:rPr>
            <w:color w:val="1155CC"/>
            <w:u w:val="single"/>
          </w:rPr>
          <w:t>10.1109/tec.2026.3678419</w:t>
        </w:r>
      </w:hyperlink>
    </w:p>
    <w:p>
      <w:pPr>
        <w:spacing w:before="0" w:after="120"/>
      </w:pPr>
      <w:r>
        <w:rPr>
          <w:b/>
        </w:rPr>
        <w:t xml:space="preserve">Notes: </w:t>
      </w:r>
      <w:r>
        <w:t>abstract_source=semanticscholar</w:t>
      </w:r>
    </w:p>
    <w:p>
      <w:pPr>
        <w:spacing w:before="0" w:after="80" w:lineRule="auto" w:line="276"/>
      </w:pPr>
      <w:r>
        <w:rPr>
          <w:b/>
        </w:rPr>
        <w:t xml:space="preserve">摘要（ZH）: </w:t>
      </w:r>
      <w:r>
        <w:t>三相电磁干扰（EMI）滤波器在永磁同步电机（PMSM）驱动系统中的应用，可以在滤除相电流中差模（DM）干扰的同时降低共模（CM）干扰。传统滤波器会增加系统的体积和重量。本文提出一种全磁集成三相EMI滤波器，其磁芯由环形磁芯和Y形分支磁柱组成。环形磁芯主要用于汇聚共模磁通，同时为差模磁通提供通路；Y形分支磁柱用于承载差模磁通。分析了所提滤波器在不同绕组分布方式下磁通的分布情况，推导了差模和共模电感，并通过定量与定性比较确定了最优绕组分布方式。通过推导所提滤波器的最大磁通密度，给出了磁饱和分析。通过ANSYS仿真验证了所提滤波器的磁通密度，并进行了实验以评估所提滤波器的性能。结果表明，在相同的差模和共模抑制性能下，与传统滤波器相比，所提滤波器能显著减小系统的体积和重量。此外，制作了直流侧EMI滤波器以评估其对电机侧电气性能的影响。结果表明，直流侧EMI滤波器无法替代所提滤波器。所提滤波器可以提升系统性能与可靠性</w:t>
      </w:r>
    </w:p>
    <w:p>
      <w:pPr>
        <w:spacing w:before="0" w:after="200" w:lineRule="auto" w:line="276"/>
      </w:pPr>
      <w:r>
        <w:rPr>
          <w:b/>
        </w:rPr>
        <w:t xml:space="preserve">Abstract (EN): </w:t>
      </w:r>
      <w:r>
        <w:t>The application of three-phase electromagnetic interference (EMI) filters in permanent magnet synchronous motor (PMSM) drive systems can reduce common-mode (CM) interference while filtering out differential-mode (DM) interference in phase currents. Conventional filters will increase the volume and weight of the system. This article proposes a fully magnetic integrated three-phase EMI filter, with a magnetic core consisting of a toroid and a Y-branch limb. The toroid is primarily employed to concentrate the CM flux while providing the path for the DM flux. The Y-branch limb is used to carry the DM flux. The distribution of the flux in the proposed filter under different winding distribution patterns is analyzed. The DM and CM inductances are derived. The optimal winding distribution pattern is determined through quantitative and qualitative comparison. The magnetic saturation analysis is provided by deriving the maximum magnetic flux density of the proposed filter. The magnetic flux density of the proposed filter is verified through ANSYS simulation. The experiment is conducted to evaluate the performance of the proposed filter. The results show that the proposed filter can significantly reduce the volume and weight of the system compared to the conventional filter under the same DM and CM suppression performance. In addition, a DC side EMI filter is manufactured to assess its impact on the electrical performance of the motor side. The results indicate that the DC side EMI filter cannot replace the proposed filter. The proposed filter can enhance the performance and reliability of the PMSM drive system.</w:t>
      </w:r>
    </w:p>
    <w:p>
      <w:pPr>
        <w:spacing w:before="120" w:after="120"/>
      </w:pPr>
      <w:r>
        <w:rPr>
          <w:sz w:val="18"/>
        </w:rPr>
        <w:t>——————————————————————————————————————————————————————————————————————</w:t>
      </w:r>
    </w:p>
    <w:p>
      <w:pPr>
        <w:spacing w:before="160" w:after="40" w:line="240" w:lineRule="auto"/>
      </w:pPr>
      <w:r>
        <w:rPr>
          <w:b/>
        </w:rPr>
        <w:t xml:space="preserve">[384] </w:t>
      </w:r>
      <w:hyperlink r:id="rId1097">
        <w:r>
          <w:rPr>
            <w:color w:val="1155CC"/>
            <w:u w:val="single"/>
          </w:rPr>
          <w:t>基于物理信息与序列感知的图Transformer净负荷预测模型</w:t>
        </w:r>
      </w:hyperlink>
    </w:p>
    <w:p>
      <w:pPr>
        <w:spacing w:before="0" w:after="80"/>
      </w:pPr>
      <w:r>
        <w:rPr>
          <w:i/>
          <w:sz w:val="20"/>
        </w:rPr>
        <w:t>EN: Physics-Informed Series-Aware Graph Transformer Model for Net Load Forecasting</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98">
        <w:r>
          <w:rPr>
            <w:color w:val="1155CC"/>
            <w:u w:val="single"/>
          </w:rPr>
          <w:t>10.1109/tsg.2026.3672290</w:t>
        </w:r>
      </w:hyperlink>
    </w:p>
    <w:p>
      <w:pPr>
        <w:spacing w:before="0" w:after="120"/>
      </w:pPr>
      <w:r>
        <w:rPr>
          <w:b/>
        </w:rPr>
        <w:t xml:space="preserve">Notes: </w:t>
      </w:r>
      <w:r>
        <w:t>abstract_source=semanticscholar</w:t>
      </w:r>
    </w:p>
    <w:p>
      <w:pPr>
        <w:spacing w:before="0" w:after="80" w:lineRule="auto" w:line="276"/>
      </w:pPr>
      <w:r>
        <w:rPr>
          <w:b/>
        </w:rPr>
        <w:t xml:space="preserve">摘要（ZH）: </w:t>
      </w:r>
      <w:r>
        <w:t>可再生能源（RES）（如光伏（PV）和风电（WD））的日益并网显著增加了净负荷（NL）的波动性，给净负荷预测带来了严峻挑战。本文提出了一种用于净负荷预测的新型物理信息序列感知图Transformer（PISAGT）模型，协同结合了直接预测方法与间接预测方法的优势，以实现卓越的预测性能。首先，提出物理信息损失模块（PILM），将净负荷的物理特性引入损失函数，在梯度下降优化中融入物理知识，从而增强模型的泛化能力，获得更稳定可信的预测。其次，可变尺度分块嵌入方法将时间序列分割为子序列级别的分块并转换为二维表示，使预测模型能够在不同预测周期内同时捕捉局部时间模式。第三，提出了包含图token编码、自适应邻接矩阵学习和图卷积的序列感知图学习机制（SAGLM），在协同框架内将图神经网络（GNN）与Transformer相结合，全面捕捉净负荷数据集中的序列内和序列间依赖关系。最后，基于真实数据集的案例研究表明，PISAGT模型的预测精度相比直接预测方法可提升14.4%，</w:t>
      </w:r>
    </w:p>
    <w:p>
      <w:pPr>
        <w:spacing w:before="0" w:after="200" w:lineRule="auto" w:line="276"/>
      </w:pPr>
      <w:r>
        <w:rPr>
          <w:b/>
        </w:rPr>
        <w:t xml:space="preserve">Abstract (EN): </w:t>
      </w:r>
      <w:r>
        <w:t>The growing integration of renewable energy sources (RESs), such as photovoltaic (PV) and wind (WD), has significantly increased the variability of net load (NL), posing critical challenges on the net load forecasting. In this paper, a novel physics-informed series-aware graph Transformer (PISAGT) model is proposed for the net load forecasting, which synergistically combines the advantages of both direct and indirect forecasting methods to achieve superior forecasting performance. Firstly, a physics-informed loss module (PILM) is proposed, which introduces the physical characteristics of the net load into the loss function to incorporate physical knowledge in the gradient descent optimization, thereby enhancing the model’s generalization capability for more stable and trustworthy predictions. Secondly, a variable-scale patch embedding method segments time series into subsequence-level patches and transforms them into 2D representations, which enables the forecast model to simultaneously capture local temporal patterns across diverse forecasting horizons. Thirdly, a series-aware graph learning mechanism (SAGLM) which includes graph token encoding, adaptive adjacency matrix learning, and graph convolution, is proposed to integrate graph neural networks (GNNs) with Transformer within a synergistic framework to comprehensively capture intra-series and inter-series dependencies in net load datasets. Finally, case studies on the real-world datasets demonstrate that the PISAGT model can achieve a 14.4% improvement in prediction accuracy compared with direct forecasting methods, showing its effectiveness in net load forecasting.</w:t>
      </w:r>
    </w:p>
    <w:p>
      <w:pPr>
        <w:spacing w:before="120" w:after="120"/>
      </w:pPr>
      <w:r>
        <w:rPr>
          <w:sz w:val="18"/>
        </w:rPr>
        <w:t>——————————————————————————————————————————————————————————————————————</w:t>
      </w:r>
    </w:p>
    <w:p>
      <w:pPr>
        <w:spacing w:before="160" w:after="40" w:line="240" w:lineRule="auto"/>
      </w:pPr>
      <w:r>
        <w:rPr>
          <w:b/>
        </w:rPr>
        <w:t xml:space="preserve">[385] </w:t>
      </w:r>
      <w:hyperlink r:id="rId1099">
        <w:r>
          <w:rPr>
            <w:color w:val="1155CC"/>
            <w:u w:val="single"/>
          </w:rPr>
          <w:t>基于无模型预测电流控制的双星形-三角形绕组永磁同步电机自适应容错控制</w:t>
        </w:r>
      </w:hyperlink>
    </w:p>
    <w:p>
      <w:pPr>
        <w:spacing w:before="0" w:after="80"/>
      </w:pPr>
      <w:r>
        <w:rPr>
          <w:i/>
          <w:sz w:val="20"/>
        </w:rPr>
        <w:t>EN: Adaptive Fault-Tolerant Control Based on Model-Free Predictive Current Control for PMSM With Dual Star-Delta Windings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100">
        <w:r>
          <w:rPr>
            <w:color w:val="1155CC"/>
            <w:u w:val="single"/>
          </w:rPr>
          <w:t>10.1109/tec.2026.3662815</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了一种适用于不同相移角下双星形-三角形绕组永磁同步电机（DSDW-PMSM）的无模型预测电流控制与自适应容错控制相结合（AFTC-MFPCC）策略。所提策略增强了该电机在任一星形绕组相发生电流传感器故障或断相故障时的运行性能，表现出很强的自适应性和鲁棒性。首先，解析推导了不同相移角下DSDW-PMSM发生单相断相故障时基波磁动势（MMF）的不变性。其次，提出了自适应容错控制策略。在检测到任一相出现持续零电流时，无需明确的故障诊断即可切换自适应容错变换矩阵，从而避免电流传感器故障的影响并缩短故障检测时间。随后，通过电流反馈修正xy轴参考值，使电机能够从故障状态自适应过渡到正常运行状态。此外，采用无模型预测电流控制替代矢量控制结构中电流环模块的传统PI控制或无差拍预测电流控制，输出四个电压矢量。该方法避免了因电机参数输入不准确而导致的电流跟踪误差和严重波形畸变。最后，在一台15°相移的24槽/10极DSDW-PMSM上进行了试验，验证了所提方法的可行性。</w:t>
      </w:r>
    </w:p>
    <w:p>
      <w:pPr>
        <w:spacing w:before="0" w:after="200" w:lineRule="auto" w:line="276"/>
      </w:pPr>
      <w:r>
        <w:rPr>
          <w:b/>
        </w:rPr>
        <w:t xml:space="preserve">Abstract (EN): </w:t>
      </w:r>
      <w:r>
        <w:t>This paper proposes a model-free predictive current control combined with an adaptive fault-tolerant control (AFTC-MFPCC) strategy for dual star-delta windings permanent magnet synchronous motor (DSDW-PMSM) under different phase shift angles. The proposed strategy enhances the operational performance of this motor when current sensor fault or open-phase fault occur in any star-connected winding phase, showing strong adaptability and robustness. Firstly, the invariance of the fundamental magnetomotive force (MMF) under single open-phase fault in DSDW-PMSM with different phase shift angles is analytically derived. Secondly, an adaptive fault-tolerant control strategy is proposed. Upon detecting a persistent zero current in any phase, it switches the adaptive fault-tolerant transformation matrix without explicit fault diagnosis, thereby avoiding the impact of current sensor faults and reducing the fault detection time. Subsequently, the xy-axis reference values are modified through current feedback, enabling the motor to adaptively transition from the fault state to the normal operation state. Furthermore, model-free predictive current control is employed to replace traditional PI control or deadbeat predictive current control in the current loop module of the vector control structure, which outputs four voltage vectors. This method avoids current tracking errors and severe waveform distortion caused by inaccuracies in motor parameter inputs. Finally, tests are conducted on a 24-slot/10-pole DSDW-PMSM with a 15° phase shift to validate the feasibility of the proposed method.</w:t>
      </w:r>
    </w:p>
    <w:p>
      <w:pPr>
        <w:spacing w:before="120" w:after="120"/>
      </w:pPr>
      <w:r>
        <w:rPr>
          <w:sz w:val="18"/>
        </w:rPr>
        <w:t>——————————————————————————————————————————————————————————————————————</w:t>
      </w:r>
    </w:p>
    <w:p>
      <w:pPr>
        <w:spacing w:before="160" w:after="40" w:line="240" w:lineRule="auto"/>
      </w:pPr>
      <w:r>
        <w:rPr>
          <w:b/>
        </w:rPr>
        <w:t xml:space="preserve">[386] </w:t>
      </w:r>
      <w:hyperlink r:id="rId1101">
        <w:r>
          <w:rPr>
            <w:color w:val="1155CC"/>
            <w:u w:val="single"/>
          </w:rPr>
          <w:t>负载循环下服役老化与备用水轮发电机定子线圈的多应力老化</w:t>
        </w:r>
      </w:hyperlink>
    </w:p>
    <w:p>
      <w:pPr>
        <w:spacing w:before="0" w:after="80"/>
      </w:pPr>
      <w:r>
        <w:rPr>
          <w:i/>
          <w:sz w:val="20"/>
        </w:rPr>
        <w:t>EN: Multi-Stress Aging of Service-Aged and Backup Hydrogenerator Stator Coils Under Load Cycling</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102">
        <w:r>
          <w:rPr>
            <w:color w:val="1155CC"/>
            <w:u w:val="single"/>
          </w:rPr>
          <w:t>10.1109/tec.2026.3690784</w:t>
        </w:r>
      </w:hyperlink>
    </w:p>
    <w:p>
      <w:pPr>
        <w:spacing w:before="0" w:after="120"/>
      </w:pPr>
      <w:r>
        <w:rPr>
          <w:b/>
        </w:rPr>
        <w:t xml:space="preserve">Notes: </w:t>
      </w:r>
      <w:r>
        <w:t>abstract_source=semanticscholar</w:t>
      </w:r>
    </w:p>
    <w:p>
      <w:pPr>
        <w:spacing w:before="0" w:after="80" w:lineRule="auto" w:line="276"/>
      </w:pPr>
      <w:r>
        <w:rPr>
          <w:b/>
        </w:rPr>
        <w:t xml:space="preserve">摘要（ZH）: </w:t>
      </w:r>
      <w:r>
        <w:t>水轮发电机的频繁启停会对定子绕组绝缘施加更大的热应力、机械应力和电应力，加速绝缘老化并可能导致失效。为模拟此类运行工况，构建了多应力单相定子槽模型，使定子线棒在40至110 &lt;inline-formula&gt;&lt;tex-math notation="LaTeX"&gt;$^{\circ }$&lt;/tex-math&gt;&lt;/inline-formula&gt;C之间循环，同时施加1.5倍额定相对地电压（&lt;inline-formula&gt;&lt;tex-math notation="LaTeX"&gt;${U_{0}}$&lt;/tex-math&gt;&lt;/inline-formula&gt;）。对取自同一台水轮发电机的服役老化和备用线棒组进行了试验，在循环期间（在线）记录局部放电（PD），并在室温下进行离线诊断，包括局部放电起始电压、1.5 &lt;inline-formula&gt;&lt;tex-math notation="LaTeX"&gt;$U_{0}$&lt;/tex-math&gt;&lt;/inline-formula&gt;下的局放测量以及介质损耗角正切。在线结果表明不同的老化轨迹：服役老化线棒进入稳定劣化阶段，加热和冷却期间的放电幅值有限且相似；而备用线棒表现出更大、更频繁的放电，且在相同温度下冷却期间的局放明显高于加热期间。离线测量显示出相似的趋势但幅值较低，表明仅凭室温试验无法探测多应力劣化。该研究表明，可靠的评估需要在代表性负载条件下结合在线和离线诊断。</w:t>
      </w:r>
    </w:p>
    <w:p>
      <w:pPr>
        <w:spacing w:before="0" w:after="200" w:lineRule="auto" w:line="276"/>
      </w:pPr>
      <w:r>
        <w:rPr>
          <w:b/>
        </w:rPr>
        <w:t xml:space="preserve">Abstract (EN): </w:t>
      </w:r>
      <w:r>
        <w:t>Frequent start–stops in hydrogenerators impose increased thermal, mechanical, and electrical stresses on stator winding insulation, accelerating degradation and potentially leading to failure. To emulate such operating conditions, a multi-stress, single-phase stator-slot model was built to cycle stator coils between 40 and 110 &lt;inline-formula&gt;&lt;tex-math notation="LaTeX"&gt;$^{\circ }$&lt;/tex-math&gt;&lt;/inline-formula&gt;C while simultaneously applying 1.5 times the rated phase-to-ground voltage (&lt;inline-formula&gt;&lt;tex-math notation="LaTeX"&gt;${U_{0}}$&lt;/tex-math&gt;&lt;/inline-formula&gt;). Service-aged and backup coil groups taken from the same hydrogenerator were tested, with partial discharge (PD) recorded during cycling (on-cycle) and off-cycle diagnostics at room temperature, including PD inception voltage, PD measurements at 1.5 &lt;inline-formula&gt;&lt;tex-math notation="LaTeX"&gt;$U_{0}$&lt;/tex-math&gt;&lt;/inline-formula&gt;, and loss tangent. The on-cycle results show distinct aging trajectories: the service-aged coils entered a stable-degradation regime with limited, similar discharge magnitudes during heating and cooling, whereas the backup coils exhibited larger, more frequent discharges, with PD markedly higher during cooling than during heating at the same temperature. Off-cycle measurements indicate similar trends but with lower magnitudes, suggesting that room-temperature tests alone cannot probe multi-stress degradation. The study demonstrates that reliable assessment requires the use of combined on-cycle and off-cycle diagnostics under representative loading conditions.</w:t>
      </w:r>
    </w:p>
    <w:p>
      <w:pPr>
        <w:spacing w:before="120" w:after="120"/>
      </w:pPr>
      <w:r>
        <w:rPr>
          <w:sz w:val="18"/>
        </w:rPr>
        <w:t>——————————————————————————————————————————————————————————————————————</w:t>
      </w:r>
    </w:p>
    <w:p>
      <w:pPr>
        <w:spacing w:before="160" w:after="40" w:line="240" w:lineRule="auto"/>
      </w:pPr>
      <w:r>
        <w:rPr>
          <w:b/>
        </w:rPr>
        <w:t xml:space="preserve">[387] </w:t>
      </w:r>
      <w:hyperlink r:id="rId1103">
        <w:r>
          <w:rPr>
            <w:color w:val="1155CC"/>
            <w:u w:val="single"/>
          </w:rPr>
          <w:t>同步发电机实时无功功率极限：在新西班牙电压控制系统中的应用</w:t>
        </w:r>
      </w:hyperlink>
    </w:p>
    <w:p>
      <w:pPr>
        <w:spacing w:before="0" w:after="80"/>
      </w:pPr>
      <w:r>
        <w:rPr>
          <w:i/>
          <w:sz w:val="20"/>
        </w:rPr>
        <w:t>EN: Real-Time Reactive Power Limits of Synchronous Generators: Application to the New Spanish Voltage Control System</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104">
        <w:r>
          <w:rPr>
            <w:color w:val="1155CC"/>
            <w:u w:val="single"/>
          </w:rPr>
          <w:t>10.1109/tec.2026.3662808</w:t>
        </w:r>
      </w:hyperlink>
    </w:p>
    <w:p>
      <w:pPr>
        <w:spacing w:before="0" w:after="120"/>
      </w:pPr>
      <w:r>
        <w:rPr>
          <w:b/>
        </w:rPr>
        <w:t xml:space="preserve">Notes: </w:t>
      </w:r>
      <w:r>
        <w:t>abstract_source=semanticscholar</w:t>
      </w:r>
    </w:p>
    <w:p>
      <w:pPr>
        <w:spacing w:before="0" w:after="80" w:lineRule="auto" w:line="276"/>
      </w:pPr>
      <w:r>
        <w:rPr>
          <w:b/>
        </w:rPr>
        <w:t xml:space="preserve">摘要（ZH）: </w:t>
      </w:r>
      <w:r>
        <w:t>由于可再生能源的高渗透率，西班牙输电网的电压控制面临日益严峻的挑战，2025年4月28日的伊比利亚半岛大停电便是一个例证。同步发电机历来保障着电压稳定性，但在同步发电机组有限的低惯性系统中，其作用变得更加关键。本文提出了一种符合西班牙新电压控制体系的、在并网点实时计算同步发电机无功功率极限的方法。该方法将最大和最小无功功率能力确定为有功功率、电网电压、变压器分接头位置以及关键发电机约束条件（包括电枢电流、励磁系统与稳定极限以及允许电压范围）的函数。与制造商使用的传统p–q表示法不同，欧洲输电系统运营商如今在q–v平面中定义无功功率要求。该方法通过在q–v平面中计算并显示无功极限以反映这一转变，从而确保合规性。该方法通过对一座213 MVA水电站的现场测试以及对一台450 MVA单轴联合循环燃气轮机的仿真测试进行了验证，并通过灵敏度分析探讨了关键参数对q–v合规性的影响。时域仿真展示了无功功率极限如何随运行条件的变化而动态演变，从而支持更精确、更鲁棒的实时电压控制。</w:t>
      </w:r>
    </w:p>
    <w:p>
      <w:pPr>
        <w:spacing w:before="0" w:after="200" w:lineRule="auto" w:line="276"/>
      </w:pPr>
      <w:r>
        <w:rPr>
          <w:b/>
        </w:rPr>
        <w:t xml:space="preserve">Abstract (EN): </w:t>
      </w:r>
      <w:r>
        <w:t>The voltage control of the Spanish transmission network faces growing challenges due to the high penetration of renewable energy sources, as evidenced by the Iberian Peninsula blackout on April 28, 2025. Synchronous generators have traditionally ensured voltage stability, but their role becomes even more critical in low-inertia systems with limited synchronous generation. This paper presents a real-time method for computing the reactive power limits of synchronous generators at the network connection point, aligned with the new Spanish voltage control system. The proposed approach determines maximum and minimum reactive power capabilities as functions of active power, network voltage, transformer tap position, and key generator constraints, including armature current, excitation system and stability limits, and admissible voltage ranges. Unlike the conventional p–q representation used by manufacturers, European transmission system operators now define reactive power requirements in the q–v plane. The method reflects this shift by computing and displaying reactive limits in the q–v plane to ensure compliance. The approach is validated with a field test of a 213 MVA hydropower plant, and a simulation test of a 450 MVA single-shaft combined-cycle gas turbine, with sensitivity analyses exploring the impact of key parameters on q–v compliance. Time-domain simulations demonstrate how reactive power limits evolve dynamically in response to changing operating conditions, supporting more accurate and robust voltage control in real time.</w:t>
      </w:r>
    </w:p>
    <w:p>
      <w:pPr>
        <w:spacing w:before="120" w:after="120"/>
      </w:pPr>
      <w:r>
        <w:rPr>
          <w:sz w:val="18"/>
        </w:rPr>
        <w:t>——————————————————————————————————————————————————————————————————————</w:t>
      </w:r>
    </w:p>
    <w:p>
      <w:pPr>
        <w:spacing w:before="160" w:after="40" w:line="240" w:lineRule="auto"/>
      </w:pPr>
      <w:r>
        <w:rPr>
          <w:b/>
        </w:rPr>
        <w:t xml:space="preserve">[388] </w:t>
      </w:r>
      <w:hyperlink r:id="rId1105">
        <w:r>
          <w:rPr>
            <w:color w:val="1155CC"/>
            <w:u w:val="single"/>
          </w:rPr>
          <w:t>基于参数化均匀化与神经网络的电机磁芯损耗建模迁移学习方法</w:t>
        </w:r>
      </w:hyperlink>
    </w:p>
    <w:p>
      <w:pPr>
        <w:spacing w:before="0" w:after="80"/>
      </w:pPr>
      <w:r>
        <w:rPr>
          <w:i/>
          <w:sz w:val="20"/>
        </w:rPr>
        <w:t>EN: Transfer Learning for Data-Efficient Magnetic Core Loss Modeling in Electrical Machines via Parametric Homogenization and Neural Networks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106">
        <w:r>
          <w:rPr>
            <w:color w:val="1155CC"/>
            <w:u w:val="single"/>
          </w:rPr>
          <w:t>10.1109/tec.2026.3684936</w:t>
        </w:r>
      </w:hyperlink>
    </w:p>
    <w:p>
      <w:pPr>
        <w:spacing w:before="0" w:after="120"/>
      </w:pPr>
      <w:r>
        <w:rPr>
          <w:b/>
        </w:rPr>
        <w:t xml:space="preserve">Notes: </w:t>
      </w:r>
      <w:r>
        <w:t>abstract_source=semanticscholar</w:t>
      </w:r>
    </w:p>
    <w:p>
      <w:pPr>
        <w:spacing w:before="0" w:after="80" w:lineRule="auto" w:line="276"/>
      </w:pPr>
      <w:r>
        <w:rPr>
          <w:b/>
        </w:rPr>
        <w:t xml:space="preserve">摘要（ZH）: </w:t>
      </w:r>
      <w:r>
        <w:t>尽管工业界有迫切需求，但目前尚不存在实用且精确的仿真方法来计算电机（EM）仿真中铁磁叠片铁心的磁损耗。迁移学习是一种机器学习技术，它将为一个任务开发的模型作为开发另一个任务模型的起点。本研究创新性地将参数化均匀化材料定律与深度学习（DL）方法相结合。首先，通过Bertotti模型与改进的等效电路模型的联合应用，研究了表征铁心材料特性的固有电阻参数。随后利用样机实验数据，可视化不同温度、谐波、负载和频率对这些导出参数的影响规律。为了在降低所需数据量以提升性能的同时建模参数间相互影响的底层机制，通过支持向量机、决策树和反向传播（BP）神经网络算法的协同应用，合成了一个规模可观的辅助数据集。通过利用预学习的参数变化规律、辅助数据以及涵盖高频、高温和高负载条件的一小组目标数据，采用深度稀疏自编码器和BP神经网络实现了两阶段特征迁移学习过程。最后，设计了对比实验，以验证现有损耗评估方法的局限性，并强调综合考虑的重要性。</w:t>
      </w:r>
    </w:p>
    <w:p>
      <w:pPr>
        <w:spacing w:before="0" w:after="200" w:lineRule="auto" w:line="276"/>
      </w:pPr>
      <w:r>
        <w:rPr>
          <w:b/>
        </w:rPr>
        <w:t xml:space="preserve">Abstract (EN): </w:t>
      </w:r>
      <w:r>
        <w:t>Despite the urgent demand in industry, there do not yet exist practical and accurate simulation methods for calculating the magnetic losses of ferromagnetic laminated cores in electrical machine (EM) simulations. Transfer learning, a machine learning technique, utilizes a model developed for one task as a starting point for developing a model for another task. This study innovatively integrates parametric homogenized material laws with deep learning (DL) approaches. Firstly, the intrinsic resistance parameters characterizing core material properties are investigated through the combined application of the Bertotti model and an improved equivalent circuit model. Experimental data from prototypes are then used to visualize the influence patterns of different temperatures, harmonics, loads, and frequencies on these derived parameters. To both reduce the required data for improved performance and model the underlying mechanisms of mutual parameter impact, a sizeable auxiliary dataset was synthetically generated through the synergistic application of support vector machine, decision tree, and backpropagation (BP) neural network algorithms. By leveraging the pre-learned patterns of parameter variation, auxiliary data, and a small set of target data covering high-frequency, high-temperature, and high-load conditions, a two-stage feature transfer learning process is implemented using deep sparse autoencoder and BP neural network. Finally, comparative experiments are designed to verify the limitations of existing loss evaluation methods and to emphasize the importance of comprehensively considering multi-factor coupling effects in EM core loss modeling. The results demonstrate that the proposed local material law can serve as a conventional constitutive relationship in two-dimensional or three-dimensional modeling, and, when combined with DL algorithms, achieves a massive speed-up compared to monolithic coupling.</w:t>
      </w:r>
    </w:p>
    <w:p>
      <w:pPr>
        <w:spacing w:before="120" w:after="120"/>
      </w:pPr>
      <w:r>
        <w:rPr>
          <w:sz w:val="18"/>
        </w:rPr>
        <w:t>——————————————————————————————————————————————————————————————————————</w:t>
      </w:r>
    </w:p>
    <w:p>
      <w:pPr>
        <w:spacing w:before="160" w:after="40" w:line="240" w:lineRule="auto"/>
      </w:pPr>
      <w:r>
        <w:rPr>
          <w:b/>
        </w:rPr>
        <w:t xml:space="preserve">[389] </w:t>
      </w:r>
      <w:hyperlink r:id="rId1107">
        <w:r>
          <w:rPr>
            <w:color w:val="1155CC"/>
            <w:u w:val="single"/>
          </w:rPr>
          <w:t>永磁辅助无轴承磁阻电机全速域径向位移无传感器控制</w:t>
        </w:r>
      </w:hyperlink>
    </w:p>
    <w:p>
      <w:pPr>
        <w:spacing w:before="0" w:after="80"/>
      </w:pPr>
      <w:r>
        <w:rPr>
          <w:i/>
          <w:sz w:val="20"/>
        </w:rPr>
        <w:t>EN: Radial Displacement Sensorless Control of Permanent Magnet Assisted Bearingless Synchronous Reluctance Motor in Full Speed Range</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108">
        <w:r>
          <w:rPr>
            <w:color w:val="1155CC"/>
            <w:u w:val="single"/>
          </w:rPr>
          <w:t>10.1109/tec.2026.3670381</w:t>
        </w:r>
      </w:hyperlink>
    </w:p>
    <w:p>
      <w:pPr>
        <w:spacing w:before="0" w:after="120"/>
      </w:pPr>
      <w:r>
        <w:rPr>
          <w:b/>
        </w:rPr>
        <w:t xml:space="preserve">Notes: </w:t>
      </w:r>
      <w:r>
        <w:t>abstract_source=semanticscholar</w:t>
      </w:r>
    </w:p>
    <w:p>
      <w:pPr>
        <w:spacing w:before="0" w:after="80" w:lineRule="auto" w:line="276"/>
      </w:pPr>
      <w:r>
        <w:rPr>
          <w:b/>
        </w:rPr>
        <w:t xml:space="preserve">摘要（ZH）: </w:t>
      </w:r>
      <w:r>
        <w:t>永磁辅助无轴承同步磁阻电机（PMa-BSynRM）控制系统中使用的位移传感器成本高且可靠性低。为解决这一问题，本文提出一种全速域内的径向位移无传感器控制方法。首先，阐述了转子悬浮原理，并推导了系统的电压和电流方程。其次，在低速范围内，采用高频方波注入（HFSWI）结合锁相环（PLL）进行精确的信号解调，以估计转子位移。第三，利用改进的径向基函数（RBF）神经网络构建左逆观测器，并通过加权均值向量算法（INFO）优化神经网络的初始参数，最终实现精确的位移估计。此外，通过减速仿真确定了各运行模式之间的切换边界，并引入加权融合算法以保证跨速度区域的无缝切换。最后，通过仿真和对比实验验证了所提方法。实验结果表明，最大稳态估计误差为7 μm，而外部扰动下的调节时间仅延长11 ms。总体而言，所提方法具有优越的估计精度和抗扰能力。</w:t>
      </w:r>
    </w:p>
    <w:p>
      <w:pPr>
        <w:spacing w:before="0" w:after="200" w:lineRule="auto" w:line="276"/>
      </w:pPr>
      <w:r>
        <w:rPr>
          <w:b/>
        </w:rPr>
        <w:t xml:space="preserve">Abstract (EN): </w:t>
      </w:r>
      <w:r>
        <w:t>The displacement sensors utilized in the control system of the permanent magnet assisted bearingless synchronous reluctance motor (PMa-BSynRM) are associated with high cost and low reliability. To address this, this paper proposes a radial displacement sensorless control method in the full speed range. Firstly, the rotor suspension principle is expounded, and the voltage and current equations of the system are derived. Secondly, in the low speed range, the rotor displacement is estimated using high frequency square wave injection (HFSWI) combined with a phase-locked loop (PLL) for accurate signal demodulation. Thirdly, a left inverse observer is constructed using an improved radial basis function (RBF) neural network, and the initial parameters of the neural network are optimized by the weighted mean of vectors algorithm (INFO), ultimately achieving accurate displacement estimation. Furthermore, the transition boundaries between operational modes are determined through deceleration simulation, incorporating a weighted fusion algorithm to guarantee seamless switching across speed regions. Finally, the proposed approach is verified through simulation and comparative experiments. Experimental results demonstrate a maximum steady-state estimation error of 7 μm, while the settling time extends by only 11 ms under external disturbances. Overall, the proposed method exhibits superior estimation precision and robust disturbance rejection capability.</w:t>
      </w:r>
    </w:p>
    <w:p>
      <w:pPr>
        <w:spacing w:before="120" w:after="120"/>
      </w:pPr>
      <w:r>
        <w:rPr>
          <w:sz w:val="18"/>
        </w:rPr>
        <w:t>——————————————————————————————————————————————————————————————————————</w:t>
      </w:r>
    </w:p>
    <w:p>
      <w:pPr>
        <w:spacing w:before="160" w:after="40" w:line="240" w:lineRule="auto"/>
      </w:pPr>
      <w:r>
        <w:rPr>
          <w:b/>
        </w:rPr>
        <w:t xml:space="preserve">[390] </w:t>
      </w:r>
      <w:hyperlink r:id="rId1109">
        <w:r>
          <w:rPr>
            <w:color w:val="1155CC"/>
            <w:u w:val="single"/>
          </w:rPr>
          <w:t>考虑分布无序性影响的电机绕组寄生电容解析方法研究</w:t>
        </w:r>
      </w:hyperlink>
    </w:p>
    <w:p>
      <w:pPr>
        <w:spacing w:before="0" w:after="80"/>
      </w:pPr>
      <w:r>
        <w:rPr>
          <w:i/>
          <w:sz w:val="20"/>
        </w:rPr>
        <w:t>EN: Research on Analytical Method of Parasitic Capacitance in Motor Windings Considering Impact of Distributed Disorder</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110">
        <w:r>
          <w:rPr>
            <w:color w:val="1155CC"/>
            <w:u w:val="single"/>
          </w:rPr>
          <w:t>10.1109/tec.2026.3691048</w:t>
        </w:r>
      </w:hyperlink>
    </w:p>
    <w:p>
      <w:pPr>
        <w:spacing w:before="0" w:after="120"/>
      </w:pPr>
      <w:r>
        <w:rPr>
          <w:b/>
        </w:rPr>
        <w:t xml:space="preserve">Notes: </w:t>
      </w:r>
      <w:r>
        <w:t>abstract_source=semanticscholar</w:t>
      </w:r>
    </w:p>
    <w:p>
      <w:pPr>
        <w:spacing w:before="0" w:after="80" w:lineRule="auto" w:line="276"/>
      </w:pPr>
      <w:r>
        <w:rPr>
          <w:b/>
        </w:rPr>
        <w:t xml:space="preserve">摘要（ZH）: </w:t>
      </w:r>
      <w:r>
        <w:t>电机绕组的等效寄生电容（Cp）会导致宽禁带半导体器件开关过程中的电压/电流过冲和振铃。因此，有必要对Cp进行建模和计算，以评估其对开关器件的影响。然而，由于绕组偏差和槽内空间的限制，线圈排列是杂乱的。使用理想的Cp单一值可能导致开关瞬态评估出现显著偏差。针对上述问题，本文研究了考虑分布式杂乱影响的寄生电容解析方法。研究了绕组模型对Cp计算值的影响。将绕组分布模式分为三类：均匀分布、部分杂乱分布和完全杂乱分布。提出了一种考虑线圈随机放置影响的分布电容解析方法。采用随机抽样方法生成了一组杂乱绕组寄生电容值的样本。通过置信区间和Chernoff界确定样本分布，以逼近原始分布。使用K-S检验验证了两个分布之间的相似性。样本分布中出现频率最高的区域被确定为绕组寄生电容值的预测区间。最后，对杂乱分布绕组样本进行了测量，结果证明了所提方法的有效性和可行性。</w:t>
      </w:r>
    </w:p>
    <w:p>
      <w:pPr>
        <w:spacing w:before="0" w:after="200" w:lineRule="auto" w:line="276"/>
      </w:pPr>
      <w:r>
        <w:rPr>
          <w:b/>
        </w:rPr>
        <w:t xml:space="preserve">Abstract (EN): </w:t>
      </w:r>
      <w:r>
        <w:t>The equivalent parasitic capacitance (Cp) of motor windings causes the voltage/current overshoot and ringing during the switching of wide-bandgap semiconductor devices. Therefore, it is necessary to model and calculate Cp to evaluate its impact on the switching devices. However, due to the winding deviations and spatial constraints of the slots, the arrangement of coils is disordered. Using the ideal single value of Cp may lead to the significant deviations in the evaluation of switching transients. To address the above issues, the analytical method of parasitic capacitance considering the impact of distributed disorder is studied in this paper. The impact of the winding model on the calculated value of Cp is investigated. The winding distribution patterns are categorized into three types: uniform, partially disordered, and fully disordered. An analytical method for the distributed capacitance is developed, incorporating the influence of random coil placement. A set of samples for the parasitic capacitance values of disordered windings is generated using a random sampling method. The sample distribution is determined through confidence intervals and the Chernoff bound to approximate the original distribution. The similarity between the two distributions is verified using the K-S test. The region with the highest frequency in the sample distribution is identified as the prediction interval for the winding’s parasitic capacitance value. Finally, the measurements are performed on the disordered distribution winding samples. The results prove the effectiveness and feasibility of the proposed method.</w:t>
      </w:r>
    </w:p>
    <w:p>
      <w:pPr>
        <w:spacing w:before="120" w:after="120"/>
      </w:pPr>
      <w:r>
        <w:rPr>
          <w:sz w:val="18"/>
        </w:rPr>
        <w:t>——————————————————————————————————————————————————————————————————————</w:t>
      </w:r>
    </w:p>
    <w:p>
      <w:pPr>
        <w:spacing w:before="160" w:after="40" w:line="240" w:lineRule="auto"/>
      </w:pPr>
      <w:r>
        <w:rPr>
          <w:b/>
        </w:rPr>
        <w:t xml:space="preserve">[391] </w:t>
      </w:r>
      <w:hyperlink r:id="rId1111">
        <w:r>
          <w:rPr>
            <w:color w:val="1155CC"/>
            <w:u w:val="single"/>
          </w:rPr>
          <w:t>具有固有约束满足的感应电机非线性损耗最小化控制</w:t>
        </w:r>
      </w:hyperlink>
    </w:p>
    <w:p>
      <w:pPr>
        <w:spacing w:before="0" w:after="80"/>
      </w:pPr>
      <w:r>
        <w:rPr>
          <w:i/>
          <w:sz w:val="20"/>
        </w:rPr>
        <w:t>EN: Nonlinear Loss-Minimizing Control of Induction Motors With Inherent Constraint Satisfaction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112">
        <w:r>
          <w:rPr>
            <w:color w:val="1155CC"/>
            <w:u w:val="single"/>
          </w:rPr>
          <w:t>10.1109/tec.2026.3666060</w:t>
        </w:r>
      </w:hyperlink>
    </w:p>
    <w:p>
      <w:pPr>
        <w:spacing w:before="0" w:after="120"/>
      </w:pPr>
      <w:r>
        <w:rPr>
          <w:b/>
        </w:rPr>
        <w:t xml:space="preserve">Notes: </w:t>
      </w:r>
      <w:r>
        <w:t>abstract_source=semanticscholar</w:t>
      </w:r>
    </w:p>
    <w:p>
      <w:pPr>
        <w:spacing w:before="0" w:after="80" w:lineRule="auto" w:line="276"/>
      </w:pPr>
      <w:r>
        <w:rPr>
          <w:b/>
        </w:rPr>
        <w:t xml:space="preserve">摘要（ZH）: </w:t>
      </w:r>
      <w:r>
        <w:t>本文针对感应电机提出了一种新颖的非线性损耗最小化控制结构，可实现磁场定向运行，并在稳态下最小化电机总铜损和铁损，同时固有地保证所需的运行约束（电流和电压）。与需要求解复杂优化问题并根据运行约束连续（在线）更新电流参考值的传统损耗最小化控制器不同，所提出的非线性损耗最小化控制（NLMC）采用了一种新颖的结构，可将电机电流和电压固有地限制在期望的约束集内，并且只需离线求解一个简化的优化问题。利用非线性系统理论（最终有界性、向量场和不变集理论），对所提出的NLMC应用中电机电流的有界性和全部约束满足性进行了解析证明，随后进行了详细的闭环系统稳定性分析。为了验证理论贡献，使用Typhoon HIL数字实时仿真器以及一台1.5 kW Leroy Somer感应电机（速度参考值和负载转矩变化）的实验平台，将所提出的NLMC与成熟的磁场定向控制和传统损耗最小化控制进行了直接比较。实时仿真和实验过程均证明了NLMC在速度参考值和转矩负载变化下调节电机转速的能力，同时实现了</w:t>
      </w:r>
    </w:p>
    <w:p>
      <w:pPr>
        <w:spacing w:before="0" w:after="200" w:lineRule="auto" w:line="276"/>
      </w:pPr>
      <w:r>
        <w:rPr>
          <w:b/>
        </w:rPr>
        <w:t xml:space="preserve">Abstract (EN): </w:t>
      </w:r>
      <w:r>
        <w:t>In this paper, a novel nonlinear loss-minimizing control structure is proposed for induction motors that achieves field-oriented operation and minimization of the total copper and iron motor losses at the steady state, while inherently guaranteeing the required operating constraints (current and voltage). Opposed to the conventional loss-minimizing controllers that require the solution of a complex optimization problem and the continuous (online) update of the current reference values depending on the operating constraints, the proposed nonlinear loss-minimizing control (NLMC) introduces a novel structure that inherently limits the motor current and voltage inside the desired constraint set and requires the solution of a simplified optimization problem offline. Using nonlinear system theory (ultimate boundedness, vector field and invariant set theory), the boundedness of the motor currents and the entire constraint satisfaction are analytically proven for the proposed NLMC application, followed by a detailed closed-loop system stability analysis. In order to verify the theoretical contribution, the proposed NLMC is directly compared to the well-established field-oriented control and the conventional loss-minimizing control, using a digital Typhoon HIL real-time simulator and an experimental setup of a 1.5 kW Leroy Somer induction motor with varying speed reference and load torque values. Both the real-time simulation and the experimental procedure prove the NLMC capability of regulating the motor speed under speed reference values and torque load changes, while it achieves a minimum losses operation with inherent constraints satisfaction, by utilizing a simpler optimization problem.</w:t>
      </w:r>
    </w:p>
    <w:p>
      <w:pPr>
        <w:spacing w:before="120" w:after="120"/>
      </w:pPr>
      <w:r>
        <w:rPr>
          <w:sz w:val="18"/>
        </w:rPr>
        <w:t>——————————————————————————————————————————————————————————————————————</w:t>
      </w:r>
    </w:p>
    <w:p>
      <w:pPr>
        <w:spacing w:before="160" w:after="40" w:line="240" w:lineRule="auto"/>
      </w:pPr>
      <w:r>
        <w:rPr>
          <w:b/>
        </w:rPr>
        <w:t xml:space="preserve">[392] </w:t>
      </w:r>
      <w:hyperlink r:id="rId1113">
        <w:r>
          <w:rPr>
            <w:color w:val="1155CC"/>
            <w:u w:val="single"/>
          </w:rPr>
          <w:t>基于Andronov-Hopf振荡器的并网逆变器谐波消除方案</w:t>
        </w:r>
      </w:hyperlink>
    </w:p>
    <w:p>
      <w:pPr>
        <w:spacing w:before="0" w:after="80"/>
      </w:pPr>
      <w:r>
        <w:rPr>
          <w:i/>
          <w:sz w:val="20"/>
        </w:rPr>
        <w:t>EN: Andronov-Hopf Oscillator-Based Harmonic Elimination Scheme for Grid-Connected Inverters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14">
        <w:r>
          <w:rPr>
            <w:color w:val="1155CC"/>
            <w:u w:val="single"/>
          </w:rPr>
          <w:t>10.1109/tsg.2026.3674889</w:t>
        </w:r>
      </w:hyperlink>
    </w:p>
    <w:p>
      <w:pPr>
        <w:spacing w:before="0" w:after="120"/>
      </w:pPr>
      <w:r>
        <w:rPr>
          <w:b/>
        </w:rPr>
        <w:t xml:space="preserve">Notes: </w:t>
      </w:r>
      <w:r>
        <w:t>abstract_source=semanticscholar</w:t>
      </w:r>
    </w:p>
    <w:p>
      <w:pPr>
        <w:spacing w:before="0" w:after="80" w:lineRule="auto" w:line="276"/>
      </w:pPr>
      <w:r>
        <w:rPr>
          <w:b/>
        </w:rPr>
        <w:t xml:space="preserve">摘要（ZH）: </w:t>
      </w:r>
      <w:r>
        <w:t>传统的并网逆变器(GCI)谐波消除方法依赖于对各次谐波的单独提取与补偿,导致复杂度增加且动态响应缓慢。本文提出了基于虚拟振荡器的谐波补偿(VO-HC)方法。该方法使用Andronov–Hopf振荡器并非用于同步或构网目的,而是用于从畸变的电网电流中提取基波分量。Hopf振荡器固有地具有频率自适应性,与传统滤波器相比,能够以可忽略的相位延迟提取基波分量并衰减谐波。即使在频率偏差和弱电网条件下,该提取器也能提供单位增益的基波跟踪。随后将提取的基波从实测电网电流中减去,以分离出电网电流谐波。这些谐波通过静止坐标系中一个简单的比例补偿器回路作为前馈进行补偿,与传统的同步旋转坐标系(SRF)电流控制器并行运行。由此实现对电网电流低次谐波的快速补偿,改善了GCI系统的总谐波畸变率(THD)。实验结果表明,THD从高达18.4%降低至2.5%以下,暂态调节时间约为2–3 ms。通过在实验室双逆变器微电网平台上在畸变和弱电网条件下进行的仿真和实验,验证了所提方法的有效性。</w:t>
      </w:r>
    </w:p>
    <w:p>
      <w:pPr>
        <w:spacing w:before="0" w:after="200" w:lineRule="auto" w:line="276"/>
      </w:pPr>
      <w:r>
        <w:rPr>
          <w:b/>
        </w:rPr>
        <w:t xml:space="preserve">Abstract (EN): </w:t>
      </w:r>
      <w:r>
        <w:t>Conventional harmonic elimination methods for Grid-Connected Inverters (GCI) rely on individual harmonic extraction and compensation, resulting in increased complexity and slow dynamic response. In this paper, the Virtual Oscillator based Harmonic Compensation (VO-HC) is proposed. It uses the Andronov–Hopf oscillator not for synchronization or grid-forming purposes, but to extract the fundamental component from the distorted grid current. The Hopf oscillator is inherently frequency-adaptive, allowing it to extract the fundamental component and attenuate harmonics with negligible phase delay compared to traditional filters. The extractor provides unity-gain fundamental tracking even under frequency deviations and weak-grid conditions. The extracted fundamental is then subtracted from the measured grid current to isolate the grid current harmonics. These harmonics are compensated using a simple proportional compensator loop in the stationary frame as a feedforward, operating in parallel with a conventional Synchronous Reference Frame (SRF) current controller. This results in fast low-order harmonic compensation of grid current, improving the Total Harmonic Distortion (THD) of the GCI system. Experimental results demonstrate THD reduction from up to 18.4% to below 2.5%, with a transient settling time of approximately 2–3 ms. The effectiveness of the proposed method is validated through both simulation and experimental results conducted on a laboratory two-inverter microgrid setup under distorted and weak-grid conditions.</w:t>
      </w:r>
    </w:p>
    <w:p>
      <w:pPr>
        <w:spacing w:before="120" w:after="120"/>
      </w:pPr>
      <w:r>
        <w:rPr>
          <w:sz w:val="18"/>
        </w:rPr>
        <w:t>——————————————————————————————————————————————————————————————————————</w:t>
      </w:r>
    </w:p>
    <w:p>
      <w:pPr>
        <w:spacing w:before="160" w:after="40" w:line="240" w:lineRule="auto"/>
      </w:pPr>
      <w:r>
        <w:rPr>
          <w:b/>
        </w:rPr>
        <w:t xml:space="preserve">[393] </w:t>
      </w:r>
      <w:hyperlink r:id="rId1115">
        <w:r>
          <w:rPr>
            <w:color w:val="1155CC"/>
            <w:u w:val="single"/>
          </w:rPr>
          <w:t>无刷双馈感应发电机无Crowbar不对称低电压穿越期间控制绕组电流的分析与计算</w:t>
        </w:r>
      </w:hyperlink>
    </w:p>
    <w:p>
      <w:pPr>
        <w:spacing w:before="0" w:after="80"/>
      </w:pPr>
      <w:r>
        <w:rPr>
          <w:i/>
          <w:sz w:val="20"/>
        </w:rPr>
        <w:t>EN: Analysis and Calculation of the Control Winding Current During Crowbarless Asymmetrical Low-Voltage Ride-Through for Brushless Doubly-Fed Induction Generators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116">
        <w:r>
          <w:rPr>
            <w:color w:val="1155CC"/>
            <w:u w:val="single"/>
          </w:rPr>
          <w:t>10.1109/tec.2026.3657650</w:t>
        </w:r>
      </w:hyperlink>
    </w:p>
    <w:p>
      <w:pPr>
        <w:spacing w:before="0" w:after="120"/>
      </w:pPr>
      <w:r>
        <w:rPr>
          <w:b/>
        </w:rPr>
        <w:t xml:space="preserve">Notes: </w:t>
      </w:r>
      <w:r>
        <w:t>abstract_source=semanticscholar</w:t>
      </w:r>
    </w:p>
    <w:p>
      <w:pPr>
        <w:spacing w:before="0" w:after="80" w:lineRule="auto" w:line="276"/>
      </w:pPr>
      <w:r>
        <w:rPr>
          <w:b/>
        </w:rPr>
        <w:t xml:space="preserve">摘要（ZH）: </w:t>
      </w:r>
      <w:r>
        <w:t>目前的无Crowbar不对称低电压穿越(LVRT)控制绕组(CW)电流计算不准确,其原因是在无刷双馈感应发电机(BDFIG)的无Crowbar不对称低电压穿越过程中未完整考虑机侧变流器(MSC)的输出限制。此外,关于CW电流峰值与故障发生时刻之间关系的文献匮乏,而这对于分析和评估BDFIG LVRT控制策略的有效性具有显著影响。为应对这一挑战,本文考虑了MSC中的暂态过程,为SVPWM过调制提供了创新性的CW磁链近似表达式,并首次推导了考虑故障发生时刻的CW暂态电流表达式。利用该表达式,计算了BDFIG样机在不同时刻发生故障时的CW电流。计算结果表明,CW电流的峰值与故障发生时刻密切相关,且在不同时刻发生故障时,CW电流的最大峰值超过最小峰值的两倍。在不同不对称短路故障下的大量仿真和实验结果验证了所提表达式的正确性和有效性。</w:t>
      </w:r>
    </w:p>
    <w:p>
      <w:pPr>
        <w:spacing w:before="0" w:after="200" w:lineRule="auto" w:line="276"/>
      </w:pPr>
      <w:r>
        <w:rPr>
          <w:b/>
        </w:rPr>
        <w:t xml:space="preserve">Abstract (EN): </w:t>
      </w:r>
      <w:r>
        <w:t>The present control winding (CW) current calculations are inaccurate due to the incomplete consideration of the output limitation of the machine side converter (MSC) during the crowbarless asymmetrical low-voltage ride-through (LVRT) of the brushless doubly-fed induction generator (BDFIG). Furthermore, there is a paucity of literature on the relationship between the peak CW currents and the time of the fault occurrence, which has a distinct impact on the analysis and evaluation of the effectiveness of the BDFIG LVRT control strategy. To address this challenge, this paper considers the transient process in the MSC, provides an innovative approximate expression for the CW flux linkage in SVPWM overmodulation, and derives an expression for the CW transient current considering the time of fault occurrence for the first time. From the expression, the CW current of the BDFIG prototype was calculated when the fault occurs at different moments. The calculation results indicate that the peak value of CW is closely related to the time of the fault occurrence and the maximum peak value of the CW current is more than twice the minimum peak value when the fault occurs at different times. Extensive simulation and experimental results under different asymmetrical short-circuit fault have validated the correctness and effectiveness of the proposed expression.</w:t>
      </w:r>
    </w:p>
    <w:p>
      <w:pPr>
        <w:spacing w:before="120" w:after="120"/>
      </w:pPr>
      <w:r>
        <w:rPr>
          <w:sz w:val="18"/>
        </w:rPr>
        <w:t>——————————————————————————————————————————————————————————————————————</w:t>
      </w:r>
    </w:p>
    <w:p>
      <w:pPr>
        <w:spacing w:before="160" w:after="40" w:line="240" w:lineRule="auto"/>
      </w:pPr>
      <w:r>
        <w:rPr>
          <w:b/>
        </w:rPr>
        <w:t xml:space="preserve">[394] </w:t>
      </w:r>
      <w:hyperlink r:id="rId1117">
        <w:r>
          <w:rPr>
            <w:color w:val="1155CC"/>
            <w:u w:val="single"/>
          </w:rPr>
          <w:t>基于扰动观测器的五相容错IPM电机驱动改进快速终端滑模控制</w:t>
        </w:r>
      </w:hyperlink>
    </w:p>
    <w:p>
      <w:pPr>
        <w:spacing w:before="0" w:after="80"/>
      </w:pPr>
      <w:r>
        <w:rPr>
          <w:i/>
          <w:sz w:val="20"/>
        </w:rPr>
        <w:t>EN: Improved Fast Terminal Sliding Mode Control With Disturbance Observer for Five-Phase Fault-Tolerant IPM Motor Drives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118">
        <w:r>
          <w:rPr>
            <w:color w:val="1155CC"/>
            <w:u w:val="single"/>
          </w:rPr>
          <w:t>10.1109/tec.2026.3671116</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了一种用于五相容错分数槽集中绕组内置式永磁(FTFSCW-IPM)电机驱动的复合控制策略,旨在缓解滑模控制中长期以来快速动态响应、抖振抑制与抗扰之间的权衡问题。本文开发了一种具有连续切换函数的变指数快速终端趋近律,以显式地塑造趋近动力学,使系统状态远离滑模面时能够快速收敛,同时确保在滑模面附近行为平滑。为进一步增强对负载转矩扰动的鲁棒性,引入了具有微增强校正结构的Luenberger转矩扰动观测器(LTDO)作为前馈补偿通道,从而将抗扰设计与滑模切换增益设计解耦。此外,进行了涉及四种代表性控制方案的系统性对比研究,以清晰区分快速终端滑模结构与扰动观测器的单独和组合效果。仿真和实验结果均表明,所提策略在负载转矩突变下实现了优异的转速跟踪性能和更强的抗扰能力。</w:t>
      </w:r>
    </w:p>
    <w:p>
      <w:pPr>
        <w:spacing w:before="0" w:after="200" w:lineRule="auto" w:line="276"/>
      </w:pPr>
      <w:r>
        <w:rPr>
          <w:b/>
        </w:rPr>
        <w:t xml:space="preserve">Abstract (EN): </w:t>
      </w:r>
      <w:r>
        <w:t>This paper presents a composite control strategy for five-phase fault-tolerant fractional-slot concentrated winding interior permanent magnet (FTFSCW-IPM) motor drives, aiming to alleviate the long-standing trade-off between fast dynamic response, chattering suppression, and disturbance rejection in sliding mode control. A variable exponential fast terminal reaching law with a continuous switching function is developed to explicitly shape the reaching dynamics, enabling rapid convergence when the system state is far from the sliding surface while ensuring smooth behavior near the surface. To further enhance robustness against load torque disturbances, a Luenberger torque disturbance observer (LTDO) with a slightly enhanced correction structure is incorporated as a feedforward compensation channel, thereby decoupling disturbance rejection from the sliding-mode switching gain design. In addition, a systematic comparative study involving four representative control schemes is conducted to clearly distinguish the individual and combined effects of the fast terminal sliding mode structure and the disturbance observer. Both simulation and experimental results demonstrate that the proposed strategy achieves excellent speed tracking performance and improved disturbance rejection under sudden load torque variations.</w:t>
      </w:r>
    </w:p>
    <w:p>
      <w:pPr>
        <w:spacing w:before="120" w:after="120"/>
      </w:pPr>
      <w:r>
        <w:rPr>
          <w:sz w:val="18"/>
        </w:rPr>
        <w:t>——————————————————————————————————————————————————————————————————————</w:t>
      </w:r>
    </w:p>
    <w:p>
      <w:pPr>
        <w:spacing w:before="160" w:after="40" w:line="240" w:lineRule="auto"/>
      </w:pPr>
      <w:r>
        <w:rPr>
          <w:b/>
        </w:rPr>
        <w:t xml:space="preserve">[395] </w:t>
      </w:r>
      <w:hyperlink r:id="rId1119">
        <w:r>
          <w:rPr>
            <w:color w:val="1155CC"/>
            <w:u w:val="single"/>
          </w:rPr>
          <w:t>集成微电网-电动汽车充电站的集中式多功能功率管理</w:t>
        </w:r>
      </w:hyperlink>
    </w:p>
    <w:p>
      <w:pPr>
        <w:spacing w:before="0" w:after="80"/>
      </w:pPr>
      <w:r>
        <w:rPr>
          <w:i/>
          <w:sz w:val="20"/>
        </w:rPr>
        <w:t>EN: Centralized Multi-Functional Power Management of an Integrated Microgrid–Electric Vehicle Charging Station</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20">
        <w:r>
          <w:rPr>
            <w:color w:val="1155CC"/>
            <w:u w:val="single"/>
          </w:rPr>
          <w:t>10.1109/tsg.2026.3667702</w:t>
        </w:r>
      </w:hyperlink>
    </w:p>
    <w:p>
      <w:pPr>
        <w:spacing w:before="0" w:after="120"/>
      </w:pPr>
      <w:r>
        <w:rPr>
          <w:b/>
        </w:rPr>
        <w:t xml:space="preserve">Notes: </w:t>
      </w:r>
      <w:r>
        <w:t>abstract_source=semanticscholar</w:t>
      </w:r>
    </w:p>
    <w:p>
      <w:pPr>
        <w:spacing w:before="0" w:after="80" w:lineRule="auto" w:line="276"/>
      </w:pPr>
      <w:r>
        <w:rPr>
          <w:b/>
        </w:rPr>
        <w:t xml:space="preserve">摘要（ZH）: </w:t>
      </w:r>
      <w:r>
        <w:t>迄今为止,已设计了多种将电动汽车(EV)充电站(CS)与微电网(MG)集成的电力管理系统,各自解决并网或离网运行的不同方面问题。然而,以往尚无研究开发涵盖所有可能运行模式的多目标电力管理方案,包括MG并网(G)无CS运行、CS并网无MG运行、MG-CS并网集成运行、MG和CS离网自治运行,以及无G时MG与CS之间的相互作用。本文针对上述运行模式,建模并设计了采用集中控制系统的创新多功能电力管理策略,并在MATLAB-SIMULINK的时域非线性环境中进行了仿真。结果表明,不同方案在各种运行状态下均具有良好的性能。</w:t>
      </w:r>
    </w:p>
    <w:p>
      <w:pPr>
        <w:spacing w:before="0" w:after="200" w:lineRule="auto" w:line="276"/>
      </w:pPr>
      <w:r>
        <w:rPr>
          <w:b/>
        </w:rPr>
        <w:t xml:space="preserve">Abstract (EN): </w:t>
      </w:r>
      <w:r>
        <w:t>Various power management systems for microgrids (MGs) integrated with electric vehicle (EV) charging stations (CSs) have been designed so far, each addressing different aspects of grid-connected or off-grid operation. However, no previous research has developed multi-objective power management schemes that encompass all possible operating modes, including MG operation with the grid (G) without CS, CS operation with G without MG, MG-CS integrated operation with G, MG and CS autonomous operation in off-grid mode, and the interaction between MG and CS without G. In this article, innovative multi-functional power management strategies utilizing centralized control system have been modeled and designed for the aforementioned operational modes and simulated in the time-domain nonlinear environment of the MATLAB-SIMULINK. The results indicate the effective performance of different schemes in various operational states.</w:t>
      </w:r>
    </w:p>
    <w:p>
      <w:pPr>
        <w:spacing w:before="120" w:after="120"/>
      </w:pPr>
      <w:r>
        <w:rPr>
          <w:sz w:val="18"/>
        </w:rPr>
        <w:t>——————————————————————————————————————————————————————————————————————</w:t>
      </w:r>
    </w:p>
    <w:p>
      <w:pPr>
        <w:spacing w:before="160" w:after="40" w:line="240" w:lineRule="auto"/>
      </w:pPr>
      <w:r>
        <w:rPr>
          <w:b/>
        </w:rPr>
        <w:t xml:space="preserve">[396] </w:t>
      </w:r>
      <w:hyperlink r:id="rId1121">
        <w:r>
          <w:rPr>
            <w:color w:val="1155CC"/>
            <w:u w:val="single"/>
          </w:rPr>
          <w:t>自旋玻璃与短程序之间的时间和空间分离</w:t>
        </w:r>
      </w:hyperlink>
    </w:p>
    <w:p>
      <w:pPr>
        <w:spacing w:before="0" w:after="80"/>
      </w:pPr>
      <w:r>
        <w:rPr>
          <w:i/>
          <w:sz w:val="20"/>
        </w:rPr>
        <w:t>EN: Temporal and spatial separations between spin glass and short-range order</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122">
        <w:r>
          <w:rPr>
            <w:color w:val="1155CC"/>
            <w:u w:val="single"/>
          </w:rPr>
          <w:t>10.1016/j.matt.2026.102829</w:t>
        </w:r>
      </w:hyperlink>
    </w:p>
    <w:p>
      <w:pPr>
        <w:spacing w:before="0" w:after="120"/>
      </w:pPr>
      <w:r>
        <w:rPr>
          <w:b/>
        </w:rPr>
        <w:t xml:space="preserve">Notes: </w:t>
      </w:r>
      <w:r>
        <w:t>abstract_source=semanticscholar</w:t>
      </w:r>
    </w:p>
    <w:p>
      <w:pPr>
        <w:spacing w:before="0" w:after="80" w:lineRule="auto" w:line="276"/>
      </w:pPr>
      <w:r>
        <w:rPr>
          <w:b/>
        </w:rPr>
        <w:t xml:space="preserve">摘要（ZH）: </w:t>
      </w:r>
      <w:r>
        <w:t>对称性破缺诱导的序参量解释了凝聚态物理学中的诸多现象。对于自旋玻璃,这一框架决定了其理论构建,而实验仅确立了诸如频率相关磁化率和老化等动态行为,却未确立热力学相。当将自旋玻璃作为孤立态探测时,实验技术存在局限性。为解决这一难题,我们通过对尖晶石亚晶格上无序度的良好控制调节,实现了从长程有序的演化。在长(毫秒至秒)和短(皮秒)时间尺度上对一系列样品进行交叉参照,阐明了自旋玻璃与长程、短程有序之间的关系。中子磁漫散射揭示,短程和长程有序形成的动力学不受无序度影响,但这些有序的范围会因引入的无序而改变。在所有样品中,关联长度温度依赖关系的拐点与热容峰值完全吻合,而自旋玻璃既可以在这一自旋有序形成的特征温度之下冻结,也可以在远高于该温度处冻结。我们的结果确定了二者的非相关共存,并将自旋玻璃的组成部分归因于自旋簇之间畴壁上的单个自旋。</w:t>
      </w:r>
    </w:p>
    <w:p>
      <w:pPr>
        <w:spacing w:before="0" w:after="200" w:lineRule="auto" w:line="276"/>
      </w:pPr>
      <w:r>
        <w:rPr>
          <w:b/>
        </w:rPr>
        <w:t xml:space="preserve">Abstract (EN): </w:t>
      </w:r>
      <w:r>
        <w:t>Broken-symmetry-induced order parameters account for many phenomena in condensed matter physics. For spin glasses, such a framework dictates its theoretical construction, whereas experiments have only established dynamical behaviors such as frequency dependent magnetic susceptibility and aging but not the thermodynamic phase. Experimental techniques have limitations when the spin glass is probed as an isolated state. To resolve this conundrum, we create an evolution from long-range order using a well-controlled tuning of the disorder on a spinel's sublattice. Cross-referencing a series of specimens at both long (milliseconds to seconds) and short (picosecond) time scales illustrates the relationship between spin glass and long- and short-range orders. The dynamics of short- and long-range order formations are not affected by disorder, as revealed by neutron magnetic diffuse scattering, however the ranges of these orderings are changed by the introduced disorder. Across all specimens, the inflection point of the correlation length's temperature dependence fully matches with the peak in heat capacity, while spin glass can freeze either below or well above this characteristic temperature of spin order formation. Our results identify an uncorrelated coexistence of the two and attribute components of the spin glass to individual spins at domain walls between spin clusters.</w:t>
      </w:r>
    </w:p>
    <w:p>
      <w:pPr>
        <w:spacing w:before="120" w:after="120"/>
      </w:pPr>
      <w:r>
        <w:rPr>
          <w:sz w:val="18"/>
        </w:rPr>
        <w:t>——————————————————————————————————————————————————————————————————————</w:t>
      </w:r>
    </w:p>
    <w:p>
      <w:pPr>
        <w:spacing w:before="160" w:after="40" w:line="240" w:lineRule="auto"/>
      </w:pPr>
      <w:r>
        <w:rPr>
          <w:b/>
        </w:rPr>
        <w:t xml:space="preserve">[397] </w:t>
      </w:r>
      <w:hyperlink r:id="rId1123">
        <w:r>
          <w:rPr>
            <w:color w:val="1155CC"/>
            <w:u w:val="single"/>
          </w:rPr>
          <w:t>连接微电子与兆伏级电网的纳米级分层涂层组件</w:t>
        </w:r>
      </w:hyperlink>
    </w:p>
    <w:p>
      <w:pPr>
        <w:spacing w:before="0" w:after="80"/>
      </w:pPr>
      <w:r>
        <w:rPr>
          <w:i/>
          <w:sz w:val="20"/>
        </w:rPr>
        <w:t>EN: Nanometric layered coating assembly bridging across micro-electronics and mega-voltage power grids</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223">
        <w:r>
          <w:rPr>
            <w:color w:val="1155CC"/>
            <w:u w:val="single"/>
          </w:rPr>
          <w:t>10.1016/j.matt.2026.103002</w:t>
        </w:r>
      </w:hyperlink>
    </w:p>
    <w:p>
      <w:pPr>
        <w:spacing w:before="0" w:after="120"/>
      </w:pPr>
      <w:r>
        <w:rPr>
          <w:b/>
        </w:rPr>
        <w:t xml:space="preserve">Notes: </w:t>
      </w:r>
      <w:r>
        <w:t>abstract_source=rss_cell</w:t>
      </w:r>
    </w:p>
    <w:p>
      <w:pPr>
        <w:spacing w:before="0" w:after="80" w:lineRule="auto" w:line="276"/>
      </w:pPr>
      <w:r>
        <w:rPr>
          <w:b/>
        </w:rPr>
        <w:t xml:space="preserve">摘要（ZH）: </w:t>
      </w:r>
      <w:r>
        <w:t>电绝缘仍然是从微电子到兆伏级电网等各类电子与电气系统中普遍存在的关键挑战。许多绝缘失效源于不利的界面过程，包括载流子注入、表面闪络和放电侵蚀。本文重点介绍一种基于保形自组装二维纳米涂层的可扩展、技术可行且统一的表面工程解决方案，该涂层可在极端的电学、环境和热应力下提供多功能屏障保护。我们设想这种自组装纳米涂层作为一种整体性的介电表面重构方法，将赋能下一代电气化技术。</w:t>
      </w:r>
    </w:p>
    <w:p>
      <w:pPr>
        <w:spacing w:before="0" w:after="200" w:lineRule="auto" w:line="276"/>
      </w:pPr>
      <w:r>
        <w:rPr>
          <w:b/>
        </w:rPr>
        <w:t xml:space="preserve">Abstract (EN): </w:t>
      </w:r>
      <w:r>
        <w:t>Electrical insulation remains a universal and critical challenge across electronic and electrical systems, from micro-electronics to mega-volt power grids. Many insulation failures originate from adverse interfacial processes, including carrier injection, surface flashover, and discharge erosion. This article highlights a scalable, technologically viable, and unified surface engineering solution based on conformal, self-assembled 2D nanocoating, which provide multifunctional barrier protection under extreme electrical, environmental, and thermal stresses. We envision this self-assembled nanocoating as a holistic dielectric surface re-engineering approach, enabling the next generation of electrification technologies.</w:t>
      </w:r>
    </w:p>
    <w:p>
      <w:pPr>
        <w:spacing w:before="120" w:after="120"/>
      </w:pPr>
      <w:r>
        <w:rPr>
          <w:sz w:val="18"/>
        </w:rPr>
        <w:t>——————————————————————————————————————————————————————————————————————</w:t>
      </w:r>
    </w:p>
    <w:p>
      <w:pPr>
        <w:spacing w:before="160" w:after="40" w:line="240" w:lineRule="auto"/>
      </w:pPr>
      <w:r>
        <w:rPr>
          <w:b/>
        </w:rPr>
        <w:t xml:space="preserve">[398] </w:t>
      </w:r>
      <w:hyperlink r:id="rId1124">
        <w:r>
          <w:rPr>
            <w:color w:val="1155CC"/>
            <w:u w:val="single"/>
          </w:rPr>
          <w:t>面向延迟与攻击下安全可扩展对等能源交易的基于分片的异步协调</w:t>
        </w:r>
      </w:hyperlink>
    </w:p>
    <w:p>
      <w:pPr>
        <w:spacing w:before="0" w:after="80"/>
      </w:pPr>
      <w:r>
        <w:rPr>
          <w:i/>
          <w:sz w:val="20"/>
        </w:rPr>
        <w:t>EN: Sharding-Based Asynchronous Coordination for Secure and Scalable Peer-to-Peer Energy Trading Under Delays and Attacks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25">
        <w:r>
          <w:rPr>
            <w:color w:val="1155CC"/>
            <w:u w:val="single"/>
          </w:rPr>
          <w:t>10.1109/tsg.2026.3684113</w:t>
        </w:r>
      </w:hyperlink>
    </w:p>
    <w:p>
      <w:pPr>
        <w:spacing w:before="0" w:after="120"/>
      </w:pPr>
      <w:r>
        <w:rPr>
          <w:b/>
        </w:rPr>
        <w:t xml:space="preserve">Notes: </w:t>
      </w:r>
      <w:r>
        <w:t>abstract_source=semanticscholar</w:t>
      </w:r>
    </w:p>
    <w:p>
      <w:pPr>
        <w:spacing w:before="0" w:after="80" w:lineRule="auto" w:line="276"/>
      </w:pPr>
      <w:r>
        <w:rPr>
          <w:b/>
        </w:rPr>
        <w:t xml:space="preserve">摘要（ZH）: </w:t>
      </w:r>
      <w:r>
        <w:t>分布式能源的扩散催生了产消者和点对点（P2P）能源交易。然而，许多现有的需要迭代消息交换的去中心化市场出清方案容易受到虚假数据注入（FDI）攻击，并且在异构通信延迟下可能陷入停滞。区块链方案可增强完整性，但往往依赖同步优化和全局共识，导致开销过大。本文提出了一种面向网络约束P2P能源交易的基于分片的异步协调机制。首先，开发了一种异步去中心化优化方法，在网络约束下进行市场出清。其次，提出了一种动态分片方法，通过联合考虑交易关系和通信延迟将产消者划分到低延迟分片中，从而实现协调的局部化并减少跨网络同步。第三，设计了一种将异步更新与链式验证结构相结合的轻量级共识机制，用于验证消息正确性并检测恶意行为，从而无需全局同步轮次即可实现分片内的快速共识。案例研究表明，所提方法保持了可扩展性，与基准机制相比将总运行时间缩短了79.15%，同时在攻击场景下保持了安全的出清性能。</w:t>
      </w:r>
    </w:p>
    <w:p>
      <w:pPr>
        <w:spacing w:before="0" w:after="200" w:lineRule="auto" w:line="276"/>
      </w:pPr>
      <w:r>
        <w:rPr>
          <w:b/>
        </w:rPr>
        <w:t xml:space="preserve">Abstract (EN): </w:t>
      </w:r>
      <w:r>
        <w:t>The proliferation of distributed energy resources has enabled the emergence of prosumers and peer-to-peer (P2P) energy trading. However, many existing decentralized market clearing schemes that require iterative message exchanges are vulnerable to false data injection (FDI) and can stall under heterogeneous communication delays. Blockchain solutions enhance integrity but often rely on synchronous optimization and global consensus, yielding excessive overhead. In this paper, a sharding-based asynchronous coordination mechanism for network-constrained P2P energy trading is developed. First, an asynchronous decentralized optimization method is developed to clear the market with respect to network constraints. Second, a dynamic sharding method is proposed to partition prosumers into low-latency shards by jointly considering trading relationships and communication delays, thereby localizing coordination and reducing cross-network synchronization. Third, a lightweight consensus mechanism that integrates asynchronous updates with a chained verification structure is designed to verify message correctness and detect malicious behaviors, thereby enabling fast intrashard agreement without the need for global synchronous rounds. Case studies demonstrate that the proposed approach preserves scalability and reduces the overall runtime by 79.15% compared with benchmark mechanisms while maintaining secure clearing performance under attack scenarios.</w:t>
      </w:r>
    </w:p>
    <w:p>
      <w:pPr>
        <w:spacing w:before="120" w:after="120"/>
      </w:pPr>
      <w:r>
        <w:rPr>
          <w:sz w:val="18"/>
        </w:rPr>
        <w:t>——————————————————————————————————————————————————————————————————————</w:t>
      </w:r>
    </w:p>
    <w:p>
      <w:pPr>
        <w:spacing w:before="160" w:after="40" w:line="240" w:lineRule="auto"/>
      </w:pPr>
      <w:r>
        <w:rPr>
          <w:b/>
        </w:rPr>
        <w:t xml:space="preserve">[399] </w:t>
      </w:r>
      <w:hyperlink r:id="rId1126">
        <w:r>
          <w:rPr>
            <w:color w:val="1155CC"/>
            <w:u w:val="single"/>
          </w:rPr>
          <w:t>面向配电网实时电池储能调度的未来轨迹表示辅助DRL</w:t>
        </w:r>
      </w:hyperlink>
    </w:p>
    <w:p>
      <w:pPr>
        <w:spacing w:before="0" w:after="80"/>
      </w:pPr>
      <w:r>
        <w:rPr>
          <w:i/>
          <w:sz w:val="20"/>
        </w:rPr>
        <w:t>EN: Future Trajectory Representation-Aided DRL for Real-Time Battery Energy Storage Dispatch in Distribution Networks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27">
        <w:r>
          <w:rPr>
            <w:color w:val="1155CC"/>
            <w:u w:val="single"/>
          </w:rPr>
          <w:t>10.1109/tsg.2026.3673675</w:t>
        </w:r>
      </w:hyperlink>
    </w:p>
    <w:p>
      <w:pPr>
        <w:spacing w:before="0" w:after="120"/>
      </w:pPr>
      <w:r>
        <w:rPr>
          <w:b/>
        </w:rPr>
        <w:t xml:space="preserve">Notes: </w:t>
      </w:r>
      <w:r>
        <w:t>abstract_source=semanticscholar</w:t>
      </w:r>
    </w:p>
    <w:p>
      <w:pPr>
        <w:spacing w:before="0" w:after="80" w:lineRule="auto" w:line="276"/>
      </w:pPr>
      <w:r>
        <w:rPr>
          <w:b/>
        </w:rPr>
        <w:t xml:space="preserve">摘要（ZH）: </w:t>
      </w:r>
      <w:r>
        <w:t>由于决策过程的序贯特性，在分布式电网中调度电池储能系统（BESS）颇具挑战性，这需要考虑系统状态的未来不确定性和时间耦合约束。目前已开发出大量预测技术来刻画此类不确定性，但大多数技术仅以精度为优先，其对提升优化性能的潜力却鲜有研究。为弥补这一差距，本文提出了一种新颖的预测辅助深度强化学习（DRL）BESS调度方法，将未来轨迹表示纳入DRL状态空间以促进更具前瞻性的决策。具体而言，首先使用自监督对比学习离线训练一个无误差表示网络，对即将到来的电价、负荷需求和可再生出力轨迹进行编码。该网络利用自回归专家混合和可学习的傅里叶层显式解耦趋势与季节性模式。在在线控制过程中，DRL智能体同时接收当前系统状态和已学习的预测表示，并通过动态路由注意力机制对二者进行融合，自适应地平衡当前信息与未来信息。轨迹对比学习使所提方法能够更好地捕捉随机变量的时间动态，并生成更易于智能体利用的表示。通过将结构化预测表示纳入控制回路，所提方法能够做出更具前瞻性的充电</w:t>
      </w:r>
    </w:p>
    <w:p>
      <w:pPr>
        <w:spacing w:before="0" w:after="200" w:lineRule="auto" w:line="276"/>
      </w:pPr>
      <w:r>
        <w:rPr>
          <w:b/>
        </w:rPr>
        <w:t xml:space="preserve">Abstract (EN): </w:t>
      </w:r>
      <w:r>
        <w:t>Dispatching battery energy storage systems (BESS) in distributed grids is challenging due to the sequential nature of the decision-making process, which needs to account for future uncertainties in system states and time-coupling constraints. Numerous forecasting techniques have been developed to capture such uncertainties, but most prioritize accuracy alone, and their potential for enhancing optimization performance has rarely been studied. To bridge this gap, this paper proposes a novel forecasting-aided deep reinforcement learning (DRL)-based BESS dispatch approach that incorporates future trajectory representation into the DRL state space to facilitate more proactive decisions. Specifically, an error-free representation network is first trained offline using self-supervised contrastive learning to encode upcoming electricity prices, load demand, and renewable generation trajectories. It explicitly disentangles trend and seasonal patterns using a mixture of autoregressive experts and a learnable Fourier layer. During online control, the DRL agent receives both the current system state and the learned forecast representation, which are fused using a dynamic routing attention mechanism that adaptively balances present versus future information. The trajectory contrastive learning allows the proposed method to better capture the temporal dynamics of stochastic variables and generate representations that are easier for the agent to exploit. By incorporating structured predictive representations into the control loop, the proposed method can make more forward-looking charging and discharging decisions that consider future uncertainties. Extensive simulations on the IEEE 34-node and 123-node test systems demonstrate that the proposed method yields more cost-efficient BESS control policies compared to baseline approaches.</w:t>
      </w:r>
    </w:p>
    <w:p>
      <w:pPr>
        <w:spacing w:before="120" w:after="120"/>
      </w:pPr>
      <w:r>
        <w:rPr>
          <w:sz w:val="18"/>
        </w:rPr>
        <w:t>——————————————————————————————————————————————————————————————————————</w:t>
      </w:r>
    </w:p>
    <w:p>
      <w:pPr>
        <w:spacing w:before="160" w:after="40" w:line="240" w:lineRule="auto"/>
      </w:pPr>
      <w:r>
        <w:rPr>
          <w:b/>
        </w:rPr>
        <w:t xml:space="preserve">[400] </w:t>
      </w:r>
      <w:hyperlink r:id="rId1128">
        <w:r>
          <w:rPr>
            <w:color w:val="1155CC"/>
            <w:u w:val="single"/>
          </w:rPr>
          <w:t>基于自适应等效损耗最小化策略的氢-电池系统光伏功率最优平滑</w:t>
        </w:r>
      </w:hyperlink>
    </w:p>
    <w:p>
      <w:pPr>
        <w:spacing w:before="0" w:after="80"/>
      </w:pPr>
      <w:r>
        <w:rPr>
          <w:i/>
          <w:sz w:val="20"/>
        </w:rPr>
        <w:t>EN: Optimal PV Power Smoothing in Hydrogen-Battery Systems Using an Adaptive Equivalent Consumption Minimization Strategy</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29">
        <w:r>
          <w:rPr>
            <w:color w:val="1155CC"/>
            <w:u w:val="single"/>
          </w:rPr>
          <w:t>10.1109/tsg.2026.3668122</w:t>
        </w:r>
      </w:hyperlink>
    </w:p>
    <w:p>
      <w:pPr>
        <w:spacing w:before="0" w:after="120"/>
      </w:pPr>
      <w:r>
        <w:rPr>
          <w:b/>
        </w:rPr>
        <w:t xml:space="preserve">Notes: </w:t>
      </w:r>
      <w:r>
        <w:t>abstract_source=semanticscholar</w:t>
      </w:r>
    </w:p>
    <w:p>
      <w:pPr>
        <w:spacing w:before="0" w:after="80" w:lineRule="auto" w:line="276"/>
      </w:pPr>
      <w:r>
        <w:rPr>
          <w:b/>
        </w:rPr>
        <w:t xml:space="preserve">摘要（ZH）: </w:t>
      </w:r>
      <w:r>
        <w:t>光伏（PV）电站的功率波动对电网稳定性构成了重大障碍。混合储能系统（HESS）将电池储能系统（BESS）与氢能单元（即电解槽和燃料电池）相结合，为缓解光伏波动和减少弃电提供了可行方案。然而，现有控制策略通常基于规则或离线优化，缺乏应对关键实时挑战的能力，例如非线性效率特性、氢能子系统响应延迟、过度氢耗和电池退化，同时还需满足电网导则要求。本文提出了一种自适应等效消耗最小化策略（ECMS），用于氢-BESS系统的实时最优功率分配。该控制器最小化一个综合成本函数，其中包括基于经验效率曲线的效率感知调度、针对激进荷电状态（SOC）反转和氢过度使用的健康感知惩罚、针对氢能子系统响应滞后的延迟弹性补偿，以及基于在线BESS老化评估的退化感知控制。仿真结果表明，所提策略显著改善了爬坡率（RR）合规性和系统寿命。与基准技术相比，该ECMS将BESS退化降低了50%，并几乎消除了RR违规，同时保持了氢需求满足度并确保SOC的平稳恢复。</w:t>
      </w:r>
    </w:p>
    <w:p>
      <w:pPr>
        <w:spacing w:before="0" w:after="200" w:lineRule="auto" w:line="276"/>
      </w:pPr>
      <w:r>
        <w:rPr>
          <w:b/>
        </w:rPr>
        <w:t xml:space="preserve">Abstract (EN): </w:t>
      </w:r>
      <w:r>
        <w:t>Photovoltaic (PV) power plant variability presents a significant obstacle to grid stability. Hybrid energy storage systems (HESSs), which integrate battery energy storage systems (BESSs) with hydrogen units (i.e., electrolyzers and fuel cells), offer a viable solution to mitigate PV fluctuations and minimize power curtailment. However, existing control strategies are typically rule-based or offline-optimized, lacking the capability to address critical real-time challenges such as nonlinear efficiency characteristics, response delays in hydrogen subsystems, excessive hydrogen consumption, and battery degradation while complying with grid codes. This paper introduces an adaptive Equivalent Consumption Minimization Strategy (ECMS) for real-time, optimal power sharing among hydrogen-BESS systems. The controller minimizes a composite cost function that integrates efficiency-aware dispatch using empirical efficiency curves, health-aware penalties for aggressive state-of-charge (SOC) reversals and hydrogen overuse, delay-resilient compensation for hydrogen subsystem response lags, and degradation-aware control via online BESS aging assessment. Simulation results demonstrate that the proposed strategy significantly improves ramp rate (RR) compliance and system longevity. Compared to benchmark techniques, the ECMS reduces BESS degradation by 50% and nearly eliminates RR violations while maintaining hydrogen demand satisfaction and ensuring smooth SOC recovery.</w:t>
      </w:r>
    </w:p>
    <w:p>
      <w:pPr>
        <w:spacing w:before="120" w:after="120"/>
      </w:pPr>
      <w:r>
        <w:rPr>
          <w:sz w:val="18"/>
        </w:rPr>
        <w:t>——————————————————————————————————————————————————————————————————————</w:t>
      </w:r>
    </w:p>
    <w:p>
      <w:pPr>
        <w:spacing w:before="160" w:after="40" w:line="240" w:lineRule="auto"/>
      </w:pPr>
      <w:r>
        <w:rPr>
          <w:b/>
        </w:rPr>
        <w:t xml:space="preserve">[401] </w:t>
      </w:r>
      <w:hyperlink r:id="rId1130">
        <w:r>
          <w:rPr>
            <w:color w:val="1155CC"/>
            <w:u w:val="single"/>
          </w:rPr>
          <w:t>B-DRNet：一种基于立体视觉的变电站安全距离监测框架</w:t>
        </w:r>
      </w:hyperlink>
    </w:p>
    <w:p>
      <w:pPr>
        <w:spacing w:before="0" w:after="80"/>
      </w:pPr>
      <w:r>
        <w:rPr>
          <w:i/>
          <w:sz w:val="20"/>
        </w:rPr>
        <w:t>EN: B-DRNet: A Stereo Vision-Based Framework for Safety Distance Monitoring in Substations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31">
        <w:r>
          <w:rPr>
            <w:color w:val="1155CC"/>
            <w:u w:val="single"/>
          </w:rPr>
          <w:t>10.1109/tsg.2026.3683001</w:t>
        </w:r>
      </w:hyperlink>
    </w:p>
    <w:p>
      <w:pPr>
        <w:spacing w:before="0" w:after="120"/>
      </w:pPr>
      <w:r>
        <w:rPr>
          <w:b/>
        </w:rPr>
        <w:t xml:space="preserve">Notes: </w:t>
      </w:r>
      <w:r>
        <w:t>abstract_source=semanticscholar</w:t>
      </w:r>
    </w:p>
    <w:p>
      <w:pPr>
        <w:spacing w:before="0" w:after="80" w:lineRule="auto" w:line="276"/>
      </w:pPr>
      <w:r>
        <w:rPr>
          <w:b/>
        </w:rPr>
        <w:t xml:space="preserve">摘要（ZH）: </w:t>
      </w:r>
      <w:r>
        <w:t>监测运维人员与带电部件之间的安全距离对于保障智能电网安全稳定运行至关重要。为解决这一问题，本研究提出了一种将关键点检测与双目立体感知相结合的距离测量框架B-DRNet。该方法构建了包含三项改进的创新检测器架构：分层特征聚合模块（HFAB）、多尺度注意力超图（MSAH）和解耦检测头（DDH），显著增强了特征表示能力并提升了小目标检测精度。同时，采用基于GwcNet的立体感知模块获取稠密深度信息，并利用坐标映射实现三维距离测量。实验验证表明，所提检测器在检测性能和运行效率上均优于现有模型，AP提升了6.68%，帧率达到333 f/s，参数量降至1.05 M。平均测距误差为3.18%，满足实际应用需求，充分验证了其在变电站安全监测中的实用性和可靠性。B-DRNet在检测精度、运行效率和测距可靠性之间实现了良好平衡，能够在复杂变电站场景中实现稳定、准确的三维安全距离监测，为变电站自动化安全监测提供了高效解决方案。</w:t>
      </w:r>
    </w:p>
    <w:p>
      <w:pPr>
        <w:spacing w:before="0" w:after="200" w:lineRule="auto" w:line="276"/>
      </w:pPr>
      <w:r>
        <w:rPr>
          <w:b/>
        </w:rPr>
        <w:t xml:space="preserve">Abstract (EN): </w:t>
      </w:r>
      <w:r>
        <w:t>Monitoring the safety distance between maintenance personnel and live components is crucial for ensuring the safe and stable operation of the intelligent power grid. To address this issue, this study proposes a distance measurement framework, B-DRNet, which integrates keypoint detection with binocular stereo perception. The method constructs an innovative detector architecture incorporating three improvements: hierarchical feature aggregation block (HFAB), multi-scale attention hypergraph (MSAH), and a decoupled detection head (DDH), which significantly enhance feature representation capability and improve the detection accuracy of small objects. Meanwhile, a stereo perception module based on GwcNet is employed to obtain dense depth information, and coordinate mapping is utilized to achieve three-dimensional distance measurement. Experimental validation demonstrates that the proposed detector outperforms existing models in both detection performance and operational efficiency, with AP improved by 6.68%, frame rate reaching 333 f/s, and parameter size reduced to 1.05 M. The average distance measurement error is 3.18%, which meets practical application requirements and fully verifies its practicality and reliability in substation safety monitoring. B-DRNet achieves a favorable balance among detection accuracy, operational efficiency, and ranging reliability, enabling stable and accurate three-dimensional safety-distance monitoring in complex substation scenarios and providing an efficient solution for automated safety monitoring in substations.</w:t>
      </w:r>
    </w:p>
    <w:p>
      <w:pPr>
        <w:spacing w:before="120" w:after="120"/>
      </w:pPr>
      <w:r>
        <w:rPr>
          <w:sz w:val="18"/>
        </w:rPr>
        <w:t>——————————————————————————————————————————————————————————————————————</w:t>
      </w:r>
    </w:p>
    <w:p>
      <w:pPr>
        <w:spacing w:before="160" w:after="40" w:line="240" w:lineRule="auto"/>
      </w:pPr>
      <w:r>
        <w:rPr>
          <w:b/>
        </w:rPr>
        <w:t xml:space="preserve">[402] </w:t>
      </w:r>
      <w:hyperlink r:id="rId1132">
        <w:r>
          <w:rPr>
            <w:color w:val="1155CC"/>
            <w:u w:val="single"/>
          </w:rPr>
          <w:t>粒子状电动汽车聚合动力学的统一潮流建模与边界感知RoPINN框架</w:t>
        </w:r>
      </w:hyperlink>
    </w:p>
    <w:p>
      <w:pPr>
        <w:spacing w:before="0" w:after="80"/>
      </w:pPr>
      <w:r>
        <w:rPr>
          <w:i/>
          <w:sz w:val="20"/>
        </w:rPr>
        <w:t>EN: Unified Load Flow Modeling and Boundary-Aware RoPINN Framework for Particle-Like EV Aggregation Dynamics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33">
        <w:r>
          <w:rPr>
            <w:color w:val="1155CC"/>
            <w:u w:val="single"/>
          </w:rPr>
          <w:t>10.1109/tsg.2026.3665273</w:t>
        </w:r>
      </w:hyperlink>
    </w:p>
    <w:p>
      <w:pPr>
        <w:spacing w:before="0" w:after="120"/>
      </w:pPr>
      <w:r>
        <w:rPr>
          <w:b/>
        </w:rPr>
        <w:t xml:space="preserve">Notes: </w:t>
      </w:r>
      <w:r>
        <w:t>abstract_source=semanticscholar</w:t>
      </w:r>
    </w:p>
    <w:p>
      <w:pPr>
        <w:spacing w:before="0" w:after="80" w:lineRule="auto" w:line="276"/>
      </w:pPr>
      <w:r>
        <w:rPr>
          <w:b/>
        </w:rPr>
        <w:t xml:space="preserve">摘要（ZH）: </w:t>
      </w:r>
      <w:r>
        <w:t>电动汽车（EV）充电动态的精确建模对于优化充电基础设施和电网集成至关重要，尤其是在数据稀疏和充电行为随机的情形下。本文提出了一种统一潮流（ULF）模型，该模型刻画了充电行为的时空演化，并将EV到达和离开动态作为边界条件。采用经典点优化物理信息神经网络（PoPINN）求解该ULF模型，并采用新颖的边界条件设计以确保训练过程中的物理一致性。为增强模型在随机和数据稀疏条件下的一致性与鲁棒性，开发了边界感知区域优化PINN（RoPINN）。该方法将边界信息纳入区域优化，在局部时空区域内强制执行到达-离开一致性，从而能够从不完整数据中进行可靠学习。所提框架为建模不确定和不完整的EV充电信息提供了一种连贯的数据-物理融合策略，能够准确预测充电功率和潮流演化。在合成数据集和真实数据集上的仿真结果证明了所提方法在大规模EV充电优化和智能电网管理中的鲁棒性、准确性和实用性。</w:t>
      </w:r>
    </w:p>
    <w:p>
      <w:pPr>
        <w:spacing w:before="0" w:after="200" w:lineRule="auto" w:line="276"/>
      </w:pPr>
      <w:r>
        <w:rPr>
          <w:b/>
        </w:rPr>
        <w:t xml:space="preserve">Abstract (EN): </w:t>
      </w:r>
      <w:r>
        <w:t>Accurate modeling of electric vehicle (EV) charging dynamics is essential for optimizing charging infrastructure and grid integration, especially when dealing with sparse data and random charging behavior. This paper proposes a unified load flow (ULF) model that captures the spatio-temporal evolution of charging behavior, incorporating EV arrival and departure dynamics as boundary conditions. A classical point optimization physics-informed neural network (PoPINN) is used to solve the ULF model, with a novel boundary condition design that ensures physical consistency during training. To enhance model consistency and robustness under stochastic and data-sparse conditions, a boundary-aware region-optimized PINN (RoPINN) is developed. This approach incorporates boundary information into regional optimization, enforcing arrival–departure consistency within local spatiotemporal regions and enabling reliable learning from incomplete data. The proposed framework provides a coherent data–physics integration strategy for modeling uncertain and incomplete EV charging information, enabling accurate prediction of charging power and load flow evolution. Simulation results on both synthetic and real-world datasets demonstrate the robustness, accuracy, and practical applicability of the proposed method for large-scale EV charging optimization and smart grid management.</w:t>
      </w:r>
    </w:p>
    <w:p>
      <w:pPr>
        <w:spacing w:before="120" w:after="120"/>
      </w:pPr>
      <w:r>
        <w:rPr>
          <w:sz w:val="18"/>
        </w:rPr>
        <w:t>——————————————————————————————————————————————————————————————————————</w:t>
      </w:r>
    </w:p>
    <w:p>
      <w:pPr>
        <w:spacing w:before="160" w:after="40" w:line="240" w:lineRule="auto"/>
      </w:pPr>
      <w:r>
        <w:rPr>
          <w:b/>
        </w:rPr>
        <w:t xml:space="preserve">[403] </w:t>
      </w:r>
      <w:hyperlink r:id="rId1134">
        <w:r>
          <w:rPr>
            <w:color w:val="1155CC"/>
            <w:u w:val="single"/>
          </w:rPr>
          <w:t>基于树状交通网络代理模型的配电网可解释最优车辆充电策略</w:t>
        </w:r>
      </w:hyperlink>
    </w:p>
    <w:p>
      <w:pPr>
        <w:spacing w:before="0" w:after="80"/>
      </w:pPr>
      <w:r>
        <w:rPr>
          <w:i/>
          <w:sz w:val="20"/>
        </w:rPr>
        <w:t>EN: Explainable Optimal Vehicle Charging Strategy in Power Distribution Networks via Tree-Based Transportation Network Surrogates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35">
        <w:r>
          <w:rPr>
            <w:color w:val="1155CC"/>
            <w:u w:val="single"/>
          </w:rPr>
          <w:t>10.1109/tsg.2026.3672586</w:t>
        </w:r>
      </w:hyperlink>
    </w:p>
    <w:p>
      <w:pPr>
        <w:spacing w:before="0" w:after="120"/>
      </w:pPr>
      <w:r>
        <w:rPr>
          <w:b/>
        </w:rPr>
        <w:t xml:space="preserve">Notes: </w:t>
      </w:r>
      <w:r>
        <w:t>abstract_source=semanticscholar</w:t>
      </w:r>
    </w:p>
    <w:p>
      <w:pPr>
        <w:spacing w:before="0" w:after="80" w:lineRule="auto" w:line="276"/>
      </w:pPr>
      <w:r>
        <w:rPr>
          <w:b/>
        </w:rPr>
        <w:t xml:space="preserve">摘要（ZH）: </w:t>
      </w:r>
      <w:r>
        <w:t>电动汽车（EV）的快速普及正在推动充电需求的增长，加剧了配电网与交通网（PTN）之间的相互依赖。在PTN内协调电动汽车路径规划与充电管理的主要挑战在于配电网（PN）中的电价信号与交通网（TN）中的电动汽车充电和路径行为之间难以处理的非线性关系。因此，本文提出了一种新颖的基于XGBoost的约束学习方法，用于解决PTN内车辆充电的非平凡双层优化问题。首先利用XGBoost强大的逼近能力刻画充电价格与最优充电需求之间的复杂关系，构建一个近似TN决策模型的基于树代理模型。然后将训练好的代理模型等价地转化为混合整数线性规划（MILP）约束，并集成到车辆充电优化框架中。进一步采用Shapley值分析该基于树的代理模型的可解释性。基于约束学习，开发了一种数据驱动的车辆充电混合优化模型。案例研究验证了基于树的代理模型的逼近精度和可解释性，以及在PTN中最优策略的有效性。</w:t>
      </w:r>
    </w:p>
    <w:p>
      <w:pPr>
        <w:spacing w:before="0" w:after="200" w:lineRule="auto" w:line="276"/>
      </w:pPr>
      <w:r>
        <w:rPr>
          <w:b/>
        </w:rPr>
        <w:t xml:space="preserve">Abstract (EN): </w:t>
      </w:r>
      <w:r>
        <w:t>The rapid adoption of electric vehicles (EVs) is driving increased charging demand, intensifying the interdependence between power distribution and transportation networks (PTNs). The main challenge in coordinating the EV routing and charging management within the PTN lies in the intractable nonlinear relationship between electricity price signals in the power distribution network (PN) and EV charging and routing behaviors in the transportation network (TN). Therefore, this paper proposes a novel constraint learning approach using XGBoost to solve the nontrivial bilevel optimization problem of vehicle charging within the PTN. XGBoost is first employed to capture the complex relationship between charging prices and optimal charging demand, leveraging its strong approximation capability to construct a tree-based surrogate model that approximates the TN decision model. Then the trained surrogate model is equivalently reformulated as mixed−integer linear programming (MILP) constraints and integrated into the vehicle charging optimization framework. Shapley values are further used to analyze the explainability of the tree-based surrogate model. Based on the constraint learning, a data-driven hybrid optimization model is developed for vehicle charging. Case studies validate the approximation accuracy and explainability of the tree-based surrogate model, as well as the effectiveness of the optimal strategy within the PTN.</w:t>
      </w:r>
    </w:p>
    <w:p>
      <w:pPr>
        <w:spacing w:before="120" w:after="120"/>
      </w:pPr>
      <w:r>
        <w:rPr>
          <w:sz w:val="18"/>
        </w:rPr>
        <w:t>——————————————————————————————————————————————————————————————————————</w:t>
      </w:r>
    </w:p>
    <w:p>
      <w:pPr>
        <w:spacing w:before="160" w:after="40" w:line="240" w:lineRule="auto"/>
      </w:pPr>
      <w:r>
        <w:rPr>
          <w:b/>
        </w:rPr>
        <w:t xml:space="preserve">[404] </w:t>
      </w:r>
      <w:hyperlink r:id="rId1136">
        <w:r>
          <w:rPr>
            <w:color w:val="1155CC"/>
            <w:u w:val="single"/>
          </w:rPr>
          <w:t>面向多任务V2G调节的LLM增强离线元强化学习：人机协同框架</w:t>
        </w:r>
      </w:hyperlink>
    </w:p>
    <w:p>
      <w:pPr>
        <w:spacing w:before="0" w:after="80"/>
      </w:pPr>
      <w:r>
        <w:rPr>
          <w:i/>
          <w:sz w:val="20"/>
        </w:rPr>
        <w:t>EN: LLM-Enhanced Offline Meta-Reinforcement Learning for Multi-Task V2G Regulation: A Human-AI Collaborative Framework</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37">
        <w:r>
          <w:rPr>
            <w:color w:val="1155CC"/>
            <w:u w:val="single"/>
          </w:rPr>
          <w:t>10.1109/tsg.2026.3677461</w:t>
        </w:r>
      </w:hyperlink>
    </w:p>
    <w:p>
      <w:pPr>
        <w:spacing w:before="0" w:after="120"/>
      </w:pPr>
      <w:r>
        <w:rPr>
          <w:b/>
        </w:rPr>
        <w:t xml:space="preserve">Notes: </w:t>
      </w:r>
      <w:r>
        <w:t>abstract_source=semanticscholar</w:t>
      </w:r>
    </w:p>
    <w:p>
      <w:pPr>
        <w:spacing w:before="0" w:after="80" w:lineRule="auto" w:line="276"/>
      </w:pPr>
      <w:r>
        <w:rPr>
          <w:b/>
        </w:rPr>
        <w:t xml:space="preserve">摘要（ZH）: </w:t>
      </w:r>
      <w:r>
        <w:t>电动汽车（EV）的快速普及给配电网内有效的充放电调节带来了重大挑战，尤其是在日益多样化和动态化的调节场景下。传统的强化学习（RL）方法通常受限于特定任务的训练，难以在不同的调节目标和异构空间EV分布之间有效泛化。为解决这些局限性，本研究提出了一种新颖的离线元强化学习框架，通过专门的任务识别元网络来增强策略网络的适应性。具体而言，我们提出了一种由大语言模型增强的创新元网络，它同时捕获源自历史运行数据的动态物理轨迹，并对从文本指令中提取的专家调度知识进行编码。通过整合物理和语义模态，该元网络有效生成任务特定的嵌入表示，使下游策略网络能够快速适应并制定情境感知的调节策略。对比实验表明，与传统的单任务RL方法相比，所提出的离线Meta-RL框架的运行成本平均降低47.2%。消融研究进一步证实，整合物理和语义信息显著提高了任务识别准确率和决策质量，适应时间减少68.8%，平均运行成本降低18.4%。</w:t>
      </w:r>
    </w:p>
    <w:p>
      <w:pPr>
        <w:spacing w:before="0" w:after="200" w:lineRule="auto" w:line="276"/>
      </w:pPr>
      <w:r>
        <w:rPr>
          <w:b/>
        </w:rPr>
        <w:t xml:space="preserve">Abstract (EN): </w:t>
      </w:r>
      <w:r>
        <w:t>The rapid proliferation of electric vehicles (EVs) presents substantial challenges to effective charging and discharging regulation within distribution networks, particularly under increasingly diverse and dynamic regulatory scenarios. Conventional reinforcement learning (RL) methods, typically limited by task-specific training, struggle to generalize effectively across varying regulatory objectives and heterogeneous spatial EV distributions. To address these limitations, this study proposes a novel offline meta-reinforcement learning (Meta-RL) framework designed to enhance the adaptability of policy networks through a dedicated meta-network for task-specific identification. Specifically, we propose an innovative meta-network enhanced by large language models (LLMs), which simultaneously captures dynamic physical trajectories derived from historical operational data and encodes expert dispatch knowledge extracted from textual instructions. By integrating these physical and semantic modalities, the meta-network effectively generates task-specific embeddings, enabling the downstream policy network to rapidly adapt and formulate context-aware regulatory strategies. Comparative experiments demonstrate that the proposed offline Meta-RL framework achieves a 47.2% average reduction in operation cost compared to conventional single-task RL methods. Ablation studies further confirm that integrating physical and semantic information significantly improves task recognition accuracy and decision-making quality, reducing adaptation time by 68.8% and average operation costs by 18.4%.</w:t>
      </w:r>
    </w:p>
    <w:p>
      <w:pPr>
        <w:spacing w:before="120" w:after="120"/>
      </w:pPr>
      <w:r>
        <w:rPr>
          <w:sz w:val="18"/>
        </w:rPr>
        <w:t>——————————————————————————————————————————————————————————————————————</w:t>
      </w:r>
    </w:p>
    <w:p>
      <w:pPr>
        <w:spacing w:before="160" w:after="40" w:line="240" w:lineRule="auto"/>
      </w:pPr>
      <w:r>
        <w:rPr>
          <w:b/>
        </w:rPr>
        <w:t xml:space="preserve">[405] </w:t>
      </w:r>
      <w:hyperlink r:id="rId1138">
        <w:r>
          <w:rPr>
            <w:color w:val="1155CC"/>
            <w:u w:val="single"/>
          </w:rPr>
          <w:t>基于大语言模型的智能体在网络物理电力系统攻防博弈中的应用</w:t>
        </w:r>
      </w:hyperlink>
    </w:p>
    <w:p>
      <w:pPr>
        <w:spacing w:before="0" w:after="80"/>
      </w:pPr>
      <w:r>
        <w:rPr>
          <w:i/>
          <w:sz w:val="20"/>
        </w:rPr>
        <w:t>EN: Large Language Model-Based Smart Agents for Attack-Defense Game on Cyber-Physical Power Systems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39">
        <w:r>
          <w:rPr>
            <w:color w:val="1155CC"/>
            <w:u w:val="single"/>
          </w:rPr>
          <w:t>10.1109/tsg.2026.3681079</w:t>
        </w:r>
      </w:hyperlink>
    </w:p>
    <w:p>
      <w:pPr>
        <w:spacing w:before="0" w:after="120"/>
      </w:pPr>
      <w:r>
        <w:rPr>
          <w:b/>
        </w:rPr>
        <w:t xml:space="preserve">Notes: </w:t>
      </w:r>
      <w:r>
        <w:t>abstract_source=semanticscholar</w:t>
      </w:r>
    </w:p>
    <w:p>
      <w:pPr>
        <w:spacing w:before="0" w:after="80" w:lineRule="auto" w:line="276"/>
      </w:pPr>
      <w:r>
        <w:rPr>
          <w:b/>
        </w:rPr>
        <w:t xml:space="preserve">摘要（ZH）: </w:t>
      </w:r>
      <w:r>
        <w:t>随着信息技术的深度融合，信息物理电力系统面临日益复杂的攻防挑战。传统的基于博弈论的方法在精细策略推理和决策可解释性方面存在困难。为解决这些局限性，本文提出了一种融合基于大语言模型的智能体的创新CPPS攻防博弈范式。首先，定义了一个结合贝叶斯纳什均衡和中介中心性的博弈模型，以刻画策略稳定性和关键节点优先级。其次，设计了包含记忆、工具集、规划和动作执行模块的智能体架构，以实现复杂环境下的自适应策略制定。然后，系统阐述了动态博弈过程，包括漏洞扫描、攻击、检测、响应和事后分析阶段。在IEEE 14和IEEE 33母线系统上的实验表明，所提方法显著提高了防御成功率、收敛效率和策略多样性，验证了LLM通过智能攻防博弈提升CPPS安全性的潜力。</w:t>
      </w:r>
    </w:p>
    <w:p>
      <w:pPr>
        <w:spacing w:before="0" w:after="200" w:lineRule="auto" w:line="276"/>
      </w:pPr>
      <w:r>
        <w:rPr>
          <w:b/>
        </w:rPr>
        <w:t xml:space="preserve">Abstract (EN): </w:t>
      </w:r>
      <w:r>
        <w:t>With the deep integration of information technology, cyber-physical power systems (CPPSs) face increasingly complex attack-defense challenges. Traditional game theory-based methods struggle with sophisticated strategy reasoning and decision interpretability. This paper proposes an innovative CPPS attack-defense game paradigm incorporating large language model (LLM)-based smart agents to address these limitations. First, we define a game model integrating Bayesian Nash Equilibrium and betweenness centrality to characterize the strategy stability and key node prioritization. Second, we design smart agent architectures with memory, toolset, planning, and action execution modules to enable adaptive strategy formulation in complex environments. Then, we give a systematic elaboration of the dynamic game processes, including vulnerability scanning, attack, detection, response, and post-analysis phases. Experiments on IEEE 14 and IEEE 33 bus systems demonstrate that the proposed method significantly enhances defense success rate, convergence efficiency, and strategy diversity, validating the potential of LLMs in improving CPPS security through the intelligent attack-defense game.</w:t>
      </w:r>
    </w:p>
    <w:p>
      <w:pPr>
        <w:spacing w:before="120" w:after="120"/>
      </w:pPr>
      <w:r>
        <w:rPr>
          <w:sz w:val="18"/>
        </w:rPr>
        <w:t>——————————————————————————————————————————————————————————————————————</w:t>
      </w:r>
    </w:p>
    <w:p>
      <w:pPr>
        <w:spacing w:before="160" w:after="40" w:line="240" w:lineRule="auto"/>
      </w:pPr>
      <w:r>
        <w:rPr>
          <w:b/>
        </w:rPr>
        <w:t xml:space="preserve">[406] </w:t>
      </w:r>
      <w:hyperlink r:id="rId1140">
        <w:r>
          <w:rPr>
            <w:color w:val="1155CC"/>
            <w:u w:val="single"/>
          </w:rPr>
          <w:t>基于自适应快速清除算法的考虑不确定性的微电网集成配电网点对点交易</w:t>
        </w:r>
      </w:hyperlink>
    </w:p>
    <w:p>
      <w:pPr>
        <w:spacing w:before="0" w:after="80"/>
      </w:pPr>
      <w:r>
        <w:rPr>
          <w:i/>
          <w:sz w:val="20"/>
        </w:rPr>
        <w:t>EN: Adaptive Fast Clearing Algorithm-Based Peer-to-Peer Transaction for Microgrid-Integrated Distribution Network Considering Uncertainty</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41">
        <w:r>
          <w:rPr>
            <w:color w:val="1155CC"/>
            <w:u w:val="single"/>
          </w:rPr>
          <w:t>10.1109/tsg.2026.3686472</w:t>
        </w:r>
      </w:hyperlink>
    </w:p>
    <w:p>
      <w:pPr>
        <w:spacing w:before="0" w:after="120"/>
      </w:pPr>
      <w:r>
        <w:rPr>
          <w:b/>
        </w:rPr>
        <w:t xml:space="preserve">Notes: </w:t>
      </w:r>
      <w:r>
        <w:t>abstract_source=semanticscholar</w:t>
      </w:r>
    </w:p>
    <w:p>
      <w:pPr>
        <w:spacing w:before="0" w:after="80" w:lineRule="auto" w:line="276"/>
      </w:pPr>
      <w:r>
        <w:rPr>
          <w:b/>
        </w:rPr>
        <w:t xml:space="preserve">摘要（ZH）: </w:t>
      </w:r>
      <w:r>
        <w:t>点对点（P2P）交易已成为提高微电网经济效率的有效途径。然而，现有研究忽视了电-碳-绿证联合成本、能量-备用联合优化以及微电网内部不确定性对P2P交易方案的影响。为填补这一空白，本文提出了一种互联微电网P2P交易框架，分别采用碳配额-绿证约束、备用约束和联合机会约束来刻画PCGC耦合、备用提供和不确定性影响。开发了一种基于优化的分段线性边际效用函数（MUF），用于表征多资源协调下微电网的价格响应行为。此外，设计了一种自适应快速出清算法，包含免网络费的非迭代出清方案和含网络费的抗振荡迭代出清方案，以确保计算效率和配电网安全。数值结果表明，MUF有效刻画了内部备用、网络约束、风险偏好和PCGC对微电网间P2P交易行为的影响。AFCA显著加速计算，在5个微电网系统中与广泛使用的交替方向乘子法（ADMM）相比时间减少97.72%，在20个微电网系统中仅需1.45 s即可求解，最优性误差仅为0.59%。</w:t>
      </w:r>
    </w:p>
    <w:p>
      <w:pPr>
        <w:spacing w:before="0" w:after="200" w:lineRule="auto" w:line="276"/>
      </w:pPr>
      <w:r>
        <w:rPr>
          <w:b/>
        </w:rPr>
        <w:t xml:space="preserve">Abstract (EN): </w:t>
      </w:r>
      <w:r>
        <w:t>Peer-to-peer (P2P) transaction has become an effective way to improve the economic efficiency of microgrids (MGs). However, existing studies neglect the impacts of electricity power-carbon-green certificate join cost (PCGC), energy-reserve co-optimization and uncertainty within MG on P2P transactions schemes. To fill this gap, this paper proposes a P2P transaction framework for interconnected MG, where carbon allowance-green certificate constraints, reserve constraints, joint chance constraints are employed respectively to capture PCGC coupling, reserve provisioning, and uncertainty impacts. An optimization-based piecewise-linear marginal utility function (MUF) is developed to characterize MG’s price-responsive behaviors under multi-resource coordination. Furthermore, an adaptive fast clearing algorithm (AFCA) is designed with a network-fee-exempt non-iterative clearing scheme and a network-fee-incorporated oscillation-resistant iterative scheme to ensure computational efficiency and distribution network security. Numerical results demonstrate that the MUF effectively captures the impacts of internal reserve, network constraints, risk preference, and PCGC on inter-MG P2P trading behaviors. The AFCA significantly accelerates computation, with a 97.72% time reduction compared to the widely used alternating direction method of multipliers (ADMM) in a 5-MG system, and solves the 20-MG system in only 1.45 s with an optimality error of merely 0.59%.</w:t>
      </w:r>
    </w:p>
    <w:p>
      <w:pPr>
        <w:spacing w:before="120" w:after="120"/>
      </w:pPr>
      <w:r>
        <w:rPr>
          <w:sz w:val="18"/>
        </w:rPr>
        <w:t>——————————————————————————————————————————————————————————————————————</w:t>
      </w:r>
    </w:p>
    <w:p>
      <w:pPr>
        <w:spacing w:before="160" w:after="40" w:line="240" w:lineRule="auto"/>
      </w:pPr>
      <w:r>
        <w:rPr>
          <w:b/>
        </w:rPr>
        <w:t xml:space="preserve">[407] </w:t>
      </w:r>
      <w:hyperlink r:id="rId1142">
        <w:r>
          <w:rPr>
            <w:color w:val="1155CC"/>
            <w:u w:val="single"/>
          </w:rPr>
          <w:t>利用低分辨率智能电表测量数据进行高分辨率居民负荷曲线的数据驱动建模</w:t>
        </w:r>
      </w:hyperlink>
    </w:p>
    <w:p>
      <w:pPr>
        <w:spacing w:before="0" w:after="80"/>
      </w:pPr>
      <w:r>
        <w:rPr>
          <w:i/>
          <w:sz w:val="20"/>
        </w:rPr>
        <w:t>EN: Data-Driven Modeling of High-Resolution Residential Load Profiles Using Low-Resolution Smart Meter Measurements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43">
        <w:r>
          <w:rPr>
            <w:color w:val="1155CC"/>
            <w:u w:val="single"/>
          </w:rPr>
          <w:t>10.1109/tsg.2026.3678877</w:t>
        </w:r>
      </w:hyperlink>
    </w:p>
    <w:p>
      <w:pPr>
        <w:spacing w:before="0" w:after="120"/>
      </w:pPr>
      <w:r>
        <w:rPr>
          <w:b/>
        </w:rPr>
        <w:t xml:space="preserve">Notes: </w:t>
      </w:r>
      <w:r>
        <w:t>abstract_source=semanticscholar</w:t>
      </w:r>
    </w:p>
    <w:p>
      <w:pPr>
        <w:spacing w:before="0" w:after="80" w:lineRule="auto" w:line="276"/>
      </w:pPr>
      <w:r>
        <w:rPr>
          <w:b/>
        </w:rPr>
        <w:t xml:space="preserve">摘要（ZH）: </w:t>
      </w:r>
      <w:r>
        <w:t>准确且高分辨率的居民负荷曲线对于电力系统建模、需求响应规划和电网有效运行至关重要。随着能源行业向更加主动管理的配电系统转型，以分钟级尺度理解居民能耗的能力变得日益关键。高分辨率负荷曲线可为了解需求模式和用户行为提供关键洞察，使电网运营商能够设计更有效的能源解决方案；然而，现场居民负荷测量通常以低分辨率记录，例如15-60分钟，这使得研究不同居民用户的特性变得困难。本文通过引入一种数据驱动方法来解决这些挑战，该方法基于低分辨率测量数据和气象信息生成逼真的高分辨率居民负荷曲线。所提方法保留了实际居民负荷测量的关键特征，同时为每栋居民建筑提供设备级的能耗细节。结果验证了所提负荷曲线生成器的有效性，证明其能够支持公用事业公司优化居民能源管理并确保电网更加可靠和坚韧。</w:t>
      </w:r>
    </w:p>
    <w:p>
      <w:pPr>
        <w:spacing w:before="0" w:after="200" w:lineRule="auto" w:line="276"/>
      </w:pPr>
      <w:r>
        <w:rPr>
          <w:b/>
        </w:rPr>
        <w:t xml:space="preserve">Abstract (EN): </w:t>
      </w:r>
      <w:r>
        <w:t>Accurate and high-resolution residential load profiles are essential for power system modeling, demand response planning, and effective grid operation. As the energy sector moves towards a more actively managed distribution system, the ability to understand residential energy consumption at a minute-by-minute scale becomes increasingly critical. High-resolution load profiles provide key insights into demand patterns and user behavior, enabling grid operators to design more effective energy solutions; however, residential load measurements in the field are typically recorded at low resolutions, such as 15-60 minutes, which makes it hard to study the characteristics of different residential customers. This paper addresses these challenges by introducing a data-driven approach to generate realistic, high-resolution residential load profiles based on low-resolution measurements and weather information. The proposed method retains the key features of the actual residential load measurements while offering appliance-level energy consumption details for each residential building. The results demonstrate the effectiveness of the proposed load profile generator, proving its capability to support utilities in optimizing residential energy management and ensuring a more reliable and resilient grid.</w:t>
      </w:r>
    </w:p>
    <w:p>
      <w:pPr>
        <w:spacing w:before="120" w:after="120"/>
      </w:pPr>
      <w:r>
        <w:rPr>
          <w:sz w:val="18"/>
        </w:rPr>
        <w:t>——————————————————————————————————————————————————————————————————————</w:t>
      </w:r>
    </w:p>
    <w:p>
      <w:pPr>
        <w:spacing w:before="160" w:after="40" w:line="240" w:lineRule="auto"/>
      </w:pPr>
      <w:r>
        <w:rPr>
          <w:b/>
        </w:rPr>
        <w:t xml:space="preserve">[408] </w:t>
      </w:r>
      <w:hyperlink r:id="rId1144">
        <w:r>
          <w:rPr>
            <w:color w:val="1155CC"/>
            <w:u w:val="single"/>
          </w:rPr>
          <w:t>重新审视含构网型变流器的电力系统角度稳定性</w:t>
        </w:r>
      </w:hyperlink>
    </w:p>
    <w:p>
      <w:pPr>
        <w:spacing w:before="0" w:after="80"/>
      </w:pPr>
      <w:r>
        <w:rPr>
          <w:i/>
          <w:sz w:val="20"/>
        </w:rPr>
        <w:t>EN: Revisiting Angle Stability in Power Systems With Grid-Forming Power Converters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145">
        <w:r>
          <w:rPr>
            <w:color w:val="1155CC"/>
            <w:u w:val="single"/>
          </w:rPr>
          <w:t>10.1109/tpwrs.2026.3703616</w:t>
        </w:r>
      </w:hyperlink>
    </w:p>
    <w:p>
      <w:pPr>
        <w:spacing w:before="0" w:after="120"/>
      </w:pPr>
      <w:r>
        <w:rPr>
          <w:b/>
        </w:rPr>
        <w:t xml:space="preserve">Notes: </w:t>
      </w:r>
      <w:r>
        <w:t>abstract_source=semanticscholar</w:t>
      </w:r>
    </w:p>
    <w:p>
      <w:pPr>
        <w:spacing w:before="0" w:after="80" w:lineRule="auto" w:line="276"/>
      </w:pPr>
      <w:r>
        <w:rPr>
          <w:b/>
        </w:rPr>
        <w:t xml:space="preserve">摘要（ZH）: </w:t>
      </w:r>
      <w:r>
        <w:t>本信函对涉及同步发电机和构网型电压源换流器（GFM-VSC）的电力系统在遭受小扰动或大扰动时发电机保持同步运行能力的稳定性现象进行了全面分析。该现象对应 IEEE/PES 分类中的两个稳定性类别，即转子角稳定性（涉及同步发电机时）和慢相互作用换流器驱动稳定性（涉及功率换流器时）。然而，本研究表明，无论电压源是同步发电机（带转子）还是 GFM-VSC，该现象均可用接入电力系统的电压源之间角度差的慢动态来完全表征。因此，我们建议使用“角度稳定性”一词来指代该现象，而慢相互作用换流器驱动稳定性应仅包括涉及功率换流器的不同性质的慢相互作用。</w:t>
      </w:r>
    </w:p>
    <w:p>
      <w:pPr>
        <w:spacing w:before="0" w:after="200" w:lineRule="auto" w:line="276"/>
      </w:pPr>
      <w:r>
        <w:rPr>
          <w:b/>
        </w:rPr>
        <w:t xml:space="preserve">Abstract (EN): </w:t>
      </w:r>
      <w:r>
        <w:t>This letter presents a comprehensive analysis of the stability phenomenon related to the ability of generators to remain in synchronism when subjected to small or large disturbances, in power systems with both synchronous machines and grid-forming voltage source converters (GFM-VSC). This phenomenon is associated with two stability classes in the IEEE/PES classification, namely, rotor-angle stability (when involving synchronous machines) and slow-interaction converter-driven stability (when involving power converters). However, this work shows that this phenomenon is fully characterised with the slow dynamics of the angle difference between the voltage sources connected to the power system, regardless of whether they are synchronous machines (with rotors) or GFM-VSCs. Therefore, we suggest using the term angle stability to refer to this phenomenon, while slow-interaction converter-driven stability should only include slow interactions of different nature involving power converters.</w:t>
      </w:r>
    </w:p>
    <w:p>
      <w:pPr>
        <w:spacing w:before="120" w:after="120"/>
      </w:pPr>
      <w:r>
        <w:rPr>
          <w:sz w:val="18"/>
        </w:rPr>
        <w:t>——————————————————————————————————————————————————————————————————————</w:t>
      </w:r>
    </w:p>
    <w:p>
      <w:pPr>
        <w:spacing w:before="160" w:after="40" w:line="240" w:lineRule="auto"/>
      </w:pPr>
      <w:r>
        <w:rPr>
          <w:b/>
        </w:rPr>
        <w:t xml:space="preserve">[409] </w:t>
      </w:r>
      <w:hyperlink r:id="rId1146">
        <w:r>
          <w:rPr>
            <w:color w:val="1155CC"/>
            <w:u w:val="single"/>
          </w:rPr>
          <w:t>长时程生物自旋读出实现单细胞水平解码免疫介导的应激</w:t>
        </w:r>
      </w:hyperlink>
    </w:p>
    <w:p>
      <w:pPr>
        <w:spacing w:before="0" w:after="80"/>
      </w:pPr>
      <w:r>
        <w:rPr>
          <w:i/>
          <w:sz w:val="20"/>
        </w:rPr>
        <w:t>EN: Long‐Term Bio‐Spin Readouts Enable Decoding Immune‐Imposed Stress at the Single‐Cell Level</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1147">
        <w:r>
          <w:rPr>
            <w:color w:val="1155CC"/>
            <w:u w:val="single"/>
          </w:rPr>
          <w:t>10.1002/adma.74885</w:t>
        </w:r>
      </w:hyperlink>
    </w:p>
    <w:p>
      <w:pPr>
        <w:spacing w:before="0" w:after="120"/>
      </w:pPr>
      <w:r>
        <w:rPr>
          <w:b/>
        </w:rPr>
        <w:t xml:space="preserve">Notes: </w:t>
      </w:r>
      <w:r>
        <w:t>abstract_source=crossref</w:t>
      </w:r>
    </w:p>
    <w:p>
      <w:pPr>
        <w:spacing w:before="0" w:after="80" w:lineRule="auto" w:line="276"/>
      </w:pPr>
      <w:r>
        <w:rPr>
          <w:b/>
        </w:rPr>
        <w:t xml:space="preserve">摘要（ZH）: </w:t>
      </w:r>
      <w:r>
        <w:t>摘要 电子自旋动力学是活细胞中一个极其重要但很大程度上未被探索的状态参数，对与细胞应激反应相关的细胞内顺磁环境具有稳定的敏感性。然而，由于缺乏连续且非消耗性的读出手段，免疫诱导的细胞内应激如何随时间演化以及如何与不同的单细胞结局相关联仍不清楚。在此，我们建立了一种基于含氮-空位中心纳米金刚石作为可遗传细胞内自旋报告分子的长期生物自旋读出方法，实现了活细胞中的连续自旋弛豫测量。通过将群体水平的活性氧（ROS）相关顺磁应激分析与 HeLa 和 A549 癌细胞与活化巨噬细胞共培养过程中的长期单细胞追踪相结合，我们识别出三种特征性氧化应激轨迹模式——远端免疫应激、免疫逃逸和凋亡——其独特的时间动态无法仅通过终点检测加以分辨。纵向生物自旋测量表明，免疫压力不仅通过瞬时氧化水平编码，还通过细胞内应激的时间累积与调节来编码。经验性生物自旋转变范围为区分可恢复的应激反应与凋亡相关轨迹提供了操作性参考，而特征完成时间则捕获了应激演化中依赖于相互作用和细胞类型的动力学。总之，这项工作确立了生物自旋动力学用于解析免疫诱导的应激历史及其</w:t>
      </w:r>
    </w:p>
    <w:p>
      <w:pPr>
        <w:spacing w:before="0" w:after="200" w:lineRule="auto" w:line="276"/>
      </w:pPr>
      <w:r>
        <w:rPr>
          <w:b/>
        </w:rPr>
        <w:t xml:space="preserve">Abstract (EN): </w:t>
      </w:r>
      <w:r>
        <w:t>Electronic spin dynamics represent a fundamentally important yet largely unexplored state parameter of living cells, offering stable sensitivity to intracellular paramagnetic environments associated with cellular stress responses. However, how immune‐imposed intracellular stress evolves over time and relates to divergent single‐cell outcomes remains unclear, owing to the lack of continuous and nonconsumptive readouts. Here, we establish a long‐term bio‐spin readout based on nanodiamonds hosting nitrogen‐vacancy centers as inheritable intracellular spin reporters, enabling continuous spin relaxometry in living cells. By integrating population‐level ROS‐associated paramagnetic stress profiling with long‐term single‐cell tracking in Hela and A549 cancer cells during coculture with activated macrophages, we identify three characteristic oxidative‐stress trajectory patterns—remote immune stress, immune evasion, and apoptosis—whose distinct temporal dynamics cannot be resolved by endpoint assays alone. Longitudinal bio‐spin measurements reveal that immune pressure is encoded not only by instantaneous oxidative levels but also by the temporal accumulation and regulation of intracellular stress. An empirical bio‐spin transition range provides an operational reference for distinguishing recoverable stress responses from apoptosis‐associated trajectories, while characteristic completion times capture the interaction‐ and cell‐type‐dependent kinetics of stress evolution. Together, this work establishes bio‐spin dynamics for resolving immune‐imposed stress histories and their associations with divergent cellular outcomes in living systems.</w:t>
      </w:r>
    </w:p>
    <w:p>
      <w:pPr>
        <w:spacing w:before="120" w:after="120"/>
      </w:pPr>
      <w:r>
        <w:rPr>
          <w:sz w:val="18"/>
        </w:rPr>
        <w:t>——————————————————————————————————————————————————————————————————————</w:t>
      </w:r>
    </w:p>
    <w:p>
      <w:pPr>
        <w:spacing w:before="160" w:after="40" w:line="240" w:lineRule="auto"/>
      </w:pPr>
      <w:r>
        <w:rPr>
          <w:b/>
        </w:rPr>
        <w:t xml:space="preserve">[410] </w:t>
      </w:r>
      <w:hyperlink r:id="rId1148">
        <w:r>
          <w:rPr>
            <w:color w:val="1155CC"/>
            <w:u w:val="single"/>
          </w:rPr>
          <w:t>利用历史事件序列时空分析实现极端天气引发的N-$k$$k$故障预警</w:t>
        </w:r>
      </w:hyperlink>
    </w:p>
    <w:p>
      <w:pPr>
        <w:spacing w:before="0" w:after="80"/>
      </w:pPr>
      <w:r>
        <w:rPr>
          <w:i/>
          <w:sz w:val="20"/>
        </w:rPr>
        <w:t>EN: Early Warning of Extreme Weather-Induced N-$k$ Contingencies Leveraging Spatio-Temporal Analysis of Historical Event Sequences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149">
        <w:r>
          <w:rPr>
            <w:color w:val="1155CC"/>
            <w:u w:val="single"/>
          </w:rPr>
          <w:t>10.1109/tpwrs.2026.3673579</w:t>
        </w:r>
      </w:hyperlink>
    </w:p>
    <w:p>
      <w:pPr>
        <w:spacing w:before="0" w:after="120"/>
      </w:pPr>
      <w:r>
        <w:rPr>
          <w:b/>
        </w:rPr>
        <w:t xml:space="preserve">Notes: </w:t>
      </w:r>
      <w:r>
        <w:t>abstract_source=semanticscholar</w:t>
      </w:r>
    </w:p>
    <w:p>
      <w:pPr>
        <w:spacing w:before="0" w:after="80" w:lineRule="auto" w:line="276"/>
      </w:pPr>
      <w:r>
        <w:rPr>
          <w:b/>
        </w:rPr>
        <w:t xml:space="preserve">摘要（ZH）: </w:t>
      </w:r>
      <w:r>
        <w:t>传统的 N–&lt;inline-formula&gt;&lt;tex-math notation="LaTeX"&gt;$\bm {k}$&lt;/tex-math&gt;&lt;/inline-formula&gt; 预想事故分析不足以应对极端天气对电力系统可靠性与韧性日益增长的威胁。现有的预想事故构建和筛选方法往往未能充分考虑灾害性天气导致的多元件同时失效的停电模式，限制了其对高影响低概率事件的适用性。同时，对短期天气预报的依赖使这些方法难以留出足够时间来实施预防措施。为解决这些局限性，本文提出了一种利用历史故障事件序列的时空点过程建模的极端天气诱发 N–&lt;inline-formula&gt;&lt;tex-math notation="LaTeX"&gt;$\bm {k}$&lt;/tex-math&gt;&lt;/inline-formula&gt; 预想事故预警框架。其核心组件是约束扩散时空点过程（Constrained Diffusion Spatio-Temporal Point Process, CDSTPP）模型，该模型学习空间、时间、气象和网络约束下的故障发生模式，从而实现对未来线路故障的概率预测。基于这些预测，预想事故生成方案通过从预测的故障分布中采样来合成高风险 N–&lt;inline-formula&gt;&lt;tex-math notation="LaTeX"&gt;$\bm {k}$&lt;/tex-math&gt;&lt;/inline-formula&gt; 场景，以支持预防性运行和抗风险规划。鉴于高分辨率历史故障事件数据 availability 有限，本文提出了一种融合气象 r</w:t>
      </w:r>
    </w:p>
    <w:p>
      <w:pPr>
        <w:spacing w:before="0" w:after="200" w:lineRule="auto" w:line="276"/>
      </w:pPr>
      <w:r>
        <w:rPr>
          <w:b/>
        </w:rPr>
        <w:t xml:space="preserve">Abstract (EN): </w:t>
      </w:r>
      <w:r>
        <w:t>Traditional N–&lt;inline-formula&gt;&lt;tex-math notation="LaTeX"&gt;$\bm {k}$&lt;/tex-math&gt;&lt;/inline-formula&gt; contingency analysis is insufficient for addressing the growing threat of extreme weather to power system reliability and resilience. Existing methods for contingency construction and screening often fail to adequately consider power outage patterns involving simultaneous failures of multiple components caused by disastrous weather, limiting their applicability to high-impact low-probability events. Meanwhile, reliance on short-term weather forecasts makes these methods difficult to leave enough time for implementing preventive measures. To address these limitations, an early-warning framework leveraging spatio-temporal point process modeling of historical failure event sequences is proposed for extreme weather–induced N–&lt;inline-formula&gt;&lt;tex-math notation="LaTeX"&gt;$\bm {k}$&lt;/tex-math&gt;&lt;/inline-formula&gt; contingencies. The core component is a Constrained Diffusion Spatio-Temporal Point Process (CDSTPP) model, which learns failure occurrence patterns under spatial, temporal, meteorological, and network constraints, enabling probabilistic forecasts of future line failures. Based on these forecasts, a contingency generation scheme synthesizes high-risk N–&lt;inline-formula&gt;&lt;tex-math notation="LaTeX"&gt;$\bm {k}$&lt;/tex-math&gt;&lt;/inline-formula&gt; scenarios via sampling from predicted failure distributions to support preventive operation and anti-risk planning. Given the limited availability of high-resolution historical failure event data, a data augmentation approach that integrates meteorological reanalysis data with line fragility modeling is also proposed. The proposed framework is evaluated on the large-scale ENTSO-E test system. Experimental results demonstrate the effectiveness of the proposed method in forecasting critical contingencies induced by extreme weather events and supporting proactive and resilient operational decision-making to mitigate blackout risks.</w:t>
      </w:r>
    </w:p>
    <w:p>
      <w:pPr>
        <w:spacing w:before="120" w:after="120"/>
      </w:pPr>
      <w:r>
        <w:rPr>
          <w:sz w:val="18"/>
        </w:rPr>
        <w:t>——————————————————————————————————————————————————————————————————————</w:t>
      </w:r>
    </w:p>
    <w:p>
      <w:pPr>
        <w:spacing w:before="160" w:after="40" w:line="240" w:lineRule="auto"/>
      </w:pPr>
      <w:r>
        <w:rPr>
          <w:b/>
        </w:rPr>
        <w:t xml:space="preserve">[411] </w:t>
      </w:r>
      <w:hyperlink r:id="rId1150">
        <w:r>
          <w:rPr>
            <w:color w:val="1155CC"/>
            <w:u w:val="single"/>
          </w:rPr>
          <w:t>一种催化剂，两种几何构型：铱催化实现手性Z-和E-烯丙基化异色满酮的发散立体选择性合成</w:t>
        </w:r>
      </w:hyperlink>
    </w:p>
    <w:p>
      <w:pPr>
        <w:spacing w:before="0" w:after="80"/>
      </w:pPr>
      <w:r>
        <w:rPr>
          <w:i/>
          <w:sz w:val="20"/>
        </w:rPr>
        <w:t>EN: One catalyst, two geometries: Iridium catalysis enables stereodivergent synthesis of chiral Z- and E-allylated isochromanones</w:t>
      </w:r>
    </w:p>
    <w:p>
      <w:pPr>
        <w:spacing w:before="0" w:after="120"/>
      </w:pPr>
      <w:r>
        <w:rPr>
          <w:b/>
        </w:rPr>
        <w:t xml:space="preserve">Source: </w:t>
      </w:r>
      <w:r>
        <w:t>Chem</w:t>
      </w:r>
      <w:r>
        <w:t xml:space="preserve">    </w:t>
      </w:r>
      <w:r>
        <w:rPr>
          <w:b/>
        </w:rPr>
        <w:t xml:space="preserve">Pub date: </w:t>
      </w:r>
      <w:r>
        <w:t>2026-09-01 00:00:00+00:00</w:t>
      </w:r>
      <w:r>
        <w:t xml:space="preserve">    </w:t>
      </w:r>
      <w:r>
        <w:rPr>
          <w:b/>
        </w:rPr>
        <w:t xml:space="preserve">DOI: </w:t>
      </w:r>
      <w:hyperlink r:id="rId1151">
        <w:r>
          <w:rPr>
            <w:color w:val="1155CC"/>
            <w:u w:val="single"/>
          </w:rPr>
          <w:t>10.1016/j.chempr.2026.103218</w:t>
        </w:r>
      </w:hyperlink>
    </w:p>
    <w:p>
      <w:pPr>
        <w:spacing w:before="0" w:after="120"/>
      </w:pPr>
      <w:r>
        <w:rPr>
          <w:b/>
        </w:rPr>
        <w:t xml:space="preserve">Notes: </w:t>
      </w:r>
      <w:r>
        <w:t>abstract_source=jina_reader</w:t>
      </w:r>
    </w:p>
    <w:p>
      <w:pPr>
        <w:spacing w:before="0" w:after="80" w:lineRule="auto" w:line="276"/>
      </w:pPr>
      <w:r>
        <w:rPr>
          <w:b/>
        </w:rPr>
        <w:t xml:space="preserve">摘要（ZH）: </w:t>
      </w:r>
      <w:r>
        <w:t>烯烃几何结构强烈影响分子结构与功能，然而能够立体发散性地同时获得E-和Z-构型手性砌块的方法仍然罕见。在即将出版的一期Chem Catalysis中，You及其同事将反热力学烯烃异构化与铱催化不对称烯丙基取代反应相结合，以高区域选择性和对映选择性获得了E-或Z-烯丙基化的3-异色满酮。</w:t>
      </w:r>
    </w:p>
    <w:p>
      <w:pPr>
        <w:spacing w:before="0" w:after="200" w:lineRule="auto" w:line="276"/>
      </w:pPr>
      <w:r>
        <w:rPr>
          <w:b/>
        </w:rPr>
        <w:t xml:space="preserve">Abstract (EN): </w:t>
      </w:r>
      <w:r>
        <w:t>Alkene geometry strongly influences molecular structure and function, yet methods that provide stereodivergent access to both E - and Z -configured chiral building blocks remain rare. In an upcoming issue of Chem Catalysis , You and co-workers combine contra-thermodynamic alkene isomerization with iridium-catalyzed asymmetric allylic substitution to access either E - or Z -allylated 3-isochromanones with high regio- and enantioselectivity.</w:t>
      </w:r>
    </w:p>
    <w:p>
      <w:pPr>
        <w:spacing w:before="120" w:after="120"/>
      </w:pPr>
      <w:r>
        <w:rPr>
          <w:sz w:val="18"/>
        </w:rPr>
        <w:t>——————————————————————————————————————————————————————————————————————</w:t>
      </w:r>
    </w:p>
    <w:p>
      <w:pPr>
        <w:spacing w:before="160" w:after="40" w:line="240" w:lineRule="auto"/>
      </w:pPr>
      <w:r>
        <w:rPr>
          <w:b/>
        </w:rPr>
        <w:t xml:space="preserve">[412] </w:t>
      </w:r>
      <w:hyperlink r:id="rId1152">
        <w:r>
          <w:rPr>
            <w:color w:val="1155CC"/>
            <w:u w:val="single"/>
          </w:rPr>
          <w:t>仿生沸石咪唑酯骨架中通过工程化连接基区域异构化的自适应诱导契合助力SF6/N2分离</w:t>
        </w:r>
      </w:hyperlink>
    </w:p>
    <w:p>
      <w:pPr>
        <w:spacing w:before="0" w:after="80"/>
      </w:pPr>
      <w:r>
        <w:rPr>
          <w:i/>
          <w:sz w:val="20"/>
        </w:rPr>
        <w:t>EN: Adaptive Induced‐Fit via Engineered Linker Regioisomerization in Biomimetic Zeolitic Imidazolate Frameworks for Boosting SF 6 /N 2 Separation</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153">
        <w:r>
          <w:rPr>
            <w:color w:val="1155CC"/>
            <w:u w:val="single"/>
          </w:rPr>
          <w:t>10.1002/anie.3448513</w:t>
        </w:r>
      </w:hyperlink>
    </w:p>
    <w:p>
      <w:pPr>
        <w:spacing w:before="0" w:after="120"/>
      </w:pPr>
      <w:r>
        <w:rPr>
          <w:b/>
        </w:rPr>
        <w:t xml:space="preserve">Notes: </w:t>
      </w:r>
      <w:r>
        <w:t>abstract_source=crossref</w:t>
      </w:r>
    </w:p>
    <w:p>
      <w:pPr>
        <w:spacing w:before="0" w:after="80" w:lineRule="auto" w:line="276"/>
      </w:pPr>
      <w:r>
        <w:rPr>
          <w:b/>
        </w:rPr>
        <w:t xml:space="preserve">摘要（ZH）: </w:t>
      </w:r>
      <w:r>
        <w:t>摘要 捕获和回收六氟化硫（SF6）是减缓全球变暖过程中一项至关重要 yet 极具挑战性的任务。本文提出一种在沸石咪唑酯骨架（ZIF）内进行可编程连接体区域异构化的策略，以调控其刺激响应性结构柔韧性，从而显著提高从氮气（N2）气流中捕获SF6的效率。在咪唑酯连接体上同时对ZIF-8中的甲基和ZIF-90中的醛基进行区域异构化，得到ZIF-94，该材料在吸附SF6时表现出罕见的客体诱导可逆骨架形变。这种行为赋予其对SF6分子类似酶的诱导契合识别机制，增强了主-客体相互作用。因此，ZIF-94在298 K和0.1 bar下实现了1.97 mmol g−1的高SF6吸附容量和1438.69 mg cm−3的超高SF6堆积密度，并且其SF6/N2选择性显著优于ZIF-8和ZIF-90。原位实验和理论分析表明，ZIF-94的SF6诱导结构柔韧性使骨架能够动态调整并优化其笼结构以匹配气体分子，从而显著增强SF6/N2分离性能。实验柱穿透测试和变压吸附模拟证实了ZIF-94对SF6/N2混合物的实际分离性能。这项工作为设计用于气体分离的柔性吸附剂提供了有益的见解。</w:t>
      </w:r>
    </w:p>
    <w:p>
      <w:pPr>
        <w:spacing w:before="0" w:after="200" w:lineRule="auto" w:line="276"/>
      </w:pPr>
      <w:r>
        <w:rPr>
          <w:b/>
        </w:rPr>
        <w:t xml:space="preserve">Abstract (EN): </w:t>
      </w:r>
      <w:r>
        <w:t>Capturing and recovering sulfur hexafluoride (SF 6 ) is a crucial yet formidable challenge in mitigating global warming. Herein, we propose a programmable linker regioisomerization strategy within zeolitic imidazolate frameworks (ZIFs) to modulate their stimulus‐responsive structural flexibility, thereby significantly enhancing SF 6 capture efficiency from nitrogen (N 2 ) streams. Simultaneous regioisomerization of the methyl group in ZIF‐8 and the aldehyde group in ZIF‐90 on the imidazolate linkers yields ZIF‐94, which exhibits a rare guest‐induced reversible framework deformation upon SF 6 adsorption. This behavior confers an enzyme‐like induced‐fit recognition mechanism for SF 6 molecules, strengthening host–guest interactions. As a result, ZIF‐94 achieves a high SF 6 adsorption capacity of 1.97 mmol g −1 and an ultrahigh SF 6 stacking density of 1438.69 mg cm −3 at 298 K and 0.1 bar, along with dramatically enhanced SF 6 /N 2 selectivities over ZIF‐8 and ZIF‐90. In situ experiments and theoretical analyses reveal that the SF 6 ‐induced structural flexibility of ZIF‐94 allows the framework to dynamically adjust and optimize its cage structure to match gas molecules, thus leading to significantly reinforced SF 6 /N 2 separation performance. The experimental column breakthrough tests and pressure swing adsorption simulations confirm the practical separation performance for SF 6 /N 2 mixtures in ZIF‐94. This work offers useful insights for designing flexible adsorbents for gas separation applications.</w:t>
      </w:r>
    </w:p>
    <w:p>
      <w:pPr>
        <w:spacing w:before="120" w:after="120"/>
      </w:pPr>
      <w:r>
        <w:rPr>
          <w:sz w:val="18"/>
        </w:rPr>
        <w:t>——————————————————————————————————————————————————————————————————————</w:t>
      </w:r>
    </w:p>
    <w:p>
      <w:pPr>
        <w:spacing w:before="160" w:after="40" w:line="240" w:lineRule="auto"/>
      </w:pPr>
      <w:r>
        <w:rPr>
          <w:b/>
        </w:rPr>
        <w:t xml:space="preserve">[413] </w:t>
      </w:r>
      <w:hyperlink r:id="rId1154">
        <w:r>
          <w:rPr>
            <w:color w:val="1155CC"/>
            <w:u w:val="single"/>
          </w:rPr>
          <w:t>导电MOF薄膜中的空间限域水同位素传输</w:t>
        </w:r>
      </w:hyperlink>
    </w:p>
    <w:p>
      <w:pPr>
        <w:spacing w:before="0" w:after="80"/>
      </w:pPr>
      <w:r>
        <w:rPr>
          <w:i/>
          <w:sz w:val="20"/>
        </w:rPr>
        <w:t>EN: Space‐Confined Water Isotope Transport in Conductive MOF Thin Film</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155">
        <w:r>
          <w:rPr>
            <w:color w:val="1155CC"/>
            <w:u w:val="single"/>
          </w:rPr>
          <w:t>10.1002/anie.7017206</w:t>
        </w:r>
      </w:hyperlink>
    </w:p>
    <w:p>
      <w:pPr>
        <w:spacing w:before="0" w:after="120"/>
      </w:pPr>
      <w:r>
        <w:rPr>
          <w:b/>
        </w:rPr>
        <w:t xml:space="preserve">Notes: </w:t>
      </w:r>
      <w:r>
        <w:t>abstract_source=crossref</w:t>
      </w:r>
    </w:p>
    <w:p>
      <w:pPr>
        <w:spacing w:before="0" w:after="80" w:lineRule="auto" w:line="276"/>
      </w:pPr>
      <w:r>
        <w:rPr>
          <w:b/>
        </w:rPr>
        <w:t xml:space="preserve">摘要（ZH）: </w:t>
      </w:r>
      <w:r>
        <w:t>摘要 具有有序纳米孔、可设计电荷传输路径和潜在柔韧性的导电金属有机骨架（cMOF）薄膜或许可以解决同位素分离这一百年难题。然而，在此类受限空间内解析并放大水同位素体之间的微观动力学差异仍然并非易事。在这项工作中，通过可控的逐层生长制备了具有取向窄孔和柔韧性的质子-电子耦合二维π共轭cMOF薄膜（Cu1TPB0.1−xC）。通过关联电学和质量换能气体传感器技术，识别了H2O和D2O与骨架相互作用的细微差异，揭示了复杂的多阶段质量传输。比较不同孔径的cMOF表明，这种识别源于不同的传导机制。值得注意的是，具有强空间限域效应的Cu1TPB0.1−xC薄膜由于其独特的质子-电子耦合传导特性而表现出复杂的多阶段电学响应，从而能够进一步区分H2O和D2O在外表面和受限空间内的传输过程。因此，取向cMOF薄膜为解析和放大受限孔道中微妙的同位素依赖传输动力学提供了一个实时平台，为设计具有可控水同位素体传输的多孔材料提供了机理指导。</w:t>
      </w:r>
    </w:p>
    <w:p>
      <w:pPr>
        <w:spacing w:before="0" w:after="200" w:lineRule="auto" w:line="276"/>
      </w:pPr>
      <w:r>
        <w:rPr>
          <w:b/>
        </w:rPr>
        <w:t xml:space="preserve">Abstract (EN): </w:t>
      </w:r>
      <w:r>
        <w:t>The century‐old challenge of isotope separation might be addressed by conductive metal–organic framework (cMOF) thin films featuring ordered nanopores, designable charge‐transport pathways, and potential flexibility. However, resolving and amplifying the microscopic kinetic differences between water isotopologues within such confined spaces remains nontrivial. In this work, proton‐ and electron‐coupled two‐dimensional π‐conjugated cMOF thin films (Cu 1 TPB 0.1 − x C) are fabricated through controllable layer‐by‐layer growth with oriented narrow pores and flexibility. Correlating electrical‐ and mass‐transduced gas‐sensor technologies, the subtle differences in the interactions of H 2 O and D 2 O with the framework were identified, revealing a complex multistage mass transport. Comparison of cMOFs with different pore sizes shows that this identification originates from distinct conduction mechanisms. Notably, the Cu 1 TPB 0.1 − x C thin film with a strong space‐confined effect exhibits a complex multistage electrical response due to its unique proton–electron‐coupled conduction characteristics, thereby enabling further differentiation of the transport processes of H 2 O and D 2 O on the outer surface and within the confined spaces. The oriented cMOF films therefore provide a real‐time platform for resolving and amplifying subtle isotope‐dependent transport dynamics in confined pores, offering mechanistic guidance for the design of porous materials with controlled water‐isotopologue transport.</w:t>
      </w:r>
    </w:p>
    <w:p>
      <w:pPr>
        <w:spacing w:before="120" w:after="120"/>
      </w:pPr>
      <w:r>
        <w:rPr>
          <w:sz w:val="18"/>
        </w:rPr>
        <w:t>——————————————————————————————————————————————————————————————————————</w:t>
      </w:r>
    </w:p>
    <w:p>
      <w:pPr>
        <w:spacing w:before="160" w:after="40" w:line="240" w:lineRule="auto"/>
      </w:pPr>
      <w:r>
        <w:rPr>
          <w:b/>
        </w:rPr>
        <w:t xml:space="preserve">[414] </w:t>
      </w:r>
      <w:hyperlink r:id="rId1156">
        <w:r>
          <w:rPr>
            <w:color w:val="1155CC"/>
            <w:u w:val="single"/>
          </w:rPr>
          <w:t>金属氧化物在生理条件下通过磷酸盐β-消除催化脱氢氨基酸的生成</w:t>
        </w:r>
      </w:hyperlink>
    </w:p>
    <w:p>
      <w:pPr>
        <w:spacing w:before="0" w:after="80"/>
      </w:pPr>
      <w:r>
        <w:rPr>
          <w:i/>
          <w:sz w:val="20"/>
        </w:rPr>
        <w:t>EN: Metal Oxides Catalyze Formation of Dehydroamino Acids by Phosphate β‐Elimination Under Physiological Conditions</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157">
        <w:r>
          <w:rPr>
            <w:color w:val="1155CC"/>
            <w:u w:val="single"/>
          </w:rPr>
          <w:t>10.1002/anie.9805066</w:t>
        </w:r>
      </w:hyperlink>
    </w:p>
    <w:p>
      <w:pPr>
        <w:spacing w:before="0" w:after="120"/>
      </w:pPr>
      <w:r>
        <w:rPr>
          <w:b/>
        </w:rPr>
        <w:t xml:space="preserve">Notes: </w:t>
      </w:r>
      <w:r>
        <w:t>abstract_source=crossref</w:t>
      </w:r>
    </w:p>
    <w:p>
      <w:pPr>
        <w:spacing w:before="0" w:after="80" w:lineRule="auto" w:line="276"/>
      </w:pPr>
      <w:r>
        <w:rPr>
          <w:b/>
        </w:rPr>
        <w:t xml:space="preserve">摘要（ZH）: </w:t>
      </w:r>
      <w:r>
        <w:t>摘要 脱氢氨基酸（DHAAs）脱氢丙氨酸和脱氢丁氨酸分别由蛋白质中的丝氨酸和苏氨酸经翻译后形成。它们含有一个亲电性烯烃，可通过迈克尔加成反应与亲核试剂迅速反应，从而产生多种化学修饰以及蛋白质交联。最近的研究表明，DHAAs及其修饰在从阿尔茨海默病（AD）患者大脑中分离的蛋白质聚集体中高度普遍存在。由于目前尚无已知的人类酶可催化DHAAs的形成，这引出了它们如何产生的问题。我们在此表明，金属氧化物，特别是铁氧化物针铁矿和赤铁矿，在体外生理相关条件下能够高效催化模型磷酸肽中DHAAs的形成。已知铁氧化物会随年龄在人类大脑中积累，且这种沉积在AD等神经退行性疾病中加剧。本文报道的通过多相催化形成DHAA的机制提供了一种此前未知的将铁沉积与AD及其他铁积累与蛋白质聚集共存的神经退行性疾病中蛋白质交联联系起来的机制。</w:t>
      </w:r>
    </w:p>
    <w:p>
      <w:pPr>
        <w:spacing w:before="0" w:after="200" w:lineRule="auto" w:line="276"/>
      </w:pPr>
      <w:r>
        <w:rPr>
          <w:b/>
        </w:rPr>
        <w:t xml:space="preserve">Abstract (EN): </w:t>
      </w:r>
      <w:r>
        <w:t>The dehydroamino acids (DHAAs) dehydroalanine and dehydrobutyrine are formed in proteins posttranslationally from serine and threonine, respectively. They contain an electrophilic alkene, which reacts readily with nucleophiles by Michael addition, giving rise to a variety of chemical modifications as well as protein crosslinks. Recent work has shown DHAAs and their modifications to be highly prevalent in protein aggregates isolated from brains of Alzheimer's Disease (AD) patients. As there is no human enzyme known to catalyze the formation of DHAAs, this raised the question of how they are produced. We show here that metal oxides, particularly the iron oxides goethite and hematite, efficiently catalyze the formation of DHAAs in model phosphopeptides in vitro under physiologically relevant conditions. Iron oxides are known to accumulate in the human brain with age, and this deposition is enhanced in neurodegenerative disorders like AD. The DHAA formation by heterogeneous catalysis reported here provides a previously unknown mechanism linking iron deposition to protein crosslinking in AD and potentially other neurodegenerative diseases where iron accumulation and protein aggregation co‐occur.</w:t>
      </w:r>
    </w:p>
    <w:p>
      <w:pPr>
        <w:spacing w:before="120" w:after="120"/>
      </w:pPr>
      <w:r>
        <w:rPr>
          <w:sz w:val="18"/>
        </w:rPr>
        <w:t>——————————————————————————————————————————————————————————————————————</w:t>
      </w:r>
    </w:p>
    <w:p>
      <w:pPr>
        <w:spacing w:before="160" w:after="40" w:line="240" w:lineRule="auto"/>
      </w:pPr>
      <w:r>
        <w:rPr>
          <w:b/>
        </w:rPr>
        <w:t xml:space="preserve">[415] </w:t>
      </w:r>
      <w:hyperlink r:id="rId1158">
        <w:r>
          <w:rPr>
            <w:color w:val="1155CC"/>
            <w:u w:val="single"/>
          </w:rPr>
          <w:t>结合零序和相间电流故障分量的配电网SPG故障分布式定位方法</w:t>
        </w:r>
      </w:hyperlink>
    </w:p>
    <w:p>
      <w:pPr>
        <w:spacing w:before="0" w:after="80"/>
      </w:pPr>
      <w:r>
        <w:rPr>
          <w:i/>
          <w:sz w:val="20"/>
        </w:rPr>
        <w:t>EN: Distributed Location Method for SPG Faults in Distribution Networks Combining Zero-Sequence and Phase-to-Phase Current Fault Components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59">
        <w:r>
          <w:rPr>
            <w:color w:val="1155CC"/>
            <w:u w:val="single"/>
          </w:rPr>
          <w:t>10.1109/tsg.2026.3687204</w:t>
        </w:r>
      </w:hyperlink>
    </w:p>
    <w:p>
      <w:pPr>
        <w:spacing w:before="0" w:after="120"/>
      </w:pPr>
      <w:r>
        <w:rPr>
          <w:b/>
        </w:rPr>
        <w:t xml:space="preserve">Notes: </w:t>
      </w:r>
      <w:r>
        <w:t>abstract_source=semanticscholar</w:t>
      </w:r>
    </w:p>
    <w:p>
      <w:pPr>
        <w:spacing w:before="0" w:after="80" w:lineRule="auto" w:line="276"/>
      </w:pPr>
      <w:r>
        <w:rPr>
          <w:b/>
        </w:rPr>
        <w:t xml:space="preserve">摘要（ZH）: </w:t>
      </w:r>
      <w:r>
        <w:t>随着现代有源配电网对快速恢复供电和最小化停电影响的需求日益迫切，可靠的单相接地（SPG）故障分布式定位正变得愈发关键。然而，SPG故障电流通常微弱、受电弧严重畸变且易受噪声污染，使单源定位方法本身就不可靠。为克服这些局限性，本文提出了一种联合利用零序分量（ZSCs）和相间电流故障分量（PPCFCs）的分布式定位框架。首先在考虑暂态衰减、触发延迟和测量误差的情况下分析两种源信号的内在行为，揭示了仅靠改进特征提取或分类无法解决的根本局限。基于这些发现，提出了一种基于多源融合的分布式方法，其中基于ZSCs或PPCFCs的源指标仅在其可靠性得到保证时才被选择性激活，并在性能退化条件下相互补偿。这种协同决策机制显著增强了故障馈线识别和故障区段定位。该方法在馈线级检测中仅需本地测量，并在区段级定位中利用相邻终端间的简单二元通信，保证了可扩展性和实际部署能力。在多种故障场景下的广泛测试证实了其强鲁棒性和高定位精度。</w:t>
      </w:r>
    </w:p>
    <w:p>
      <w:pPr>
        <w:spacing w:before="0" w:after="200" w:lineRule="auto" w:line="276"/>
      </w:pPr>
      <w:r>
        <w:rPr>
          <w:b/>
        </w:rPr>
        <w:t xml:space="preserve">Abstract (EN): </w:t>
      </w:r>
      <w:r>
        <w:t>Reliable distributed localization of single-phase-to-ground (SPG) faults is becoming increasingly critical as modern active distribution networks demand faster restoration and minimized outage impact. However, SPG fault currents are typically weak, highly distorted by arcs, and easily contaminated by noise, making single-source localization methods inherently unreliable. To overcome these limitations, this paper proposes a distributed localization framework that jointly exploits zero-sequence components (ZSCs) and phase-to-phase current fault components (PPCFCs). The intrinsic behaviors of both source signals are first examined considering transient attenuation, triggering delays, and measurement errors, revealing fundamental limitations that cannot be resolved by improved feature extraction or classification alone. Building upon these findings, a multi-source fusion-based distributed method is developed, where ZSCs- or PPCFCs-based source indicators are selectively activated only when their reliability is ensured, and one compensates for the other under degraded conditions. This cooperative decision mechanism substantially enhances both faulty-feeder identification and fault-section localization. The method requires only local measurements for feeder-level detection and uses simple binary communication between adjacent terminals for section-level location, ensuring scalability and practical deployment. Extensive tests across diverse fault scenarios confirm its strong robustness and high localization accuracy.</w:t>
      </w:r>
    </w:p>
    <w:p>
      <w:pPr>
        <w:spacing w:before="120" w:after="120"/>
      </w:pPr>
      <w:r>
        <w:rPr>
          <w:sz w:val="18"/>
        </w:rPr>
        <w:t>——————————————————————————————————————————————————————————————————————</w:t>
      </w:r>
    </w:p>
    <w:p>
      <w:pPr>
        <w:spacing w:before="160" w:after="40" w:line="240" w:lineRule="auto"/>
      </w:pPr>
      <w:r>
        <w:rPr>
          <w:b/>
        </w:rPr>
        <w:t xml:space="preserve">[416] </w:t>
      </w:r>
      <w:hyperlink r:id="rId1160">
        <w:r>
          <w:rPr>
            <w:color w:val="1155CC"/>
            <w:u w:val="single"/>
          </w:rPr>
          <w:t>基于单纯形图的大规模智能电网网络攻击检测与定位</w:t>
        </w:r>
      </w:hyperlink>
    </w:p>
    <w:p>
      <w:pPr>
        <w:spacing w:before="0" w:after="80"/>
      </w:pPr>
      <w:r>
        <w:rPr>
          <w:i/>
          <w:sz w:val="20"/>
        </w:rPr>
        <w:t>EN: Simplicial Graph-Based Detection and Localization of Cyber Attacks Against Large-Scale Smart Grids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61">
        <w:r>
          <w:rPr>
            <w:color w:val="1155CC"/>
            <w:u w:val="single"/>
          </w:rPr>
          <w:t>10.1109/tsg.2026.3682950</w:t>
        </w:r>
      </w:hyperlink>
    </w:p>
    <w:p>
      <w:pPr>
        <w:spacing w:before="0" w:after="120"/>
      </w:pPr>
      <w:r>
        <w:rPr>
          <w:b/>
        </w:rPr>
        <w:t xml:space="preserve">Notes: </w:t>
      </w:r>
      <w:r>
        <w:t>abstract_source=semanticscholar</w:t>
      </w:r>
    </w:p>
    <w:p>
      <w:pPr>
        <w:spacing w:before="0" w:after="80" w:lineRule="auto" w:line="276"/>
      </w:pPr>
      <w:r>
        <w:rPr>
          <w:b/>
        </w:rPr>
        <w:t xml:space="preserve">摘要（ZH）: </w:t>
      </w:r>
      <w:r>
        <w:t>确保大规模电力系统应对网络攻击的弹性对于维护现代信息物理能源系统的稳定至关重要。现有的基于机器学习（ML）的检测框架主要关注成对节点交互（即边），而往往忽视了捕捉电力网络内涌现的高阶拓扑结构（即单纯复形）。本文提出了一种新颖的单纯复形循环图神经网络（SRGNN），用于大规模智能电网基础设施中的攻击检测与定位。与传统的图模型不同，SRGNN引入了高阶单纯复形交互来捕捉母线和输电线之间的群体依赖关系，使模型能够更好地反映电网运行和控制的多尺度动态。我们研究了模型针对基准及所提出的复杂基于单纯复形的攻击节点选择策略的鲁棒性。在大规模输电网络（&lt;inline-formula&gt; &lt;tex-math notation="LaTeX"&gt;$2{,}869$ &lt;/tex-math&gt;&lt;/inline-formula&gt;母线、&lt;inline-formula&gt; &lt;tex-math notation="LaTeX"&gt;$9{,}241$ &lt;/tex-math&gt;&lt;/inline-formula&gt;母线和&lt;inline-formula&gt; &lt;tex-math notation="LaTeX"&gt;$70{,}000$ &lt;/tex-math&gt;&lt;/inline-formula&gt;母线系统）上的大量实验表明，所提出的SRGNN模型优于基于ML的基准模型，在应对复杂攻击时检测率分别提升9–39%和8–35%，实现了更优的检测与定位性能。这些结果凸显了对高阶拓扑结构建模的重要性</w:t>
      </w:r>
    </w:p>
    <w:p>
      <w:pPr>
        <w:spacing w:before="0" w:after="200" w:lineRule="auto" w:line="276"/>
      </w:pPr>
      <w:r>
        <w:rPr>
          <w:b/>
        </w:rPr>
        <w:t xml:space="preserve">Abstract (EN): </w:t>
      </w:r>
      <w:r>
        <w:t>Ensuring the resilience of large-scale power systems against cyber attacks is critical to maintaining the stability of modern cyber-physical energy systems. Existing machine learning (ML)-based detection frameworks predominantly focus on pairwise node interactions (i.e., edges) and often overlook capturing higher-order topological structures (i.e., simplicial complexes) that emerge within power networks. This paper introduces a novel simplicial recurrent graph neural network (SRGNN) for attack detection and localization in large-scale smart grid infrastructure. Unlike conventional graph models, SRGNN incorporates higher-order simplicial interactions to capture group-wise dependencies among buses and transmission lines, allowing the model to better reflect the multi-scale dynamics of grid operation and control. We investigate the robustness of our model against benchmark and proposed complex simplicial-based attack node selection strategies. Our extensive experiments on large-scale transmission power networks (&lt;inline-formula&gt; &lt;tex-math notation="LaTeX"&gt;$2{,}869$ &lt;/tex-math&gt;&lt;/inline-formula&gt;-bus, &lt;inline-formula&gt; &lt;tex-math notation="LaTeX"&gt;$9{,}241$ &lt;/tex-math&gt;&lt;/inline-formula&gt;-bus, and &lt;inline-formula&gt; &lt;tex-math notation="LaTeX"&gt;$70{,}000$ &lt;/tex-math&gt;&lt;/inline-formula&gt;-bus systems) demonstrate that the proposed SRGNN model outperforms ML-based benchmark models, achieving superior detection and localization performance by 9–39% and 8–35%, respectively, in detection rate against complex attacks. These results underscore the importance of modeling higher-order topological structures for robust and scalable security in power systems.</w:t>
      </w:r>
    </w:p>
    <w:p>
      <w:pPr>
        <w:spacing w:before="120" w:after="120"/>
      </w:pPr>
      <w:r>
        <w:rPr>
          <w:sz w:val="18"/>
        </w:rPr>
        <w:t>——————————————————————————————————————————————————————————————————————</w:t>
      </w:r>
    </w:p>
    <w:p>
      <w:pPr>
        <w:spacing w:before="160" w:after="40" w:line="240" w:lineRule="auto"/>
      </w:pPr>
      <w:r>
        <w:rPr>
          <w:b/>
        </w:rPr>
        <w:t xml:space="preserve">[417] </w:t>
      </w:r>
      <w:hyperlink r:id="rId1162">
        <w:r>
          <w:rPr>
            <w:color w:val="1155CC"/>
            <w:u w:val="single"/>
          </w:rPr>
          <w:t>基于松弛度的强化学习实现可扩展的建筑HVAC控制</w:t>
        </w:r>
      </w:hyperlink>
    </w:p>
    <w:p>
      <w:pPr>
        <w:spacing w:before="0" w:after="80"/>
      </w:pPr>
      <w:r>
        <w:rPr>
          <w:i/>
          <w:sz w:val="20"/>
        </w:rPr>
        <w:t>EN: Scalable Building HVAC Control Through Laxity-Based Reinforcement Learning</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63">
        <w:r>
          <w:rPr>
            <w:color w:val="1155CC"/>
            <w:u w:val="single"/>
          </w:rPr>
          <w:t>10.1109/tsg.2026.3667913</w:t>
        </w:r>
      </w:hyperlink>
    </w:p>
    <w:p>
      <w:pPr>
        <w:spacing w:before="0" w:after="120"/>
      </w:pPr>
      <w:r>
        <w:rPr>
          <w:b/>
        </w:rPr>
        <w:t xml:space="preserve">Notes: </w:t>
      </w:r>
      <w:r>
        <w:t>abstract_source=semanticscholar</w:t>
      </w:r>
    </w:p>
    <w:p>
      <w:pPr>
        <w:spacing w:before="0" w:after="80" w:lineRule="auto" w:line="276"/>
      </w:pPr>
      <w:r>
        <w:rPr>
          <w:b/>
        </w:rPr>
        <w:t xml:space="preserve">摘要（ZH）: </w:t>
      </w:r>
      <w:r>
        <w:t>需求弹性在维持电网功率平衡、削减峰值需求和节省电费方面发挥着至关重要的作用。鉴于暖通空调（HVAC）系统具有高度可调节特性且在建筑能耗中占比显著，其可通过响应电价和电力系统需求来调整功耗，从而为电力系统提供宝贵的需求弹性。为了在运行时间和需求水平两方面利用这种弹性，本文研究了HVAC负荷弹性的建模和高效聚合技术。为解决HVAC设备数量增加带来的维数灾难问题，本文提出了HVAC松弛度的概念，用以量化每栋建筑运行请求的紧急程度。考虑到HVAC系统固有的复杂性和不确定性，我们设计了一种新颖的基于深度强化学习（RL）的控制器，基于聚合松弛度信息的高效表示以及电价来调度聚合分配功率。对于每个HVAC负荷，仅暴露松弛度信息而非完整状态，并利用所提出的RL智能体结合最小松弛度优先（LLF）规则进行功率分配。为验证我们基于松弛度的RL智能体的卓越效率和性能，我们在不同气候和电力市场条件下评估了单区域和多区域场景中大量HVAC的温度控制和能耗成本节省</w:t>
      </w:r>
    </w:p>
    <w:p>
      <w:pPr>
        <w:spacing w:before="0" w:after="200" w:lineRule="auto" w:line="276"/>
      </w:pPr>
      <w:r>
        <w:rPr>
          <w:b/>
        </w:rPr>
        <w:t xml:space="preserve">Abstract (EN): </w:t>
      </w:r>
      <w:r>
        <w:t>Demand flexibility is playing a vital role in maintaining grid power balance, reducing peak demand, and saving energy bills. Given their highly shiftable characteristics and significant contribution to a building’s energy consumption, Heating, Ventilation, and Air Conditioning (HVAC) systems can provide valuable demand flexibility to the power systems by adjusting their power consumption in response to electricity price and power system needs. To exploit such flexibility in terms of both operation time and demand level, modeling and efficient aggregation techniques of HVAC load flexibility are investigated in this paper. To tackle the curse of dimensionality issue associated with an increasing number of HVAC devices, the notion of laxity for HVAC is proposed in this work to quantify the urgency level of each building’s operation request. Considering the inherent complexity and uncertainty presented in HVAC systems, we design a novel deep reinforcement learning (RL)-based controller to schedule the aggregate dispatched power based on the efficient representation of aggregated laxity information as well as the electricity price. For each HVAC load, only laxity information is revealed instead of full states, and integrated with proposed RL agent using least-laxity-first (LLF) rule for power allocation. To validate the superior efficiency and performance provided by our laxity-based RL agent, we evaluate the temperature control and the energy cost savings of a large number of HVACs in both single-zone and multi-zone scenarios under varying climate and electricity market conditions. Our data-driven approach also significantly saves the modeling and data burden compared to model-based controllers. Empirically, numerical results also indicate that the proposed approach outperforms standard RL with full HVAC states. Compared to the widely used deep RL baseline, it achieves up to 42% reduction in total energy cost while maintaining comparable average temperature deviation.</w:t>
      </w:r>
    </w:p>
    <w:p>
      <w:pPr>
        <w:spacing w:before="120" w:after="120"/>
      </w:pPr>
      <w:r>
        <w:rPr>
          <w:sz w:val="18"/>
        </w:rPr>
        <w:t>——————————————————————————————————————————————————————————————————————</w:t>
      </w:r>
    </w:p>
    <w:p>
      <w:pPr>
        <w:spacing w:before="160" w:after="40" w:line="240" w:lineRule="auto"/>
      </w:pPr>
      <w:r>
        <w:rPr>
          <w:b/>
        </w:rPr>
        <w:t xml:space="preserve">[418] </w:t>
      </w:r>
      <w:hyperlink r:id="rId1164">
        <w:r>
          <w:rPr>
            <w:color w:val="1155CC"/>
            <w:u w:val="single"/>
          </w:rPr>
          <w:t>风-抽水蓄能混合微电网中多频率振荡的协调负荷频率控制</w:t>
        </w:r>
      </w:hyperlink>
    </w:p>
    <w:p>
      <w:pPr>
        <w:spacing w:before="0" w:after="80"/>
      </w:pPr>
      <w:r>
        <w:rPr>
          <w:i/>
          <w:sz w:val="20"/>
        </w:rPr>
        <w:t>EN: Coordinated Load Frequency Control for Multi-Frequency Oscillations in Wind-Pumped Storage Hybrid Microgrids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65">
        <w:r>
          <w:rPr>
            <w:color w:val="1155CC"/>
            <w:u w:val="single"/>
          </w:rPr>
          <w:t>10.1109/tsg.2026.3684062</w:t>
        </w:r>
      </w:hyperlink>
    </w:p>
    <w:p>
      <w:pPr>
        <w:spacing w:before="0" w:after="120"/>
      </w:pPr>
      <w:r>
        <w:rPr>
          <w:b/>
        </w:rPr>
        <w:t xml:space="preserve">Notes: </w:t>
      </w:r>
      <w:r>
        <w:t>abstract_source=semanticscholar</w:t>
      </w:r>
    </w:p>
    <w:p>
      <w:pPr>
        <w:spacing w:before="0" w:after="80" w:lineRule="auto" w:line="276"/>
      </w:pPr>
      <w:r>
        <w:rPr>
          <w:b/>
        </w:rPr>
        <w:t xml:space="preserve">摘要（ZH）: </w:t>
      </w:r>
      <w:r>
        <w:t>混合微电网（MGs），特别是纳入风能发电和抽水蓄能的系统，已被广泛应用于可再生能源发电。然而，抽水蓄能机组（PSUs）的水力特性和机组间相互作用会在负荷频率控制（LFC）过程中不可避免地引发多频振荡。为了捕捉这些振荡行为并实现有效抑制，本文提出了一种融合高保真系统建模的混合微电网协同LFC策略。首先提出了一种新颖的分布式频率响应（DFR）模型，该模型纳入了水力状态（如复杂管道中的压力水头和调压井水位）以及网络拓扑，比传统的平均系统频率（ASF）模型具有更高的精度。基于该模型，设计了多输入多输出模型预测控制（MIMO-MPC）方案，用于跟踪功率分配设定点，并使风力发电机组与同步发电机协同参与LFC。在6母线和IEEE 39母线系统上的仿真结果表明了所提策略在频率调节方面的优越性。在变化的风况下，与PI控制相比，该策略将PSU频率偏差的时间加权绝对误差积分（ITAE）降低了47.3%。这些结果验证了该方案在实际智能电网应用中增强的暂态性能和鲁棒性。</w:t>
      </w:r>
    </w:p>
    <w:p>
      <w:pPr>
        <w:spacing w:before="0" w:after="200" w:lineRule="auto" w:line="276"/>
      </w:pPr>
      <w:r>
        <w:rPr>
          <w:b/>
        </w:rPr>
        <w:t xml:space="preserve">Abstract (EN): </w:t>
      </w:r>
      <w:r>
        <w:t>Hybrid microgrids (MGs), particularly those incorporating wind power and pumped storage, have been widely adopted for renewable energy generation. However, hydraulic characteristics of pumped storage units (PSUs) and inter-generator interactions induce inevitably multi-frequency oscillations during load frequency control (LFC). To capture these oscillation behaviors and achieve effective suppression, this paper proposes a coordinated LFC strategy for hybrid MGs that integrates high-fidelity system modeling. A novel distributed frequency response (DFR) model is developed that incorporates hydraulic states (e.g., pressure heads in complicated pipelines and surge tank water levels) and network topology, offering improved accuracy over conventional average system frequency (ASF) models. Based on this model, a multi-input multi-output model predictive control (MIMO-MPC) scheme is designed to track the power allocation setpoint and enable wind turbines to participate in LFC in coordination with synchronous generators. Simulation results on 6-bus and IEEE 39-bus systems demonstrate the proposed strategy’s superiority in frequency regulation. Under variable wind conditions, it reduces the integral of time-weighted absolute error (ITAE) of frequency deviation for the PSU by 47.3% compared to the PI control. These outcomes validate the enhanced transient performance and robustness of the scheme for practical smart grid applications.</w:t>
      </w:r>
    </w:p>
    <w:p>
      <w:pPr>
        <w:spacing w:before="120" w:after="120"/>
      </w:pPr>
      <w:r>
        <w:rPr>
          <w:sz w:val="18"/>
        </w:rPr>
        <w:t>——————————————————————————————————————————————————————————————————————</w:t>
      </w:r>
    </w:p>
    <w:p>
      <w:pPr>
        <w:spacing w:before="160" w:after="40" w:line="240" w:lineRule="auto"/>
      </w:pPr>
      <w:r>
        <w:rPr>
          <w:b/>
        </w:rPr>
        <w:t xml:space="preserve">[419] </w:t>
      </w:r>
      <w:hyperlink r:id="rId1166">
        <w:r>
          <w:rPr>
            <w:color w:val="1155CC"/>
            <w:u w:val="single"/>
          </w:rPr>
          <w:t>考虑冷冻水回路中冷量存储的商业HVAC负荷需求响应潜力评估</w:t>
        </w:r>
      </w:hyperlink>
    </w:p>
    <w:p>
      <w:pPr>
        <w:spacing w:before="0" w:after="80"/>
      </w:pPr>
      <w:r>
        <w:rPr>
          <w:i/>
          <w:sz w:val="20"/>
        </w:rPr>
        <w:t>EN: Demand Response Potential Evaluation for Commercial HVAC Loads Considering Cooling Storage in Chilled Water Loops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67">
        <w:r>
          <w:rPr>
            <w:color w:val="1155CC"/>
            <w:u w:val="single"/>
          </w:rPr>
          <w:t>10.1109/tsg.2026.3676769</w:t>
        </w:r>
      </w:hyperlink>
    </w:p>
    <w:p>
      <w:pPr>
        <w:spacing w:before="0" w:after="120"/>
      </w:pPr>
      <w:r>
        <w:rPr>
          <w:b/>
        </w:rPr>
        <w:t xml:space="preserve">Notes: </w:t>
      </w:r>
      <w:r>
        <w:t>abstract_source=semanticscholar</w:t>
      </w:r>
    </w:p>
    <w:p>
      <w:pPr>
        <w:spacing w:before="0" w:after="80" w:lineRule="auto" w:line="276"/>
      </w:pPr>
      <w:r>
        <w:rPr>
          <w:b/>
        </w:rPr>
        <w:t xml:space="preserve">摘要（ZH）: </w:t>
      </w:r>
      <w:r>
        <w:t>商业HVAC系统为需求响应（DR）提供了巨大潜力。现有的HVAC DR评估方法往往忽视冷冻水回路中的蓄冷效应。然而，该效应提供了可观的弹性，其被忽略会导致对DR潜力的严重低估。由于冷冻水温度的时空变化以及冷冻水回路与室内环境之间复杂的耦合动力学，纳入该效应带来了重大的建模和计算挑战。为应对这些挑战，本研究提出了一种考虑蓄冷的HVAC DR潜力评估新方法。首先，基于一维对流扩散偏微分方程（PDEs）建立了冷冻水回路模型。然后，提出了一种逐步求解方法，利用DR事件期间冷冻水温度中识别出的阶梯上升模式，在不直接求解完整PDEs的情况下有效求解该物理过程。建立了高保真仿真平台以验证所提方法。结果表明，在大多数场景下，考虑蓄冷效应评估的DR潜力是不考虑该效应时评估值的两倍以上。</w:t>
      </w:r>
    </w:p>
    <w:p>
      <w:pPr>
        <w:spacing w:before="0" w:after="200" w:lineRule="auto" w:line="276"/>
      </w:pPr>
      <w:r>
        <w:rPr>
          <w:b/>
        </w:rPr>
        <w:t xml:space="preserve">Abstract (EN): </w:t>
      </w:r>
      <w:r>
        <w:t>Commercial HVAC systems offer great potential for demand response (DR). Existing methods for HVAC DR evaluation often neglect the cooling storage effect within chilled water loops. However, this effect provides substantial flexibility and its omission leads to considerable underestimation of DR potential. Incorporating this effect poses major modeling and computational challenges due to the spatiotemporal variation of chilled water temperature and the complex coupled dynamics between chilled water loops and the indoor environment. To address these challenges, this study proposes a novel method for evaluating HVAC DR potential considering cooling storage. First, we develop a model for chilled water loops based on 1-D advection-diffusion partial differential equations (PDEs). Then, a stepwise solution approach that leverages the identified stepwise rising pattern in chilled water temperature during DR events is proposed to solve the physical process effectively without directly solving the full PDEs. A high-fidelity simulation platform is established to validate the proposed method. Results indicate that, in most scenarios, the DR potential evaluated with the cooling storage effect is more than twice as high as that evaluated without it.</w:t>
      </w:r>
    </w:p>
    <w:p>
      <w:pPr>
        <w:spacing w:before="120" w:after="120"/>
      </w:pPr>
      <w:r>
        <w:rPr>
          <w:sz w:val="18"/>
        </w:rPr>
        <w:t>——————————————————————————————————————————————————————————————————————</w:t>
      </w:r>
    </w:p>
    <w:p>
      <w:pPr>
        <w:spacing w:before="160" w:after="40" w:line="240" w:lineRule="auto"/>
      </w:pPr>
      <w:r>
        <w:rPr>
          <w:b/>
        </w:rPr>
        <w:t xml:space="preserve">[420] </w:t>
      </w:r>
      <w:hyperlink r:id="rId1168">
        <w:r>
          <w:rPr>
            <w:color w:val="1155CC"/>
            <w:u w:val="single"/>
          </w:rPr>
          <w:t>基于高度有序聚丙烯酰胺水凝胶的高性能快速再生被动式人体降温</w:t>
        </w:r>
      </w:hyperlink>
    </w:p>
    <w:p>
      <w:pPr>
        <w:spacing w:before="0" w:after="80"/>
      </w:pPr>
      <w:r>
        <w:rPr>
          <w:i/>
          <w:sz w:val="20"/>
        </w:rPr>
        <w:t>EN: High-performance and fast-regenerative passive body cooling enabled by a highly ordered polyacrylamide hydrogel</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169">
        <w:r>
          <w:rPr>
            <w:color w:val="1155CC"/>
            <w:u w:val="single"/>
          </w:rPr>
          <w:t>10.1016/j.matt.2026.102999</w:t>
        </w:r>
      </w:hyperlink>
    </w:p>
    <w:p>
      <w:pPr>
        <w:spacing w:before="0" w:after="120"/>
      </w:pPr>
      <w:r>
        <w:rPr>
          <w:b/>
        </w:rPr>
        <w:t xml:space="preserve">Notes: </w:t>
      </w:r>
      <w:r>
        <w:t>abstract_source=rss_cell</w:t>
      </w:r>
    </w:p>
    <w:p>
      <w:pPr>
        <w:spacing w:before="0" w:after="80" w:lineRule="auto" w:line="276"/>
      </w:pPr>
      <w:r>
        <w:rPr>
          <w:b/>
        </w:rPr>
        <w:t xml:space="preserve">摘要（ZH）: </w:t>
      </w:r>
      <w:r>
        <w:t>高效、可再生且低成本的制冷材料对于热应激下的个人热管理极具吸引力，但现有降温贴片往往存在制冷性能有限或可重复使用性差的问题。本文报道了一种理论指导的水凝胶降温贴片，其具有垂直取向、低迂曲度的孔道结构，可实现高效的被动蒸发降温和即时再生。这项工作为个人热管理提供了一种可持续、低成本的策略，并可能启发下一代快速再生被动制冷器件。</w:t>
      </w:r>
    </w:p>
    <w:p>
      <w:pPr>
        <w:spacing w:before="0" w:after="200" w:lineRule="auto" w:line="276"/>
      </w:pPr>
      <w:r>
        <w:rPr>
          <w:b/>
        </w:rPr>
        <w:t xml:space="preserve">Abstract (EN): </w:t>
      </w:r>
      <w:r>
        <w:t>Efficient, regenerative, and low-cost cooling materials are highly desirable for personal thermal management under heat stress, yet existing cooling patches often suffer from limited cooling performance or poor reusability. Here, a theoretically guided hydrogel cooling patch with vertically aligned, low-tortuosity pores enables efficient passive evaporative cooling and instant regeneration. This work offers a sustainable, cost-effective strategy for personal thermal management and may inspire next-generation fast-regenerative passive cooling devices.</w:t>
      </w:r>
    </w:p>
    <w:p>
      <w:pPr>
        <w:spacing w:before="120" w:after="120"/>
      </w:pPr>
      <w:r>
        <w:rPr>
          <w:sz w:val="18"/>
        </w:rPr>
        <w:t>——————————————————————————————————————————————————————————————————————</w:t>
      </w:r>
    </w:p>
    <w:p>
      <w:pPr>
        <w:spacing w:before="160" w:after="40" w:line="240" w:lineRule="auto"/>
      </w:pPr>
      <w:r>
        <w:rPr>
          <w:b/>
        </w:rPr>
        <w:t xml:space="preserve">[421] </w:t>
      </w:r>
      <w:hyperlink r:id="rId1170">
        <w:r>
          <w:rPr>
            <w:color w:val="1155CC"/>
            <w:u w:val="single"/>
          </w:rPr>
          <w:t>通过动态相变实现离子液体和电解质中的压电响应</w:t>
        </w:r>
      </w:hyperlink>
    </w:p>
    <w:p>
      <w:pPr>
        <w:spacing w:before="0" w:after="80"/>
      </w:pPr>
      <w:r>
        <w:rPr>
          <w:i/>
          <w:sz w:val="20"/>
        </w:rPr>
        <w:t>EN: Piezoelectric response in ionic liquids and electrolytes through dynamic phase transitions</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171">
        <w:r>
          <w:rPr>
            <w:color w:val="1155CC"/>
            <w:u w:val="single"/>
          </w:rPr>
          <w:t>10.1016/j.matt.2026.102917</w:t>
        </w:r>
      </w:hyperlink>
    </w:p>
    <w:p>
      <w:pPr>
        <w:spacing w:before="0" w:after="120"/>
      </w:pPr>
      <w:r>
        <w:rPr>
          <w:b/>
        </w:rPr>
        <w:t xml:space="preserve">Notes: </w:t>
      </w:r>
      <w:r>
        <w:t>abstract_source=openalex</w:t>
      </w:r>
    </w:p>
    <w:p>
      <w:pPr>
        <w:spacing w:before="0" w:after="80" w:lineRule="auto" w:line="276"/>
      </w:pPr>
      <w:r>
        <w:rPr>
          <w:b/>
        </w:rPr>
        <w:t xml:space="preserve">摘要（ZH）: </w:t>
      </w:r>
      <w:r>
        <w:t>压电效应，即在机械应力下产生电荷或在施加电场下产生应变，已为从石英振荡器到现代执行器的诸多技术提供动力。传统上局限于固态材料的正压电效应，最近已在室温离子液体（RTILs）和低共熔溶剂（DESs）中得到证实。本展望展示了近期的实验成果、机理认识和结构依赖性，以勾勒出开发利用液相压电材料的路线图。我们重点介绍了压力诱导的液体-晶体相变、离子对组织及组分调控的作用，并提出了可释放从柔性传感器到压电-气动器件等多方面应用的设计策略。与传统的液体在施加压力时仅传递机械载荷而不发生化学或物理变化不同，在这些体系中，所施加的应力会触发物理或化学转变，如相变、结晶或分子排序的变化。这类转变尤为重要，因为它们可以产生非中心对称的晶体畴，而这是压电行为出现的关键。这一现象在固态聚合物电解质中尤为重要，因为应力诱导结晶可赋予其压电功能。这些材料对于能量收集复合材料具有特殊意义，其中压电相与导电基体之间的多功能界面发挥着</w:t>
      </w:r>
    </w:p>
    <w:p>
      <w:pPr>
        <w:spacing w:before="0" w:after="200" w:lineRule="auto" w:line="276"/>
      </w:pPr>
      <w:r>
        <w:rPr>
          <w:b/>
        </w:rPr>
        <w:t xml:space="preserve">Abstract (EN): </w:t>
      </w:r>
      <w:r>
        <w:t>Piezoelectricity, the generation of electric charge under mechanical stress or effecting strain under an applied electric field, has powered technologies from quartz oscillators to modern actuators. The direct piezoelectric effect, traditionally confined to solid-state materials, has recently been demonstrated in room-temperature ionic liquids (RTILs) and deep eutectic solvents (DESs). This perspective showcases recent experimental outcomes, mechanistic insights, and structural dependencies to outline a roadmap for exploiting liquid-phase piezo-electrics. Highlighting the role of pressure-induced liquid-to-crystalline transitions, ion pair organization, and compositional tuning, we propose design strategies that could unlock applications ranging from flexible sensors to piezo-pneumatic devices. Unlike traditional liquids, where the application of pressure transfers mechanical load with no chemical or physical change, in these systems, the applied stress triggers a physical or chemical transformation, such as a phase transition, crystallization, or a change in molecular ordering. Such transformations are particularly important because they can generate non-centrosymmetric crystalline domains, which are essential for the emergence of piezoelectric behavior. This phenomenon is especially relevant in solid polymer electrolytes, where stress-induced crystallization can impart piezoelectric functionality. These materials are of particular interest for energy-harvesting composites, in which the multifunctional interfaces between piezoelectric phases and conductive matrices play a critical role in determining overall electromechanical performance.</w:t>
      </w:r>
    </w:p>
    <w:p>
      <w:pPr>
        <w:spacing w:before="120" w:after="120"/>
      </w:pPr>
      <w:r>
        <w:rPr>
          <w:sz w:val="18"/>
        </w:rPr>
        <w:t>——————————————————————————————————————————————————————————————————————</w:t>
      </w:r>
    </w:p>
    <w:p>
      <w:pPr>
        <w:spacing w:before="160" w:after="40" w:line="240" w:lineRule="auto"/>
      </w:pPr>
      <w:r>
        <w:rPr>
          <w:b/>
        </w:rPr>
        <w:t xml:space="preserve">[422] </w:t>
      </w:r>
      <w:hyperlink r:id="rId1172">
        <w:r>
          <w:rPr>
            <w:color w:val="1155CC"/>
            <w:u w:val="single"/>
          </w:rPr>
          <w:t>通过蒸发-辐射协同突破辐射制冷的功率上限</w:t>
        </w:r>
      </w:hyperlink>
    </w:p>
    <w:p>
      <w:pPr>
        <w:spacing w:before="0" w:after="80"/>
      </w:pPr>
      <w:r>
        <w:rPr>
          <w:i/>
          <w:sz w:val="20"/>
        </w:rPr>
        <w:t>EN: Breaking the power ceiling of radiative cooling through evaporative-radiative synergy</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173">
        <w:r>
          <w:rPr>
            <w:color w:val="1155CC"/>
            <w:u w:val="single"/>
          </w:rPr>
          <w:t>10.1016/j.matt.2026.102881</w:t>
        </w:r>
      </w:hyperlink>
    </w:p>
    <w:p>
      <w:pPr>
        <w:spacing w:before="0" w:after="120"/>
      </w:pPr>
      <w:r>
        <w:rPr>
          <w:b/>
        </w:rPr>
        <w:t xml:space="preserve">Notes: </w:t>
      </w:r>
      <w:r>
        <w:t>abstract_source=jina_reader</w:t>
      </w:r>
    </w:p>
    <w:p>
      <w:pPr>
        <w:spacing w:before="0" w:after="80" w:lineRule="auto" w:line="276"/>
      </w:pPr>
      <w:r>
        <w:rPr>
          <w:b/>
        </w:rPr>
        <w:t xml:space="preserve">摘要（ZH）: </w:t>
      </w:r>
      <w:r>
        <w:t>辐射制冷是可持续热管理的关键技术，但其广泛应用受到基本功率上限（约150 W m−2）和对大气条件的强依赖的限制。本综述重点介绍了蒸发辅助辐射制冷作为一种新兴策略，可有效突破这一限制。该组合机制使混合系统能够实现前所未有的、气候适应型制冷功率。我们分析了这种协同作用背后的热力学原理：辐射制冷将蒸发性能提升至超过其单独工作的极限，而蒸发又反过来增强净制冷通量。随后，我们批判性地综述了体现这一概念的材料形式，从解耦串联结构和整体多孔结构到自适应系统。其应用潜力涵盖建筑围护结构、个人热管理、电子器件冷却以及农业。最后，我们讨论了实际部署中必须克服的耐久性、动态气候适应和系统集成等关键挑战。通过建立统一框架和可扩展的设计原则，这项工作为对全球能源可持续性至关重要的下一代高性能被动制冷技术勾勒出了一条发展路径。</w:t>
      </w:r>
    </w:p>
    <w:p>
      <w:pPr>
        <w:spacing w:before="0" w:after="200" w:lineRule="auto" w:line="276"/>
      </w:pPr>
      <w:r>
        <w:rPr>
          <w:b/>
        </w:rPr>
        <w:t xml:space="preserve">Abstract (EN): </w:t>
      </w:r>
      <w:r>
        <w:t>Radiative cooling is a pivotal technology for sustainable thermal management, yet its broad adoption is constrained by a fundamental power ceiling (∼150 W m−2) and strong dependence on atmospheric conditions. This review highlights evaporative-assisted radiative cooling as an emerging strategy that effectively bypasses this constraint. The combined mechanism enables hybrid systems to achieve unprecedented, climate-resilient cooling power. We analyze the thermodynamic principles underlying this synergy, where radiative cooling elevates evaporative performance beyond its standalone limit, and evaporation, in turn, enhances the net cooling flux. We then critically review the material embodiments of this concept, from decoupled tandem and monolithic porous structures to adaptive systems. Their application potential spans from building envelopes and personal thermal management to electronics cooling and agriculture. Finally, we discuss the critical challenges of durability, dynamic climate adaptation, and system integration that must be surmounted for practical deployment. By establishing a unified framework and scalable design principles, this work outlines a pathway toward next-generation high-performance passive cooling technologies essential for global energy sustainability.</w:t>
      </w:r>
    </w:p>
    <w:p>
      <w:pPr>
        <w:spacing w:before="120" w:after="120"/>
      </w:pPr>
      <w:r>
        <w:rPr>
          <w:sz w:val="18"/>
        </w:rPr>
        <w:t>——————————————————————————————————————————————————————————————————————</w:t>
      </w:r>
    </w:p>
    <w:p>
      <w:pPr>
        <w:spacing w:before="160" w:after="40" w:line="240" w:lineRule="auto"/>
      </w:pPr>
      <w:r>
        <w:rPr>
          <w:b/>
        </w:rPr>
        <w:t xml:space="preserve">[423] </w:t>
      </w:r>
      <w:hyperlink r:id="rId1174">
        <w:r>
          <w:rPr>
            <w:color w:val="1155CC"/>
            <w:u w:val="single"/>
          </w:rPr>
          <w:t>为无家可归社区提供可持续能源接入的自供电磁弹性帐篷</w:t>
        </w:r>
      </w:hyperlink>
    </w:p>
    <w:p>
      <w:pPr>
        <w:spacing w:before="0" w:after="80"/>
      </w:pPr>
      <w:r>
        <w:rPr>
          <w:i/>
          <w:sz w:val="20"/>
        </w:rPr>
        <w:t>EN: Self-powered magnetoelastic tents for sustainable energy access in unhoused communities</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175">
        <w:r>
          <w:rPr>
            <w:color w:val="1155CC"/>
            <w:u w:val="single"/>
          </w:rPr>
          <w:t>10.1016/j.matt.2026.102954</w:t>
        </w:r>
      </w:hyperlink>
    </w:p>
    <w:p>
      <w:pPr>
        <w:spacing w:before="0" w:after="120"/>
      </w:pPr>
      <w:r>
        <w:rPr>
          <w:b/>
        </w:rPr>
        <w:t xml:space="preserve">Notes: </w:t>
      </w:r>
      <w:r>
        <w:t>abstract_source=jina_reader</w:t>
      </w:r>
    </w:p>
    <w:p>
      <w:pPr>
        <w:spacing w:before="0" w:after="80" w:lineRule="auto" w:line="276"/>
      </w:pPr>
      <w:r>
        <w:rPr>
          <w:b/>
        </w:rPr>
        <w:t xml:space="preserve">摘要（ZH）: </w:t>
      </w:r>
      <w:r>
        <w:t>获取可靠、清洁的能源仍然是无力负担住房者和离网社区面临的重大挑战。本文介绍了一种自供电磁弹帐篷，它利用巨磁弹效应从人体运动和环境刺激中收集能量。这种智能帐篷集成了磁弹纺织品，由磁机械耦合层和磁感应层组成，将机械运动转化为电能。通过优化编织图案、层叠结构和导电纤维匝数，实现了稳健的能量产生，代表性的磁弹纺织单元可提供0.094 mW的最大瞬时功率、在12,000次连续循环中的稳定运行以及固有的防水性能。简单的手部拍打可在1.5 s内将0.22 μF的电容器充电至5.80 V，为小型电子设备提供足够的电力。这种帐篷轻质、可回收且耐候，在典型的户外条件下保持稳定的性能。这项工作为可持续的分布式能量收集提供了一个可扩展的平台，以扩大临时庇护场所中的补充能源获取途径。</w:t>
      </w:r>
    </w:p>
    <w:p>
      <w:pPr>
        <w:spacing w:before="0" w:after="200" w:lineRule="auto" w:line="276"/>
      </w:pPr>
      <w:r>
        <w:rPr>
          <w:b/>
        </w:rPr>
        <w:t xml:space="preserve">Abstract (EN): </w:t>
      </w:r>
      <w:r>
        <w:t>Access to reliable, clean energy remains a major challenge for the unhoused and off-grid communities. Here, we introduce a self-powered magnetoelastic tent that leverages the giant magnetoelastic effect to harvest energy from human motion and environmental stimuli. The smart tent integrates magnetoelastic textiles, consisting of a magnetomechanical coupling layer and a magnetic induction layer, converting mechanical motion into electricity. Optimizing weaving patterns, layer stacking, and conductive fiber turns enables robust energy generation, with a representative magnetoelastic textile unit delivering a maximum instantaneous power of 0.094 mW, stable operation over 12,000 continuous cycles, and intrinsic waterproof performance. Simple hand tapping can charge a 0.22-μF capacitor to 5.80 V within 1.5 s, providing sufficient power for small electronics. Lightweight, recyclable, and weather resistant, the tents maintain stable performance under representative outdoor conditions. This work presents a scalable platform for sustainable, decentralized energy harvesting to expand supplementary energy access in temporary shelter settings.</w:t>
      </w:r>
    </w:p>
    <w:p>
      <w:pPr>
        <w:spacing w:before="120" w:after="120"/>
      </w:pPr>
      <w:r>
        <w:rPr>
          <w:sz w:val="18"/>
        </w:rPr>
        <w:t>——————————————————————————————————————————————————————————————————————</w:t>
      </w:r>
    </w:p>
    <w:p>
      <w:pPr>
        <w:spacing w:before="160" w:after="40" w:line="240" w:lineRule="auto"/>
      </w:pPr>
      <w:r>
        <w:rPr>
          <w:b/>
        </w:rPr>
        <w:t xml:space="preserve">[424] </w:t>
      </w:r>
      <w:hyperlink r:id="rId1176">
        <w:r>
          <w:rPr>
            <w:color w:val="1155CC"/>
            <w:u w:val="single"/>
          </w:rPr>
          <w:t>利用物联网和智能体AI集群缩放优化P2P能源交易</w:t>
        </w:r>
      </w:hyperlink>
    </w:p>
    <w:p>
      <w:pPr>
        <w:spacing w:before="0" w:after="80"/>
      </w:pPr>
      <w:r>
        <w:rPr>
          <w:i/>
          <w:sz w:val="20"/>
        </w:rPr>
        <w:t>EN: Optimizing P2P Energy Trading Using Internet of Things and Agentic AI Cluster Zooming</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77">
        <w:r>
          <w:rPr>
            <w:color w:val="1155CC"/>
            <w:u w:val="single"/>
          </w:rPr>
          <w:t>10.1109/tsg.2026.3674759</w:t>
        </w:r>
      </w:hyperlink>
    </w:p>
    <w:p>
      <w:pPr>
        <w:spacing w:before="0" w:after="120"/>
      </w:pPr>
      <w:r>
        <w:rPr>
          <w:b/>
        </w:rPr>
        <w:t xml:space="preserve">Notes: </w:t>
      </w:r>
      <w:r>
        <w:t>abstract_source=semanticscholar</w:t>
      </w:r>
    </w:p>
    <w:p>
      <w:pPr>
        <w:spacing w:before="0" w:after="80" w:lineRule="auto" w:line="276"/>
      </w:pPr>
      <w:r>
        <w:rPr>
          <w:b/>
        </w:rPr>
        <w:t xml:space="preserve">摘要（ZH）: </w:t>
      </w:r>
      <w:r>
        <w:t>人工智能（AI）已成为智能电网的变革性力量——网络自治、自愈和重构的推动者。本研究将AI与物联网（IoT）相结合，在不改变电网物理拓扑的情况下，将点对点（P2P）能源产消者组织成虚拟集群。其目标是通过联邦学习、代理式AI、AI智能体、IoT和集群缩放，根据可用产消者的数量，构建自主、可扩展且动态的虚拟微电网（VMG），以优化产消者的P2P能源交易成本和网络运营商的运营支出（OPEX）。本研究采用中央控制器AI来协调多个本地AI智能体。每个AI智能体驻留在网络服务器中，监控每个远距离广域网（LoRaWAN）网关的能源交易流量，通过LoRaWAN的自适应数据速率（ADR）机制利用扩频因子（SF）实现集群缩放，从而优化交易和OPEX成本。云端的代理式AI模块通过配置在LoRaWAN接入网络服务器中的AI能源交易代理，基于SF自主选择和调整网络覆盖，以在并网和孤岛模式下缩放集群（即VMG）。本研究建立了一个连接物理（电气）距离、虚拟（电信）距离与VMG中OPEX的能源交易模型。借助代理式AI辅助的集群缩放，超过70%的能源以较低的SF进行交易。同时，能源成本随网络规模和产消者数量成比例地降低40%。对于</w:t>
      </w:r>
    </w:p>
    <w:p>
      <w:pPr>
        <w:spacing w:before="0" w:after="200" w:lineRule="auto" w:line="276"/>
      </w:pPr>
      <w:r>
        <w:rPr>
          <w:b/>
        </w:rPr>
        <w:t xml:space="preserve">Abstract (EN): </w:t>
      </w:r>
      <w:r>
        <w:t>Artificial intelligence (AI) has become the game changer in smart grids-an enabler of network autonomy, self-healing, and reconfiguration. This study integrates AI and Internet of Things (IoT) to organise peer-to-peer (P2P) energy prosumers into virtual clusters without altering the physical topology of the power network. The aim is to enable an autonomous, scalable and dynamic virtual microgrids (VMG) by leveraging federated learning, agentic AI, AI agents, IoT, and cluster zooming to optimise P2P energy trading costs for prosumers and operational expenditure (OPEX) for network operators, depending on the number of prosumers available. The study employs a central controller AI to coordinate multiple local AI agents. Each AI agent resides in the network server and monitors energy trading traffic for each long-range wide-area network (LoRaWAN) gateway to optimise trading and OPEX costs via cluster zooming achieved by the spreading factor (SF) via adaptive data rate (ADR) mechanism of LoRaWAN. The agentic AI module in the cloud autonomously selects and adapts the network coverage based on SF, via the AI energy trading agent configured in the LoRaWAN access network server, to zoom the clusters (i.e., VMGs) in grid-connected and island modes. The study formulates an energy trading model connecting the physical (electrical) and virtual (telecom) distances and OPEX in the VMG. With agentic AI-assisted cluster zooming, over 70% of the energy is traded at lower SF. At the same time, the energy costs decrease by 40% in proportion to the network size and the number of prosumers. For the network operator, OPEX reduces by 21% and 38% in base-station power consumption. Ultimately, grid-connected prosumers pay higher charges than their off-grid counterparts. The agentic AI model in this study exemplifies a use case of the 3GPP model of the future 6G network.</w:t>
      </w:r>
    </w:p>
    <w:p>
      <w:pPr>
        <w:spacing w:before="120" w:after="120"/>
      </w:pPr>
      <w:r>
        <w:rPr>
          <w:sz w:val="18"/>
        </w:rPr>
        <w:t>——————————————————————————————————————————————————————————————————————</w:t>
      </w:r>
    </w:p>
    <w:p>
      <w:pPr>
        <w:spacing w:before="160" w:after="40" w:line="240" w:lineRule="auto"/>
      </w:pPr>
      <w:r>
        <w:rPr>
          <w:b/>
        </w:rPr>
        <w:t xml:space="preserve">[425] </w:t>
      </w:r>
      <w:hyperlink r:id="rId1178">
        <w:r>
          <w:rPr>
            <w:color w:val="1155CC"/>
            <w:u w:val="single"/>
          </w:rPr>
          <w:t>用于改进电力系统建模的潮流分析中的相移组</w:t>
        </w:r>
      </w:hyperlink>
    </w:p>
    <w:p>
      <w:pPr>
        <w:spacing w:before="0" w:after="80"/>
      </w:pPr>
      <w:r>
        <w:rPr>
          <w:i/>
          <w:sz w:val="20"/>
        </w:rPr>
        <w:t>EN: Phase Shift Groups in Power Flow Analysis for Improved Power Systems Modeling</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179">
        <w:r>
          <w:rPr>
            <w:color w:val="1155CC"/>
            <w:u w:val="single"/>
          </w:rPr>
          <w:t>10.1109/tpwrs.2026.3709542</w:t>
        </w:r>
      </w:hyperlink>
    </w:p>
    <w:p>
      <w:pPr>
        <w:spacing w:before="0" w:after="120"/>
      </w:pPr>
      <w:r>
        <w:rPr>
          <w:b/>
        </w:rPr>
        <w:t xml:space="preserve">Notes: </w:t>
      </w:r>
      <w:r>
        <w:t>abstract_source=semanticscholar</w:t>
      </w:r>
    </w:p>
    <w:p>
      <w:pPr>
        <w:spacing w:before="0" w:after="80" w:lineRule="auto" w:line="276"/>
      </w:pPr>
      <w:r>
        <w:rPr>
          <w:b/>
        </w:rPr>
        <w:t xml:space="preserve">摘要（ZH）: </w:t>
      </w:r>
      <w:r>
        <w:t>本快报提出了一种算法，能够在正序潮流中高效且一致地表示星形-三角形连接变压器引入的相移。众所周知，星形-三角形变压器会施加以30度为倍数的固定电压和电流相移。由于这些相移不影响母线电压幅值或支路功率流，它们经常被忽略或不一致地建模。然而，变压器相移的非统一表示会引入人为的电压角度不连续性，从而对基于牛顿法的潮流收敛产生负面影响。为解决这一问题，本快报引入了相移组（Phase Shift Groups, PSGs）的概念，以在整个电力系统模型中强制实施一致的电压角度表示。所提出的PSG感知初始化可产生物理一致的起点，与传统的平启动方法相比，提高了牛顿-拉夫逊法收敛的鲁棒性。除初始化外，PSGs还为数据质量验证提供了一种系统机制，可标记不完整或不一致的变压器连接数据。在多达110,000条母线的系统上验证了其可扩展性，且计算开销可忽略不计。</w:t>
      </w:r>
    </w:p>
    <w:p>
      <w:pPr>
        <w:spacing w:before="0" w:after="200" w:lineRule="auto" w:line="276"/>
      </w:pPr>
      <w:r>
        <w:rPr>
          <w:b/>
        </w:rPr>
        <w:t xml:space="preserve">Abstract (EN): </w:t>
      </w:r>
      <w:r>
        <w:t>This letter presents an algorithm that efficiently and consistently represents, in the positive-sequence power flow, the phase shifts introduced by wye–delta-connected transformers. As is well known, wye–delta transformers impose fixed voltage and current phase shifts in multiples of 30 degrees. Because these shifts do not affect bus voltage magnitudes or branch power flows, they are frequently omitted or modeled inconsistently. However, non-uniform representation of transformer phase shifts can introduce artificial voltage-angle discontinuities that negatively impact Newton-based power flow convergence. To address this issue, the letter introduces the concept of Phase Shift Groups (PSGs), which enforce consistent voltage-angle representation across the power system model. The proposed PSG-aware initialization yields a physically consistent starting point that improves Newton-Raphson convergence robustness compared to conventional flat-start methods. Beyond initialization, PSGs provide a systematic mechanism for data-quality validation, flagging incomplete or inconsistent transformer connection data. Scalability is demonstrated on systems with up to 110,000 buses with negligible computational overhead.</w:t>
      </w:r>
    </w:p>
    <w:p>
      <w:pPr>
        <w:spacing w:before="120" w:after="120"/>
      </w:pPr>
      <w:r>
        <w:rPr>
          <w:sz w:val="18"/>
        </w:rPr>
        <w:t>——————————————————————————————————————————————————————————————————————</w:t>
      </w:r>
    </w:p>
    <w:p>
      <w:pPr>
        <w:spacing w:before="160" w:after="40" w:line="240" w:lineRule="auto"/>
      </w:pPr>
      <w:r>
        <w:rPr>
          <w:b/>
        </w:rPr>
        <w:t xml:space="preserve">[426] </w:t>
      </w:r>
      <w:hyperlink r:id="rId1180">
        <w:r>
          <w:rPr>
            <w:color w:val="1155CC"/>
            <w:u w:val="single"/>
          </w:rPr>
          <w:t>聚合DER不确定性：联合机会约束下的Minkowski和</w:t>
        </w:r>
      </w:hyperlink>
    </w:p>
    <w:p>
      <w:pPr>
        <w:spacing w:before="0" w:after="80"/>
      </w:pPr>
      <w:r>
        <w:rPr>
          <w:i/>
          <w:sz w:val="20"/>
        </w:rPr>
        <w:t>EN: Aggregating DER Uncertainty: Minkowski Sum Under Joint Chance Constraints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81">
        <w:r>
          <w:rPr>
            <w:color w:val="1155CC"/>
            <w:u w:val="single"/>
          </w:rPr>
          <w:t>10.1109/tsg.2026.3676781</w:t>
        </w:r>
      </w:hyperlink>
    </w:p>
    <w:p>
      <w:pPr>
        <w:spacing w:before="0" w:after="120"/>
      </w:pPr>
      <w:r>
        <w:rPr>
          <w:b/>
        </w:rPr>
        <w:t xml:space="preserve">Notes: </w:t>
      </w:r>
      <w:r>
        <w:t>abstract_source=semanticscholar</w:t>
      </w:r>
    </w:p>
    <w:p>
      <w:pPr>
        <w:spacing w:before="0" w:after="80" w:lineRule="auto" w:line="276"/>
      </w:pPr>
      <w:r>
        <w:rPr>
          <w:b/>
        </w:rPr>
        <w:t xml:space="preserve">摘要（ZH）: </w:t>
      </w:r>
      <w:r>
        <w:t>在高比例可再生能源渗透的电力系统中，应对不确定性至关重要。分布式能源（DERs）由于其部分可控的特性，是不确定性的主要来源之一。然而，由于其数量庞大且相关性复杂，其聚合不确定性高度复杂。本文旨在追踪不确定性如何从单个DER预测误差建模到聚合层面。通过强制执行指定的置信水平，聚合层面的概率灵活性边界被表述为联合机会约束（JCCs）下的Minkowski和。尽管该问题具有固有的难解性，我们建立了一个等价表示，并利用所提出的分位数立方体近似方法对其进行有效近似。同时还开发了一种迭代算法以提高该方法实施中的计算效率。数值测试表明，所提出的方法在有效降低聚合置信边界的保守性的同时缩短了计算时间。</w:t>
      </w:r>
    </w:p>
    <w:p>
      <w:pPr>
        <w:spacing w:before="0" w:after="200" w:lineRule="auto" w:line="276"/>
      </w:pPr>
      <w:r>
        <w:rPr>
          <w:b/>
        </w:rPr>
        <w:t xml:space="preserve">Abstract (EN): </w:t>
      </w:r>
      <w:r>
        <w:t>Addressing uncertainty is essential in power systems with high levels of renewable energy penetration. Distributed energy resources (DERs), due to their partially controllable nature, are a major source of uncertainty. However, due to their large numbers and complex correlations, their aggregated uncertainty is highly complex. This paper aims to track how the uncertainty is modeled from individual DER prediction errors to the aggregated-level. By enforcing a specified confidence level, the aggregated-level probabilistic flexibility boundary is formulated as a Minkowski sum under joint chance constraints (JCCs). Despite the inherent intractability of this problem, we establish an equivalent representation that allows for an effective approximation using the proposed quantile cube approximation method. An iterative algorithm is also developed to enhance computational efficiency in implementing the method. Numerical tests demonstrate that the proposed method effectively reduces the conservativeness of the aggregated confidence boundary and the computation time at the same time.</w:t>
      </w:r>
    </w:p>
    <w:p>
      <w:pPr>
        <w:spacing w:before="120" w:after="120"/>
      </w:pPr>
      <w:r>
        <w:rPr>
          <w:sz w:val="18"/>
        </w:rPr>
        <w:t>——————————————————————————————————————————————————————————————————————</w:t>
      </w:r>
    </w:p>
    <w:p>
      <w:pPr>
        <w:spacing w:before="160" w:after="40" w:line="240" w:lineRule="auto"/>
      </w:pPr>
      <w:r>
        <w:rPr>
          <w:b/>
        </w:rPr>
        <w:t xml:space="preserve">[427] </w:t>
      </w:r>
      <w:hyperlink r:id="rId1182">
        <w:r>
          <w:rPr>
            <w:color w:val="1155CC"/>
            <w:u w:val="single"/>
          </w:rPr>
          <w:t>TSO-DSO协同电力系统中负荷篡改攻击的建模与影响评估</w:t>
        </w:r>
      </w:hyperlink>
    </w:p>
    <w:p>
      <w:pPr>
        <w:spacing w:before="0" w:after="80"/>
      </w:pPr>
      <w:r>
        <w:rPr>
          <w:i/>
          <w:sz w:val="20"/>
        </w:rPr>
        <w:t>EN: Modeling and Impact Assessment of Load-Altering Attacks in TSO-DSO Coordinated Power Systems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83">
        <w:r>
          <w:rPr>
            <w:color w:val="1155CC"/>
            <w:u w:val="single"/>
          </w:rPr>
          <w:t>10.1109/tsg.2026.3668376</w:t>
        </w:r>
      </w:hyperlink>
    </w:p>
    <w:p>
      <w:pPr>
        <w:spacing w:before="0" w:after="120"/>
      </w:pPr>
      <w:r>
        <w:rPr>
          <w:b/>
        </w:rPr>
        <w:t xml:space="preserve">Notes: </w:t>
      </w:r>
      <w:r>
        <w:t>abstract_source=semanticscholar</w:t>
      </w:r>
    </w:p>
    <w:p>
      <w:pPr>
        <w:spacing w:before="0" w:after="80" w:lineRule="auto" w:line="276"/>
      </w:pPr>
      <w:r>
        <w:rPr>
          <w:b/>
        </w:rPr>
        <w:t xml:space="preserve">摘要（ZH）: </w:t>
      </w:r>
      <w:r>
        <w:t>在多层电网运行与新兴信息物理威胁的交汇处，确保输电系统运营商（TSOs）与配电系统运营商（DSOs）之间安全且韧性的协调是关键挑战。虽然大多数现有研究关注TSO-DSO交互的运行优化，但物联网可控负荷的日益普及引发了对其网络脆弱性的担忧。本文提出了一个统一建模框架，用于评估AC-AC协调TSO-DSO环境中负荷篡改攻击（LAAs）的影响。本文开发了一种源自配电网层面并通过TSO-DSO协调向上传播的LAA策略。这种“自下而上”的传播揭示了电网各层之间的系统级相互依赖性和脆弱性。为了涵盖各种攻击者能力，我们对代表性对手（黑盒、白盒和灰盒）进行建模，每种对手反映不同程度的系统可观测性和访问权限，其目标在于破坏电网运行并利用市场动态以增加其控制的分布式资源的收益，同时考虑本地资源的异质性和合同安排，以提高基于市场的协调框架的真实性。案例研究展示了LAAs如何破坏节点边际电价、潮流和分布式能源运行。结果揭示了协调式信息物理威胁带来的系统级脆弱性，并暴露了电网协调机制的隐性弱点。</w:t>
      </w:r>
    </w:p>
    <w:p>
      <w:pPr>
        <w:spacing w:before="0" w:after="200" w:lineRule="auto" w:line="276"/>
      </w:pPr>
      <w:r>
        <w:rPr>
          <w:b/>
        </w:rPr>
        <w:t xml:space="preserve">Abstract (EN): </w:t>
      </w:r>
      <w:r>
        <w:t>At the intersection of multi-layer grid operations and emerging cyber-physical threats, lies the critical challenge of ensuring secure and resilient coordination between transmission system operators (TSOs) and distribution system operators (DSOs). While most existing studies focus on the operational optimization of TSO-DSO interactions, the increasing deployment of IoT-controllable loads raises concerns about cyber vulnerabilities. This paper presents a unified modeling framework for evaluating the impacts of load-altering attacks (LAAs) within an AC-AC coordinated TSO-DSO environment. An LAA strategy is developed that originates at the distribution level and propagates upward through TSO-DSO coordination. This “bottom-up” propagation reveals systemic interdependencies and vulnerabilities across grid layers. To capture a range of attacker capabilities, we model representative adversaries (black-box, white-box, and grey-box) each reflecting different levels of system observability and access, and aiming to disrupt grid operations and exploit market dynamics to increase profits from their controlled distributed resources, considering heterogeneity of local resources and contractual arrangements to improve the realism of the market-based coordination framework. Case studies demonstrate how LAAs disrupt locational marginal prices, power flows, and distributed energy resource operations. The results reveal systemic vulnerabilities to coordinated cyber-physical threats and expose hidden weaknesses of grid coordination mechanisms.</w:t>
      </w:r>
    </w:p>
    <w:p>
      <w:pPr>
        <w:spacing w:before="120" w:after="120"/>
      </w:pPr>
      <w:r>
        <w:rPr>
          <w:sz w:val="18"/>
        </w:rPr>
        <w:t>——————————————————————————————————————————————————————————————————————</w:t>
      </w:r>
    </w:p>
    <w:p>
      <w:pPr>
        <w:spacing w:before="160" w:after="40" w:line="240" w:lineRule="auto"/>
      </w:pPr>
      <w:r>
        <w:rPr>
          <w:b/>
        </w:rPr>
        <w:t xml:space="preserve">[428] </w:t>
      </w:r>
      <w:hyperlink r:id="rId1184">
        <w:r>
          <w:rPr>
            <w:color w:val="1155CC"/>
            <w:u w:val="single"/>
          </w:rPr>
          <w:t>不确定性下基于DRCC的电动汽车充电站时间高效且可 tractable 的优化运行</w:t>
        </w:r>
      </w:hyperlink>
    </w:p>
    <w:p>
      <w:pPr>
        <w:spacing w:before="0" w:after="80"/>
      </w:pPr>
      <w:r>
        <w:rPr>
          <w:i/>
          <w:sz w:val="20"/>
        </w:rPr>
        <w:t>EN: Time-Efficient and Tractable DRCC-Based Optimal Operation of EV Charging Stations Under Uncertainty</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85">
        <w:r>
          <w:rPr>
            <w:color w:val="1155CC"/>
            <w:u w:val="single"/>
          </w:rPr>
          <w:t>10.1109/tsg.2026.3681939</w:t>
        </w:r>
      </w:hyperlink>
    </w:p>
    <w:p>
      <w:pPr>
        <w:spacing w:before="0" w:after="120"/>
      </w:pPr>
      <w:r>
        <w:rPr>
          <w:b/>
        </w:rPr>
        <w:t xml:space="preserve">Notes: </w:t>
      </w:r>
      <w:r>
        <w:t>abstract_source=semanticscholar</w:t>
      </w:r>
    </w:p>
    <w:p>
      <w:pPr>
        <w:spacing w:before="0" w:after="80" w:lineRule="auto" w:line="276"/>
      </w:pPr>
      <w:r>
        <w:rPr>
          <w:b/>
        </w:rPr>
        <w:t xml:space="preserve">摘要（ZH）: </w:t>
      </w:r>
      <w:r>
        <w:t>随着电动汽车（EVs）渗透率的不断提高，电动汽车充电站（EVCSs）的高效稳健运行变得日益重要。本文提出了一个针对多个EVCS的最优调度问题，同时考虑单个EV预计到达/离开时间和期望能量需求的不确定性。为此，提出了一个基于分布鲁棒机会约束（DRCC）的优化框架，该框架利用基于Wasserstein距离的模糊集。考虑到上述EV不确定性参数，针对EVCS级约束的一般DRCC表述难以实现。所提出的优化框架将上述EV不确定性参数映射为EVCS总充电功率这一单一不确定性参数，从而实现一般的DRCC表述。此外，EV约束的表述允许将到达/离开时间视为连续而非离散的时间区间。我们还提出了一种考虑不确定性参数物理限值的高效DRCC重构方法。基于真实EVCS数据的案例研究验证了所提出方法在多个EVCS运行效率和鲁棒性方面的有效性。</w:t>
      </w:r>
    </w:p>
    <w:p>
      <w:pPr>
        <w:spacing w:before="0" w:after="200" w:lineRule="auto" w:line="276"/>
      </w:pPr>
      <w:r>
        <w:rPr>
          <w:b/>
        </w:rPr>
        <w:t xml:space="preserve">Abstract (EN): </w:t>
      </w:r>
      <w:r>
        <w:t>With the growing penetration of electric vehicles (EVs), efficient and robust operation of electric vehicle charging stations (EVCSs) has become increasingly important. This article proposes an optimal scheduling problem for multiple EVCSs, while considering uncertainties in individual EVs’ forecasted arrival/departure times and desired energy demands. To address this, a distributionally robust chance-constraint (DRCC)-based optimization framework is proposed, which utilizes a Wasserstein distance-based ambiguity set. Considering the above EV uncer-tainty parameters, a general DRCC formulation for EVCS-level constraints is difficult to achieve. The proposed optimization framework maps the above EV uncertainty parameters into a single uncertainty parameter of EVCS total charging power, thereby enabling a general DRCC formulation. In addition, EV constraints are formulated to allow arrival/departure times to be treated as continuous rather than discrete time intervals. We also propose a time efficient DRCC reformulation method that considers the physical limits of the uncertainty parameter. Case studies based on real-world EVCS data are conducted to validate the operational efficiency and robustness of the proposed method for multiple EVCSs.</w:t>
      </w:r>
    </w:p>
    <w:p>
      <w:pPr>
        <w:spacing w:before="120" w:after="120"/>
      </w:pPr>
      <w:r>
        <w:rPr>
          <w:sz w:val="18"/>
        </w:rPr>
        <w:t>——————————————————————————————————————————————————————————————————————</w:t>
      </w:r>
    </w:p>
    <w:p>
      <w:pPr>
        <w:spacing w:before="160" w:after="40" w:line="240" w:lineRule="auto"/>
      </w:pPr>
      <w:r>
        <w:rPr>
          <w:b/>
        </w:rPr>
        <w:t xml:space="preserve">[429] </w:t>
      </w:r>
      <w:hyperlink r:id="rId1186">
        <w:r>
          <w:rPr>
            <w:color w:val="1155CC"/>
            <w:u w:val="single"/>
          </w:rPr>
          <w:t>基于投影梯度下降的中压直流配电系统实时拥堵缓解分层分布式控制</w:t>
        </w:r>
      </w:hyperlink>
    </w:p>
    <w:p>
      <w:pPr>
        <w:spacing w:before="0" w:after="80"/>
      </w:pPr>
      <w:r>
        <w:rPr>
          <w:i/>
          <w:sz w:val="20"/>
        </w:rPr>
        <w:t>EN: Hierarchical Distributed Control With Projected Gradient Descent for Real-Time Congestion Mitigation in MVDC Distribution Systems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87">
        <w:r>
          <w:rPr>
            <w:color w:val="1155CC"/>
            <w:u w:val="single"/>
          </w:rPr>
          <w:t>10.1109/tsg.2026.3668320</w:t>
        </w:r>
      </w:hyperlink>
    </w:p>
    <w:p>
      <w:pPr>
        <w:spacing w:before="0" w:after="120"/>
      </w:pPr>
      <w:r>
        <w:rPr>
          <w:b/>
        </w:rPr>
        <w:t xml:space="preserve">Notes: </w:t>
      </w:r>
      <w:r>
        <w:t>abstract_source=semanticscholar</w:t>
      </w:r>
    </w:p>
    <w:p>
      <w:pPr>
        <w:spacing w:before="0" w:after="80" w:lineRule="auto" w:line="276"/>
      </w:pPr>
      <w:r>
        <w:rPr>
          <w:b/>
        </w:rPr>
        <w:t xml:space="preserve">摘要（ZH）: </w:t>
      </w:r>
      <w:r>
        <w:t>中压直流配电系统中无效的拥塞管理会带来热过载、电压越限和系统性失稳的风险。为应对这一挑战，本文提出了一种基于自适应实时控制的分布式拥塞缓解方法。首先，建立了融合拥塞约束的分层控制框架，并严格推导了最优性条件。其次，上层生成调度参考以指导下层运行。随后引入投影算子以重构最优性条件以实现控制器兼容性，从而基于投影梯度下降实现分布式最优控制律。该方法实现了实时拥塞管理和最优运行。在改进的IEEE 33中压直流配电系统上进行了仿真和对比。与模型预测控制相比，所提出的方法在不同运行条件下波动更小。与分布式鲁棒优化相比，其展现出更优的经济性能。</w:t>
      </w:r>
    </w:p>
    <w:p>
      <w:pPr>
        <w:spacing w:before="0" w:after="200" w:lineRule="auto" w:line="276"/>
      </w:pPr>
      <w:r>
        <w:rPr>
          <w:b/>
        </w:rPr>
        <w:t xml:space="preserve">Abstract (EN): </w:t>
      </w:r>
      <w:r>
        <w:t>Ineffective congestion management in medium-voltage DC distribution system risks thermal overloads, voltage violations, and systemic instability. To address this challenge, this paper proposes a distributed congestion mitigation method via adaptive real-time control. First, a hierarchical control framework integrating congestion constraints is established, with optimality conditions rigorously derived. Second, the upper layer generates dispatch references to guide lower-layer operations. Projection operators are then introduced to reformulate optimality conditions for controller compatibility, enabling distributed optimal control laws based on projected gradient descent. This approach achieves real-time congestion management and optimal operation. Simulations and comparisons are conducted on a modified IEEE 33 medium-voltage DC distribution system. Compared to model predictive control, the proposed method achieves reduced fluctuations under varying operating conditions. In contrast to distributed robust optimization, it exhibits superior economic performance.</w:t>
      </w:r>
    </w:p>
    <w:p>
      <w:pPr>
        <w:spacing w:before="120" w:after="120"/>
      </w:pPr>
      <w:r>
        <w:rPr>
          <w:sz w:val="18"/>
        </w:rPr>
        <w:t>——————————————————————————————————————————————————————————————————————</w:t>
      </w:r>
    </w:p>
    <w:p>
      <w:pPr>
        <w:spacing w:before="160" w:after="40" w:line="240" w:lineRule="auto"/>
      </w:pPr>
      <w:r>
        <w:rPr>
          <w:b/>
        </w:rPr>
        <w:t xml:space="preserve">[430] </w:t>
      </w:r>
      <w:hyperlink r:id="rId1188">
        <w:r>
          <w:rPr>
            <w:color w:val="1155CC"/>
            <w:u w:val="single"/>
          </w:rPr>
          <w:t>基于分解与堆叠元学习的短期电动汽车负荷预测</w:t>
        </w:r>
      </w:hyperlink>
    </w:p>
    <w:p>
      <w:pPr>
        <w:spacing w:before="0" w:after="80"/>
      </w:pPr>
      <w:r>
        <w:rPr>
          <w:i/>
          <w:sz w:val="20"/>
        </w:rPr>
        <w:t>EN: Decomposition and Stacked Meta-Learning for Short-Term Electric Vehicle Load Forecasting</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89">
        <w:r>
          <w:rPr>
            <w:color w:val="1155CC"/>
            <w:u w:val="single"/>
          </w:rPr>
          <w:t>10.1109/tsg.2026.3677496</w:t>
        </w:r>
      </w:hyperlink>
    </w:p>
    <w:p>
      <w:pPr>
        <w:spacing w:before="0" w:after="120"/>
      </w:pPr>
      <w:r>
        <w:rPr>
          <w:b/>
        </w:rPr>
        <w:t xml:space="preserve">Notes: </w:t>
      </w:r>
      <w:r>
        <w:t>abstract_source=semanticscholar</w:t>
      </w:r>
    </w:p>
    <w:p>
      <w:pPr>
        <w:spacing w:before="0" w:after="80" w:lineRule="auto" w:line="276"/>
      </w:pPr>
      <w:r>
        <w:rPr>
          <w:b/>
        </w:rPr>
        <w:t xml:space="preserve">摘要（ZH）: </w:t>
      </w:r>
      <w:r>
        <w:t>在电动汽车（EV）渗透率快速增长的背景下，准确的短期电动汽车负荷预测对于电网稳定性和需求响应管理至关重要。然而，现有的统计、集成和深度学习模型通常依赖于隐式序列学习，难以共同捕捉EV充电需求中的多尺度时间结构、非线性交互以及跨数据集异质性。本文提出了一种分解驱动的混合预测框架，将基于Loess的季节-趋势分解（STL）与组件特定学习及堆叠集成融合相集成。EV负荷信号被分解为趋势、季节和残差分量，每个分量均使用与其统计特性相符的算法进行建模。然后通过梯度提升回归器元学习器融合分量级预测，以增强鲁棒性和泛化能力。在四个真实EV充电数据集（ACN、Palo Alto、Perth和Paris）上的实验评估表明，其性能持续优于具有代表性的统计、集成和深度学习基线。在ACN数据集上，所提出的框架实现了MAE 0.614、RMSE 0.797和MAPE 12.7%，相对于最强基准，RMSE和MAPE分别降低了超过90%和88%。这些结果凸显了所提出方法在实际智能电网部署中的有效性和可扩展性。</w:t>
      </w:r>
    </w:p>
    <w:p>
      <w:pPr>
        <w:spacing w:before="0" w:after="200" w:lineRule="auto" w:line="276"/>
      </w:pPr>
      <w:r>
        <w:rPr>
          <w:b/>
        </w:rPr>
        <w:t xml:space="preserve">Abstract (EN): </w:t>
      </w:r>
      <w:r>
        <w:t>Accurate short-term electric vehicle (EV) load forecasting is critical for grid stability and demand response management amid rapidly increasing EV penetration. However, existing statistical, ensemble, and deep learning models often rely on implicit sequence learning and struggle to jointly capture multi-scale temporal structure, nonlinear interactions, and cross-dataset heterogeneity in EV charging demand. This paper proposes a decomposition-driven hybrid forecasting framework that integrates Seasonal-Trend decomposition using Loess (STL) with component-specific learning and stacked ensemble fusion. The EV load signal is decomposed into trend, seasonal, and residual components, each modeled using an algorithm aligned with its statistical characteristics. Component-level predictions are then fused through a Gradient Boosting Regressor meta-learner to enhance robustness and generalization. Experimental evaluation on four real-world EV charging datasets (ACN, Palo Alto, Perth, and Paris) demonstrates consistent performance gains over representative statistical, ensemble, and deep learning baselines. On the ACN dataset, the proposed framework achieves MAE 0.614, RMSE 0.797, and MAPE 12.7%, corresponding to more than 90% and 88% reductions in RMSE and MAPE, respectively, relative to the strongest benchmark. These results highlight the effectiveness and scalability of the proposed approach for practical smart grid deployment.</w:t>
      </w:r>
    </w:p>
    <w:p>
      <w:pPr>
        <w:spacing w:before="120" w:after="120"/>
      </w:pPr>
      <w:r>
        <w:rPr>
          <w:sz w:val="18"/>
        </w:rPr>
        <w:t>——————————————————————————————————————————————————————————————————————</w:t>
      </w:r>
    </w:p>
    <w:p>
      <w:pPr>
        <w:spacing w:before="160" w:after="40" w:line="240" w:lineRule="auto"/>
      </w:pPr>
      <w:r>
        <w:rPr>
          <w:b/>
        </w:rPr>
        <w:t xml:space="preserve">[431] </w:t>
      </w:r>
      <w:hyperlink r:id="rId1190">
        <w:r>
          <w:rPr>
            <w:color w:val="1155CC"/>
            <w:u w:val="single"/>
          </w:rPr>
          <w:t>基于破坏倾向的虚拟电厂两阶段利润分配方法</w:t>
        </w:r>
      </w:hyperlink>
    </w:p>
    <w:p>
      <w:pPr>
        <w:spacing w:before="0" w:after="80"/>
      </w:pPr>
      <w:r>
        <w:rPr>
          <w:i/>
          <w:sz w:val="20"/>
        </w:rPr>
        <w:t>EN: A Two-Stage Profit Allocation Method for Virtual Power Plants Based on the Propensity to Disrupt</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91">
        <w:r>
          <w:rPr>
            <w:color w:val="1155CC"/>
            <w:u w:val="single"/>
          </w:rPr>
          <w:t>10.1109/tsg.2026.3673322</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了一种虚拟电厂（VPPs）的两阶段利润分配方法，以聚合分布式能源（DERs）参与电力市场。基于合作博弈理论，所提出的方法通过均等化所有DER的破坏倾向（DP）值来分配利润，DP值是表示合作意愿的指标。所提出的方法被证明是可持续的，并定义了Nash讨价还价问题的最优解。考虑到不确定性，利润首先基于日前阶段确定的事前DP值进行分配，然后在实时阶段根据DER对VPP的实际贡献进行调整，形成一个修正的两阶段过程，以缓解仅事后分配和传统两阶段分配中存在的过度惩罚或奖励问题。此外，通过将运营商建模为合作博弈的成员，进一步分配了VPP运营商（VPPO）的利润。数值仿真验证了所提出分配方法的平衡性和可持续性。</w:t>
      </w:r>
    </w:p>
    <w:p>
      <w:pPr>
        <w:spacing w:before="0" w:after="200" w:lineRule="auto" w:line="276"/>
      </w:pPr>
      <w:r>
        <w:rPr>
          <w:b/>
        </w:rPr>
        <w:t xml:space="preserve">Abstract (EN): </w:t>
      </w:r>
      <w:r>
        <w:t>This article proposes a two-stage profit allocation method for virtual power plants (VPPs) to aggregate distributed energy resources (DERs) to participate in the electricity market. Based on the cooperative game theory, the proposed method allocates the profit by equalizing all DERs’ Propensity to Disrupt (DP) values, which are indices representing willingness to cooperate. The proposed approach is proven to be sustainable and defines an optimal solution to the Nash Bargaining problem. Considering uncertainties, the profit is initially assigned based on the ex-ante DP values determined in the day-ahead stage and then adjusted based on DERs’ actual contributions to the VPP in the real-time stage, forming a corrected two-stage process that mitigates excessive penalties or rewards found in ex-post-only and traditional two-stage allocation. In addition, the VPP operator’s (VPPO) profit is further allocated through modeling the operator as a member of the cooperative game. Numerical simulations confirm the balance and sustainability of the proposed allocation method.</w:t>
      </w:r>
    </w:p>
    <w:p>
      <w:pPr>
        <w:spacing w:before="120" w:after="120"/>
      </w:pPr>
      <w:r>
        <w:rPr>
          <w:sz w:val="18"/>
        </w:rPr>
        <w:t>——————————————————————————————————————————————————————————————————————</w:t>
      </w:r>
    </w:p>
    <w:p>
      <w:pPr>
        <w:spacing w:before="160" w:after="40" w:line="240" w:lineRule="auto"/>
      </w:pPr>
      <w:r>
        <w:rPr>
          <w:b/>
        </w:rPr>
        <w:t xml:space="preserve">[432] </w:t>
      </w:r>
      <w:hyperlink r:id="rId1192">
        <w:r>
          <w:rPr>
            <w:color w:val="1155CC"/>
            <w:u w:val="single"/>
          </w:rPr>
          <w:t>考虑谐波传播路径的网状电缆配电网络调压有源电力滤波器优化规划</w:t>
        </w:r>
      </w:hyperlink>
    </w:p>
    <w:p>
      <w:pPr>
        <w:spacing w:before="0" w:after="80"/>
      </w:pPr>
      <w:r>
        <w:rPr>
          <w:i/>
          <w:sz w:val="20"/>
        </w:rPr>
        <w:t>EN: Optimal Planning of Voltage-Regulating Active Power Filters for Meshed Cable Distribution Networks Considering Harmonic Propagation Paths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93">
        <w:r>
          <w:rPr>
            <w:color w:val="1155CC"/>
            <w:u w:val="single"/>
          </w:rPr>
          <w:t>10.1109/tsg.2026.3664436</w:t>
        </w:r>
      </w:hyperlink>
    </w:p>
    <w:p>
      <w:pPr>
        <w:spacing w:before="0" w:after="120"/>
      </w:pPr>
      <w:r>
        <w:rPr>
          <w:b/>
        </w:rPr>
        <w:t xml:space="preserve">Notes: </w:t>
      </w:r>
      <w:r>
        <w:t>abstract_source=semanticscholar</w:t>
      </w:r>
    </w:p>
    <w:p>
      <w:pPr>
        <w:spacing w:before="0" w:after="80" w:lineRule="auto" w:line="276"/>
      </w:pPr>
      <w:r>
        <w:rPr>
          <w:b/>
        </w:rPr>
        <w:t xml:space="preserve">摘要（ZH）: </w:t>
      </w:r>
      <w:r>
        <w:t>随着电缆线路在城市配电网中的广泛应用，谐波驻波的放大问题日益突出，导致电能质量显著恶化。为缓解这一问题，本文提出了一种考虑谐波传播路径的网状电缆配电网调压型有源电力滤波器优化规划策略。首先，建立谐波传播模型，以表征具有不同传播特性的典型场景。随后，对传播系数应用K-means聚类，将配电网划分为节点呈现相似谐波行为的区域。在每个区域内，选择传播系数最高的节点作为VRAPF的安装位置，以确保均匀的谐波抑制。此外，对VRAPF的运行参数进行优化，以同时满足网络性能要求并最小化总成本。与替代选址策略的对比分析验证了所提方法的有效性和优越性。</w:t>
      </w:r>
    </w:p>
    <w:p>
      <w:pPr>
        <w:spacing w:before="0" w:after="200" w:lineRule="auto" w:line="276"/>
      </w:pPr>
      <w:r>
        <w:rPr>
          <w:b/>
        </w:rPr>
        <w:t xml:space="preserve">Abstract (EN): </w:t>
      </w:r>
      <w:r>
        <w:t>With the widespread application of cable lines in urban distribution grids, the amplification of harmonic standing waves has become increasingly prominent, leading to significant power quality deterioration. To mitigate this issue, this paper proposes an optimal planning strategy for voltage-regulating active power filters (VRAPFs) in meshed cable distribution grids, explicitly accounting for harmonic propagation paths. First, a harmonic propagation model is established to characterize typical scenarios with varying propagation characteristics. Subsequently, K-means clustering is applied to the propagation coefficients, partitioning the distribution grid into regions where nodes exhibit similar harmonic behaviors. Within each region, the node with the highest propagation coefficient is selected as the installation site of the VRAPF to ensure uniform harmonic suppression. Furthermore, the operational parameters of the VRAPF are optimized to simultaneously satisfy network performance requirements and minimize total cost. Comparative analyses with alternative site-selection strategies validate the effectiveness and superiority of the proposed approach.</w:t>
      </w:r>
    </w:p>
    <w:p>
      <w:pPr>
        <w:spacing w:before="120" w:after="120"/>
      </w:pPr>
      <w:r>
        <w:rPr>
          <w:sz w:val="18"/>
        </w:rPr>
        <w:t>——————————————————————————————————————————————————————————————————————</w:t>
      </w:r>
    </w:p>
    <w:p>
      <w:pPr>
        <w:spacing w:before="160" w:after="40" w:line="240" w:lineRule="auto"/>
      </w:pPr>
      <w:r>
        <w:rPr>
          <w:b/>
        </w:rPr>
        <w:t xml:space="preserve">[433] </w:t>
      </w:r>
      <w:hyperlink r:id="rId1194">
        <w:r>
          <w:rPr>
            <w:color w:val="1155CC"/>
            <w:u w:val="single"/>
          </w:rPr>
          <w:t>考虑调压有源电力滤波器实际运行特性的配电网络谐波优化控制策略</w:t>
        </w:r>
      </w:hyperlink>
    </w:p>
    <w:p>
      <w:pPr>
        <w:spacing w:before="0" w:after="80"/>
      </w:pPr>
      <w:r>
        <w:rPr>
          <w:i/>
          <w:sz w:val="20"/>
        </w:rPr>
        <w:t>EN: Optimal Harmonic Control Strategy for Distribution Networks Considering the Actual Operating Characteristics of Voltage-Regulating Active Power Filter</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95">
        <w:r>
          <w:rPr>
            <w:color w:val="1155CC"/>
            <w:u w:val="single"/>
          </w:rPr>
          <w:t>10.1109/tsg.2026.3676773</w:t>
        </w:r>
      </w:hyperlink>
    </w:p>
    <w:p>
      <w:pPr>
        <w:spacing w:before="0" w:after="120"/>
      </w:pPr>
      <w:r>
        <w:rPr>
          <w:b/>
        </w:rPr>
        <w:t xml:space="preserve">Notes: </w:t>
      </w:r>
      <w:r>
        <w:t>abstract_source=semanticscholar</w:t>
      </w:r>
    </w:p>
    <w:p>
      <w:pPr>
        <w:spacing w:before="0" w:after="80" w:lineRule="auto" w:line="276"/>
      </w:pPr>
      <w:r>
        <w:rPr>
          <w:b/>
        </w:rPr>
        <w:t xml:space="preserve">摘要（ZH）: </w:t>
      </w:r>
      <w:r>
        <w:t>配电网一体化谐波优化策略通常将控制装置建模为理想电流源，构建具有多重约束的凸优化问题。然而，由于固有的非线性，这些装置常表现出频率耦合效应，导致非理想的谐波控制行为。本文提出一种考虑调压型有源电力滤波器实际运行特性的配电网谐波优化控制策略。首先，建立VRAPF的完整谐波状态空间模型，定量分析VRAPF内部模块之间的内部信号交换过程，从而阐明频率耦合效应的产生机理。其次，建立VRAPF的耦合虚拟导纳模型，以重塑网络阻抗，改善谐波抑制效果。第三，提出一种基于全局-局部协同运行的多时间尺度谐波控制策略，能够有效缓解谐波注入不确定性，并确保所有配电网节点的谐波电压畸变率保持在4%以下。通过硬件在环实验验证了所提方法的有效性和实用性。</w:t>
      </w:r>
    </w:p>
    <w:p>
      <w:pPr>
        <w:spacing w:before="0" w:after="200" w:lineRule="auto" w:line="276"/>
      </w:pPr>
      <w:r>
        <w:rPr>
          <w:b/>
        </w:rPr>
        <w:t xml:space="preserve">Abstract (EN): </w:t>
      </w:r>
      <w:r>
        <w:t>An integrated harmonic optimization strategy for distribution networks typically models control devices as ideal current sources, formulating a convex optimization problem with multiple constraints. However, due to inherent nonlinearities, these devices often exhibit frequency coupling effects, leading to non-ideal harmonic control behavior. This article proposes a harmonic optimal control strategy for distribution networks that accounts for the actual operating characteristics of voltage-regulating active power filters (VRAPFs). First, a complete harmonic state-space (HSS) model of the VRAPF is developed to quantitatively analyze the internal signal exchange process between internal modules of VRAPF, thereby elucidating the mechanism behind frequency coupling effects. Second, a coupled virtual admittance model of the VRAPF is established to reshape the network impedance for improved harmonic suppression. Third, a multi-timescale harmonic control strategy based on coordinated global-local operation is proposed, enabling effective mitigation of harmonic injection uncertainties and ensuring that the harmonic voltage distortion at all distribution-network nodes remains below 4%. The proposed approach is validated through hardware-in-the-loop (HIL) experiments, demonstrating its effectiveness and practicality.</w:t>
      </w:r>
    </w:p>
    <w:p>
      <w:pPr>
        <w:spacing w:before="120" w:after="120"/>
      </w:pPr>
      <w:r>
        <w:rPr>
          <w:sz w:val="18"/>
        </w:rPr>
        <w:t>——————————————————————————————————————————————————————————————————————</w:t>
      </w:r>
    </w:p>
    <w:p>
      <w:pPr>
        <w:spacing w:before="160" w:after="40" w:line="240" w:lineRule="auto"/>
      </w:pPr>
      <w:r>
        <w:rPr>
          <w:b/>
        </w:rPr>
        <w:t xml:space="preserve">[434] </w:t>
      </w:r>
      <w:hyperlink r:id="rId1196">
        <w:r>
          <w:rPr>
            <w:color w:val="1155CC"/>
            <w:u w:val="single"/>
          </w:rPr>
          <w:t>随机扰动下非线性电力系统的具有鲁棒性证书的可处理攻击检测</w:t>
        </w:r>
      </w:hyperlink>
    </w:p>
    <w:p>
      <w:pPr>
        <w:spacing w:before="0" w:after="80"/>
      </w:pPr>
      <w:r>
        <w:rPr>
          <w:i/>
          <w:sz w:val="20"/>
        </w:rPr>
        <w:t>EN: Tractable Attack Detection With Robustness Certificate for Nonlinear Power Systems Under Stochastic Disturbances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97">
        <w:r>
          <w:rPr>
            <w:color w:val="1155CC"/>
            <w:u w:val="single"/>
          </w:rPr>
          <w:t>10.1109/tsg.2026.3681977</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一种适用于非线性电力系统的易于处理的攻击检测方法，在降低复杂度的同时提供针对随机功率扰动的鲁棒性形式化证书。电力系统动态的固有非线性通常需要复杂的检测算法，而随机扰动（例如波动的可再生能源）可能引入掩盖攻击辨识的不可预见行为。这带来了两大主要挑战：(i) 基于模型的方法具有较强的分析基础，但可能存在计算复杂度高的问题，并依赖关于扰动分布的先验假设（例如高斯性）；(ii) 数据驱动方法利用大数据集的统计特性或神经网络架构内的经验验证来处理不确定性，但可能缺乏性能保证。为此，我们提出(i)一种通过二次约束编码随机扰动的线性检测器，将鲁棒设计问题转化为凸二次规划，从而确保可处理性；以及(ii)一种鲁棒性证书，基于最优解在有效约束（即在最优点处为等式的约束）中的行为，以期望的置信度为未见场景提供概率保证。与现有方法不同，我们的检测方法利用凸优化的最优性性质来提供性能保证，而不依赖先验假设或大型数据集。我们在自动发电控制中的网络攻击检测上验证了所提方法</w:t>
      </w:r>
    </w:p>
    <w:p>
      <w:pPr>
        <w:spacing w:before="0" w:after="200" w:lineRule="auto" w:line="276"/>
      </w:pPr>
      <w:r>
        <w:rPr>
          <w:b/>
        </w:rPr>
        <w:t xml:space="preserve">Abstract (EN): </w:t>
      </w:r>
      <w:r>
        <w:t>This article presents a tractable attack detection methodology for nonlinear power systems that reduces complexity while providing a formal certificate of robustness against stochastic power disturbances. The inherent nonlinearity of power system dynamics typically necessitates sophisticated detection algorithms, while stochastic disturbances (e.g., fluctuating renewables) may introduce unforeseen behaviors that obscure attack discernment. This leads to two primary challenges: (i) model-based methods offer strong analytical foundations but may suffer from high computational complexity and rely on prior assumptions about disturbance distributions (e.g., Gaussianity); (ii) data-driven methods address uncertainty using statistical properties of large datasets or empirical validation within neural network architectures, yet they may lack performance guarantees. To this end, we propose (i) a linear detector that encodes stochastic disturbances through quadratic constraints, transforming the robust design problem into a convex quadratic program (QP), thereby ensuring tractability, and (ii) a robustness certificate that provides probabilistic guarantees in unseen scenarios with a desired confidence, based on the behavior of the optimal solution in active constraints (i.e., constraints that are equalities at the optimum). Unlike existing methods, our detection approach leverages the optimality properties of convex optimization to deliver performance guarantees without depending on prior assumptions or large datasets. We validate our method on cyber attack detection in Automatic Generation Control (AGC) within a two-area IEEE 118-bus system.</w:t>
      </w:r>
    </w:p>
    <w:p>
      <w:pPr>
        <w:spacing w:before="120" w:after="120"/>
      </w:pPr>
      <w:r>
        <w:rPr>
          <w:sz w:val="18"/>
        </w:rPr>
        <w:t>——————————————————————————————————————————————————————————————————————</w:t>
      </w:r>
    </w:p>
    <w:p>
      <w:pPr>
        <w:spacing w:before="160" w:after="40" w:line="240" w:lineRule="auto"/>
      </w:pPr>
      <w:r>
        <w:rPr>
          <w:b/>
        </w:rPr>
        <w:t xml:space="preserve">[435] </w:t>
      </w:r>
      <w:hyperlink r:id="rId1198">
        <w:r>
          <w:rPr>
            <w:color w:val="1155CC"/>
            <w:u w:val="single"/>
          </w:rPr>
          <w:t>面向两阶段配电网络调度的强化学习适配器可再生能源预测框架</w:t>
        </w:r>
      </w:hyperlink>
    </w:p>
    <w:p>
      <w:pPr>
        <w:spacing w:before="0" w:after="80"/>
      </w:pPr>
      <w:r>
        <w:rPr>
          <w:i/>
          <w:sz w:val="20"/>
        </w:rPr>
        <w:t>EN: A Reinforcement Learning-Adapter Renewable Energy Forecasting Framework for Two-Stage Distribution Network Scheduling</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99">
        <w:r>
          <w:rPr>
            <w:color w:val="1155CC"/>
            <w:u w:val="single"/>
          </w:rPr>
          <w:t>10.1109/tsg.2026.3677789</w:t>
        </w:r>
      </w:hyperlink>
    </w:p>
    <w:p>
      <w:pPr>
        <w:spacing w:before="0" w:after="120"/>
      </w:pPr>
      <w:r>
        <w:rPr>
          <w:b/>
        </w:rPr>
        <w:t xml:space="preserve">Notes: </w:t>
      </w:r>
      <w:r>
        <w:t>abstract_source=semanticscholar</w:t>
      </w:r>
    </w:p>
    <w:p>
      <w:pPr>
        <w:spacing w:before="0" w:after="80" w:lineRule="auto" w:line="276"/>
      </w:pPr>
      <w:r>
        <w:rPr>
          <w:b/>
        </w:rPr>
        <w:t xml:space="preserve">摘要（ZH）: </w:t>
      </w:r>
      <w:r>
        <w:t>随着可再生能源渗透率的不断加深，配电网运营商必须依赖高质量的预测来调度分布式能源资源。然而，现有的大多数“先预测后优化”方法仅依赖预测值作为输入，而忽视了实际值与预测值之间的耦合对运行成本的显著影响。这一局限性阻碍了许多面向决策的电力系统方法的实用性与部署。为解决这一问题，本文研究配电网两阶段调度问题，并将其构建为耦合“先预测后优化”问题。然后，我们提出一种由强化学习驱动的面向决策的框架，将基于生成式预训练Transformer的预测模块与改进的Actor-Critic强化学习适配器相结合。具体而言，提出一种具有任务自适应损失的基于GPT的预测模型，以捕获可再生能源输出的时间特性。在此基础上，设计一个RL适配器来学习面向决策的策略，动态修正基础预测值，从而有效降低配电网的实际运行成本。在IEEE 33节点、IEEE 141节点和IEEE 570节点系统上的案例研究表明，与最优基线相比，所提框架分别将运行成本降低2.20%、2.28%和1.80%，验证了其在经济性和运行可靠性方面的有效性与优越性。</w:t>
      </w:r>
    </w:p>
    <w:p>
      <w:pPr>
        <w:spacing w:before="0" w:after="200" w:lineRule="auto" w:line="276"/>
      </w:pPr>
      <w:r>
        <w:rPr>
          <w:b/>
        </w:rPr>
        <w:t xml:space="preserve">Abstract (EN): </w:t>
      </w:r>
      <w:r>
        <w:t>With deepening renewable penetration, distribution-network operators must rely on high-quality forecasts to schedule distributed energy resources. However, most existing Prediction–then–Optimization (PTO) approaches rely solely on forecasted values as inputs, while overlooking the significant impact of the coupling between actual and forecasted values on operational costs. This limitation hinders the practicality and deployment of many decision-oriented methods in power systems. To address this issue, this paper investigates the two-stage scheduling problem of distribution networks and formulates it as a Coupled Prediction–then–Optimization (CPTO) problem. Then, we propose a RL-driven decision-focused framework that integrates a Generative Pretrained Transformer (GPT)-based forecasting module with an improved Actor–Critic Reinforcement Learning (RL) adapter. Specifically, a GPT-based forecasting model with task-adaptive loss is proposed to capture the temporal characteristics of renewable energy outputs. On this basis, an RL adapter is designed to learn a decision-focused policy that dynamically refines the base forecasts, thereby effectively reducing the actual operating cost of the distribution network. Case studies on the IEEE 33-bus, IEEE 141-bus and IEEE 570-bus systems demonstrate that, compared with best baselines, the proposed framework reduces operational costs by 2.20%, 2.28% and 1.80% respectively, thereby validating its effectiveness and superiority in terms of both economic efficiency and operational reliability.</w:t>
      </w:r>
    </w:p>
    <w:p>
      <w:pPr>
        <w:spacing w:before="120" w:after="120"/>
      </w:pPr>
      <w:r>
        <w:rPr>
          <w:sz w:val="18"/>
        </w:rPr>
        <w:t>——————————————————————————————————————————————————————————————————————</w:t>
      </w:r>
    </w:p>
    <w:p>
      <w:pPr>
        <w:spacing w:before="160" w:after="40" w:line="240" w:lineRule="auto"/>
      </w:pPr>
      <w:r>
        <w:rPr>
          <w:b/>
        </w:rPr>
        <w:t xml:space="preserve">[436] </w:t>
      </w:r>
      <w:hyperlink r:id="rId1200">
        <w:r>
          <w:rPr>
            <w:color w:val="1155CC"/>
            <w:u w:val="single"/>
          </w:rPr>
          <w:t>高速永磁电机碳纤维绑套转子缠绕工艺仿真与应力分析</w:t>
        </w:r>
      </w:hyperlink>
    </w:p>
    <w:p>
      <w:pPr>
        <w:spacing w:before="0" w:after="80"/>
      </w:pPr>
      <w:r>
        <w:rPr>
          <w:i/>
          <w:sz w:val="20"/>
        </w:rPr>
        <w:t>EN: Winding Process Simulation and Stress Analysis of Rotor Retained by Carbon Fiber Sleeve for High-Speed Permanent Magnet Machines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01">
        <w:r>
          <w:rPr>
            <w:color w:val="1155CC"/>
            <w:u w:val="single"/>
          </w:rPr>
          <w:t>10.1109/tec.2026.3690739</w:t>
        </w:r>
      </w:hyperlink>
    </w:p>
    <w:p>
      <w:pPr>
        <w:spacing w:before="0" w:after="120"/>
      </w:pPr>
      <w:r>
        <w:rPr>
          <w:b/>
        </w:rPr>
        <w:t xml:space="preserve">Notes: </w:t>
      </w:r>
      <w:r>
        <w:t>abstract_source=semanticscholar</w:t>
      </w:r>
    </w:p>
    <w:p>
      <w:pPr>
        <w:spacing w:before="0" w:after="80" w:lineRule="auto" w:line="276"/>
      </w:pPr>
      <w:r>
        <w:rPr>
          <w:b/>
        </w:rPr>
        <w:t xml:space="preserve">摘要（ZH）: </w:t>
      </w:r>
      <w:r>
        <w:t>高速永磁电机转子应力分析是早期设计阶段的关键步骤，直接影响HSPMM的可靠性和使用寿命。为准确分析由张力缠绕组装的碳纤维护套保持的转子应力，本文提出一种等效变形方法，旨在模拟用碳纤维丝束缠绕转子的过程。首先，分析了多层碳纤维护套保持的转子应力模型。基于实际缠绕过程提出了等效变形方法。然后，以一台300 kW、50,000 r/min的HSPMM为例，对缠绕过程进行了仿真。所提方法获得的结果与现有方法的结果一致。进一步分析了缠绕后四种状态下转子的应力。最后，静态转子接触压力测量和转子超速试验表明了所提方法的有效性。</w:t>
      </w:r>
    </w:p>
    <w:p>
      <w:pPr>
        <w:spacing w:before="0" w:after="200" w:lineRule="auto" w:line="276"/>
      </w:pPr>
      <w:r>
        <w:rPr>
          <w:b/>
        </w:rPr>
        <w:t xml:space="preserve">Abstract (EN): </w:t>
      </w:r>
      <w:r>
        <w:t>Rotor stress analysis of high-speed permanent magnet machines (HSPMMs) is a crucial step in the early design stage, directly affecting the reliability and service life of the HSPMM. To accurately analyze the stress of the rotor retained by carbon fiber sleeve that is assembled by tension winding, this paper proposes an equivalent deformation method (EDM), aiming to simulate the process of winding the rotor with carbon fiber tow. Firstly, the stress model of rotor retained by multi-layer carbon fiber sleeve is analyzed. The EDM is proposed based on actual winding process. Then, taking a 300 kW, 50,000 r/min HSPMM as an example, the winding process is simulated. The results obtained by the proposed method are consistent with those of the existing methods. Further, the stresses of the rotor at four states after winding are analyzed. Finally, the static rotor contact pressure measurement and rotor overspeed test indicate the validity of the proposed method.</w:t>
      </w:r>
    </w:p>
    <w:p>
      <w:pPr>
        <w:spacing w:before="120" w:after="120"/>
      </w:pPr>
      <w:r>
        <w:rPr>
          <w:sz w:val="18"/>
        </w:rPr>
        <w:t>——————————————————————————————————————————————————————————————————————</w:t>
      </w:r>
    </w:p>
    <w:p>
      <w:pPr>
        <w:spacing w:before="160" w:after="40" w:line="240" w:lineRule="auto"/>
      </w:pPr>
      <w:r>
        <w:rPr>
          <w:b/>
        </w:rPr>
        <w:t xml:space="preserve">[437] </w:t>
      </w:r>
      <w:hyperlink r:id="rId1202">
        <w:r>
          <w:rPr>
            <w:color w:val="1155CC"/>
            <w:u w:val="single"/>
          </w:rPr>
          <w:t>静电-电磁耦合调控无线能量交互以实现干扰屏蔽</w:t>
        </w:r>
      </w:hyperlink>
    </w:p>
    <w:p>
      <w:pPr>
        <w:spacing w:before="0" w:after="80"/>
      </w:pPr>
      <w:r>
        <w:rPr>
          <w:i/>
          <w:sz w:val="20"/>
        </w:rPr>
        <w:t>EN: Electrostatic-electromagnetic coupling regulates wireless energy interaction for interference shielding</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203">
        <w:r>
          <w:rPr>
            <w:color w:val="1155CC"/>
            <w:u w:val="single"/>
          </w:rPr>
          <w:t>10.1016/j.matt.2026.103000</w:t>
        </w:r>
      </w:hyperlink>
    </w:p>
    <w:p>
      <w:pPr>
        <w:spacing w:before="0" w:after="120"/>
      </w:pPr>
      <w:r>
        <w:rPr>
          <w:b/>
        </w:rPr>
        <w:t xml:space="preserve">Notes: </w:t>
      </w:r>
      <w:r>
        <w:t>abstract_source=rss_cell</w:t>
      </w:r>
    </w:p>
    <w:p>
      <w:pPr>
        <w:spacing w:before="0" w:after="80" w:lineRule="auto" w:line="276"/>
      </w:pPr>
      <w:r>
        <w:rPr>
          <w:b/>
        </w:rPr>
        <w:t xml:space="preserve">摘要（ZH）: </w:t>
      </w:r>
      <w:r>
        <w:t>电子系统正面临动态环境中自适应电磁兼容性的挑战。作者展示了一种通过静电-电磁耦合与无线电磁能量相互作用的TENG电磁干扰屏蔽系统。在电磁辐照下，PDMS@MXene/PPy@CF内部由摩擦电产生的内置电场重塑了电荷限域和极化动力学，优化了电磁干扰屏蔽性能。这项工作将电磁兼容设计从被动防护推进到主动能量管理。</w:t>
      </w:r>
    </w:p>
    <w:p>
      <w:pPr>
        <w:spacing w:before="0" w:after="200" w:lineRule="auto" w:line="276"/>
      </w:pPr>
      <w:r>
        <w:rPr>
          <w:b/>
        </w:rPr>
        <w:t xml:space="preserve">Abstract (EN): </w:t>
      </w:r>
      <w:r>
        <w:t>Electronic systems are facing challenges of adaptive electromagnetic compatibility in dynamic environments. The authors demonstrate a TENG-enabled EMI shielding system that interacts with wireless electromagnetic energy by electrostatic-electromagnetic coupling. The triboelectrically generated built-in electric fields within PDMS@MXene/PPy@CF reshape the charge confinement and polarization dynamics under electromagnetic irradiation, optimizing the EMI shielding performance. This work advances electromagnetic compatibility design from passive protection to active energy management.</w:t>
      </w:r>
    </w:p>
    <w:p>
      <w:pPr>
        <w:spacing w:before="120" w:after="120"/>
      </w:pPr>
      <w:r>
        <w:rPr>
          <w:sz w:val="18"/>
        </w:rPr>
        <w:t>——————————————————————————————————————————————————————————————————————</w:t>
      </w:r>
    </w:p>
    <w:p>
      <w:pPr>
        <w:spacing w:before="160" w:after="40" w:line="240" w:lineRule="auto"/>
      </w:pPr>
      <w:r>
        <w:rPr>
          <w:b/>
        </w:rPr>
        <w:t xml:space="preserve">[438] </w:t>
      </w:r>
      <w:hyperlink r:id="rId1204">
        <w:r>
          <w:rPr>
            <w:color w:val="1155CC"/>
            <w:u w:val="single"/>
          </w:rPr>
          <w:t>基于电流与电压重构的五相PMSM低铜损高阻连接故障容错方法</w:t>
        </w:r>
      </w:hyperlink>
    </w:p>
    <w:p>
      <w:pPr>
        <w:spacing w:before="0" w:after="80"/>
      </w:pPr>
      <w:r>
        <w:rPr>
          <w:i/>
          <w:sz w:val="20"/>
        </w:rPr>
        <w:t>EN: Low Copper Loss High-Resistance Connection Fault Tolerant Method in Five-Phase PMSM With Current and Voltage Reconfiguration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05">
        <w:r>
          <w:rPr>
            <w:color w:val="1155CC"/>
            <w:u w:val="single"/>
          </w:rPr>
          <w:t>10.1109/tec.2026.3665730</w:t>
        </w:r>
      </w:hyperlink>
    </w:p>
    <w:p>
      <w:pPr>
        <w:spacing w:before="0" w:after="120"/>
      </w:pPr>
      <w:r>
        <w:rPr>
          <w:b/>
        </w:rPr>
        <w:t xml:space="preserve">Notes: </w:t>
      </w:r>
      <w:r>
        <w:t>abstract_source=semanticscholar</w:t>
      </w:r>
    </w:p>
    <w:p>
      <w:pPr>
        <w:spacing w:before="0" w:after="80" w:lineRule="auto" w:line="276"/>
      </w:pPr>
      <w:r>
        <w:rPr>
          <w:b/>
        </w:rPr>
        <w:t xml:space="preserve">摘要（ZH）: </w:t>
      </w:r>
      <w:r>
        <w:t>五相永磁同步电机（PMSM）中的高阻连接（HRC）故障会因阻抗不平衡导致铜耗增加和效率降低。本文将HRC故障下的阻抗模型纳入所提出的容错控制方法中，并在最小铜耗（MCL）约束下采用电流和电压重构。此外，还提出了低铜耗下转矩输出范围最大化（MTMCL）约束，以获得更大的转矩输出能力。结合上述两种约束和所提出的容错控制方法，本文还总结了一种跟随电磁转矩的容错系数切换策略，以在不过热的条件下实现铜耗最小化。实验结果表明，与原方法相比，所提出的控制方法显著降低了铜耗。</w:t>
      </w:r>
    </w:p>
    <w:p>
      <w:pPr>
        <w:spacing w:before="0" w:after="200" w:lineRule="auto" w:line="276"/>
      </w:pPr>
      <w:r>
        <w:rPr>
          <w:b/>
        </w:rPr>
        <w:t xml:space="preserve">Abstract (EN): </w:t>
      </w:r>
      <w:r>
        <w:t>The high-resistance connection (HRC) fault in the five-phase permanent magnet synchronous motor (PMSM) leads to increased copper losses and reduced efficiency due to impedance imbalance. The impedance model under HRC fault is incorporated into the proposed fault-tolerant control method. A current and voltage reconfiguration is also adopted with the constraint of minimizing copper loss (MCL). Additionally, the maximization of torque output range with low copper loss (MTMCL) constraint is also proposed for more torque output capability. Combined with the above two constraints and proposed fault tolerant control method, a fault tolerant coefficient switching strategy following electromagnetic torque is also summarized for minimization copper loss without overheating. The experimental results demonstrate that the proposed control method achieves a significant reduction in copper loss compared to original method.</w:t>
      </w:r>
    </w:p>
    <w:p>
      <w:pPr>
        <w:spacing w:before="120" w:after="120"/>
      </w:pPr>
      <w:r>
        <w:rPr>
          <w:sz w:val="18"/>
        </w:rPr>
        <w:t>——————————————————————————————————————————————————————————————————————</w:t>
      </w:r>
    </w:p>
    <w:p>
      <w:pPr>
        <w:spacing w:before="160" w:after="40" w:line="240" w:lineRule="auto"/>
      </w:pPr>
      <w:r>
        <w:rPr>
          <w:b/>
        </w:rPr>
        <w:t xml:space="preserve">[439] </w:t>
      </w:r>
      <w:hyperlink r:id="rId1206">
        <w:r>
          <w:rPr>
            <w:color w:val="1155CC"/>
            <w:u w:val="single"/>
          </w:rPr>
          <w:t>基于动态加权PSO-GWO的球形磁阻电机转矩计算误差补偿</w:t>
        </w:r>
      </w:hyperlink>
    </w:p>
    <w:p>
      <w:pPr>
        <w:spacing w:before="0" w:after="80"/>
      </w:pPr>
      <w:r>
        <w:rPr>
          <w:i/>
          <w:sz w:val="20"/>
        </w:rPr>
        <w:t>EN: Torque Calculation Error Compensation for Spherical Reluctance Motor Based on Dynamic Weighted PSO-GWO</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07">
        <w:r>
          <w:rPr>
            <w:color w:val="1155CC"/>
            <w:u w:val="single"/>
          </w:rPr>
          <w:t>10.1109/tec.2026.3677403</w:t>
        </w:r>
      </w:hyperlink>
    </w:p>
    <w:p>
      <w:pPr>
        <w:spacing w:before="0" w:after="120"/>
      </w:pPr>
      <w:r>
        <w:rPr>
          <w:b/>
        </w:rPr>
        <w:t xml:space="preserve">Notes: </w:t>
      </w:r>
      <w:r>
        <w:t>abstract_source=semanticscholar</w:t>
      </w:r>
    </w:p>
    <w:p>
      <w:pPr>
        <w:spacing w:before="0" w:after="80" w:lineRule="auto" w:line="276"/>
      </w:pPr>
      <w:r>
        <w:rPr>
          <w:b/>
        </w:rPr>
        <w:t xml:space="preserve">摘要（ZH）: </w:t>
      </w:r>
      <w:r>
        <w:t>为提高球形磁阻电机（SPRM）的转矩建模精度，本文提出了一种基于动态加权粒子群-灰狼优化（DW-PG）算法的转矩计算误差补偿模型。首先，分析了不同解析方法产生的计算误差；随后，基于误差特性，采用极限学习机（ELM）对转矩计算误差进行补偿。为了优化ELM的输入权重和偏置，提出了动态加权因子，以平衡粒子群优化（PSO）的全局搜索能力与灰狼优化（GWO）的局部探索能力。该模型以励磁电流和转子角度为输入，以误差为输出。最后，实验和仿真结果表明，与传统补偿模型相比，所提出的补偿模型具有更高的补偿精度、更强的稳定性和更好的实时性，适用于不同参数结构和不同工况下的SPRM。</w:t>
      </w:r>
    </w:p>
    <w:p>
      <w:pPr>
        <w:spacing w:before="0" w:after="200" w:lineRule="auto" w:line="276"/>
      </w:pPr>
      <w:r>
        <w:rPr>
          <w:b/>
        </w:rPr>
        <w:t xml:space="preserve">Abstract (EN): </w:t>
      </w:r>
      <w:r>
        <w:t>To improve the torque modeling accuracy of spherical reluctance motors (SPRMs), this paper proposes a torque calculation error compensation model based on the dynamic weighted particle swarm-gray wolf optimization (DW-PG) algorithm. First, the calculation errors generated by different analytical methods are analyzed. Subsequently, based on the error characteristics, extreme learning machine (ELM) is adopted to compensate for the torque calculation error. To optimize the input weights and biases of ELM, a dynamic weighting factor is proposed to balance the global search capability of the particle swarm optimization (PSO) and the local exploration capability of the grey wolf optimization (GWO). The model takes the excitation current and rotor angle as the inputs and the errors as outputs. Finally, the experimental and simulation results show that, compared with the traditional compensation models, the proposed compensation model has higher compensation accuracy, stronger stability and better real-time performance, which is suitable for SPRM with different parameter structures and different working conditions.</w:t>
      </w:r>
    </w:p>
    <w:p>
      <w:pPr>
        <w:spacing w:before="120" w:after="120"/>
      </w:pPr>
      <w:r>
        <w:rPr>
          <w:sz w:val="18"/>
        </w:rPr>
        <w:t>——————————————————————————————————————————————————————————————————————</w:t>
      </w:r>
    </w:p>
    <w:p>
      <w:pPr>
        <w:spacing w:before="160" w:after="40" w:line="240" w:lineRule="auto"/>
      </w:pPr>
      <w:r>
        <w:rPr>
          <w:b/>
        </w:rPr>
        <w:t xml:space="preserve">[440] </w:t>
      </w:r>
      <w:hyperlink r:id="rId1208">
        <w:r>
          <w:rPr>
            <w:color w:val="1155CC"/>
            <w:u w:val="single"/>
          </w:rPr>
          <w:t>超低频振荡抑制中负阻尼水电机组的数据驱动辨识与协同参数优化</w:t>
        </w:r>
      </w:hyperlink>
    </w:p>
    <w:p>
      <w:pPr>
        <w:spacing w:before="0" w:after="80"/>
      </w:pPr>
      <w:r>
        <w:rPr>
          <w:i/>
          <w:sz w:val="20"/>
        </w:rPr>
        <w:t>EN: Data-Driven Identification and Cooperative Parameters Optimization for Negative Damping Hydropower Units in Ultra-Low Frequency Oscillation Suppression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09">
        <w:r>
          <w:rPr>
            <w:color w:val="1155CC"/>
            <w:u w:val="single"/>
          </w:rPr>
          <w:t>10.1109/tpwrs.2026.3685657</w:t>
        </w:r>
      </w:hyperlink>
    </w:p>
    <w:p>
      <w:pPr>
        <w:spacing w:before="0" w:after="120"/>
      </w:pPr>
      <w:r>
        <w:rPr>
          <w:b/>
        </w:rPr>
        <w:t xml:space="preserve">Notes: </w:t>
      </w:r>
      <w:r>
        <w:t>abstract_source=semanticscholar</w:t>
      </w:r>
    </w:p>
    <w:p>
      <w:pPr>
        <w:spacing w:before="0" w:after="80" w:lineRule="auto" w:line="276"/>
      </w:pPr>
      <w:r>
        <w:rPr>
          <w:b/>
        </w:rPr>
        <w:t xml:space="preserve">摘要（ZH）: </w:t>
      </w:r>
      <w:r>
        <w:t>本文针对负阻尼水电机组提出了一种数据驱动辨识方法和协同参数优化策略，以缓解经典超低频振荡（ULFO）抑制过程中一次调频能力的过度损失。采用数据驱动的时频联合分析方法从ULFO耗散能量中提取阻尼特性，从而在不依赖详细模型和参数的情况下精确辨识负阻尼机组。随后，分析了水锤时间常数和调速器PID参数变化对阻尼增强和一次调频能力损失的影响。据此，提出了一种多机组阻尼增强目标分配机制，以实现负阻尼机组PID参数的协同优化，缓解一次调频能力的过度损失。通过启发式算法求解Pareto最优PID参数。最后，在10机39节点系统以及实际水电为主的CJL电力系统上进行了数值仿真。结果验证了所提方法能够准确辨识负阻尼机组，同时在保持较优一次调频性能的同时有效抑制振荡。</w:t>
      </w:r>
    </w:p>
    <w:p>
      <w:pPr>
        <w:spacing w:before="0" w:after="200" w:lineRule="auto" w:line="276"/>
      </w:pPr>
      <w:r>
        <w:rPr>
          <w:b/>
        </w:rPr>
        <w:t xml:space="preserve">Abstract (EN): </w:t>
      </w:r>
      <w:r>
        <w:t>This paper proposes a data-driven identification method and a cooperative parameters optimization strategy for hydropower units with negative damping to mitigate excessive loss of primary frequency regulation capability during classical ultra-low frequency oscillation (ULFO) suppression. A data-driven joint time-frequency analysis method is employed to extract damping characteristics from ULFO dissipated energy, enabling the precise identification of units with negative damping without relying on detailed models and parameters. Subsequently, the effects of variations in the water hammer time constant and governor PID parameters on damping enhancement and primary frequency regulation capability loss are analyzed. Accordingly, a multi-unit damping enhancement target allocation mechanism is developed to facilitate the cooperative optimization of PID parameters for units with negative damping, mitigating excessive primary frequency regulation capability loss. The Pareto-optimal PID parameters solution is explored by heuristic algorithm. Finally, numerical simulations are performed on the 10-machine 39-bus system and a practical hydropower-dominated CJL power system. The results verify that the proposed method accurately identifies negative-damping units. At the same time, it effectively suppresses oscillations while retaining improved primary frequency regulation performance.</w:t>
      </w:r>
    </w:p>
    <w:p>
      <w:pPr>
        <w:spacing w:before="120" w:after="120"/>
      </w:pPr>
      <w:r>
        <w:rPr>
          <w:sz w:val="18"/>
        </w:rPr>
        <w:t>——————————————————————————————————————————————————————————————————————</w:t>
      </w:r>
    </w:p>
    <w:p>
      <w:pPr>
        <w:spacing w:before="160" w:after="40" w:line="240" w:lineRule="auto"/>
      </w:pPr>
      <w:r>
        <w:rPr>
          <w:b/>
        </w:rPr>
        <w:t xml:space="preserve">[441] </w:t>
      </w:r>
      <w:hyperlink r:id="rId1210">
        <w:r>
          <w:rPr>
            <w:color w:val="1155CC"/>
            <w:u w:val="single"/>
          </w:rPr>
          <w:t>对称可再生能源电力系统的特征值模式与参与因子分析</w:t>
        </w:r>
      </w:hyperlink>
    </w:p>
    <w:p>
      <w:pPr>
        <w:spacing w:before="0" w:after="80"/>
      </w:pPr>
      <w:r>
        <w:rPr>
          <w:i/>
          <w:sz w:val="20"/>
        </w:rPr>
        <w:t>EN: Eigenvalue Patterns and Participation Analysis of Symmetric Renewable Energy Power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11">
        <w:r>
          <w:rPr>
            <w:color w:val="1155CC"/>
            <w:u w:val="single"/>
          </w:rPr>
          <w:t>10.1109/tpwrs.2026.3684614</w:t>
        </w:r>
      </w:hyperlink>
    </w:p>
    <w:p>
      <w:pPr>
        <w:spacing w:before="0" w:after="120"/>
      </w:pPr>
      <w:r>
        <w:rPr>
          <w:b/>
        </w:rPr>
        <w:t xml:space="preserve">Notes: </w:t>
      </w:r>
      <w:r>
        <w:t>abstract_source=semanticscholar</w:t>
      </w:r>
    </w:p>
    <w:p>
      <w:pPr>
        <w:spacing w:before="0" w:after="80" w:lineRule="auto" w:line="276"/>
      </w:pPr>
      <w:r>
        <w:rPr>
          <w:b/>
        </w:rPr>
        <w:t xml:space="preserve">摘要（ZH）: </w:t>
      </w:r>
      <w:r>
        <w:t>状态空间分析被广泛用于研究电力系统动态特性，但在接入大量基于逆变器的资源（IBR）的大规模电力系统中面临挑战，因为系统状态数的大幅增加使模态分析变得复杂。值得注意的是，可再生能源电力系统通常由多个同质发电单元组成。这种一致性（本文称之为对称性）可以便于系统稳定性分析。本文研究了三类对称可再生能源电力系统的特征值模式和参与因子，包括理想对称、准对称和群对称系统。理想对称（或准对称）系统由一组连接到外部电网的相同（或相似）子系统构成。包含多个此类群的系统称为群对称系统。在这些对称系统中，定义了两类模式来表征不同的相互作用：群内模式，描述单个群内子系统之间的相互作用；群-网模式，描述群与外部电网之间的相互作用。此外，还提出了群参与因子这一新概念，以扩展传统参与因子在重根模态和相近模态中的应用。同时，讨论了群内模式和群-网模式的不变性。研究结果为电力系统的稳定性分析和针对性优化提供了见解。理论进展通过示例电力系统的数值结果和电磁暂态（EMT）仿真得到了验证</w:t>
      </w:r>
    </w:p>
    <w:p>
      <w:pPr>
        <w:spacing w:before="0" w:after="200" w:lineRule="auto" w:line="276"/>
      </w:pPr>
      <w:r>
        <w:rPr>
          <w:b/>
        </w:rPr>
        <w:t xml:space="preserve">Abstract (EN): </w:t>
      </w:r>
      <w:r>
        <w:t>State-space analysis is widely employed for examining power system dynamics but faces challenges in large-scale power systems integrated with numerous inverter-based resources (IBRs), where the significant increase of system states complicates modal analysis. Notably, renewable energy power systems often consist of multiple homogeneous generation units. This uniformity, termed symmetry in this paper, can facilitate the system stability analysis. Eigenvalue patterns and participation factors in three types of symmetric renewable energy power systems are investigated, including ideally-, quasi-, and group-symmetric systems. An ideally-symmetric (or quasi-symmetric) system comprises a group of identical (or similar) subsystems connected to an external grid. A system containing multiple such groups is termed group-symmetric. In these symmetric systems, two types of modes are defined to characterize different interactions: inner-group modes, which describe the interactions among subsystems within a single group, and group-grid modes, which describe the interactions between the groups and the external grid. A new concept termed group participation factor is also proposed to extend the use of conventional participation factors for repeated and close modes. In addition, the invariance properties of the inner-group modes and group-grid modes are discussed. The findings provide insights for stability analysis and targeted optimization in power systems. Theoretical advances are validated through numerical results and electromagnetic transient (EMT) simulations on example power systems of varied types and scales.</w:t>
      </w:r>
    </w:p>
    <w:p>
      <w:pPr>
        <w:spacing w:before="120" w:after="120"/>
      </w:pPr>
      <w:r>
        <w:rPr>
          <w:sz w:val="18"/>
        </w:rPr>
        <w:t>——————————————————————————————————————————————————————————————————————</w:t>
      </w:r>
    </w:p>
    <w:p>
      <w:pPr>
        <w:spacing w:before="160" w:after="40" w:line="240" w:lineRule="auto"/>
      </w:pPr>
      <w:r>
        <w:rPr>
          <w:b/>
        </w:rPr>
        <w:t xml:space="preserve">[442] </w:t>
      </w:r>
      <w:hyperlink r:id="rId1212">
        <w:r>
          <w:rPr>
            <w:color w:val="1155CC"/>
            <w:u w:val="single"/>
          </w:rPr>
          <w:t>微电网的一种通用分布式限幅与死区电压控制框架</w:t>
        </w:r>
      </w:hyperlink>
    </w:p>
    <w:p>
      <w:pPr>
        <w:spacing w:before="0" w:after="80"/>
      </w:pPr>
      <w:r>
        <w:rPr>
          <w:i/>
          <w:sz w:val="20"/>
        </w:rPr>
        <w:t>EN: A General Distributed Bounded-and-Deadband Voltage Control Framework for Microgrids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13">
        <w:r>
          <w:rPr>
            <w:color w:val="1155CC"/>
            <w:u w:val="single"/>
          </w:rPr>
          <w:t>10.1109/tsg.2026.3709623</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了一种适用于微电网的通用分布式电压控制框架，能够同时实现电压死区和边界的约束。通过在基于一致性的控制器中嵌入基于障碍函数的状态映射函数，将分布式能源资源的电压轨迹限制在预定义边界内，并避免在死区内产生不必要的控制动作。此外，还考虑并讨论了一些超出设定边界的紧急情况。该框架结构简单，可适配任何满足设计准则的映射函数。</w:t>
      </w:r>
    </w:p>
    <w:p>
      <w:pPr>
        <w:spacing w:before="0" w:after="200" w:lineRule="auto" w:line="276"/>
      </w:pPr>
      <w:r>
        <w:rPr>
          <w:b/>
        </w:rPr>
        <w:t xml:space="preserve">Abstract (EN): </w:t>
      </w:r>
      <w:r>
        <w:t>This letter proposes a general distributed voltage control framework for microgrids capable of enforcing both voltage deadbands and bounds. A barrier-based state-mapping function is embedded into consensus-based controllers to confine the voltage trajectories of distributed energy resources within a predefined bound and avoid unnecessary control actions inside the deadband. In addition, some contingencies that exceed the setting bounds are also considered and discussed. The framework is simple in structure and can be adapted to any mapping function that meets the design criteria.</w:t>
      </w:r>
    </w:p>
    <w:p>
      <w:pPr>
        <w:spacing w:before="120" w:after="120"/>
      </w:pPr>
      <w:r>
        <w:rPr>
          <w:sz w:val="18"/>
        </w:rPr>
        <w:t>——————————————————————————————————————————————————————————————————————</w:t>
      </w:r>
    </w:p>
    <w:p>
      <w:pPr>
        <w:spacing w:before="160" w:after="40" w:line="240" w:lineRule="auto"/>
      </w:pPr>
      <w:r>
        <w:rPr>
          <w:b/>
        </w:rPr>
        <w:t xml:space="preserve">[443] </w:t>
      </w:r>
      <w:hyperlink r:id="rId1214">
        <w:r>
          <w:rPr>
            <w:color w:val="1155CC"/>
            <w:u w:val="single"/>
          </w:rPr>
          <w:t>基于Preisach磁滞模型的非晶合金高速永磁电机铁耗分析</w:t>
        </w:r>
      </w:hyperlink>
    </w:p>
    <w:p>
      <w:pPr>
        <w:spacing w:before="0" w:after="80"/>
      </w:pPr>
      <w:r>
        <w:rPr>
          <w:i/>
          <w:sz w:val="20"/>
        </w:rPr>
        <w:t>EN: Iron Loss Analysis in Amorphous Alloy High-Speed Permanent Magnet Motors Utilizing a Preisach Hysteresis Based Method</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15">
        <w:r>
          <w:rPr>
            <w:color w:val="1155CC"/>
            <w:u w:val="single"/>
          </w:rPr>
          <w:t>10.1109/tec.2026.3670450</w:t>
        </w:r>
      </w:hyperlink>
    </w:p>
    <w:p>
      <w:pPr>
        <w:spacing w:before="0" w:after="120"/>
      </w:pPr>
      <w:r>
        <w:rPr>
          <w:b/>
        </w:rPr>
        <w:t xml:space="preserve">Notes: </w:t>
      </w:r>
      <w:r>
        <w:t>abstract_source=semanticscholar</w:t>
      </w:r>
    </w:p>
    <w:p>
      <w:pPr>
        <w:spacing w:before="0" w:after="80" w:lineRule="auto" w:line="276"/>
      </w:pPr>
      <w:r>
        <w:rPr>
          <w:b/>
        </w:rPr>
        <w:t xml:space="preserve">摘要（ZH）: </w:t>
      </w:r>
      <w:r>
        <w:t>与传统硅钢材料相比，非晶合金材料因其低铁损和高磁导率而在高速应用中备受关注。高速永磁（HSPM）电机定子中的铁损难以直接测量，且无论使用何种材料，铁损都会随工作频率的增加而增大。准确计算HSPM电机铁损对于高速电机的设计与分析具有重要意义。本文结合环形样件测量、Preisach磁滞模型和有限元分析，提出了一种高速电机铁损的计算方法。测量了两个环形样件的磁特性，这两个样件均采用与电机铁芯相同的加工工艺制造。基于测量数据建立了Preisach磁滞模型的随频率变化的Everett函数数据库。采用了一种基于Preisach磁滞模型对称小磁滞回线的辨识算法。利用所提出的方法计算了一台非晶合金和一台硅钢HSPM电机的铁损，并定量分析了不同材料导致的铁损差异。为验证分析结果，利用高速气流试验平台和非磁化电机实验平台进行了电机实验。在相同工作频率下测试了非晶合金和硅钢HSPM电机的性能，包括总损耗和效率等。空气摩擦</w:t>
      </w:r>
    </w:p>
    <w:p>
      <w:pPr>
        <w:spacing w:before="0" w:after="200" w:lineRule="auto" w:line="276"/>
      </w:pPr>
      <w:r>
        <w:rPr>
          <w:b/>
        </w:rPr>
        <w:t xml:space="preserve">Abstract (EN): </w:t>
      </w:r>
      <w:r>
        <w:t>Amorphous alloy materials are highly interested for high-speed applications because of low iron loss and high magnetic permeability, in comparison with conventional silicon steel materials. The iron loss in the stator of high-speed permanent magnet (HSPM) motors is difficult to be measured directly, and it increases with working frequency regardless of the material used. The accurate calculation of HSPM motor iron loss is significant for the design and analysis of the high-speed motor. In this paper, a calculated method of iron loss for high-speed motors is proposed by combining the ring specimen measurement, Preisach hysteresis model and finite element analysis. The magnetic properties of two ring specimens are measured, both of which are manufactured using the same processing technology as motor cores. The database of frequency-dependent Everett functions for the Preisach hysteresis model is established based on measurement data. An identification algorithm based on the symmetric minor hysteresis loops of the Preisach hysteresis model is adopted. The iron loss of an amorphous alloy and a silicon steel HSPM motors are calculated using the proposed method, from which the iron loss differences due to different materials are quantitatively analyzed. To verify the analysis results, motor experiment is executed by utilizing the high-speed airflow test platform and the non-magnetized motor experiment platform. The performance of amorphous alloy and silicon steel HSPM motors are tested at the same operating frequency, including total losses and efficiency etc. The air friction and mechanical losses in two motors are measured through non-magnetized motor experiments, and proved to be equal. The validity and accuracy of proposed method is verified with comparison results of loss separation model and motor experiments, which demonstrates the applicability of Preisach hysteresis model for calculating iron losses in high-speed motors.</w:t>
      </w:r>
    </w:p>
    <w:p>
      <w:pPr>
        <w:spacing w:before="120" w:after="120"/>
      </w:pPr>
      <w:r>
        <w:rPr>
          <w:sz w:val="18"/>
        </w:rPr>
        <w:t>——————————————————————————————————————————————————————————————————————</w:t>
      </w:r>
    </w:p>
    <w:p>
      <w:pPr>
        <w:spacing w:before="160" w:after="40" w:line="240" w:lineRule="auto"/>
      </w:pPr>
      <w:r>
        <w:rPr>
          <w:b/>
        </w:rPr>
        <w:t xml:space="preserve">[444] </w:t>
      </w:r>
      <w:hyperlink r:id="rId1216">
        <w:r>
          <w:rPr>
            <w:color w:val="1155CC"/>
            <w:u w:val="single"/>
          </w:rPr>
          <w:t>设计不确定性下电机效率图谱与效率剖面的多变量灵敏度分析</w:t>
        </w:r>
      </w:hyperlink>
    </w:p>
    <w:p>
      <w:pPr>
        <w:spacing w:before="0" w:after="80"/>
      </w:pPr>
      <w:r>
        <w:rPr>
          <w:i/>
          <w:sz w:val="20"/>
        </w:rPr>
        <w:t>EN: Multivariate Sensitivity Analysis of Electric Machine Efficiency Maps and Profiles Under Design Uncertainty</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17">
        <w:r>
          <w:rPr>
            <w:color w:val="1155CC"/>
            <w:u w:val="single"/>
          </w:rPr>
          <w:t>10.1109/tec.2026.3687758</w:t>
        </w:r>
      </w:hyperlink>
    </w:p>
    <w:p>
      <w:pPr>
        <w:spacing w:before="0" w:after="120"/>
      </w:pPr>
      <w:r>
        <w:rPr>
          <w:b/>
        </w:rPr>
        <w:t xml:space="preserve">Notes: </w:t>
      </w:r>
      <w:r>
        <w:t>abstract_source=semanticscholar</w:t>
      </w:r>
    </w:p>
    <w:p>
      <w:pPr>
        <w:spacing w:before="0" w:after="80" w:lineRule="auto" w:line="276"/>
      </w:pPr>
      <w:r>
        <w:rPr>
          <w:b/>
        </w:rPr>
        <w:t xml:space="preserve">摘要（ZH）: </w:t>
      </w:r>
      <w:r>
        <w:t>本工作介绍了采用多元全局敏感性分析来评估不确定电机设计参数对效率图谱和特性曲线的影响。与常见的逐元素应用基于方差的（Sobol'）敏感性分析方法不同，多元敏感性分析为每个参数提供单一的敏感性指标，从而能够对整个效率图谱或特性曲线上的参数重要性进行整体估计。在不同保真度的永磁同步电机模型上展示了其优势。比较了基于蒙特卡洛采样和多项式混沌展开的计算在计算成本方面的差异。随后利用敏感性分析结果对模型进行简化，将不重要的参数固定为其标称值，仅允许重要参数随机变化。由完整模型和简化模型获得的不确定性估计证实了由多元敏感性分析指导的模型简化的有效性。</w:t>
      </w:r>
    </w:p>
    <w:p>
      <w:pPr>
        <w:spacing w:before="0" w:after="200" w:lineRule="auto" w:line="276"/>
      </w:pPr>
      <w:r>
        <w:rPr>
          <w:b/>
        </w:rPr>
        <w:t xml:space="preserve">Abstract (EN): </w:t>
      </w:r>
      <w:r>
        <w:t>This work introduces the use of multivariate global sensitivity analysis for assessing the impact of uncertain electric machine design parameters on efficiency maps and profiles. Contrary to the common approach of applying variance-based (Sobol’) sensitivity analysis elementwise, multivariate sensitivity analysis provides a single sensitivity index per parameter, thus allowing for a holistic estimation of parameter importance over the full efficiency map or profile. Its benefits are demonstrated on permanent magnet synchronous machine models of different fidelity. Computations based on Monte Carlo sampling and polynomial chaos expansions are compared in terms of computational cost. The sensitivity analysis results are subsequently used to simplify the models, by fixing non-influential parameters to their nominal values and allowing random variations only for influential parameters. Uncertainty estimates obtained with the full and reduced models confirm the validity of model simplification guided by multivariate sensitivity analysis.</w:t>
      </w:r>
    </w:p>
    <w:p>
      <w:pPr>
        <w:spacing w:before="120" w:after="120"/>
      </w:pPr>
      <w:r>
        <w:rPr>
          <w:sz w:val="18"/>
        </w:rPr>
        <w:t>——————————————————————————————————————————————————————————————————————</w:t>
      </w:r>
    </w:p>
    <w:p>
      <w:pPr>
        <w:spacing w:before="160" w:after="40" w:line="240" w:lineRule="auto"/>
      </w:pPr>
      <w:r>
        <w:rPr>
          <w:b/>
        </w:rPr>
        <w:t xml:space="preserve">[445] </w:t>
      </w:r>
      <w:hyperlink r:id="rId1218">
        <w:r>
          <w:rPr>
            <w:color w:val="1155CC"/>
            <w:u w:val="single"/>
          </w:rPr>
          <w:t>用于增强VSC在宽SCR变化范围内阻尼的鲁棒构网型稳定器</w:t>
        </w:r>
      </w:hyperlink>
    </w:p>
    <w:p>
      <w:pPr>
        <w:spacing w:before="0" w:after="80"/>
      </w:pPr>
      <w:r>
        <w:rPr>
          <w:i/>
          <w:sz w:val="20"/>
        </w:rPr>
        <w:t>EN: A Robust Grid-Forming Stabilizer for Enhanced Damping of VSCs Against Wide SCR Variations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19">
        <w:r>
          <w:rPr>
            <w:color w:val="1155CC"/>
            <w:u w:val="single"/>
          </w:rPr>
          <w:t>10.1109/tec.2026.3707397</w:t>
        </w:r>
      </w:hyperlink>
    </w:p>
    <w:p>
      <w:pPr>
        <w:spacing w:before="0" w:after="120"/>
      </w:pPr>
      <w:r>
        <w:rPr>
          <w:b/>
        </w:rPr>
        <w:t xml:space="preserve">Notes: </w:t>
      </w:r>
      <w:r>
        <w:t>abstract_source=semanticscholar</w:t>
      </w:r>
    </w:p>
    <w:p>
      <w:pPr>
        <w:spacing w:before="0" w:after="80" w:lineRule="auto" w:line="276"/>
      </w:pPr>
      <w:r>
        <w:rPr>
          <w:b/>
        </w:rPr>
        <w:t xml:space="preserve">摘要（ZH）: </w:t>
      </w:r>
      <w:r>
        <w:t>并网变换器在强电网下由于电压控制环引起的负阻尼而容易失稳。为解决这一问题，本文提出了一种基于PSS的构网型稳定器，通过超前-滞后补偿器在电压控制环中引入频率偏差，有效重塑同步转矩和阻尼转矩。基于复转矩法的稳定性分析指导控制器参数设计，确保变换器在1到无穷大的广泛短路比范围内稳健运行。值得注意的是，该控制器对稳态运行没有影响。实验结果验证了所提出方法在增强系统稳定性方面的有效性。</w:t>
      </w:r>
    </w:p>
    <w:p>
      <w:pPr>
        <w:spacing w:before="0" w:after="200" w:lineRule="auto" w:line="276"/>
      </w:pPr>
      <w:r>
        <w:rPr>
          <w:b/>
        </w:rPr>
        <w:t xml:space="preserve">Abstract (EN): </w:t>
      </w:r>
      <w:r>
        <w:t>Grid-forming converters are prone to instability under stiff grids due to negative damping induced by the voltage control loop. To address this issue, this paper proposes a PSS-based grid-forming stabilizer that introduces the frequency deviation through a lead-lag compensator in the voltage control loop, effectively reshaping both synchronous and damping torques. The controller parameter design is guided by the stability analysis using the complex torque method, ensuring robust converter operation across a wide range of short-circuit ratio, from 1 to infinity. Notably, the controller has no impact on the steady-state operations. Experimental results confirm the effectiveness of the proposed approach in enhancing system stability.</w:t>
      </w:r>
    </w:p>
    <w:p>
      <w:pPr>
        <w:spacing w:before="120" w:after="120"/>
      </w:pPr>
      <w:r>
        <w:rPr>
          <w:sz w:val="18"/>
        </w:rPr>
        <w:t>——————————————————————————————————————————————————————————————————————</w:t>
      </w:r>
    </w:p>
    <w:p>
      <w:pPr>
        <w:spacing w:before="160" w:after="40" w:line="240" w:lineRule="auto"/>
      </w:pPr>
      <w:r>
        <w:rPr>
          <w:b/>
        </w:rPr>
        <w:t xml:space="preserve">[446] </w:t>
      </w:r>
      <w:hyperlink r:id="rId1220">
        <w:r>
          <w:rPr>
            <w:color w:val="1155CC"/>
            <w:u w:val="single"/>
          </w:rPr>
          <w:t>2/6极组合节距绕线转子无刷双馈发电机的设计及其与8极双馈感应发电机的对比研究</w:t>
        </w:r>
      </w:hyperlink>
    </w:p>
    <w:p>
      <w:pPr>
        <w:spacing w:before="0" w:after="80"/>
      </w:pPr>
      <w:r>
        <w:rPr>
          <w:i/>
          <w:sz w:val="20"/>
        </w:rPr>
        <w:t>EN: Design of a 2/6-Pole Combined Pitch Wound Rotor Brushless Doubly-Fed Generator and its Comparative Study With an 8-Pole Doubly-Fed Induction Generator</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21">
        <w:r>
          <w:rPr>
            <w:color w:val="1155CC"/>
            <w:u w:val="single"/>
          </w:rPr>
          <w:t>10.1109/tec.2026.3670030</w:t>
        </w:r>
      </w:hyperlink>
    </w:p>
    <w:p>
      <w:pPr>
        <w:spacing w:before="0" w:after="120"/>
      </w:pPr>
      <w:r>
        <w:rPr>
          <w:b/>
        </w:rPr>
        <w:t xml:space="preserve">Notes: </w:t>
      </w:r>
      <w:r>
        <w:t>abstract_source=semanticscholar</w:t>
      </w:r>
    </w:p>
    <w:p>
      <w:pPr>
        <w:spacing w:before="0" w:after="80" w:lineRule="auto" w:line="276"/>
      </w:pPr>
      <w:r>
        <w:rPr>
          <w:b/>
        </w:rPr>
        <w:t xml:space="preserve">摘要（ZH）: </w:t>
      </w:r>
      <w:r>
        <w:t>无刷双馈发电机（BDFG）特别适用于利用变速水轮机的小水电站中进行恒频恒压发电。本文提出了一种结合长距和短距线圈的 novel 绕线转子设计，同时考虑功率绕组（PW）和控制绕组（CW）极对极距的选择，从而通过谐波分析改善节距系数并提高总体绕组系数。首先，本研究考察了转子调速特性，分析了无谐波条件下径向电磁力密度的组成和幅值，给出了定子PW和CW的接线方法。随后，阐述了采用组合节距线圈的原理，以进一步提高导体利用率并抑制谐波含量。提供了1/3极对的实际设计示例，包括详细的实施步骤，并对不同转子结构的耦合系数进行了对比分析。此外，对具有相同机座尺寸的2/6极BDFG和8极双馈感应发电机（DFIG）进行了有限元（FE）分析，以评估发电机在相同负载和转子转速范围内的运行特性差异。最后，实验结果验证了所提出的2/6极BDFG转子设计在各种负载和转速下的优越性。</w:t>
      </w:r>
    </w:p>
    <w:p>
      <w:pPr>
        <w:spacing w:before="0" w:after="200" w:lineRule="auto" w:line="276"/>
      </w:pPr>
      <w:r>
        <w:rPr>
          <w:b/>
        </w:rPr>
        <w:t xml:space="preserve">Abstract (EN): </w:t>
      </w:r>
      <w:r>
        <w:t>The brushless doubly-fed generator (BDFG) is especially well-suited for constant-frequency, constant-voltage power generation in small hydropower plants utilizing variable-speed hydraulic turbines. This paper presents a novel wound rotor design that combines long and short pitch coils to consider both the power winding (PW) and control winding (CW) pole-pair pitches selection, thereby improving the chording factors and enhancing the overall winding factors through harmonic analysis. First, this study investigates the rotor speed regulation characteristics, analyzes the composition and magnitude of the radial electromagnetic forces density under harmonic-free condition, presents the stator PW and CW connection methods. Subsequently, the principle of employing combined pitch coils is elaborated to further increase conductor utilization and mitigate harmonic contents. A practical design example for 1/3 pole-pair is provided, including detailed implementation steps, along with a comparative analysis of coupling coefficients across different rotor configurations. Furthermore, finite element (FE) analysis of the 2/6-pole BDFG and 8-pole doubly-fed induction generator (DFIG) with identical frame sizes are conducted to evaluate the difference in operational characteristics of the generators under the same load and rotor speed range. Finally, the experimental results validate the superiority of the proposed 2/6-pole BDFG rotor design across diverse loads and speeds.</w:t>
      </w:r>
    </w:p>
    <w:p>
      <w:pPr>
        <w:spacing w:before="120" w:after="120"/>
      </w:pPr>
      <w:r>
        <w:rPr>
          <w:sz w:val="18"/>
        </w:rPr>
        <w:t>——————————————————————————————————————————————————————————————————————</w:t>
      </w:r>
    </w:p>
    <w:p>
      <w:pPr>
        <w:spacing w:before="160" w:after="40" w:line="240" w:lineRule="auto"/>
      </w:pPr>
      <w:r>
        <w:rPr>
          <w:b/>
        </w:rPr>
        <w:t xml:space="preserve">[447] </w:t>
      </w:r>
      <w:hyperlink r:id="rId1222">
        <w:r>
          <w:rPr>
            <w:color w:val="1155CC"/>
            <w:u w:val="single"/>
          </w:rPr>
          <w:t>仿生强韧双网络气凝胶的动态互锁双刚度界面超分子工程</w:t>
        </w:r>
      </w:hyperlink>
    </w:p>
    <w:p>
      <w:pPr>
        <w:spacing w:before="0" w:after="80"/>
      </w:pPr>
      <w:r>
        <w:rPr>
          <w:i/>
          <w:sz w:val="20"/>
        </w:rPr>
        <w:t>EN: Supramolecular Engineering of Dynamically Interlocked Dual‐Stiffness Interphase for Biomimetic Strong and Tough Double Network Aerogel</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223">
        <w:r>
          <w:rPr>
            <w:color w:val="1155CC"/>
            <w:u w:val="single"/>
          </w:rPr>
          <w:t>10.1002/anie.7495552</w:t>
        </w:r>
      </w:hyperlink>
    </w:p>
    <w:p>
      <w:pPr>
        <w:spacing w:before="0" w:after="120"/>
      </w:pPr>
      <w:r>
        <w:rPr>
          <w:b/>
        </w:rPr>
        <w:t xml:space="preserve">Notes: </w:t>
      </w:r>
      <w:r>
        <w:t>abstract_source=crossref</w:t>
      </w:r>
    </w:p>
    <w:p>
      <w:pPr>
        <w:spacing w:before="0" w:after="80" w:lineRule="auto" w:line="276"/>
      </w:pPr>
      <w:r>
        <w:rPr>
          <w:b/>
        </w:rPr>
        <w:t xml:space="preserve">摘要（ZH）: </w:t>
      </w:r>
      <w:r>
        <w:t>摘要 解决有机-无机杂化材料中根本性的模量-韧性权衡问题仍然是超分子化学和材料科学中的一项艰巨挑战。本文提出了一种动态互锁双刚度界相的分子水平设计以突破这一极限，采用了芳纶纳米纤维/二氧化硅双网络结构。与传统的物理共混不同，该界相由双向氢键网络主导。通过深入的光谱研究，我们揭示了这种强界面相互作用会触发ANFs内部的分子内质子转移和电子重新分布。更有趣的是，这种超分子相互作用驱动了无机网络中一种罕见且关键的结构相变，将柔性的六元硅氧烷环 (SiO)6 转变为刚性的四元环 (SiO)4。在宏观尺度上，这种化学界相被集成到仿生皮芯气凝胶纤维中。静态锚固和动态硅醇介导滑移的双峰化学相互作用协同赋予该杂化材料超高模量（1.15 GPa）和卓越韧性（8.1 MJ m−3），同时保持固有的极端温度稳定性。这种化学驱动的动态相重构机制为界相工程建立了通用的理论框架，为高性能多功能纳米复合材料的精确构建提供了深刻见解。</w:t>
      </w:r>
    </w:p>
    <w:p>
      <w:pPr>
        <w:spacing w:before="0" w:after="200" w:lineRule="auto" w:line="276"/>
      </w:pPr>
      <w:r>
        <w:rPr>
          <w:b/>
        </w:rPr>
        <w:t xml:space="preserve">Abstract (EN): </w:t>
      </w:r>
      <w:r>
        <w:t>Resolving the fundamental modulus‐toughness trade‐off in organic‐inorganic hybrids remains a formidable challenge in supramolecular chemistry and materials science. Herein, we present a molecular‐level design of a dynamically interlocked dual‐stiffness interphase to break this limit, utilizing an aramid nanofiber/silica double‐network architecture. Unlike traditional physical blending, this interphase is governed by a bidirectional hydrogen‐bonding network. Through deep spectroscopic investigations, we reveal that this strong interfacial interaction triggers an intramolecular proton transfer and electronic redistribution within the ANFs. More intriguingly, this supramolecular interaction drives a rare and critical structural phase transition within the inorganic network, transforming flexible six‐membered siloxane rings (SiO) 6 into rigid four‐membered rings (SiO) 4 . Macroscopically, this chemical interphase is integrated into a biomimetic skin‐core aerogel fiber. The bimodal chemical interactions—static anchoring and dynamic silanol‐mediated slippage—synergistically endow the hybrid with an ultrahigh modulus (1.15 GPa) and exceptional toughness (8.1 MJ m −3 ), while preserving intrinsic extreme‐temperature stability. This chemically driven dynamic phase‐reconfiguration mechanism establishes a universal theoretical framework for interphase engineering, offering profound insights for the precise construction of high‐performance multifunctional nanocomposites.</w:t>
      </w:r>
    </w:p>
    <w:p>
      <w:pPr>
        <w:spacing w:before="120" w:after="120"/>
      </w:pPr>
      <w:r>
        <w:rPr>
          <w:sz w:val="18"/>
        </w:rPr>
        <w:t>——————————————————————————————————————————————————————————————————————</w:t>
      </w:r>
    </w:p>
    <w:p>
      <w:pPr>
        <w:spacing w:before="160" w:after="40" w:line="240" w:lineRule="auto"/>
      </w:pPr>
      <w:r>
        <w:rPr>
          <w:b/>
        </w:rPr>
        <w:t xml:space="preserve">[448] </w:t>
      </w:r>
      <w:hyperlink r:id="rId1224">
        <w:r>
          <w:rPr>
            <w:color w:val="1155CC"/>
            <w:u w:val="single"/>
          </w:rPr>
          <w:t>基于Shapley发电机选择的物理信息深度强化学习区间振荡阻尼控制</w:t>
        </w:r>
      </w:hyperlink>
    </w:p>
    <w:p>
      <w:pPr>
        <w:spacing w:before="0" w:after="80"/>
      </w:pPr>
      <w:r>
        <w:rPr>
          <w:i/>
          <w:sz w:val="20"/>
        </w:rPr>
        <w:t>EN: Physics-Informed Deep Reinforcement Learning for Inter-Area Oscillation Damping via Shapley-Based Generator Selection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25">
        <w:r>
          <w:rPr>
            <w:color w:val="1155CC"/>
            <w:u w:val="single"/>
          </w:rPr>
          <w:t>10.1109/tpwrs.2026.3684848</w:t>
        </w:r>
      </w:hyperlink>
    </w:p>
    <w:p>
      <w:pPr>
        <w:spacing w:before="0" w:after="120"/>
      </w:pPr>
      <w:r>
        <w:rPr>
          <w:b/>
        </w:rPr>
        <w:t xml:space="preserve">Notes: </w:t>
      </w:r>
      <w:r>
        <w:t>abstract_source=semanticscholar</w:t>
      </w:r>
    </w:p>
    <w:p>
      <w:pPr>
        <w:spacing w:before="0" w:after="80" w:lineRule="auto" w:line="276"/>
      </w:pPr>
      <w:r>
        <w:rPr>
          <w:b/>
        </w:rPr>
        <w:t xml:space="preserve">摘要（ZH）: </w:t>
      </w:r>
      <w:r>
        <w:t>区间振荡（IAOs）在现代电网中构成重大的稳定性挑战，尤其是在线路停运等拓扑变化情况下。传统方法缺乏适应性，而人工智能（AI）驱动的方法往往在可解释性、安全性和泛化能力方面存在困难。本文提出了一种用于广域阻尼控制的物理信息深度强化学习（DRL）框架，其特点包括：(1) 在马尔可夫决策过程（MDP）中进行特征值优化，(2) 采用SHapley加性解释（SHAP）实现可解释且低成本的发电机选择，以及(3) 采用图嵌入实现拓扑感知适应性。由小信号稳定性准则约束的安全包络通过抑制不稳定动作来提高鲁棒性。在IEEE 39节点系统上的验证表明了其可扩展性、无需再训练即可应对故障的韧性以及安全约束的合规性，使其成为富含可再生能源电网的实用解决方案。</w:t>
      </w:r>
    </w:p>
    <w:p>
      <w:pPr>
        <w:spacing w:before="0" w:after="200" w:lineRule="auto" w:line="276"/>
      </w:pPr>
      <w:r>
        <w:rPr>
          <w:b/>
        </w:rPr>
        <w:t xml:space="preserve">Abstract (EN): </w:t>
      </w:r>
      <w:r>
        <w:t>Inter-area oscillations (IAOs) pose significant stability challenges in modern power grids, especially under topology changes such as line outages. Traditional methods lack adaptability, while artificial intelligence(AI)-driven approaches often struggle with interpretability, safety, and generalization. This paper proposes a physics-informed deep reinforcement learning (DRL) framework for wide-area damping control, featuring: (1) eigenvalue optimization in a Markov Decision Process (MDP), (2) SHapley Additive exPlanations (SHAP) for interpretable and cost-efficient generator selection, and (3) graph embeddings for topology-aware adaptability. A safety envelope governed by small-signal stability criteria improves robustness by discouraging unstable actions. Validation on the IEEE 39-bus system shows scalability, resilience to contingencies without retraining, and compliance with safety constraints, making it a practical solution for renewable-rich power grids.</w:t>
      </w:r>
    </w:p>
    <w:p>
      <w:pPr>
        <w:spacing w:before="120" w:after="120"/>
      </w:pPr>
      <w:r>
        <w:rPr>
          <w:sz w:val="18"/>
        </w:rPr>
        <w:t>——————————————————————————————————————————————————————————————————————</w:t>
      </w:r>
    </w:p>
    <w:p>
      <w:pPr>
        <w:spacing w:before="160" w:after="40" w:line="240" w:lineRule="auto"/>
      </w:pPr>
      <w:r>
        <w:rPr>
          <w:b/>
        </w:rPr>
        <w:t xml:space="preserve">[449] </w:t>
      </w:r>
      <w:hyperlink r:id="rId1226">
        <w:r>
          <w:rPr>
            <w:color w:val="1155CC"/>
            <w:u w:val="single"/>
          </w:rPr>
          <w:t>用于降低转矩波动的双永磁游标电机气隙形貌优化</w:t>
        </w:r>
      </w:hyperlink>
    </w:p>
    <w:p>
      <w:pPr>
        <w:spacing w:before="0" w:after="80"/>
      </w:pPr>
      <w:r>
        <w:rPr>
          <w:i/>
          <w:sz w:val="20"/>
        </w:rPr>
        <w:t>EN: Optimization of Air-Gap Profile in Dual-Permanent-Magnet Vernier Motor for Torque Ripple Reduction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27">
        <w:r>
          <w:rPr>
            <w:color w:val="1155CC"/>
            <w:u w:val="single"/>
          </w:rPr>
          <w:t>10.1109/tec.2026.3682884</w:t>
        </w:r>
      </w:hyperlink>
    </w:p>
    <w:p>
      <w:pPr>
        <w:spacing w:before="0" w:after="120"/>
      </w:pPr>
      <w:r>
        <w:rPr>
          <w:b/>
        </w:rPr>
        <w:t xml:space="preserve">Notes: </w:t>
      </w:r>
      <w:r>
        <w:t>abstract_source=semanticscholar</w:t>
      </w:r>
    </w:p>
    <w:p>
      <w:pPr>
        <w:spacing w:before="0" w:after="80" w:lineRule="auto" w:line="276"/>
      </w:pPr>
      <w:r>
        <w:rPr>
          <w:b/>
        </w:rPr>
        <w:t xml:space="preserve">摘要（ZH）: </w:t>
      </w:r>
      <w:r>
        <w:t>双永磁游标电机(DPMVM)因其在低速应用中相比传统表贴式永磁电机(SMPMM)具有高转矩密度和高效率而备受关注。然而,研究表明DPMVM比SMPMM表现出更高的转矩脉动。DPMVM中的脉动主要受双向磁通调制产生的谐波影响。定子和转子气隙侧表面的几何形状在谐波生成和磁场调制性能中起着关键作用。为了在保持高转矩的同时降低DPMVM的转矩脉动,本文提出并研究了一种DPMVM气隙形貌优化方法。所提方法在典型DPMVM的转子和定子气隙侧表面引入两层由不同材料组成的网格。在优化过程中,可以调整两层中每个网格的材料类型,从而识别出能改善转矩特性的最优材料组合。对初始模型和优化模型的电磁性能进行了比较。此外,所提方法经过改进并应用于透平电机,同时考虑了成本因素。结果表明,改进后的透平电机转矩脉动降低了32.8%,输出转矩提高了1.4%,同时电机的材料成本进一步降低。</w:t>
      </w:r>
    </w:p>
    <w:p>
      <w:pPr>
        <w:spacing w:before="0" w:after="200" w:lineRule="auto" w:line="276"/>
      </w:pPr>
      <w:r>
        <w:rPr>
          <w:b/>
        </w:rPr>
        <w:t xml:space="preserve">Abstract (EN): </w:t>
      </w:r>
      <w:r>
        <w:t>Dual-permanent-magnet vernier motors (DPMVMs) have garnered significant attention due to their high torque density and high efficiency in low-speed applications compared with conventional surface-mounted permanent magnet motors (SMPMM). However, studies show that DPMVMs exhibit higher torque ripple than SMPMM. The ripple in DPMVMs is primarily influenced by harmonics generated by bidirectional flux modulation. The geometry of air-gap-side surface of stator and rotor plays a pivotal role in harmonic generation and magnetic field modulation performance. In order to reduce the torque ripple of the DPMVM while still maintaining a high torque, an air-gap profile optimization method for DPMVM is proposed and investigated in this paper. The proposed method introduces two layers of grids composed of different materials on the air-gap-side surface of rotor and stator of a typical DPMVM. During the optimization process, the material type of each grid in the two layers can be adjusted, enabling the identification of optimal material combinations that enhance torque characteristics. The electromagnetic performances of the initial and optimized models are compared. Furthermore, the proposed method is refined and applied to a turbine motor, taking cost into consideration. The results demonstrate that the torque ripple of the modified turbine motor is decreased by 32.8% and the output torque is improved by 1.4%. Meanwhile, the material cost of the motor is further reduced.</w:t>
      </w:r>
    </w:p>
    <w:p>
      <w:pPr>
        <w:spacing w:before="120" w:after="120"/>
      </w:pPr>
      <w:r>
        <w:rPr>
          <w:sz w:val="18"/>
        </w:rPr>
        <w:t>——————————————————————————————————————————————————————————————————————</w:t>
      </w:r>
    </w:p>
    <w:p>
      <w:pPr>
        <w:spacing w:before="160" w:after="40" w:line="240" w:lineRule="auto"/>
      </w:pPr>
      <w:r>
        <w:rPr>
          <w:b/>
        </w:rPr>
        <w:t xml:space="preserve">[450] </w:t>
      </w:r>
      <w:hyperlink r:id="rId1228">
        <w:r>
          <w:rPr>
            <w:color w:val="1155CC"/>
            <w:u w:val="single"/>
          </w:rPr>
          <w:t>永磁同步电机高保真故障数据增强的物理引导时间序列生成</w:t>
        </w:r>
      </w:hyperlink>
    </w:p>
    <w:p>
      <w:pPr>
        <w:spacing w:before="0" w:after="80"/>
      </w:pPr>
      <w:r>
        <w:rPr>
          <w:i/>
          <w:sz w:val="20"/>
        </w:rPr>
        <w:t>EN: Physics-Guided Time-Series Generation for High-Fidelity Fault Data Augmentation in Permanent Magnet Synchronous Motors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29">
        <w:r>
          <w:rPr>
            <w:color w:val="1155CC"/>
            <w:u w:val="single"/>
          </w:rPr>
          <w:t>10.1109/tec.2026.3667000</w:t>
        </w:r>
      </w:hyperlink>
    </w:p>
    <w:p>
      <w:pPr>
        <w:spacing w:before="0" w:after="120"/>
      </w:pPr>
      <w:r>
        <w:rPr>
          <w:b/>
        </w:rPr>
        <w:t xml:space="preserve">Notes: </w:t>
      </w:r>
      <w:r>
        <w:t>abstract_source=semanticscholar</w:t>
      </w:r>
    </w:p>
    <w:p>
      <w:pPr>
        <w:spacing w:before="0" w:after="80" w:lineRule="auto" w:line="276"/>
      </w:pPr>
      <w:r>
        <w:rPr>
          <w:b/>
        </w:rPr>
        <w:t xml:space="preserve">摘要（ZH）: </w:t>
      </w:r>
      <w:r>
        <w:t>电机数据驱动故障诊断的可靠性在很大程度上受到真实故障数据稀缺和不平衡的限制。现有生成模型往往无法保持时间相干性、物理一致性以及长程依赖性,而这些对于合成高保真电流和电压信号至关重要。为克服这些挑战,本文提出了物理引导双向Mamba TimeGAN(PGBi-TimeGAN),这是一种用于生成物理合理故障数据的新颖框架。该框架的核心是定制的SEBi-Mamba生成器,它采用双向状态空间模型精确捕获复杂的时间动态和故障特征。通过基于匝间短路的电流不平衡原理推导的物理信息损失函数来保证物理保真度。此外,时差正则化项确保生成的信号呈现出模拟物理传感器读数的自然平滑性。大量实验表明,PGBi-TimeGAN在生成保真度方面优于最先进的方法,这一点通过平均绝对误差(MAE)和Fréchet Inception Distance(FID)指标得到证实。因此,合成数据将匝间短路故障的下游分类准确率提升至95%以上,验证了该框架为这一特定故障类别构建鲁棒诊断模型的能力,尤其是在数据有限且噪声较大的恶劣工业条件下。</w:t>
      </w:r>
    </w:p>
    <w:p>
      <w:pPr>
        <w:spacing w:before="0" w:after="200" w:lineRule="auto" w:line="276"/>
      </w:pPr>
      <w:r>
        <w:rPr>
          <w:b/>
        </w:rPr>
        <w:t xml:space="preserve">Abstract (EN): </w:t>
      </w:r>
      <w:r>
        <w:t>The reliability of data-driven fault diagnosis in electric machines is critically constrained by the scarcity and imbalance of real-world fault data. Existing generative models often fail to preserve the temporal coherence, physical consistency, and long-range dependencies that are essential for synthesizing high-fidelity current and voltage signals. To overcome these challenges, this paper proposes the Physics-Guided Bidirectional Mamba TimeGAN (PGBi-TimeGAN), a novel framework for generating physically plausible fault data. The framework's core is a custom SEBi-Mamba generator, which employs a bidirectional state-space model to precisely capture complex temporal dynamics and fault signatures. Physical fidelity is enforced through a physics-informed loss function derived from the current imbalance principle of inter-turn short-circuits. Furthermore, a temporal-difference regularization term ensures the generated signals exhibit a natural smoothness, mimicking physical sensor readings. Extensive experiments demonstrate that PGBi-TimeGAN outperforms state-of-the-art methods in generation fidelity, confirmed by Mean Absolute Error (MAE) and Fréchet Inception Distance (FID) metrics. Consequently, the synthetic data enhances downstream classification accuracy for inter-turn short-circuit faults to over 95%, validating the framework's capability to build robust diagnostic models for this specific fault class, especially under challenging industrial conditions involving limited data and significant noise.</w:t>
      </w:r>
    </w:p>
    <w:p>
      <w:pPr>
        <w:spacing w:before="120" w:after="120"/>
      </w:pPr>
      <w:r>
        <w:rPr>
          <w:sz w:val="18"/>
        </w:rPr>
        <w:t>——————————————————————————————————————————————————————————————————————</w:t>
      </w:r>
    </w:p>
    <w:p>
      <w:pPr>
        <w:spacing w:before="160" w:after="40" w:line="240" w:lineRule="auto"/>
      </w:pPr>
      <w:r>
        <w:rPr>
          <w:b/>
        </w:rPr>
        <w:t xml:space="preserve">[451] </w:t>
      </w:r>
      <w:hyperlink r:id="rId1230">
        <w:r>
          <w:rPr>
            <w:color w:val="1155CC"/>
            <w:u w:val="single"/>
          </w:rPr>
          <w:t>聚焦端部绕组提升超导电机性能的研究</w:t>
        </w:r>
      </w:hyperlink>
    </w:p>
    <w:p>
      <w:pPr>
        <w:spacing w:before="0" w:after="80"/>
      </w:pPr>
      <w:r>
        <w:rPr>
          <w:i/>
          <w:sz w:val="20"/>
        </w:rPr>
        <w:t>EN: A Study on Improving Superconducting Machine Performance by Focusing on End Windings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31">
        <w:r>
          <w:rPr>
            <w:color w:val="1155CC"/>
            <w:u w:val="single"/>
          </w:rPr>
          <w:t>10.1109/tec.2026.3685105</w:t>
        </w:r>
      </w:hyperlink>
    </w:p>
    <w:p>
      <w:pPr>
        <w:spacing w:before="0" w:after="120"/>
      </w:pPr>
      <w:r>
        <w:rPr>
          <w:b/>
        </w:rPr>
        <w:t xml:space="preserve">Notes: </w:t>
      </w:r>
      <w:r>
        <w:t>abstract_source=semanticscholar</w:t>
      </w:r>
    </w:p>
    <w:p>
      <w:pPr>
        <w:spacing w:before="0" w:after="80" w:lineRule="auto" w:line="276"/>
      </w:pPr>
      <w:r>
        <w:rPr>
          <w:b/>
        </w:rPr>
        <w:t xml:space="preserve">摘要（ZH）: </w:t>
      </w:r>
      <w:r>
        <w:t>目前超导电机的拓扑结构将定子有效长度与转子跑道形磁体的直线段对齐,导致磁体端部的超导材料浪费。此外,超导磁体端部会产生很强的磁场,导致额定运行工况下定子绕组端部承受显著的电磁力。本文通过提出两种改进的定子端部结构,对超导电机的上述问题进行了全面分析和解决。首先,通过理论分析总结了非超导电机与超导电机在定子侧电磁力方面的差异。然后,基于H-formulation的三维数值模型揭示,传统超导电机的最小临界电流出现在跑道形绕组直线段的端部。本文的改进设计有效提高了该临界电流。此外,研究表明,在不改变转子所用高价超导材料的情况下,所提出的两种结构的输出功率可分别有效提高11.3%和25.9%,同时使定子端部绕组的电磁力最小化。对两种所提设计修改方案的综合比较表明,延长定子有效长度并在其端部加入部分磁性齿是更有利的策略。最后,实验表明本文所提结构提高了临界</w:t>
      </w:r>
    </w:p>
    <w:p>
      <w:pPr>
        <w:spacing w:before="0" w:after="200" w:lineRule="auto" w:line="276"/>
      </w:pPr>
      <w:r>
        <w:rPr>
          <w:b/>
        </w:rPr>
        <w:t xml:space="preserve">Abstract (EN): </w:t>
      </w:r>
      <w:r>
        <w:t>The current topology for superconducting machines aligns the effective stator length with the straight section of the rotor racetrack magnet, resulting in wasted superconducting material at the magnet's ends. Moreover, the ends of the superconducting magnet produce a substantial magnetic field, resulting in significant electromagnetic forces on the stator winding ends under rated operating conditions. This paper comprehensively analyzes and addresses the above issues in superconducting machines by proposing two improved stator end structures. Firstly, the difference between non-superconducting and superconducting machines on the stator side electromagnetic force is summarized by theoretical analysis. Then, based on the H-formulation, a three-dimensional numerical model reveals that the minimum critical current in traditional superconducting machines occurs at the end of the racetrack winding's straight section. The improved design in this paper increases it effectively. Moreover, it is demonstrated that without any modification of the high price of superconducting materials employed for the rotor, the output power of the proposed two structures can be effectively increased by 11.3% and 25.9%, respectively, while minimizing electromagnetic force at the stator end winding. A comprehensive comparison of the two proposed design modifications indicates that extending the stator's effective length and incorporating partial magnetic teeth at its ends is the more advantageous strategy. Finally, the experiment indicates that the proposed structure in this study enhances the critical current and mitigates the issue of stator end electromagnetic force.</w:t>
      </w:r>
    </w:p>
    <w:p>
      <w:pPr>
        <w:spacing w:before="120" w:after="120"/>
      </w:pPr>
      <w:r>
        <w:rPr>
          <w:sz w:val="18"/>
        </w:rPr>
        <w:t>——————————————————————————————————————————————————————————————————————</w:t>
      </w:r>
    </w:p>
    <w:p>
      <w:pPr>
        <w:spacing w:before="160" w:after="40" w:line="240" w:lineRule="auto"/>
      </w:pPr>
      <w:r>
        <w:rPr>
          <w:b/>
        </w:rPr>
        <w:t xml:space="preserve">[452] </w:t>
      </w:r>
      <w:hyperlink r:id="rId1232">
        <w:r>
          <w:rPr>
            <w:color w:val="1155CC"/>
            <w:u w:val="single"/>
          </w:rPr>
          <w:t>频率约束机组组合中机组特异性响应的线性-指数衰减频率曲线</w:t>
        </w:r>
      </w:hyperlink>
    </w:p>
    <w:p>
      <w:pPr>
        <w:spacing w:before="0" w:after="80"/>
      </w:pPr>
      <w:r>
        <w:rPr>
          <w:i/>
          <w:sz w:val="20"/>
        </w:rPr>
        <w:t>EN: Linear-Exponential Decay Frequency Curve for Unit-Specific Response in Frequency-Constrained Unit Commitment</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33">
        <w:r>
          <w:rPr>
            <w:color w:val="1155CC"/>
            <w:u w:val="single"/>
          </w:rPr>
          <w:t>10.1109/tpwrs.2026.3685128</w:t>
        </w:r>
      </w:hyperlink>
    </w:p>
    <w:p>
      <w:pPr>
        <w:spacing w:before="0" w:after="120"/>
      </w:pPr>
      <w:r>
        <w:rPr>
          <w:b/>
        </w:rPr>
        <w:t xml:space="preserve">Notes: </w:t>
      </w:r>
      <w:r>
        <w:t>abstract_source=semanticscholar</w:t>
      </w:r>
    </w:p>
    <w:p>
      <w:pPr>
        <w:spacing w:before="0" w:after="80" w:lineRule="auto" w:line="276"/>
      </w:pPr>
      <w:r>
        <w:rPr>
          <w:b/>
        </w:rPr>
        <w:t xml:space="preserve">摘要（ZH）: </w:t>
      </w:r>
      <w:r>
        <w:t>高比例可再生能源接入和惯量下降危及电力系统频率安全,尤其是在一次调频(PFR)方面。本文提出一种线性指数衰减频率曲线(LED-FC)来近似最低点前的系统频率动态,并在保持机组异质性的同时高效评估各机组的最低点响应(FNR)。考虑PFR备用容量和内部饱和,建立了含双线性项的频率约束机组组合(FCUC)模型,其中频率最低点是由最低点功率充分性条件约束的内生决策变量。为处理扰动不确定性,提出了一种混合场景-机会约束(HSCC)框架,同时捕获离散的可再生能源资源(RES)脱网事件和扰动幅值的连续不确定性。双线性约束通过归一化多参数分解技术(NMDT)处理,得到松弛的混合整数线性规划(MILP)形式,并进一步通过频率最低点搜索(FNS)算法加以紧致化,以减少松弛误差并在规定容差内认证最优性。在修改后的IEEE 39节点和300节点系统上的算例研究验证了所提方法能够实现准确的最低点评估、物理可行的备用分配以及良好的计算可扩展性。</w:t>
      </w:r>
    </w:p>
    <w:p>
      <w:pPr>
        <w:spacing w:before="0" w:after="200" w:lineRule="auto" w:line="276"/>
      </w:pPr>
      <w:r>
        <w:rPr>
          <w:b/>
        </w:rPr>
        <w:t xml:space="preserve">Abstract (EN): </w:t>
      </w:r>
      <w:r>
        <w:t>High renewable penetration and declining inertia jeopardize power system frequency security, especially in terms of primary frequency response (PFR). This paper proposes a linear-exponential decay frequency curve (LED-FC) to approximate pre-nadir system frequency dynamics and efficiently assess unit-specific nadir response (FNR) while preserving unit heterogeneity. Accounting for PFR reserve headroom and internal saturation, a frequency-constrained unit commitment (FCUC) model with bilinear terms is formulated, where the frequency nadir is an endogenous decision variable enforced by the nadir power sufficiency condition. To handle disturbance uncertainty, a hybrid scenario–chance-constrained (HSCC) framework captures both discrete renewable energy resources (RES) tripping events and the continuous uncertainty in disturbance magnitude. The bilinear constraints are handled via the normalized multiparametric disaggregation technique (NMDT), yielding a relaxed mixed-integer linear programming (MILP) formulation, which is further tightened by a frequency nadir search (FNS) algorithm to reduce relaxation errors and certify optimality within a prescribed tolerance. Case studies on modified IEEE 39-bus and 300-bus systems validate that the proposed approach achieves accurate nadir assessment, physically feasible reserve allocation, and computational scalability.</w:t>
      </w:r>
    </w:p>
    <w:p>
      <w:pPr>
        <w:spacing w:before="120" w:after="120"/>
      </w:pPr>
      <w:r>
        <w:rPr>
          <w:sz w:val="18"/>
        </w:rPr>
        <w:t>——————————————————————————————————————————————————————————————————————</w:t>
      </w:r>
    </w:p>
    <w:p>
      <w:pPr>
        <w:spacing w:before="160" w:after="40" w:line="240" w:lineRule="auto"/>
      </w:pPr>
      <w:r>
        <w:rPr>
          <w:b/>
        </w:rPr>
        <w:t xml:space="preserve">[453] </w:t>
      </w:r>
      <w:hyperlink r:id="rId1234">
        <w:r>
          <w:rPr>
            <w:color w:val="1155CC"/>
            <w:u w:val="single"/>
          </w:rPr>
          <w:t>基于特征子系统的电力电子主导电力系统频率与电压强度分析</w:t>
        </w:r>
      </w:hyperlink>
    </w:p>
    <w:p>
      <w:pPr>
        <w:spacing w:before="0" w:after="80"/>
      </w:pPr>
      <w:r>
        <w:rPr>
          <w:i/>
          <w:sz w:val="20"/>
        </w:rPr>
        <w:t>EN: Analysis of Frequency and Voltage Strength in Power Electronics-Dominated Power Systems Based on Characteristic Subsystems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35">
        <w:r>
          <w:rPr>
            <w:color w:val="1155CC"/>
            <w:u w:val="single"/>
          </w:rPr>
          <w:t>10.1109/tpwrs.2026.3685613</w:t>
        </w:r>
      </w:hyperlink>
    </w:p>
    <w:p>
      <w:pPr>
        <w:spacing w:before="0" w:after="120"/>
      </w:pPr>
      <w:r>
        <w:rPr>
          <w:b/>
        </w:rPr>
        <w:t xml:space="preserve">Notes: </w:t>
      </w:r>
      <w:r>
        <w:t>abstract_source=semanticscholar</w:t>
      </w:r>
    </w:p>
    <w:p>
      <w:pPr>
        <w:spacing w:before="0" w:after="80" w:lineRule="auto" w:line="276"/>
      </w:pPr>
      <w:r>
        <w:rPr>
          <w:b/>
        </w:rPr>
        <w:t xml:space="preserve">摘要（ZH）: </w:t>
      </w:r>
      <w:r>
        <w:t>基于逆变器资源(IBR)的大规模接入恶化了电力系统的频率/电压(F/V)响应,导致更高的失稳风险。因此,评估F/V强度已成为以电力电子(PE)为主的电力系统中的一项重要任务。现有方法通常分别考察F/V强度,采用根本不同的指标,如惯量(关注设备动态)和短路比(SCR,针对网络特性)。这些碎片化的方法导致对整体系统强度缺乏全面理解,可能忽视关键方面。为解决这一问题,本文提出了一种在低频范围内分析F/V强度的统一框架。首先,引入了F/V调节的统一模型。然后,基于模态解耦,将电力系统分解为若干特征子系统,其中F/V响应均被分解为共模(CM)和差模(DM)分量,即CM-F、DM-F、CM-V和DM-V。CM-F和CM-V表示所有设备对外部有功或无功功率扰动的集体响应,与电网特性无关。相反,DM-F和DM-V捕获系统内扰动功率的重新分布,受网络拓扑和设备位置的强烈影响。值得注意的是,传统强度分析通常忽略CM-V(全局电压响应),而本文发现其也可能变得不稳定</w:t>
      </w:r>
    </w:p>
    <w:p>
      <w:pPr>
        <w:spacing w:before="0" w:after="200" w:lineRule="auto" w:line="276"/>
      </w:pPr>
      <w:r>
        <w:rPr>
          <w:b/>
        </w:rPr>
        <w:t xml:space="preserve">Abstract (EN): </w:t>
      </w:r>
      <w:r>
        <w:t>The large-scale integration of inverter-based resources (IBRs) has deteriorated the frequency/voltage (F/V) responses of power systems, leading to a higher risk of instability. Consequently, evaluating the F/V strength has become an important task in power electronics (PE)-dominated power systems. Existing methods typically examine F/V strength separately, employing fundamentally different metrics, such as inertia (focusing on device dynamics) and short-circuit ratio (SCR, addressing network characteristics). These fragmented approaches have resulted in a lack of comprehensive understanding of the overall system strength, potentially overlooking critical aspects. To address this problem, this paper proposes a unified framework for analyzing F/V strength in the low-frequency range. First, a unified model of F/V regulations is introduced. Then, based on modal decoupling, the power system is decomposed into several characteristic subsystems, where the F/V responses are both decomposed into common-mode (CM) and differential-mode (DM) components, namely, CM-F, DM-F, CM-V, and DM-V. The CM-F and CM-V represent the collective response of all devices to external active or reactive power disturbances, independent of the power network characteristics. In contrast, the DM-F and DM-V capture the redistribution of disturbance power within the system, which is strongly influenced by the network topology and the locations of devices. Notably, traditional strength analysis generally ignores the CM-V (global voltage response), which, as discovered in this paper, may also become unstable in PE-dominated power systems. Based on the proposed framework, new metrics are proposed to evaluate the strength of each modal component. Finally, the effectiveness of the proposed approach is validated through simulations.</w:t>
      </w:r>
    </w:p>
    <w:p>
      <w:pPr>
        <w:spacing w:before="120" w:after="120"/>
      </w:pPr>
      <w:r>
        <w:rPr>
          <w:sz w:val="18"/>
        </w:rPr>
        <w:t>——————————————————————————————————————————————————————————————————————</w:t>
      </w:r>
    </w:p>
    <w:p>
      <w:pPr>
        <w:spacing w:before="160" w:after="40" w:line="240" w:lineRule="auto"/>
      </w:pPr>
      <w:r>
        <w:rPr>
          <w:b/>
        </w:rPr>
        <w:t xml:space="preserve">[454] </w:t>
      </w:r>
      <w:hyperlink r:id="rId1236">
        <w:r>
          <w:rPr>
            <w:color w:val="1155CC"/>
            <w:u w:val="single"/>
          </w:rPr>
          <w:t>基于缩放相对图的电力电子主导电网稳定性分析</w:t>
        </w:r>
      </w:hyperlink>
    </w:p>
    <w:p>
      <w:pPr>
        <w:spacing w:before="0" w:after="80"/>
      </w:pPr>
      <w:r>
        <w:rPr>
          <w:i/>
          <w:sz w:val="20"/>
        </w:rPr>
        <w:t>EN: Stability Analysis of Power-Electronics-Dominated Grids Using Scaled Relative Graphs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37">
        <w:r>
          <w:rPr>
            <w:color w:val="1155CC"/>
            <w:u w:val="single"/>
          </w:rPr>
          <w:t>10.1109/tpwrs.2026.3674752</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了一种利用缩放相对图(SRG)进行并网变换器稳定性分析的新方法。该方法有效解耦了电网和变换器的动态,从而建立了一个全面且高效的闭环稳定性评估框架。我们的分析同时适用于线性和非线性负载,增强了其实用性。此外,我们证明了稳定性评估不受dq坐标变换引起的角度变化的影响,显著提高了该方法的鲁棒性和通用性。所提方法的有效性在多个仿真算例中得到验证,展示了其在现代电力系统中的广泛适用性。</w:t>
      </w:r>
    </w:p>
    <w:p>
      <w:pPr>
        <w:spacing w:before="0" w:after="200" w:lineRule="auto" w:line="276"/>
      </w:pPr>
      <w:r>
        <w:rPr>
          <w:b/>
        </w:rPr>
        <w:t xml:space="preserve">Abstract (EN): </w:t>
      </w:r>
      <w:r>
        <w:t>This paper presents a novel approach to stability analysis for grid-connected converters utilizing Scaled Relative Graphs (SRG). Our method effectively decouples grid and converter dynamics, thereby establishing a comprehensive and efficient framework for evaluating closed-loop stability. Our analysis accommodates both linear and non-linear loads, enhancing its practical applicability. Furthermore, we demonstrate that our stability assessment remains unaffected by angular variations resulting from dq-frame transformations, significantly increasing the method’s robustness and versatility. The effectiveness of our approach is validated in several simulation case studies, which illustrate its broad applicability in modern power systems.</w:t>
      </w:r>
    </w:p>
    <w:p>
      <w:pPr>
        <w:spacing w:before="120" w:after="120"/>
      </w:pPr>
      <w:r>
        <w:rPr>
          <w:sz w:val="18"/>
        </w:rPr>
        <w:t>——————————————————————————————————————————————————————————————————————</w:t>
      </w:r>
    </w:p>
    <w:p>
      <w:pPr>
        <w:spacing w:before="160" w:after="40" w:line="240" w:lineRule="auto"/>
      </w:pPr>
      <w:r>
        <w:rPr>
          <w:b/>
        </w:rPr>
        <w:t xml:space="preserve">[455] </w:t>
      </w:r>
      <w:hyperlink r:id="rId1238">
        <w:r>
          <w:rPr>
            <w:color w:val="1155CC"/>
            <w:u w:val="single"/>
          </w:rPr>
          <w:t>面向高比例可再生能源电力系统韧性运行的灵活性网络安全服务</w:t>
        </w:r>
      </w:hyperlink>
    </w:p>
    <w:p>
      <w:pPr>
        <w:spacing w:before="0" w:after="80"/>
      </w:pPr>
      <w:r>
        <w:rPr>
          <w:i/>
          <w:sz w:val="20"/>
        </w:rPr>
        <w:t>EN: Cyber-Flexible Security Services for Resilient Operation of Renewable-Rich Power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39">
        <w:r>
          <w:rPr>
            <w:color w:val="1155CC"/>
            <w:u w:val="single"/>
          </w:rPr>
          <w:t>10.1109/tpwrs.2026.3684144</w:t>
        </w:r>
      </w:hyperlink>
    </w:p>
    <w:p>
      <w:pPr>
        <w:spacing w:before="0" w:after="120"/>
      </w:pPr>
      <w:r>
        <w:rPr>
          <w:b/>
        </w:rPr>
        <w:t xml:space="preserve">Notes: </w:t>
      </w:r>
      <w:r>
        <w:t>abstract_source=semanticscholar</w:t>
      </w:r>
    </w:p>
    <w:p>
      <w:pPr>
        <w:spacing w:before="0" w:after="80" w:lineRule="auto" w:line="276"/>
      </w:pPr>
      <w:r>
        <w:rPr>
          <w:b/>
        </w:rPr>
        <w:t xml:space="preserve">摘要（ZH）: </w:t>
      </w:r>
      <w:r>
        <w:t>电力系统的数字化带来了显著的脆弱性，尤其是关于系统稳定性与安全性方面，这源于恶意网络攻击风险的增加。这些威胁往往借助物联网资产的扩散而得以实施，可以通过操纵系统负荷或改变可再生能源发电来攻击关键基础设施，二者都直接影响系统安全裕度。本文提出了一种新颖的网络弹性优化策略（CROS）框架，以增强电力系统的网络弹性，特别是在高比例可再生能源渗透的条件下。该框架明确考虑了网络与物理元件之间的相互作用，并解决对抗性干预如何影响负荷和可再生能源发电输入的问题。该方法的核心是网络感知策略（CCS），旨在面对未知网络攻击时，在没有任何关于攻击意图和特征信息的情况下增大网络弹性半径。通过嵌入网络柔性安全服务（CFSS），该框架支持实时校正动作，使运行人员能够灵活适应不断演变的网络威胁场景。CFSS定义了一个动态安全裕度，反映系统在未知网络威胁下维持系统安全的能力。所提出的多阶段双层协同优化模型集成了成本-风险分析以指导技术经济决策，使运行人员能够采用主动和自适应的运行策略来减轻网络事件的影响</w:t>
      </w:r>
    </w:p>
    <w:p>
      <w:pPr>
        <w:spacing w:before="0" w:after="200" w:lineRule="auto" w:line="276"/>
      </w:pPr>
      <w:r>
        <w:rPr>
          <w:b/>
        </w:rPr>
        <w:t xml:space="preserve">Abstract (EN): </w:t>
      </w:r>
      <w:r>
        <w:t>The digitalisation of power systems introduces substantial vulnerabilities, particularly concerning system stability and security, due to the growing risk of malicious cyber attacks. These threats, often enabled by the proliferation of Internet of Things assets, can target critical infrastructure by manipulating system load or altering renewable power generation, both of which directly affect the system security margin. This paper proposes a novel cyber-resilient optimisation strategy (CROS) framework to enhance cyber-resilience in power systems, particularly under conditions of high renewable power penetration. The framework explicitly accounts for the interplay between cyber and physical components and addresses how adversarial interventions can impact load and renewable generation inputs. Central to this approach is a cyber-conscious strategy (CCS) which intends to increase the cyber-resilience radius in the face of unknown cyber attacks without any information about the intention and characteristics of attacks. By embedding the cyber-flexible security service (CFSS), the framework supports real-time corrective actions, allowing operators to adapt flexibly to evolving cyber-threat scenarios. The CFSS defines a dynamic security margin, reflecting the system's ability to maintain system security under unknown cyber threats. The proposed multi-stage, bi-level co-optimisation model integrates a cost-risk analysis to guide techno-economic decision-making, empowering operators with a proactive and adaptive operational strategy to mitigate the impact of cyber incidents on modern, renewables-rich power systems.</w:t>
      </w:r>
    </w:p>
    <w:p>
      <w:pPr>
        <w:spacing w:before="120" w:after="120"/>
      </w:pPr>
      <w:r>
        <w:rPr>
          <w:sz w:val="18"/>
        </w:rPr>
        <w:t>——————————————————————————————————————————————————————————————————————</w:t>
      </w:r>
    </w:p>
    <w:p>
      <w:pPr>
        <w:spacing w:before="160" w:after="40" w:line="240" w:lineRule="auto"/>
      </w:pPr>
      <w:r>
        <w:rPr>
          <w:b/>
        </w:rPr>
        <w:t xml:space="preserve">[456] </w:t>
      </w:r>
      <w:hyperlink r:id="rId1240">
        <w:r>
          <w:rPr>
            <w:color w:val="1155CC"/>
            <w:u w:val="single"/>
          </w:rPr>
          <w:t>基于Floquet理论参与因子的EMT模型边界确定</w:t>
        </w:r>
      </w:hyperlink>
    </w:p>
    <w:p>
      <w:pPr>
        <w:spacing w:before="0" w:after="80"/>
      </w:pPr>
      <w:r>
        <w:rPr>
          <w:i/>
          <w:sz w:val="20"/>
        </w:rPr>
        <w:t>EN: EMT Model Boundary Determination Using Floquet Theory-Based Participation Factors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41">
        <w:r>
          <w:rPr>
            <w:color w:val="1155CC"/>
            <w:u w:val="single"/>
          </w:rPr>
          <w:t>10.1109/tpwrs.2026.3674489</w:t>
        </w:r>
      </w:hyperlink>
    </w:p>
    <w:p>
      <w:pPr>
        <w:spacing w:before="0" w:after="120"/>
      </w:pPr>
      <w:r>
        <w:rPr>
          <w:b/>
        </w:rPr>
        <w:t xml:space="preserve">Notes: </w:t>
      </w:r>
      <w:r>
        <w:t>abstract_source=semanticscholar</w:t>
      </w:r>
    </w:p>
    <w:p>
      <w:pPr>
        <w:spacing w:before="0" w:after="80" w:lineRule="auto" w:line="276"/>
      </w:pPr>
      <w:r>
        <w:rPr>
          <w:b/>
        </w:rPr>
        <w:t xml:space="preserve">摘要（ZH）: </w:t>
      </w:r>
      <w:r>
        <w:t>为了加速含基于逆变器资源（IBRs）的电力系统的电磁暂态（EMT）仿真，本文提出了一种新的基于Floquet理论的参与因子（PFs）的EMT模型边界确定方法。该方法可显著降低EMT仿真的计算负担，将仿真聚焦于其元件高度参与所关注动态（如次同步振荡SSOs）的局部区域，而电网其余部分则用简单的Norton等效表示。Floquet理论使得能够在EMT模型的单个周期内计算参与因子，此时向量场在同步频率附近表现出周期性行为。还提出了一种直接从系统响应估计参与因子的数据驱动方法。所提出的EMT模型边界确定方法首先在双区域系统上演示，然后在含多个IBRs的39节点系统上进行了验证。</w:t>
      </w:r>
    </w:p>
    <w:p>
      <w:pPr>
        <w:spacing w:before="0" w:after="200" w:lineRule="auto" w:line="276"/>
      </w:pPr>
      <w:r>
        <w:rPr>
          <w:b/>
        </w:rPr>
        <w:t xml:space="preserve">Abstract (EN): </w:t>
      </w:r>
      <w:r>
        <w:t>To accelerate electromagnetic transient (EMT) simulations for power systems with inverter-based resources (IBRs), this paper proposes a new approach for determining the EMT model boundary using Floquet theory-based participation factors (PFs). The approach can significantly reduce the computational burden of EMT simulation to focus on a localized area whose components highly participate in the dynamics of interest such as sub-synchronous oscillations (SSOs), while the rest of the grid is represented using a simple Norton equivalent. Floquet theory enables the calculation of participation factors over a single cycle of the system in an EMT model, where the vector field exhibits periodic behavior around the synchronous frequency. A data-driven method is also proposed for estimating participation factors directly from the system’s responses. The proposed EMT model boundary determination approach is first demonstrated on a two-area system and then validated on a 39-bus system with multiple IBRs.</w:t>
      </w:r>
    </w:p>
    <w:p>
      <w:pPr>
        <w:spacing w:before="120" w:after="120"/>
      </w:pPr>
      <w:r>
        <w:rPr>
          <w:sz w:val="18"/>
        </w:rPr>
        <w:t>——————————————————————————————————————————————————————————————————————</w:t>
      </w:r>
    </w:p>
    <w:p>
      <w:pPr>
        <w:spacing w:before="160" w:after="40" w:line="240" w:lineRule="auto"/>
      </w:pPr>
      <w:r>
        <w:rPr>
          <w:b/>
        </w:rPr>
        <w:t xml:space="preserve">[457] </w:t>
      </w:r>
      <w:hyperlink r:id="rId1242">
        <w:r>
          <w:rPr>
            <w:color w:val="1155CC"/>
            <w:u w:val="single"/>
          </w:rPr>
          <w:t>基于拓扑的二元整数线性规划电力系统最优仪表配置方法</w:t>
        </w:r>
      </w:hyperlink>
    </w:p>
    <w:p>
      <w:pPr>
        <w:spacing w:before="0" w:after="80"/>
      </w:pPr>
      <w:r>
        <w:rPr>
          <w:i/>
          <w:sz w:val="20"/>
        </w:rPr>
        <w:t>EN: Topology-Based Binary Integer Linear Programming for Optimal Meter Placement in Power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43">
        <w:r>
          <w:rPr>
            <w:color w:val="1155CC"/>
            <w:u w:val="single"/>
          </w:rPr>
          <w:t>10.1109/tpwrs.2026.3674061</w:t>
        </w:r>
      </w:hyperlink>
    </w:p>
    <w:p>
      <w:pPr>
        <w:spacing w:before="0" w:after="120"/>
      </w:pPr>
      <w:r>
        <w:rPr>
          <w:b/>
        </w:rPr>
        <w:t xml:space="preserve">Notes: </w:t>
      </w:r>
      <w:r>
        <w:t>abstract_source=semanticscholar</w:t>
      </w:r>
    </w:p>
    <w:p>
      <w:pPr>
        <w:spacing w:before="0" w:after="80" w:lineRule="auto" w:line="276"/>
      </w:pPr>
      <w:r>
        <w:rPr>
          <w:b/>
        </w:rPr>
        <w:t xml:space="preserve">摘要（ZH）: </w:t>
      </w:r>
      <w:r>
        <w:t>最优表计配置（OMP）问题传统上采用启发式算法或非线性规划求解，这些方法在解的可复现性和全局最优性保证方面常常面临挑战，尤其在大规模网络中。此外，现有模型通常针对特定传感器类型定制，限制了其适应性。为解决这些方法论局限，本文提出了一种广义的、基于拓扑的二进制整数线性规划（BILP）框架。虽然所提模型以相量测量单元（PMUs）、线路潮流表（LFMs）和母线注入表（BIMs）进行演示，但其数学结构可扩展至任何类型的表计。通过将拓扑可观测性规则转化为线性不等式约束，该表述规避了传统非线性模型固有的非凸性。这种线性化使得优化问题可用确定性的分支定界算法求解，确保在有限时间内收敛到全局最优。该框架在满足完整数值可观测性的同时最小化仪表成本，并在标准IEEE测试系统上进行了验证。结果表明，所提出的BILP方法提供了计算上可行、可复现且适应性强的解决方案，为电力系统规划中多样化的表计策略提供了严格的基准。</w:t>
      </w:r>
    </w:p>
    <w:p>
      <w:pPr>
        <w:spacing w:before="0" w:after="200" w:lineRule="auto" w:line="276"/>
      </w:pPr>
      <w:r>
        <w:rPr>
          <w:b/>
        </w:rPr>
        <w:t xml:space="preserve">Abstract (EN): </w:t>
      </w:r>
      <w:r>
        <w:t>The Optimal Meter Placement (OMP) problem is traditionally addressed using heuristic algorithms or nonlinear programming, which often face challenges regarding solution reproducibility and the guarantee of global optimality, particularly in large-scale networks. Furthermore, existing models are typically tailored to specific sensor types, limiting their adaptability. To address these methodological limitations, this paper presents a generalized, topology-based Binary Integer Linear Programming (BILP) framework. While the proposed model is demonstrated using Phasor Measurement Units (PMUs), Line Flow Meters (LFMs), and Bus Injection Meters (BIMs), its mathematical structure is designed to be extensible to any type of meter. By translating topological observability rules into linear inequality constraints, the formulation circumvents the nonconvexity inherent in traditional nonlinear models. This linearization allows the optimization problem to be solved using deterministic branch-and-bound algorithms, ensuring convergence to the global optimum within finite time. The framework minimizes instrumentation costs while satisfying complete numerical observability and is validated across standard IEEE test systems. The results indicate that the proposed BILP approach provides a computationally tractable, reproducible, and adaptable solution, offering a rigorous baseline for diverse metering strategies in power system planning.</w:t>
      </w:r>
    </w:p>
    <w:p>
      <w:pPr>
        <w:spacing w:before="120" w:after="120"/>
      </w:pPr>
      <w:r>
        <w:rPr>
          <w:sz w:val="18"/>
        </w:rPr>
        <w:t>——————————————————————————————————————————————————————————————————————</w:t>
      </w:r>
    </w:p>
    <w:p>
      <w:pPr>
        <w:spacing w:before="160" w:after="40" w:line="240" w:lineRule="auto"/>
      </w:pPr>
      <w:r>
        <w:rPr>
          <w:b/>
        </w:rPr>
        <w:t xml:space="preserve">[458] </w:t>
      </w:r>
      <w:hyperlink r:id="rId1244">
        <w:r>
          <w:rPr>
            <w:color w:val="1155CC"/>
            <w:u w:val="single"/>
          </w:rPr>
          <w:t>用于电磁振动分析的电机等效正交各向异性材料参数辨识方法</w:t>
        </w:r>
      </w:hyperlink>
    </w:p>
    <w:p>
      <w:pPr>
        <w:spacing w:before="0" w:after="80"/>
      </w:pPr>
      <w:r>
        <w:rPr>
          <w:i/>
          <w:sz w:val="20"/>
        </w:rPr>
        <w:t>EN: Method for Identifying Equivalent Orthotropic Material Parameters of Motor for Analysis of Electromagnetic Vibrations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45">
        <w:r>
          <w:rPr>
            <w:color w:val="1155CC"/>
            <w:u w:val="single"/>
          </w:rPr>
          <w:t>10.1109/tec.2026.3690914</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了一种混合解析-优化框架，用于辨识电机定子铁芯和绕组组件的等效正交各向异性材料参数。基于一阶剪切变形理论和Love壳理论建立了解析圆柱模型，以确立材料属性与模态特性之间的关系。定子铁芯及其组件采用等效分层圆柱壳建模，并纳入纵向筋等结构特征。采用萤火虫算法通过最小化预测与实测固有频率之间的偏差来求解逆辨识问题。辨识了环氧树脂和绕组绝缘的材料参数，并利用复合材料理论推导了相应的等效正交各向异性材料参数。所提方法通过解析分析和有限元分析进行了验证，与实验结果吻合良好，相对误差在3%以内。与传统优化和数据驱动方法相比，所提框架在精度、收敛稳定性和计算效率方面均有提升。所开发的方法为电磁装置的振动分析和参数辨识提供了有效工具，并在结构优化和降噪设计中具有应用潜力。</w:t>
      </w:r>
    </w:p>
    <w:p>
      <w:pPr>
        <w:spacing w:before="0" w:after="200" w:lineRule="auto" w:line="276"/>
      </w:pPr>
      <w:r>
        <w:rPr>
          <w:b/>
        </w:rPr>
        <w:t xml:space="preserve">Abstract (EN): </w:t>
      </w:r>
      <w:r>
        <w:t>This paper presents a hybrid analytical–optimization framework for identifying the equivalent orthotropic material parameters of stator core and winding assemblies in electrical machines. An analytical cylindrical model is developed based on first-order shear deformation theory and Love’s shell theory to establish the relationship between material properties and modal characteristics. The stator core and its components are modeled using equivalent layered cylindrical shells, incorporating structural features such as longitudinal ribs. The Firefly Algorithm is employed to solve the inverse identification problem by minimizing the discrepancy between predicted and measured natural frequencies. The material parameters of epoxy resin and winding insulation are identified, and the corresponding equivalent orthotropic material parameters are derived using composite material theory. The proposed method is validated through both analytical and finite element analyses, showing good agreement with experimental results, with relative errors within 3%. Compared with conventional optimization and data-driven approaches, the proposed framework demonstrates improved accuracy, convergence stability, and computational efficiency. The developed method provides an effective tool for vibration analysis and parameter identification in electromagnetic devices and offers potential for application in structural optimization and noise reduction design.</w:t>
      </w:r>
    </w:p>
    <w:p>
      <w:pPr>
        <w:spacing w:before="120" w:after="120"/>
      </w:pPr>
      <w:r>
        <w:rPr>
          <w:sz w:val="18"/>
        </w:rPr>
        <w:t>——————————————————————————————————————————————————————————————————————</w:t>
      </w:r>
    </w:p>
    <w:p>
      <w:pPr>
        <w:spacing w:before="160" w:after="40" w:line="240" w:lineRule="auto"/>
      </w:pPr>
      <w:r>
        <w:rPr>
          <w:b/>
        </w:rPr>
        <w:t xml:space="preserve">[459] </w:t>
      </w:r>
      <w:hyperlink r:id="rId1246">
        <w:r>
          <w:rPr>
            <w:color w:val="1155CC"/>
            <w:u w:val="single"/>
          </w:rPr>
          <w:t>并网功率变换器的数据驱动最优控制架构</w:t>
        </w:r>
      </w:hyperlink>
    </w:p>
    <w:p>
      <w:pPr>
        <w:spacing w:before="0" w:after="80"/>
      </w:pPr>
      <w:r>
        <w:rPr>
          <w:i/>
          <w:sz w:val="20"/>
        </w:rPr>
        <w:t>EN: A Data-Driven Optimal Control Architecture for Grid-Connected Power Converters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47">
        <w:r>
          <w:rPr>
            <w:color w:val="1155CC"/>
            <w:u w:val="single"/>
          </w:rPr>
          <w:t>10.1109/tpwrs.2026.3684319</w:t>
        </w:r>
      </w:hyperlink>
    </w:p>
    <w:p>
      <w:pPr>
        <w:spacing w:before="0" w:after="120"/>
      </w:pPr>
      <w:r>
        <w:rPr>
          <w:b/>
        </w:rPr>
        <w:t xml:space="preserve">Notes: </w:t>
      </w:r>
      <w:r>
        <w:t>abstract_source=semanticscholar</w:t>
      </w:r>
    </w:p>
    <w:p>
      <w:pPr>
        <w:spacing w:before="0" w:after="80" w:lineRule="auto" w:line="276"/>
      </w:pPr>
      <w:r>
        <w:rPr>
          <w:b/>
        </w:rPr>
        <w:t xml:space="preserve">摘要（ZH）: </w:t>
      </w:r>
      <w:r>
        <w:t>并网电力变换器在现代电力系统中无处不在，作为可再生能源、储能系统、电动汽车、高压直流系统等的电网接口。传统上，电力变换器使用多个PID调节器来实现不同的控制目标，如电网同步和电压/功率调节，其中PID参数通常基于假定的（且往往过于简化的）电网模型进行整定。然而，由于实际电网高度复杂、多变且通常是未知的，这在实践中可能导致性能不佳甚至不稳定。为解决这一问题，我们采用数据使能预测控制（DeePC）对电力变换器进行数据驱动、最优、鲁棒和自适应的控制。我们将以这种方式运行的变换器称为DeeePConverter。DeePConverter能够从测量数据中隐式感知电网特性，并调整其控制策略以实现最优、鲁棒和自适应的性能。我们介绍了DeePConverter的模块化配置、广义结构、控制行为规范、固有鲁棒性、详细实现、计算方面以及在线自适应。提供了高保真仿真和硬件在环（HIL）测试以验证DeePConverter的有效性。</w:t>
      </w:r>
    </w:p>
    <w:p>
      <w:pPr>
        <w:spacing w:before="0" w:after="200" w:lineRule="auto" w:line="276"/>
      </w:pPr>
      <w:r>
        <w:rPr>
          <w:b/>
        </w:rPr>
        <w:t xml:space="preserve">Abstract (EN): </w:t>
      </w:r>
      <w:r>
        <w:t>Grid-connected power converters are ubiquitous in modern power systems, acting as grid interfaces of renewable energy sources, energy storage systems, electric vehicles, high-voltage DC systems, etc. Conventionally, power converters use multiple PID regulators to achieve different control objectives such as grid synchronization and voltage/power regulation, where the PID parameters are usually tuned based on a presumed (and often overly-simplified) power grid model. However, this may lead to inferior performance or even instabilities in practice, as the real power grid is highly complex, variable, and generally unknown. To tackle this problem, we employ a data-enabled predictive control (DeePC) to perform data-driven, optimal, robust, and adaptive control for power converters. We call the converters that are operated in this way DeePConverters. A DeePConverter can implicitly perceive the characteristics of the power grid from measured data and adjust its control strategy to achieve optimal, robust, and adaptive performance. We present the modular configurations, generalized structure, control behavior specification, inherent robustness, detailed implementation, computational aspects, and online adaptation of DeePConverters. High-fidelity simulations and hardware-in-the-loop (HIL) tests are provided to validate the effectiveness of DeePConverters.</w:t>
      </w:r>
    </w:p>
    <w:p>
      <w:pPr>
        <w:spacing w:before="120" w:after="120"/>
      </w:pPr>
      <w:r>
        <w:rPr>
          <w:sz w:val="18"/>
        </w:rPr>
        <w:t>——————————————————————————————————————————————————————————————————————</w:t>
      </w:r>
    </w:p>
    <w:p>
      <w:pPr>
        <w:spacing w:before="160" w:after="40" w:line="240" w:lineRule="auto"/>
      </w:pPr>
      <w:r>
        <w:rPr>
          <w:b/>
        </w:rPr>
        <w:t xml:space="preserve">[460] </w:t>
      </w:r>
      <w:hyperlink r:id="rId1248">
        <w:r>
          <w:rPr>
            <w:color w:val="1155CC"/>
            <w:u w:val="single"/>
          </w:rPr>
          <w:t>云边协同系统中计算服务与电力的市场驱动联合交易策略</w:t>
        </w:r>
      </w:hyperlink>
    </w:p>
    <w:p>
      <w:pPr>
        <w:spacing w:before="0" w:after="80"/>
      </w:pPr>
      <w:r>
        <w:rPr>
          <w:i/>
          <w:sz w:val="20"/>
        </w:rPr>
        <w:t>EN: Market-Driven Joint Trading Strategy for Computing Service and Electricity in Cloud-Edge Collaborative Systems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49">
        <w:r>
          <w:rPr>
            <w:color w:val="1155CC"/>
            <w:u w:val="single"/>
          </w:rPr>
          <w:t>10.1109/tsg.2026.3674957</w:t>
        </w:r>
      </w:hyperlink>
    </w:p>
    <w:p>
      <w:pPr>
        <w:spacing w:before="0" w:after="120"/>
      </w:pPr>
      <w:r>
        <w:rPr>
          <w:b/>
        </w:rPr>
        <w:t xml:space="preserve">Notes: </w:t>
      </w:r>
      <w:r>
        <w:t>abstract_source=semanticscholar</w:t>
      </w:r>
    </w:p>
    <w:p>
      <w:pPr>
        <w:spacing w:before="0" w:after="80" w:lineRule="auto" w:line="276"/>
      </w:pPr>
      <w:r>
        <w:rPr>
          <w:b/>
        </w:rPr>
        <w:t xml:space="preserve">摘要（ZH）: </w:t>
      </w:r>
      <w:r>
        <w:t>云边协同计算的快速增长及其不断增长的电力需求正在计算市场与电力市场之间形成强烈的相互依赖关系。本文提出了一种市场驱动的联合交易策略，在云边协同系统内协调计算服务和电力采购。为刻画异构运行特性，我们引入了差异化建模范式，将云端数据中心的任务排队模型与基于经验数据的边缘服务器非线性时延模型相结合，以刻画其性能饱和。然后将这些模型嵌入一个统一交易框架，该框架明确刻画了计算市场与电力市场之间的双向交互，其中云端作为价格制定者参与。通过应用针对性的凸化技术——具体为针对非线性时延约束的二阶锥松弛以及针对双线性市场出清项的2型特殊有序集——将所得的大规模非凸问题转化为可求解的混合整数二阶锥规划。数值算例表明，差异化建模范式将测试系统的总运行成本（包括电力成本和时延成本）降低了16.3%。此外，该求解方法在保持最优性间隙低于0.3%的同时，确保了大规模实例的高可扩展性和计算效率。</w:t>
      </w:r>
    </w:p>
    <w:p>
      <w:pPr>
        <w:spacing w:before="0" w:after="200" w:lineRule="auto" w:line="276"/>
      </w:pPr>
      <w:r>
        <w:rPr>
          <w:b/>
        </w:rPr>
        <w:t xml:space="preserve">Abstract (EN): </w:t>
      </w:r>
      <w:r>
        <w:t>The rapid growth of cloud-edge collaborative computing and its increasing electricity demand are forging strong interdependencies between computing and power markets. This paper proposes a market-driven joint trading strategy that coordinates computing services and electricity procurement within a cloud-edge collaborative system. To capture heterogeneous operational characteristics, we introduce a differentiated modeling paradigm, combining a task-queuing model for the cloud data center with an empirically-grounded nonlinear delay model for edge servers to characterize its performance saturation. These models are then embedded in a unified trading framework that explicitly characterizes the bidirectional interaction between computing and electricity markets, where the cloud acts as a price-making participant. The resulting large-scale, non-convex problem is transformed into a tractable mixed-integer second-order cone program by applying targeted convexification techniques—specifically, second-order cone relaxation for nonlinear delay constraints and special ordered sets of type 2 for bilinear market-clearing terms. Numerical case studies demonstrate that the differentiated modeling paradigm reduces the overall operational cost of the test system by 16.3%, including both electricity and delay costs. Furthermore, the solution methodology ensures high scalability and computational efficiency for large-scale instances while maintaining an optimality gap below 0.3%.</w:t>
      </w:r>
    </w:p>
    <w:p>
      <w:pPr>
        <w:spacing w:before="120" w:after="120"/>
      </w:pPr>
      <w:r>
        <w:rPr>
          <w:sz w:val="18"/>
        </w:rPr>
        <w:t>——————————————————————————————————————————————————————————————————————</w:t>
      </w:r>
    </w:p>
    <w:p>
      <w:pPr>
        <w:spacing w:before="160" w:after="40" w:line="240" w:lineRule="auto"/>
      </w:pPr>
      <w:r>
        <w:rPr>
          <w:b/>
        </w:rPr>
        <w:t xml:space="preserve">[461] </w:t>
      </w:r>
      <w:hyperlink r:id="rId1250">
        <w:r>
          <w:rPr>
            <w:color w:val="1155CC"/>
            <w:u w:val="single"/>
          </w:rPr>
          <w:t>基于单母线注入的混合数据/模型驱动全系统导纳辨识</w:t>
        </w:r>
      </w:hyperlink>
    </w:p>
    <w:p>
      <w:pPr>
        <w:spacing w:before="0" w:after="80"/>
      </w:pPr>
      <w:r>
        <w:rPr>
          <w:i/>
          <w:sz w:val="20"/>
        </w:rPr>
        <w:t>EN: Hybrid Data/Model-Driven Whole-System Admittance Identification via Single-Bus Injections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51">
        <w:r>
          <w:rPr>
            <w:color w:val="1155CC"/>
            <w:u w:val="single"/>
          </w:rPr>
          <w:t>10.1109/tpwrs.2026.3684993</w:t>
        </w:r>
      </w:hyperlink>
    </w:p>
    <w:p>
      <w:pPr>
        <w:spacing w:before="0" w:after="120"/>
      </w:pPr>
      <w:r>
        <w:rPr>
          <w:b/>
        </w:rPr>
        <w:t xml:space="preserve">Notes: </w:t>
      </w:r>
      <w:r>
        <w:t>abstract_source=semanticscholar</w:t>
      </w:r>
    </w:p>
    <w:p>
      <w:pPr>
        <w:spacing w:before="0" w:after="80" w:lineRule="auto" w:line="276"/>
      </w:pPr>
      <w:r>
        <w:rPr>
          <w:b/>
        </w:rPr>
        <w:t xml:space="preserve">摘要（ZH）: </w:t>
      </w:r>
      <w:r>
        <w:t>识别含多个基于逆变器资源（IBR）的互联电力系统的全系统导纳模型，通常需要在每个与IBR相连的母线上注入小幅电压扰动，这在仿真和实际系统中均难以实现。为克服这一挑战，本文提出了一种数据/模型混合驱动的全系统导纳模型辨识方法，将实测数据与理论网络模型相结合。通过在系统中某一母线注入电压扰动并测量所有母线的电流响应，可将实测数据与已知的节点导纳矩阵相融合，重构全系统导纳模型。该全系统导纳模型是一个闭环模型，涵盖了整个系统的动态特性，可用于振荡分析、根因追踪以及系统强度评估。所提出的新方法通过仿真和功率硬件在环实验得到验证，展示了一种通过有限数量的注入源识别整个电力系统潜在振荡及其根因的实用方案。</w:t>
      </w:r>
    </w:p>
    <w:p>
      <w:pPr>
        <w:spacing w:before="0" w:after="200" w:lineRule="auto" w:line="276"/>
      </w:pPr>
      <w:r>
        <w:rPr>
          <w:b/>
        </w:rPr>
        <w:t xml:space="preserve">Abstract (EN): </w:t>
      </w:r>
      <w:r>
        <w:t>Identifying the whole-system admittance model of an interconnected power system with multiple inverter-based resources (IBRs) typically requires injecting small voltage perturbations at each bus connected with an IBR, which is impractical in both simulations and real-world systems. To overcome this challenge, this paper presents a hybrid data/model-driven approach to identifying the whole-system admittance model through combinations of the measured data and the theoretical network model. By introducing voltage perturbations at a single bus in the system and measuring current responses at all buses, the measured data can be integrated with the known network nodal admittance matrix to reconstruct the whole-system admittance model. The whole-system admittance model, which is a closed-loop model, encompasses the dynamic characteristics of the entire system and facilitates oscillation analysis, root cause tracing, as well as system strength assessment. The proposed new approach is validated through simulations and power hardware-in-the-loop experiments, demonstrating a practical solution for implementing a limited number of injection sources to identify potential oscillations and their root causes for the entire power system.</w:t>
      </w:r>
    </w:p>
    <w:p>
      <w:pPr>
        <w:spacing w:before="120" w:after="120"/>
      </w:pPr>
      <w:r>
        <w:rPr>
          <w:sz w:val="18"/>
        </w:rPr>
        <w:t>——————————————————————————————————————————————————————————————————————</w:t>
      </w:r>
    </w:p>
    <w:p>
      <w:pPr>
        <w:spacing w:before="160" w:after="40" w:line="240" w:lineRule="auto"/>
      </w:pPr>
      <w:r>
        <w:rPr>
          <w:b/>
        </w:rPr>
        <w:t xml:space="preserve">[462] </w:t>
      </w:r>
      <w:hyperlink r:id="rId1252">
        <w:r>
          <w:rPr>
            <w:color w:val="1155CC"/>
            <w:u w:val="single"/>
          </w:rPr>
          <w:t>用于分析次同步振荡的IBR模型原位估计</w:t>
        </w:r>
      </w:hyperlink>
    </w:p>
    <w:p>
      <w:pPr>
        <w:spacing w:before="0" w:after="80"/>
      </w:pPr>
      <w:r>
        <w:rPr>
          <w:i/>
          <w:sz w:val="20"/>
        </w:rPr>
        <w:t>EN: In Situ Estimation of IBR Models for Analyzing Sub-Synchronous Oscillations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53">
        <w:r>
          <w:rPr>
            <w:color w:val="1155CC"/>
            <w:u w:val="single"/>
          </w:rPr>
          <w:t>10.1109/tpwrs.2026.3683844</w:t>
        </w:r>
      </w:hyperlink>
    </w:p>
    <w:p>
      <w:pPr>
        <w:spacing w:before="0" w:after="120"/>
      </w:pPr>
      <w:r>
        <w:rPr>
          <w:b/>
        </w:rPr>
        <w:t xml:space="preserve">Notes: </w:t>
      </w:r>
      <w:r>
        <w:t>abstract_source=semanticscholar</w:t>
      </w:r>
    </w:p>
    <w:p>
      <w:pPr>
        <w:spacing w:before="0" w:after="80" w:lineRule="auto" w:line="276"/>
      </w:pPr>
      <w:r>
        <w:rPr>
          <w:b/>
        </w:rPr>
        <w:t xml:space="preserve">摘要（ZH）: </w:t>
      </w:r>
      <w:r>
        <w:t>基于逆变器资源（IBR）厂商专用黑箱模型的不透明性是系统分析IBR引发的次同步振荡（SSO）的障碍。现有的阻抗扫描方法需要将每个IBR从电力系统中隔离出来，并与电压源或电流源相连。然而，当IBR设备嵌入系统其余部分（RoS）内部时，该流程并不可行。本文提出一种基于增广特征系统实现算法（ERA）的方法，可在原位估计IBR模型，即IBR保持与RoS相连的状态。其核心思想是从IBR对脉冲探测的闭环电压和电流响应中解耦出IBR的阻抗频谱。值得注意的是，增广ERA能够自动进行模型阶次选择，确保该方法在现实含大量IBR的电网区域中的可扩展性。估计得到的线性化IBR模型随后与已知的RoS模型相结合，从而得到整个电力系统的线性化状态空间模型。在验证方面，案例研究展示了所提方法的适用性和可扩展性。估计IBR模型的频域和时域响应与实际模型高度吻合。模态分析能够准确识别对弱阻尼SSO具有主导贡献的IBR，从而实现有针对性的有效抑制。</w:t>
      </w:r>
    </w:p>
    <w:p>
      <w:pPr>
        <w:spacing w:before="0" w:after="200" w:lineRule="auto" w:line="276"/>
      </w:pPr>
      <w:r>
        <w:rPr>
          <w:b/>
        </w:rPr>
        <w:t xml:space="preserve">Abstract (EN): </w:t>
      </w:r>
      <w:r>
        <w:t>The opaqueness of vendor-specific black-box models of inverter-based resources (IBRs) is a barrier to the systematic analysis of IBR-induced sub-synchronous oscillations (SSO). Existing approaches via impedance scan require isolating each IBR from the power system and interfacing it with a voltage or current source. However, this procedure is not feasible when the IBR device is embedded within the rest of the system (RoS). In this paper, we propose an augmented eigensystem realization algorithm (ERA)-based method to estimate the IBR model in situ, i.e., while the IBR remains connected to RoS. The core idea is to disentangle the IBR's impedance spectra from its closed-loop voltage and current responses to a pulse probing. Notably, the augmented ERA enables automated model order selection, ensuring scalability for realistic IBR-rich zones of a power grid. The estimated linearized IBR models are then combined with the known RoS model, which yields a linearized state-space model of the overall power system. For validation, the case studies demonstrate the applicability and scalability of the proposed method. The frequency-domain and time-domain responses of the estimated IBR models closely match those of the actual models. Modal analysis accurately identifies the IBR with dominant contribution to poorly damped SSO, therefore enabling targeted and effective mitigation.</w:t>
      </w:r>
    </w:p>
    <w:p>
      <w:pPr>
        <w:spacing w:before="120" w:after="120"/>
      </w:pPr>
      <w:r>
        <w:rPr>
          <w:sz w:val="18"/>
        </w:rPr>
        <w:t>——————————————————————————————————————————————————————————————————————</w:t>
      </w:r>
    </w:p>
    <w:p>
      <w:pPr>
        <w:spacing w:before="160" w:after="40" w:line="240" w:lineRule="auto"/>
      </w:pPr>
      <w:r>
        <w:rPr>
          <w:b/>
        </w:rPr>
        <w:t xml:space="preserve">[463] </w:t>
      </w:r>
      <w:hyperlink r:id="rId1254">
        <w:r>
          <w:rPr>
            <w:color w:val="1155CC"/>
            <w:u w:val="single"/>
          </w:rPr>
          <w:t>面向分散式紧急控制的隐私保护多智能体深度进化学习</w:t>
        </w:r>
      </w:hyperlink>
    </w:p>
    <w:p>
      <w:pPr>
        <w:spacing w:before="0" w:after="80"/>
      </w:pPr>
      <w:r>
        <w:rPr>
          <w:i/>
          <w:sz w:val="20"/>
        </w:rPr>
        <w:t>EN: Privacy-Preserving Multi-Agent Deep Evolutionary Learning for Decentralized Emergency Control</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55">
        <w:r>
          <w:rPr>
            <w:color w:val="1155CC"/>
            <w:u w:val="single"/>
          </w:rPr>
          <w:t>10.1109/tpwrs.2026.3671869</w:t>
        </w:r>
      </w:hyperlink>
    </w:p>
    <w:p>
      <w:pPr>
        <w:spacing w:before="0" w:after="120"/>
      </w:pPr>
      <w:r>
        <w:rPr>
          <w:b/>
        </w:rPr>
        <w:t xml:space="preserve">Notes: </w:t>
      </w:r>
      <w:r>
        <w:t>abstract_source=semanticscholar</w:t>
      </w:r>
    </w:p>
    <w:p>
      <w:pPr>
        <w:spacing w:before="0" w:after="80" w:lineRule="auto" w:line="276"/>
      </w:pPr>
      <w:r>
        <w:rPr>
          <w:b/>
        </w:rPr>
        <w:t xml:space="preserve">摘要（ZH）: </w:t>
      </w:r>
      <w:r>
        <w:t>近年来，深度强化学习（DRL）凭借其实时响应能力和复杂关系映射方面的优势，已成为电网紧急控制任务中一种有前景的方法论框架。然而，由于最先进的多智能体深度强化学习（MADRL）方法存在计算复杂度、可扩展性和隐私方面的限制，其在分散式紧急控制问题中的应用仍具挑战性。为填补这些空白，本文提出了一种用于分散式紧急控制的新型多智能体深度进化学习方法（MADEL）。与传统的MADRL方法不同，所提出的MADEL方法通过基于种群的参数空间探索来训练智能体，并摒弃了集中式Critic网络的指导，这不仅避免了信用分配问题，还有助于降低计算复杂度并提升可扩展性。此外，面对多区域电力系统时，为MADEL量身定制了一种新颖的云边协同分布式训练范式，以在离线训练过程中实现数据隐私保护。在IEEE 39母线系统和3区域117母线系统上的数值仿真验证了所提方法的有效性和优越性。</w:t>
      </w:r>
    </w:p>
    <w:p>
      <w:pPr>
        <w:spacing w:before="0" w:after="200" w:lineRule="auto" w:line="276"/>
      </w:pPr>
      <w:r>
        <w:rPr>
          <w:b/>
        </w:rPr>
        <w:t xml:space="preserve">Abstract (EN): </w:t>
      </w:r>
      <w:r>
        <w:t>Deep reinforcement learning (DRL) has emerged as a promising methodological framework for power grid emergency control tasks in the past few years, for its advantages in real-time response capability and complex relationship mapping. However, its application to the decentralized emergency control problem is still challenging, due to the computational complexity, scalability, and privacy limitations of state-of-the-art multi-agent deep reinforcement learning (MADRL) approaches. To fill these gaps, this paper proposes a novel multi-agent deep evolutionary learning method (MADEL) for decentralized emergency control. Unlike conventional MADRL methods, the proposed MADEL method trains the agents by performing population-based parameter space exploration and eliminates the guidance of centralized Critic networks, which not only avoids the credit assignment issue, but also contributes to lower computational complexity and better scalability. Furthermore, when confronted with multi-area power systems, a novel cloud-edge collaborative distributed training paradigm is tailored for MADEL to achieve data privacy protection during offline training. Numerical simulations on the IEEE 39-bus system and a 3-area 117-bus system confirm the effectiveness and superiority of the proposed method.</w:t>
      </w:r>
    </w:p>
    <w:p>
      <w:pPr>
        <w:spacing w:before="120" w:after="120"/>
      </w:pPr>
      <w:r>
        <w:rPr>
          <w:sz w:val="18"/>
        </w:rPr>
        <w:t>——————————————————————————————————————————————————————————————————————</w:t>
      </w:r>
    </w:p>
    <w:p>
      <w:pPr>
        <w:spacing w:before="160" w:after="40" w:line="240" w:lineRule="auto"/>
      </w:pPr>
      <w:r>
        <w:rPr>
          <w:b/>
        </w:rPr>
        <w:t xml:space="preserve">[464] </w:t>
      </w:r>
      <w:hyperlink r:id="rId1256">
        <w:r>
          <w:rPr>
            <w:color w:val="1155CC"/>
            <w:u w:val="single"/>
          </w:rPr>
          <w:t>含异构不确定分布式能源的主动配电网统一模型聚合</w:t>
        </w:r>
      </w:hyperlink>
    </w:p>
    <w:p>
      <w:pPr>
        <w:spacing w:before="0" w:after="80"/>
      </w:pPr>
      <w:r>
        <w:rPr>
          <w:i/>
          <w:sz w:val="20"/>
        </w:rPr>
        <w:t>EN: Unified Model Aggregation of Active Distribution Network With Heterogeneous Uncertain Distributed Energy Resources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57">
        <w:r>
          <w:rPr>
            <w:color w:val="1155CC"/>
            <w:u w:val="single"/>
          </w:rPr>
          <w:t>10.1109/tsg.2026.3687526</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了一种统一的有源配电网（ADN）聚合模型，考虑异构不确定分布式能源，将整个ADN聚合为一个具有交换限额的等效发电机/可调节负荷。构建了一个min-max双层混合整数线性规划（MILP）问题，以检验给定交换限额下的解聚可行性。建立了包含DER 0-1运行状态和不确定性的网络约束ADN模型，并采用可调节鲁棒优化处理不确定性。为求解该问题，采用替代拉格朗日松弛将MILP问题松弛为双层线性规划（LP），再通过强对偶理论进一步对偶化得到单层MILP。我们证明原问题与其松弛形式的对偶问题具有相同的强对偶性质。求解双层问题后，可获得所有时段初始不可行的调度指令。随后，提出一种迭代框架，通过分析不可行指令并重新求解双层问题来调整聚合交换限额。迭代持续收敛，直至获得所有时段的全部可行指令。所提方法在IEEE-18和IEEE-85系统上进行了测试。数值结果验证了所提方法在处理0-1运行状态和保证鲁棒性方面的有效性。</w:t>
      </w:r>
    </w:p>
    <w:p>
      <w:pPr>
        <w:spacing w:before="0" w:after="200" w:lineRule="auto" w:line="276"/>
      </w:pPr>
      <w:r>
        <w:rPr>
          <w:b/>
        </w:rPr>
        <w:t xml:space="preserve">Abstract (EN): </w:t>
      </w:r>
      <w:r>
        <w:t>This paper proposes a unified aggregated model of active distribution network (ADN), which aggregates the whole ADN as an equivalent generator/adjustable load with exchange limits considering heterogeneous uncertain distributed energy resources. A min-max bi-level mixed-integer linear programming (MILP) problem is built to check the disaggregation feasibility with given exchange limits. The network-constrained ADN model with DERs’ 0-1 operation status and uncertainties is built, where the adjustable robust optimization is adopted to handle uncertainties. To solve this problem, surrogate Lagrangian relaxation is used to relax the MILP problem into the bi-level linear programming (LP), which is further dualized to obtain a single-level MILP via the strong duality theory. We prove that the primal problem and the dual of its relaxed formulation share the same strong duality property. After the bi-level problem is solved, the initial infeasible dispatch command of all timeslots is obtained. Then, an iterative framework is proposed to adjust the aggregation exchange limits by analyzing the infeasible command and re-solving the bi-level problem. The iteration converges until all feasible commands of all timeslots are obtained. The proposed method is tested on IEEE-18 and IEEE-85 systems. Numerical results verify the effectiveness of the proposed method in handling 0-1 operation status and ensuring robustness.</w:t>
      </w:r>
    </w:p>
    <w:p>
      <w:pPr>
        <w:spacing w:before="120" w:after="120"/>
      </w:pPr>
      <w:r>
        <w:rPr>
          <w:sz w:val="18"/>
        </w:rPr>
        <w:t>——————————————————————————————————————————————————————————————————————</w:t>
      </w:r>
    </w:p>
    <w:p>
      <w:pPr>
        <w:spacing w:before="160" w:after="40" w:line="240" w:lineRule="auto"/>
      </w:pPr>
      <w:r>
        <w:rPr>
          <w:b/>
        </w:rPr>
        <w:t xml:space="preserve">[465] </w:t>
      </w:r>
      <w:hyperlink r:id="rId1258">
        <w:r>
          <w:rPr>
            <w:color w:val="1155CC"/>
            <w:u w:val="single"/>
          </w:rPr>
          <w:t>面向复杂微电网系统能量管理的分布式强化学习：一种融合时序卷积网络的新方法</w:t>
        </w:r>
      </w:hyperlink>
    </w:p>
    <w:p>
      <w:pPr>
        <w:spacing w:before="0" w:after="80"/>
      </w:pPr>
      <w:r>
        <w:rPr>
          <w:i/>
          <w:sz w:val="20"/>
        </w:rPr>
        <w:t>EN: Distributional Reinforcement Learning for Energy Management in Complex Microgrid Systems: A Novel Approach Integrating Temporal Convolutional Networks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59">
        <w:r>
          <w:rPr>
            <w:color w:val="1155CC"/>
            <w:u w:val="single"/>
          </w:rPr>
          <w:t>10.1109/tsg.2026.3675899</w:t>
        </w:r>
      </w:hyperlink>
    </w:p>
    <w:p>
      <w:pPr>
        <w:spacing w:before="0" w:after="120"/>
      </w:pPr>
      <w:r>
        <w:rPr>
          <w:b/>
        </w:rPr>
        <w:t xml:space="preserve">Notes: </w:t>
      </w:r>
      <w:r>
        <w:t>abstract_source=semanticscholar</w:t>
      </w:r>
    </w:p>
    <w:p>
      <w:pPr>
        <w:spacing w:before="0" w:after="80" w:lineRule="auto" w:line="276"/>
      </w:pPr>
      <w:r>
        <w:rPr>
          <w:b/>
        </w:rPr>
        <w:t xml:space="preserve">摘要（ZH）: </w:t>
      </w:r>
      <w:r>
        <w:t>在高比例可再生能源渗透下，微电网能量管理面临着严峻挑战，原因包括风光电源的随机性发电模式、混合储能系统的容量限制与控制复杂性，以及用户需求的时间多变性。这些特性给控制过程带来了巨大的不确定性和非平稳性，使传统优化方法和深度强化学习方法难以实现稳定高效的调度。针对这些问题，本文提出了一种新颖的基于学习的控制框架，将分布式强化学习（DRL）与时序卷积网络（TCN）相结合。DRL通过捕获完整的回报分布来更好地建模环境随机性，而TCN则能够提取长程时间依赖关系，这对异构动态储能资产间的协调控制至关重要。能量管理问题被表述为马尔可夫决策过程，并在基于Gymnasium平台的真实仿真环境中进行评估，该环境融合了由Rye微电网真实数据驱动的风电、光伏和储能系统。实验结果表明，与传统基线相比，所提框架显著提升了奖励稳定性、收敛速度，并降低了未满足需求惩罚。该方法展现出较强的鲁棒性、可扩展性，以及在不确定环境下可持续智能微电网运行中实际部署的潜力。</w:t>
      </w:r>
    </w:p>
    <w:p>
      <w:pPr>
        <w:spacing w:before="0" w:after="200" w:lineRule="auto" w:line="276"/>
      </w:pPr>
      <w:r>
        <w:rPr>
          <w:b/>
        </w:rPr>
        <w:t xml:space="preserve">Abstract (EN): </w:t>
      </w:r>
      <w:r>
        <w:t>Microgrid energy management under high penetration of renewable energy presents critical challenges due to the stochastic generation patterns of wind and photovoltaic sources, the capacity limitations and control complexity of hybrid energy storage systems, and the temporal variability of user demand. These characteristics introduce substantial uncertainty and non-stationarity into the control process, making it difficult for traditional optimization and deep reinforcement learning methods to achieve stable and efficient dispatch. To address these issues, this paper proposes a novel learning-based control framework that integrates distributional reinforcement learning (DRL) with temporal convolutional networks (TCNs). While DRL captures the full return distribution to better model environmental stochasticity, TCNs enable the extraction of long-range temporal dependencies, which are crucial for coordinated control among heterogeneous and dynamic energy storage assets. The energy management problem is formulated as a Markov Decision Process and evaluated in a realistic simulation environment based on the Gymnasium platform, which incorporates wind and photovoltaic energy storage systems driven by real-world data from the Rye microgrid. Empirical results demonstrate that the proposed framework significantly improves reward stability, convergence speed, and unmet demand penalties compared to conventional baselines. The method shows strong robustness, scalability, and potential for practical deployment in sustainable and intelligent microgrid operations under uncertainty.</w:t>
      </w:r>
    </w:p>
    <w:p>
      <w:pPr>
        <w:spacing w:before="120" w:after="120"/>
      </w:pPr>
      <w:r>
        <w:rPr>
          <w:sz w:val="18"/>
        </w:rPr>
        <w:t>——————————————————————————————————————————————————————————————————————</w:t>
      </w:r>
    </w:p>
    <w:p>
      <w:pPr>
        <w:spacing w:before="160" w:after="40" w:line="240" w:lineRule="auto"/>
      </w:pPr>
      <w:r>
        <w:rPr>
          <w:b/>
        </w:rPr>
        <w:t xml:space="preserve">[466] </w:t>
      </w:r>
      <w:hyperlink r:id="rId1260">
        <w:r>
          <w:rPr>
            <w:color w:val="1155CC"/>
            <w:u w:val="single"/>
          </w:rPr>
          <w:t>面向居民负荷分析的多视图图属性学习数据填补方法</w:t>
        </w:r>
      </w:hyperlink>
    </w:p>
    <w:p>
      <w:pPr>
        <w:spacing w:before="0" w:after="80"/>
      </w:pPr>
      <w:r>
        <w:rPr>
          <w:i/>
          <w:sz w:val="20"/>
        </w:rPr>
        <w:t>EN: Multi-View Graph Attributed Learning Data Imputation Method for Residential Load Analysis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61">
        <w:r>
          <w:rPr>
            <w:color w:val="1155CC"/>
            <w:u w:val="single"/>
          </w:rPr>
          <w:t>10.1109/tsg.2026.3690142</w:t>
        </w:r>
      </w:hyperlink>
    </w:p>
    <w:p>
      <w:pPr>
        <w:spacing w:before="0" w:after="120"/>
      </w:pPr>
      <w:r>
        <w:rPr>
          <w:b/>
        </w:rPr>
        <w:t xml:space="preserve">Notes: </w:t>
      </w:r>
      <w:r>
        <w:t>abstract_source=semanticscholar</w:t>
      </w:r>
    </w:p>
    <w:p>
      <w:pPr>
        <w:spacing w:before="0" w:after="80" w:lineRule="auto" w:line="276"/>
      </w:pPr>
      <w:r>
        <w:rPr>
          <w:b/>
        </w:rPr>
        <w:t xml:space="preserve">摘要（ZH）: </w:t>
      </w:r>
      <w:r>
        <w:t>随着智能电网的普及，居民负荷数据对于用户行为建模和需求预测变得至关重要。然而，由于传感器或通信故障，实际负荷曲线常常存在大量缺失值，因此准确的插补至关重要。现有数据插补方法面临两大挑战：一方面，它们在高缺失率下往往性能显著下降；另一方面，它们缺乏跨用户的泛化能力，限制了其为日常负荷曲线有限的家庭准确插补负荷曲线的能力。为克服这些挑战，本文提出了一种多视图图属性插补框架。该框架利用掩码对齐构建观测感知相似度图，以确保稀疏观测下的结构可靠性，并引入高阶时间梯度特征来表征负荷动态。这些视图通过自表达学习和图嵌入进行融合，以揭示潜在的用户结构并指导稳健插补。在真实居民数据上的实验表明，该方法具有优越的性能，尤其是在严重缺失和目标负荷数据有限的情况下。</w:t>
      </w:r>
    </w:p>
    <w:p>
      <w:pPr>
        <w:spacing w:before="0" w:after="200" w:lineRule="auto" w:line="276"/>
      </w:pPr>
      <w:r>
        <w:rPr>
          <w:b/>
        </w:rPr>
        <w:t xml:space="preserve">Abstract (EN): </w:t>
      </w:r>
      <w:r>
        <w:t>With the proliferation of smart grids, residential load data has become vital for user behavior modeling and demand forecasting. However, real-world load curves frequently suffer from substantial missing values due to sensor or communication failures, making accurate imputation crucial. Existing data imputation methods encounter two main challenges. On the one hand, they often suffer significant performance degradation under high missing rates. On the other hand, they lack generalization across users, limiting their ability to accurately impute load curves for households with limited daily load curves. To overcome these challenges, this paper proposes a multi-view graph-attributed imputation framework. It constructs an observation-aware similarity graph using mask alignment to ensure structural reliability under sparse observations and introduces higher-order temporal gradient features to represent load dynamics. These views are fused through self-expressive learning and graph embedding to reveal latent user structures and guide robust imputation. Experiments on real-world residential data demonstrate the method’s superior performance, particularly under severe missingness and limited target load data.</w:t>
      </w:r>
    </w:p>
    <w:p>
      <w:pPr>
        <w:spacing w:before="120" w:after="120"/>
      </w:pPr>
      <w:r>
        <w:rPr>
          <w:sz w:val="18"/>
        </w:rPr>
        <w:t>——————————————————————————————————————————————————————————————————————</w:t>
      </w:r>
    </w:p>
    <w:p>
      <w:pPr>
        <w:spacing w:before="160" w:after="40" w:line="240" w:lineRule="auto"/>
      </w:pPr>
      <w:r>
        <w:rPr>
          <w:b/>
        </w:rPr>
        <w:t xml:space="preserve">[467] </w:t>
      </w:r>
      <w:hyperlink r:id="rId1262">
        <w:r>
          <w:rPr>
            <w:color w:val="1155CC"/>
            <w:u w:val="single"/>
          </w:rPr>
          <w:t>不确定负载条件下直流微电网的鲁棒吸引域</w:t>
        </w:r>
      </w:hyperlink>
    </w:p>
    <w:p>
      <w:pPr>
        <w:spacing w:before="0" w:after="80"/>
      </w:pPr>
      <w:r>
        <w:rPr>
          <w:i/>
          <w:sz w:val="20"/>
        </w:rPr>
        <w:t>EN: Robust Region of Attraction for DC Microgrids Under Uncertain Loading Conditions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63">
        <w:r>
          <w:rPr>
            <w:color w:val="1155CC"/>
            <w:u w:val="single"/>
          </w:rPr>
          <w:t>10.1109/tsg.2026.3698675</w:t>
        </w:r>
      </w:hyperlink>
    </w:p>
    <w:p>
      <w:pPr>
        <w:spacing w:before="0" w:after="120"/>
      </w:pPr>
      <w:r>
        <w:rPr>
          <w:b/>
        </w:rPr>
        <w:t xml:space="preserve">Notes: </w:t>
      </w:r>
      <w:r>
        <w:t>abstract_source=semanticscholar</w:t>
      </w:r>
    </w:p>
    <w:p>
      <w:pPr>
        <w:spacing w:before="0" w:after="80" w:lineRule="auto" w:line="276"/>
      </w:pPr>
      <w:r>
        <w:rPr>
          <w:b/>
        </w:rPr>
        <w:t xml:space="preserve">摘要（ZH）: </w:t>
      </w:r>
      <w:r>
        <w:t>保证吸引域(ROA)对于确保直流微电网的暂态稳定至关重要。用于ROA设计的数值方法和控制策略通常依赖于针对特定运行场景定制的参数调节。当稳态负荷变化时,运行点及相应的ROA都会发生变化,导致固定场景下的保证失效,鲁棒性有限。本文提出了一种鲁棒控制综合方法,以确保具有保证ROA的暂态稳定性。首先,提出一种鲁棒稳定条件,确保保证ROA随运行点自适应移动;然后,将该条件纳入类似最优潮流(OPF)的控制综合问题中,在保持计算效率的同时,共同确保运行可行性和鲁棒稳定性保证。仿真算例验证了所提方法的有效性。</w:t>
      </w:r>
    </w:p>
    <w:p>
      <w:pPr>
        <w:spacing w:before="0" w:after="200" w:lineRule="auto" w:line="276"/>
      </w:pPr>
      <w:r>
        <w:rPr>
          <w:b/>
        </w:rPr>
        <w:t xml:space="preserve">Abstract (EN): </w:t>
      </w:r>
      <w:r>
        <w:t>A guaranteed region of attraction (ROA) is essential for ensuring transient stability in DC microgrids. Numerical methods and control strategies for ROA design often rely on parameter tuning tailored to a specific operating scenario. When the steady-state load varies, both the operating point and the associated ROA change, causing fixed-scenario guarantees to break down and offering limited robustness. This letter develops a robust control synthesis method that ensures transient stability with guaranteed ROA. First, a robust stability condition is proposed to ensure a guaranteed ROA that adaptively moves with the operating point; then, we incorporate the condition into an optimal power flow (OPF)-like control synthesis problem that jointly ensures operational feasibility and robust stability guarantees while preserving computational efficiency. Simulation case studies validate the effectiveness of the proposed method.</w:t>
      </w:r>
    </w:p>
    <w:p>
      <w:pPr>
        <w:spacing w:before="120" w:after="120"/>
      </w:pPr>
      <w:r>
        <w:rPr>
          <w:sz w:val="18"/>
        </w:rPr>
        <w:t>——————————————————————————————————————————————————————————————————————</w:t>
      </w:r>
    </w:p>
    <w:p>
      <w:pPr>
        <w:spacing w:before="160" w:after="40" w:line="240" w:lineRule="auto"/>
      </w:pPr>
      <w:r>
        <w:rPr>
          <w:b/>
        </w:rPr>
        <w:t xml:space="preserve">[468] </w:t>
      </w:r>
      <w:hyperlink r:id="rId1264">
        <w:r>
          <w:rPr>
            <w:color w:val="1155CC"/>
            <w:u w:val="single"/>
          </w:rPr>
          <w:t>电动汽车充电站的竞争-合作混合定价：一种基于异构分层注意力的多智能体强化学习方法</w:t>
        </w:r>
      </w:hyperlink>
    </w:p>
    <w:p>
      <w:pPr>
        <w:spacing w:before="0" w:after="80"/>
      </w:pPr>
      <w:r>
        <w:rPr>
          <w:i/>
          <w:sz w:val="20"/>
        </w:rPr>
        <w:t>EN: Mixed Competitive--Cooperative Pricing for EV Charging Stations: A Multi-Agent Reinforcement Learning Approach With Heterogeneous Hierarchical Attention</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65">
        <w:r>
          <w:rPr>
            <w:color w:val="1155CC"/>
            <w:u w:val="single"/>
          </w:rPr>
          <w:t>10.1109/tsg.2026.3669058</w:t>
        </w:r>
      </w:hyperlink>
    </w:p>
    <w:p>
      <w:pPr>
        <w:spacing w:before="0" w:after="120"/>
      </w:pPr>
      <w:r>
        <w:rPr>
          <w:b/>
        </w:rPr>
        <w:t xml:space="preserve">Notes: </w:t>
      </w:r>
      <w:r>
        <w:t>abstract_source=semanticscholar</w:t>
      </w:r>
    </w:p>
    <w:p>
      <w:pPr>
        <w:spacing w:before="0" w:after="80" w:lineRule="auto" w:line="276"/>
      </w:pPr>
      <w:r>
        <w:rPr>
          <w:b/>
        </w:rPr>
        <w:t xml:space="preserve">摘要（ZH）: </w:t>
      </w:r>
      <w:r>
        <w:t>充电价格影响电动汽车(EV)用户的充电决策。合理的定价策略不仅能降低配电网(PDN)的运行成本,还能提升充电站运营商(CSO)的盈利能力。电动汽车充电站(EVCS)之间既竞争又合作,以最大化自身利益或CSO的利益。异构EVCS之间的动态状态和策略交互给定价决策带来了重大挑战。本文针对耦合电力-交通网络(CPTN)中表现出竞争与合作混合行为的EVCS,提出一种多智能体强化学习(MARL)最优定价方法。首先,建立混合博弈定价模型,纳入PDN的经济调度和用户充电决策响应;将定价问题表述为一般和马尔可夫博弈,并设计基于分层注意力机制的MARL算法以逼近定价博弈的纳什均衡。该算法通过分层图捕捉异构智能体间的交互依赖关系,并利用注意力机制整合来自邻近智能体的局部和全局特征进行策略生成与价值估计,从而确保多智能体环境下的稳定性。最后,在中国西安的CPTN系统上验证了算法的有效性。</w:t>
      </w:r>
    </w:p>
    <w:p>
      <w:pPr>
        <w:spacing w:before="0" w:after="200" w:lineRule="auto" w:line="276"/>
      </w:pPr>
      <w:r>
        <w:rPr>
          <w:b/>
        </w:rPr>
        <w:t xml:space="preserve">Abstract (EN): </w:t>
      </w:r>
      <w:r>
        <w:t>The charging price influences electric vehicle (EV) users’ charging decisions. A reasonable pricing strategy not only reduces the operating cost of the power distribution network (PDN), but also enhances the profitability of charging station operators (CSOs). EV charging stations (EVCSs) engage in both competition and cooperation to maximize their own interests or the CSOs. The dynamic states and strategic interactions among heterogeneous EVCSs pose significant challenges to pricing decisions. This paper proposes a multi-agent reinforcement learning (MARL) approach for optimal pricing model of EVCSs exhibiting mix competitive and cooperative behaviors in coupled power and transportation networks (CPTNs). First, a mixed game pricing model is developed, incorporating the economic dispatch of the PDN and user charging decision responses. The pricing problem is formulated as a general-sum Markov game, and a MARL algorithm based on a hierarchical attention mechanism is designed to approximate the Nash equilibrium of pricing games. The algorithm captures interaction dependencies among heterogeneous agents through a hierarchical graph and leverages an attention mechanism to integrate local and global features from neighboring agents for policy generation and value estimation, thereby ensuring stability in multi-agent environments. Finally, the effectiveness of the algorithm is validated on a CPTN system in Xi’an, China.</w:t>
      </w:r>
    </w:p>
    <w:p>
      <w:pPr>
        <w:spacing w:before="120" w:after="120"/>
      </w:pPr>
      <w:r>
        <w:rPr>
          <w:sz w:val="18"/>
        </w:rPr>
        <w:t>——————————————————————————————————————————————————————————————————————</w:t>
      </w:r>
    </w:p>
    <w:p>
      <w:pPr>
        <w:spacing w:before="160" w:after="40" w:line="240" w:lineRule="auto"/>
      </w:pPr>
      <w:r>
        <w:rPr>
          <w:b/>
        </w:rPr>
        <w:t xml:space="preserve">[469] </w:t>
      </w:r>
      <w:hyperlink r:id="rId1266">
        <w:r>
          <w:rPr>
            <w:color w:val="1155CC"/>
            <w:u w:val="single"/>
          </w:rPr>
          <w:t>基于专家工作流的LLM增强多智能体强化学习实时P2P能源交易</w:t>
        </w:r>
      </w:hyperlink>
    </w:p>
    <w:p>
      <w:pPr>
        <w:spacing w:before="0" w:after="80"/>
      </w:pPr>
      <w:r>
        <w:rPr>
          <w:i/>
          <w:sz w:val="20"/>
        </w:rPr>
        <w:t>EN: LLM-Enhanced Multi-Agent Reinforcement Learning With Expert Workflow for Real-Time P2P Energy Trading</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67">
        <w:r>
          <w:rPr>
            <w:color w:val="1155CC"/>
            <w:u w:val="single"/>
          </w:rPr>
          <w:t>10.1109/tsg.2026.3684885</w:t>
        </w:r>
      </w:hyperlink>
    </w:p>
    <w:p>
      <w:pPr>
        <w:spacing w:before="0" w:after="120"/>
      </w:pPr>
      <w:r>
        <w:rPr>
          <w:b/>
        </w:rPr>
        <w:t xml:space="preserve">Notes: </w:t>
      </w:r>
      <w:r>
        <w:t>abstract_source=semanticscholar</w:t>
      </w:r>
    </w:p>
    <w:p>
      <w:pPr>
        <w:spacing w:before="0" w:after="80" w:lineRule="auto" w:line="276"/>
      </w:pPr>
      <w:r>
        <w:rPr>
          <w:b/>
        </w:rPr>
        <w:t xml:space="preserve">摘要（ZH）: </w:t>
      </w:r>
      <w:r>
        <w:t>实时点对点(P2P)电力市场动态适应可再生能源波动和需求变化,通过瞬时价格响应实现经济效益最大化,同时增强电网灵活性。然而,为海量个性化产消者扩展专家指导面临关键挑战,包括多样化的决策需求和缺乏定制化建模框架。本文提出一种集成大语言模型-多智能体强化学习(LLM-MARL)框架用于实时P2P能源交易,以应对产消者技术能力有限、缺乏专家经验以及配电网安全问题等挑战。引入LLM作为专家生成个性化策略,通过模仿在集中训练分散执行(CTDE)范式下指导MARL。为解决大规模P2P网络固有的可扩展性问题,引入基于差分注意力机制的critic网络以高效提取关键交互特征并增强收敛性。实验结果表明,LLM生成的策略可有效替代人类专家。所提出的模仿专家MARL算法在测试集上相比基线算法实现了显著更低的经济成本和电压越限率,同时保持稳健的稳定性。本文通过将专家知识与智能体学习相结合,为P2P电力市场的实时决策提供了有效解决方案。</w:t>
      </w:r>
    </w:p>
    <w:p>
      <w:pPr>
        <w:spacing w:before="0" w:after="200" w:lineRule="auto" w:line="276"/>
      </w:pPr>
      <w:r>
        <w:rPr>
          <w:b/>
        </w:rPr>
        <w:t xml:space="preserve">Abstract (EN): </w:t>
      </w:r>
      <w:r>
        <w:t>Real-time peer-to-peer (P2P) electricity markets dynamically adapt to fluctuations in renewable energy and variations in demand, maximizing economic benefits through instantaneous price responses while enhancing grid flexibility. However, scaling expert guidance for massive personalized prosumers poses critical challenges, including diverse decision-making demands and a lack of customized modeling frameworks. This paper proposes an integrated large language model-multi-agent reinforcement learning (LLM-MARL) framework for real-time P2P energy trading to address challenges such as the limited technical capability of prosumers, the lack of expert experience, and security issues of distribution networks. LLMs are introduced as experts to generate personalized strategies, guiding MARL under the centralized training with decentralized execution (CTDE) paradigm through imitation. To handle the scalability issues inherent in large-scale P2P networks, a differential attention-based critic network is introduced to efficiently extract key interaction features and enhance convergence. Experimental results demonstrate that LLM-generated strategies effectively substitute human experts. The proposed imitative expert MARL algorithms achieve significantly lower economic costs and voltage violation rates on test sets compared to baseline algorithms, while maintaining robust stability. This paper provides an effective solution for the real-time decision-making of the P2P electricity market by bridging expert knowledge with agent learning.</w:t>
      </w:r>
    </w:p>
    <w:p>
      <w:pPr>
        <w:spacing w:before="120" w:after="120"/>
      </w:pPr>
      <w:r>
        <w:rPr>
          <w:sz w:val="18"/>
        </w:rPr>
        <w:t>——————————————————————————————————————————————————————————————————————</w:t>
      </w:r>
    </w:p>
    <w:p>
      <w:pPr>
        <w:spacing w:before="160" w:after="40" w:line="240" w:lineRule="auto"/>
      </w:pPr>
      <w:r>
        <w:rPr>
          <w:b/>
        </w:rPr>
        <w:t xml:space="preserve">[470] </w:t>
      </w:r>
      <w:hyperlink r:id="rId1268">
        <w:r>
          <w:rPr>
            <w:color w:val="1155CC"/>
            <w:u w:val="single"/>
          </w:rPr>
          <w:t>用于电力系统最优频率控制的构网型与跟网型逆变器分布式协调</w:t>
        </w:r>
      </w:hyperlink>
    </w:p>
    <w:p>
      <w:pPr>
        <w:spacing w:before="0" w:after="80"/>
      </w:pPr>
      <w:r>
        <w:rPr>
          <w:i/>
          <w:sz w:val="20"/>
        </w:rPr>
        <w:t>EN: Distributed Coordination of Grid-Forming and Grid-Following Inverters for Optimal Frequency Control in Power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69">
        <w:r>
          <w:rPr>
            <w:color w:val="1155CC"/>
            <w:u w:val="single"/>
          </w:rPr>
          <w:t>10.1109/tpwrs.2026.3684791</w:t>
        </w:r>
      </w:hyperlink>
    </w:p>
    <w:p>
      <w:pPr>
        <w:spacing w:before="0" w:after="120"/>
      </w:pPr>
      <w:r>
        <w:rPr>
          <w:b/>
        </w:rPr>
        <w:t xml:space="preserve">Notes: </w:t>
      </w:r>
      <w:r>
        <w:t>abstract_source=semanticscholar</w:t>
      </w:r>
    </w:p>
    <w:p>
      <w:pPr>
        <w:spacing w:before="0" w:after="80" w:lineRule="auto" w:line="276"/>
      </w:pPr>
      <w:r>
        <w:rPr>
          <w:b/>
        </w:rPr>
        <w:t xml:space="preserve">摘要（ZH）: </w:t>
      </w:r>
      <w:r>
        <w:t>逆变器接口可再生能源的大规模并网对现代电力系统维持功率平衡和额定频率带来了重大挑战。本文研究构网型(GFM)和跟网型(GFL)逆变器型资源(IBR)的电网级协调控制,以实现可扩展的最优频率控制。我们基于投影原始-对偶梯度法并利用底层物理系统动态结构,提出一种完全分布式的最优频率控制算法。所提算法:i)恢复系统额定频率,同时最小化总控制成本,并强制执行时变IBR功率容量限制和线路热约束;ii)以分布式方式运行,仅需本地测量和相邻智能体间通信。特别地,当不考虑线路热约束时,所提算法可采用完全本地实现而无需通信,同时仍保证最优性并满足IBR功率容量限制。我们利用Lyapunov稳定性分析建立了算法的全局渐近稳定性。所提算法的有效性和最优性通过在IEEE 39节点系统上的高保真、100%逆变器型电磁暂态(EMT)仿真得到验证。仿真进一步证明了所提控制算法下同步发电机与IBR之间的有效协调,以及对测量噪声、通信延迟和参数不确定性的鲁棒性。</w:t>
      </w:r>
    </w:p>
    <w:p>
      <w:pPr>
        <w:spacing w:before="0" w:after="200" w:lineRule="auto" w:line="276"/>
      </w:pPr>
      <w:r>
        <w:rPr>
          <w:b/>
        </w:rPr>
        <w:t xml:space="preserve">Abstract (EN): </w:t>
      </w:r>
      <w:r>
        <w:t>The large-scale integration of inverter-interfaced renewable energy sources presents significant challenges to maintaining power balance and nominal frequency in modern power systems. This paper studies grid-level coordinated control of grid-forming (GFM) and grid-following (GFL) inverter-based resources (IBRs) for scalable and optimal frequency control. We propose a fully distributed optimal frequency control algorithm based on the projected primal-dual gradient method and by leveraging the structure of the underlying physical system dynamics. The proposed algorithm i) restores the nominal system frequency while minimizing total control cost and enforcing time-varying IBR power capacity limits and line thermal constraints, and ii) operates in a distributed manner that only needs local measurements and neighbor-to-neighbor communication. In particular, when the line thermal constraints are disregarded, the proposed algorithm admits a fully local implementation that requires no communication, while still ensuring optimality and satisfying IBR power capacity limits. We establish the global asymptotic stability of the algorithm using Lyapunov stability analysis. The effectiveness and optimality of the proposed algorithms are validated through high-fidelity, 100% inverter-based electromagnetic transient (EMT) simulations on the IEEE 39-bus system. The simulations further demonstrate the effective coordination between synchronous generators and IBRs under the proposed control algorithms, as well as the robustness to measurement noise, communication delays, and parameter uncertainties.</w:t>
      </w:r>
    </w:p>
    <w:p>
      <w:pPr>
        <w:spacing w:before="120" w:after="120"/>
      </w:pPr>
      <w:r>
        <w:rPr>
          <w:sz w:val="18"/>
        </w:rPr>
        <w:t>——————————————————————————————————————————————————————————————————————</w:t>
      </w:r>
    </w:p>
    <w:p>
      <w:pPr>
        <w:spacing w:before="160" w:after="40" w:line="240" w:lineRule="auto"/>
      </w:pPr>
      <w:r>
        <w:rPr>
          <w:b/>
        </w:rPr>
        <w:t xml:space="preserve">[471] </w:t>
      </w:r>
      <w:hyperlink r:id="rId1270">
        <w:r>
          <w:rPr>
            <w:color w:val="1155CC"/>
            <w:u w:val="single"/>
          </w:rPr>
          <w:t>PI-YOLO：一种基于航拍图像的高效电力线巡检检测器</w:t>
        </w:r>
      </w:hyperlink>
    </w:p>
    <w:p>
      <w:pPr>
        <w:spacing w:before="0" w:after="80"/>
      </w:pPr>
      <w:r>
        <w:rPr>
          <w:i/>
          <w:sz w:val="20"/>
        </w:rPr>
        <w:t>EN: PI-YOLO: An Efficient Detector for Power Line Inspection Using Aerial Images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71">
        <w:r>
          <w:rPr>
            <w:color w:val="1155CC"/>
            <w:u w:val="single"/>
          </w:rPr>
          <w:t>10.1109/tsg.2026.3685136</w:t>
        </w:r>
      </w:hyperlink>
    </w:p>
    <w:p>
      <w:pPr>
        <w:spacing w:before="0" w:after="120"/>
      </w:pPr>
      <w:r>
        <w:rPr>
          <w:b/>
        </w:rPr>
        <w:t xml:space="preserve">Notes: </w:t>
      </w:r>
      <w:r>
        <w:t>abstract_source=semanticscholar</w:t>
      </w:r>
    </w:p>
    <w:p>
      <w:pPr>
        <w:spacing w:before="0" w:after="80" w:lineRule="auto" w:line="276"/>
      </w:pPr>
      <w:r>
        <w:rPr>
          <w:b/>
        </w:rPr>
        <w:t xml:space="preserve">摘要（ZH）: </w:t>
      </w:r>
      <w:r>
        <w:t>电力线路巡检作为智能电网维护的关键任务,已借助无人机(UAV)和神经检测器实现自动化与智能化。巡检任务要求检测器在高分辨率航拍图像中快速准确地识别多样化设备。然而,现有检测器仍不足以满足这些要求,主要原因是其数据集规模不足、高分辨率适应性差以及网络效率低。为应对这些挑战,本文首先采集了99202张分辨率为$4939\times 2987$的巡检图像,标注了52个类别,建立了电力巡检统一数据集(PIUD)作为数据基础。然后,通过所提出的电力巡检多尺度(PIMS)框架将PIUD进一步处理为PIUD-MS,以支持高分辨率训练和推理。最后,本文在YOLOv11基础上开发了PI-YOLO,在多尺度能力、网络结构和感受野方面均有性能提升。PI-YOLO已公开发布,可作为巡检或标注应用的高效检测器,其在COCO、PIUD-MS和InsPLAD上的实验验证了其先进性能。与基线YOLOv11及其他检测器相比,PI-YOLO同时实现了性能提升和延迟降低。例如,PI-YOLO-Large在PIUD-MS上相比YOLOv11将AP提高0.7的同时将延迟降低1ms。</w:t>
      </w:r>
    </w:p>
    <w:p>
      <w:pPr>
        <w:spacing w:before="0" w:after="200" w:lineRule="auto" w:line="276"/>
      </w:pPr>
      <w:r>
        <w:rPr>
          <w:b/>
        </w:rPr>
        <w:t xml:space="preserve">Abstract (EN): </w:t>
      </w:r>
      <w:r>
        <w:t>Power line inspection, as a critical task of smart grid maintenance, has been empowered by Unmanned Aerial Vehicles (UAVs) and neural detectors for automation and intelligence. The inspection task requires detectors to identify diverse equipment in high-resolution aerial images rapidly and accurately. However, existing detectors are still insufficient to meet these requirements, primarily due to their inadequate dataset scale, high-resolution adaptability, and network efficiency. To address these challenges, this paper first collects 99202 inspection images with a resolution of $4939\times 2987$ and annotates 52 categories, thereby establishing the Power Inspection Unify Dataset (PIUD) as the data foundation. Then, PIUD is further processed by the proposed Power Inspection Multi-Scale (PIMS) framework to PIUD-MS to support high-resolution training and inference. Finally, this paper develops PI-YOLO based on YOLOv11 with improved performance in terms of multi-scale capability, network structure, and receptive field. PI-YOLO is publicly released as an efficient detector for inspection or annotation applications, whose advanced performance is validated by experiments on COCO, PIUD-MS, and InsPLAD. Compared with the baseline YOLOv11 and other detectors, PI-YOLO achieves both performance improvement and latency reduction. For example, PI-YOLO-Large improves AP by 0.7 while reducing latency by 1ms on PIUD-MS compared to YOLOv11.</w:t>
      </w:r>
    </w:p>
    <w:p>
      <w:pPr>
        <w:spacing w:before="120" w:after="120"/>
      </w:pPr>
      <w:r>
        <w:rPr>
          <w:sz w:val="18"/>
        </w:rPr>
        <w:t>——————————————————————————————————————————————————————————————————————</w:t>
      </w:r>
    </w:p>
    <w:p>
      <w:pPr>
        <w:spacing w:before="160" w:after="40" w:line="240" w:lineRule="auto"/>
      </w:pPr>
      <w:r>
        <w:rPr>
          <w:b/>
        </w:rPr>
        <w:t xml:space="preserve">[472] </w:t>
      </w:r>
      <w:hyperlink r:id="rId1272">
        <w:r>
          <w:rPr>
            <w:color w:val="1155CC"/>
            <w:u w:val="single"/>
          </w:rPr>
          <w:t>考虑灵活性资源的配电系统安全域的时不变性</w:t>
        </w:r>
      </w:hyperlink>
    </w:p>
    <w:p>
      <w:pPr>
        <w:spacing w:before="0" w:after="80"/>
      </w:pPr>
      <w:r>
        <w:rPr>
          <w:i/>
          <w:sz w:val="20"/>
        </w:rPr>
        <w:t>EN: Time-Invariance of Distribution System Security Region Considering Flexible Resources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73">
        <w:r>
          <w:rPr>
            <w:color w:val="1155CC"/>
            <w:u w:val="single"/>
          </w:rPr>
          <w:t>10.1109/tsg.2026.3667835</w:t>
        </w:r>
      </w:hyperlink>
    </w:p>
    <w:p>
      <w:pPr>
        <w:spacing w:before="0" w:after="120"/>
      </w:pPr>
      <w:r>
        <w:rPr>
          <w:b/>
        </w:rPr>
        <w:t xml:space="preserve">Notes: </w:t>
      </w:r>
      <w:r>
        <w:t>abstract_source=semanticscholar</w:t>
      </w:r>
    </w:p>
    <w:p>
      <w:pPr>
        <w:spacing w:before="0" w:after="80" w:lineRule="auto" w:line="276"/>
      </w:pPr>
      <w:r>
        <w:rPr>
          <w:b/>
        </w:rPr>
        <w:t xml:space="preserve">摘要（ZH）: </w:t>
      </w:r>
      <w:r>
        <w:t>配电网安全域(DSSR)在考虑储能系统、需求响应等灵活性资源(FR)后具有时变特性。本文首次对DSSR的时变性进行深入研究,指出并解决其所引起的问题。首先,介绍了现有DSSR模型,分析了时变性的原因:FR的调节体现为安全域的变化。同时分析了DSSR时变性引起的问题,即基于安全域的方法将在在线安全分析中失去速度优势。其次,考虑完整类型的FR和N-1安全,提出了时不变DSSR模型及其安全分析方法。解决DSSR时变性的关键是将FR的调节体现为运行点的移动。最后,在真实算例和大规模算例中验证了所提模型和方法,并与现有研究进行对比。对比结果表明,所提模型在安全分析中保持了基于安全域方法的速度优势。这项工作建立了时变DSSR与时不变DSSR之间的联系,为DSSR在智能配电网中的实际应用奠定了关键基础。</w:t>
      </w:r>
    </w:p>
    <w:p>
      <w:pPr>
        <w:spacing w:before="0" w:after="200" w:lineRule="auto" w:line="276"/>
      </w:pPr>
      <w:r>
        <w:rPr>
          <w:b/>
        </w:rPr>
        <w:t xml:space="preserve">Abstract (EN): </w:t>
      </w:r>
      <w:r>
        <w:t>Distribution system security region (DSSR) has time-variant characteristics after considering flexible resources (FRs) such as energy storage systems and demand response. This paper conducts an in-depth study on the time-variance of DSSR for the first time, pointing out and addressing the problem it causes. Firstly, the existing DSSR model is introduced. The reason for the time-variance is analyzed: FR regulations are reflected in the region varying. The problem caused by the time-variance of DSSR is also analyzed, namely that the region-based method will lose its speed advantage in online security analysis. Secondly, a time-invariant DSSR model and its security analysis method are proposed, considering complete types of FRs and N-1 security. The key to addressing the time-variance of DSSR is to reflect FR regulations as the operating point movement. Finally, the proposed model and method are verified in a real case and a large case, and compared with the existing research. The comparison shows that the proposed model maintains the speed advantage of the region-based method in security analysis. This work establishes a link between time-variant DSSR and time-invariant DSSR, laying a key foundation for practical applications of DSSR in smart distribution networks.</w:t>
      </w:r>
    </w:p>
    <w:p>
      <w:pPr>
        <w:spacing w:before="120" w:after="120"/>
      </w:pPr>
      <w:r>
        <w:rPr>
          <w:sz w:val="18"/>
        </w:rPr>
        <w:t>——————————————————————————————————————————————————————————————————————</w:t>
      </w:r>
    </w:p>
    <w:p>
      <w:pPr>
        <w:spacing w:before="160" w:after="40" w:line="240" w:lineRule="auto"/>
      </w:pPr>
      <w:r>
        <w:rPr>
          <w:b/>
        </w:rPr>
        <w:t xml:space="preserve">[473] </w:t>
      </w:r>
      <w:hyperlink r:id="rId1274">
        <w:r>
          <w:rPr>
            <w:color w:val="1155CC"/>
            <w:u w:val="single"/>
          </w:rPr>
          <w:t>基于物理感知的循环与图学习：跨未见网络的鲁棒配电系统状态估计</w:t>
        </w:r>
      </w:hyperlink>
    </w:p>
    <w:p>
      <w:pPr>
        <w:spacing w:before="0" w:after="80"/>
      </w:pPr>
      <w:r>
        <w:rPr>
          <w:i/>
          <w:sz w:val="20"/>
        </w:rPr>
        <w:t>EN: Physics-Aware Recurrent and Graphical Learning for Robust Distribution System State Estimation Across Unseen Networks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75">
        <w:r>
          <w:rPr>
            <w:color w:val="1155CC"/>
            <w:u w:val="single"/>
          </w:rPr>
          <w:t>10.1109/tsg.2026.3677277</w:t>
        </w:r>
      </w:hyperlink>
    </w:p>
    <w:p>
      <w:pPr>
        <w:spacing w:before="0" w:after="120"/>
      </w:pPr>
      <w:r>
        <w:rPr>
          <w:b/>
        </w:rPr>
        <w:t xml:space="preserve">Notes: </w:t>
      </w:r>
      <w:r>
        <w:t>abstract_source=semanticscholar</w:t>
      </w:r>
    </w:p>
    <w:p>
      <w:pPr>
        <w:spacing w:before="0" w:after="80" w:lineRule="auto" w:line="276"/>
      </w:pPr>
      <w:r>
        <w:rPr>
          <w:b/>
        </w:rPr>
        <w:t xml:space="preserve">摘要（ZH）: </w:t>
      </w:r>
      <w:r>
        <w:t>鲁棒的配电系统状态估计（DSSE）在现代复杂电网中日益重要。然而，传统基于优化的DSSE方法常面临实时性复杂度的挑战。因此，近期进展引入了基于学习的、物理感知的DSSE方法，利用网络结构信息来提升模型有效性。其中，图神经网络（GNN）作为一种有效的DSSE解决方案备受关注。然而，基于GNN的模型在实际DSSE应用中面临重大挑战，因为它们仅依赖聚合和传播相邻节点的特征。为解决这一局限，本文提出了一种新颖的物理感知DSSE框架。该框架将结构感知递归神经网络与带有卷积自回归滑动平均层的GNN相结合，以改进特征聚合与传播。该模型显著增强了对多种未见网络拓扑的鲁棒性和可迁移性。通过在真实配电系统上的大量测试验证了所提框架的可扩展性。在未见网络的正常场景下，所提方法相比现有方法性能平均提升0.625%的MAPE和0.0093弧度的MAE。额外的消融实验和量测可用性研究进一步验证了所提框架的鲁棒性和有效性。该框架为DSSE提供了实用解决方案，即使在恶劣环境下也能确保精确的状态估计。</w:t>
      </w:r>
    </w:p>
    <w:p>
      <w:pPr>
        <w:spacing w:before="0" w:after="200" w:lineRule="auto" w:line="276"/>
      </w:pPr>
      <w:r>
        <w:rPr>
          <w:b/>
        </w:rPr>
        <w:t xml:space="preserve">Abstract (EN): </w:t>
      </w:r>
      <w:r>
        <w:t>Robust distribution system state estimation (DSSE) is increasingly vital in modern, complex networks. However, conventional optimization-based DSSE approaches often face challenges with real-time complexity. Consequently, recent advancements have introduced learning-based, physics-aware DSSE methods that leverage network structural information to enhance model effectiveness. Among these methods, graph neural networks (GNNs) have gained prominence as an effective DSSE solution. However, GNN-based models encounter significant challenges in practical DSSE applications, due to their reliance on aggregating and propagating features only from adjacent nodes. To address this limitation, this paper presents a novel physics-aware DSSE framework. It integrates a structure-aware recurrent neural network and GNN with convolutional autoregressive moving average layers for improved feature aggregation and propagation. This model significantly enhances robustness and transferability across diverse unseen network topologies. The scalability of the proposed framework is demonstrated through extensive testing on real distribution systems. The proposed method demonstrates superior performance compared to existing methods by an average of 0.625% MAPE and 0.0093 rad. MAE in normal scenario under unseen networks. Additional ablation and measurement availability studies further verify the robustness and effectiveness of the proposed framework. The framework offers a pragmatic solution for DSSE, ensuring precise state estimation even in challenging environments.</w:t>
      </w:r>
    </w:p>
    <w:p>
      <w:pPr>
        <w:spacing w:before="120" w:after="120"/>
      </w:pPr>
      <w:r>
        <w:rPr>
          <w:sz w:val="18"/>
        </w:rPr>
        <w:t>——————————————————————————————————————————————————————————————————————</w:t>
      </w:r>
    </w:p>
    <w:p>
      <w:pPr>
        <w:spacing w:before="160" w:after="40" w:line="240" w:lineRule="auto"/>
      </w:pPr>
      <w:r>
        <w:rPr>
          <w:b/>
        </w:rPr>
        <w:t xml:space="preserve">[474] </w:t>
      </w:r>
      <w:hyperlink r:id="rId1276">
        <w:r>
          <w:rPr>
            <w:color w:val="1155CC"/>
            <w:u w:val="single"/>
          </w:rPr>
          <w:t>微电网中构网型与跟网型逆变器的固定时间隐私保护分布式协调控制</w:t>
        </w:r>
      </w:hyperlink>
    </w:p>
    <w:p>
      <w:pPr>
        <w:spacing w:before="0" w:after="80"/>
      </w:pPr>
      <w:r>
        <w:rPr>
          <w:i/>
          <w:sz w:val="20"/>
        </w:rPr>
        <w:t>EN: Fixed-Time Privacy-Preserving Distributed Coordinated Control for Grid-Forming and Grid-Following Inverters in Microgrids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77">
        <w:r>
          <w:rPr>
            <w:color w:val="1155CC"/>
            <w:u w:val="single"/>
          </w:rPr>
          <w:t>10.1109/tsg.2026.3687218</w:t>
        </w:r>
      </w:hyperlink>
    </w:p>
    <w:p>
      <w:pPr>
        <w:spacing w:before="0" w:after="120"/>
      </w:pPr>
      <w:r>
        <w:rPr>
          <w:b/>
        </w:rPr>
        <w:t xml:space="preserve">Notes: </w:t>
      </w:r>
      <w:r>
        <w:t>abstract_source=semanticscholar</w:t>
      </w:r>
    </w:p>
    <w:p>
      <w:pPr>
        <w:spacing w:before="0" w:after="80" w:lineRule="auto" w:line="276"/>
      </w:pPr>
      <w:r>
        <w:rPr>
          <w:b/>
        </w:rPr>
        <w:t xml:space="preserve">摘要（ZH）: </w:t>
      </w:r>
      <w:r>
        <w:t>随着可再生能源渗透率的持续增长和微电网（MG）系统日益复杂，确保系统稳定性、安全性以及异构逆变器类型之间的协调控制变得至关重要。本文研究了构网型逆变器（GFMI）、PQ控制的跟网型逆变器（GFLI）以及下垂控制的GFLI之间的协调问题。为解决该问题，建立了一个基于领导者-跟随者一致性（LFC）架构的通信层，以实现GFMI、PQ控制GFLI和下垂控制GFLI之间的信息交换。在此框架基础上，通过引入状态分解机制，提出了一种新颖的固定时间隐私保护分布式协调控制器。所提控制器实现了GFMI频率和MG主母线电压的固定时间调节，确保所有逆变器类型之间的有功和无功功率按比例分配，并保护MG运行数据的机密性。与现有研究相比，本工作整合了不同逆变器类型的协调，兼顾运行效率与隐私保护，这在以往文献中尚未得到充分解决。最后，通过实时硬件在环实验验证了所提方法的有效性。</w:t>
      </w:r>
    </w:p>
    <w:p>
      <w:pPr>
        <w:spacing w:before="0" w:after="200" w:lineRule="auto" w:line="276"/>
      </w:pPr>
      <w:r>
        <w:rPr>
          <w:b/>
        </w:rPr>
        <w:t xml:space="preserve">Abstract (EN): </w:t>
      </w:r>
      <w:r>
        <w:t>As renewable energy integration continues to grow and microgrid (MG) systems become increasingly complex, it becomes critical to ensure system stability, security, and coordinated control among heterogeneous inverter types. This paper investigates the coordination among grid-forming inverters (GFMIs), grid-following inverters (GFLIs) under PQ control, and GFLIs under droop control. To address this problem, a communication layer based on the leader-follower consensus (LFC) architecture is established to enable information exchange among GFMIs, PQ-controlled GFLIs, and droop-controlled GFLIs. Building on this framework, a novel fixed-time privacy-preserving distributed coordinated controller is proposed by introducing a state decomposition mechanism. The proposed controller achieves fixed-time regulation of GFMI frequency and MG main bus voltage, ensures proportional active and reactive power sharing among all inverter types, and maintains the confidentiality of MG operational data. In comparison with existing studies, this work integrates the coordination of different inverter types, ensuring both operational efficiency and privacy protection, which has not been fully addressed in previous literature. Finally, the effectiveness of the proposed approach is demonstrated through real-time hardware-in-the-loop experiments.</w:t>
      </w:r>
    </w:p>
    <w:p>
      <w:pPr>
        <w:spacing w:before="120" w:after="120"/>
      </w:pPr>
      <w:r>
        <w:rPr>
          <w:sz w:val="18"/>
        </w:rPr>
        <w:t>——————————————————————————————————————————————————————————————————————</w:t>
      </w:r>
    </w:p>
    <w:p>
      <w:pPr>
        <w:spacing w:before="160" w:after="40" w:line="240" w:lineRule="auto"/>
      </w:pPr>
      <w:r>
        <w:rPr>
          <w:b/>
        </w:rPr>
        <w:t xml:space="preserve">[475] </w:t>
      </w:r>
      <w:hyperlink r:id="rId1278">
        <w:r>
          <w:rPr>
            <w:color w:val="1155CC"/>
            <w:u w:val="single"/>
          </w:rPr>
          <w:t>虚拟电厂中家庭能源灵活性的去中心化协调</w:t>
        </w:r>
      </w:hyperlink>
    </w:p>
    <w:p>
      <w:pPr>
        <w:spacing w:before="0" w:after="80"/>
      </w:pPr>
      <w:r>
        <w:rPr>
          <w:i/>
          <w:sz w:val="20"/>
        </w:rPr>
        <w:t>EN: Decentralized Coordination of Household Energy Flexibility in Virtual Power Plants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79">
        <w:r>
          <w:rPr>
            <w:color w:val="1155CC"/>
            <w:u w:val="single"/>
          </w:rPr>
          <w:t>10.1109/tsg.2026.3678275</w:t>
        </w:r>
      </w:hyperlink>
    </w:p>
    <w:p>
      <w:pPr>
        <w:spacing w:before="0" w:after="120"/>
      </w:pPr>
      <w:r>
        <w:rPr>
          <w:b/>
        </w:rPr>
        <w:t xml:space="preserve">Notes: </w:t>
      </w:r>
      <w:r>
        <w:t>abstract_source=semanticscholar</w:t>
      </w:r>
    </w:p>
    <w:p>
      <w:pPr>
        <w:spacing w:before="0" w:after="80" w:lineRule="auto" w:line="276"/>
      </w:pPr>
      <w:r>
        <w:rPr>
          <w:b/>
        </w:rPr>
        <w:t xml:space="preserve">摘要（ZH）: </w:t>
      </w:r>
      <w:r>
        <w:t>分布式能源（DER）和电动汽车在居民领域的渗透率不断提高，为电力系统运营商带来了挑战与机遇。虚拟电厂（VPP）提供了一种聚合家庭灵活性并参与电力市场的有效机制。本文提出了一种在VPP内协调家庭灵活性的去中心化优化框架。将基于Transformer的非侵入式负荷监测应用于智能电表数据，以恢复家电级基线、量化灵活性并估计可再生能源出力。在这些估计的基础上，采用基于交替方向乘子法（ADMM）的算法，将家庭调度与VPP层面对日前、实时和辅助服务市场的参与进行协调。运营商仅交换聚合信号和灵活性报价，而设备级决策保留在本地，从而保护隐私并实现并行化，提高计算效率和协调响应速度。基于真实居民数据集在季节性场景下的数值研究验证了所提方法的有效性和可扩展性，在投资组合规模上展现出具有竞争力的市场表现和快速收敛性。</w:t>
      </w:r>
    </w:p>
    <w:p>
      <w:pPr>
        <w:spacing w:before="0" w:after="200" w:lineRule="auto" w:line="276"/>
      </w:pPr>
      <w:r>
        <w:rPr>
          <w:b/>
        </w:rPr>
        <w:t xml:space="preserve">Abstract (EN): </w:t>
      </w:r>
      <w:r>
        <w:t>The increasing penetration of distributed energy resources (DERs) and electric vehicles in residential sectors presents both challenges and opportunities for power system operators. Virtual power plants (VPPs) provide an effective mechanism to aggregate household flexibility and participate in electricity markets. This paper proposes a decentralized optimization framework for coordinating household flexibility within a VPP. Transformer-based non-intrusive load monitoring is applied to smart-meter data to recover appliance-level baselines, quantify flexibility, and estimate renewable generation. Building on these estimates, an alternating direction method of multipliers (ADMM)-based algorithm is used to coordinate household scheduling with VPP-level participation in day-ahead, real-time, and ancillary service markets. The operator exchanges only aggregate signals and flexibility offers, while device-level decisions remain local, preserving privacy and enabling parallelism to improve computational efficiency and coordination responsiveness. Numerical studies on a real residential dataset under seasonal scenarios demonstrate the effectiveness and scalability of the proposed approach, showing competitive market performance with fast convergence at portfolio scale.</w:t>
      </w:r>
    </w:p>
    <w:p>
      <w:pPr>
        <w:spacing w:before="120" w:after="120"/>
      </w:pPr>
      <w:r>
        <w:rPr>
          <w:sz w:val="18"/>
        </w:rPr>
        <w:t>——————————————————————————————————————————————————————————————————————</w:t>
      </w:r>
    </w:p>
    <w:p>
      <w:pPr>
        <w:spacing w:before="160" w:after="40" w:line="240" w:lineRule="auto"/>
      </w:pPr>
      <w:r>
        <w:rPr>
          <w:b/>
        </w:rPr>
        <w:t xml:space="preserve">[476] </w:t>
      </w:r>
      <w:hyperlink r:id="rId1280">
        <w:r>
          <w:rPr>
            <w:color w:val="1155CC"/>
            <w:u w:val="single"/>
          </w:rPr>
          <w:t>面向可泛化数据驱动动态安全评估的电网拓扑连续特征表示</w:t>
        </w:r>
      </w:hyperlink>
    </w:p>
    <w:p>
      <w:pPr>
        <w:spacing w:before="0" w:after="80"/>
      </w:pPr>
      <w:r>
        <w:rPr>
          <w:i/>
          <w:sz w:val="20"/>
        </w:rPr>
        <w:t>EN: Continuous Feature Representation of Power Grid Topology for Generalizable Data-Driven Dynamic Security Assessment</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81">
        <w:r>
          <w:rPr>
            <w:color w:val="1155CC"/>
            <w:u w:val="single"/>
          </w:rPr>
          <w:t>10.1109/tpwrs.2026.3673735</w:t>
        </w:r>
      </w:hyperlink>
    </w:p>
    <w:p>
      <w:pPr>
        <w:spacing w:before="0" w:after="120"/>
      </w:pPr>
      <w:r>
        <w:rPr>
          <w:b/>
        </w:rPr>
        <w:t xml:space="preserve">Notes: </w:t>
      </w:r>
      <w:r>
        <w:t>abstract_source=semanticscholar</w:t>
      </w:r>
    </w:p>
    <w:p>
      <w:pPr>
        <w:spacing w:before="0" w:after="80" w:lineRule="auto" w:line="276"/>
      </w:pPr>
      <w:r>
        <w:rPr>
          <w:b/>
        </w:rPr>
        <w:t xml:space="preserve">摘要（ZH）: </w:t>
      </w:r>
      <w:r>
        <w:t>电网拓扑是影响电力系统动态安全的关键因素。由于线路定期检修，拓扑结构频繁变化。为适应不同拓扑，数据驱动的动态安全评估（DSA）的输入特征集需纳入拓扑信息。本文提出了一种电网拓扑的连续特征表示方法，旨在实现具有高拓扑泛化性能的数据驱动DSA。首先，利用代表性节点的电气坐标对电网拓扑进行连续表示，并提出拓扑变化后电气坐标的高效计算方法。然后，基于典型相关性分析选择代表性节点，并在选择过程中考虑拓扑特征的单射特性。最后，通过多模态特征融合将故障前运行状态、故障位置和拓扑特征进行融合，构建拓扑自适应的DSA模型。在新英格兰39母线系统和中国某省级系统上验证了DSA模型在未知拓扑上的泛化性能。</w:t>
      </w:r>
    </w:p>
    <w:p>
      <w:pPr>
        <w:spacing w:before="0" w:after="200" w:lineRule="auto" w:line="276"/>
      </w:pPr>
      <w:r>
        <w:rPr>
          <w:b/>
        </w:rPr>
        <w:t xml:space="preserve">Abstract (EN): </w:t>
      </w:r>
      <w:r>
        <w:t>The power grid topology is a critical factor influencing the dynamic security of power systems. Due to regular line maintenance, the topology undergoes frequent changes. To adapt to different topologies, the input feature set for data-driven dynamic security assessment (DSA) needs to incorporate topological information. In this paper, a continuous feature representation method of power grid topology is proposed, aiming to achieve the data-driven DSA with high topological generalization performance. Firstly, the power grid topology is continuously represented by the electrical coordinates of representative nodes, and an efficient calculation method of electrical coordinates after topology changes is proposed. Then, representative nodes are selected based on canonical correlation analysis, and the injective characteristic of topology features is considered in the selection process. Finally, the features of the pre-fault operating condition, fault location, and topology are merged via multimodal feature fusion, and a topology-adaptive DSA model is constructed. The generalization performance of the DSA model on unknown topologies is verified on the New England 39-bus system and a provincial system in China.</w:t>
      </w:r>
    </w:p>
    <w:p>
      <w:pPr>
        <w:spacing w:before="120" w:after="120"/>
      </w:pPr>
      <w:r>
        <w:rPr>
          <w:sz w:val="18"/>
        </w:rPr>
        <w:t>——————————————————————————————————————————————————————————————————————</w:t>
      </w:r>
    </w:p>
    <w:p>
      <w:pPr>
        <w:spacing w:before="160" w:after="40" w:line="240" w:lineRule="auto"/>
      </w:pPr>
      <w:r>
        <w:rPr>
          <w:b/>
        </w:rPr>
        <w:t xml:space="preserve">[477] </w:t>
      </w:r>
      <w:hyperlink r:id="rId1282">
        <w:r>
          <w:rPr>
            <w:color w:val="1155CC"/>
            <w:u w:val="single"/>
          </w:rPr>
          <w:t>考虑母线和耦合器故障的安全约束变电站重构</w:t>
        </w:r>
      </w:hyperlink>
    </w:p>
    <w:p>
      <w:pPr>
        <w:spacing w:before="0" w:after="80"/>
      </w:pPr>
      <w:r>
        <w:rPr>
          <w:i/>
          <w:sz w:val="20"/>
        </w:rPr>
        <w:t>EN: Security-Constrained Substation Reconfiguration Considering Busbar and Coupler Contingencies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83">
        <w:r>
          <w:rPr>
            <w:color w:val="1155CC"/>
            <w:u w:val="single"/>
          </w:rPr>
          <w:t>10.1109/tpwrs.2026.3672206</w:t>
        </w:r>
      </w:hyperlink>
    </w:p>
    <w:p>
      <w:pPr>
        <w:spacing w:before="0" w:after="120"/>
      </w:pPr>
      <w:r>
        <w:rPr>
          <w:b/>
        </w:rPr>
        <w:t xml:space="preserve">Notes: </w:t>
      </w:r>
      <w:r>
        <w:t>abstract_source=semanticscholar</w:t>
      </w:r>
    </w:p>
    <w:p>
      <w:pPr>
        <w:spacing w:before="0" w:after="80" w:lineRule="auto" w:line="276"/>
      </w:pPr>
      <w:r>
        <w:rPr>
          <w:b/>
        </w:rPr>
        <w:t xml:space="preserve">摘要（ZH）: </w:t>
      </w:r>
      <w:r>
        <w:t>通过母线分裂实现的变电站重构可以缓解输电网拥塞并降低运行成本。然而，现有方法忽略了变电站拓扑的安全性，特别是对于未进行母线分裂（即联络开关闭合）的变电站，这可能导致严重后果。此外，变电站拓扑优化的计算复杂度仍然是一个挑战。本文提出了一种安全约束变电站重构（SC-SR）的MILP模型，考虑N-1线路、联络开关和母线故障，以确保变电站拓扑安全。为高效求解该问题，我们提出了一种具有多个主问题的启发式方法（HMMP）。中央主问题优化调度，而独立的变电站主问题并行确定各变电站拓扑。线性化交流潮流方程确保潮流（PF）精度，同时可行性和最优性子问题评估故障场景。所提HMMP显著降低了计算复杂度，并具备向大规模电力系统扩展的能力。在IEEE 14母线、118母线和PEGASE 1354母线系统上的算例研究表明，该方法在缓解联络开关和母线跳闸影响、平衡系统安全性与成本以及计算效率方面的有效性。</w:t>
      </w:r>
    </w:p>
    <w:p>
      <w:pPr>
        <w:spacing w:before="0" w:after="200" w:lineRule="auto" w:line="276"/>
      </w:pPr>
      <w:r>
        <w:rPr>
          <w:b/>
        </w:rPr>
        <w:t xml:space="preserve">Abstract (EN): </w:t>
      </w:r>
      <w:r>
        <w:t>Substation reconfiguration via busbar splitting can mitigate transmission grid congestion and reduce operational costs. However, existing approaches neglect the security of substation topology, particularly for substations without busbar splitting (i.e., closed couplers), which can lead to severe consequences. Additionally, the computational complexity of optimizing substation topology remains a challenge. This paper introduces a MILP formulation for security-constrained substation reconfiguration (SC-SR), considering N-1 line, coupler and busbar contingencies to ensure secure substation topology. To efficiently solve this problem, we propose a heuristic approach with multiple master problems (HMMP). A central master problem optimizes dispatch, while independent substation master problems determine individual substation topologies in parallel. Linear AC power flow equations ensure PF accuracy, while feasibility and optimality sub-problems evaluate contingency cases. The proposed HMMP significantly reduces computational complexity and enables scalability to large-scale power systems. Case studies on the IEEE 14-bus, 118-bus, and PEGASE 1354-bus system show the effectiveness of the approach in mitigating the impact of coupler and busbar tripping, balancing system security and cost, and computational efficiency.</w:t>
      </w:r>
    </w:p>
    <w:p>
      <w:pPr>
        <w:spacing w:before="120" w:after="120"/>
      </w:pPr>
      <w:r>
        <w:rPr>
          <w:sz w:val="18"/>
        </w:rPr>
        <w:t>——————————————————————————————————————————————————————————————————————</w:t>
      </w:r>
    </w:p>
    <w:p>
      <w:pPr>
        <w:spacing w:before="160" w:after="40" w:line="240" w:lineRule="auto"/>
      </w:pPr>
      <w:r>
        <w:rPr>
          <w:b/>
        </w:rPr>
        <w:t xml:space="preserve">[478] </w:t>
      </w:r>
      <w:hyperlink r:id="rId1284">
        <w:r>
          <w:rPr>
            <w:color w:val="1155CC"/>
            <w:u w:val="single"/>
          </w:rPr>
          <w:t>基于贝叶斯滤波的换流器引起不确定波动下精细化频率约束机组组合</w:t>
        </w:r>
      </w:hyperlink>
    </w:p>
    <w:p>
      <w:pPr>
        <w:spacing w:before="0" w:after="80"/>
      </w:pPr>
      <w:r>
        <w:rPr>
          <w:i/>
          <w:sz w:val="20"/>
        </w:rPr>
        <w:t>EN: Refined Frequency-Constrained Unit Commitment Under Converter-Induced Uncertain-Variability Through Bayesian Filtering</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85">
        <w:r>
          <w:rPr>
            <w:color w:val="1155CC"/>
            <w:u w:val="single"/>
          </w:rPr>
          <w:t>10.1109/tpwrs.2026.3684036</w:t>
        </w:r>
      </w:hyperlink>
    </w:p>
    <w:p>
      <w:pPr>
        <w:spacing w:before="0" w:after="120"/>
      </w:pPr>
      <w:r>
        <w:rPr>
          <w:b/>
        </w:rPr>
        <w:t xml:space="preserve">Notes: </w:t>
      </w:r>
      <w:r>
        <w:t>abstract_source=semanticscholar</w:t>
      </w:r>
    </w:p>
    <w:p>
      <w:pPr>
        <w:spacing w:before="0" w:after="80" w:lineRule="auto" w:line="276"/>
      </w:pPr>
      <w:r>
        <w:rPr>
          <w:b/>
        </w:rPr>
        <w:t xml:space="preserve">摘要（ZH）: </w:t>
      </w:r>
      <w:r>
        <w:t>由于变流器接口发电机渗透率的不断提高，不确定-变异特性日益成为电力系统频率动态过程的显著特征。这些特性在维持系统频率安全和选择合适的调度启停方案方面构成瓶颈，而频率约束机组组合（FCUC）正是解决这些问题的手段。为此，本文提出了一个由贝叶斯滤波导出的系统频率响应（BF-SFR）模型，该模型考虑了复杂不平衡扰动下的不确定-变异特性。在此基础上，详细阐述了通过BF-SFR构建的高度灵活的机会约束频率动态约束。通过所提方法，可以很好地估计频率动态轨迹及其后验分布，且上述分布可为权衡频率动态风险的容忍度与经济性调度启停提供关键信息，这是现有解析SFR和时间离散SFR方法所未涉及的。此外，利用最大-最小凸松弛方法和样本平均近似（SSA）方法对机会约束频率动态约束进行线性化，并随后整合到UC中，进而开发出精细化FCUC（r-FCUC）。由于r-FCUC中重构的频率约束考虑了潜在的不确定-变异特性，所得的调度启停方案能很好地满足实际频率需求。在修改的IEEE 6母线测试系统和IEEE 118母线测试系统上进行了若干算例以验证其有效</w:t>
      </w:r>
    </w:p>
    <w:p>
      <w:pPr>
        <w:spacing w:before="0" w:after="200" w:lineRule="auto" w:line="276"/>
      </w:pPr>
      <w:r>
        <w:rPr>
          <w:b/>
        </w:rPr>
        <w:t xml:space="preserve">Abstract (EN): </w:t>
      </w:r>
      <w:r>
        <w:t>The uncertain-variability features increasingly characterize the frequency dynamic processes of power systems due to the growing penetration of converter-interfaced generators. These features pose bottlenecks in maintaining system frequency security and selecting suitable scheduled commitments, which are addressed through Frequency-Constrained Unit Commitment (FCUC). To achieve this, a Bayesian-filter-derived System-Frequency-Response (BF-SFR) model is proposed in this work, which considers uncertain-variability features under complex imbalanced disturbances. On this basis, a highly flexible chance-constrained frequency dynamic constraint through BF-SFR is detailed. Through the proposed methodologies, both frequency dynamic trajectories and their posterior distribution can be well estimated, and the above distribution can provide key information for trading off the allowance of frequency dynamic risks and economic scheduled commitments, where existing analytical SFR and time-discrete SFR methods do not address. Furthermore, the chance-constrained frequency dynamic constraints are linearized using the max-min convex relaxation method and the sample average approximation (SSA) method, and subsequently integrated into UC. Then a refined FCUC (r-FCUC) is developed. Because the reformulated frequency constraints in r-FCUC account for potential uncertain-variability features, the resulting scheduled commitments are well suited to meet actual frequency requirements. Several results on a modified IEEE 6 bus test system and IEEE 118 bus test system are implemented to check the validity of the proposed methods.</w:t>
      </w:r>
    </w:p>
    <w:p>
      <w:pPr>
        <w:spacing w:before="120" w:after="120"/>
      </w:pPr>
      <w:r>
        <w:rPr>
          <w:sz w:val="18"/>
        </w:rPr>
        <w:t>——————————————————————————————————————————————————————————————————————</w:t>
      </w:r>
    </w:p>
    <w:p>
      <w:pPr>
        <w:spacing w:before="160" w:after="40" w:line="240" w:lineRule="auto"/>
      </w:pPr>
      <w:r>
        <w:rPr>
          <w:b/>
        </w:rPr>
        <w:t xml:space="preserve">[479] </w:t>
      </w:r>
      <w:hyperlink r:id="rId1286">
        <w:r>
          <w:rPr>
            <w:color w:val="1155CC"/>
            <w:u w:val="single"/>
          </w:rPr>
          <w:t>用于校正性最优潮流的物理信息多智能体学习</w:t>
        </w:r>
      </w:hyperlink>
    </w:p>
    <w:p>
      <w:pPr>
        <w:spacing w:before="0" w:after="80"/>
      </w:pPr>
      <w:r>
        <w:rPr>
          <w:i/>
          <w:sz w:val="20"/>
        </w:rPr>
        <w:t>EN: Physics-Informed Multi-Agent Learning for Corrective Optimal Power Flow</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87">
        <w:r>
          <w:rPr>
            <w:color w:val="1155CC"/>
            <w:u w:val="single"/>
          </w:rPr>
          <w:t>10.1109/tpwrs.2026.3672692</w:t>
        </w:r>
      </w:hyperlink>
    </w:p>
    <w:p>
      <w:pPr>
        <w:spacing w:before="0" w:after="120"/>
      </w:pPr>
      <w:r>
        <w:rPr>
          <w:b/>
        </w:rPr>
        <w:t xml:space="preserve">Notes: </w:t>
      </w:r>
      <w:r>
        <w:t>abstract_source=semanticscholar</w:t>
      </w:r>
    </w:p>
    <w:p>
      <w:pPr>
        <w:spacing w:before="0" w:after="80" w:lineRule="auto" w:line="276"/>
      </w:pPr>
      <w:r>
        <w:rPr>
          <w:b/>
        </w:rPr>
        <w:t xml:space="preserve">摘要（ZH）: </w:t>
      </w:r>
      <w:r>
        <w:t>保障安全是电力系统运行的首要任务。发生事故后，运行人员采取校正控制措施的时间窗口十分有限。本文针对事故后的校正最优潮流（COPF）问题提出了一种新颖的物理信息驱动方法。COPF旨在确定满足各种物理规律和工程约束限值的事故后新的最优运行状态。在检测到事故后找到校正控制措施至关重要。基于传统深度神经网络（DNN）的方法面临可解释性和求解精度的挑战。我们引入了一种物理信息驱动的多DNN方法来求解该问题。从鲁棒优化中提取包含物理信息的仿射矩阵用于不确定性管理，然后将其输入到多DNN模型中进行网络分区。我们提出了一种基于拉格朗日松弛的两阶段学习过程。在IEEE 118节点系统、IEEE 300节点系统和欧洲1354节点系统上进行了全面的案例研究。所提方法的最优性间隙小于0.1%，同时保持99.9%的约束可行性。与传统优化方法相比，所提方法将求解时间最多缩短至原来的1/414。仿真结果表明，所提方法在精度和速度方面均有提升。</w:t>
      </w:r>
    </w:p>
    <w:p>
      <w:pPr>
        <w:spacing w:before="0" w:after="200" w:lineRule="auto" w:line="276"/>
      </w:pPr>
      <w:r>
        <w:rPr>
          <w:b/>
        </w:rPr>
        <w:t xml:space="preserve">Abstract (EN): </w:t>
      </w:r>
      <w:r>
        <w:t>Maintaining security is the priority for power system operation. The time window for the operator to take corrective action is quite limited post contingency. This work presents a novel physics-informed approach to the corrective optimal power flow (COPF) problem post contingency. COPF aims to determine a new optimal state post-contingency while meeting various physical laws and engineering limits. It is fundamentally important to find the corrective action when a contingency is detected. The traditional deep neural networks (DNNs)-based approach confronts challenges of explainability and solution accuracy. We introduce a physics-informed multiple DNNs to solve the problem. An affine matrix, containing physics information, is extracted from robust optimization for uncertainty management. Then it is fed to the multi-DNN model for network partitioning. We present a two-stage learning process with Lagrangian relaxation. Comprehensive case studies are conducted with IEEE 118-bus systems, IEEE 300-bus systems, and European 1354-bus systems. The proposed approach achieves an optimality gap of less than 0.1% while maintaining 99.9% constraint feasibility. Compared to the traditional optimization approach, the proposed method reduces the solution time by up to a factor of 414. The simulation results indicate that the proposed approach has improved accuracy and speed.</w:t>
      </w:r>
    </w:p>
    <w:p>
      <w:pPr>
        <w:spacing w:before="120" w:after="120"/>
      </w:pPr>
      <w:r>
        <w:rPr>
          <w:sz w:val="18"/>
        </w:rPr>
        <w:t>——————————————————————————————————————————————————————————————————————</w:t>
      </w:r>
    </w:p>
    <w:p>
      <w:pPr>
        <w:spacing w:before="160" w:after="40" w:line="240" w:lineRule="auto"/>
      </w:pPr>
      <w:r>
        <w:rPr>
          <w:b/>
        </w:rPr>
        <w:t xml:space="preserve">[480] </w:t>
      </w:r>
      <w:hyperlink r:id="rId1288">
        <w:r>
          <w:rPr>
            <w:color w:val="1155CC"/>
            <w:u w:val="single"/>
          </w:rPr>
          <w:t>信息物理联合数据增强的电力系统网络攻击检测</w:t>
        </w:r>
      </w:hyperlink>
    </w:p>
    <w:p>
      <w:pPr>
        <w:spacing w:before="0" w:after="80"/>
      </w:pPr>
      <w:r>
        <w:rPr>
          <w:i/>
          <w:sz w:val="20"/>
        </w:rPr>
        <w:t>EN: Joint Cyber-Physical Data-Driven Enhanced Cyber-Attack Detection for Power Systems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89">
        <w:r>
          <w:rPr>
            <w:color w:val="1155CC"/>
            <w:u w:val="single"/>
          </w:rPr>
          <w:t>10.1109/tsg.2026.3692152</w:t>
        </w:r>
      </w:hyperlink>
    </w:p>
    <w:p>
      <w:pPr>
        <w:spacing w:before="0" w:after="120"/>
      </w:pPr>
      <w:r>
        <w:rPr>
          <w:b/>
        </w:rPr>
        <w:t xml:space="preserve">Notes: </w:t>
      </w:r>
      <w:r>
        <w:t>abstract_source=semanticscholar</w:t>
      </w:r>
    </w:p>
    <w:p>
      <w:pPr>
        <w:spacing w:before="0" w:after="80" w:lineRule="auto" w:line="276"/>
      </w:pPr>
      <w:r>
        <w:rPr>
          <w:b/>
        </w:rPr>
        <w:t xml:space="preserve">摘要（ZH）: </w:t>
      </w:r>
      <w:r>
        <w:t>随着网络攻击在频率和复杂度上的不断增长，快速、早期且准确地检测网络入侵对于确保现代电力系统的安全性和运行韧性变得越来越重要。然而，现有方法主要关注网络层或物理层的数据，忽视了两层之间的关键交互。为弥合这一差距，本文提出了一种新颖的跨层图注意力-Transformer网络（CL-GTN），它同时融合网络层和物理层的信息，并通过可学习的物理信息驱动的点对母线投影机制对其进行有效整合。具体而言，由电力系统灵敏度因子构建的投影矩阵明确刻画了从通信报文中网络数据点到受影响物理电网节点的细粒度映射，为跨层融合提供了坚实基础。图注意力网络（GAT）分别在网络层和物理层用于提取相关的局部特征和拓扑特征，随后由Transformer模块动态聚合跨层时序依赖关系以实现准确的攻击识别。在包括IEEE 118节点系统和大规模ACTIVSg2000系统在内的多个基准系统上的大量实验证实，CL-GTN实现了高检测精度（超过0.98）和强大的预警能力，在攻击执行前成功检测到多达90%的攻击，平均提前2.4个时间步。全面的消融实验和鲁棒性研究进一步验证了模型的稳定性和</w:t>
      </w:r>
    </w:p>
    <w:p>
      <w:pPr>
        <w:spacing w:before="0" w:after="200" w:lineRule="auto" w:line="276"/>
      </w:pPr>
      <w:r>
        <w:rPr>
          <w:b/>
        </w:rPr>
        <w:t xml:space="preserve">Abstract (EN): </w:t>
      </w:r>
      <w:r>
        <w:t>Rapid, early, and accurate detection of cyber intrusions is increasingly vital for ensuring the security and operational resilience of modern power systems, as cyber-attacks grow in both frequency and sophistication. However, existing approaches primarily focus on either cyber or physical data independently, ignoring critical interactions across these two layers. To bridge this gap, this paper proposes a novel Cross-Layer Graph Attention-Transformer Network (CL-GTN), which simultaneously incorporates information from both the cyber and physical layers, and effectively integrates them through a learnable physics-informed point-to-bus projection mechanism. Specifically, the projection matrix constructed from power system sensitivity factors explicitly captures the fine-grained mapping from cyber data points in communication packets to affected physical grid nodes, providing a robust cross-layer fusion basis. Graph attention networks (GAT) are employed separately at the cyber and physical layers to extract relevant local and topological features, followed by a Transformer module that dynamically aggregates cross-layer temporal dependencies for accurate attack identification. Extensive experiments on multiple benchmark systems, including the IEEE 118-bus and large-scale ACTIVSg2000 systems, confirm that CL-GTN achieves high detection accuracy (over 0.98) and strong early-warning capability, successfully detecting up to 90% of attacks before execution with an average lead of 2.4 time steps. Comprehensive ablation and robustness studies further validate the model’s stability and component effectiveness. In addition, interpretability analyses show that the proposed projection-matrix mechanism accurately identifies critical cyber–physical coupling points, thereby enhancing situational awareness and defense capability.</w:t>
      </w:r>
    </w:p>
    <w:p>
      <w:pPr>
        <w:spacing w:before="120" w:after="120"/>
      </w:pPr>
      <w:r>
        <w:rPr>
          <w:sz w:val="18"/>
        </w:rPr>
        <w:t>——————————————————————————————————————————————————————————————————————</w:t>
      </w:r>
    </w:p>
    <w:p>
      <w:pPr>
        <w:spacing w:before="160" w:after="40" w:line="240" w:lineRule="auto"/>
      </w:pPr>
      <w:r>
        <w:rPr>
          <w:b/>
        </w:rPr>
        <w:t xml:space="preserve">[481] </w:t>
      </w:r>
      <w:hyperlink r:id="rId1290">
        <w:r>
          <w:rPr>
            <w:color w:val="1155CC"/>
            <w:u w:val="single"/>
          </w:rPr>
          <w:t>基于映射的列与约束生成方法的鲁棒配电网络重构</w:t>
        </w:r>
      </w:hyperlink>
    </w:p>
    <w:p>
      <w:pPr>
        <w:spacing w:before="0" w:after="80"/>
      </w:pPr>
      <w:r>
        <w:rPr>
          <w:i/>
          <w:sz w:val="20"/>
        </w:rPr>
        <w:t>EN: Robust Distribution Network Reconfiguration Using Mapping-Based Column-and-Constraint Generation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91">
        <w:r>
          <w:rPr>
            <w:color w:val="1155CC"/>
            <w:u w:val="single"/>
          </w:rPr>
          <w:t>10.1109/tpwrs.2026.3684672</w:t>
        </w:r>
      </w:hyperlink>
    </w:p>
    <w:p>
      <w:pPr>
        <w:spacing w:before="0" w:after="120"/>
      </w:pPr>
      <w:r>
        <w:rPr>
          <w:b/>
        </w:rPr>
        <w:t xml:space="preserve">Notes: </w:t>
      </w:r>
      <w:r>
        <w:t>abstract_source=semanticscholar</w:t>
      </w:r>
    </w:p>
    <w:p>
      <w:pPr>
        <w:spacing w:before="0" w:after="80" w:lineRule="auto" w:line="276"/>
      </w:pPr>
      <w:r>
        <w:rPr>
          <w:b/>
        </w:rPr>
        <w:t xml:space="preserve">摘要（ZH）: </w:t>
      </w:r>
      <w:r>
        <w:t>间歇性可再生能源接入配电网带来了显著的不确定性和波动性，对配电网的运行安全、稳定性和效率构成挑战。本文研究了考虑可再生能源机组预备性削减的鲁棒配电网重构（RDNR）问题，将其建模为具有决策依赖不确定性（DDU）的两阶段鲁棒优化（RO）问题。所提模型将预备性削减决策优化为可再生能源机组出力的上限，同时对网络拓扑进行优化。我们设计了一种基于映射的列与约束生成（C&amp;CG）算法来应对DDU带来的计算挑战，该算法可在有限次迭代内生成最优解，并具有理论保证。敏感性分析进一步探讨了不确定集参数对最优解的影响。案例研究表明，所提算法在确保求解最优性的同时，有效降低了计算复杂度。</w:t>
      </w:r>
    </w:p>
    <w:p>
      <w:pPr>
        <w:spacing w:before="0" w:after="200" w:lineRule="auto" w:line="276"/>
      </w:pPr>
      <w:r>
        <w:rPr>
          <w:b/>
        </w:rPr>
        <w:t xml:space="preserve">Abstract (EN): </w:t>
      </w:r>
      <w:r>
        <w:t>The integration of intermittent renewable energy sources into distribution networks introduces significant uncertainties and fluctuations, challenging their operational security, stability, and efficiency. This paper considers robust distribution network reconfiguration (RDNR) with preparatory curtailment of renewable generators, modeled as a two-stage robust optimization (RO) problem with decision-dependent uncertainty (DDU). Our model optimizes preparatory curtailment decisions as the upper bounds of renewable generator outputs, while also optimizing the network topology. We design a mapping-based column-and-constraint generation (C&amp;CG) algorithm to address the computational challenges raised by DDU, which can generate the optimal solution in a finite number of iterations with proved guarantee. Sensitivity analyses further explore the impact of uncertainty set parameters on optimal solutions. Case studies demonstrate the effectiveness of the proposed algorithm in reducing computational complexity while ensuring solution optimality.</w:t>
      </w:r>
    </w:p>
    <w:p>
      <w:pPr>
        <w:spacing w:before="120" w:after="120"/>
      </w:pPr>
      <w:r>
        <w:rPr>
          <w:sz w:val="18"/>
        </w:rPr>
        <w:t>——————————————————————————————————————————————————————————————————————</w:t>
      </w:r>
    </w:p>
    <w:p>
      <w:pPr>
        <w:spacing w:before="160" w:after="40" w:line="240" w:lineRule="auto"/>
      </w:pPr>
      <w:r>
        <w:rPr>
          <w:b/>
        </w:rPr>
        <w:t xml:space="preserve">[482] </w:t>
      </w:r>
      <w:hyperlink r:id="rId1292">
        <w:r>
          <w:rPr>
            <w:color w:val="1155CC"/>
            <w:u w:val="single"/>
          </w:rPr>
          <w:t>基于同伦算法与相关性修正的加权拟蒙特卡罗概率最优潮流计算</w:t>
        </w:r>
      </w:hyperlink>
    </w:p>
    <w:p>
      <w:pPr>
        <w:spacing w:before="0" w:after="80"/>
      </w:pPr>
      <w:r>
        <w:rPr>
          <w:i/>
          <w:sz w:val="20"/>
        </w:rPr>
        <w:t>EN: Probabilistic Optimal Power Flow Calculation Using Weighted Quasi-Monte Carlo Method Based on Homotopy Algorithm and Correlation Correction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93">
        <w:r>
          <w:rPr>
            <w:color w:val="1155CC"/>
            <w:u w:val="single"/>
          </w:rPr>
          <w:t>10.1109/tpwrs.2026.3674771</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了一种结合蒙特卡洛模拟（MCS）与近似方法的新方法，以更低的计算负担提高概率最优潮流（POPF）高阶矩的精度。该方法为一小组Sobol样本分配最优权重，并结合相关性校正进行整合，确保其各阶矩和相关性与输入分布的相应量相匹配。引入分数矩作为桥梁以促进权重优化的求解。首先，利用Sobol序列生成标准正态样本，基于拟合优度指标和分数矩匹配，通过多阶原点矩的拟合确定其权重。引入同伦算法求解样本权重的确定问题，避免了采用传统牛顿-拉夫逊法可能出现的不可解性。此外，所提出的相关性校 正对样本进行调整，以确保与参考分布及其相关系数的一致性。最后，可基于POPF计算得到的多阶矩重构输出的概率密度函数（PDF）。所提方法在改进的IEEE 118节点系统和case1354pegase测试系统上得到验证，结果表明该方法在POPF分析中实现了精度与效率的优越平衡，同时保持了鲁棒的性能。</w:t>
      </w:r>
    </w:p>
    <w:p>
      <w:pPr>
        <w:spacing w:before="0" w:after="200" w:lineRule="auto" w:line="276"/>
      </w:pPr>
      <w:r>
        <w:rPr>
          <w:b/>
        </w:rPr>
        <w:t xml:space="preserve">Abstract (EN): </w:t>
      </w:r>
      <w:r>
        <w:t>This paper proposes a novel method combining Monte Carlo simulation (MCS) and approximation method to improve the high-order moments accuracy of probabilistic optimal power flow (POPF) with less calculation burden. The method assigns optimal weights to a small set of Sobol samples and integrates them with correlation correction, ensuring that their moments and correlation match the ones of input distributions. Fractional moments are introduced as a bridge to facilitate the solution of weights optimization. First, Sobol sequences generate standard normal samples, with their weights determined through the fit of multiple-order raw moments, based on a goodness-of-fit indicator and fractional moments matching. The homotopy algorithm is introduced to solve the determination of sample weights, avoiding the potential unsolvability that probably arises from employing the traditional Newton-Raphson method. Moreover, the proposed correlation correction adjusts the samples to ensure a consistency with the reference distributions and their correlation coefficients. Finally, the probability density function (PDF) of outputs can be reconstructed based on these multiple-order moments derived from the POPF calculations. The proposed methods are verified by the modified IEEE 118-bus and case1354pegase test system, indicating a superior balance between accuracy and efficiency in the POPF analysis, while maintaining robust performance.</w:t>
      </w:r>
    </w:p>
    <w:p>
      <w:pPr>
        <w:spacing w:before="120" w:after="120"/>
      </w:pPr>
      <w:r>
        <w:rPr>
          <w:sz w:val="18"/>
        </w:rPr>
        <w:t>——————————————————————————————————————————————————————————————————————</w:t>
      </w:r>
    </w:p>
    <w:p>
      <w:pPr>
        <w:spacing w:before="160" w:after="40" w:line="240" w:lineRule="auto"/>
      </w:pPr>
      <w:r>
        <w:rPr>
          <w:b/>
        </w:rPr>
        <w:t xml:space="preserve">[483] </w:t>
      </w:r>
      <w:hyperlink r:id="rId1294">
        <w:r>
          <w:rPr>
            <w:color w:val="1155CC"/>
            <w:u w:val="single"/>
          </w:rPr>
          <w:t>电磁暂态-暂态稳定混合仿真精度的量化与提升</w:t>
        </w:r>
      </w:hyperlink>
    </w:p>
    <w:p>
      <w:pPr>
        <w:spacing w:before="0" w:after="80"/>
      </w:pPr>
      <w:r>
        <w:rPr>
          <w:i/>
          <w:sz w:val="20"/>
        </w:rPr>
        <w:t>EN: Quantifying and Improving the Accuracy of Electromagnetic Transient-Transient Stability Hybrid Simulation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95">
        <w:r>
          <w:rPr>
            <w:color w:val="1155CC"/>
            <w:u w:val="single"/>
          </w:rPr>
          <w:t>10.1109/tpwrs.2026.3683988</w:t>
        </w:r>
      </w:hyperlink>
    </w:p>
    <w:p>
      <w:pPr>
        <w:spacing w:before="0" w:after="120"/>
      </w:pPr>
      <w:r>
        <w:rPr>
          <w:b/>
        </w:rPr>
        <w:t xml:space="preserve">Notes: </w:t>
      </w:r>
      <w:r>
        <w:t>abstract_source=semanticscholar</w:t>
      </w:r>
    </w:p>
    <w:p>
      <w:pPr>
        <w:spacing w:before="0" w:after="80" w:lineRule="auto" w:line="276"/>
      </w:pPr>
      <w:r>
        <w:rPr>
          <w:b/>
        </w:rPr>
        <w:t xml:space="preserve">摘要（ZH）: </w:t>
      </w:r>
      <w:r>
        <w:t>基于逆变器资源的渗透率不断提高，给现代电网带来了新的动态挑战，例如次同步和超同步振荡以及其他更快的动态过程。这些动态过程通常本质上较快，难以用标准暂态稳定（TS）方法精确建模和分析，因而需要进行电磁暂态（EMT）分析。然而，由于方程形式和计算能力的限制，EMT仿真在大规模电网中速度非常慢。为克服这一挑战，通常采用EMT-TS混合仿真，因为它在精度和速度之间提供了平衡的折衷，使得在大系统上进行EMT分析成为可能。关于EMT-TS混合仿真的一个悬而未决的问题是EMT-TS边界或接口的精度。本文引入了一个误差指标来量化EMT-TS混合接口误差，识别混合仿真方法可能变得不精确的条件，并提出扩展EMT区域以提高仿真精度。此外，提出了一种三序混合接口模型，以减轻不平衡条件引起的不精确性。</w:t>
      </w:r>
    </w:p>
    <w:p>
      <w:pPr>
        <w:spacing w:before="0" w:after="200" w:lineRule="auto" w:line="276"/>
      </w:pPr>
      <w:r>
        <w:rPr>
          <w:b/>
        </w:rPr>
        <w:t xml:space="preserve">Abstract (EN): </w:t>
      </w:r>
      <w:r>
        <w:t>The increasing penetration of inverter-based resources introduces new dynamic challenges to modern power grids, such as sub- and super-synchronous oscillations and other faster dynamics.These dynamics are typically fast in nature and are difficult to accurately model and analyze using standard transient stability (TS) methods, necessitating the need for electromagnetic transient (EMT) analysis. However, EMT simulations are notoriously slow for large-scale grids due to both equation formulations and computational limitations. To overcome this challenge, EMT-TS hybrid simulation is often used, since it offers a balanced trade-off between accuracy and speed, making it feasible to perform EMT analysis on large systems. One open question about EMT-TS hybrid simulation is the accuracy of the EMT-TS boundary or interface.This paper introduces an error index to quantify EMT-TS hybrid interface errors, identifies conditions where the hybrid simulation approach may become inaccurate, and suggests EMT region expansions to improve the simulation accuracy. Additionally, a three-sequence hybrid interface model is proposed to mitigate inaccuracies caused by unbalanced conditions.</w:t>
      </w:r>
    </w:p>
    <w:p>
      <w:pPr>
        <w:spacing w:before="120" w:after="120"/>
      </w:pPr>
      <w:r>
        <w:rPr>
          <w:sz w:val="18"/>
        </w:rPr>
        <w:t>——————————————————————————————————————————————————————————————————————</w:t>
      </w:r>
    </w:p>
    <w:p>
      <w:pPr>
        <w:spacing w:before="160" w:after="40" w:line="240" w:lineRule="auto"/>
      </w:pPr>
      <w:r>
        <w:rPr>
          <w:b/>
        </w:rPr>
        <w:t xml:space="preserve">[484] </w:t>
      </w:r>
      <w:hyperlink r:id="rId1296">
        <w:r>
          <w:rPr>
            <w:color w:val="1155CC"/>
            <w:u w:val="single"/>
          </w:rPr>
          <w:t>微电网中柴油发电机的新型数字孪生</w:t>
        </w:r>
      </w:hyperlink>
    </w:p>
    <w:p>
      <w:pPr>
        <w:spacing w:before="0" w:after="80"/>
      </w:pPr>
      <w:r>
        <w:rPr>
          <w:i/>
          <w:sz w:val="20"/>
        </w:rPr>
        <w:t>EN: A Novel Digital Twin for Diesel Generator in Microgrids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97">
        <w:r>
          <w:rPr>
            <w:color w:val="1155CC"/>
            <w:u w:val="single"/>
          </w:rPr>
          <w:t>10.1109/tec.2026.3664079</w:t>
        </w:r>
      </w:hyperlink>
    </w:p>
    <w:p>
      <w:pPr>
        <w:spacing w:before="0" w:after="120"/>
      </w:pPr>
      <w:r>
        <w:rPr>
          <w:b/>
        </w:rPr>
        <w:t xml:space="preserve">Notes: </w:t>
      </w:r>
      <w:r>
        <w:t>abstract_source=semanticscholar</w:t>
      </w:r>
    </w:p>
    <w:p>
      <w:pPr>
        <w:spacing w:before="0" w:after="80" w:lineRule="auto" w:line="276"/>
      </w:pPr>
      <w:r>
        <w:rPr>
          <w:b/>
        </w:rPr>
        <w:t xml:space="preserve">摘要（ZH）: </w:t>
      </w:r>
      <w:r>
        <w:t>柴油发电机（DiG）在微电网（MG）中发挥着保障韧性和可靠性的重要作用；然而，由于实验数据和制造商数据有限，对其在并网和孤岛两种运行模式下行为的精确建模颇具挑战。标准仿真模型往往无法捕捉实际动态，导致结果不准确。针对这些局限性，本文为微电网研究中心（CMR）的62.5 kVA DiG机组提出了一种自适应数字孪生（DT）模型。该DT模型能够实现并网和孤岛运行，并在CMR的微电网基础设施中进行了开发与实验验证。所提出的DT利用新颖的自适应参数方法，在暂态和稳态响应中动态反映发电机在不同运行条件下的行为。结果证实，该自适应DT能够准确复现实际工业级DiG的动态响应。该DT为涉及多运行模式下DiG的高级微电网研究提供了一个鲁棒的建模平台。</w:t>
      </w:r>
    </w:p>
    <w:p>
      <w:pPr>
        <w:spacing w:before="0" w:after="200" w:lineRule="auto" w:line="276"/>
      </w:pPr>
      <w:r>
        <w:rPr>
          <w:b/>
        </w:rPr>
        <w:t xml:space="preserve">Abstract (EN): </w:t>
      </w:r>
      <w:r>
        <w:t>Diesel generators (DiGs) play a vital role in Microgrids (MG) to ensure resiliency and reliability; however, accurate modeling of their behavior in both grid-connected and islanded modes is challenging due to limited experimental and manufacturer data. Standard simulation models often fail to capture real-world dynamics, leading to inaccurate results. To address these limitations, this paper presents an adaptive digital twin (DT) model for the 62.5 kVA DiG unit at the Center for Microgrid Research (CMR). The DT model, capable of grid-connected and islanded operations, is developed and experimentally validated within the CMR’s Microgrid infrastructure. The proposed DT leverages a novel adaptive parameter methodology to dynamically reflect the generator’s behavior in varying operating conditions for both transient and steady-state responses. The results confirm that the adaptive DT accurately replicates the dynamic response of the real-world industry-grade DiG. The DT offers a robust modeling platform for advanced MG studies that involve DiGs under multiple operation modes.</w:t>
      </w:r>
    </w:p>
    <w:p>
      <w:pPr>
        <w:spacing w:before="120" w:after="120"/>
      </w:pPr>
      <w:r>
        <w:rPr>
          <w:sz w:val="18"/>
        </w:rPr>
        <w:t>——————————————————————————————————————————————————————————————————————</w:t>
      </w:r>
    </w:p>
    <w:p>
      <w:pPr>
        <w:spacing w:before="160" w:after="40" w:line="240" w:lineRule="auto"/>
      </w:pPr>
      <w:r>
        <w:rPr>
          <w:b/>
        </w:rPr>
        <w:t xml:space="preserve">[485] </w:t>
      </w:r>
      <w:hyperlink r:id="rId1298">
        <w:r>
          <w:rPr>
            <w:color w:val="1155CC"/>
            <w:u w:val="single"/>
          </w:rPr>
          <w:t>多相定子自励绕线转子同步电机的实验评估与数学建模</w:t>
        </w:r>
      </w:hyperlink>
    </w:p>
    <w:p>
      <w:pPr>
        <w:spacing w:before="0" w:after="80"/>
      </w:pPr>
      <w:r>
        <w:rPr>
          <w:i/>
          <w:sz w:val="20"/>
        </w:rPr>
        <w:t>EN: Experimental Assessment and Mathematical Modeling of a Self-Excited Wound Rotor Synchronous Motor With Multiphase Stator Design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99">
        <w:r>
          <w:rPr>
            <w:color w:val="1155CC"/>
            <w:u w:val="single"/>
          </w:rPr>
          <w:t>10.1109/tec.2026.3669173</w:t>
        </w:r>
      </w:hyperlink>
    </w:p>
    <w:p>
      <w:pPr>
        <w:spacing w:before="0" w:after="120"/>
      </w:pPr>
      <w:r>
        <w:rPr>
          <w:b/>
        </w:rPr>
        <w:t xml:space="preserve">Notes: </w:t>
      </w:r>
      <w:r>
        <w:t>abstract_source=semanticscholar</w:t>
      </w:r>
    </w:p>
    <w:p>
      <w:pPr>
        <w:spacing w:before="0" w:after="80" w:lineRule="auto" w:line="276"/>
      </w:pPr>
      <w:r>
        <w:rPr>
          <w:b/>
        </w:rPr>
        <w:t xml:space="preserve">摘要（ZH）: </w:t>
      </w:r>
      <w:r>
        <w:t>绕线转子同步电动机（WRSM）在电动汽车领域正成为永磁（PM）电动机的一种极具吸引力的替代方案，具有无磁体运行和成本效益高的优势。同步电动机的励磁系统存在多种励磁技术，但每种技术都有其缺点。本文研究了一种基于多相定子设计的自励磁技术，该技术可自主为励磁绕组通电，无需外部励磁系统或旋转变压器，从而减小了电机的重量和体积。多相定子产生两个不同的磁动势（MMF）分量：一个负责产生转矩的主磁通分量和一个对励磁绕组励磁至关重要的谐波分量。通过分别调节解耦的αβ和xy序列电流分量，实现了对两个磁通分量的独立控制。本文给出了该拓扑的数学建模和稳态等效电路。通过大量测试确定了电机参数，分析了xy电流与励磁电流之间的关系，并考察了机械负载和转速变化对励磁电流的影响。提出了一种改进的磁场定向控制（FOC）策略，以补偿由各种非理想因素引起的两个子空间间交叉耦合所导致的机械负载影响。搭建了采用五相定子的实验平台，以验证所提出的控制方法。</w:t>
      </w:r>
    </w:p>
    <w:p>
      <w:pPr>
        <w:spacing w:before="0" w:after="200" w:lineRule="auto" w:line="276"/>
      </w:pPr>
      <w:r>
        <w:rPr>
          <w:b/>
        </w:rPr>
        <w:t xml:space="preserve">Abstract (EN): </w:t>
      </w:r>
      <w:r>
        <w:t>Wound rotor synchronous motors (WRSMs) are emerging as a compelling alternative to permanent magnet (PM) motors in the context of electric vehicles, offering magnet-less operation and cost-effectiveness. Various techniques exist to excite the field system of synchronous motors, each presenting drawbacks. This paper investigates a self-excitation technique based on a multi-phase stator design that autonomously energizes the field winding, eliminating the need for external excitation systems or rotating transformers, thus reducing motor weight and size. The multi-phase stator generates two distinct magnetomotive force (MMF) components: a dominant flux component responsible for torque production and a harmonic component crucial for field winding excitation. Independent control of both flux components is achieved by regulating the decoupled αβ and xy sequence current components, respectively. The paper presents the mathematical modeling and steady-state equivalent circuit for this topology. Extensive testing determines the motor parameters, analyzes the relationship between xy current and field current, and examines the effects of mechanical loading and speed variations on the field current. An improved Field Oriented Control (FOC) strategy is proposed to compensate for the effects of mechanical loading due to cross-coupling between the two subspaces caused by various nonidealities. An experimental setup employing a five-phase stator is developed to validate the proposed control methodology.</w:t>
      </w:r>
    </w:p>
    <w:p>
      <w:pPr>
        <w:spacing w:before="120" w:after="120"/>
      </w:pPr>
      <w:r>
        <w:rPr>
          <w:sz w:val="18"/>
        </w:rPr>
        <w:t>——————————————————————————————————————————————————————————————————————</w:t>
      </w:r>
    </w:p>
    <w:p>
      <w:pPr>
        <w:spacing w:before="160" w:after="40" w:line="240" w:lineRule="auto"/>
      </w:pPr>
      <w:r>
        <w:rPr>
          <w:b/>
        </w:rPr>
        <w:t xml:space="preserve">[486] </w:t>
      </w:r>
      <w:hyperlink r:id="rId1300">
        <w:r>
          <w:rPr>
            <w:color w:val="1155CC"/>
            <w:u w:val="single"/>
          </w:rPr>
          <w:t>利用电机绕组作为空调压缩机机油预热器</w:t>
        </w:r>
      </w:hyperlink>
    </w:p>
    <w:p>
      <w:pPr>
        <w:spacing w:before="0" w:after="80"/>
      </w:pPr>
      <w:r>
        <w:rPr>
          <w:i/>
          <w:sz w:val="20"/>
        </w:rPr>
        <w:t>EN: Usage of Motor Windings as Oil Preheater for Air Conditioner Compressors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01">
        <w:r>
          <w:rPr>
            <w:color w:val="1155CC"/>
            <w:u w:val="single"/>
          </w:rPr>
          <w:t>10.1109/tec.2026.3666225</w:t>
        </w:r>
      </w:hyperlink>
    </w:p>
    <w:p>
      <w:pPr>
        <w:spacing w:before="0" w:after="120"/>
      </w:pPr>
      <w:r>
        <w:rPr>
          <w:b/>
        </w:rPr>
        <w:t xml:space="preserve">Notes: </w:t>
      </w:r>
      <w:r>
        <w:t>abstract_source=semanticscholar</w:t>
      </w:r>
    </w:p>
    <w:p>
      <w:pPr>
        <w:spacing w:before="0" w:after="80" w:lineRule="auto" w:line="276"/>
      </w:pPr>
      <w:r>
        <w:rPr>
          <w:b/>
        </w:rPr>
        <w:t xml:space="preserve">摘要（ZH）: </w:t>
      </w:r>
      <w:r>
        <w:t>成本优化是在当今家电市场取得成功竞争的关键问题。因此，许多制造商致力于排除某些物理部件或电路，以降低成本。然而，为了保持功能不变，被排除部件的功能由控制系统来实现。本研究聚焦于上述方向，提出排除作为独立单元或电路实现的压缩机机油预热器。为实现预热，本文提出利用驱动压缩机且位于压缩机壳体内部的电动机绕组。电机绕组由逆变器注入的电流加热，并将热能传递给压缩机内部的机油。此外，为防止电机旋转，本文建议注入直流电流。通过所提出的技术，可以去除预热器，同时设备功能保持不变。本文分析了所提出替代方案的优缺点，评估了其运行情况，并与传统方案进行了比较。</w:t>
      </w:r>
    </w:p>
    <w:p>
      <w:pPr>
        <w:spacing w:before="0" w:after="200" w:lineRule="auto" w:line="276"/>
      </w:pPr>
      <w:r>
        <w:rPr>
          <w:b/>
        </w:rPr>
        <w:t xml:space="preserve">Abstract (EN): </w:t>
      </w:r>
      <w:r>
        <w:t>Cost optimization is a key issue for successful competition in today's home appliance markets. Therefore, many manufacturers focus on exclusion of some physical parts or circuits, which allows do decrease cost. However, in order to keep the functionality unchanged, the functions of the excluded parts are implemented using control system. This study focuses on the abovementioned direction and proposes the exclusion of the compressor oil preheater, implemented as a separate unit or circuit. In order to perform preheating, this paper proposes the usage of windings of the electrical motor, which drives the compressor and is located inside its shell. The motor windings are heated by the injected current via an inverter, and transmits the heat energy to the oil inside the compressor. Furthermore, in order to prevent motor rotation this paper recommends injection of DC current. As a result of the proposed technique, the preheater may be excluded, while the device functionality remains unchanged. The proposed manuscript analyses the pros and cons of the proposed substitution, evaluates its operation and compares it with the conventional solution.</w:t>
      </w:r>
    </w:p>
    <w:p>
      <w:pPr>
        <w:spacing w:before="120" w:after="120"/>
      </w:pPr>
      <w:r>
        <w:rPr>
          <w:sz w:val="18"/>
        </w:rPr>
        <w:t>——————————————————————————————————————————————————————————————————————</w:t>
      </w:r>
    </w:p>
    <w:p>
      <w:pPr>
        <w:spacing w:before="160" w:after="40" w:line="240" w:lineRule="auto"/>
      </w:pPr>
      <w:r>
        <w:rPr>
          <w:b/>
        </w:rPr>
        <w:t xml:space="preserve">[487] </w:t>
      </w:r>
      <w:hyperlink r:id="rId1302">
        <w:r>
          <w:rPr>
            <w:color w:val="1155CC"/>
            <w:u w:val="single"/>
          </w:rPr>
          <w:t>采用水冷板与灌封混合冷却系统的矿用带式输送机外转子低速大转矩PMSM</w:t>
        </w:r>
      </w:hyperlink>
    </w:p>
    <w:p>
      <w:pPr>
        <w:spacing w:before="0" w:after="80"/>
      </w:pPr>
      <w:r>
        <w:rPr>
          <w:i/>
          <w:sz w:val="20"/>
        </w:rPr>
        <w:t>EN: Hybrid Cooling System With Water Plates and Potting for Outer-Rotor Low-Speed High-Torque PMSMs in Mining Belt Conveyors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03">
        <w:r>
          <w:rPr>
            <w:color w:val="1155CC"/>
            <w:u w:val="single"/>
          </w:rPr>
          <w:t>10.1109/tec.2026.3664845</w:t>
        </w:r>
      </w:hyperlink>
    </w:p>
    <w:p>
      <w:pPr>
        <w:spacing w:before="0" w:after="120"/>
      </w:pPr>
      <w:r>
        <w:rPr>
          <w:b/>
        </w:rPr>
        <w:t xml:space="preserve">Notes: </w:t>
      </w:r>
      <w:r>
        <w:t>abstract_source=semanticscholar</w:t>
      </w:r>
    </w:p>
    <w:p>
      <w:pPr>
        <w:spacing w:before="0" w:after="80" w:lineRule="auto" w:line="276"/>
      </w:pPr>
      <w:r>
        <w:rPr>
          <w:b/>
        </w:rPr>
        <w:t xml:space="preserve">摘要（ZH）: </w:t>
      </w:r>
      <w:r>
        <w:t>外转子低速大扭矩永磁电动机（LHPMDM）因其结构简单、可靠性高而在矿用带式输送机中备受青睐，但其转矩密度最终受限于内定子散热性能差的问题。针对这一问题，本文提出了一种将轴向水冷板插入与绕组整体灌封相结合的混合冷却方法。该设计有效缩短了从绕组到冷却液的热传导路径。评估了水冷板结构对电机电磁性能的影响。建立了参数化热网络模型以快速优化水冷板位置，并采用CFD仿真优化了水冷板的数量和厚度等关键参数。对比分析表明，与常规水管冷却相比，所提出的混合方法将绕组温升降低了33%。最后，制作了同时配备水冷板和水管冷却系统的多个定子模块并进行实验测试，验证了理论分析的正确性和该方法的可行性。</w:t>
      </w:r>
    </w:p>
    <w:p>
      <w:pPr>
        <w:spacing w:before="0" w:after="200" w:lineRule="auto" w:line="276"/>
      </w:pPr>
      <w:r>
        <w:rPr>
          <w:b/>
        </w:rPr>
        <w:t xml:space="preserve">Abstract (EN): </w:t>
      </w:r>
      <w:r>
        <w:t>Outer-rotor low-speed high-torque permanent magnet motors (LHPMDMs) are favored in mining belt conveyors for their simplicity and reliability, but their torque density is ultimately constrained by poor inner stator heat dissipation. To address this issue, this paper proposes a hybrid cooling method that combines axial water plate insertion with integral winding potting. This design effectively shortens the thermal conduction path from the windings to the coolant. The influence of the water plate structure on the motor’s electromagnetic performance is evaluated. A parameterized thermal network model is established for rapid optimization of the water plate position, and CFD simulations are used to optimize key parameters such as the number and thickness of the plates. Comparative analysis reveals that the proposed hybrid method reduces the winding temperature rise by 33% compared to conventional water pipe cooling. Finally, several stator modules equipped with both water plate and water pipe cooling systems are fabricated and experimentally tested, which verifies the correctness of the theoretical analysis and the feasibility of the method.</w:t>
      </w:r>
    </w:p>
    <w:p>
      <w:pPr>
        <w:spacing w:before="120" w:after="120"/>
      </w:pPr>
      <w:r>
        <w:rPr>
          <w:sz w:val="18"/>
        </w:rPr>
        <w:t>——————————————————————————————————————————————————————————————————————</w:t>
      </w:r>
    </w:p>
    <w:p>
      <w:pPr>
        <w:spacing w:before="160" w:after="40" w:line="240" w:lineRule="auto"/>
      </w:pPr>
      <w:r>
        <w:rPr>
          <w:b/>
        </w:rPr>
        <w:t xml:space="preserve">[488] </w:t>
      </w:r>
      <w:hyperlink r:id="rId1304">
        <w:r>
          <w:rPr>
            <w:color w:val="1155CC"/>
            <w:u w:val="single"/>
          </w:rPr>
          <w:t>基于在线随机优化的光伏-电池系统电动汽车充电站协调方法</w:t>
        </w:r>
      </w:hyperlink>
    </w:p>
    <w:p>
      <w:pPr>
        <w:spacing w:before="0" w:after="80"/>
      </w:pPr>
      <w:r>
        <w:rPr>
          <w:i/>
          <w:sz w:val="20"/>
        </w:rPr>
        <w:t>EN: Online Stochastic Optimization for Coordinating EV Charging Stations With PV-Battery Systems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305">
        <w:r>
          <w:rPr>
            <w:color w:val="1155CC"/>
            <w:u w:val="single"/>
          </w:rPr>
          <w:t>10.1109/tsg.2026.3703651</w:t>
        </w:r>
      </w:hyperlink>
    </w:p>
    <w:p>
      <w:pPr>
        <w:spacing w:before="0" w:after="120"/>
      </w:pPr>
      <w:r>
        <w:rPr>
          <w:b/>
        </w:rPr>
        <w:t xml:space="preserve">Notes: </w:t>
      </w:r>
      <w:r>
        <w:t>abstract_source=semanticscholar</w:t>
      </w:r>
    </w:p>
    <w:p>
      <w:pPr>
        <w:spacing w:before="0" w:after="80" w:lineRule="auto" w:line="276"/>
      </w:pPr>
      <w:r>
        <w:rPr>
          <w:b/>
        </w:rPr>
        <w:t xml:space="preserve">摘要（ZH）: </w:t>
      </w:r>
      <w:r>
        <w:t>电动汽车的激增给充电站（CS）和电网带来了压力，需要整合分布式资源并协调充电站以管理随机的供需。本文提出了一种新颖的在线随机优化方法，通过确定性保证确保电池运行的经济收益并设定基于电池的价格，从而提高运营收益并促进充电站协作。仿真表明该方法在保持服务质量和稳定性的同时实现了接近最优的性能。</w:t>
      </w:r>
    </w:p>
    <w:p>
      <w:pPr>
        <w:spacing w:before="0" w:after="200" w:lineRule="auto" w:line="276"/>
      </w:pPr>
      <w:r>
        <w:rPr>
          <w:b/>
        </w:rPr>
        <w:t xml:space="preserve">Abstract (EN): </w:t>
      </w:r>
      <w:r>
        <w:t>The surge in electric vehicle adoption strains charging stations (CSs) and the grid, calling for distributed resource integration and CS coordination to manage random supply and demand. This letter introduces a novel online stochastic optimization method that improves operation revenue and facilitates CS collaboration by ensuring the economic profitability of battery operations through a deterministic guarantee and setting battery-based prices. Simulations demonstrate near-optimal performance while upholding service quality and stability.</w:t>
      </w:r>
    </w:p>
    <w:p>
      <w:pPr>
        <w:spacing w:before="120" w:after="120"/>
      </w:pPr>
      <w:r>
        <w:rPr>
          <w:sz w:val="18"/>
        </w:rPr>
        <w:t>——————————————————————————————————————————————————————————————————————</w:t>
      </w:r>
    </w:p>
    <w:p>
      <w:pPr>
        <w:spacing w:before="160" w:after="40" w:line="240" w:lineRule="auto"/>
      </w:pPr>
      <w:r>
        <w:rPr>
          <w:b/>
        </w:rPr>
        <w:t xml:space="preserve">[489] </w:t>
      </w:r>
      <w:hyperlink r:id="rId1306">
        <w:r>
          <w:rPr>
            <w:color w:val="1155CC"/>
            <w:u w:val="single"/>
          </w:rPr>
          <w:t>面向抵御DoS攻击的微电网虚拟智能体与最优通信网络设计</w:t>
        </w:r>
      </w:hyperlink>
    </w:p>
    <w:p>
      <w:pPr>
        <w:spacing w:before="0" w:after="80"/>
      </w:pPr>
      <w:r>
        <w:rPr>
          <w:i/>
          <w:sz w:val="20"/>
        </w:rPr>
        <w:t>EN: Virtual Agent and Optimal Communication Network Design for Microgrids Against DoS Attacks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307">
        <w:r>
          <w:rPr>
            <w:color w:val="1155CC"/>
            <w:u w:val="single"/>
          </w:rPr>
          <w:t>10.1109/tsg.2026.3674339</w:t>
        </w:r>
      </w:hyperlink>
    </w:p>
    <w:p>
      <w:pPr>
        <w:spacing w:before="0" w:after="120"/>
      </w:pPr>
      <w:r>
        <w:rPr>
          <w:b/>
        </w:rPr>
        <w:t xml:space="preserve">Notes: </w:t>
      </w:r>
      <w:r>
        <w:t>abstract_source=semanticscholar</w:t>
      </w:r>
    </w:p>
    <w:p>
      <w:pPr>
        <w:spacing w:before="0" w:after="80" w:lineRule="auto" w:line="276"/>
      </w:pPr>
      <w:r>
        <w:rPr>
          <w:b/>
        </w:rPr>
        <w:t xml:space="preserve">摘要（ZH）: </w:t>
      </w:r>
      <w:r>
        <w:t>分布式二次控制的实施使微电网容易受到针对通信边和节点的拒绝服务（DoS）攻击。为了增强对DoS攻击的抵御能力并提高真实代理（RA）的生存能力，本文提出了一种通用且实用的虚拟代理（VA）框架。开发了一种轻量级VA更新策略，并从理论上证明其对正常系统运行无侵入性，同时降低了DoS边攻击和节点攻击的成功率。进一步，构建了一个VA感知的通信拓扑优化问题，以最优地连接VA，最大化RA的生存能力。随后开发了一种高效算法，用于求解大规模系统下的该问题。搭建了采用真实通信协议的硬件测试平台，以复现实际网络条件。在4-DG微电网上的仿真和硬件平台上的实验验证了所提方法能够保持系统正常运行，并在DoS攻击下显著增强抵御能力。在IEEE 34节点系统上的额外数值结果进一步证明了优化拓扑在提高RA生存能力方面的有效性。</w:t>
      </w:r>
    </w:p>
    <w:p>
      <w:pPr>
        <w:spacing w:before="0" w:after="200" w:lineRule="auto" w:line="276"/>
      </w:pPr>
      <w:r>
        <w:rPr>
          <w:b/>
        </w:rPr>
        <w:t xml:space="preserve">Abstract (EN): </w:t>
      </w:r>
      <w:r>
        <w:t>The implementation of distributed secondary control makes microgrids vulnerable to denial of service (DoS) attacks on communication edges and nodes. To enhance resilience against DoS attacks and increase the survivability of real agents (RAs), this paper proposes a general and practical virtual agent (VA) framework. A lightweight VA update policy is developed and theoretically proven to be non-intrusive to normal system operation, while reducing the success rate of DoS edge and node attacks. Further, a VA-aware communication topology optimization problem is formulated to optimally connect VAs, maximizing RA survivability. Then an efficient algorithm is developed to solve the formulated problem for large-scale systems. A hardware testbed is developed with real communication protocols to replicate practical network conditions. Simulations on a 4-DG microgrid and experiments on the hardware testbed validate that the proposed method preserves normal system operation and significantly enhances resilience under DoS attacks. Additional numerical results on the IEEE 34-bus system further demonstrate the effectiveness of the optimized topology in improving RA survivability.</w:t>
      </w:r>
    </w:p>
    <w:p>
      <w:pPr>
        <w:spacing w:before="120" w:after="120"/>
      </w:pPr>
      <w:r>
        <w:rPr>
          <w:sz w:val="18"/>
        </w:rPr>
        <w:t>——————————————————————————————————————————————————————————————————————</w:t>
      </w:r>
    </w:p>
    <w:p>
      <w:pPr>
        <w:spacing w:before="160" w:after="40" w:line="240" w:lineRule="auto"/>
      </w:pPr>
      <w:r>
        <w:rPr>
          <w:b/>
        </w:rPr>
        <w:t xml:space="preserve">[490] </w:t>
      </w:r>
      <w:hyperlink r:id="rId1308">
        <w:r>
          <w:rPr>
            <w:color w:val="1155CC"/>
            <w:u w:val="single"/>
          </w:rPr>
          <w:t>一种基于区块链的双重验证窃电检测联邦学习方法</w:t>
        </w:r>
      </w:hyperlink>
    </w:p>
    <w:p>
      <w:pPr>
        <w:spacing w:before="0" w:after="80"/>
      </w:pPr>
      <w:r>
        <w:rPr>
          <w:i/>
          <w:sz w:val="20"/>
        </w:rPr>
        <w:t>EN: A Blockchain-Based Federated Learning Approach for Electricity Theft Detection Through Dual-Verification</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309">
        <w:r>
          <w:rPr>
            <w:color w:val="1155CC"/>
            <w:u w:val="single"/>
          </w:rPr>
          <w:t>10.1109/tsg.2026.3676843</w:t>
        </w:r>
      </w:hyperlink>
    </w:p>
    <w:p>
      <w:pPr>
        <w:spacing w:before="0" w:after="120"/>
      </w:pPr>
      <w:r>
        <w:rPr>
          <w:b/>
        </w:rPr>
        <w:t xml:space="preserve">Notes: </w:t>
      </w:r>
      <w:r>
        <w:t>abstract_source=semanticscholar</w:t>
      </w:r>
    </w:p>
    <w:p>
      <w:pPr>
        <w:spacing w:before="0" w:after="80" w:lineRule="auto" w:line="276"/>
      </w:pPr>
      <w:r>
        <w:rPr>
          <w:b/>
        </w:rPr>
        <w:t xml:space="preserve">摘要（ZH）: </w:t>
      </w:r>
      <w:r>
        <w:t>参与数据收集和交互的恶意客户端可能发起模型投毒和数据投毒等攻击，以降低全局模型的性能并掩盖其窃电行为。尽管现有研究已引入区块链技术实现去中心化，但它们仍存在预聚合验证维度有限的问题。针对这些问题，本文提出了一种用于窃电检测的具有双重验证的基于区块链的联邦学习方法（BFL-DV）。在预聚合阶段，设计了一种基于多指标信誉的共识委员会验证策略，有效减轻了恶意参与者的影响。在后聚合阶段，开发了一种基于动态阈值的区块链验证策略，以应对传输过程中的安全风险，该策略可自适应地拒绝恶意全局更新。实验结果表明，在数据投毒攻击下，BFL-DV能够准确降低所有恶意客户端的影响。值得注意的是，在各种恶意客户端比例下，与SOTA方法相比，所提出的框架实现了平均32.68%的AUC提升，展示了其持续的性能优势。</w:t>
      </w:r>
    </w:p>
    <w:p>
      <w:pPr>
        <w:spacing w:before="0" w:after="200" w:lineRule="auto" w:line="276"/>
      </w:pPr>
      <w:r>
        <w:rPr>
          <w:b/>
        </w:rPr>
        <w:t xml:space="preserve">Abstract (EN): </w:t>
      </w:r>
      <w:r>
        <w:t>Malicious clients participating in data collection and interaction may launch attacks such as model and data poisoning to degrade the performance of the global model and conceal their electricity theft behaviors. Although existing studies have introduced blockchain technology to achieve decentralization, they still suffer from limited pre-aggregation validation dimensions. To address these issues, this paper proposes a blockchain-based federated learning approach with dual-verification (BFL-DV) for electricity theft detection. In the pre-aggregation stage, a multi-metric reputation-based consensus committee verification strategy is designed, which effectively mitigates the impact of malicious participants. In the post-aggregation stage, a dynamic threshold-based blockchain verification strategy is developed to counter security risks during the transmission process, which can refuse malicious global updates adaptively. Experimental results demonstrate that BFL-DV can accurately reduce the impact of all malicious clients under the data poisoning attack. Notably, across various proportions of malicious clients, the proposed framework achieves an average AUC improvement of 32.68% compared with SOTA methods, demonstrating its consistent performance advantage.</w:t>
      </w:r>
    </w:p>
    <w:p>
      <w:pPr>
        <w:spacing w:before="120" w:after="120"/>
      </w:pPr>
      <w:r>
        <w:rPr>
          <w:sz w:val="18"/>
        </w:rPr>
        <w:t>——————————————————————————————————————————————————————————————————————</w:t>
      </w:r>
    </w:p>
    <w:p>
      <w:pPr>
        <w:spacing w:before="160" w:after="40" w:line="240" w:lineRule="auto"/>
      </w:pPr>
      <w:r>
        <w:rPr>
          <w:b/>
        </w:rPr>
        <w:t xml:space="preserve">[491] </w:t>
      </w:r>
      <w:hyperlink r:id="rId1310">
        <w:r>
          <w:rPr>
            <w:color w:val="1155CC"/>
            <w:u w:val="single"/>
          </w:rPr>
          <w:t>具有悬伸结构的SPM电机开路磁场预测改进三维混合模型</w:t>
        </w:r>
      </w:hyperlink>
    </w:p>
    <w:p>
      <w:pPr>
        <w:spacing w:before="0" w:after="80"/>
      </w:pPr>
      <w:r>
        <w:rPr>
          <w:i/>
          <w:sz w:val="20"/>
        </w:rPr>
        <w:t>EN: Improved 3-D Hybrid Models for Open-Circuit Field Prediction in SPM Machines With Overhang Structures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11">
        <w:r>
          <w:rPr>
            <w:color w:val="1155CC"/>
            <w:u w:val="single"/>
          </w:rPr>
          <w:t>10.1109/tec.2026.3684726</w:t>
        </w:r>
      </w:hyperlink>
    </w:p>
    <w:p>
      <w:pPr>
        <w:spacing w:before="0" w:after="120"/>
      </w:pPr>
      <w:r>
        <w:rPr>
          <w:b/>
        </w:rPr>
        <w:t xml:space="preserve">Notes: </w:t>
      </w:r>
      <w:r>
        <w:t>abstract_source=semanticscholar</w:t>
      </w:r>
    </w:p>
    <w:p>
      <w:pPr>
        <w:spacing w:before="0" w:after="80" w:lineRule="auto" w:line="276"/>
      </w:pPr>
      <w:r>
        <w:rPr>
          <w:b/>
        </w:rPr>
        <w:t xml:space="preserve">摘要（ZH）: </w:t>
      </w:r>
      <w:r>
        <w:t>本文针对两种具有不同悬垂结构的表贴式永磁（SPM）电机，提出了两种结合子域（SD）法与等效磁网络（EMN）法的改进三维混合模型（HM），用于预测其空载磁场，同时考虑饱和效应和漏磁影响。三维混合模型通过迭代更新等效饱和面电流，将其作为二维子域边界条件的一部分以表征饱和效应。其关键在于修改二维子域模型，以推导出三维等效磁网络模型中特定于悬垂结构的磁通源。首先，根据漏磁类型，将电机沿轴向划分为若干区域，每个子区域包含若干切片。然后，对于永磁体悬垂电机（POM），利用磁等效电路（MEC）模型推导考虑端部漏磁和气隙漏磁的每个切片的磁通源修正因子。此外，计算悬垂永磁体提供的交链磁通并注入与端部切片对应的等效磁网络单元。同时，在定子悬垂电机（SOM）中，利用磁荷模型求解气隙磁密沿轴向的分布，并结合两种漏磁对磁通源进行修正。制造了两台样机，并通过三维有限元分析（FEA）和实验结果验证了所提出的两种三维混合模型的高精度和高效率。</w:t>
      </w:r>
    </w:p>
    <w:p>
      <w:pPr>
        <w:spacing w:before="0" w:after="200" w:lineRule="auto" w:line="276"/>
      </w:pPr>
      <w:r>
        <w:rPr>
          <w:b/>
        </w:rPr>
        <w:t xml:space="preserve">Abstract (EN): </w:t>
      </w:r>
      <w:r>
        <w:t>This article proposes two improved 3-D hybrid models (HMs) combining subdomain (SD) and equivalent magnetic network (EMN) methods for open-circuit field prediction in two surface-mounted permanent magnet (SPM) machines with distinct overhang structures, simultaneously accounting for saturation effects and leakage flux influences. The 3-D HMs iteratively update the equivalent saturation surface current, which is used as part of the 2-D SD boundary conditions to characterize the saturation effect. The key lies in modifying the 2-D SD model to derive flux sources specific to overhang structures within the 3-D EMN model. Firstly, depending on the types of leakage flux, the machines are divided into several regions along the axial direction. Each subregion includes several slices. Then, for the PM overhang machine (POM), the flux source correction factor for each slice considering end and air-gap leakage fluxes is derived using the magnetic equivalent circuit (MEC) model. Additionally, the linkage fluxes supplied by the overhang PMs are calculated and injected into the EMN units corresponding to end slices. Meanwhile, in the stator overhang machine (SOM), the axial distribution of air-gap flux density is solved using the magnetic charge model, with both leakage flux types incorporated for flux source modification. Two prototypes are fabricated, and the high accuracy and efficiency of both proposed 3-D HMs are verified by 3-D finite element analysis (FEA) and experimental results.</w:t>
      </w:r>
    </w:p>
    <w:p>
      <w:pPr>
        <w:spacing w:before="120" w:after="120"/>
      </w:pPr>
      <w:r>
        <w:rPr>
          <w:sz w:val="18"/>
        </w:rPr>
        <w:t>——————————————————————————————————————————————————————————————————————</w:t>
      </w:r>
    </w:p>
    <w:p>
      <w:pPr>
        <w:spacing w:before="160" w:after="40" w:line="240" w:lineRule="auto"/>
      </w:pPr>
      <w:r>
        <w:rPr>
          <w:b/>
        </w:rPr>
        <w:t xml:space="preserve">[492] </w:t>
      </w:r>
      <w:hyperlink r:id="rId1312">
        <w:r>
          <w:rPr>
            <w:color w:val="1155CC"/>
            <w:u w:val="single"/>
          </w:rPr>
          <w:t>含外部扰动的不确定水轮机调速系统性能增强自适应有限时间精确控制</w:t>
        </w:r>
      </w:hyperlink>
    </w:p>
    <w:p>
      <w:pPr>
        <w:spacing w:before="0" w:after="80"/>
      </w:pPr>
      <w:r>
        <w:rPr>
          <w:i/>
          <w:sz w:val="20"/>
        </w:rPr>
        <w:t>EN: Performance-Enhanced Adaptive Finite-Time Accurate Control of Uncertain Hydro Turbine Governing System With External Disturbances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13">
        <w:r>
          <w:rPr>
            <w:color w:val="1155CC"/>
            <w:u w:val="single"/>
          </w:rPr>
          <w:t>10.1109/tec.2026.3684970</w:t>
        </w:r>
      </w:hyperlink>
    </w:p>
    <w:p>
      <w:pPr>
        <w:spacing w:before="0" w:after="120"/>
      </w:pPr>
      <w:r>
        <w:rPr>
          <w:b/>
        </w:rPr>
        <w:t xml:space="preserve">Notes: </w:t>
      </w:r>
      <w:r>
        <w:t>abstract_source=semanticscholar</w:t>
      </w:r>
    </w:p>
    <w:p>
      <w:pPr>
        <w:spacing w:before="0" w:after="80" w:lineRule="auto" w:line="276"/>
      </w:pPr>
      <w:r>
        <w:rPr>
          <w:b/>
        </w:rPr>
        <w:t xml:space="preserve">摘要（ZH）: </w:t>
      </w:r>
      <w:r>
        <w:t>水轮机调速系统（HTGS）对于保障水电站的整体稳定与安全运行至关重要。然而，在水轮机调速系统中，发电机转子转速是影响其性能的关键因素。本文提出一种有限时间滑模控制方案，旨在实现转子转速的精确轨迹跟踪，以提升水轮机调速系统的性能。为克服外部扰动的影响，提出了一种新型有限时间扰动观测器（FDO）。与传统高阶滑模观测器不同，所提出的FDO具有完全解耦的结构，可独立于控制器综合进行离线观测器设计与增益整定。它仅要求集总扰动具有一阶可微性，且其估计误差严格在有限时间内收敛到零。这种解耦设计可实现精确轨迹跟踪，并具有更强的抗扰能力、更快的瞬态响应以及更低的在线计算成本。最后，给出了大量仿真结果，验证了新提出的控制策略的有效性。仿真结果表明，所提方案在1.2–1.5 s内实现精确的扰动估计，并在1.8–2.3 s内使转子转速跟踪误差趋于零，以量化指标证实了有限时间收敛的论断。</w:t>
      </w:r>
    </w:p>
    <w:p>
      <w:pPr>
        <w:spacing w:before="0" w:after="200" w:lineRule="auto" w:line="276"/>
      </w:pPr>
      <w:r>
        <w:rPr>
          <w:b/>
        </w:rPr>
        <w:t xml:space="preserve">Abstract (EN): </w:t>
      </w:r>
      <w:r>
        <w:t>The hydro turbine governing system (HTGS) plays a critical role in ensuring the overall stability and safe operation of hydropower stations. However, in the hydro turbine governing system, the rotor speed of the generator is the key factor affecting its performance. This paper proposes a finite time sliding mode control scheme aimed at achieving the accurate trajectory tracking of rotor speed to enhance the performance of the HTGS. To overcome the influence of external disturbances, a novel finite-time disturbance observer (FDO) is proposed. Unlike conventional high-order sliding-mode observers, the proposed FDO features a fully decoupled architecture that allows offline observer design and gain tuning independently of the controller synthesis. It requires only first-order differentiability of the lumped disturbances, and its estimation errors converge to zero strictly in finite time. This decoupled design enables exact trajectory tracking with stronger disturbance rejection, faster transient response, and lower online computational cost. Finally, a suite of extensive simulation outcomes is provided, which demonstrates the efficacy of the newly proposed control strategy. Simulation results demonstrate that the proposed scheme achieves exact disturbance estimation within 1.2–1.5 s and drives the rotor speed tracking error to zero in 1.8–2.3 s, substantiating the finite-time convergence claim with quantitative metrics.</w:t>
      </w:r>
    </w:p>
    <w:p>
      <w:pPr>
        <w:spacing w:before="120" w:after="120"/>
      </w:pPr>
      <w:r>
        <w:rPr>
          <w:sz w:val="18"/>
        </w:rPr>
        <w:t>——————————————————————————————————————————————————————————————————————</w:t>
      </w:r>
    </w:p>
    <w:p>
      <w:pPr>
        <w:spacing w:before="160" w:after="40" w:line="240" w:lineRule="auto"/>
      </w:pPr>
      <w:r>
        <w:rPr>
          <w:b/>
        </w:rPr>
        <w:t xml:space="preserve">[493] </w:t>
      </w:r>
      <w:hyperlink r:id="rId1314">
        <w:r>
          <w:rPr>
            <w:color w:val="1155CC"/>
            <w:u w:val="single"/>
          </w:rPr>
          <w:t>单级式太阳能水泵系统的自适应功率跟踪与控制</w:t>
        </w:r>
      </w:hyperlink>
    </w:p>
    <w:p>
      <w:pPr>
        <w:spacing w:before="0" w:after="80"/>
      </w:pPr>
      <w:r>
        <w:rPr>
          <w:i/>
          <w:sz w:val="20"/>
        </w:rPr>
        <w:t>EN: Adaptive Power Tracking and Control for Single-Stage Solar Water Pumping Systems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47">
        <w:r>
          <w:rPr>
            <w:color w:val="1155CC"/>
            <w:u w:val="single"/>
          </w:rPr>
          <w:t>10.1109/tec.2026.3660299</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一种自适应功率跟踪与控制策略，以解决太阳能水泵（SWP）系统中传统基于电压控制的局限性。传统最大功率点跟踪（MPPT）方法，如扰动观测法（P&amp;O）和电导增量法（INC），在变化的环境条件下存在收敛慢、振荡和不稳定等问题。特别是，这些电压调节方法基于光伏（PV）电压调整负载功率，增加了收敛到低压条件的风险，此时直流电压不足以维持电机运行，导致过度功率损失甚至系统失效。为解决此问题，引入了一种自适应功率跟踪（APT）算法，直接调节功率以确保可靠运行并防止不稳定。所提方法基于光伏系统的非线性电压–电流特性自适应调整功率变化，无需额外传感器或复杂计算即可避开不稳定工作点。实验结果验证了该算法可实现快速准确的MPPT和稳定的恒功率控制，同时显著增强鲁棒性、提高系统稳定性并消除稳态振荡。这些结果证明了所提方法在实现可靠、节能的太阳能水泵系统运行方面的实际有效性。</w:t>
      </w:r>
    </w:p>
    <w:p>
      <w:pPr>
        <w:spacing w:before="0" w:after="200" w:lineRule="auto" w:line="276"/>
      </w:pPr>
      <w:r>
        <w:rPr>
          <w:b/>
        </w:rPr>
        <w:t xml:space="preserve">Abstract (EN): </w:t>
      </w:r>
      <w:r>
        <w:t>This paper proposes an adaptive power tracking and control strategy to address the limitations of conventional voltage-based control in solar water pumping (SWP) systems. Traditional maximum power point tracking (MPPT) methods, such as Perturb and Observe (P&amp;O) and Incremental Conductance (INC), suffer from slow convergence, oscillations, and instability under varying environmental conditions. In particular, these voltage-regulated approaches adjust load power based on photovoltaic (PV) voltage, increasing the risk of convergence to low-voltage conditions where the DC voltage becomes insufficient to sustain motor operation, resulting in excessive power loss or even system failure. To address this, an adaptive power tracking (APT) algorithm is introduced, which directly regulates power to ensure reliable operation and prevent instability. The proposed method adapts power variations based on the nonlinear voltage–current characteristics of the PV system and avoids unstable operating points without additional sensors or complex computations. Experimental results verify that the algorithm achieves fast and accurate MPPT and stable constant power control, while significantly enhancing robustness, improving system stability, and eliminating steady-state oscillations. These findings demonstrate the practical effectiveness of the proposed approach for achieving reliable and energy-efficient SWP system operation.</w:t>
      </w:r>
    </w:p>
    <w:p>
      <w:pPr>
        <w:spacing w:before="120" w:after="120"/>
      </w:pPr>
      <w:r>
        <w:rPr>
          <w:sz w:val="18"/>
        </w:rPr>
        <w:t>——————————————————————————————————————————————————————————————————————</w:t>
      </w:r>
    </w:p>
    <w:p>
      <w:pPr>
        <w:spacing w:before="160" w:after="40" w:line="240" w:lineRule="auto"/>
      </w:pPr>
      <w:r>
        <w:rPr>
          <w:b/>
        </w:rPr>
        <w:t xml:space="preserve">[494] </w:t>
      </w:r>
      <w:hyperlink r:id="rId1315">
        <w:r>
          <w:rPr>
            <w:color w:val="1155CC"/>
            <w:u w:val="single"/>
          </w:rPr>
          <w:t>考虑磁饱和与扩散效应的PMSM转子涡流损耗解析预测模型</w:t>
        </w:r>
      </w:hyperlink>
    </w:p>
    <w:p>
      <w:pPr>
        <w:spacing w:before="0" w:after="80"/>
      </w:pPr>
      <w:r>
        <w:rPr>
          <w:i/>
          <w:sz w:val="20"/>
        </w:rPr>
        <w:t>EN: Analytical Model for Predicting Rotor Eddy Current Loss of PMSMs Considering Magnetic Saturation and Diffusion Effect</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16">
        <w:r>
          <w:rPr>
            <w:color w:val="1155CC"/>
            <w:u w:val="single"/>
          </w:rPr>
          <w:t>10.1109/tec.2026.3676225</w:t>
        </w:r>
      </w:hyperlink>
    </w:p>
    <w:p>
      <w:pPr>
        <w:spacing w:before="0" w:after="120"/>
      </w:pPr>
      <w:r>
        <w:rPr>
          <w:b/>
        </w:rPr>
        <w:t xml:space="preserve">Notes: </w:t>
      </w:r>
      <w:r>
        <w:t>abstract_source=semanticscholar</w:t>
      </w:r>
    </w:p>
    <w:p>
      <w:pPr>
        <w:spacing w:before="0" w:after="80" w:lineRule="auto" w:line="276"/>
      </w:pPr>
      <w:r>
        <w:rPr>
          <w:b/>
        </w:rPr>
        <w:t xml:space="preserve">摘要（ZH）: </w:t>
      </w:r>
      <w:r>
        <w:t>永磁同步电机（PMSM）中的转子涡流损耗（RECL）受铁芯饱和以及导电部件中的扩散效应（涡流反应）影响显著。许多解析模型忽略了其中之一，导致在高负载或谐波丰富的情况下出现误差。本文提出一种非线性混合解析框架，通过等效电流片（ECS）界面将静磁模型（MSM）与频域模型（FDM）耦合。静磁模型在非线性铁芯磁导率下计算随负载变化的磁场。在一个电周期内，对定子内表面的切向磁场进行采样，并通过快速傅里叶变换（FFT）分解为具有明确时空阶次的等效电流片。随后将这些等效电流片输入频域模型，求解导电转子区域中的扩散问题，得到各次谐波的转子涡流损耗估计。与二维有限元分析（FEA）相比，该方法在不同饱和程度和频率下均保持高精度，同时所需的计算量大幅降低。在一台PMSM上采用基于热学的方法推断转子损耗，进行了实验验证。所提模型经三维修正后与测试结果吻合良好。该模型提供了透明的损耗机理，适用于饱和与扩散效应均显著的早期设计研究。</w:t>
      </w:r>
    </w:p>
    <w:p>
      <w:pPr>
        <w:spacing w:before="0" w:after="200" w:lineRule="auto" w:line="276"/>
      </w:pPr>
      <w:r>
        <w:rPr>
          <w:b/>
        </w:rPr>
        <w:t xml:space="preserve">Abstract (EN): </w:t>
      </w:r>
      <w:r>
        <w:t>Rotor eddy-current loss (RECL) in permanent-magnet synchronous machines (PMSMs) is strongly influenced by magnetic core saturation and diffusion effect (eddy-current reaction) in conducting parts. Many analytical models omit one of these, leading to errors at high load or under rich harmonics. This paper proposes a nonlinear hybrid analytical framework that couples a magnetostatic model (MSM) with a frequency-domain model (FDM) via an equivalent current-sheet (ECS) interface. The MSM computes the load-dependent magnetic field under nonlinear core permeability. Over one electrical period, the tangential field at the inner stator surface is sampled and decomposed by fast Fourier transform (FFT) into ECSs with explicit space-time orders. These ECSs are subsequently fed to the FDM, which solves the diffusion problem in conductive rotor regions, yielding per-harmonic RECL estimates. Compared with 2D finite-element analysis (FEA), the method maintains high accuracy across saturation levels and frequencies while requiring substantially lower computational effort. Experimental validation is carried out on a PMSM using a thermal-based method to infer rotor losses. The proposed model using a 3D correction shows good agreement with the test results. This model provides a transparent loss mechanism and is suitable for early-stage design studies where both saturation and diffusion are significant.</w:t>
      </w:r>
    </w:p>
    <w:p>
      <w:pPr>
        <w:spacing w:before="120" w:after="120"/>
      </w:pPr>
      <w:r>
        <w:rPr>
          <w:sz w:val="18"/>
        </w:rPr>
        <w:t>——————————————————————————————————————————————————————————————————————</w:t>
      </w:r>
    </w:p>
    <w:p>
      <w:pPr>
        <w:spacing w:before="160" w:after="40" w:line="240" w:lineRule="auto"/>
      </w:pPr>
      <w:r>
        <w:rPr>
          <w:b/>
        </w:rPr>
        <w:t xml:space="preserve">[495] </w:t>
      </w:r>
      <w:hyperlink r:id="rId1317">
        <w:r>
          <w:rPr>
            <w:color w:val="1155CC"/>
            <w:u w:val="single"/>
          </w:rPr>
          <w:t>具有宽带偏振灵敏度的协同双机制自供电光电探测器及其多功能应用</w:t>
        </w:r>
      </w:hyperlink>
    </w:p>
    <w:p>
      <w:pPr>
        <w:spacing w:before="0" w:after="80"/>
      </w:pPr>
      <w:r>
        <w:rPr>
          <w:i/>
          <w:sz w:val="20"/>
        </w:rPr>
        <w:t>EN: Synergistic Dual-Mechanism Self-Powered Photodetector with Broadband Polarization Sensitivity for Multifunctional Applications</w:t>
      </w:r>
    </w:p>
    <w:p>
      <w:pPr>
        <w:spacing w:before="0" w:after="120"/>
      </w:pPr>
      <w:r>
        <w:rPr>
          <w:b/>
        </w:rPr>
        <w:t xml:space="preserve">Source: </w:t>
      </w:r>
      <w:r>
        <w:t>ACS Applied Materials &amp; Interfaces: Latest Articles (ACS Publications)</w:t>
      </w:r>
      <w:r>
        <w:t xml:space="preserve">    </w:t>
      </w:r>
      <w:r>
        <w:rPr>
          <w:b/>
        </w:rPr>
        <w:t xml:space="preserve">Pub date: </w:t>
      </w:r>
      <w:r>
        <w:t>2026-09-01 00:00:00+00:00</w:t>
      </w:r>
      <w:r>
        <w:t xml:space="preserve">    </w:t>
      </w:r>
      <w:r>
        <w:rPr>
          <w:b/>
        </w:rPr>
        <w:t xml:space="preserve">DOI: </w:t>
      </w:r>
      <w:hyperlink r:id="rId1318">
        <w:r>
          <w:rPr>
            <w:color w:val="1155CC"/>
            <w:u w:val="single"/>
          </w:rPr>
          <w:t>10.1021/acsami.6c11587</w:t>
        </w:r>
      </w:hyperlink>
    </w:p>
    <w:p>
      <w:pPr>
        <w:spacing w:before="0" w:after="120"/>
      </w:pPr>
      <w:r>
        <w:rPr>
          <w:b/>
        </w:rPr>
        <w:t xml:space="preserve">Notes: </w:t>
      </w:r>
      <w:r>
        <w:t>abstract_source=crossref</w:t>
      </w:r>
    </w:p>
    <w:p>
      <w:pPr>
        <w:spacing w:before="0" w:after="80" w:lineRule="auto" w:line="276"/>
      </w:pPr>
      <w:r>
        <w:rPr>
          <w:b/>
        </w:rPr>
        <w:t xml:space="preserve">摘要（ZH）: </w:t>
      </w:r>
      <w:r>
        <w:t>摘要 二维（2D）光电探测器凭借其优异的柔性和集成度成为光电子学的研究热点。然而，传统二维光电探测器通常依赖单一光响应机制，协同多种物理机制以增强探测性能的研究仍不充分。本文展示了一种具有单边耗散n-n结的高性能自供电Gr/InSe/MoS2范德华异质结光电探测器。通过合理集成石墨烯、InSe和MoS2，该器件通过光伏效应与光热电效应的双机制实现了显著的协同增强。得益于MoS2中温度梯度感应的热电场与n-n结内建电场方向一致，有效促进了光生载流子的高效分离，显著提升了光响应。在零偏压工作条件下，器件表现出从355到1064 nm的宽波段光响应，在532 nm处峰值响应度为650 mA W−1，超低暗电流为5.3 × 10−13 A，快速上升时间为15.6 μs。同时，得益于InSe的面内各向异性，器件表现出明显的偏振敏感性。它被成功应用于图像加密、偏振成像和近红外光通信，为设计先进的多功能自供电光电探测器提供了一种有前景的策略。</w:t>
      </w:r>
    </w:p>
    <w:p>
      <w:pPr>
        <w:spacing w:before="0" w:after="200" w:lineRule="auto" w:line="276"/>
      </w:pPr>
      <w:r>
        <w:rPr>
          <w:b/>
        </w:rPr>
        <w:t xml:space="preserve">Abstract (EN): </w:t>
      </w:r>
      <w:r>
        <w:t>Two-dimensional (2D) photodetectors are a research focus in optoelectronics owing to their excellent flexibility and integration. However, conventional 2D photodetectors typically rely on a single photoresponse mechanism, and studies on synergizing multiple physical mechanisms to enhance detection performance remain insufficient. Herein, we demonstrate a high-performance self-powered Gr/InSe/MoS2 van der Waals heterojunction photodetector with a unilateral depletion n-n junction. By rationally integrating graphene, InSe, and MoS2, the device realizes remarkable synergistic enhancement by dual-mechanism of photovoltaic and photothermoelectric effects. Benefiting from the thermoelectric field induced by the temperature gradient in MoS2 aligns with the built-in field of the n-n junction, effectively promote efficient photocarrier separation and significantly improving the photoresponse. Under zero-bias operation, it exhibits a broadband photoresponse from 355 to 1064 nm, a peak responsivity of 650 mA W−1 at 532 nm, an ultralow dark current of 5.3 × 10−13 A, and a fast rise time of 15.6 μs. Meanwhile, the device displays distinct polarization sensitivity originating from the in-plane anisotropy of InSe. It is successfully applied to image encryption, polarization imaging, and near-infrared optical communication, providing a promising strategy for designing advanced multifunctional self-powered photodetectors.</w:t>
      </w:r>
    </w:p>
    <w:p>
      <w:pPr>
        <w:spacing w:before="120" w:after="120"/>
      </w:pPr>
      <w:r>
        <w:rPr>
          <w:sz w:val="18"/>
        </w:rPr>
        <w:t>——————————————————————————————————————————————————————————————————————</w:t>
      </w:r>
    </w:p>
    <w:p>
      <w:pPr>
        <w:spacing w:before="160" w:after="40" w:line="240" w:lineRule="auto"/>
      </w:pPr>
      <w:r>
        <w:rPr>
          <w:b/>
        </w:rPr>
        <w:t xml:space="preserve">[496] </w:t>
      </w:r>
      <w:hyperlink r:id="rId1319">
        <w:r>
          <w:rPr>
            <w:color w:val="1155CC"/>
            <w:u w:val="single"/>
          </w:rPr>
          <w:t>HfO2纳米晶增强柔性SiC纳米纤维膜：兼具优异的循环弯曲耐久性与隔热性能</w:t>
        </w:r>
      </w:hyperlink>
    </w:p>
    <w:p>
      <w:pPr>
        <w:spacing w:before="0" w:after="80"/>
      </w:pPr>
      <w:r>
        <w:rPr>
          <w:i/>
          <w:sz w:val="20"/>
        </w:rPr>
        <w:t>EN: HfO2 Nanocrystal-Reinforced Flexible SiC Nanofibrous Membranes with Excellent Cyclic Bending Durability and Thermal Insulation</w:t>
      </w:r>
    </w:p>
    <w:p>
      <w:pPr>
        <w:spacing w:before="0" w:after="120"/>
      </w:pPr>
      <w:r>
        <w:rPr>
          <w:b/>
        </w:rPr>
        <w:t xml:space="preserve">Source: </w:t>
      </w:r>
      <w:r>
        <w:t>ACS Applied Materials &amp; Interfaces: Latest Articles (ACS Publications)</w:t>
      </w:r>
      <w:r>
        <w:t xml:space="preserve">    </w:t>
      </w:r>
      <w:r>
        <w:rPr>
          <w:b/>
        </w:rPr>
        <w:t xml:space="preserve">Pub date: </w:t>
      </w:r>
      <w:r>
        <w:t>2026-09-01 00:00:00+00:00</w:t>
      </w:r>
      <w:r>
        <w:t xml:space="preserve">    </w:t>
      </w:r>
      <w:r>
        <w:rPr>
          <w:b/>
        </w:rPr>
        <w:t xml:space="preserve">DOI: </w:t>
      </w:r>
      <w:hyperlink r:id="rId1320">
        <w:r>
          <w:rPr>
            <w:color w:val="1155CC"/>
            <w:u w:val="single"/>
          </w:rPr>
          <w:t>10.1021/acsami.6c15100</w:t>
        </w:r>
      </w:hyperlink>
    </w:p>
    <w:p>
      <w:pPr>
        <w:spacing w:before="0" w:after="120"/>
      </w:pPr>
      <w:r>
        <w:rPr>
          <w:b/>
        </w:rPr>
        <w:t xml:space="preserve">Notes: </w:t>
      </w:r>
      <w:r>
        <w:t>abstract_source=crossref</w:t>
      </w:r>
    </w:p>
    <w:p>
      <w:pPr>
        <w:spacing w:before="0" w:after="80" w:lineRule="auto" w:line="276"/>
      </w:pPr>
      <w:r>
        <w:rPr>
          <w:b/>
        </w:rPr>
        <w:t xml:space="preserve">摘要（ZH）: </w:t>
      </w:r>
      <w:r>
        <w:t>摘要 通过聚合物衍生陶瓷策略，将HfO2纳米晶掺入SiC基体中，制备了柔性HfO2/SiC复合纳米纤维膜。优化后的膜表现出1.97 MPa的拉伸强度、约3800倍于自身重量的静态承载能力以及优异的循环弯曲耐久性，在180°反复弯曲1.6 × 104次循环后ΔR/R0仍保持在3%以下。这些结果表明该膜在静态载荷和反复弯曲变形下均具有强健的机械稳定性。同时，该膜实现了0.1513 W·m−1·K−1的低热导率和约0.95的高红外发射率。当直接暴露于1200 °C火焰时，2.5 mm厚的膜背面温度仅为172.6 °C。在长时间热暴露下，测得的单位厚度温差可持续性为1.19 × 105 °C·s·mm−1，是传统陶瓷、纤维和气凝胶隔热材料的1.6倍。此外，分子动力学模拟进一步证实了掺入HfO2具有增强效果。这些结果凸显了HfO2/SiC纳米纤维膜在极端环境下轻质热防护应用的潜力。</w:t>
      </w:r>
    </w:p>
    <w:p>
      <w:pPr>
        <w:spacing w:before="0" w:after="200" w:lineRule="auto" w:line="276"/>
      </w:pPr>
      <w:r>
        <w:rPr>
          <w:b/>
        </w:rPr>
        <w:t xml:space="preserve">Abstract (EN): </w:t>
      </w:r>
      <w:r>
        <w:t>Flexible HfO2/SiC composite nanofibrous membranes were fabricated via a polymer-derived ceramic strategy by incorporating HfO2 nanocrystals into a SiC matrix. The optimized membrane exhibits a tensile strength of 1.97 MPa, a static load-bearing capability of approximately 3800 times its own weight, and excellent cyclic bending durability, maintaining ΔR/R0 below 3% after 1.6 × 104 cycles under 180° repeated bending. These results demonstrate its robust mechanical stability under both static loading and repeated bending deformation. Concurrently, the membrane achieves a low thermal conductivity of 0.1513 W·m−1·K−1 and a high infrared emissivity of ∼0.95. When subjected to direct exposure to a 1200 °C flame, a 2.5 mm-thick membrane exhibits a backside temperature of only 172.6 °C. The measured temperature-difference sustainability per unit thickness is 1.19 × 105 °C·s·mm−1 under prolonged thermal exposure, which is 1.6 times that of conventional ceramic, fibrous, and aerogel insulators. Moreover, molecular dynamics simulations provide further evidence that the incorporation of HfO2 has a reinforcing effect. These results highlight the potential of HfO2/SiC nanofibrous membranes for lightweight thermal protection applications under extreme environments.</w:t>
      </w:r>
    </w:p>
    <w:p>
      <w:pPr>
        <w:spacing w:before="120" w:after="120"/>
      </w:pPr>
      <w:r>
        <w:rPr>
          <w:sz w:val="18"/>
        </w:rPr>
        <w:t>——————————————————————————————————————————————————————————————————————</w:t>
      </w:r>
    </w:p>
    <w:p>
      <w:pPr>
        <w:spacing w:before="160" w:after="40" w:line="240" w:lineRule="auto"/>
      </w:pPr>
      <w:r>
        <w:rPr>
          <w:b/>
        </w:rPr>
        <w:t xml:space="preserve">[497] </w:t>
      </w:r>
      <w:hyperlink r:id="rId1321">
        <w:r>
          <w:rPr>
            <w:color w:val="1155CC"/>
            <w:u w:val="single"/>
          </w:rPr>
          <w:t>基于高导电透明聚苯并二呋喃二酮电极的柔性红光量子点发光二极管</w:t>
        </w:r>
      </w:hyperlink>
    </w:p>
    <w:p>
      <w:pPr>
        <w:spacing w:before="0" w:after="80"/>
      </w:pPr>
      <w:r>
        <w:rPr>
          <w:i/>
          <w:sz w:val="20"/>
        </w:rPr>
        <w:t>EN: Flexible Red Quantum Dot Light-Emitting Diodes Enabled by a Highly Conductive and Transparent Poly(benzodifurandione) Electrode</w:t>
      </w:r>
    </w:p>
    <w:p>
      <w:pPr>
        <w:spacing w:before="0" w:after="120"/>
      </w:pPr>
      <w:r>
        <w:rPr>
          <w:b/>
        </w:rPr>
        <w:t xml:space="preserve">Source: </w:t>
      </w:r>
      <w:r>
        <w:t>ACS Applied Materials &amp; Interfaces: Latest Articles (ACS Publications)</w:t>
      </w:r>
      <w:r>
        <w:t xml:space="preserve">    </w:t>
      </w:r>
      <w:r>
        <w:rPr>
          <w:b/>
        </w:rPr>
        <w:t xml:space="preserve">Pub date: </w:t>
      </w:r>
      <w:r>
        <w:t>2026-09-01 00:00:00+00:00</w:t>
      </w:r>
      <w:r>
        <w:t xml:space="preserve">    </w:t>
      </w:r>
      <w:r>
        <w:rPr>
          <w:b/>
        </w:rPr>
        <w:t xml:space="preserve">DOI: </w:t>
      </w:r>
      <w:hyperlink r:id="rId1322">
        <w:r>
          <w:rPr>
            <w:color w:val="1155CC"/>
            <w:u w:val="single"/>
          </w:rPr>
          <w:t>10.1021/acsami.6c10709</w:t>
        </w:r>
      </w:hyperlink>
    </w:p>
    <w:p>
      <w:pPr>
        <w:spacing w:before="0" w:after="120"/>
      </w:pPr>
      <w:r>
        <w:rPr>
          <w:b/>
        </w:rPr>
        <w:t xml:space="preserve">Notes: </w:t>
      </w:r>
      <w:r>
        <w:t>abstract_source=crossref</w:t>
      </w:r>
    </w:p>
    <w:p>
      <w:pPr>
        <w:spacing w:before="0" w:after="80" w:lineRule="auto" w:line="276"/>
      </w:pPr>
      <w:r>
        <w:rPr>
          <w:b/>
        </w:rPr>
        <w:t xml:space="preserve">摘要（ZH）: </w:t>
      </w:r>
      <w:r>
        <w:t>摘要 聚苯并二呋喃二酮（PBFDO）作为一种高导电聚合物，在柔性电极中展现出巨大潜力。然而，其与传统空穴传输层PEDOT:PSS的界面相容性较差，限制了器件性能，成为实际应用中的关键挑战。为解决这一问题，我们开发了一种由PF8Cz-TPA掺杂物TrTPFB构成的新型油溶性空穴传输体系。TrTPFB的p型掺杂提升了PF8Cz-TPA的空穴传输能力及功函数匹配性，使其单层即可替代PEDOT:PSS/PF8Cz-TPA双层结构，从而提升器件性能并简化制造工艺。优化后的基于PBFDO的红色量子点发光二极管（QLED）表现出卓越性能：1.9 V的低开启电压、39,603 cd m–2的最大亮度以及15.15 cd A–1的峰值电流效率。该峰值效率约为未掺杂器件（3.92 cd A–1）的四倍，并达到基于ITO器件性能的79%。基于PBFDO的器件表现出更优的运行稳定性，其亮度在120小时内从19,000降至12,000 cd m–2，而基于ITO的器件则迅速衰减，仅45小时内就从12,000降至5000 cd m–2。构建于PEN衬底上的柔性QLED可实现10.96 cd A–1的电流效率，证实了其在柔性显示技术中的广阔前景。</w:t>
      </w:r>
    </w:p>
    <w:p>
      <w:pPr>
        <w:spacing w:before="0" w:after="200" w:lineRule="auto" w:line="276"/>
      </w:pPr>
      <w:r>
        <w:rPr>
          <w:b/>
        </w:rPr>
        <w:t xml:space="preserve">Abstract (EN): </w:t>
      </w:r>
      <w:r>
        <w:t>As a highly conductive polymer, poly(benzodifurandione) (PBFDO) shows great potential in flexible electrodes. Yet its poor interfacial compatibility with the traditional hole-transport layer PEDOT:PSS limits device performance, posing a key challenge for practical applications. To address this issue, we developed a novel oil-soluble hole-transport system comprising PF8Cz-TPA doped with TrTPFB. TrTPFB p-type doping boosts PF8Cz-TPA's hole transport and work-function matching, enabling its single layer to replace the PEDOT:PSS/PF8Cz-TPA bilayer, improving device performance and simplifying manufacturing. The optimized PBFDO-based red quantum dot light-emitting diode (QLED) delivers exceptional performance: a low turn-on voltage of 1.9 V, a maximum luminance of 39,603 cd m–2, and a peak current efficiency of 15.15 cd A–1. This peak efficiency is about four times that of undoped devices (3.92 cd A–1) and reaches 79% of the performance of ITO-based devices. PBFDO-based devices exhibited superior operational stability, with luminance dropping from 19,000 to 12,000 cd m–2 over 120 h, while ITO-based devices degraded rapidly, falling from 12,000 to 5000 cd m–2 in just 45 h. Flexible QLEDs built on PEN substrates deliver a current efficiency of 10.96 cd A–1, confirming their promising prospects in flexible display technologies.</w:t>
      </w:r>
    </w:p>
    <w:p>
      <w:pPr>
        <w:spacing w:before="120" w:after="120"/>
      </w:pPr>
      <w:r>
        <w:rPr>
          <w:sz w:val="18"/>
        </w:rPr>
        <w:t>——————————————————————————————————————————————————————————————————————</w:t>
      </w:r>
    </w:p>
    <w:p>
      <w:pPr>
        <w:spacing w:before="160" w:after="40" w:line="240" w:lineRule="auto"/>
      </w:pPr>
      <w:r>
        <w:rPr>
          <w:b/>
        </w:rPr>
        <w:t xml:space="preserve">[498] </w:t>
      </w:r>
      <w:hyperlink r:id="rId1323">
        <w:r>
          <w:rPr>
            <w:color w:val="1155CC"/>
            <w:u w:val="single"/>
          </w:rPr>
          <w:t>纤维状本征沸石Pickering界面催化剂</w:t>
        </w:r>
      </w:hyperlink>
    </w:p>
    <w:p>
      <w:pPr>
        <w:spacing w:before="0" w:after="80"/>
      </w:pPr>
      <w:r>
        <w:rPr>
          <w:i/>
          <w:sz w:val="20"/>
        </w:rPr>
        <w:t>EN: Fibrous Intrinsic Zeolitic Pickering Interfacial Catalysts</w:t>
      </w:r>
    </w:p>
    <w:p>
      <w:pPr>
        <w:spacing w:before="0" w:after="120"/>
      </w:pPr>
      <w:r>
        <w:rPr>
          <w:b/>
        </w:rPr>
        <w:t xml:space="preserve">Source: </w:t>
      </w:r>
      <w:r>
        <w:t>ACS Applied Materials &amp; Interfaces: Latest Articles (ACS Publications)</w:t>
      </w:r>
      <w:r>
        <w:t xml:space="preserve">    </w:t>
      </w:r>
      <w:r>
        <w:rPr>
          <w:b/>
        </w:rPr>
        <w:t xml:space="preserve">Pub date: </w:t>
      </w:r>
      <w:r>
        <w:t>2026-09-01 00:00:00+00:00</w:t>
      </w:r>
      <w:r>
        <w:t xml:space="preserve">    </w:t>
      </w:r>
      <w:r>
        <w:rPr>
          <w:b/>
        </w:rPr>
        <w:t xml:space="preserve">DOI: </w:t>
      </w:r>
      <w:hyperlink r:id="rId1324">
        <w:r>
          <w:rPr>
            <w:color w:val="1155CC"/>
            <w:u w:val="single"/>
          </w:rPr>
          <w:t>10.1021/acsami.6c11264</w:t>
        </w:r>
      </w:hyperlink>
    </w:p>
    <w:p>
      <w:pPr>
        <w:spacing w:before="0" w:after="120"/>
      </w:pPr>
      <w:r>
        <w:rPr>
          <w:b/>
        </w:rPr>
        <w:t xml:space="preserve">Notes: </w:t>
      </w:r>
      <w:r>
        <w:t>abstract_source=crossref</w:t>
      </w:r>
    </w:p>
    <w:p>
      <w:pPr>
        <w:spacing w:before="0" w:after="80" w:lineRule="auto" w:line="276"/>
      </w:pPr>
      <w:r>
        <w:rPr>
          <w:b/>
        </w:rPr>
        <w:t xml:space="preserve">摘要（ZH）: </w:t>
      </w:r>
      <w:r>
        <w:t>摘要 此前，我们研究组报道了利用具有本征两亲性、无需表面接枝的沸石制备稳定的Pickering乳液。然而，尽管乳化能力是本征的，催化活性位点（Pd金属纳米团簇）仍是“外来的”。在本研究中，我们利用原始MTT沸石成功实现了本征乳化与本征催化的双重目标。高各向异性（各向异性指数=23.2）和优异的分散性赋予了该沸石良好的乳化性能，使未经修饰的沸石能够有效稳定Pickering乳液。值得注意的是，原始raw-MTT沸石中天然存在Brønsted酸位点。因此，我们成功地在同一沸石材料中实现了本征乳化与本征催化功能的集成，极大地简化了催化剂设计。我们利用纤维状MTT沸石构建了用于环氧化物水合开环的Pickering界面催化体系。该催化剂在20分钟内即可实现接近定量的底物转化率（99.9%），转换频率（TOF）达70 h–1。此外，MTT沸石在连续五个反应循环中均保持了较高的催化活性和高回收效率。</w:t>
      </w:r>
    </w:p>
    <w:p>
      <w:pPr>
        <w:spacing w:before="0" w:after="200" w:lineRule="auto" w:line="276"/>
      </w:pPr>
      <w:r>
        <w:rPr>
          <w:b/>
        </w:rPr>
        <w:t xml:space="preserve">Abstract (EN): </w:t>
      </w:r>
      <w:r>
        <w:t>Previously, our research group reported the preparation of stable Pickering emulsions using a zeolite with intrinsic amphiphilicity that required no surface grafting. Nevertheless, although the emulsification capability was intrinsic, the catalytic active sites (Pd metal nanoclusters) remained “extrinsic”. In the present study, we successfully achieved both intrinsic emulsification and intrinsic catalysis using pristine MTT zeolite. The high anisotropy (anisotropy index = 23.2) and excellent dispersibility endowed the zeolite with favorable emulsifying performance, enabling the unmodified zeolite to effectively stabilize Pickering emulsions. Remarkably, Brønsted acid sites are naturally present in pristine raw-MTT zeolite. Therefore, we successfully realized the integration of both intrinsic emulsification and intrinsic catalytic functionality within the same zeolitic material, greatly simplifying catalyst design. We constructed a Pickering interfacial catalytic system using fibrous MTT zeolite for epoxide hydration ring opening. The catalyst affords nearly quantitative substrate conversion (99.9%) within 20 min, along with a turnover frequency (TOF) of 70 h–1. Furthermore, the MTT zeolite preserves considerable catalytic activity and high recovery efficiency over five successive reaction cycles.</w:t>
      </w:r>
    </w:p>
    <w:p>
      <w:pPr>
        <w:spacing w:before="120" w:after="120"/>
      </w:pPr>
      <w:r>
        <w:rPr>
          <w:sz w:val="18"/>
        </w:rPr>
        <w:t>——————————————————————————————————————————————————————————————————————</w:t>
      </w:r>
    </w:p>
    <w:p>
      <w:pPr>
        <w:spacing w:before="160" w:after="40" w:line="240" w:lineRule="auto"/>
      </w:pPr>
      <w:r>
        <w:rPr>
          <w:b/>
        </w:rPr>
        <w:t xml:space="preserve">[499] </w:t>
      </w:r>
      <w:hyperlink r:id="rId1325">
        <w:r>
          <w:rPr>
            <w:color w:val="1155CC"/>
            <w:u w:val="single"/>
          </w:rPr>
          <w:t>一种基于改进Kriging模型的直线-旋转PMSM多目标全局优化方法</w:t>
        </w:r>
      </w:hyperlink>
    </w:p>
    <w:p>
      <w:pPr>
        <w:spacing w:before="0" w:after="80"/>
      </w:pPr>
      <w:r>
        <w:rPr>
          <w:i/>
          <w:sz w:val="20"/>
        </w:rPr>
        <w:t>EN: A Multi-Objective Global Optimization Method for Linear-Rotary PMSM Using an Improved Kriging Model</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26">
        <w:r>
          <w:rPr>
            <w:color w:val="1155CC"/>
            <w:u w:val="single"/>
          </w:rPr>
          <w:t>10.1109/tec.2026.3684646</w:t>
        </w:r>
      </w:hyperlink>
    </w:p>
    <w:p>
      <w:pPr>
        <w:spacing w:before="0" w:after="120"/>
      </w:pPr>
      <w:r>
        <w:rPr>
          <w:b/>
        </w:rPr>
        <w:t xml:space="preserve">Notes: </w:t>
      </w:r>
      <w:r>
        <w:t>abstract_source=semanticscholar</w:t>
      </w:r>
    </w:p>
    <w:p>
      <w:pPr>
        <w:spacing w:before="0" w:after="80" w:lineRule="auto" w:line="276"/>
      </w:pPr>
      <w:r>
        <w:rPr>
          <w:b/>
        </w:rPr>
        <w:t xml:space="preserve">摘要（ZH）: </w:t>
      </w:r>
      <w:r>
        <w:t>针对自由活塞斯特林发电机（LRPMSM）因复杂的二自由度（2-DoF）结构而难以快速优化的问题，本文提出了一种Kriging辅助的多目标全局优化方法。首先，介绍了LRPMSM的拓扑结构，并提出了一种基于参数分层的全局优化方法。通过灵敏度分析，将9个参数划分为三个子空间。低灵敏度的3个参数通过有限元分析（FEA）进行优化或赋固定值，使优化变量减少了33.33%。对于其余6个高敏感度关键参数，建立了结合自适应核函数选择与贝叶斯优化的改进Kriging模型。仅用400个样本即获得了精确的代理模型，随后采用多目标粒子群优化（MOPSO）进行优化。基于优化设计，测量了空载反电动势和齿槽力，其结果与预测结果一致。样机实验结果证实了预测的准确性，表明所提方法是一种面向复杂多自由度电机的快速有效的全局优化框架。</w:t>
      </w:r>
    </w:p>
    <w:p>
      <w:pPr>
        <w:spacing w:before="0" w:after="200" w:lineRule="auto" w:line="276"/>
      </w:pPr>
      <w:r>
        <w:rPr>
          <w:b/>
        </w:rPr>
        <w:t xml:space="preserve">Abstract (EN): </w:t>
      </w:r>
      <w:r>
        <w:t>To address the challenges of quick optimization of linear-rotary permanent magnet synchronous motor (LRPMSM) due to complicate two-degree-of-freedom(2-DoF) structure, this paper proposes a multi-objective global optimization method with Kriging-assistance. First, the topology structure of LRPMSM is introduced, and a global optimization method based on parameter layering is proposed. By sensitivity analysis, the 9 parameters are stratified into three subspaces. Low-sensitivity 3 parameters are optimized via finite element analysis (FEA) or assigned fixed values, reducing optimization variables by 33.33%. For remaining 6 highly sensitive key parameters, an improved Kriging model is developed, integrating adaptive kernel function selection and Bayesian optimization. With only 400 samples, the accurate surrogate model is obtained, and then the optimization is performed by adopting multi-objective particle swarm optimization (MOPSO). Based on the optimized design, the no-load back-EMF and detent force are measured, which are consistent with the predicted results. Experimental results on a prototype confirm the accuracy of the predictions, demonstrating that the proposed method is a fast and effective global optimization framework for complex multi-DoF motors.</w:t>
      </w:r>
    </w:p>
    <w:p>
      <w:pPr>
        <w:spacing w:before="120" w:after="120"/>
      </w:pPr>
      <w:r>
        <w:rPr>
          <w:sz w:val="18"/>
        </w:rPr>
        <w:t>——————————————————————————————————————————————————————————————————————</w:t>
      </w:r>
    </w:p>
    <w:p>
      <w:pPr>
        <w:spacing w:before="160" w:after="40" w:line="240" w:lineRule="auto"/>
      </w:pPr>
      <w:r>
        <w:rPr>
          <w:b/>
        </w:rPr>
        <w:t xml:space="preserve">[500] </w:t>
      </w:r>
      <w:hyperlink r:id="rId1327">
        <w:r>
          <w:rPr>
            <w:color w:val="1155CC"/>
            <w:u w:val="single"/>
          </w:rPr>
          <w:t>孤岛微电网中自由活塞斯特林发电机的热-机械统一惯量估计与增强</w:t>
        </w:r>
      </w:hyperlink>
    </w:p>
    <w:p>
      <w:pPr>
        <w:spacing w:before="0" w:after="80"/>
      </w:pPr>
      <w:r>
        <w:rPr>
          <w:i/>
          <w:sz w:val="20"/>
        </w:rPr>
        <w:t>EN: Thermal-Mechanical Unified Inertia Estimation and Enhancement of Free Piston Stirling Generator in Island Microgrid</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328">
        <w:r>
          <w:rPr>
            <w:color w:val="1155CC"/>
            <w:u w:val="single"/>
          </w:rPr>
          <w:t>10.1109/tsg.2026.3684117</w:t>
        </w:r>
      </w:hyperlink>
    </w:p>
    <w:p>
      <w:pPr>
        <w:spacing w:before="0" w:after="120"/>
      </w:pPr>
      <w:r>
        <w:rPr>
          <w:b/>
        </w:rPr>
        <w:t xml:space="preserve">Notes: </w:t>
      </w:r>
      <w:r>
        <w:t>abstract_source=semanticscholar</w:t>
      </w:r>
    </w:p>
    <w:p>
      <w:pPr>
        <w:spacing w:before="0" w:after="80" w:lineRule="auto" w:line="276"/>
      </w:pPr>
      <w:r>
        <w:rPr>
          <w:b/>
        </w:rPr>
        <w:t xml:space="preserve">摘要（ZH）: </w:t>
      </w:r>
      <w:r>
        <w:t>与电力电子变换器和柴油发电机相比，具有免维护特性的自由活塞斯特林发电机（FPSG）具有过载电流能力强、可靠性高、热源适应性广以及可提供电压和频率参考等诸多优势。因此，FPSG在海岛微电网供电和提供抗扰动惯量方面是一个强有力的竞争者。然而，与旋转装置不同，FPSG是一个热-机械耦合系统，其两组振动部件承受近似正弦谐波振动，这给惯量分析带来了困难。为填补这一空白，本文提供了一种精确计算动态过程中频率和功率响应的方法，这是惯量分析的核心。随后，提出了一种统一的热-机械惯量估计方法，该方法同时考虑了通过降低频率以提供机械功率以及通过增大活塞位移以转换更多热功率两方面。接着，给出了惯量增强方法，有效提高了频率最低点和过渡时间。最后，通过仿真和实验验证了所提出的惯量估计与增强方法。</w:t>
      </w:r>
    </w:p>
    <w:p>
      <w:pPr>
        <w:spacing w:before="0" w:after="200" w:lineRule="auto" w:line="276"/>
      </w:pPr>
      <w:r>
        <w:rPr>
          <w:b/>
        </w:rPr>
        <w:t xml:space="preserve">Abstract (EN): </w:t>
      </w:r>
      <w:r>
        <w:t>Compared with power electronic converter and diesel generator, the free piston Stirling generator (FPSG) with maintenance-free features has many advantages such as large overcurrent capability, high reliability, and wide heat source adaptability, as well as providing voltage and frequency references. Therefore, FPSG is a powerful competitor in supplying power to island microgrids and providing inertia to resist disturbance. However, unlike rotating devices, FPSG is a thermal-mechanical coupled system, and the two sets of vibrating components are subjected to approximate sinusoidal harmonic vibration, which poses difficulties for inertia analysis. To fill this gap, this paper provides a method for accurately calculating the frequency and power response during the dynamic process, which is the core of inertia analysis. Subsequently, a unified thermal-mechanical inertia estimation method that considers both the frequency reduction to provide mechanical power and the displacement of pistons increase to convert more thermal power is proposed. Then, the inertia enhancement method is provided, which effectively increases the frequency nadir and transition time. Finally, the proposed inertia estimation and enhancement method is verified through simulation and experiment.</w:t>
      </w:r>
    </w:p>
    <w:p>
      <w:pPr>
        <w:spacing w:before="120" w:after="120"/>
      </w:pPr>
      <w:r>
        <w:rPr>
          <w:sz w:val="18"/>
        </w:rPr>
        <w:t>——————————————————————————————————————————————————————————————————————</w:t>
      </w:r>
    </w:p>
    <w:p>
      <w:pPr>
        <w:spacing w:before="160" w:after="40" w:line="240" w:lineRule="auto"/>
      </w:pPr>
      <w:r>
        <w:rPr>
          <w:b/>
        </w:rPr>
        <w:t xml:space="preserve">[501] </w:t>
      </w:r>
      <w:hyperlink r:id="rId1329">
        <w:r>
          <w:rPr>
            <w:color w:val="1155CC"/>
            <w:u w:val="single"/>
          </w:rPr>
          <w:t>基于转速增量动态补偿的PMSG-WECS精确转子动能功率平滑控制</w:t>
        </w:r>
      </w:hyperlink>
    </w:p>
    <w:p>
      <w:pPr>
        <w:spacing w:before="0" w:after="80"/>
      </w:pPr>
      <w:r>
        <w:rPr>
          <w:i/>
          <w:sz w:val="20"/>
        </w:rPr>
        <w:t>EN: Accurate Rotor Kinetic Energy-Based Power Smoothing Control Using Speed Increment Dynamic Compensation for PMSG-WECS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30">
        <w:r>
          <w:rPr>
            <w:color w:val="1155CC"/>
            <w:u w:val="single"/>
          </w:rPr>
          <w:t>10.1109/tec.2026.3685704</w:t>
        </w:r>
      </w:hyperlink>
    </w:p>
    <w:p>
      <w:pPr>
        <w:spacing w:before="0" w:after="120"/>
      </w:pPr>
      <w:r>
        <w:rPr>
          <w:b/>
        </w:rPr>
        <w:t xml:space="preserve">Notes: </w:t>
      </w:r>
      <w:r>
        <w:t>abstract_source=semanticscholar</w:t>
      </w:r>
    </w:p>
    <w:p>
      <w:pPr>
        <w:spacing w:before="0" w:after="80" w:lineRule="auto" w:line="276"/>
      </w:pPr>
      <w:r>
        <w:rPr>
          <w:b/>
        </w:rPr>
        <w:t xml:space="preserve">摘要（ZH）: </w:t>
      </w:r>
      <w:r>
        <w:t>平滑风电出力可以有效降低风电波动对电网的负面影响。与其他方法相比，基于转子动能的功率平滑控制具有成本低、响应快的优势。本文针对永磁同步发电机风能转换系统（PMSG-WECS），提出了一种采用转速增量动态补偿的精确基于转子动能的功率平滑方法。首先，从PMSG-WECS的传递函数出发，优化了转子动能控制结构，建立了功率与转速之间的精确数学映射。其次，设计了转速增量动态补偿方法，有效抑制系统在临界转速条件下的机械冲击，在平滑风电波动的同时保证运行稳定性和风能利用率。最后，通过建立仿真模型和搭建实验平台，验证了所提新型功率平滑控制方法的可行性和有效性。</w:t>
      </w:r>
    </w:p>
    <w:p>
      <w:pPr>
        <w:spacing w:before="0" w:after="200" w:lineRule="auto" w:line="276"/>
      </w:pPr>
      <w:r>
        <w:rPr>
          <w:b/>
        </w:rPr>
        <w:t xml:space="preserve">Abstract (EN): </w:t>
      </w:r>
      <w:r>
        <w:t>Smoothing wind power output can effectively reduce the negative impacts of wind power fluctuations on the power grid. Compared with other methods, rotor kinetic energy-based power smoothing control has the advantages of low cost and fast response. This paper proposes an accurate rotor kinetic energy-based power smoothing method using speed increment dynamic compensation for permanent magnet synchronous generator wind energy conversion systems (PMSG-WECS). Firstly, starting from the transfer function of the PMSG-WECS, the rotor kinetic energy control structure is optimized, and an accurate mathematical mapping between power and rotational speed is established. Secondly, a speed increment dynamic compensation method is designed to effectively suppress the mechanical impact of the system under critical rotational speed conditions, ensuring the operational stability while smoothing wind power fluctuations and guaranteeing wind energy utilization. Finally, the feasibility and effectiveness of the proposed novel power smoothing control method are verified through the establishment of the simulation model and construction of an experimental platform.</w:t>
      </w:r>
    </w:p>
    <w:p>
      <w:pPr>
        <w:spacing w:before="120" w:after="120"/>
      </w:pPr>
      <w:r>
        <w:rPr>
          <w:sz w:val="18"/>
        </w:rPr>
        <w:t>——————————————————————————————————————————————————————————————————————</w:t>
      </w:r>
    </w:p>
    <w:p>
      <w:pPr>
        <w:spacing w:before="160" w:after="40" w:line="240" w:lineRule="auto"/>
      </w:pPr>
      <w:r>
        <w:rPr>
          <w:b/>
        </w:rPr>
        <w:t xml:space="preserve">[502] </w:t>
      </w:r>
      <w:hyperlink r:id="rId1331">
        <w:r>
          <w:rPr>
            <w:color w:val="1155CC"/>
            <w:u w:val="single"/>
          </w:rPr>
          <w:t>基于小位置信号注入与Kalman滤波的PMSM消除饱和绕组与磁体温度解耦跟踪</w:t>
        </w:r>
      </w:hyperlink>
    </w:p>
    <w:p>
      <w:pPr>
        <w:spacing w:before="0" w:after="80"/>
      </w:pPr>
      <w:r>
        <w:rPr>
          <w:i/>
          <w:sz w:val="20"/>
        </w:rPr>
        <w:t>EN: Winding and Magnet Temperature Decoupled Tracking for PMSM Eliminating Saturation Using Small Position Signal Injection and Kalman Filter</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32">
        <w:r>
          <w:rPr>
            <w:color w:val="1155CC"/>
            <w:u w:val="single"/>
          </w:rPr>
          <w:t>10.1109/tec.2026.3691142</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了一种基于卡尔曼滤波器的永磁同步电机（PMSM）定子绕组（SW）和永磁体（PM）温度跟踪方法，其中SW和PM的温度跟踪是解耦的，且不受磁饱和影响，从而获得更好的性能。在所提出的方法中，通过注入一个微小的位置信号来提取两个解耦的温度敏感测量量，基于热模型构建线性状态空间模型，并利用卡尔曼滤波器结合状态空间模型和测量量精确跟踪SW和PM温度。该微小位置信号不会影响电机运行，同时温度跟踪可以有效避免SW与PM之间的交叉影响。此外，该方法无需电机电感参数，因此温度跟踪不受饱和以及逆变器畸变的影响。在所提出的方法中，温度跟踪模型包含电流角的正割和余弦运算，可以有效提高信噪比，尤其是在低负载条件下。通过在一台实验室测试电机上进行各种负载和转速条件下的大量实验，验证了所提出方法的有效性。</w:t>
      </w:r>
    </w:p>
    <w:p>
      <w:pPr>
        <w:spacing w:before="0" w:after="200" w:lineRule="auto" w:line="276"/>
      </w:pPr>
      <w:r>
        <w:rPr>
          <w:b/>
        </w:rPr>
        <w:t xml:space="preserve">Abstract (EN): </w:t>
      </w:r>
      <w:r>
        <w:t>This paper proposes a Kalman filter-based stator winding (SW) and permanent magnet (PM) temperature tracking approach for PM synchronous motors (PMSMs), where temperature tracking of SW and PM is decoupled and free from magnetic saturation and thus achieves improved performance. In the proposed approach, a small position signal is added to extract two decoupled temperature-sensitive measurements, a linear state-space model is constructed from the thermal model, and the Kalman filter is employed to accurately track the SW and PM temperatures by using the state-space model and measurements. The small position signal will not affect machine operation, while the temperature tracking can effectively avoid the cross influence between SW and PM. Moreover, there is no need for machine inductances and thus the temperature tracking is not affected by saturation as well as inverter distortion. In the proposed approach, the temperature tracking model includes secant and cosine operations of the current angle, which can effectively improve the signal-to-noise ratio especially under low-load conditions. The effectiveness of the proposed approach is validated on a laboratory test machine with extensive experiments under various load and speed conditions.</w:t>
      </w:r>
    </w:p>
    <w:p>
      <w:pPr>
        <w:spacing w:before="120" w:after="120"/>
      </w:pPr>
      <w:r>
        <w:rPr>
          <w:sz w:val="18"/>
        </w:rPr>
        <w:t>——————————————————————————————————————————————————————————————————————</w:t>
      </w:r>
    </w:p>
    <w:p>
      <w:pPr>
        <w:spacing w:before="160" w:after="40" w:line="240" w:lineRule="auto"/>
      </w:pPr>
      <w:r>
        <w:rPr>
          <w:b/>
        </w:rPr>
        <w:t xml:space="preserve">[503] </w:t>
      </w:r>
      <w:hyperlink r:id="rId1333">
        <w:r>
          <w:rPr>
            <w:color w:val="1155CC"/>
            <w:u w:val="single"/>
          </w:rPr>
          <w:t>应对时变拓扑条件的自适应时空图学习短期电压稳定评估</w:t>
        </w:r>
      </w:hyperlink>
    </w:p>
    <w:p>
      <w:pPr>
        <w:spacing w:before="0" w:after="80"/>
      </w:pPr>
      <w:r>
        <w:rPr>
          <w:i/>
          <w:sz w:val="20"/>
        </w:rPr>
        <w:t>EN: Adaptive Spatial-Temporal Graph Learning-Enabled Short-Term Voltage Stability Assessment Against Time-Varying Topological Conditions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34">
        <w:r>
          <w:rPr>
            <w:color w:val="1155CC"/>
            <w:u w:val="single"/>
          </w:rPr>
          <w:t>10.1109/tpwrs.2026.3685861</w:t>
        </w:r>
      </w:hyperlink>
    </w:p>
    <w:p>
      <w:pPr>
        <w:spacing w:before="0" w:after="120"/>
      </w:pPr>
      <w:r>
        <w:rPr>
          <w:b/>
        </w:rPr>
        <w:t xml:space="preserve">Notes: </w:t>
      </w:r>
      <w:r>
        <w:t>abstract_source=semanticscholar</w:t>
      </w:r>
    </w:p>
    <w:p>
      <w:pPr>
        <w:spacing w:before="0" w:after="80" w:lineRule="auto" w:line="276"/>
      </w:pPr>
      <w:r>
        <w:rPr>
          <w:b/>
        </w:rPr>
        <w:t xml:space="preserve">摘要（ZH）: </w:t>
      </w:r>
      <w:r>
        <w:t>新兴的深度学习(DL)技术近来在复杂电网的数据驱动短期电压稳定(SVS)评估中展现出巨大潜力。然而,由于对当今电网时变拓扑结构缺乏足够关注,大多数现有的基于DL的SVS评估方案在实际应用中可能出现严重的性能退化。针对这一缺陷,本文提出了一种自适应时空图学习使能的SVS评估方法,能够很好地适应各种拓扑变化。首先,考虑到给定电网的时变拓扑条件,自动学习自适应图表示矩阵,以有效捕捉电网内各母线之间复杂的空间相关性。然后,为帮助更好地捕捉区域SVS特征以用于后续学习过程,通过引入空间注意力机制对自适应图表示矩阵进行适当调整。此外,通过基于注意力的图表示将故障后系统轨迹数据关联起来,并借助基于Optuna的优化精心构建残差时空图卷积网络,以深入挖掘全系统的时空特征,从而实现结构自适应的SVS评估。在中国南方某实际省级电网的两个代表性子系统上的数值测试结果验证了所提方法在各种变化拓扑条件下的有效性。</w:t>
      </w:r>
    </w:p>
    <w:p>
      <w:pPr>
        <w:spacing w:before="0" w:after="200" w:lineRule="auto" w:line="276"/>
      </w:pPr>
      <w:r>
        <w:rPr>
          <w:b/>
        </w:rPr>
        <w:t xml:space="preserve">Abstract (EN): </w:t>
      </w:r>
      <w:r>
        <w:t>The emerging deep learning (DL) technology has recently exhibited great potential in data-driven short-term voltage stability (SVS) assessment of complex power grids. However, without sufficient attention to the time-varying topological structures of today's power grids, the majority of existing DL-based SVS assessment schemes could experience severe performance degradation in practice. To address this drawback, this paper proposes an adaptive spatial-temporal graph learning-enabled SVS assessment approach that can adapt well to various topological changes. First, considering the time-varying topological conditions of a given power grid, an adaptive graph representation matrix is automatically learned to effectively capture the complicated spatial correlations between individual buses within the grid. Then, to help better capture regional SVS features for subsequent learning processes, the adaptive graph representation matrix is properly adjusted by introducing a spatial attention mechanism. Further, with post-fault system trajectory data linked together via attention-based graph representation, a residual spatiotemporal graph convolutional network is carefully built with Optuna-based optimization to deeply mine system-wide spatiotemporal features and thus achieve structure-adaptive SVS assessment. Numerical test results on two representative sub-systems of a realistic provincial power grid in South China demonstrate the efficacy of the proposed approach under various changing topological conditions.</w:t>
      </w:r>
    </w:p>
    <w:p>
      <w:pPr>
        <w:spacing w:before="120" w:after="120"/>
      </w:pPr>
      <w:r>
        <w:rPr>
          <w:sz w:val="18"/>
        </w:rPr>
        <w:t>——————————————————————————————————————————————————————————————————————</w:t>
      </w:r>
    </w:p>
    <w:p>
      <w:pPr>
        <w:spacing w:before="160" w:after="40" w:line="240" w:lineRule="auto"/>
      </w:pPr>
      <w:r>
        <w:rPr>
          <w:b/>
        </w:rPr>
        <w:t xml:space="preserve">[504] </w:t>
      </w:r>
      <w:hyperlink r:id="rId1335">
        <w:r>
          <w:rPr>
            <w:color w:val="1155CC"/>
            <w:u w:val="single"/>
          </w:rPr>
          <w:t>为何更短的时间步长会在停电风险分析中引发失效概率诅咒：解释与解决方案</w:t>
        </w:r>
      </w:hyperlink>
    </w:p>
    <w:p>
      <w:pPr>
        <w:spacing w:before="0" w:after="80"/>
      </w:pPr>
      <w:r>
        <w:rPr>
          <w:i/>
          <w:sz w:val="20"/>
        </w:rPr>
        <w:t>EN: Why Shorter Time Steps Induce the Failure Probability Curse in Power Outage Risk Analysis: An Explanation and Solution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36">
        <w:r>
          <w:rPr>
            <w:color w:val="1155CC"/>
            <w:u w:val="single"/>
          </w:rPr>
          <w:t>10.1109/tpwrs.2026.3683766</w:t>
        </w:r>
      </w:hyperlink>
    </w:p>
    <w:p>
      <w:pPr>
        <w:spacing w:before="0" w:after="120"/>
      </w:pPr>
      <w:r>
        <w:rPr>
          <w:b/>
        </w:rPr>
        <w:t xml:space="preserve">Notes: </w:t>
      </w:r>
      <w:r>
        <w:t>abstract_source=semanticscholar</w:t>
      </w:r>
    </w:p>
    <w:p>
      <w:pPr>
        <w:spacing w:before="0" w:after="80" w:lineRule="auto" w:line="276"/>
      </w:pPr>
      <w:r>
        <w:rPr>
          <w:b/>
        </w:rPr>
        <w:t xml:space="preserve">摘要（ZH）: </w:t>
      </w:r>
      <w:r>
        <w:t>近期的气候变化导致极端天气事件更加频繁和广泛，造成电力系统元件损坏，并引发重大停电和损失。元件易损性曲线和序贯蒙特卡洛模拟已被广泛用于电力系统停电风险评估。易损性曲线作为连接天气事件与元件故障的桥梁，而序贯蒙特卡洛方法则捕捉天气的时间动态性，并在概率与后果之间取得平衡。然而，将这两种工具直接且不当的结合会引入显著偏差，尤其是在高时间分辨率下。这种现象被称为“故障概率诅咒”。本文分析了该问题的根本原因，并提出了一种用于序贯蒙特卡洛模拟的条件概率修正方法。该方法可以消除停电风险分析中高时间分辨率采样带来的固有偏差，并使序贯蒙特卡洛与不同的物理失效机理相协调。此外，本文提供的条件概率视角在数学原理层面为相关的现有方法提供了支持和解释，从解释和求解两个层面深化了对“故障概率诅咒”的认识。基于一个示例系统和田纳西电网的数值实验验证了所提方法的有效性。</w:t>
      </w:r>
    </w:p>
    <w:p>
      <w:pPr>
        <w:spacing w:before="0" w:after="200" w:lineRule="auto" w:line="276"/>
      </w:pPr>
      <w:r>
        <w:rPr>
          <w:b/>
        </w:rPr>
        <w:t xml:space="preserve">Abstract (EN): </w:t>
      </w:r>
      <w:r>
        <w:t>Recent climate change has led to more frequent and widespread extreme weather events, causing damage to power system components and resulting in significant outages and losses. Component fragility curves and sequential Monte Carlo simulations have been widely used for power system outage risk assessment. Fragility curves serve as the bridge linking weather events to component failures, while sequential Monte Carlo methods capture the temporal dynamics of weather and balance probabilities with consequences. However, a direct and improper combination of these two tools can introduce significant bias, especially under high time resolution. This phenomenon is referred to as the “failure probability curse.” This paper analyzes the fundamental cause of this issue and proposes a conditional-probability correction method for the sequential Monte Carlo simulation. The method can eliminate the inherent bias from high-time-resolution sampling in power outage risk analysis and reconcile sequential Monte Carlo with different physical failure mechanisms. Furthermore, the conditional-probability perspective provided in this paper offers support and explanation for related existing methods at the level of mathematical principles, enhancing the insights of the “failure probability curse” from both an explanation and solution perspective. Numerical experiments based on an illustrative system and the Tennessee power network confirm the validity of the proposed approach.</w:t>
      </w:r>
    </w:p>
    <w:p>
      <w:pPr>
        <w:spacing w:before="120" w:after="120"/>
      </w:pPr>
      <w:r>
        <w:rPr>
          <w:sz w:val="18"/>
        </w:rPr>
        <w:t>——————————————————————————————————————————————————————————————————————</w:t>
      </w:r>
    </w:p>
    <w:p>
      <w:pPr>
        <w:spacing w:before="160" w:after="40" w:line="240" w:lineRule="auto"/>
      </w:pPr>
      <w:r>
        <w:rPr>
          <w:b/>
        </w:rPr>
        <w:t xml:space="preserve">[505] </w:t>
      </w:r>
      <w:hyperlink r:id="rId1337">
        <w:r>
          <w:rPr>
            <w:color w:val="1155CC"/>
            <w:u w:val="single"/>
          </w:rPr>
          <w:t>采用改进TSF与SRM参数调节的模型预测转矩控制以降低转矩脉动</w:t>
        </w:r>
      </w:hyperlink>
    </w:p>
    <w:p>
      <w:pPr>
        <w:spacing w:before="0" w:after="80"/>
      </w:pPr>
      <w:r>
        <w:rPr>
          <w:i/>
          <w:sz w:val="20"/>
        </w:rPr>
        <w:t>EN: Model Predictive Torque Control Using Modified TSF and Parameter Adjustment of SRMs for Torque Ripple Reduction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38">
        <w:r>
          <w:rPr>
            <w:color w:val="1155CC"/>
            <w:u w:val="single"/>
          </w:rPr>
          <w:t>10.1109/tec.2026.3655888</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了一种采用改进型混合转矩分配函数（TSF）及参数自适应调节的开关磁阻电机（SRM）模型预测转矩控制（MPTC）方案，以抑制转矩脉动效应并提升动态性能。与经典TSF控制相比，MPTC采用转矩模型预测代替滞环控制以减小转矩脉动。首先，设计了一种增强型混合TSF用于转矩脉动抑制，其中上升参考相转矩可根据退磁区间内的实际相转矩进行实时调节。其次，利用基于近似模型和查找表的角度自适应调节，进一步减小多工况下的转矩脉动。然后，将具有自适应带宽参数的线性自抗扰控制应用于速度控制器，以在多工况下获得更好的动态性能。最后，在一台12/8 SRM上进行实验，通过对比验证了所提MPTC的有效性。</w:t>
      </w:r>
    </w:p>
    <w:p>
      <w:pPr>
        <w:spacing w:before="0" w:after="200" w:lineRule="auto" w:line="276"/>
      </w:pPr>
      <w:r>
        <w:rPr>
          <w:b/>
        </w:rPr>
        <w:t xml:space="preserve">Abstract (EN): </w:t>
      </w:r>
      <w:r>
        <w:t>This article introduces a model predictive torque control (MPTC) scheme using a modified hybrid torque sharing function (TSF) and the adaptive adjustment regarding parameters for switched reluctance motors (SRMs) to mitigate the torque ripple effect and enhance dynamic performance. Compared with classic TSF control, torque model prediction is adopted in MPTC instead of hysteresis control to reduce torque ripple. First, an enhanced hybrid TSF is designed for torque ripple suppression, where the rising reference phase torque can be adjusted in real-time according to the actual phase torque in the demagnetizing interval. Second, adaptive adjustment of angles based on the approximate model and the look-up table is utilized to further minimize torque ripple under multiple operating conditions. Then, the linear active disturbance rejection control with the adaptive bandwidth parameter is applied to the speed controller for better dynamic performance under multiple operating conditions. Eventually, experiments on a 12/8 SRM are conducted to ascertain the efficacy of the proposed MTPC by comparison.</w:t>
      </w:r>
    </w:p>
    <w:p>
      <w:pPr>
        <w:spacing w:before="120" w:after="120"/>
      </w:pPr>
      <w:r>
        <w:rPr>
          <w:sz w:val="18"/>
        </w:rPr>
        <w:t>——————————————————————————————————————————————————————————————————————</w:t>
      </w:r>
    </w:p>
    <w:p>
      <w:pPr>
        <w:spacing w:before="160" w:after="40" w:line="240" w:lineRule="auto"/>
      </w:pPr>
      <w:r>
        <w:rPr>
          <w:b/>
        </w:rPr>
        <w:t xml:space="preserve">[506] </w:t>
      </w:r>
      <w:hyperlink r:id="rId1339">
        <w:r>
          <w:rPr>
            <w:color w:val="1155CC"/>
            <w:u w:val="single"/>
          </w:rPr>
          <w:t>基于双角度轴改进同步参考坐标系滤波器的内置式永磁同步电机无传感器控制</w:t>
        </w:r>
      </w:hyperlink>
    </w:p>
    <w:p>
      <w:pPr>
        <w:spacing w:before="0" w:after="80"/>
      </w:pPr>
      <w:r>
        <w:rPr>
          <w:i/>
          <w:sz w:val="20"/>
        </w:rPr>
        <w:t>EN: Sensorless Control of Interior Permanent Magnet Synchronous Motor Based on Improved Synchronous Reference Frame Filter in Double Angle Axis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40">
        <w:r>
          <w:rPr>
            <w:color w:val="1155CC"/>
            <w:u w:val="single"/>
          </w:rPr>
          <w:t>10.1109/tec.2026.3690127</w:t>
        </w:r>
      </w:hyperlink>
    </w:p>
    <w:p>
      <w:pPr>
        <w:spacing w:before="0" w:after="120"/>
      </w:pPr>
      <w:r>
        <w:rPr>
          <w:b/>
        </w:rPr>
        <w:t xml:space="preserve">Notes: </w:t>
      </w:r>
      <w:r>
        <w:t>abstract_source=semanticscholar</w:t>
      </w:r>
    </w:p>
    <w:p>
      <w:pPr>
        <w:spacing w:before="0" w:after="80" w:lineRule="auto" w:line="276"/>
      </w:pPr>
      <w:r>
        <w:rPr>
          <w:b/>
        </w:rPr>
        <w:t xml:space="preserve">摘要（ZH）: </w:t>
      </w:r>
      <w:r>
        <w:t>在内置式永磁同步电机（IPMSM）的中高速调速系统中，针对传统滑模观测器（SMO）观测的扩展反电动势（EMF）谐波分量大以及低通滤波器（LPF）引起的相位滞后问题，提出了一种基于双角度轴改进同步参考坐标系滤波器（ISRFF）的无传感器控制方法。首先，对双角度和αβ轴下的扩展反电动势经相同截止频率的LPF处理，产生超前和滞后相移。其次，将相移变换至dq轴，并通过LPF滤除谐波。然后，通过三角变换消除相移。在构建转子位置误差信号的同时提高了SMO的位置观测精度，从而省去了外差法。最后，实验结果表明，与传统方法相比，所提方法能有效滤除谐波，减小稳态下的最大位置误差，并缓解动态运行过程中的转速波动。</w:t>
      </w:r>
    </w:p>
    <w:p>
      <w:pPr>
        <w:spacing w:before="0" w:after="200" w:lineRule="auto" w:line="276"/>
      </w:pPr>
      <w:r>
        <w:rPr>
          <w:b/>
        </w:rPr>
        <w:t xml:space="preserve">Abstract (EN): </w:t>
      </w:r>
      <w:r>
        <w:t>In the medium-to-high-speed speed control system of the interior permanent magnet synchronous motor (IPMSM), to address the issues of large harmonic component of the expanded back electromotive force (EMF) observed by conventional sliding mode observer (SMO) and the phase lag caused by the low-pass filter (LPF), a sensorless control method based on an improved synchronous reference frame filter (ISRFF) in double angle axis is proposed. Firstly, the extended back EMF in double angle and αβ-axis are processed through the LPF with same cut-off frequency to generate leading and lagging phase shifts. Secondly, the phase shifts are transformed to dq-axis, and the harmonics are filtered out by LPF. Then, the phase shifts are eliminated by a triangular transformation. The position observation accuracy of the SMO is improved while the rotor position error signal is constructed, thus the heterodyne method is omitted. Finally, the experimental results confirm that compared with conventional methods, the proposed method effectively filters out harmonics, reduces the maximum position error under steady-state conditions, and mitigates speed fluctuations during dynamic operation.</w:t>
      </w:r>
    </w:p>
    <w:p>
      <w:pPr>
        <w:spacing w:before="120" w:after="120"/>
      </w:pPr>
      <w:r>
        <w:rPr>
          <w:sz w:val="18"/>
        </w:rPr>
        <w:t>——————————————————————————————————————————————————————————————————————</w:t>
      </w:r>
    </w:p>
    <w:p>
      <w:pPr>
        <w:spacing w:before="160" w:after="40" w:line="240" w:lineRule="auto"/>
      </w:pPr>
      <w:r>
        <w:rPr>
          <w:b/>
        </w:rPr>
        <w:t xml:space="preserve">[507] </w:t>
      </w:r>
      <w:hyperlink r:id="rId1341">
        <w:r>
          <w:rPr>
            <w:color w:val="1155CC"/>
            <w:u w:val="single"/>
          </w:rPr>
          <w:t>一种通过伴随优化重构在ACOPF中高效计算节点边际排放的算法</w:t>
        </w:r>
      </w:hyperlink>
    </w:p>
    <w:p>
      <w:pPr>
        <w:spacing w:before="0" w:after="80"/>
      </w:pPr>
      <w:r>
        <w:rPr>
          <w:i/>
          <w:sz w:val="20"/>
        </w:rPr>
        <w:t>EN: An Efficient Algorithm to Calculate Locational Marginal Emissions in ACOPF via Adjoint Optimization Reformulation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42">
        <w:r>
          <w:rPr>
            <w:color w:val="1155CC"/>
            <w:u w:val="single"/>
          </w:rPr>
          <w:t>10.1109/tpwrs.2026.3709533</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一种局部精确伴随方法，用于计算交流最优潮流（ACOPF）中的节点边际排放（LME）。与基于反复负荷扰动的传统灵敏度分析不同，所提方法通过在成本最小化均衡点处对Karush-Kuhn-Tucker（KKT）条件进行线性化来推导LME。我们证明，通过求解单个降阶稀疏线性方程组即可同时恢复所有母线的LME。在含异质火电与可再生能源发电的IEEE 118母线和2383母线系统上的数值结果表明，所提方法能够有效捕捉LME明显的空间和时间变化。</w:t>
      </w:r>
    </w:p>
    <w:p>
      <w:pPr>
        <w:spacing w:before="0" w:after="200" w:lineRule="auto" w:line="276"/>
      </w:pPr>
      <w:r>
        <w:rPr>
          <w:b/>
        </w:rPr>
        <w:t xml:space="preserve">Abstract (EN): </w:t>
      </w:r>
      <w:r>
        <w:t>This letter proposes a locally exact adjoint method to compute the locational marginal emissions (LMEs) in AC optimal power flow (ACOPF). Unlike conventional sensitivity analysis based on repeated load perturbations, the proposed method derives LMEs by linearizing the Karush-Kuhn-Tucker (KKT) conditions at the cost-minimizing equilibrium. We show that all-bus LMEs can be recovered simultaneously by solving a single reduced sparse linear system. Numerical results on the IEEE 118-bus and 2383-bus systems with heterogeneous thermal and renewable generation demonstrate that the proposed method captures clear spatial and temporal variation of LMEs effectively.</w:t>
      </w:r>
    </w:p>
    <w:p>
      <w:pPr>
        <w:spacing w:before="120" w:after="120"/>
      </w:pPr>
      <w:r>
        <w:rPr>
          <w:sz w:val="18"/>
        </w:rPr>
        <w:t>——————————————————————————————————————————————————————————————————————</w:t>
      </w:r>
    </w:p>
    <w:p>
      <w:pPr>
        <w:spacing w:before="160" w:after="40" w:line="240" w:lineRule="auto"/>
      </w:pPr>
      <w:r>
        <w:rPr>
          <w:b/>
        </w:rPr>
        <w:t xml:space="preserve">[508] </w:t>
      </w:r>
      <w:hyperlink r:id="rId1343">
        <w:r>
          <w:rPr>
            <w:color w:val="1155CC"/>
            <w:u w:val="single"/>
          </w:rPr>
          <w:t>考虑执行器故障与扰动的孤岛微电网全分布式容错二次控制</w:t>
        </w:r>
      </w:hyperlink>
    </w:p>
    <w:p>
      <w:pPr>
        <w:spacing w:before="0" w:after="80"/>
      </w:pPr>
      <w:r>
        <w:rPr>
          <w:i/>
          <w:sz w:val="20"/>
        </w:rPr>
        <w:t>EN: Fully Distributed Fault-Tolerant Secondary Control for Islanded Microgrids With Actuator Faults and Disturbances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344">
        <w:r>
          <w:rPr>
            <w:color w:val="1155CC"/>
            <w:u w:val="single"/>
          </w:rPr>
          <w:t>10.1109/tsg.2026.3677035</w:t>
        </w:r>
      </w:hyperlink>
    </w:p>
    <w:p>
      <w:pPr>
        <w:spacing w:before="0" w:after="120"/>
      </w:pPr>
      <w:r>
        <w:rPr>
          <w:b/>
        </w:rPr>
        <w:t xml:space="preserve">Notes: </w:t>
      </w:r>
      <w:r>
        <w:t>abstract_source=semanticscholar</w:t>
      </w:r>
    </w:p>
    <w:p>
      <w:pPr>
        <w:spacing w:before="0" w:after="80" w:lineRule="auto" w:line="276"/>
      </w:pPr>
      <w:r>
        <w:rPr>
          <w:b/>
        </w:rPr>
        <w:t xml:space="preserve">摘要（ZH）: </w:t>
      </w:r>
      <w:r>
        <w:t>本文研究了具有未知外部扰动和执行器故障的交流孤岛微电网（MG）二次控制问题。提出了一种基于自适应动态事件触发机制（DETM）的全分布式容错二次控制策略，以解决由下垂控制引起的电压和频率偏差问题，实现有功功率分配的同时有效降低通信负担。考虑到执行器发生故障的可能性，引入自适应律对故障参数进行估计和补偿，从而提高系统的容错能力。所设计的自适应律和事件触发机制（ETM）基于全分布式框架实现，不依赖任何全局信息。与现有工作相比，本文引入时变辅助函数和触发函数，在不使用全局信息的条件下获得了严格正的最小触发间隔（MTI），从而在有扰动的情况下完全避免了芝诺行为，比仅从理论上排除芝诺行为更为严谨。最后，通过仿真算例说明了所提控制策略的有效性。</w:t>
      </w:r>
    </w:p>
    <w:p>
      <w:pPr>
        <w:spacing w:before="0" w:after="200" w:lineRule="auto" w:line="276"/>
      </w:pPr>
      <w:r>
        <w:rPr>
          <w:b/>
        </w:rPr>
        <w:t xml:space="preserve">Abstract (EN): </w:t>
      </w:r>
      <w:r>
        <w:t>This paper investigates the secondary control problem of AC islanded microgrids (MG) with unknown external disturbances and actuator faults. A fully distributed fault-tolerant secondary control strategy based on adaptive dynamic event-triggered mechanism (DETM) is proposed to address voltage and frequency deviations caused by droop control, achieving active power sharing while effectively reducing the communication burden. Considering the possibility of actuator faults, adaptive laws are introduced to estimate and compensate for fault parameters, thereby improving the system’s fault tolerance. The designed adaptive law and event-triggered mechanism (ETM) are implemented based on a fully distributed framework and do not rely on any global information. Compared with existing work, this paper introduces time-varying auxiliary functions and trigger functions, and obtains a strictly positive minimum trigger interval (MTI) without using global information, thus completely avoiding Zeno behavior in the presence of disturbances, which is more rigorous than simply theoretically excluding Zeno behavior. Finally, the effectiveness of the proposed control strategy is illustrated by simulation examples.</w:t>
      </w:r>
    </w:p>
    <w:p>
      <w:pPr>
        <w:spacing w:before="120" w:after="120"/>
      </w:pPr>
      <w:r>
        <w:rPr>
          <w:sz w:val="18"/>
        </w:rPr>
        <w:t>——————————————————————————————————————————————————————————————————————</w:t>
      </w:r>
    </w:p>
    <w:p>
      <w:pPr>
        <w:spacing w:before="160" w:after="40" w:line="240" w:lineRule="auto"/>
      </w:pPr>
      <w:r>
        <w:rPr>
          <w:b/>
        </w:rPr>
        <w:t xml:space="preserve">[509] </w:t>
      </w:r>
      <w:hyperlink r:id="rId1345">
        <w:r>
          <w:rPr>
            <w:color w:val="1155CC"/>
            <w:u w:val="single"/>
          </w:rPr>
          <w:t>具有统计可行性保证的动态备用容量确定：一种不确定性自适应鲁棒优化框架</w:t>
        </w:r>
      </w:hyperlink>
    </w:p>
    <w:p>
      <w:pPr>
        <w:spacing w:before="0" w:after="80"/>
      </w:pPr>
      <w:r>
        <w:rPr>
          <w:i/>
          <w:sz w:val="20"/>
        </w:rPr>
        <w:t>EN: Dynamic Reserve Sizing With Statistically Feasible Guarantees: An Uncertainty-Adaptive Robust Optimization Framework</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46">
        <w:r>
          <w:rPr>
            <w:color w:val="1155CC"/>
            <w:u w:val="single"/>
          </w:rPr>
          <w:t>10.1109/tpwrs.2026.3673265</w:t>
        </w:r>
      </w:hyperlink>
    </w:p>
    <w:p>
      <w:pPr>
        <w:spacing w:before="0" w:after="120"/>
      </w:pPr>
      <w:r>
        <w:rPr>
          <w:b/>
        </w:rPr>
        <w:t xml:space="preserve">Notes: </w:t>
      </w:r>
      <w:r>
        <w:t>abstract_source=semanticscholar</w:t>
      </w:r>
    </w:p>
    <w:p>
      <w:pPr>
        <w:spacing w:before="0" w:after="80" w:lineRule="auto" w:line="276"/>
      </w:pPr>
      <w:r>
        <w:rPr>
          <w:b/>
        </w:rPr>
        <w:t xml:space="preserve">摘要（ZH）: </w:t>
      </w:r>
      <w:r>
        <w:t>间歇性可再生能源的接入和日益增长的负荷波动性要求采用自适应备用容量规划框架，以平衡电网可靠性与经济性。静态备用分配方法难以应对动态不确定性，存在成本过高或安全性受损的风险。本研究提出了一种概率性备用容量规划框架，具有三项创新：1）采用统一联合机会约束的经济调度与机组组合（UC）动态架构，用于管理不确定性下系统级、时间耦合的风险；2）采用新型统一降维映射的双阶段统计可行鲁棒优化（RO）方法，可实现易于处理的、经学习校准的不确定集构建，并提供与维度无关的样本外可靠性保证；3）一种学习优化加速策略，将鲁棒UC转化为可处理的线性规划，实现可扩展性。在最高118母线的标准测试系统上的验证表明，该框架能够通过不确定性自适应量化动态调整备用容量。该解决方案兼顾了统计可行性与计算效率，实现了可扩展、经济高效且可靠的运行。通过将统计可行的鲁棒优化与机器学习加速相结合，该框架为高可再生能源渗透率电力系统中管理不确定性、确保经济与运行平衡提供了一种实用方法。</w:t>
      </w:r>
    </w:p>
    <w:p>
      <w:pPr>
        <w:spacing w:before="0" w:after="200" w:lineRule="auto" w:line="276"/>
      </w:pPr>
      <w:r>
        <w:rPr>
          <w:b/>
        </w:rPr>
        <w:t xml:space="preserve">Abstract (EN): </w:t>
      </w:r>
      <w:r>
        <w:t>The integration of intermittent renewable energy and increasing load volatility necessitates adaptive reserve sizing frameworks to balance grid reliability and economic efficiency. Static reserve allocation methods struggle with dynamic uncertainty, risking high costs or compromised security. This study introduces a probabilistic reserve sizing framework with three innovations: 1) a dynamic architecture for economic dispatch and Unit Commitment (UC) employing a unified joint chance constraint to manage system-wide, temporally-coupled risks under uncertainty; 2) a dual-stage statistically feasible robust optimization (RO) approach employing a novel unified dimension-collapsing map, enabling tractable learning-calibrated uncertainty set construction with dimension-free out-of-sample reliability guarantees; and 3) a Learning-to-Optimize acceleration strategy that transforms the robust UC into a tractable linear program, enabling scalability. Validation on standard test systems up to 118 buses demonstrates the framework’s ability to dynamically adjust reserves through uncertainty-adaptive quantification. The solution reconciles statistical feasibility with computational efficiency, achieving scalable, cost-effective, and reliable operations. By integrating statistically feasible RO with machine learning acceleration, this framework provides a practical approach to managing uncertainty and ensuring economic and operational balance in power systems with high renewable penetration.</w:t>
      </w:r>
    </w:p>
    <w:p>
      <w:pPr>
        <w:spacing w:before="120" w:after="120"/>
      </w:pPr>
      <w:r>
        <w:rPr>
          <w:sz w:val="18"/>
        </w:rPr>
        <w:t>——————————————————————————————————————————————————————————————————————</w:t>
      </w:r>
    </w:p>
    <w:p>
      <w:pPr>
        <w:spacing w:before="160" w:after="40" w:line="240" w:lineRule="auto"/>
      </w:pPr>
      <w:r>
        <w:rPr>
          <w:b/>
        </w:rPr>
        <w:t xml:space="preserve">[510] </w:t>
      </w:r>
      <w:hyperlink r:id="rId1347">
        <w:r>
          <w:rPr>
            <w:color w:val="1155CC"/>
            <w:u w:val="single"/>
          </w:rPr>
          <w:t>考虑非线性耦合相互作用的多并联跟网型变流器系统稳定域边界</w:t>
        </w:r>
      </w:hyperlink>
    </w:p>
    <w:p>
      <w:pPr>
        <w:spacing w:before="0" w:after="80"/>
      </w:pPr>
      <w:r>
        <w:rPr>
          <w:i/>
          <w:sz w:val="20"/>
        </w:rPr>
        <w:t>EN: Stability Region Boundary of Multi-Parallel Grid-Following Converter Systems Considering Nonlinear Coupling Interactions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48">
        <w:r>
          <w:rPr>
            <w:color w:val="1155CC"/>
            <w:u w:val="single"/>
          </w:rPr>
          <w:t>10.1109/tpwrs.2026.3684552</w:t>
        </w:r>
      </w:hyperlink>
    </w:p>
    <w:p>
      <w:pPr>
        <w:spacing w:before="0" w:after="120"/>
      </w:pPr>
      <w:r>
        <w:rPr>
          <w:b/>
        </w:rPr>
        <w:t xml:space="preserve">Notes: </w:t>
      </w:r>
      <w:r>
        <w:t>abstract_source=semanticscholar</w:t>
      </w:r>
    </w:p>
    <w:p>
      <w:pPr>
        <w:spacing w:before="0" w:after="80" w:lineRule="auto" w:line="276"/>
      </w:pPr>
      <w:r>
        <w:rPr>
          <w:b/>
        </w:rPr>
        <w:t xml:space="preserve">摘要（ZH）: </w:t>
      </w:r>
      <w:r>
        <w:t>在多并联跟网型电压源变换器（MGFL-VSCs）中，控制环的非线性动力学及其耦合交互作用对MGFL-VSCs的暂态同步稳定性（TSS）具有显著影响。本研究聚焦于非线性耦合交互作用对MGFL-VSC系统TSS的影响。首先，基于微分-代数方程-稳定域边界（SRB）理论，分析了非线性动力学和耦合交互作用的影响，并绘制了MGFL-VSCs的SRB。结果表明，耦合交互作用限制了锁相环的最大相角。MGFL-VSCs的SRB由不稳定平衡点的稳定流形、半奇异点的稳定流形以及某些奇异面组成。SRB的构成与非线性控制的耦合交互作用密切相关。其次，基于SRB与暂态失稳模式之间的关联，将MGFL-VSCs的暂态失稳模式划分为传统失稳模式和耦合交互失稳模式，并考虑非线性耦合交互作用系统研究了失稳模式的演化。此外，提出了一种基于Port-Hamiltonian能量函数的在线评估方法。该方法可利用非线性归一化能量指标定量估计耦合交互作用对TSS的影响。最后，给出了实验和仿真结果，将所提方法与现有方法进行比较，验证了其有效性。</w:t>
      </w:r>
    </w:p>
    <w:p>
      <w:pPr>
        <w:spacing w:before="0" w:after="200" w:lineRule="auto" w:line="276"/>
      </w:pPr>
      <w:r>
        <w:rPr>
          <w:b/>
        </w:rPr>
        <w:t xml:space="preserve">Abstract (EN): </w:t>
      </w:r>
      <w:r>
        <w:t>In multi-parallel grid-following voltage source converters (MGFL-VSCs), the nonlinear dynamics of the control loops and their coupling interactions substantially affect the transient synchronization stability (TSS) of MGFL-VSCs. This study focuses on the effects of nonlinear coupling interactions on TSS of the MGFL-VSC systems. First, on the basis of differential–algebraic equation–stability region boundary (SRB) theory, the study analyzes the effects of nonlinear dynamics and coupling interactions and plots the SRB of MGFL-VSCs. Results show that the coupling interactions limit the maximum phase angle of the phase-locked loop. The SRB of MGFL-VSCs consists of a stable manifold of unstable equilibrium points, a stable manifold of semi-singular points, and certain singular surfaces. The composition of SRB is closely related to the coupling interactions of nonlinear control. Second, on the basis of the correlation between SRB and transient instability modes, the transient instability modes of MGFL-VSCs are divided into traditional and coupling interaction instability modes, and the evolution of instability modes is systematically studied in consideration of nonlinear coupling interactions. In addition, an online assessment method that is based on the Port–Hamiltonian energy function is proposed. This method can quantitatively estimate the effect of coupling interactions on TSS by using the nonlinear normalized energy index. Finally, experimental and simulation results are provided to compare the proposed approach with existing methods and verify its effectiveness.</w:t>
      </w:r>
    </w:p>
    <w:p>
      <w:pPr>
        <w:spacing w:before="120" w:after="120"/>
      </w:pPr>
      <w:r>
        <w:rPr>
          <w:sz w:val="18"/>
        </w:rPr>
        <w:t>——————————————————————————————————————————————————————————————————————</w:t>
      </w:r>
    </w:p>
    <w:p>
      <w:pPr>
        <w:spacing w:before="160" w:after="40" w:line="240" w:lineRule="auto"/>
      </w:pPr>
      <w:r>
        <w:rPr>
          <w:b/>
        </w:rPr>
        <w:t xml:space="preserve">[511] </w:t>
      </w:r>
      <w:hyperlink r:id="rId1349">
        <w:r>
          <w:rPr>
            <w:color w:val="1155CC"/>
            <w:u w:val="single"/>
          </w:rPr>
          <w:t>一种考虑节点频率与RoCoF的基于MPC的频率控制方法</w:t>
        </w:r>
      </w:hyperlink>
    </w:p>
    <w:p>
      <w:pPr>
        <w:spacing w:before="0" w:after="80"/>
      </w:pPr>
      <w:r>
        <w:rPr>
          <w:i/>
          <w:sz w:val="20"/>
        </w:rPr>
        <w:t>EN: An MPC-Based Frequency Control Method Considering Nodal Frequency and RoCoF</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50">
        <w:r>
          <w:rPr>
            <w:color w:val="1155CC"/>
            <w:u w:val="single"/>
          </w:rPr>
          <w:t>10.1109/tpwrs.2026.3685558</w:t>
        </w:r>
      </w:hyperlink>
    </w:p>
    <w:p>
      <w:pPr>
        <w:spacing w:before="0" w:after="120"/>
      </w:pPr>
      <w:r>
        <w:rPr>
          <w:b/>
        </w:rPr>
        <w:t xml:space="preserve">Notes: </w:t>
      </w:r>
      <w:r>
        <w:t>abstract_source=semanticscholar</w:t>
      </w:r>
    </w:p>
    <w:p>
      <w:pPr>
        <w:spacing w:before="0" w:after="80" w:lineRule="auto" w:line="276"/>
      </w:pPr>
      <w:r>
        <w:rPr>
          <w:b/>
        </w:rPr>
        <w:t xml:space="preserve">摘要（ZH）: </w:t>
      </w:r>
      <w:r>
        <w:t>惯量中心（COI）频率和频率变化率（RoCoF）是频率测量与控制中常用的传统指标。随着基于逆变器资源（IBR）接入比例的不断提高，频率呈现出更为显著的空间特性，使得COI频率不足以表征特定位置的频率动态。同时，低频减载（UFLS）、防孤岛保护和故障穿越（FRT）等保护装置依赖于节点频率或RoCoF。因此，存在因系统级COI频率或RoCoF与本地保护触发阈值之间的差异而导致保护装置误动的风险。针对这一问题，本文提出一种基于模型预测控制（MPC）并纳入节点频率和RoCoF约束的方法。首先，将最初针对同步发电机和构网型资源设计的节点惯量计算方法扩展至包含跟网型资源。其次，开发了一种基于MPC的频率控制方法，用于恢复节点频率、降低RoCoF，并最大限度地降低保护意外触发的可能性。最后，通过在IEEE测试系统上进行MATLAB–PSCAD联合仿真验证了所提策略的有效性。</w:t>
      </w:r>
    </w:p>
    <w:p>
      <w:pPr>
        <w:spacing w:before="0" w:after="200" w:lineRule="auto" w:line="276"/>
      </w:pPr>
      <w:r>
        <w:rPr>
          <w:b/>
        </w:rPr>
        <w:t xml:space="preserve">Abstract (EN): </w:t>
      </w:r>
      <w:r>
        <w:t>The Centre of Inertia (COI) frequency and Rate of Change of Frequency (RoCoF) are traditional indicators used in frequency measurement and control. With the increasing integration of inverter-based resources (IBRs), frequency exhibits more significant spatial characteristics, making COI frequency insufficient to represent frequency dynamics at specific locations. Meanwhile, protection devices such as Under-Frequency Load Shedding (UFLS), anti-islanding protection, and Fault-Ride-Through (FRT) rely on the nodal frequency or RoCoF. Consequently, there is a risk of protection device activations caused by discrepancies between system-level COI frequency or RoCoF and local protection triggering thresholds. To address this issue, this paper proposes a Model Predictive Control (MPC)-based approach that incorporates nodal frequency and RoCoF constraints. First, the nodal inertia calculation methodology, which was originally designed for systems with synchronous generators and grid-forming resources, is extended to include grid-following resources. Second, an MPC-based frequency control method was developed to restore nodal frequency, reduce RoCoF, and minimise the likelihood of unintended protection triggers. Lastly, the proposed strategy was validated through MATLAB–PSCAD co-simulations on IEEE test systems.</w:t>
      </w:r>
    </w:p>
    <w:p>
      <w:pPr>
        <w:spacing w:before="120" w:after="120"/>
      </w:pPr>
      <w:r>
        <w:rPr>
          <w:sz w:val="18"/>
        </w:rPr>
        <w:t>——————————————————————————————————————————————————————————————————————</w:t>
      </w:r>
    </w:p>
    <w:p>
      <w:pPr>
        <w:spacing w:before="160" w:after="40" w:line="240" w:lineRule="auto"/>
      </w:pPr>
      <w:r>
        <w:rPr>
          <w:b/>
        </w:rPr>
        <w:t xml:space="preserve">[512] </w:t>
      </w:r>
      <w:hyperlink r:id="rId1351">
        <w:r>
          <w:rPr>
            <w:color w:val="1155CC"/>
            <w:u w:val="single"/>
          </w:rPr>
          <w:t>大规模AI负载引发的广域电力系统振荡</w:t>
        </w:r>
      </w:hyperlink>
    </w:p>
    <w:p>
      <w:pPr>
        <w:spacing w:before="0" w:after="80"/>
      </w:pPr>
      <w:r>
        <w:rPr>
          <w:i/>
          <w:sz w:val="20"/>
        </w:rPr>
        <w:t>EN: Wide-Area Power System Oscillations From Large-Scale AI Workloads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52">
        <w:r>
          <w:rPr>
            <w:color w:val="1155CC"/>
            <w:u w:val="single"/>
          </w:rPr>
          <w:t>10.1109/tpwrs.2026.3685506</w:t>
        </w:r>
      </w:hyperlink>
    </w:p>
    <w:p>
      <w:pPr>
        <w:spacing w:before="0" w:after="120"/>
      </w:pPr>
      <w:r>
        <w:rPr>
          <w:b/>
        </w:rPr>
        <w:t xml:space="preserve">Notes: </w:t>
      </w:r>
      <w:r>
        <w:t>abstract_source=semanticscholar</w:t>
      </w:r>
    </w:p>
    <w:p>
      <w:pPr>
        <w:spacing w:before="0" w:after="80" w:lineRule="auto" w:line="276"/>
      </w:pPr>
      <w:r>
        <w:rPr>
          <w:b/>
        </w:rPr>
        <w:t xml:space="preserve">摘要（ZH）: </w:t>
      </w:r>
      <w:r>
        <w:t>本文开发了一种新的动态功率特性建模方法，用于对以AI为中心的数据中心负荷进行建模，并分析其对电网运行的影响，尤其是其诱发广域电网振荡的潜力。我们刻画了大规模AI工作负载在训练和微调阶段所固有的周期性随机功率波动，这些波动由最先进的图形处理器（GPU）计算架构设计所驱动。这种持续的、大幅度的功率波动不同于传统的负荷爬坡，其表现为持续的强迫输入，能够与本地及区域间振荡模式相互作用并将其放大。我们利用WECC 179母线系统和NPCC 140母线系统，数值研究了不同因素下振荡响应的幅值和变异性。这些因素包括系统强度、渗透率、波动频率范围、单个数据中心规模、地理部署、波动抑制水平以及工作负载比例。仿真结果表明，值得注意的是，更窄的波动频带、更大的单站容量或分散选址可能会加剧多种模式的振荡。我们的模型和数值研究为将以AI为主导的电力需求纳入电网振荡研究提供了定量依据，并进一步支持制定新的规划和运行措施，以满足AI/计算负荷需求的增长。</w:t>
      </w:r>
    </w:p>
    <w:p>
      <w:pPr>
        <w:spacing w:before="0" w:after="200" w:lineRule="auto" w:line="276"/>
      </w:pPr>
      <w:r>
        <w:rPr>
          <w:b/>
        </w:rPr>
        <w:t xml:space="preserve">Abstract (EN): </w:t>
      </w:r>
      <w:r>
        <w:t>This paper develops a new dynamic power profiling approach for modeling AI-centric datacenter loads and analyzing their impact on grid operations, particularly their potential to induce wide-area grid oscillations. We characterize the periodic stochastic power fluctuations inherent to large-scale AI workloads during both the training and fine-tuning stages, driven by the state-of-the-art graphics processing unit (GPU) computing architecture design. These sustained, large power fluctuations, unlike conventional load ramping, act as persistent forcing inputs capable of interacting with and amplifying local and inter-area oscillation modes. Using the WECC 179-bus system and the NPCC 140-bus system, we have numerically studied the amplitude and variability of oscillatory responses under different factors. These factors include system strength, penetration level, fluctuation frequency range, individual datacenter size, geographical deployment, fluctuation suppression level, and workload ratio. Simulation results show that, notably, narrower fluctuation bands, larger single-site capacities, or dispersed siting can intensify oscillations across multiple modes. Our models and numerical studies provide a quantitative basis for integrating AI-dominant electricity demand into grid oscillation studies and further support the development of new planning and operational measures to power the growth of AI/computing load demands.</w:t>
      </w:r>
    </w:p>
    <w:p>
      <w:pPr>
        <w:spacing w:before="120" w:after="120"/>
      </w:pPr>
      <w:r>
        <w:rPr>
          <w:sz w:val="18"/>
        </w:rPr>
        <w:t>——————————————————————————————————————————————————————————————————————</w:t>
      </w:r>
    </w:p>
    <w:p>
      <w:pPr>
        <w:spacing w:before="160" w:after="40" w:line="240" w:lineRule="auto"/>
      </w:pPr>
      <w:r>
        <w:rPr>
          <w:b/>
        </w:rPr>
        <w:t xml:space="preserve">[513] </w:t>
      </w:r>
      <w:hyperlink r:id="rId1353">
        <w:r>
          <w:rPr>
            <w:color w:val="1155CC"/>
            <w:u w:val="single"/>
          </w:rPr>
          <w:t>共用并网点的基于PLL的跟网型可再生能源电站与同步调相机系统的主导暂态稳定性</w:t>
        </w:r>
      </w:hyperlink>
    </w:p>
    <w:p>
      <w:pPr>
        <w:spacing w:before="0" w:after="80"/>
      </w:pPr>
      <w:r>
        <w:rPr>
          <w:i/>
          <w:sz w:val="20"/>
        </w:rPr>
        <w:t>EN: Dominant Transient Stability of the Co-Located PLL-Based Grid-Following Renewable Plant and Synchronous Condenser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54">
        <w:r>
          <w:rPr>
            <w:color w:val="1155CC"/>
            <w:u w:val="single"/>
          </w:rPr>
          <w:t>10.1109/tpwrs.2026.3676300</w:t>
        </w:r>
      </w:hyperlink>
    </w:p>
    <w:p>
      <w:pPr>
        <w:spacing w:before="0" w:after="120"/>
      </w:pPr>
      <w:r>
        <w:rPr>
          <w:b/>
        </w:rPr>
        <w:t xml:space="preserve">Notes: </w:t>
      </w:r>
      <w:r>
        <w:t>abstract_source=semanticscholar</w:t>
      </w:r>
    </w:p>
    <w:p>
      <w:pPr>
        <w:spacing w:before="0" w:after="80" w:lineRule="auto" w:line="276"/>
      </w:pPr>
      <w:r>
        <w:rPr>
          <w:b/>
        </w:rPr>
        <w:t xml:space="preserve">摘要（ZH）: </w:t>
      </w:r>
      <w:r>
        <w:t>在跟网型可再生能源（GFLR）附近部署调相机（SynCon）是一种有效且日益被采纳的电网支撑策略。然而，此类配置中的暂态失稳风险仍是一个有待研究的开放性问题。本研究探讨了SynCon接入后主导同步失稳源转换的机理，并提出一种利用其交互特性来增强系统稳定性的简便方法。首先，建立双时间尺度解耦模型，将系统划分为表示锁相环（PLL）动态的快子系统和表征SynCon转子动态的慢子系统。随后，本研究考察了SynCon对附近PLL暂态稳定性的影响及其自身的固有稳定性。研究表明，SynCon的电压源特性及其与PLL动态的时间尺度分离可显著扩大PLL的稳定边界，并缓解多个GFLR之间的非同调耦合效应。然而，SynCon接入后，主导失稳源从快时间尺度的PLL转移到慢时间尺度的SynCon。关键的是，本文证明了PLL控制的阻尼效应同样可以从快时间尺度传递到慢时间尺度，使得整定良好的PLL阻尼能够抑制SynCon转子加速。因此，通过利用SynCon的固有支撑能力和简单的PLL阻尼回路，可以显著增强同址系统的暂态稳定性。这些结论</w:t>
      </w:r>
    </w:p>
    <w:p>
      <w:pPr>
        <w:spacing w:before="0" w:after="200" w:lineRule="auto" w:line="276"/>
      </w:pPr>
      <w:r>
        <w:rPr>
          <w:b/>
        </w:rPr>
        <w:t xml:space="preserve">Abstract (EN): </w:t>
      </w:r>
      <w:r>
        <w:t>Deploying synchronous condensers (SynCons) near grid-following renewable energy sources (GFLRs) is an effective and increasingly adopted strategy for grid support. However, the potential transient instability risks in such configurations remain an open research question. This study investigates the mechanism of dominant synchronization instability source transition upon SynCon integration and proposes a straightforward approach to enhance system stability by leveraging their interactive characteristics. Firstly, a dual-timescale decoupling model is established, partitioning the system into a fast subsystem representing phase-locked loop (PLL) dynamics and a slow subsystem characterizing SynCon rotor dynamics. The study then examines the influence of SynCons on the transient stability of nearby PLLs and their own inherent stability. The study shows that SynCon's voltage-source characteristics and its time-scale separation from PLL dynamics can significantly enhance the PLL's stability boundary and mitigate non-coherent coupling effects among multiple GFLRs. However, the dominant instability source shifts from the fast-time-scale PLL to the slow-time-scale SynCon after SynCon integration. Crucially, this paper demonstrates that the damping effect of PLL control can also be transferred from the fast to the slow time scale, allowing well-tuned PLL damping to suppress SynCon rotor acceleration. Consequently, by utilizing SynCon's inherent support capability and a simple PLL damping loop, the transient stability of the co-located system can be significantly enhanced. These conclusions are validated using a converter controller-based Hardware-in-the-Loop (CHIL) platform.</w:t>
      </w:r>
    </w:p>
    <w:p>
      <w:pPr>
        <w:spacing w:before="120" w:after="120"/>
      </w:pPr>
      <w:r>
        <w:rPr>
          <w:sz w:val="18"/>
        </w:rPr>
        <w:t>——————————————————————————————————————————————————————————————————————</w:t>
      </w:r>
    </w:p>
    <w:p>
      <w:pPr>
        <w:spacing w:before="160" w:after="40" w:line="240" w:lineRule="auto"/>
      </w:pPr>
      <w:r>
        <w:rPr>
          <w:b/>
        </w:rPr>
        <w:t xml:space="preserve">[514] </w:t>
      </w:r>
      <w:hyperlink r:id="rId1355">
        <w:r>
          <w:rPr>
            <w:color w:val="1155CC"/>
            <w:u w:val="single"/>
          </w:rPr>
          <w:t>一种面向大规模电力系统同调辨识的数据驱动方法</w:t>
        </w:r>
      </w:hyperlink>
    </w:p>
    <w:p>
      <w:pPr>
        <w:spacing w:before="0" w:after="80"/>
      </w:pPr>
      <w:r>
        <w:rPr>
          <w:i/>
          <w:sz w:val="20"/>
        </w:rPr>
        <w:t>EN: A Data-Driven Approach for Coherency Identification in Large-Scale Power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56">
        <w:r>
          <w:rPr>
            <w:color w:val="1155CC"/>
            <w:u w:val="single"/>
          </w:rPr>
          <w:t>10.1109/tpwrs.2026.3703658</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一种基于时间聚类的电网同调性辨识方法，该方法明确考虑了通信故障引起的互感器不确定性和PMU测量误差。该方法采用多个单母线–无穷大母线的表示形式对系统进行建模，并引入物理系统母线与虚拟无穷大母线之间电气距离的度量，用于将母线聚类为同调组。聚类方法的一个关键难题——即聚类阈值的确定——通过推导一个数学上严格、由电力系统规律决定的方程得以系统解决，从而形成一种适用于在线应用的一致性方法。通过仿真和真实PMU信号（包括丢包场景）验证了所提数据驱动方法的有效性。</w:t>
      </w:r>
    </w:p>
    <w:p>
      <w:pPr>
        <w:spacing w:before="0" w:after="200" w:lineRule="auto" w:line="276"/>
      </w:pPr>
      <w:r>
        <w:rPr>
          <w:b/>
        </w:rPr>
        <w:t xml:space="preserve">Abstract (EN): </w:t>
      </w:r>
      <w:r>
        <w:t>This paper proposes a temporal clustering–based approach for coherency identification in power grids that explicitly accounts for instrument transformer uncertainties and PMU measurement errors arising from communication failures. The method models the system using multiple single-bus–infinite-bus representations and introduces a metric for the electrical distance between physical system buses and a fictitious infinite bus, which is used to cluster buses into coherent groups. A key challenge of clustering-based methods—namely, the defining the clustering threshold—is systematically addressed by deriving a mathematically rigorous, power system–governed equation, resulting in a consistent method suitable for online applications. The effectiveness of the proposed data-driven approach is demonstrated using both simulated and real PMU signals, including scenarios with packet losses.</w:t>
      </w:r>
    </w:p>
    <w:p>
      <w:pPr>
        <w:spacing w:before="120" w:after="120"/>
      </w:pPr>
      <w:r>
        <w:rPr>
          <w:sz w:val="18"/>
        </w:rPr>
        <w:t>——————————————————————————————————————————————————————————————————————</w:t>
      </w:r>
    </w:p>
    <w:p>
      <w:pPr>
        <w:spacing w:before="160" w:after="40" w:line="240" w:lineRule="auto"/>
      </w:pPr>
      <w:r>
        <w:rPr>
          <w:b/>
        </w:rPr>
        <w:t xml:space="preserve">[515] </w:t>
      </w:r>
      <w:hyperlink r:id="rId1357">
        <w:r>
          <w:rPr>
            <w:color w:val="1155CC"/>
            <w:u w:val="single"/>
          </w:rPr>
          <w:t>电力系统的时变非线性参与因子</w:t>
        </w:r>
      </w:hyperlink>
    </w:p>
    <w:p>
      <w:pPr>
        <w:spacing w:before="0" w:after="80"/>
      </w:pPr>
      <w:r>
        <w:rPr>
          <w:i/>
          <w:sz w:val="20"/>
        </w:rPr>
        <w:t>EN: Time-Variant Nonlinear Participation Factors for Power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58">
        <w:r>
          <w:rPr>
            <w:color w:val="1155CC"/>
            <w:u w:val="single"/>
          </w:rPr>
          <w:t>10.1109/tpwrs.2026.3673329</w:t>
        </w:r>
      </w:hyperlink>
    </w:p>
    <w:p>
      <w:pPr>
        <w:spacing w:before="0" w:after="120"/>
      </w:pPr>
      <w:r>
        <w:rPr>
          <w:b/>
        </w:rPr>
        <w:t xml:space="preserve">Notes: </w:t>
      </w:r>
      <w:r>
        <w:t>abstract_source=semanticscholar</w:t>
      </w:r>
    </w:p>
    <w:p>
      <w:pPr>
        <w:spacing w:before="0" w:after="80" w:lineRule="auto" w:line="276"/>
      </w:pPr>
      <w:r>
        <w:rPr>
          <w:b/>
        </w:rPr>
        <w:t xml:space="preserve">摘要（ZH）: </w:t>
      </w:r>
      <w:r>
        <w:t>参与因子（PF）是评估电力系统中系统状态对某一振荡模式参与程度的关键指标。传统的线性PF在小干扰稳定分析和控制中行之有效，但无法刻画具有显著非线性的现代电力系统不断演变的复杂动态。现有的非线性PF可考虑至指定阶次的模态间共振，但被假设为常数，不随系统响应而变化。本文提出一种新颖的时变非线性参与因子（TNPF），在统一框架下融合线性与非线性PF，能够在扰动下对状态变量在某一模式中的参与程度进行可靠的实际量化，尤其是在非线性动态不可忽略且状态扰动幅值随时间变化时。为展示TNPF的优势，开发了一种自适应控制策略，可动态激活一部分分布式、高参与度的基于电池的阻尼控制器，以实现对扰动的高效稳定控制。在IEEE 39母线系统（包括高比例基于逆变器资源接入的场景）上进行了案例研究，验证了所提TNPF的有效性。</w:t>
      </w:r>
    </w:p>
    <w:p>
      <w:pPr>
        <w:spacing w:before="0" w:after="200" w:lineRule="auto" w:line="276"/>
      </w:pPr>
      <w:r>
        <w:rPr>
          <w:b/>
        </w:rPr>
        <w:t xml:space="preserve">Abstract (EN): </w:t>
      </w:r>
      <w:r>
        <w:t>The participation factor (PF) is a key metric for assessing the involvement of system states into an oscillation mode in power systems. A traditional linear PF has been effective in small-signal stability analysis and control, but it cannot capture the evolving and complex dynamics of a modern power system with significant nonlinearity. Existing nonlinear PFs account for inter-modal resonances up to a desired order but are assumed to be constant, not varying with the system’s response. This paper proposes a novel Time-Variant Nonlinear Participation Factor (TNPF), which unifies linear and nonlinear PFs within a single framework and enables reliable real-time quantification of the participation of state variables in a mode under disturbances, especially when nonlinear dynamics are non-negligible and the amplitude of state perturbations varies over time. To demonstrate the advantages of the TNPF, an adaptive control strategy is developed to dynamically activate a subset of distributed, highly participating battery-based damping controllers for efficient stabilization in response to disturbances. Case studies on the IEEE 39-bus system, including scenarios with high penetration of inverter-based resources, are conducted to validate the effectiveness of the proposed TNPF.</w:t>
      </w:r>
    </w:p>
    <w:p>
      <w:pPr>
        <w:spacing w:before="120" w:after="120"/>
      </w:pPr>
      <w:r>
        <w:rPr>
          <w:sz w:val="18"/>
        </w:rPr>
        <w:t>——————————————————————————————————————————————————————————————————————</w:t>
      </w:r>
    </w:p>
    <w:p>
      <w:pPr>
        <w:spacing w:before="160" w:after="40" w:line="240" w:lineRule="auto"/>
      </w:pPr>
      <w:r>
        <w:rPr>
          <w:b/>
        </w:rPr>
        <w:t xml:space="preserve">[516] </w:t>
      </w:r>
      <w:hyperlink r:id="rId1359">
        <w:r>
          <w:rPr>
            <w:color w:val="1155CC"/>
            <w:u w:val="single"/>
          </w:rPr>
          <w:t>面向系统负荷裕度提升的大规模海上风电场景下多保真度动态载流量融合</w:t>
        </w:r>
      </w:hyperlink>
    </w:p>
    <w:p>
      <w:pPr>
        <w:spacing w:before="0" w:after="80"/>
      </w:pPr>
      <w:r>
        <w:rPr>
          <w:i/>
          <w:sz w:val="20"/>
        </w:rPr>
        <w:t>EN: Multi-Fidelity Dynamic Line Rating Fusion for System Load Margin Enhancement With Large-Scale Offshore Wind Generations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60">
        <w:r>
          <w:rPr>
            <w:color w:val="1155CC"/>
            <w:u w:val="single"/>
          </w:rPr>
          <w:t>10.1109/tpwrs.2026.3685097</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一种用于提升大规模海上风电接入下电力系统负荷裕度的多保真动态增容（DLR）融合方法。首先，采用多保真深度sigma点过程（MFDSPP）融合来自多种传感器的多保真DLR数据，这是一种概率性非线性学习模型，可整合异构数据源以估计最小线路容量并量化其不确定性。引入共形预测（CP）——一种利用经验残差细化预测区间的无分布不确定性校准技术——来细化DLR的不确定性区间。然后，利用连续潮流（CPF）分析计算大量 $N-k$ 预想事故下系统的最大负荷裕度。通过对这些场景采样生成大规模数据集以训练深度sigma点过程（DSPP）模型，建立运行数据与负荷裕度之间的直接非线性关系。最后，将基于DLR的线路容量约束和DSPP导出的负荷裕度约束集成到实时控制框架中，以提高系统稳定性。在东北电力协调委员会（NPCC）系统上的案例研究（结合真实DLR传感器测量数据、真实的 $N-k$ 预想事故数据集以及四座真实的大型海上风电场）表明，所提方法能有效维持大于基准负荷10%的负荷裕度，额外释放2,189.7 MWh清洁能源，将运行成本降低约2.34%，并且与经典CPF相比实现超过2,000倍的加速</w:t>
      </w:r>
    </w:p>
    <w:p>
      <w:pPr>
        <w:spacing w:before="0" w:after="200" w:lineRule="auto" w:line="276"/>
      </w:pPr>
      <w:r>
        <w:rPr>
          <w:b/>
        </w:rPr>
        <w:t xml:space="preserve">Abstract (EN): </w:t>
      </w:r>
      <w:r>
        <w:t>This paper proposes a multi-fidelity dynamic line rating (DLR) fusion method for power system load margin enhancement with large-scale offshore wind integration. First, multi-fidelity DLR data from diverse sensors are fused using multi-fidelity deep sigma point processes (MFDSPP), a probabilistic nonlinear learning model that integrates heterogeneous data sources to estimate the minimum line rating and quantify its uncertainty. Conformal prediction (CP), a distribution-free uncertainty calibration technique that refines prediction intervals using empirical residuals, is developed to refine the uncertainty intervals of DLRs. Then, continuation power flow (CPF) analysis is used to calculate the system's maximum load margin for numerous $N-k$ contingencies. Sampling these scenarios generates a large dataset to train the deep sigma point processes (DSPP) model, establishing a direct nonlinear relationship between operational data and load margin. Finally, DLR-based line capacity constraints and DSPP-derived load-margin constraints are integrated into the real-time control framework to improve system stability. Case studies on the Northeast Power Coordinating Council (NPCC) system, incorporating real DLR sensor measurements, authentic $N-k$ contingency datasets, and four real large-scale offshore wind farms, demonstrate that the proposed method effectively maintains a load margin greater than 10% of the base load, unlocks an additional 2,189.7 MWh of clean energy, reduces operating costs by approximately 2.34%, and achieves more than a 2,000 × speedup compared with classical CPF-based sensitivity methods.</w:t>
      </w:r>
    </w:p>
    <w:p>
      <w:pPr>
        <w:spacing w:before="120" w:after="120"/>
      </w:pPr>
      <w:r>
        <w:rPr>
          <w:sz w:val="18"/>
        </w:rPr>
        <w:t>——————————————————————————————————————————————————————————————————————</w:t>
      </w:r>
    </w:p>
    <w:p>
      <w:pPr>
        <w:spacing w:before="160" w:after="40" w:line="240" w:lineRule="auto"/>
      </w:pPr>
      <w:r>
        <w:rPr>
          <w:b/>
        </w:rPr>
        <w:t xml:space="preserve">[517] </w:t>
      </w:r>
      <w:hyperlink r:id="rId1361">
        <w:r>
          <w:rPr>
            <w:color w:val="1155CC"/>
            <w:u w:val="single"/>
          </w:rPr>
          <w:t>考虑限流模式的构网型VSC系统功率摇摆特性分析</w:t>
        </w:r>
      </w:hyperlink>
    </w:p>
    <w:p>
      <w:pPr>
        <w:spacing w:before="0" w:after="80"/>
      </w:pPr>
      <w:r>
        <w:rPr>
          <w:i/>
          <w:sz w:val="20"/>
        </w:rPr>
        <w:t>EN: Analysis of Power Swing Characteristics of Grid-Forming VSC System Considering the Current Limitation Mode</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62">
        <w:r>
          <w:rPr>
            <w:color w:val="1155CC"/>
            <w:u w:val="single"/>
          </w:rPr>
          <w:t>10.1109/tpwrs.2026.3672709</w:t>
        </w:r>
      </w:hyperlink>
    </w:p>
    <w:p>
      <w:pPr>
        <w:spacing w:before="0" w:after="120"/>
      </w:pPr>
      <w:r>
        <w:rPr>
          <w:b/>
        </w:rPr>
        <w:t xml:space="preserve">Notes: </w:t>
      </w:r>
      <w:r>
        <w:t>abstract_source=semanticscholar</w:t>
      </w:r>
    </w:p>
    <w:p>
      <w:pPr>
        <w:spacing w:before="0" w:after="80" w:lineRule="auto" w:line="276"/>
      </w:pPr>
      <w:r>
        <w:rPr>
          <w:b/>
        </w:rPr>
        <w:t xml:space="preserve">摘要（ZH）: </w:t>
      </w:r>
      <w:r>
        <w:t>本文研究了具有电流限幅模式的构网型（GFM）电压源换流器（VSC）系统在非惯性和惯性GFM-VSC系统中的功率振荡特性。电网故障后，非惯性GFM-VSC系统可以与电网重新同步，然而其可能经历由控制动态驱动的显著功率振荡。相比之下，惯性GFM-VSC系统可能出现失步（LOS），其特征是依赖于控制的角度与有功功率控制环之间发散。这些行为不同于传统的基于同步发电机（SG）的系统，后者的功率振荡通常以电源之间物理角度偏差为特征。基于这些发现，本文研究了传统基于阻抗的振荡检测方案在GFM-VSC系统中的性能。理论分析通过涵盖单机和多机系统的仿真得到了验证。</w:t>
      </w:r>
    </w:p>
    <w:p>
      <w:pPr>
        <w:spacing w:before="0" w:after="200" w:lineRule="auto" w:line="276"/>
      </w:pPr>
      <w:r>
        <w:rPr>
          <w:b/>
        </w:rPr>
        <w:t xml:space="preserve">Abstract (EN): </w:t>
      </w:r>
      <w:r>
        <w:t>This paper investigates power swing characteristics of grid-forming (GFM) voltage source converter (VSC) systems with the current limitation mode in both non-inertial and inertial GFM-VSC systems. Following grid faults, non-inertial GFM-VSC systems can re-synchronize with the grid. However, they may experience significant power swings driven by their control dynamics. In contrast, inertial GFM-VSC systems may exhibit loss of synchronization (LOS), characterized by the divergence of the control-dependent angle from the active power control loop. These behaviors differ from those of conventional synchronous generator (SG)-based systems, in which power swings are typically characterized by physical angle deviations among power sources. Based on these findings, this paper examines the performance of traditional impedance-based swing-detection schemes in GFM-VSC systems. The theoretical analysis is validated through simulations covering both single- and multi-machine systems.</w:t>
      </w:r>
    </w:p>
    <w:p>
      <w:pPr>
        <w:spacing w:before="120" w:after="120"/>
      </w:pPr>
      <w:r>
        <w:rPr>
          <w:sz w:val="18"/>
        </w:rPr>
        <w:t>——————————————————————————————————————————————————————————————————————</w:t>
      </w:r>
    </w:p>
    <w:p>
      <w:pPr>
        <w:spacing w:before="160" w:after="40" w:line="240" w:lineRule="auto"/>
      </w:pPr>
      <w:r>
        <w:rPr>
          <w:b/>
        </w:rPr>
        <w:t xml:space="preserve">[518] </w:t>
      </w:r>
      <w:hyperlink r:id="rId1363">
        <w:r>
          <w:rPr>
            <w:color w:val="1155CC"/>
            <w:u w:val="single"/>
          </w:rPr>
          <w:t>面向随机稳定性的频率控制：一种基于概率预测的高阶随机Koopman方法</w:t>
        </w:r>
      </w:hyperlink>
    </w:p>
    <w:p>
      <w:pPr>
        <w:spacing w:before="0" w:after="80"/>
      </w:pPr>
      <w:r>
        <w:rPr>
          <w:i/>
          <w:sz w:val="20"/>
        </w:rPr>
        <w:t>EN: Stochastic Stability Oriented Frequency Control: A Probabilistic Forecasting-Based High-Order Stochastic Koopman Approach</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64">
        <w:r>
          <w:rPr>
            <w:color w:val="1155CC"/>
            <w:u w:val="single"/>
          </w:rPr>
          <w:t>10.1109/tpwrs.2026.3674119</w:t>
        </w:r>
      </w:hyperlink>
    </w:p>
    <w:p>
      <w:pPr>
        <w:spacing w:before="0" w:after="120"/>
      </w:pPr>
      <w:r>
        <w:rPr>
          <w:b/>
        </w:rPr>
        <w:t xml:space="preserve">Notes: </w:t>
      </w:r>
      <w:r>
        <w:t>abstract_source=semanticscholar</w:t>
      </w:r>
    </w:p>
    <w:p>
      <w:pPr>
        <w:spacing w:before="0" w:after="80" w:lineRule="auto" w:line="276"/>
      </w:pPr>
      <w:r>
        <w:rPr>
          <w:b/>
        </w:rPr>
        <w:t xml:space="preserve">摘要（ZH）: </w:t>
      </w:r>
      <w:r>
        <w:t>间歇性可再生能源接入的不断增加加剧了供需之间的功率不平衡，增加了系统频率变化的不确定性。传统确定性频率控制方案往往忽视随机频率波动对系统稳定性的影响。本文提出了一种面向随机稳定性的创新模型预测控制方法，用于在可再生能源发电不确定性下的系统频率调节。首先，建立了一个通用的非线性随机动态模型，以精确量化非高斯不确定性对系统频率动态的时间演化影响。随后，通过将高阶概率预测与Koopman定理相结合，开发了高阶随机Koopman算子（HSKO）方法，作为非线性随机动态模型全局线性化的有力工具。因此，可以根据现有的随机稳定性识别结论无缝推导出可解释的最优控制律，从根本上突破了具有非线性随机动态特性的电力系统频率稳定的技术瓶颈。与多种最先进的动态模型和频率控制方法的对比实验证明了所提出的HSKO方法在模型保真度、控制最优性和频率稳定性方面的优越性。</w:t>
      </w:r>
    </w:p>
    <w:p>
      <w:pPr>
        <w:spacing w:before="0" w:after="200" w:lineRule="auto" w:line="276"/>
      </w:pPr>
      <w:r>
        <w:rPr>
          <w:b/>
        </w:rPr>
        <w:t xml:space="preserve">Abstract (EN): </w:t>
      </w:r>
      <w:r>
        <w:t>The growing integration of intermittent renewables aggravates power imbalances between supply and demand, increasing the uncertainty of system frequency variations. Traditional deterministic frequency control schemes often overlook the impact of stochastic frequency fluctuations on system stability. This paper proposes an innovative stochastic stability-oriented model predictive control approach for system frequency regulation in the face of uncertainty of renewable generation. Firstly, a generic nonlinear stochastic dynamic model is established to precisely quantify time-evolutionary impacts of non-Gaussian uncertainty on system frequency dynamics. Subsequently, a high-order stochastic Koopman operator (HSKO) approach is developed by integrating high-order probabilistic forecasts with the Koopman theorem, serving as a powerful tool for global linearization of nonlinear stochastic dynamic models. Therefore, an interpretable optimal control law can be seamlessly derived in line with existing conclusions on stochastic stability identification, which originally breaks through the technical bottleneck of frequency stabilization for power systems with nonlinear stochastic dynamics. Comparative experiments with several state-of-the-art dynamic models and frequency control approaches demonstrate the superiority of the proposed HSKO approach in terms of model fidelity, control optimality, and frequency stability.</w:t>
      </w:r>
    </w:p>
    <w:p>
      <w:pPr>
        <w:spacing w:before="120" w:after="120"/>
      </w:pPr>
      <w:r>
        <w:rPr>
          <w:sz w:val="18"/>
        </w:rPr>
        <w:t>——————————————————————————————————————————————————————————————————————</w:t>
      </w:r>
    </w:p>
    <w:p>
      <w:pPr>
        <w:spacing w:before="160" w:after="40" w:line="240" w:lineRule="auto"/>
      </w:pPr>
      <w:r>
        <w:rPr>
          <w:b/>
        </w:rPr>
        <w:t xml:space="preserve">[519] </w:t>
      </w:r>
      <w:hyperlink r:id="rId1365">
        <w:r>
          <w:rPr>
            <w:color w:val="1155CC"/>
            <w:u w:val="single"/>
          </w:rPr>
          <w:t>面向高比例可再生能源电力系统运行随机优化的成本导向场景削减</w:t>
        </w:r>
      </w:hyperlink>
    </w:p>
    <w:p>
      <w:pPr>
        <w:spacing w:before="0" w:after="80"/>
      </w:pPr>
      <w:r>
        <w:rPr>
          <w:i/>
          <w:sz w:val="20"/>
        </w:rPr>
        <w:t>EN: Cost-Oriented Scenario Reduction for Stochastic Optimization of Power System Operation With High-Penetration Renewable Energy</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66">
        <w:r>
          <w:rPr>
            <w:color w:val="1155CC"/>
            <w:u w:val="single"/>
          </w:rPr>
          <w:t>10.1109/tpwrs.2026.3685717</w:t>
        </w:r>
      </w:hyperlink>
    </w:p>
    <w:p>
      <w:pPr>
        <w:spacing w:before="0" w:after="120"/>
      </w:pPr>
      <w:r>
        <w:rPr>
          <w:b/>
        </w:rPr>
        <w:t xml:space="preserve">Notes: </w:t>
      </w:r>
      <w:r>
        <w:t>abstract_source=semanticscholar</w:t>
      </w:r>
    </w:p>
    <w:p>
      <w:pPr>
        <w:spacing w:before="0" w:after="80" w:lineRule="auto" w:line="276"/>
      </w:pPr>
      <w:r>
        <w:rPr>
          <w:b/>
        </w:rPr>
        <w:t xml:space="preserve">摘要（ZH）: </w:t>
      </w:r>
      <w:r>
        <w:t>与可再生能源发电相关的不确定性日益增长，需要有效的解决方案来应对电力系统运行中的随机优化问题。传统随机优化方法通常将场景削减作为减轻计算负担的预处理步骤，忽视了场景削减与随机优化之间的联系。本文提出了一种面向成本的随机最优潮流（SOPF）场景削减方法，以在保持系统可靠性的同时提高运行决策的成本效益。首先，为SOPF建立了场景削减与随机优化一体化（ISRSO）框架，其中削减后的场景作为不确定性量化与不确定性感知优化之间的桥梁。随后，构建了场景削减与随机最优潮流的协同优化模型，联合优化削减后的场景和发电计划，该模型既保留了原始场景的概率特性，又最小化了SOPF的运行成本。然后，开发了交替优化算法，将原始非凸模型转化为具有更强可处理性的迭代凸问题。基于IEEE 14节点和118节点测试系统及实际可再生能源发电数据的仿真结果证明了所提方法的统计准确性和成本效益。</w:t>
      </w:r>
    </w:p>
    <w:p>
      <w:pPr>
        <w:spacing w:before="0" w:after="200" w:lineRule="auto" w:line="276"/>
      </w:pPr>
      <w:r>
        <w:rPr>
          <w:b/>
        </w:rPr>
        <w:t xml:space="preserve">Abstract (EN): </w:t>
      </w:r>
      <w:r>
        <w:t>The growing uncertainty associated with renewable energy generation necessitates effective solutions addressing stochastic optimization of power system operations. Traditional stochastic optimization methods typically take scenario reduction as a preliminary step to alleviate computational burdens, which overlooks the connections between scenario reduction and stochastic optimization. This paper proposes a novel cost-oriented scenario reduction approach for stochastic optimal power flow (SOPF) to enhance the cost-effectiveness of operational decisions while maintaining system reliability. Firstly, an integrated scenario reduction and stochastic optimization (ISRSO) framework is established for SOPF, in which the reduced scenarios serve as a bridge between uncertainty quantification and uncertainty-aware optimization. Subsequently, a coordinated optimization model of scenario reduction and stochastic optimal power flow is formulated to jointly optimize the reduced scenarios and generation schedules, which preserves the probabilistic characteristics of the original scenarios and minimizes the operational cost of SOPF. Then, an alternating optimization algorithm is developed to convert the original nonconvex model into iterative convex problems with enhanced tractability. Simulation results on IEEE 14-bus and 118-bus test systems with realistic renewable energy generation data illustrate the statistical accuracy and cost-effectiveness of the proposed method.</w:t>
      </w:r>
    </w:p>
    <w:p>
      <w:pPr>
        <w:spacing w:before="120" w:after="120"/>
      </w:pPr>
      <w:r>
        <w:rPr>
          <w:sz w:val="18"/>
        </w:rPr>
        <w:t>——————————————————————————————————————————————————————————————————————</w:t>
      </w:r>
    </w:p>
    <w:p>
      <w:pPr>
        <w:spacing w:before="160" w:after="40" w:line="240" w:lineRule="auto"/>
      </w:pPr>
      <w:r>
        <w:rPr>
          <w:b/>
        </w:rPr>
        <w:t xml:space="preserve">[520] </w:t>
      </w:r>
      <w:hyperlink r:id="rId1367">
        <w:r>
          <w:rPr>
            <w:color w:val="1155CC"/>
            <w:u w:val="single"/>
          </w:rPr>
          <w:t>配备同步励磁机的无刷绕线式同步电机励磁电流估计</w:t>
        </w:r>
      </w:hyperlink>
    </w:p>
    <w:p>
      <w:pPr>
        <w:spacing w:before="0" w:after="80"/>
      </w:pPr>
      <w:r>
        <w:rPr>
          <w:i/>
          <w:sz w:val="20"/>
        </w:rPr>
        <w:t>EN: Field Current Estimation for Brushless Wound-Field Synchronous Machine Equipped With Synchronous Exciter</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68">
        <w:r>
          <w:rPr>
            <w:color w:val="1155CC"/>
            <w:u w:val="single"/>
          </w:rPr>
          <w:t>10.1109/tec.2026.3657942</w:t>
        </w:r>
      </w:hyperlink>
    </w:p>
    <w:p>
      <w:pPr>
        <w:spacing w:before="0" w:after="120"/>
      </w:pPr>
      <w:r>
        <w:rPr>
          <w:b/>
        </w:rPr>
        <w:t xml:space="preserve">Notes: </w:t>
      </w:r>
      <w:r>
        <w:t>abstract_source=semanticscholar</w:t>
      </w:r>
    </w:p>
    <w:p>
      <w:pPr>
        <w:spacing w:before="0" w:after="80" w:lineRule="auto" w:line="276"/>
      </w:pPr>
      <w:r>
        <w:rPr>
          <w:b/>
        </w:rPr>
        <w:t xml:space="preserve">摘要（ZH）: </w:t>
      </w:r>
      <w:r>
        <w:t>由于高可靠性和低维护需求，无刷同步发电机（BLSG）被广泛应用于从小型发电机组到大容量汽轮发电机的诸多场合。在BLSG中，通常无法直接测量励磁电流及其电压。因此，准确估计这些量对于状态监测、状态和参数估计、控制与保护至关重要。本文提出了一种基于含未知输入的扩展卡尔曼滤波器（EKF-UI）的励磁电流估计新方法。该方法将励磁电压视为未知输入，用于配备同步励磁系统的BLSG的励磁电流估计。所提方法通过多个案例研究进行了验证，包括开环和闭环控制系统以及旋转整流器故障。实验和仿真结果表明，利用所提方法，可以在稳态和暂态下准确估计励磁电流。</w:t>
      </w:r>
    </w:p>
    <w:p>
      <w:pPr>
        <w:spacing w:before="0" w:after="200" w:lineRule="auto" w:line="276"/>
      </w:pPr>
      <w:r>
        <w:rPr>
          <w:b/>
        </w:rPr>
        <w:t xml:space="preserve">Abstract (EN): </w:t>
      </w:r>
      <w:r>
        <w:t>Owing to the high reliability and low maintenance requirement, brushless synchronous generators (BLSG) are used in many applications from small power generating sets to large-capacity turbo-generators. In BLSG, direct measurement of the field current and its voltage is normally not possible. Consequently, accurate estimation of these quantities is essential for condition monitoring, state and parameter estimation, control and protection purposes. In this paper, a new method based on extended Kalman filter with unknown input (EKF-UI) is proposed for estimation of field current. This method which considers the field voltage as an unknown input is used for field current estimation in BLSG equipped with synchronous excitation system. The proposed method is validated by several case studies, including open loop and closed loop control systems and rotating rectifier faults. The experimental and simulation results show that, using the proposed method, the field current can be accurately estimated in both steady states and transients.</w:t>
      </w:r>
    </w:p>
    <w:p>
      <w:pPr>
        <w:spacing w:before="120" w:after="120"/>
      </w:pPr>
      <w:r>
        <w:rPr>
          <w:sz w:val="18"/>
        </w:rPr>
        <w:t>——————————————————————————————————————————————————————————————————————</w:t>
      </w:r>
    </w:p>
    <w:p>
      <w:pPr>
        <w:spacing w:before="160" w:after="40" w:line="240" w:lineRule="auto"/>
      </w:pPr>
      <w:r>
        <w:rPr>
          <w:b/>
        </w:rPr>
        <w:t xml:space="preserve">[521] </w:t>
      </w:r>
      <w:hyperlink r:id="rId1369">
        <w:r>
          <w:rPr>
            <w:color w:val="1155CC"/>
            <w:u w:val="single"/>
          </w:rPr>
          <w:t>融合金属有机网络与氢键有机网络的杂化单晶介孔框架</w:t>
        </w:r>
      </w:hyperlink>
    </w:p>
    <w:p>
      <w:pPr>
        <w:spacing w:before="0" w:after="80"/>
      </w:pPr>
      <w:r>
        <w:rPr>
          <w:i/>
          <w:sz w:val="20"/>
        </w:rPr>
        <w:t>EN: Hybrid Single‐Crystalline Mesoporous Frameworks Merging Metal–Organic and Hydrogen‐Bonded Organic Networks</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370">
        <w:r>
          <w:rPr>
            <w:color w:val="1155CC"/>
            <w:u w:val="single"/>
          </w:rPr>
          <w:t>10.1002/anie.8195696</w:t>
        </w:r>
      </w:hyperlink>
    </w:p>
    <w:p>
      <w:pPr>
        <w:spacing w:before="0" w:after="120"/>
      </w:pPr>
      <w:r>
        <w:rPr>
          <w:b/>
        </w:rPr>
        <w:t xml:space="preserve">Notes: </w:t>
      </w:r>
      <w:r>
        <w:t>abstract_source=crossref</w:t>
      </w:r>
    </w:p>
    <w:p>
      <w:pPr>
        <w:spacing w:before="0" w:after="80" w:lineRule="auto" w:line="276"/>
      </w:pPr>
      <w:r>
        <w:rPr>
          <w:b/>
        </w:rPr>
        <w:t xml:space="preserve">摘要（ZH）: </w:t>
      </w:r>
      <w:r>
        <w:t>摘要 介孔材料是多孔材料中的重要一类；然而，如何系统性地合成融合金属-有机网络与氢键有机网络的混合单晶介孔框架仍是一项巨大挑战。本文报道了一种混合融合网络策略，将超分子氢键有机网络与单晶介孔金属-有机框架（MOF）相结合，在不牺牲固有介孔性的前提下显著增强了结构稳健性。含吡啶的羧酸连接体与含铁三核簇的组装得到了具有（6,6）连接的 6 2 T44 网络的 M-PPB，其中相邻连接体之间的定向 O─H⋯N 氢键形成一维氢键网络。与不稳定的母体（4,6）连接 stp-MOF 相比，融合了金属-有机与氢键有机网络的 M-PPB 表现出更强的稳健性并实现了完全孔隙率，其孔体积为 1.58 cm 3 g − 1 。我们进一步采用同网状扩展策略合成了扩展型 MOF——M-PPPB，其介孔尺寸约为 4.2 nm，孔体积高达 2.77 cm 3 g − 1 。凭借其超高的孔隙率，M-PPPB 在 159 K 和 10 bar 条件下的甲烷吸附量达 1.047 g g − 1 ，几乎是 M-PPB 的两倍，而其在 77 K 和 100 bar 条件下的氢气吸附量提高了约 50%。</w:t>
      </w:r>
    </w:p>
    <w:p>
      <w:pPr>
        <w:spacing w:before="0" w:after="200" w:lineRule="auto" w:line="276"/>
      </w:pPr>
      <w:r>
        <w:rPr>
          <w:b/>
        </w:rPr>
        <w:t xml:space="preserve">Abstract (EN): </w:t>
      </w:r>
      <w:r>
        <w:t>Mesoporous materials represent an important class of porous materials; however, it remains a great challenge to systematically synthesize hybrid single‐crystalline mesoporous frameworks merging metal–organic and hydrogen‐bonded organic networks. Herein, we report a hybrid merged‐net strategy that integrates a supramolecular hydrogen‐bonded organic network with a single‐crystalline mesoporous metal–organic framework (MOF), significantly enhancing structural robustness without sacrificing intrinsic mesoporosity. The assembly of pyridine‐containing carboxylate linkers and iron‐containing trinuclear clusters affords M‐PPB featuring the (6,6)‐connected 6 2 T44 net, in which directional O─H⋯N hydrogen bonds between adjacent linkers form a one‐dimensional hydrogen‐bonded network. In contrast to the unstable parent (4,6)‐connected stp ‐MOF, M‐PPB—merging metal–organic and hydrogen‐bonded organic networks—exhibits enhanced robustness and achieves full porosity, displaying a pore volume of 1.58 cm 3 g − 1 . We further apply an isoreticular expansion strategy to synthesize extended MOFs—M‐PPPB—containing mesopores of about 4.2 nm and exhibiting a pore volume of up to 2.77 cm 3 g − 1 . On account of its ultrahigh porosity, M‐PPPB exhibits a methane uptake of 1.047 g g − 1 at 159 K and 10 bar, nearly twice that of M‐PPB, while its hydrogen uptake at 77 K and 100 bar increases by about 50%.</w:t>
      </w:r>
    </w:p>
    <w:p>
      <w:pPr>
        <w:spacing w:before="120" w:after="120"/>
      </w:pPr>
      <w:r>
        <w:rPr>
          <w:sz w:val="18"/>
        </w:rPr>
        <w:t>——————————————————————————————————————————————————————————————————————</w:t>
      </w:r>
    </w:p>
    <w:p>
      <w:pPr>
        <w:spacing w:before="160" w:after="40" w:line="240" w:lineRule="auto"/>
      </w:pPr>
      <w:r>
        <w:rPr>
          <w:b/>
        </w:rPr>
        <w:t xml:space="preserve">[522] </w:t>
      </w:r>
      <w:hyperlink r:id="rId1371">
        <w:r>
          <w:rPr>
            <w:color w:val="1155CC"/>
            <w:u w:val="single"/>
          </w:rPr>
          <w:t>基于二氢卟吩类小分子敏化剂的超声触发原位疫苗用于全身性癌症治疗</w:t>
        </w:r>
      </w:hyperlink>
    </w:p>
    <w:p>
      <w:pPr>
        <w:spacing w:before="0" w:after="80"/>
      </w:pPr>
      <w:r>
        <w:rPr>
          <w:i/>
          <w:sz w:val="20"/>
        </w:rPr>
        <w:t>EN: Sono‐Triggered In Situ Vaccine via a Chlorin‐Based Small Molecule Sensitizer for Systemic Cancer Therapy</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372">
        <w:r>
          <w:rPr>
            <w:color w:val="1155CC"/>
            <w:u w:val="single"/>
          </w:rPr>
          <w:t>10.1002/anie.8129050</w:t>
        </w:r>
      </w:hyperlink>
    </w:p>
    <w:p>
      <w:pPr>
        <w:spacing w:before="0" w:after="120"/>
      </w:pPr>
      <w:r>
        <w:rPr>
          <w:b/>
        </w:rPr>
        <w:t xml:space="preserve">Notes: </w:t>
      </w:r>
      <w:r>
        <w:t>abstract_source=crossref</w:t>
      </w:r>
    </w:p>
    <w:p>
      <w:pPr>
        <w:spacing w:before="0" w:after="80" w:lineRule="auto" w:line="276"/>
      </w:pPr>
      <w:r>
        <w:rPr>
          <w:b/>
        </w:rPr>
        <w:t xml:space="preserve">摘要（ZH）: </w:t>
      </w:r>
      <w:r>
        <w:t>摘要 单分子介导的声动力疗法（SDT）通过在肿瘤内实现协同的超声触发细胞毒性与原位疫苗样效应，为全身性抗击肿瘤提供了一种有前景的方法。尽管基于二氢卟吩类光敏剂的光疗已取得临床成功，但其在 SDT 中的转化受到超声（US）触发活性氧（ROS）生成不足的阻碍，导致免疫原性细胞死亡（ICD）欠佳及抗肿瘤免疫受损。为解决这一问题，我们基于天然产物衍生骨架——程海焦脱镁叶绿酸-a（CHPpa）——设计了两款有机声敏剂。CHPpa-er 通过引入对甲苯磺酰胺基团实现对内质网（ER）的特异性靶向；其类似物 CHPpa-er-Asp 则额外功能化有天冬氨酸以调节分子极性。值得注意的是，尽管两者仅相差一个药效团，它们在靶蛋白（K ATP 通道）结合及细胞内转运方面表现出截然不同的特性，凸显了合理分子设计的关键影响。作为先导候选物，CHPpa-er 在 US 下引发精确的管腔内 ROS 爆发，诱导严重的 ER 应激和强效 ICD。在两种临床前肿瘤模型中，CHPpa-er 介导的 SDT 通过激发强效的全身抗肿瘤免疫，有效抑制了原发肿瘤生长与转移。本工作提出了一种单分子声敏剂策略，将 SDT 从局部治疗手段转变为全身性干预，提供了一个可转化的平台</w:t>
      </w:r>
    </w:p>
    <w:p>
      <w:pPr>
        <w:spacing w:before="0" w:after="200" w:lineRule="auto" w:line="276"/>
      </w:pPr>
      <w:r>
        <w:rPr>
          <w:b/>
        </w:rPr>
        <w:t xml:space="preserve">Abstract (EN): </w:t>
      </w:r>
      <w:r>
        <w:t>Unimolecule‐mediated sonodynamic therapy (SDT) offers a promising approach to combat tumors systemically by enabling synergistic sono‐triggered cytotoxicity and in situ vaccine‐like effects within tumors. Although chlorin‐based sensitizers have achieved clinical success in phototherapy, their translation to SDT has been impeded by inadequate ultrasound (US)‐triggered reactive oxygen species (ROS) generation, leading to suboptimal immunogenic cell death (ICD) and compromised antitumor immunity. To address this, we designed two organic sonosensitizers based on the natural product‐derived scaffold, Chenghai pyropheophorbide‐a (CHPpa). CHPpa‐er was constructed by appending a p ‐toluenesulfonamide group for specific endoplasmic reticulum (ER) targeting. Its analogue, CHPpa‐er‐Asp, was additionally functionalized with aspartic acid to modulate molecular polarity. Remarkably, despite differing by only one pharmacophore, the two compounds exhibited profoundly distinct profiles in target protein (K ATP channel) engagement and intracellular trafficking, highlighting the critical impact of rational molecular design. As the lead candidate, CHPpa‐er elicited precise, intraluminal ROS bursts under US, inducing severe ER stress and robust ICD. In two preclinical tumor models, CHPpa‐er‐mediated SDT effectively suppressed both primary tumor growth and metastasis by provoking potent systemic antitumor immunity. This work introduced a unimolecular sonosensitizer strategy that transformed SDT from a localized modality into a systemic intervention, offering a translatable platform for comprehensive cancer therapy.</w:t>
      </w:r>
    </w:p>
    <w:p>
      <w:pPr>
        <w:spacing w:before="120" w:after="120"/>
      </w:pPr>
      <w:r>
        <w:rPr>
          <w:sz w:val="18"/>
        </w:rPr>
        <w:t>——————————————————————————————————————————————————————————————————————</w:t>
      </w:r>
    </w:p>
    <w:p>
      <w:pPr>
        <w:spacing w:before="160" w:after="40" w:line="240" w:lineRule="auto"/>
      </w:pPr>
      <w:r>
        <w:rPr>
          <w:b/>
        </w:rPr>
        <w:t xml:space="preserve">[523] </w:t>
      </w:r>
      <w:hyperlink r:id="rId1373">
        <w:r>
          <w:rPr>
            <w:color w:val="1155CC"/>
            <w:u w:val="single"/>
          </w:rPr>
          <w:t>关于IEC 60034-2-1标准在自起动同步磁阻电机中的应用</w:t>
        </w:r>
      </w:hyperlink>
    </w:p>
    <w:p>
      <w:pPr>
        <w:spacing w:before="0" w:after="80"/>
      </w:pPr>
      <w:r>
        <w:rPr>
          <w:i/>
          <w:sz w:val="20"/>
        </w:rPr>
        <w:t>EN: On the Application of the IEC 60034-2-1 Standard to Line-Start Synchronous Reluctance Motors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74">
        <w:r>
          <w:rPr>
            <w:color w:val="1155CC"/>
            <w:u w:val="single"/>
          </w:rPr>
          <w:t>10.1109/tec.2026.3664355</w:t>
        </w:r>
      </w:hyperlink>
    </w:p>
    <w:p>
      <w:pPr>
        <w:spacing w:before="0" w:after="120"/>
      </w:pPr>
      <w:r>
        <w:rPr>
          <w:b/>
        </w:rPr>
        <w:t xml:space="preserve">Notes: </w:t>
      </w:r>
      <w:r>
        <w:t>abstract_source=semanticscholar</w:t>
      </w:r>
    </w:p>
    <w:p>
      <w:pPr>
        <w:spacing w:before="0" w:after="80" w:lineRule="auto" w:line="276"/>
      </w:pPr>
      <w:r>
        <w:rPr>
          <w:b/>
        </w:rPr>
        <w:t xml:space="preserve">摘要（ZH）: </w:t>
      </w:r>
      <w:r>
        <w:t>IEC 60034-2-1 标准未规定三相线启动同步磁阻电机（LS-SynRM）的测试方法。虽然直接输入-输出法易于应用，但该标准并未说明如何将损耗修正到参考环境温度。本文分析了 IEC 60034-2-1 标准中规定的方法对 LS-SynRM 的适用性，评估了环境温度对 LS-SynRM 满载效率的影响。本文提出了一种电机损耗分离方法，以及将定子绕组平均温度和损耗修正至参考环境温度的方法，确保无论测试实验室的环境温度如何，都能准确测定电机标称的满载效率。文中给出了在两台商用 LS-SynRM 上开展实验的结果。研究发现，将环境温度从 45 °C 降至 5 °C 可使被测 LS-SynRM 的满载效率提高超过 1 个百分点，这主要归因于定子绕组损耗的降低。因此，电机制造商可考虑在较低环境温度下测试此类电机，以获得更高的效率等级。因此，有必要定义一种将定子绕组导通损耗修正至 25 °C 标准参考环境温度的 LS-SynRM 效率测定方法。本文旨在提供有助于克服 IEC 60034-2-1 标准在效率方面</w:t>
      </w:r>
    </w:p>
    <w:p>
      <w:pPr>
        <w:spacing w:before="0" w:after="200" w:lineRule="auto" w:line="276"/>
      </w:pPr>
      <w:r>
        <w:rPr>
          <w:b/>
        </w:rPr>
        <w:t xml:space="preserve">Abstract (EN): </w:t>
      </w:r>
      <w:r>
        <w:t>The IEC 60034-2-1 standard does not specify a method for three-phase line-start synchronous motors (LS-SynRMs). Although the direct input-output method can be easily applied, it does not specify how to correct the losses to a reference ambient temperature. This paper analyzes the applicability of the methods specified in the IEC 60034-2-1 standard to LS-SynRMs. The impact of ambient temperature on the full-load efficiency of LS-SynRMs is assessed. A method for segregating motor losses and correcting the average temperature and losses of the stator windings to a reference ambient temperature is proposed, ensuring that the stated full-load efficiency of the motor is determined accurately regardless of the ambient temperature in the laboratory where the tests are performed. Results from experiments conducted on two commercial LS-SynRMs are provided. It was observed that reducing the ambient temperature from 45 °C to 5 °C may increase the full-load efficiency of the tested LS-SynRMs by more than 1 percentage point, mainly due to the reduction of stator winding losses. Consequently, a motor manufacturer may consider testing this type of motor at lower ambient temperatures to achieve a higher efficiency class. Therefore, it is necessary to define a method for determining the efficiency of LS-SynRMs that accounts for the correction of stator winding conduction losses to the standard reference ambient temperature of 25 °C. This paper intends to offer information that may contribute to overcoming the shortcomings and omissions of the IEC 60034-2-1 standard concerning the efficiency determination of LS-SynRMs, which is a relatively new technology on the market that is believed to be able to compete with line-operated induction motors in the low-power range, offering higher efficiency and constant operating speed.</w:t>
      </w:r>
    </w:p>
    <w:p>
      <w:pPr>
        <w:spacing w:before="120" w:after="120"/>
      </w:pPr>
      <w:r>
        <w:rPr>
          <w:sz w:val="18"/>
        </w:rPr>
        <w:t>——————————————————————————————————————————————————————————————————————</w:t>
      </w:r>
    </w:p>
    <w:p>
      <w:pPr>
        <w:spacing w:before="160" w:after="40" w:line="240" w:lineRule="auto"/>
      </w:pPr>
      <w:r>
        <w:rPr>
          <w:b/>
        </w:rPr>
        <w:t xml:space="preserve">[524] </w:t>
      </w:r>
      <w:hyperlink r:id="rId1375">
        <w:r>
          <w:rPr>
            <w:color w:val="1155CC"/>
            <w:u w:val="single"/>
          </w:rPr>
          <w:t>GFM变换器模式切换下GFL变换器的暂态稳定性</w:t>
        </w:r>
      </w:hyperlink>
    </w:p>
    <w:p>
      <w:pPr>
        <w:spacing w:before="0" w:after="80"/>
      </w:pPr>
      <w:r>
        <w:rPr>
          <w:i/>
          <w:sz w:val="20"/>
        </w:rPr>
        <w:t>EN: Transient Stability of GFL Converters Subjected to Mode Switching of GFM Converters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76">
        <w:r>
          <w:rPr>
            <w:color w:val="1155CC"/>
            <w:u w:val="single"/>
          </w:rPr>
          <w:t>10.1109/tec.2026.3676254</w:t>
        </w:r>
      </w:hyperlink>
    </w:p>
    <w:p>
      <w:pPr>
        <w:spacing w:before="0" w:after="120"/>
      </w:pPr>
      <w:r>
        <w:rPr>
          <w:b/>
        </w:rPr>
        <w:t xml:space="preserve">Notes: </w:t>
      </w:r>
      <w:r>
        <w:t>abstract_source=semanticscholar</w:t>
      </w:r>
    </w:p>
    <w:p>
      <w:pPr>
        <w:spacing w:before="0" w:after="80" w:lineRule="auto" w:line="276"/>
      </w:pPr>
      <w:r>
        <w:rPr>
          <w:b/>
        </w:rPr>
        <w:t xml:space="preserve">摘要（ZH）: </w:t>
      </w:r>
      <w:r>
        <w:t>将构网型变换器（GFMC）集成到以跟网型变换器（GFLC）为主导的电力系统中可增强电网强度，但 GFMC 的限流特性会触发恒压控制（CVC）与限流控制（CLC）之间的动态模式切换。该切换特性给 GFLC 带来了关键的暂态稳定风险，亟需深入研究。本文首先建立了该切换系统的数学模型，随后推导了下垂控制 GFMC 的模式切换条件，该条件分别与 GFMC 功角和 GFLC 功角相关。在此基础上，分析了各子系统中 GFLC 的稳定边界，并研究了由 GFLC 功角振荡引发的 GFMC 模式切换的影响。研究结果表明，切换系统的稳定边界与 CLC 子系统的稳定边界重合。为增强 GFLC 的暂态稳定性并确保 GFMC 收敛至 CVC 模式，本文提出了一种虚拟固定 d 轴控制（VFDC）策略。与现有方法相比，该方法仅利用各变换器的本地状态变量即可实现解耦与自稳定。结论通过仿真和控制器硬件在环（Controller Hardware-in-the-Loop）测试得到了验证。</w:t>
      </w:r>
    </w:p>
    <w:p>
      <w:pPr>
        <w:spacing w:before="0" w:after="200" w:lineRule="auto" w:line="276"/>
      </w:pPr>
      <w:r>
        <w:rPr>
          <w:b/>
        </w:rPr>
        <w:t xml:space="preserve">Abstract (EN): </w:t>
      </w:r>
      <w:r>
        <w:t>Integrating grid-forming converters (GFMCs) into grid-following converter (GFLC)-dominated power systems enhances the grid strength, but GFMCs’ current-limiting characteristic triggers dynamic mode switching between constant voltage control (CVC) and current limit control (CLC). This switching feature poses critical transient stability risks to GFLCs, requiring urgent investigation. This paper first develops a mathematical model for this switched system. Then, it derives mode switching conditions for droop-controlled GFMCs, which are separately GFMC angle-dependent and GFLC angle-dependent. On this basis, the stability boundaries of GFLC within each subsystem are analyzed, and the impact of GFMC mode switching arising from GFLC angle oscillation is investigated. The findings reveal that the switched system's stability boundary coincides with that of the CLC subsystem. To enhance GFLC's transient stability and ensure GFMC converges to the CVC mode, this paper introduces a virtual fixed d-axis control (VFDC) strategy. Compared with existing methods, this method achieves decoupling and self-stabilization using only local state variables from individual converters. The conclusions are validated through simulations and Controller Hardware-in-the-Loop tests.</w:t>
      </w:r>
    </w:p>
    <w:p>
      <w:pPr>
        <w:spacing w:before="120" w:after="120"/>
      </w:pPr>
      <w:r>
        <w:rPr>
          <w:sz w:val="18"/>
        </w:rPr>
        <w:t>——————————————————————————————————————————————————————————————————————</w:t>
      </w:r>
    </w:p>
    <w:p>
      <w:pPr>
        <w:spacing w:before="160" w:after="40" w:line="240" w:lineRule="auto"/>
      </w:pPr>
      <w:r>
        <w:rPr>
          <w:b/>
        </w:rPr>
        <w:t xml:space="preserve">[525] </w:t>
      </w:r>
      <w:hyperlink r:id="rId1377">
        <w:r>
          <w:rPr>
            <w:color w:val="1155CC"/>
            <w:u w:val="single"/>
          </w:rPr>
          <w:t>采用发卡绕组的内置式永磁同步电机白盒高频建模</w:t>
        </w:r>
      </w:hyperlink>
    </w:p>
    <w:p>
      <w:pPr>
        <w:spacing w:before="0" w:after="80"/>
      </w:pPr>
      <w:r>
        <w:rPr>
          <w:i/>
          <w:sz w:val="20"/>
        </w:rPr>
        <w:t>EN: White-Box High-Frequency Modeling of Interior Permanent Magnet Synchronous Machines With Hairpin Windings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78">
        <w:r>
          <w:rPr>
            <w:color w:val="1155CC"/>
            <w:u w:val="single"/>
          </w:rPr>
          <w:t>10.1109/tec.2026.3683131</w:t>
        </w:r>
      </w:hyperlink>
    </w:p>
    <w:p>
      <w:pPr>
        <w:spacing w:before="0" w:after="120"/>
      </w:pPr>
      <w:r>
        <w:rPr>
          <w:b/>
        </w:rPr>
        <w:t xml:space="preserve">Notes: </w:t>
      </w:r>
      <w:r>
        <w:t>abstract_source=semanticscholar</w:t>
      </w:r>
    </w:p>
    <w:p>
      <w:pPr>
        <w:spacing w:before="0" w:after="80" w:lineRule="auto" w:line="276"/>
      </w:pPr>
      <w:r>
        <w:rPr>
          <w:b/>
        </w:rPr>
        <w:t xml:space="preserve">摘要（ZH）: </w:t>
      </w:r>
      <w:r>
        <w:t>本文进一步详细阐述了基于小信号时谐有限元分析方法为扁线绕组内置式永磁同步电机（IPMSM）构建高频（HF）白箱模型的过程。该模型采用随直流偏置磁感应强度和频率变化的复数差分磁阻率张量，能够精确模拟电工钢片中的磁滞、涡流和饱和效应。为提高建模精度，采用三维有限元方法计算了端部绕组的频变电阻和漏电感。更重要的是，本研究结合仿真与实验方法，详细对比分析了浸渍对电机寄生电容及高频阻抗特性的影响，以及转子存在与否及其位置对电机高频阻抗特性的影响。实验结果验证了本文所建立的模型能够在设计阶段准确预测扁线绕组 IPMSM 的差模和共模阻抗特性。</w:t>
      </w:r>
    </w:p>
    <w:p>
      <w:pPr>
        <w:spacing w:before="0" w:after="200" w:lineRule="auto" w:line="276"/>
      </w:pPr>
      <w:r>
        <w:rPr>
          <w:b/>
        </w:rPr>
        <w:t xml:space="preserve">Abstract (EN): </w:t>
      </w:r>
      <w:r>
        <w:t>This paper further details the process of constructing a high-frequency (HF) white-box model for interior permanent magnet synchronous machines (IPMSMs) with hairpin windings based on the small-signal time-harmonic finite element analysis method. The model employs complex differential reluctivity tensors that vary with dc-biased magnetic induction and frequency, enabling accurate simulation of hysteresis, eddy current, and saturation effects in electrical steel sheets. To enhance modeling accuracy, the frequency-dependent resistance and leakage inductance of the end windings are calculated using the three-dimensional finite element method. More importantly, this study combines simulation and experimental methods to conduct a detailed comparative analysis of the influence of impregnation on motor parasitic capacitance and HF impedance characteristics, as well as the impact of rotor presence and position on motor HF impedance characteristics. Experimental results validate that the model established in this paper can accurately predict the differential-mode and common-mode impedance characteristics of IPMSMs with hairpin windings during the design stage.</w:t>
      </w:r>
    </w:p>
    <w:p>
      <w:pPr>
        <w:spacing w:before="120" w:after="120"/>
      </w:pPr>
      <w:r>
        <w:rPr>
          <w:sz w:val="18"/>
        </w:rPr>
        <w:t>——————————————————————————————————————————————————————————————————————</w:t>
      </w:r>
    </w:p>
    <w:p>
      <w:pPr>
        <w:spacing w:before="160" w:after="40" w:line="240" w:lineRule="auto"/>
      </w:pPr>
      <w:r>
        <w:rPr>
          <w:b/>
        </w:rPr>
        <w:t xml:space="preserve">[526] </w:t>
      </w:r>
      <w:hyperlink r:id="rId1379">
        <w:r>
          <w:rPr>
            <w:color w:val="1155CC"/>
            <w:u w:val="single"/>
          </w:rPr>
          <w:t>考虑速度与电流约束的PMSM伺服系统增强型连续终端滑模位置控制</w:t>
        </w:r>
      </w:hyperlink>
    </w:p>
    <w:p>
      <w:pPr>
        <w:spacing w:before="0" w:after="80"/>
      </w:pPr>
      <w:r>
        <w:rPr>
          <w:i/>
          <w:sz w:val="20"/>
        </w:rPr>
        <w:t>EN: Enhanced Continuous Terminal Sliding Mode Position Control for PMSM Servo Systems Considering Speed and Current Constraints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80">
        <w:r>
          <w:rPr>
            <w:color w:val="1155CC"/>
            <w:u w:val="single"/>
          </w:rPr>
          <w:t>10.1109/tec.2026.3668758</w:t>
        </w:r>
      </w:hyperlink>
    </w:p>
    <w:p>
      <w:pPr>
        <w:spacing w:before="0" w:after="120"/>
      </w:pPr>
      <w:r>
        <w:rPr>
          <w:b/>
        </w:rPr>
        <w:t xml:space="preserve">Notes: </w:t>
      </w:r>
      <w:r>
        <w:t>abstract_source=semanticscholar</w:t>
      </w:r>
    </w:p>
    <w:p>
      <w:pPr>
        <w:spacing w:before="0" w:after="80" w:lineRule="auto" w:line="276"/>
      </w:pPr>
      <w:r>
        <w:rPr>
          <w:b/>
        </w:rPr>
        <w:t xml:space="preserve">摘要（ZH）: </w:t>
      </w:r>
      <w:r>
        <w:t>在高精度永磁同步电机（PMSM）伺服应用中，必需在多源扰动下约束速度和电流的同时，实现快速而精确的定位控制。为实现这一目标，本文提出了一种基于复合控制屏障函数（CBF）的增强终端滑模控制（TSMC）策略。首先，设计了两个有限时间广义比例积分观测器（FTGPIO），用于 PMSM 伺服系统中匹配与不匹配扰动的估计。通过捕捉扰动及其高阶导数，FTGPIO 具有卓越的估计精度，且有限时间收敛确保了误差的快速减小。然后，构建了扰动补偿的有限时间 TSMC 方法以实现有限时间位置跟踪稳定。同时，设计了集成扰动的鲁棒 CBF 技术进行实时优化，有效限制定位过程中的速度和电流偏差。最后，通过严格的稳定性分析以及全面的仿真与实验对比，验证了所提方法的有效性。</w:t>
      </w:r>
    </w:p>
    <w:p>
      <w:pPr>
        <w:spacing w:before="0" w:after="200" w:lineRule="auto" w:line="276"/>
      </w:pPr>
      <w:r>
        <w:rPr>
          <w:b/>
        </w:rPr>
        <w:t xml:space="preserve">Abstract (EN): </w:t>
      </w:r>
      <w:r>
        <w:t>In high-precision permanent magnet synchronous motor (PMSM) servo applications, it is essential to achieve both rapid and accurate positioning control while constraining the speed and current under multi-source disturbances. To achieve this objective, this paper proposes a composite control barrier function (CBF)-based enhanced terminal sliding mode control (TSMC) strategy. First, two finite-time generalized proportional integral observers (FTGPIOs) are designed for matched and unmatched disturbance estimation in PMSM servo systems. By capturing disturbances and their high-order derivatives, FTGPIOs deliver superior estimation accuracy, with finite-time convergence ensuring fast error reduction. Then, a disturbance-compensated finite-time TSMC approach is constructed for finite-time position tracking stability. Meanwhile, a disturbance-integrated robust CBF technique is designed for real-time optimization, effectively limiting speed and current deviations during positioning. Finally, the effectiveness of the proposed method is validated via rigorous stability analysis as well as comprehensive simulation and experimental comparisons.</w:t>
      </w:r>
    </w:p>
    <w:p>
      <w:pPr>
        <w:spacing w:before="120" w:after="120"/>
      </w:pPr>
      <w:r>
        <w:rPr>
          <w:sz w:val="18"/>
        </w:rPr>
        <w:t>——————————————————————————————————————————————————————————————————————</w:t>
      </w:r>
    </w:p>
    <w:p>
      <w:pPr>
        <w:spacing w:before="160" w:after="40" w:line="240" w:lineRule="auto"/>
      </w:pPr>
      <w:r>
        <w:rPr>
          <w:b/>
        </w:rPr>
        <w:t xml:space="preserve">[527] </w:t>
      </w:r>
      <w:hyperlink r:id="rId1381">
        <w:r>
          <w:rPr>
            <w:color w:val="1155CC"/>
            <w:u w:val="single"/>
          </w:rPr>
          <w:t>基于双幂次组合趋近律的永磁同步电机两阶段变论域模糊无模型滑模控制</w:t>
        </w:r>
      </w:hyperlink>
    </w:p>
    <w:p>
      <w:pPr>
        <w:spacing w:before="0" w:after="80"/>
      </w:pPr>
      <w:r>
        <w:rPr>
          <w:i/>
          <w:sz w:val="20"/>
        </w:rPr>
        <w:t>EN: Two-Stage Variable Universe Fuzzy Model-Free Sliding Mode Control of Permanent Magnet Synchronous Motor Based on Double-Power-Combination Reaching Law</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82">
        <w:r>
          <w:rPr>
            <w:color w:val="1155CC"/>
            <w:u w:val="single"/>
          </w:rPr>
          <w:t>10.1109/tec.2026.3678392</w:t>
        </w:r>
      </w:hyperlink>
    </w:p>
    <w:p>
      <w:pPr>
        <w:spacing w:before="0" w:after="120"/>
      </w:pPr>
      <w:r>
        <w:rPr>
          <w:b/>
        </w:rPr>
        <w:t xml:space="preserve">Notes: </w:t>
      </w:r>
      <w:r>
        <w:t>abstract_source=semanticscholar</w:t>
      </w:r>
    </w:p>
    <w:p>
      <w:pPr>
        <w:spacing w:before="0" w:after="80" w:lineRule="auto" w:line="276"/>
      </w:pPr>
      <w:r>
        <w:rPr>
          <w:b/>
        </w:rPr>
        <w:t xml:space="preserve">摘要（ZH）: </w:t>
      </w:r>
      <w:r>
        <w:t>针对永磁同步电机(PMSM)参数变化和外部负载扰动导致实际运行中系统控制性能下降的问题,本文提出一种基于双幂次组合趋近律(DPCRL)的PMSM两阶段变论域模糊(TSVUF)无模型滑模控制方法。首先,根据参数摄动下PMSM的数学模型,建立了电机转速环的全新超局部模型。其次,设计了转速环的无模型双幂次组合趋近律滑模控制器(MFDPSMC),并设计了TSVUF扩展滑模扰动观测器(ESMDO)来观测超局部模型的未知部分,利用观测值对系统进行补偿。采用TSVUF控制方法动态调整ESMDO的趋近律增益,提高了观测器的观测性能。最后,实验结果表明,所提控制方法有效提高了系统的响应速度和抗干扰能力。</w:t>
      </w:r>
    </w:p>
    <w:p>
      <w:pPr>
        <w:spacing w:before="0" w:after="200" w:lineRule="auto" w:line="276"/>
      </w:pPr>
      <w:r>
        <w:rPr>
          <w:b/>
        </w:rPr>
        <w:t xml:space="preserve">Abstract (EN): </w:t>
      </w:r>
      <w:r>
        <w:t>Aiming at the problem that the parameter variation and external load disturbance of permanent magnet synchronous motor (PMSM) lead to the decrease of system control performance in actual operation, a two-stage variable universe fuzzy (TSVUF) model-free sliding mode control method of PMSM based on double-power-combination reaching law (DPCRL) is proposed in this paper. Firstly, a new ultra-local model of the motor speed loop is established according to the mathematical model of the PMSM under parameter perturbation. Secondly, a model-free double-power-combination reaching law sliding mode controller (MFDPSMC) for the speed loop is designed, and a TSVUF extended sliding mode disturbance observer (ESMDO) is designed to observe the unknown part of the ultra-local model, and the observed value is used to compensate the system. The TSVUF control method is used to dynamically adjust the reaching law gain of the ESMDO, which improves the observation performance of the observer. Finally, the experimental results show that the proposed control method effectively improves the response speed and anti-interference ability of the system.</w:t>
      </w:r>
    </w:p>
    <w:p>
      <w:pPr>
        <w:spacing w:before="120" w:after="120"/>
      </w:pPr>
      <w:r>
        <w:rPr>
          <w:sz w:val="18"/>
        </w:rPr>
        <w:t>——————————————————————————————————————————————————————————————————————</w:t>
      </w:r>
    </w:p>
    <w:p>
      <w:pPr>
        <w:spacing w:before="160" w:after="40" w:line="240" w:lineRule="auto"/>
      </w:pPr>
      <w:r>
        <w:rPr>
          <w:b/>
        </w:rPr>
        <w:t xml:space="preserve">[528] </w:t>
      </w:r>
      <w:hyperlink r:id="rId1383">
        <w:r>
          <w:rPr>
            <w:color w:val="1155CC"/>
            <w:u w:val="single"/>
          </w:rPr>
          <w:t>IPMSM传动系统的一种鲁棒在线编码器容错控制策略</w:t>
        </w:r>
      </w:hyperlink>
    </w:p>
    <w:p>
      <w:pPr>
        <w:spacing w:before="0" w:after="80"/>
      </w:pPr>
      <w:r>
        <w:rPr>
          <w:i/>
          <w:sz w:val="20"/>
        </w:rPr>
        <w:t>EN: A Robust Online Encoder Fault Tolerant Control Strategy for IPMSM Drives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84">
        <w:r>
          <w:rPr>
            <w:color w:val="1155CC"/>
            <w:u w:val="single"/>
          </w:rPr>
          <w:t>10.1109/tec.2026.3663593</w:t>
        </w:r>
      </w:hyperlink>
    </w:p>
    <w:p>
      <w:pPr>
        <w:spacing w:before="0" w:after="120"/>
      </w:pPr>
      <w:r>
        <w:rPr>
          <w:b/>
        </w:rPr>
        <w:t xml:space="preserve">Notes: </w:t>
      </w:r>
      <w:r>
        <w:t>abstract_source=semanticscholar</w:t>
      </w:r>
    </w:p>
    <w:p>
      <w:pPr>
        <w:spacing w:before="0" w:after="80" w:lineRule="auto" w:line="276"/>
      </w:pPr>
      <w:r>
        <w:rPr>
          <w:b/>
        </w:rPr>
        <w:t xml:space="preserve">摘要（ZH）: </w:t>
      </w:r>
      <w:r>
        <w:t>本文研究了一种用于内置式永磁同步电机(IPMSM)驱动系统的新型编码器容错控制(FTC)机制,以确保在编码器故障情况下IPMSM仍能继续运行。所提方法采用一种降抖振滑模观测器,用平滑的双曲正切函数替代传统的符号函数,提高了转速和位置估计的精度与鲁棒性。此外,电流环和转速环均采用积分终端滑模(ITSM)控制律,以确保精确的跟踪控制目标。最后,通过基于残差的阈值策略监测实测转速与估计转速之间的偏差来实现编码器故障诊断。发生故障时,重构机制选择估计转速作为转速控制环的反馈,使整个驱动系统继续运行。文中显式分析了驱动系统在非故障、暂态和重构三个运行阶段的闭环稳定性。在IPMSM试验台上的实验结果(包括与典型方法的全面对比)证明了所提FTC策略在突发型、间歇型和早期型等最可能的故障类型下的有效性。</w:t>
      </w:r>
    </w:p>
    <w:p>
      <w:pPr>
        <w:spacing w:before="0" w:after="200" w:lineRule="auto" w:line="276"/>
      </w:pPr>
      <w:r>
        <w:rPr>
          <w:b/>
        </w:rPr>
        <w:t xml:space="preserve">Abstract (EN): </w:t>
      </w:r>
      <w:r>
        <w:t>A novel encoder fault-tolerant-control (FTC) mechanism for interior permanent magnet synchronous motor (IPMSM) drives is investigated in this paper to ensure the IPMSM continues to operate in the event of an encoder fault. The proposed approach features a chattering-reduced sliding mode observer that replaces the conventional signum function with a smooth hyperbolic tangent function, enhancing the accuracy and robustness of speed and position estimation. In addition, an integral terminal sliding mode (ITSM) control law is adopted for both current and speed control-loops to ensure precise tracking control objective. Eventually, the encoder fault diagnosis is achieved through a residual-based threshold strategy that monitors the deviation between measured and estimated speeds. In the event of a fault, the reconfiguration mechanism chooses the estimated speed as feedback to the speed control-loop so that the overall drive system continues to operate. The closed-loop stability under three phases of drive operation such as non-faulty, transient, and reconfiguration is explicitly analyzed. Experimental results on an IPMSM testbench, including comprehensive comparisons with typical methods demonstrate the effectiveness of proposed FTC strategy under the most possible types of faults such as abrupt, intermittent, and incipient.</w:t>
      </w:r>
    </w:p>
    <w:p>
      <w:pPr>
        <w:spacing w:before="120" w:after="120"/>
      </w:pPr>
      <w:r>
        <w:rPr>
          <w:sz w:val="18"/>
        </w:rPr>
        <w:t>——————————————————————————————————————————————————————————————————————</w:t>
      </w:r>
    </w:p>
    <w:p>
      <w:pPr>
        <w:spacing w:before="160" w:after="40" w:line="240" w:lineRule="auto"/>
      </w:pPr>
      <w:r>
        <w:rPr>
          <w:b/>
        </w:rPr>
        <w:t xml:space="preserve">[529] </w:t>
      </w:r>
      <w:hyperlink r:id="rId1385">
        <w:r>
          <w:rPr>
            <w:color w:val="1155CC"/>
            <w:u w:val="single"/>
          </w:rPr>
          <w:t>基于双开关序列PWM的单直流母线分流电阻PMSM传动系统简易三相电流重构策略</w:t>
        </w:r>
      </w:hyperlink>
    </w:p>
    <w:p>
      <w:pPr>
        <w:spacing w:before="0" w:after="80"/>
      </w:pPr>
      <w:r>
        <w:rPr>
          <w:i/>
          <w:sz w:val="20"/>
        </w:rPr>
        <w:t>EN: Two-Switching-Sequence PWM-Based Simple Three-Phase Current Reconstruction Strategy for Single DC-Link Shunt PMSM Drives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86">
        <w:r>
          <w:rPr>
            <w:color w:val="1155CC"/>
            <w:u w:val="single"/>
          </w:rPr>
          <w:t>10.1109/tec.2026.3656349</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一种新颖的双开关序列脉宽调制(TSSPWM)策略,以解决单直流母线分流电阻永磁同步电机(PMSM)驱动系统的电流重构死区(CRDZ)问题。首先分析了TSSPWM与现有方法不同的开关导通序列和电压矢量合成原理。TSSPWM在一个开关周期内包含测量电压矢量和补偿电压矢量,具有对称PWM和周期中点电流采样结构。基于电流误差分析,利用该结构重构的相电流接近一个PWM周期的平均电流。然后,给出了TSSPWM的实现方法及其CRDZ。由于TSSPWM对不同CRDZ仅采用一种策略,因而具有内存占用小、运行速度快的特点。最后,实验结果表明,所提方法在各种运行工况下均比其他方法更轻量、更快速、更简单。</w:t>
      </w:r>
    </w:p>
    <w:p>
      <w:pPr>
        <w:spacing w:before="0" w:after="200" w:lineRule="auto" w:line="276"/>
      </w:pPr>
      <w:r>
        <w:rPr>
          <w:b/>
        </w:rPr>
        <w:t xml:space="preserve">Abstract (EN): </w:t>
      </w:r>
      <w:r>
        <w:t>This paper proposes a novel two-switching-sequence pulse width modulation (TSSPWM) strategy to solve the current reconstruction dead zone (CRDZ) problem for single DC-link shunt permanent magnet synchronous motor (PMSM) drives. The switch conduction sequence and voltage vector synthesis principles of TSSPWM are first analyzed, which is different from the existing methods. TSSPWM contains measured voltage vectors and compensated voltage vectors in one switching period. It has symmetric PWM and mid-cycle current sampling structure. Based on the current error analysis, the phase currents reconstructed using this structure are close to the average current of a PWM cycle. Then, the implementation and CRDZ of TSSPWM are also provided. Since TSSPWM only applies one strategy to different CRDZs, it has the characteristics of small memory footprint and fast running speed. Finally, the experimental results demonstrate that the proposed method is lighter, faster and simpler than other methods under various operating conditions.</w:t>
      </w:r>
    </w:p>
    <w:p>
      <w:pPr>
        <w:spacing w:before="120" w:after="120"/>
      </w:pPr>
      <w:r>
        <w:rPr>
          <w:sz w:val="18"/>
        </w:rPr>
        <w:t>——————————————————————————————————————————————————————————————————————</w:t>
      </w:r>
    </w:p>
    <w:p>
      <w:pPr>
        <w:spacing w:before="160" w:after="40" w:line="240" w:lineRule="auto"/>
      </w:pPr>
      <w:r>
        <w:rPr>
          <w:b/>
        </w:rPr>
        <w:t xml:space="preserve">[530] </w:t>
      </w:r>
      <w:hyperlink r:id="rId1387">
        <w:r>
          <w:rPr>
            <w:color w:val="1155CC"/>
            <w:u w:val="single"/>
          </w:rPr>
          <w:t>面向大规模电力系统规划的约束自适应强化学习</w:t>
        </w:r>
      </w:hyperlink>
    </w:p>
    <w:p>
      <w:pPr>
        <w:spacing w:before="0" w:after="80"/>
      </w:pPr>
      <w:r>
        <w:rPr>
          <w:i/>
          <w:sz w:val="20"/>
        </w:rPr>
        <w:t>EN: Constraint-Adaptive Reinforcement Learning for Large-Scale Power System Planning</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88">
        <w:r>
          <w:rPr>
            <w:color w:val="1155CC"/>
            <w:u w:val="single"/>
          </w:rPr>
          <w:t>10.1109/tpwrs.2026.3685010</w:t>
        </w:r>
      </w:hyperlink>
    </w:p>
    <w:p>
      <w:pPr>
        <w:spacing w:before="0" w:after="120"/>
      </w:pPr>
      <w:r>
        <w:rPr>
          <w:b/>
        </w:rPr>
        <w:t xml:space="preserve">Notes: </w:t>
      </w:r>
      <w:r>
        <w:t>abstract_source=semanticscholar</w:t>
      </w:r>
    </w:p>
    <w:p>
      <w:pPr>
        <w:spacing w:before="0" w:after="80" w:lineRule="auto" w:line="276"/>
      </w:pPr>
      <w:r>
        <w:rPr>
          <w:b/>
        </w:rPr>
        <w:t xml:space="preserve">摘要（ZH）: </w:t>
      </w:r>
      <w:r>
        <w:t>高比例可再生能源并网以及能源供需之间的空间错配增加了多区域电力系统规划的复杂性。规划中现有的人工智能技术包括可再生能源预测和需求预测,这些方法提高了混合整数线性规划(MILP)模型的输入保真度。然而,它们主要关注显式和可观测的参数。多区域规划还依赖于潜在且不可观测的区域间响应,此类潜在特征难以在MILP流程中捕捉。为解决这些局限性,我们提出约束自适应图卷积(CAG-C)强化学习(RL)模型,进行端到端策略优化。该规划问题被表述为有限时域马尔可夫决策过程,智能体迭代调整区域电力交换策略。图卷积网络编码空间和资源相关性,而约束自适应架构通过区域级缩放、功率平衡校正和成本最优传输分配将原始动作转换为可行方案。这种模块化设计将高维规划任务分解为可处理的子问题,在保证运行可行性的同时实现高效学习。数值结果表明,所提框架具有高度可扩展性和可解释性。随着训练的进行,不断演化的解轨迹揭示了每个区域功能角色的宝贵见解,为未来电力系统规划提供了一种有前景的新范式。</w:t>
      </w:r>
    </w:p>
    <w:p>
      <w:pPr>
        <w:spacing w:before="0" w:after="200" w:lineRule="auto" w:line="276"/>
      </w:pPr>
      <w:r>
        <w:rPr>
          <w:b/>
        </w:rPr>
        <w:t xml:space="preserve">Abstract (EN): </w:t>
      </w:r>
      <w:r>
        <w:t>High-penetration renewable integration and the spatial mismatch between energy supply and demandincrease the complexity of multi-regional power system planning. Existing AI techniques in planninginclude renewable forecasting and demand prediction. These methods enhance the input fidelity of Mixed-Integer Linear Programming (MILP) models. However, they mainly focus on explicit and observableparameters. Multi-regional planning also depends on latent and unobservable inter-regional responses. Suchlatent features are difficult to capture in the MILP pipeline. To address these limitations, we propose the Constraint-Adaptive Graph-Convolution (CAG-C) Reinforcement Learning (RL) model, which performs end-to-end policy optimization. The planning problem is formulated as a finite-horizon Markov Decision Process, where the agent iteratively adjusts regional power exchange strategies. A graph convolutional network encodes spatial and resource correlations, while a constraint-adaptive architecture transforms raw actions into feasible plans via region-wise scaling, power balance correction, and cost-optimal transmission allocation. This modular design decomposes the high-dimensional planning task into tractable subproblems, ensuring operational feasibility while enabling efficient learning. Numerical results demonstrate that the proposed framework is both highly extensible and interpretable. As training progresses, the evolving solution trajectory reveals valuable insights into each region’s functional role, offering a promising new paradigm for future power system planning.</w:t>
      </w:r>
    </w:p>
    <w:p>
      <w:pPr>
        <w:spacing w:before="120" w:after="120"/>
      </w:pPr>
      <w:r>
        <w:rPr>
          <w:sz w:val="18"/>
        </w:rPr>
        <w:t>——————————————————————————————————————————————————————————————————————</w:t>
      </w:r>
    </w:p>
    <w:p>
      <w:pPr>
        <w:spacing w:before="160" w:after="40" w:line="240" w:lineRule="auto"/>
      </w:pPr>
      <w:r>
        <w:rPr>
          <w:b/>
        </w:rPr>
        <w:t xml:space="preserve">[531] </w:t>
      </w:r>
      <w:hyperlink r:id="rId1389">
        <w:r>
          <w:rPr>
            <w:color w:val="1155CC"/>
            <w:u w:val="single"/>
          </w:rPr>
          <w:t>基于谐波电流注入的SPMSM鲁棒位置传感器偏移校正方法</w:t>
        </w:r>
      </w:hyperlink>
    </w:p>
    <w:p>
      <w:pPr>
        <w:spacing w:before="0" w:after="80"/>
      </w:pPr>
      <w:r>
        <w:rPr>
          <w:i/>
          <w:sz w:val="20"/>
        </w:rPr>
        <w:t>EN: A Robust Position Sensor Offset Correction Method Based on Harmonic Current Injection for SPMSM</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90">
        <w:r>
          <w:rPr>
            <w:color w:val="1155CC"/>
            <w:u w:val="single"/>
          </w:rPr>
          <w:t>10.1109/tec.2026.3657815</w:t>
        </w:r>
      </w:hyperlink>
    </w:p>
    <w:p>
      <w:pPr>
        <w:spacing w:before="0" w:after="120"/>
      </w:pPr>
      <w:r>
        <w:rPr>
          <w:b/>
        </w:rPr>
        <w:t xml:space="preserve">Notes: </w:t>
      </w:r>
      <w:r>
        <w:t>abstract_source=semanticscholar</w:t>
      </w:r>
    </w:p>
    <w:p>
      <w:pPr>
        <w:spacing w:before="0" w:after="80" w:lineRule="auto" w:line="276"/>
      </w:pPr>
      <w:r>
        <w:rPr>
          <w:b/>
        </w:rPr>
        <w:t xml:space="preserve">摘要（ZH）: </w:t>
      </w:r>
      <w:r>
        <w:t>在转子磁场定向(RFO)控制方案下,位置传感器偏移(PSO)会显著降低表贴式永磁同步电机(SPMSM)驱动系统的性能。为解决这一问题,首先研究了PSO对SPMSM驱动系统的影响;进而提出了一种基于d轴谐波电流注入的鲁棒在线PSO校正方法。与现有方案相比,所提方案不依赖于电机参数,因而对参数不确定性具有较高的鲁棒性。最后,通过实验验证了所提方法的有效性。</w:t>
      </w:r>
    </w:p>
    <w:p>
      <w:pPr>
        <w:spacing w:before="0" w:after="200" w:lineRule="auto" w:line="276"/>
      </w:pPr>
      <w:r>
        <w:rPr>
          <w:b/>
        </w:rPr>
        <w:t xml:space="preserve">Abstract (EN): </w:t>
      </w:r>
      <w:r>
        <w:t>The performance of the surface-mounted permanent magnet synchronous motor (SPMSM) drive system under the rotor field orientation (RFO) control scheme may significantly deteriorate in the presence of position sensor offset (PSO). To address this problem, first, the effects of the SPMSM drive system under PSO are investigated. Furthermore, a robust online PSO correction method based on d-axis harmonic current injection is proposed. Compared with existing schemes, the proposed scheme is independent of motor parameters so that exhibits high robustness to parametric uncertainties. Finally, the effectiveness of the proposed method is verified by experiments.</w:t>
      </w:r>
    </w:p>
    <w:p>
      <w:pPr>
        <w:spacing w:before="120" w:after="120"/>
      </w:pPr>
      <w:r>
        <w:rPr>
          <w:sz w:val="18"/>
        </w:rPr>
        <w:t>——————————————————————————————————————————————————————————————————————</w:t>
      </w:r>
    </w:p>
    <w:p>
      <w:pPr>
        <w:spacing w:before="160" w:after="40" w:line="240" w:lineRule="auto"/>
      </w:pPr>
      <w:r>
        <w:rPr>
          <w:b/>
        </w:rPr>
        <w:t xml:space="preserve">[532] </w:t>
      </w:r>
      <w:hyperlink r:id="rId1391">
        <w:r>
          <w:rPr>
            <w:color w:val="1155CC"/>
            <w:u w:val="single"/>
          </w:rPr>
          <w:t>构网型装置的频率与电压无关稳定性条件</w:t>
        </w:r>
      </w:hyperlink>
    </w:p>
    <w:p>
      <w:pPr>
        <w:spacing w:before="0" w:after="80"/>
      </w:pPr>
      <w:r>
        <w:rPr>
          <w:i/>
          <w:sz w:val="20"/>
        </w:rPr>
        <w:t>EN: Frequency and Voltage Independent Stability Conditions for Grid-Forming Devices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92">
        <w:r>
          <w:rPr>
            <w:color w:val="1155CC"/>
            <w:u w:val="single"/>
          </w:rPr>
          <w:t>10.1109/tpwrs.2026.3703614</w:t>
        </w:r>
      </w:hyperlink>
    </w:p>
    <w:p>
      <w:pPr>
        <w:spacing w:before="0" w:after="120"/>
      </w:pPr>
      <w:r>
        <w:rPr>
          <w:b/>
        </w:rPr>
        <w:t xml:space="preserve">Notes: </w:t>
      </w:r>
      <w:r>
        <w:t>abstract_source=semanticscholar</w:t>
      </w:r>
    </w:p>
    <w:p>
      <w:pPr>
        <w:spacing w:before="0" w:after="80" w:lineRule="auto" w:line="276"/>
      </w:pPr>
      <w:r>
        <w:rPr>
          <w:b/>
        </w:rPr>
        <w:t xml:space="preserve">摘要（ZH）: </w:t>
      </w:r>
      <w:r>
        <w:t>本信提出一种模型分解方法,为构网型(GFM)装置推导出频率和电压相互独立的稳定条件,从而在并网条件下对频率和电压分量分别提出稳定性要求。为此,将GFM装置-电网互联系统分解为两个频率电压解耦子系统和 一个频率电压耦合子系统。解耦子系统自然构成一个要求频率和电压稳定性的分解;耦合子系统则通过小增益定理实现频率和电压耦合路径的分解,为每条路径推导出独立的稳定条件。该稳定性结果为GFM控制设计或电网规范中的频率和电压稳定性保证或要求提供了相互独立的见解。</w:t>
      </w:r>
    </w:p>
    <w:p>
      <w:pPr>
        <w:spacing w:before="0" w:after="200" w:lineRule="auto" w:line="276"/>
      </w:pPr>
      <w:r>
        <w:rPr>
          <w:b/>
        </w:rPr>
        <w:t xml:space="preserve">Abstract (EN): </w:t>
      </w:r>
      <w:r>
        <w:t>This letter presents a model-decomposition method that derives frequency and voltage independent stability conditions for grid-forming (GFM) devices, enabling separate stability requirements for frequency and voltage components under grid-interactive conditions. To this end, a GFM device-grid interconnected system is decomposed into two frequency and voltage decoupled subsystems and one frequency-voltage coupled subsystem. The decoupled subsystems naturally form a decomposition that necessitates frequency and voltage stability; the coupled subsystem achieves a decomposition of frequency and voltage coupling paths via the small-gain theorem, deriving independent stability conditions for each path. The stability results provide independent insights into frequency and voltage stability guarantees or requirements for GFM control designs or grid codes.</w:t>
      </w:r>
    </w:p>
    <w:p>
      <w:pPr>
        <w:spacing w:before="120" w:after="120"/>
      </w:pPr>
      <w:r>
        <w:rPr>
          <w:sz w:val="18"/>
        </w:rPr>
        <w:t>——————————————————————————————————————————————————————————————————————</w:t>
      </w:r>
    </w:p>
    <w:p>
      <w:pPr>
        <w:spacing w:before="160" w:after="40" w:line="240" w:lineRule="auto"/>
      </w:pPr>
      <w:r>
        <w:rPr>
          <w:b/>
        </w:rPr>
        <w:t xml:space="preserve">[533] </w:t>
      </w:r>
      <w:hyperlink r:id="rId1393">
        <w:r>
          <w:rPr>
            <w:color w:val="1155CC"/>
            <w:u w:val="single"/>
          </w:rPr>
          <w:t>四线制低压网络中的Volt-VAr-Watt优化：精确非线性模型与平滑近似</w:t>
        </w:r>
      </w:hyperlink>
    </w:p>
    <w:p>
      <w:pPr>
        <w:spacing w:before="0" w:after="80"/>
      </w:pPr>
      <w:r>
        <w:rPr>
          <w:i/>
          <w:sz w:val="20"/>
        </w:rPr>
        <w:t>EN: Volt-VAr-Watt Optimization in Four-Wire Low-Voltage Networks: Exact Nonlinear Models and Smooth Approximations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94">
        <w:r>
          <w:rPr>
            <w:color w:val="1155CC"/>
            <w:u w:val="single"/>
          </w:rPr>
          <w:t>10.1109/tpwrs.2026.3677246</w:t>
        </w:r>
      </w:hyperlink>
    </w:p>
    <w:p>
      <w:pPr>
        <w:spacing w:before="0" w:after="120"/>
      </w:pPr>
      <w:r>
        <w:rPr>
          <w:b/>
        </w:rPr>
        <w:t xml:space="preserve">Notes: </w:t>
      </w:r>
      <w:r>
        <w:t>abstract_source=semanticscholar</w:t>
      </w:r>
    </w:p>
    <w:p>
      <w:pPr>
        <w:spacing w:before="0" w:after="80" w:lineRule="auto" w:line="276"/>
      </w:pPr>
      <w:r>
        <w:rPr>
          <w:b/>
        </w:rPr>
        <w:t xml:space="preserve">摘要（ZH）: </w:t>
      </w:r>
      <w:r>
        <w:t>分布式能源的普及使得低压（LV）配电网中过电压和欠电压现象日益普遍。智能逆变器功能（如Volt-VAr和Volt-Watt控制）可在用户层面调节电压，但由于其不可微性，难以在优化模型中加以描述。本文针对四线不平衡最优潮流提出三种非线性模型，在无需二进制或整数变量的情况下纳入这些非光滑函数。第一种模型利用许多最先进的代数建模语言所支持的功能，通过控制流将这些非光滑函数直接编码为用户自定义函数。第二和第三种模型引入具有可调近似误差的定制平滑近似，以解决不可微性带来的潜在数值问题，在保持精度的同时提高可靠性和计算效率。三种方法均在具有不同屋顶光伏接入水平的实际四线不平衡低压网络上进行了评估，包括一个包含302台智能逆变器的539母线系统。结果表明，基于优化的方法可以优于增量式（准稳态）方法，并且本工作首次在实际四线不平衡低压网络模型上实现了精确、可靠且易于处理的Volt-VAr-Watt优化。</w:t>
      </w:r>
    </w:p>
    <w:p>
      <w:pPr>
        <w:spacing w:before="0" w:after="200" w:lineRule="auto" w:line="276"/>
      </w:pPr>
      <w:r>
        <w:rPr>
          <w:b/>
        </w:rPr>
        <w:t xml:space="preserve">Abstract (EN): </w:t>
      </w:r>
      <w:r>
        <w:t>The proliferation of distributed energy resources is increasing the prevalence of both overvoltages and undervoltages in low-voltage (LV) distribution networks. Smart inverter functionalities such as Volt-VAr and Volt-Watt control can regulate voltage at the consumer level but are challenging to capture in optimization models due to their nondifferentiability. This paper proposes three nonlinear models for four-wire unbalanced optimal power flow that incorporate these nonsmooth functions without binary or integer variables. The first model encodes these nonsmooth functions directly as user-defined functions using control flow, a feat enabled by many state-of-the-art algebraic modeling languages. The second and third introduce bespoke smooth approximations with tunable approximation errors to address potential numerical issues from nondifferentiability, improving reliability and computational efficiency while maintaining accuracy. All three methods are evaluated on real four-wire unbalanced LV networks with varying rooftop solar integration levels, including a 539-bus system with 302 smart inverters. Results show that optimization-based methods can outperform incremental (quasi-steady-state) approaches, and this work is the first to demonstrate accurate, reliable, and tractable Volt-VAr-Watt optimization on real four-wire unbalanced LV network models.</w:t>
      </w:r>
    </w:p>
    <w:p>
      <w:pPr>
        <w:spacing w:before="120" w:after="120"/>
      </w:pPr>
      <w:r>
        <w:rPr>
          <w:sz w:val="18"/>
        </w:rPr>
        <w:t>——————————————————————————————————————————————————————————————————————</w:t>
      </w:r>
    </w:p>
    <w:p>
      <w:pPr>
        <w:spacing w:before="160" w:after="40" w:line="240" w:lineRule="auto"/>
      </w:pPr>
      <w:r>
        <w:rPr>
          <w:b/>
        </w:rPr>
        <w:t xml:space="preserve">[534] </w:t>
      </w:r>
      <w:hyperlink r:id="rId1395">
        <w:r>
          <w:rPr>
            <w:color w:val="1155CC"/>
            <w:u w:val="single"/>
          </w:rPr>
          <w:t>用于可再生能源规划的数据驱动可变多面体不确定集</w:t>
        </w:r>
      </w:hyperlink>
    </w:p>
    <w:p>
      <w:pPr>
        <w:spacing w:before="0" w:after="80"/>
      </w:pPr>
      <w:r>
        <w:rPr>
          <w:i/>
          <w:sz w:val="20"/>
        </w:rPr>
        <w:t>EN: Data-Driven Variable Polyhedral Uncertainty Set for Renewable Planning</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96">
        <w:r>
          <w:rPr>
            <w:color w:val="1155CC"/>
            <w:u w:val="single"/>
          </w:rPr>
          <w:t>10.1109/tpwrs.2026.3695710</w:t>
        </w:r>
      </w:hyperlink>
    </w:p>
    <w:p>
      <w:pPr>
        <w:spacing w:before="0" w:after="120"/>
      </w:pPr>
      <w:r>
        <w:rPr>
          <w:b/>
        </w:rPr>
        <w:t xml:space="preserve">Notes: </w:t>
      </w:r>
      <w:r>
        <w:t>abstract_source=semanticscholar</w:t>
      </w:r>
    </w:p>
    <w:p>
      <w:pPr>
        <w:spacing w:before="0" w:after="80" w:lineRule="auto" w:line="276"/>
      </w:pPr>
      <w:r>
        <w:rPr>
          <w:b/>
        </w:rPr>
        <w:t xml:space="preserve">摘要（ZH）: </w:t>
      </w:r>
      <w:r>
        <w:t>随着可再生能源的高比例接入，可再生能源出力的不确定性成为电力系统运行与规划中的重要因素。在规划模型中，可再生能源装机容量是决策变量，这使得不确定集合成为可变的。本信提出了一种采用可变多面体不确定集（VPUS）的新型可处理方法，以刻画可再生能源出力的时空相关性。引入了一种改进的代理仿射策略（SAP）来求解该问题。在简化输电系统的规划问题上进行了数值测试。结果表明，所提方法能够降低灵活性方面的投资与运行成本。</w:t>
      </w:r>
    </w:p>
    <w:p>
      <w:pPr>
        <w:spacing w:before="0" w:after="200" w:lineRule="auto" w:line="276"/>
      </w:pPr>
      <w:r>
        <w:rPr>
          <w:b/>
        </w:rPr>
        <w:t xml:space="preserve">Abstract (EN): </w:t>
      </w:r>
      <w:r>
        <w:t>With the high penetration of renewables, the uncertainty of renewable generation becomes an important factor in power system operation and planning. In the planning model, renewable installed capacity is a decision variable, which makes the uncertainty set variable. This letter presents a novel tractable approach with a variable polyhedral uncertainty set (VPUS) to capture the temporal-spatial correlations of renewable generation. A modified surrogate affine policy (SAP) is introduced to solve the problem. Numerical tests are conducted on the planning problem of the simplified transmission system. The results indicate that the proposed approach can reduce investment and operational costs for flexibility.</w:t>
      </w:r>
    </w:p>
    <w:p>
      <w:pPr>
        <w:spacing w:before="120" w:after="120"/>
      </w:pPr>
      <w:r>
        <w:rPr>
          <w:sz w:val="18"/>
        </w:rPr>
        <w:t>——————————————————————————————————————————————————————————————————————</w:t>
      </w:r>
    </w:p>
    <w:p>
      <w:pPr>
        <w:spacing w:before="160" w:after="40" w:line="240" w:lineRule="auto"/>
      </w:pPr>
      <w:r>
        <w:rPr>
          <w:b/>
        </w:rPr>
        <w:t xml:space="preserve">[535] </w:t>
      </w:r>
      <w:hyperlink r:id="rId1397">
        <w:r>
          <w:rPr>
            <w:color w:val="1155CC"/>
            <w:u w:val="single"/>
          </w:rPr>
          <w:t>一种具有全局收敛性质的轨迹统一状态估计方法：理论与方法</w:t>
        </w:r>
      </w:hyperlink>
    </w:p>
    <w:p>
      <w:pPr>
        <w:spacing w:before="0" w:after="80"/>
      </w:pPr>
      <w:r>
        <w:rPr>
          <w:i/>
          <w:sz w:val="20"/>
        </w:rPr>
        <w:t>EN: A Trajectory-Unified Method for State Estimation With Global Convergence Property: Theory and Method</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98">
        <w:r>
          <w:rPr>
            <w:color w:val="1155CC"/>
            <w:u w:val="single"/>
          </w:rPr>
          <w:t>10.1109/tpwrs.2026.3671475</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了一种具有全局收敛特性的求解状态估计（SE）问题的新方法。常用的WLS-Gauss-Newton（WLS-GN）方法可能出现数值发散。为解决这一问题，我们开发了一种轨迹统一（TJU）方法，该方法利用由状态估计问题的量测约束导出的非线性动态系统，在解存在的情况下确保获得SE解。因此，所提出的WLS-TJU SE方法是对传统WLS-GN的有价值增强，提升了电力系统状态估计的收敛性与鲁棒性。理论上证明了所导出的非线性动态系统是完全稳定的，使所提出的WLS-TJU方法具备理想特性——全局收敛。从理论角度出发，在各种负荷条件以及不同量测冗余度水平下，分别使用WLS-GN和所提出的WLS-TJU SE方法对SE估计解的收敛域进行了数值研究。收敛程度的评估指标为收敛域的大小。从鲁棒性角度出发，展示了所提方法在收敛性以及对网络拓扑错误和负荷条件鲁棒性方面的优势；特别是给出了若干WLS-GN方法发散而所提出的WLS-TJU方法收敛的算例。在计算方面，还重点展示了所提SE方法在大规模系统（包括3120母线系统）中的计算性能。所提出的WLS-TJU SE方法表</w:t>
      </w:r>
    </w:p>
    <w:p>
      <w:pPr>
        <w:spacing w:before="0" w:after="200" w:lineRule="auto" w:line="276"/>
      </w:pPr>
      <w:r>
        <w:rPr>
          <w:b/>
        </w:rPr>
        <w:t xml:space="preserve">Abstract (EN): </w:t>
      </w:r>
      <w:r>
        <w:t>This paper proposes a novel methodology for solving the state estimation (SE) problem with a global convergence property. The prevalent WLS-Gauss-Newton (WLS-GN) method may suffer from numerical divergence. To address this issue, we develop a Trajectory-Unified (TJU) method that employs a nonlinear dynamic system derived from the measurement constraints of the state estimation problem to ensure a SE solution if it exists. Consequently, the proposed WLS-TJU SE method serves as a valuable enhancement to the traditional WLS-GN, improving both the convergence property and robustness in power system state estimation. It is theoretically proven that the derived nonlinear dynamic system is completely stable, rendering the proposed WLS-TJU method a desired property–global convergence. From a theoretical viewpoint, numerical studies of the convergence regions of estimated SE solutions using both the WLS-GN and the proposed WLS-TJU SE method under various loading conditions and under different levels of measurement redundancy are conducted. The evaluation metric for the degree of convergence is the size of the convergence region. From a robustness viewpoint, the advantages of the proposed method in terms of convergence and robustness to network topology errors and loading conditions; particularly several cases are shown that the WLS-GN method diverges while the proposed WLS-TJU converges. Computationally speaking, the computational performance in large-scale systems including the 3120-bus system of the proposed SE method is also highlighted. The proposed WLS-TJU SE method shows a computational advantage of 3.22 times faster than the traditional WLS SE method in a 3120-bus system.</w:t>
      </w:r>
    </w:p>
    <w:p>
      <w:pPr>
        <w:spacing w:before="120" w:after="120"/>
      </w:pPr>
      <w:r>
        <w:rPr>
          <w:sz w:val="18"/>
        </w:rPr>
        <w:t>——————————————————————————————————————————————————————————————————————</w:t>
      </w:r>
    </w:p>
    <w:p>
      <w:pPr>
        <w:spacing w:before="160" w:after="40" w:line="240" w:lineRule="auto"/>
      </w:pPr>
      <w:r>
        <w:rPr>
          <w:b/>
        </w:rPr>
        <w:t xml:space="preserve">[536] </w:t>
      </w:r>
      <w:hyperlink r:id="rId1399">
        <w:r>
          <w:rPr>
            <w:color w:val="1155CC"/>
            <w:u w:val="single"/>
          </w:rPr>
          <w:t>拼接气隙模块化永磁爪极电机性能分析的三维等效磁网络模型</w:t>
        </w:r>
      </w:hyperlink>
    </w:p>
    <w:p>
      <w:pPr>
        <w:spacing w:before="0" w:after="80"/>
      </w:pPr>
      <w:r>
        <w:rPr>
          <w:i/>
          <w:sz w:val="20"/>
        </w:rPr>
        <w:t>EN: A 3-D Equivalent Magnetic Network Model for Performance Analysis of Modular Permanent Magnet Claw Pole Machines With Spliced Air Gaps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400">
        <w:r>
          <w:rPr>
            <w:color w:val="1155CC"/>
            <w:u w:val="single"/>
          </w:rPr>
          <w:t>10.1109/tec.2026.3676473</w:t>
        </w:r>
      </w:hyperlink>
    </w:p>
    <w:p>
      <w:pPr>
        <w:spacing w:before="0" w:after="120"/>
      </w:pPr>
      <w:r>
        <w:rPr>
          <w:b/>
        </w:rPr>
        <w:t xml:space="preserve">Notes: </w:t>
      </w:r>
      <w:r>
        <w:t>abstract_source=semanticscholar</w:t>
      </w:r>
    </w:p>
    <w:p>
      <w:pPr>
        <w:spacing w:before="0" w:after="80" w:lineRule="auto" w:line="276"/>
      </w:pPr>
      <w:r>
        <w:rPr>
          <w:b/>
        </w:rPr>
        <w:t xml:space="preserve">摘要（ZH）: </w:t>
      </w:r>
      <w:r>
        <w:t>由于模块化设计导致的拼接气隙尺寸较小，采用有限元方法预测模块化永磁爪极电机（MPMCPM）的性能十分耗时。为此，本文提出一种三维等效磁网络（3-D EMN）模型来预测具有拼接气隙的MPMCPM的性能。首先，给出了不同三维网格单元的磁导计算方法。利用这些特定的网格单元，可以精确计算爪极网格的磁导。其次，在漏磁严重的区域布置六面体网格，从而可以考虑漏磁场并提高模型的精度。通过与有限元结果以及在小型样机上开展的实验对比，验证了所提3-D EMN模型的高精度。同时，计算了铁心损耗，并考虑了旋转磁场对爪极的影响。最后，通过在3-D EMN模型中加入拼接气隙磁导，预测了不同长度拼接气隙对MPMCPM性能的影响。</w:t>
      </w:r>
    </w:p>
    <w:p>
      <w:pPr>
        <w:spacing w:before="0" w:after="200" w:lineRule="auto" w:line="276"/>
      </w:pPr>
      <w:r>
        <w:rPr>
          <w:b/>
        </w:rPr>
        <w:t xml:space="preserve">Abstract (EN): </w:t>
      </w:r>
      <w:r>
        <w:t>Due to the small size of the spliced air gap caused by modular design, it is time-consuming to predict the performance of modular permanent magnet claw pole machines (MPMCPM) by using finite element method. Therefore, a three-dimensional equivalent magnetic network (3-D EMN) model is proposed to predict the performance of MPMCPM with spliced air gaps in this paper. First, the permeance calculation methods for different 3-D mesh cells are presented. By using these specific mesh cells, permeances of claw pole meshes can be accurately calculated. Second, hexahedron meshes are laid out in areas with severe leakage flux, then leakage magnetic fields can be considered and the accuracy of the model can be improved. The high accuracy of the proposed 3-D EMN model is verified by comparing with finite element results and experiments conducted on a small-scale prototype machine. Meanwhile, the core loss is calculated and the influence of the rotating magnetic field on claw poles is also taken into account. Finally, the influence of spliced air gaps with different lengths on the performance of MPMCPM is predicted by adding spliced air gap permeances to the 3-D EMN model.</w:t>
      </w:r>
    </w:p>
    <w:p>
      <w:pPr>
        <w:spacing w:before="120" w:after="120"/>
      </w:pPr>
      <w:r>
        <w:rPr>
          <w:sz w:val="18"/>
        </w:rPr>
        <w:t>——————————————————————————————————————————————————————————————————————</w:t>
      </w:r>
    </w:p>
    <w:p>
      <w:pPr>
        <w:spacing w:before="160" w:after="40" w:line="240" w:lineRule="auto"/>
      </w:pPr>
      <w:r>
        <w:rPr>
          <w:b/>
        </w:rPr>
        <w:t xml:space="preserve">[537] </w:t>
      </w:r>
      <w:hyperlink r:id="rId1401">
        <w:r>
          <w:rPr>
            <w:color w:val="1155CC"/>
            <w:u w:val="single"/>
          </w:rPr>
          <w:t>前景、验证与实践：如何实现消费级可穿戴设备的临床价值</w:t>
        </w:r>
      </w:hyperlink>
    </w:p>
    <w:p>
      <w:pPr>
        <w:spacing w:before="0" w:after="80"/>
      </w:pPr>
      <w:r>
        <w:rPr>
          <w:i/>
          <w:sz w:val="20"/>
        </w:rPr>
        <w:t>EN: Promise, proof and practice: how to realize the clinical value of consumer wearables</w:t>
      </w:r>
    </w:p>
    <w:p>
      <w:pPr>
        <w:spacing w:before="0" w:after="120"/>
      </w:pPr>
      <w:r>
        <w:rPr>
          <w:b/>
        </w:rPr>
        <w:t xml:space="preserve">Source: </w:t>
      </w:r>
      <w:r>
        <w:t>Nature Sensors</w:t>
      </w:r>
      <w:r>
        <w:t xml:space="preserve">    </w:t>
      </w:r>
      <w:r>
        <w:rPr>
          <w:b/>
        </w:rPr>
        <w:t xml:space="preserve">Pub date: </w:t>
      </w:r>
      <w:r>
        <w:t>2026-09-01 00:00:00+00:00</w:t>
      </w:r>
      <w:r>
        <w:t xml:space="preserve">    </w:t>
      </w:r>
      <w:r>
        <w:rPr>
          <w:b/>
        </w:rPr>
        <w:t xml:space="preserve">DOI: </w:t>
      </w:r>
      <w:hyperlink r:id="rId1402">
        <w:r>
          <w:rPr>
            <w:color w:val="1155CC"/>
            <w:u w:val="single"/>
          </w:rPr>
          <w:t>10.1038/s44460-026-00121-4</w:t>
        </w:r>
      </w:hyperlink>
    </w:p>
    <w:p>
      <w:pPr>
        <w:spacing w:before="0" w:after="120"/>
      </w:pPr>
      <w:r>
        <w:rPr>
          <w:b/>
        </w:rPr>
        <w:t xml:space="preserve">Notes: </w:t>
      </w:r>
      <w:r>
        <w:t>abstract_source=rss_nature</w:t>
      </w:r>
    </w:p>
    <w:p>
      <w:pPr>
        <w:spacing w:before="0" w:after="80" w:lineRule="auto" w:line="276"/>
      </w:pPr>
      <w:r>
        <w:rPr>
          <w:b/>
        </w:rPr>
        <w:t xml:space="preserve">摘要（ZH）: </w:t>
      </w:r>
      <w:r>
        <w:t>超过4亿人拥有持续监测其健康状况的可穿戴设备，然而临床医生却难以利用这些设备产生的数据采取行动。要实现其临床价值，需要针对具体场景的验证以及围绕最终用途设计的集成流程。</w:t>
      </w:r>
    </w:p>
    <w:p>
      <w:pPr>
        <w:spacing w:before="0" w:after="200" w:lineRule="auto" w:line="276"/>
      </w:pPr>
      <w:r>
        <w:rPr>
          <w:b/>
        </w:rPr>
        <w:t xml:space="preserve">Abstract (EN): </w:t>
      </w:r>
      <w:r>
        <w:t>Over 400 million people own a wearable that continuously monitors their health, yet clinicians struggle to act on the data they generate. Realizing their clinical value requires context-specific validation and an integration pipeline designed around end-use.</w:t>
      </w:r>
    </w:p>
    <w:p>
      <w:pPr>
        <w:spacing w:before="120" w:after="120"/>
      </w:pPr>
      <w:r>
        <w:rPr>
          <w:sz w:val="18"/>
        </w:rPr>
        <w:t>——————————————————————————————————————————————————————————————————————</w:t>
      </w:r>
    </w:p>
    <w:p>
      <w:pPr>
        <w:spacing w:before="160" w:after="40" w:line="240" w:lineRule="auto"/>
      </w:pPr>
      <w:r>
        <w:rPr>
          <w:b/>
        </w:rPr>
        <w:t xml:space="preserve">[538] </w:t>
      </w:r>
      <w:hyperlink r:id="rId1403">
        <w:r>
          <w:rPr>
            <w:color w:val="1155CC"/>
            <w:u w:val="single"/>
          </w:rPr>
          <w:t>Au(I)/Au(III)氧化还原催化的发展、挑战与机遇</w:t>
        </w:r>
      </w:hyperlink>
    </w:p>
    <w:p>
      <w:pPr>
        <w:spacing w:before="0" w:after="80"/>
      </w:pPr>
      <w:r>
        <w:rPr>
          <w:i/>
          <w:sz w:val="20"/>
        </w:rPr>
        <w:t>EN: Developments, Challenges, and Opportunities in Au(I)/Au(III) Redox Catalysis</w:t>
      </w:r>
    </w:p>
    <w:p>
      <w:pPr>
        <w:spacing w:before="0" w:after="120"/>
      </w:pPr>
      <w:r>
        <w:rPr>
          <w:b/>
        </w:rPr>
        <w:t xml:space="preserve">Source: </w:t>
      </w:r>
      <w:r>
        <w:t>Chemical Reviews</w:t>
      </w:r>
      <w:r>
        <w:t xml:space="preserve">    </w:t>
      </w:r>
      <w:r>
        <w:rPr>
          <w:b/>
        </w:rPr>
        <w:t xml:space="preserve">Pub date: </w:t>
      </w:r>
      <w:r>
        <w:t>2026-09-01 00:00:00+00:00</w:t>
      </w:r>
      <w:r>
        <w:t xml:space="preserve">    </w:t>
      </w:r>
      <w:r>
        <w:rPr>
          <w:b/>
        </w:rPr>
        <w:t xml:space="preserve">DOI: </w:t>
      </w:r>
      <w:hyperlink r:id="rId1403">
        <w:r>
          <w:rPr>
            <w:color w:val="1155CC"/>
            <w:u w:val="single"/>
          </w:rPr>
          <w:t>10.1021/acs.chemrev.5c01141</w:t>
        </w:r>
      </w:hyperlink>
    </w:p>
    <w:p>
      <w:pPr>
        <w:spacing w:before="0" w:after="120"/>
      </w:pPr>
      <w:r>
        <w:rPr>
          <w:b/>
        </w:rPr>
        <w:t xml:space="preserve">Notes: </w:t>
      </w:r>
      <w:r>
        <w:t>abstract_source=crossref</w:t>
      </w:r>
    </w:p>
    <w:p>
      <w:pPr>
        <w:spacing w:before="0" w:after="80" w:lineRule="auto" w:line="276"/>
      </w:pPr>
      <w:r>
        <w:rPr>
          <w:b/>
        </w:rPr>
        <w:t xml:space="preserve">摘要（ZH）: </w:t>
      </w:r>
      <w:r>
        <w:t>摘要 利用金配合物固有的π酸性特性，金在有机合成中得到了广泛应用。尽管金作为π键活化剂被广泛使用，但其在实现交叉偶联反应的氧化还原催化中的应用长期以来相对滞后。推进金氧化还原催化的主要障碍是Au(I)/Au(III)电对固有的高氧化还原电位，这源于显著的相对论效应。Au(III)配合物因容易还原为金纳米颗粒而表现出的不稳定性带来了额外的挑战。多年来，人们为克服这些限制付出了大量努力，从而确立了实现金氧化还原催化的若干策略。这些策略主要依赖于使用外部氧化剂、光催化剂/光、芳基重氮盐、半易变配体、电化学以及双核金配合物来促进Au(I)/Au(III)催化。凭借这些策略，金氧化还原催化已成为一种用于多种转化的有前景技术，例如交叉偶联反应、C-H官能化反应以及C-C重键的双官能化反应。有趣的是，与常用于交叉偶联反应的过渡金属相比，金配合物的高电负性和π酸特性提供了独特的反应性和选择性。显然，Au(I)/Au(III)催化领域已显著扩展了金在有机合成中的实用性及其在生物学和材料科学中的应用。本综述总结了……的最新进展</w:t>
      </w:r>
    </w:p>
    <w:p>
      <w:pPr>
        <w:spacing w:before="0" w:after="200" w:lineRule="auto" w:line="276"/>
      </w:pPr>
      <w:r>
        <w:rPr>
          <w:b/>
        </w:rPr>
        <w:t xml:space="preserve">Abstract (EN): </w:t>
      </w:r>
      <w:r>
        <w:t>Leveraging the intrinsic π-acidic character of gold complexes, gold has found widespread application in organic synthesis. Despite the extensive use of gold as a π-bond activator, its application in redox catalysis for achieving cross-coupling reactions has historically lagged behind. The primary obstacle in advancing gold redox catalysis is the inherent high redox potential of the Au(I)/Au(III) couple, arising from the pronounced relativistic effect. The instability of Au(III) complexes due to facile reduction to gold nanoparticles presents an additional challenge. Over the years, extensive efforts were made to overcome these limitations which led to the identification of several strategies to achieve gold redox catalysis. These strategies primarily rely on the use of external oxidants, photocatalyst/light, aryldiazonium salts, hemilabile ligands, electricity and dinuclear gold-complexes to facilitate Au(I)/Au(III) catalysis. Banking on these strategies, gold redox catalysis has emerged as a promising technique for various transformations such as cross-coupling reactions, C-H functionalization reactions and difunctionalization of C-C multiple bonds. Interestingly, the high electronegativity and π-acid character of gold complexes offer unique reactivities and selectivities compared to commonly used transition metals for cross-coupling reactions. Clearly, the field of Au(I)/Au(III) catalysis has significantly expanded the utility of gold in organic synthesis and its applications in biological and materials science. This review summarizes an up-to-date development in this field since its inception, with a particular emphasis on mechanistic aspects, while outlining the key opportunities and future directions.</w:t>
      </w:r>
    </w:p>
    <w:p>
      <w:pPr>
        <w:spacing w:before="120" w:after="120"/>
      </w:pPr>
      <w:r>
        <w:rPr>
          <w:sz w:val="18"/>
        </w:rPr>
        <w:t>——————————————————————————————————————————————————————————————————————</w:t>
      </w:r>
    </w:p>
    <w:p>
      <w:pPr>
        <w:spacing w:before="160" w:after="40" w:line="240" w:lineRule="auto"/>
      </w:pPr>
      <w:r>
        <w:rPr>
          <w:b/>
        </w:rPr>
        <w:t xml:space="preserve">[539] </w:t>
      </w:r>
      <w:hyperlink r:id="rId1404">
        <w:r>
          <w:rPr>
            <w:color w:val="1155CC"/>
            <w:u w:val="single"/>
          </w:rPr>
          <w:t>微/纳升级样品分离：从实验室走向市场</w:t>
        </w:r>
      </w:hyperlink>
    </w:p>
    <w:p>
      <w:pPr>
        <w:spacing w:before="0" w:after="80"/>
      </w:pPr>
      <w:r>
        <w:rPr>
          <w:i/>
          <w:sz w:val="20"/>
        </w:rPr>
        <w:t>EN: Micro/Nanoliter Sample Separation: From Lab Bench to Marketplace</w:t>
      </w:r>
    </w:p>
    <w:p>
      <w:pPr>
        <w:spacing w:before="0" w:after="120"/>
      </w:pPr>
      <w:r>
        <w:rPr>
          <w:b/>
        </w:rPr>
        <w:t xml:space="preserve">Source: </w:t>
      </w:r>
      <w:r>
        <w:t>Chemical Reviews</w:t>
      </w:r>
      <w:r>
        <w:t xml:space="preserve">    </w:t>
      </w:r>
      <w:r>
        <w:rPr>
          <w:b/>
        </w:rPr>
        <w:t xml:space="preserve">Pub date: </w:t>
      </w:r>
      <w:r>
        <w:t>2026-09-01 00:00:00+00:00</w:t>
      </w:r>
      <w:r>
        <w:t xml:space="preserve">    </w:t>
      </w:r>
      <w:r>
        <w:rPr>
          <w:b/>
        </w:rPr>
        <w:t xml:space="preserve">DOI: </w:t>
      </w:r>
      <w:hyperlink r:id="rId1404">
        <w:r>
          <w:rPr>
            <w:color w:val="1155CC"/>
            <w:u w:val="single"/>
          </w:rPr>
          <w:t>10.1021/acs.chemrev.5c01119</w:t>
        </w:r>
      </w:hyperlink>
    </w:p>
    <w:p>
      <w:pPr>
        <w:spacing w:before="0" w:after="120"/>
      </w:pPr>
      <w:r>
        <w:rPr>
          <w:b/>
        </w:rPr>
        <w:t xml:space="preserve">Notes: </w:t>
      </w:r>
      <w:r>
        <w:t>abstract_source=crossref</w:t>
      </w:r>
    </w:p>
    <w:p>
      <w:pPr>
        <w:spacing w:before="0" w:after="80" w:lineRule="auto" w:line="276"/>
      </w:pPr>
      <w:r>
        <w:rPr>
          <w:b/>
        </w:rPr>
        <w:t xml:space="preserve">摘要（ZH）: </w:t>
      </w:r>
      <w:r>
        <w:t>摘要 芯片实验室系统中的微量样品分离是一个快速发展的研究领域，旨在应对生物医学、化学和环境科学中的挑战。得益于微纳加工技术的进步，微流控平台通过定制化的通道结构和外部驱动力，实现了复杂微量样品的高通量分离与纯化，为传统分离方法提供了高通量、高效且集成化的替代方案。重要的是，实验室中的研究进展正迅速转向解决实际挑战。由于我们的稿件专门聚焦于微流控分离技术的类型与应用，对于希望进入分离技术市场的初创企业及其他商业实体以及终端用户公司而言，它具有很高的参考价值。稿件首先讨论了微流控分离技术的发展与构建过程，然后深入分析整合多种外场驱动力的分离技术的原理与分类。另一部分聚焦于微量样品分离技术的新兴应用，重点介绍了已成功商业化的微流控分离平台，并讨论了当前阻碍这些技术进一步商业化的挑战。最后，我们对该技术的未来方向进行了展望，包括人工智能技术在其应用发展过程中所带来的挑战与机遇。</w:t>
      </w:r>
    </w:p>
    <w:p>
      <w:pPr>
        <w:spacing w:before="0" w:after="200" w:lineRule="auto" w:line="276"/>
      </w:pPr>
      <w:r>
        <w:rPr>
          <w:b/>
        </w:rPr>
        <w:t xml:space="preserve">Abstract (EN): </w:t>
      </w:r>
      <w:r>
        <w:t>Microsample separation in lab-on-a-chip systems is a rapidly evolving research area addressing challenges across biomedical, chemical, and environmental sciences. Enabled by advances in micro- and nanofabrication, microfluidic platforms allow high-throughput separation and purification of complex microsamples through tailored channel structures and external driving forces, offering high-throughput, efficient, and integrated alternatives to conventional separation methods. Importantly, research progress in the laboratory is swiftly transitioning to address practical challenges. As our manuscript specifically focuses on the types and applications of microfluidic separation technologies, it is highly valuable for startups and other commercial entities looking to enter the separation technology market, as well as for end-user companies. The manuscript commences with a discussion on the development and construction processes of microfluidic separation, and then dive into a detailed analysis of the principles and classifications of separation technologies integrating a range of external fields forces. Another section focuses on emerging applications of microsample separation technologies, highlighting successfully commercialized microfluidic separation platforms while discussing the challenges currently hindering further commercialization of these technologies. Finally, we provide perspectives on the future direction of this technology, including the challenges and opportunities that arise with the development of artificial intelligence technologies in its applications.</w:t>
      </w:r>
    </w:p>
    <w:p>
      <w:pPr>
        <w:spacing w:before="120" w:after="120"/>
      </w:pPr>
      <w:r>
        <w:rPr>
          <w:sz w:val="18"/>
        </w:rPr>
        <w:t>——————————————————————————————————————————————————————————————————————</w:t>
      </w:r>
    </w:p>
    <w:p>
      <w:pPr>
        <w:spacing w:before="160" w:after="40" w:line="240" w:lineRule="auto"/>
      </w:pPr>
      <w:r>
        <w:rPr>
          <w:b/>
        </w:rPr>
        <w:t xml:space="preserve">[540] </w:t>
      </w:r>
      <w:hyperlink r:id="rId1405">
        <w:r>
          <w:rPr>
            <w:color w:val="1155CC"/>
            <w:u w:val="single"/>
          </w:rPr>
          <w:t>基于Sinkhorn距离的微电网分布式鲁棒优化调度：指数锥重构</w:t>
        </w:r>
      </w:hyperlink>
    </w:p>
    <w:p>
      <w:pPr>
        <w:spacing w:before="0" w:after="80"/>
      </w:pPr>
      <w:r>
        <w:rPr>
          <w:i/>
          <w:sz w:val="20"/>
        </w:rPr>
        <w:t>EN: Distributionally Robust Optimal Dispatch for Microgrids With Sinkhorn Distance: An Exponential Cone Reformulation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06">
        <w:r>
          <w:rPr>
            <w:color w:val="1155CC"/>
            <w:u w:val="single"/>
          </w:rPr>
          <w:t>10.1109/tpwrs.2026.3684359</w:t>
        </w:r>
      </w:hyperlink>
    </w:p>
    <w:p>
      <w:pPr>
        <w:spacing w:before="0" w:after="120"/>
      </w:pPr>
      <w:r>
        <w:rPr>
          <w:b/>
        </w:rPr>
        <w:t xml:space="preserve">Notes: </w:t>
      </w:r>
      <w:r>
        <w:t>abstract_source=semanticscholar</w:t>
      </w:r>
    </w:p>
    <w:p>
      <w:pPr>
        <w:spacing w:before="0" w:after="80" w:lineRule="auto" w:line="276"/>
      </w:pPr>
      <w:r>
        <w:rPr>
          <w:b/>
        </w:rPr>
        <w:t xml:space="preserve">摘要（ZH）: </w:t>
      </w:r>
      <w:r>
        <w:t>Wasserstein距离（WD）已成为解决电力系统调度问题中不确定性的一种有前景且被广泛使用的方法。然而，现有研究表明，WD识别的最坏情况分布是离散的，当潜在真实分布为连续分布时，这可能导致Wasserstein模糊集针对错误类别的分布进行对冲。为弥合这一差距，本文提出了一种基于Sinkhorn距离的微电网分布鲁棒优化调度新模型，Sinkhorn距离是WD的一种变体，进一步引入了熵正则化。Sinkhorn模糊集可以产生不受限于离散形式的更平滑的最坏情况分布。通过推导最坏情况期望目标函数的可处理指数锥重构，并利用条件风险价值（CVaR）近似处理分布鲁棒联合机会约束，所提模型被归结为混合整数指数锥问题。在改进的IEEE 33节点、IEEE 123节点和240节点测试系统上的数值实验验证了所开发方法的有效性和优越性，为不确定性下的决策问题提供了可靠的替代方案。</w:t>
      </w:r>
    </w:p>
    <w:p>
      <w:pPr>
        <w:spacing w:before="0" w:after="200" w:lineRule="auto" w:line="276"/>
      </w:pPr>
      <w:r>
        <w:rPr>
          <w:b/>
        </w:rPr>
        <w:t xml:space="preserve">Abstract (EN): </w:t>
      </w:r>
      <w:r>
        <w:t>Wasserstein distance (WD) has emerged as a promising and widely used method to tackle uncertainty in power system dispatch problems. However, existing studies have proved that the worst-case distribution identified by WD is discrete, which potentially causes Wasserstein ambiguity sets to hedge against an incorrect class of distributions when the underlying true distribution is continuous. To bridge this gap, this paper presents a novel distributionally robust optimal dispatch model for microgrids based on the Sinkhorn distance, a variant of the WD that further incorporates entropic regularization. The Sinkhorn ambiguity sets can yield a smoother worst-case distribution that is not restricted to discrete forms. By deriving a tractable exponential cone reformulation of the worst-case expected objective function and harnessing a conditional value-at-risk approximation to address distributionally robust joint chance constraints, the proposed model is admitted as a mixed-integer exponential cone problem. Numerical experiments on modified IEEE 33-bus, IEEE 123-bus, and 240-bus test systems demonstrate the efficacy and superiority of the developed approach, offering a reliable alternative for decision-making problems under uncertainty.</w:t>
      </w:r>
    </w:p>
    <w:p>
      <w:pPr>
        <w:spacing w:before="120" w:after="120"/>
      </w:pPr>
      <w:r>
        <w:rPr>
          <w:sz w:val="18"/>
        </w:rPr>
        <w:t>——————————————————————————————————————————————————————————————————————</w:t>
      </w:r>
    </w:p>
    <w:p>
      <w:pPr>
        <w:spacing w:before="160" w:after="40" w:line="240" w:lineRule="auto"/>
      </w:pPr>
      <w:r>
        <w:rPr>
          <w:b/>
        </w:rPr>
        <w:t xml:space="preserve">[541] </w:t>
      </w:r>
      <w:hyperlink r:id="rId1407">
        <w:r>
          <w:rPr>
            <w:color w:val="1155CC"/>
            <w:u w:val="single"/>
          </w:rPr>
          <w:t>变齿轮比磁齿轮电机的鲁棒滑模控制策略</w:t>
        </w:r>
      </w:hyperlink>
    </w:p>
    <w:p>
      <w:pPr>
        <w:spacing w:before="0" w:after="80"/>
      </w:pPr>
      <w:r>
        <w:rPr>
          <w:i/>
          <w:sz w:val="20"/>
        </w:rPr>
        <w:t>EN: Robust Sliding Mode Control Strategy for Variable-Gear-Ratio Magnetic-Geared Machines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408">
        <w:r>
          <w:rPr>
            <w:color w:val="1155CC"/>
            <w:u w:val="single"/>
          </w:rPr>
          <w:t>10.1109/tec.2026.3653190</w:t>
        </w:r>
      </w:hyperlink>
    </w:p>
    <w:p>
      <w:pPr>
        <w:spacing w:before="0" w:after="120"/>
      </w:pPr>
      <w:r>
        <w:rPr>
          <w:b/>
        </w:rPr>
        <w:t xml:space="preserve">Notes: </w:t>
      </w:r>
      <w:r>
        <w:t>abstract_source=semanticscholar</w:t>
      </w:r>
    </w:p>
    <w:p>
      <w:pPr>
        <w:spacing w:before="0" w:after="80" w:lineRule="auto" w:line="276"/>
      </w:pPr>
      <w:r>
        <w:rPr>
          <w:b/>
        </w:rPr>
        <w:t xml:space="preserve">摘要（ZH）: </w:t>
      </w:r>
      <w:r>
        <w:t>变齿轮比磁齿轮电机（VGRMGM）可实现可调齿轮比，在驱动系统中展现出广阔的应用前景。然而，VGRMGM存在动态响应缓慢和转速超调过大等动态性能不足的问题。为改善VGRMGM的动态性能，本文提出了一种基于负载转矩观测器的鲁棒滑模控制（RSMC）策略。采用滑模转速控制器和用于电流环前馈补偿的转矩观测器，以提高VGRMGM的鲁棒性和动态性能。在调速工况下，与传统PI控制相比，RSMC策略将超调降低了6%，响应速度提升了25.4%。在负载变化工况下，超调降低了5%，响应速度提升了32.1%，凸显了VGRMGM优异的暂态性能。在专门搭建的试验台上的实验评估验证了RSMC策略在改善动态性能方面的提升效果。</w:t>
      </w:r>
    </w:p>
    <w:p>
      <w:pPr>
        <w:spacing w:before="0" w:after="200" w:lineRule="auto" w:line="276"/>
      </w:pPr>
      <w:r>
        <w:rPr>
          <w:b/>
        </w:rPr>
        <w:t xml:space="preserve">Abstract (EN): </w:t>
      </w:r>
      <w:r>
        <w:t>Variable-gear-ratio magnetic-geared machines (VGRMGMs) which could achieve adjustable gear ratios, shows substantial application prospects in driving systems. However, the VGRMGMs suffer from dynamic performance deficiencies such as slow dynamic responses and excessive speed overshoots. A robust sliding mode control (RSMC) strategy based on a load torque observer is proposed in this paper in order to improve the dynamic performance of the VGRMGM. A sliding mode speed controller and a torque observer for feedforward compensation in the current loop, is employed to improve the robustness and dynamic performance of the VGRMGM. Under speed–regulation conditions, the RSMC strategy achieves a 6% reduction in overshoot and a 25.4% improvement in response speed compared with conventional PI control. For load–variation conditions, the overshoot is reduced by 5%, and the response speed is improved by 32.1%, highlighting the VGRMGM superior transient performance. Experimental evaluations on a purpose-built test rig validate the enhancement of the RSMC strategy in terms of improved dynamic performance.</w:t>
      </w:r>
    </w:p>
    <w:p>
      <w:pPr>
        <w:spacing w:before="120" w:after="120"/>
      </w:pPr>
      <w:r>
        <w:rPr>
          <w:sz w:val="18"/>
        </w:rPr>
        <w:t>——————————————————————————————————————————————————————————————————————</w:t>
      </w:r>
    </w:p>
    <w:p>
      <w:pPr>
        <w:spacing w:before="160" w:after="40" w:line="240" w:lineRule="auto"/>
      </w:pPr>
      <w:r>
        <w:rPr>
          <w:b/>
        </w:rPr>
        <w:t xml:space="preserve">[542] </w:t>
      </w:r>
      <w:hyperlink r:id="rId1409">
        <w:r>
          <w:rPr>
            <w:color w:val="1155CC"/>
            <w:u w:val="single"/>
          </w:rPr>
          <w:t>基于流匹配的高效数据生成方法用于不平衡数据条件下的轴承故障诊断</w:t>
        </w:r>
      </w:hyperlink>
    </w:p>
    <w:p>
      <w:pPr>
        <w:spacing w:before="0" w:after="80"/>
      </w:pPr>
      <w:r>
        <w:rPr>
          <w:i/>
          <w:sz w:val="20"/>
        </w:rPr>
        <w:t>EN: An Efficient Data Generation Method Based on Flow Matching for Bearing Fault Diagnosis Under Imbalanced Data Conditions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410">
        <w:r>
          <w:rPr>
            <w:color w:val="1155CC"/>
            <w:u w:val="single"/>
          </w:rPr>
          <w:t>10.1109/tec.2026.3681597</w:t>
        </w:r>
      </w:hyperlink>
    </w:p>
    <w:p>
      <w:pPr>
        <w:spacing w:before="0" w:after="120"/>
      </w:pPr>
      <w:r>
        <w:rPr>
          <w:b/>
        </w:rPr>
        <w:t xml:space="preserve">Notes: </w:t>
      </w:r>
      <w:r>
        <w:t>abstract_source=semanticscholar</w:t>
      </w:r>
    </w:p>
    <w:p>
      <w:pPr>
        <w:spacing w:before="0" w:after="80" w:lineRule="auto" w:line="276"/>
      </w:pPr>
      <w:r>
        <w:rPr>
          <w:b/>
        </w:rPr>
        <w:t xml:space="preserve">摘要（ZH）: </w:t>
      </w:r>
      <w:r>
        <w:t>故障诊断过程在很大程度上受到不平衡数据集的制约，因为故障数据的缺乏会导致模型诊断性能较差。为克服这一问题，研究者采用了生成对抗网络（GAN）。然而，GAN常常存在训练不稳定且易发生模式坍塌的问题，这一关键缺陷会导致生成器产生种类非常有限的输出。因此，本文针对不平衡数据下的轴承故障诊断领域，提出了一种基于流匹配的高效数据增强框架。首先，利用振动信号的连续小波变换训练条件流匹配模型。训练完成后，该模型可将随机高斯噪声向量转换为高保真时频谱，从而生成新的合成数据。该方法的一个关键优势在于其计算效率，模型仅需5-15个生成步骤即可产生多样且逼真的样本，与传统扩散模型相比显著缩短了生成时间。此外，为了全面评估合成样本的多样性和保真度，采用了多种评估技术，例如核初始距离（KID）、GAN-test/GAN-train指标以及所学特征空间的t分布随机邻域嵌入（t-SNE）可视化。最终，进行了一系列不平衡故障诊断实验以验证所提方法的实际有效性，最终诊断准确率分别达到95.90%和97.3</w:t>
      </w:r>
    </w:p>
    <w:p>
      <w:pPr>
        <w:spacing w:before="0" w:after="200" w:lineRule="auto" w:line="276"/>
      </w:pPr>
      <w:r>
        <w:rPr>
          <w:b/>
        </w:rPr>
        <w:t xml:space="preserve">Abstract (EN): </w:t>
      </w:r>
      <w:r>
        <w:t>The process of fault diagnosis is greatly constrained by imbalanced datasets, as a lack of fault data results in models with poor diagnostic performance. To overcome this issue, generative adversarial networks (GANs) have been utilized. However, they often suffer from training instability and are prone to mode collapse, where this critical issue causes the generator to produce a very limited variety of outputs. Consequently, this article proposes an efficient data augmentation framework based on flow matching for the domain of bearing fault diagnosis under imbalanced data. First, the continuous wavelet transform of vibration signals is employed to train a conditional flow matching model. After training, the model can generate new synthetic data by transforming a random Gaussian noise vector into a high-fidelity time–frequency spectrum. A key advantage of this approach is its computational efficiency, where the model produces diverse and authentic samples with as few as 5-15 generation steps, significantly reducing the generation time compared to traditional diffusion models. Furthermore, to comprehensively evaluate the diversity and fidelity of synthesized samples, various evaluation techniques, such as kernel inception distance (KID), the GAN-test/GAN-train metric and t-distributed stochastic neighbor embedding (t-SNE) visualizations of the learned feature space, are employed. Ultimately, a series of imbalanced fault diagnosis experiments was conducted to validate the practical effectiveness of the proposed method, resulting in final diagnosis accuracies of 95.90% and 97.31% on two widely used datasets and 98.81% on an actual test bed.</w:t>
      </w:r>
    </w:p>
    <w:p>
      <w:pPr>
        <w:spacing w:before="120" w:after="120"/>
      </w:pPr>
      <w:r>
        <w:rPr>
          <w:sz w:val="18"/>
        </w:rPr>
        <w:t>——————————————————————————————————————————————————————————————————————</w:t>
      </w:r>
    </w:p>
    <w:p>
      <w:pPr>
        <w:spacing w:before="160" w:after="40" w:line="240" w:lineRule="auto"/>
      </w:pPr>
      <w:r>
        <w:rPr>
          <w:b/>
        </w:rPr>
        <w:t xml:space="preserve">[543] </w:t>
      </w:r>
      <w:hyperlink r:id="rId1411">
        <w:r>
          <w:rPr>
            <w:color w:val="1155CC"/>
            <w:u w:val="single"/>
          </w:rPr>
          <w:t>极端事件下电网基础设施时空风险解析模型</w:t>
        </w:r>
      </w:hyperlink>
    </w:p>
    <w:p>
      <w:pPr>
        <w:spacing w:before="0" w:after="80"/>
      </w:pPr>
      <w:r>
        <w:rPr>
          <w:i/>
          <w:sz w:val="20"/>
        </w:rPr>
        <w:t>EN: An Analytical Model for Spatiotemporal Risk of Grid Infrastructure Under Extreme Events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12">
        <w:r>
          <w:rPr>
            <w:color w:val="1155CC"/>
            <w:u w:val="single"/>
          </w:rPr>
          <w:t>10.1109/tpwrs.2026.3695692</w:t>
        </w:r>
      </w:hyperlink>
    </w:p>
    <w:p>
      <w:pPr>
        <w:spacing w:before="0" w:after="120"/>
      </w:pPr>
      <w:r>
        <w:rPr>
          <w:b/>
        </w:rPr>
        <w:t xml:space="preserve">Notes: </w:t>
      </w:r>
      <w:r>
        <w:t>abstract_source=semanticscholar</w:t>
      </w:r>
    </w:p>
    <w:p>
      <w:pPr>
        <w:spacing w:before="0" w:after="80" w:lineRule="auto" w:line="276"/>
      </w:pPr>
      <w:r>
        <w:rPr>
          <w:b/>
        </w:rPr>
        <w:t xml:space="preserve">摘要（ZH）: </w:t>
      </w:r>
      <w:r>
        <w:t>在极端事件下准确量化电网基础设施的时空风险，对于确保系统稳定性与韧性至关重要。最近提出的基于灾害抗力的时空风险分析（HRSRA）模型解决了广泛使用的序贯蒙特卡洛方法的一个关键局限，即该方法在时间序列分析中因重复采样而倾向于高估基础设施损坏风险。然而，HRSRA方法依赖于大量仿真。本文提出了一种解析框架，并推导了关键统计指标的闭式表达式，用于量化极端事件期间电网基础设施的风险。该解析方法无需进行HRSRA的数值仿真，其结果与波多黎各的停电观测数据吻合良好。</w:t>
      </w:r>
    </w:p>
    <w:p>
      <w:pPr>
        <w:spacing w:before="0" w:after="200" w:lineRule="auto" w:line="276"/>
      </w:pPr>
      <w:r>
        <w:rPr>
          <w:b/>
        </w:rPr>
        <w:t xml:space="preserve">Abstract (EN): </w:t>
      </w:r>
      <w:r>
        <w:t>Accurately quantifying the spatiotemporal risks to power grid infrastructure under extreme events is critical to ensuring system stability and resilience. The recently proposed hazard resistance-based spatiotemporal risk analysis (HRSRA) model addresses a key limitation of the widely used Sequential Monte Carlo method, which tends to overestimate infrastructure damage risk due to repeated sampling in time-series analysis. However, the HRSRA method relies on extensive simulations. This letter proposes an analytical framework and derives closed-form expressions for key statistical metrics to quantify grid infrastructure risk during extreme events. Bypassing the numerical simulations of HRSRA, the proposed analytical method agrees well with power outage observations in Puerto Rico.</w:t>
      </w:r>
    </w:p>
    <w:p>
      <w:pPr>
        <w:spacing w:before="120" w:after="120"/>
      </w:pPr>
      <w:r>
        <w:rPr>
          <w:sz w:val="18"/>
        </w:rPr>
        <w:t>——————————————————————————————————————————————————————————————————————</w:t>
      </w:r>
    </w:p>
    <w:p>
      <w:pPr>
        <w:spacing w:before="160" w:after="40" w:line="240" w:lineRule="auto"/>
      </w:pPr>
      <w:r>
        <w:rPr>
          <w:b/>
        </w:rPr>
        <w:t xml:space="preserve">[544] </w:t>
      </w:r>
      <w:hyperlink r:id="rId1413">
        <w:r>
          <w:rPr>
            <w:color w:val="1155CC"/>
            <w:u w:val="single"/>
          </w:rPr>
          <w:t>用于机械变色光学与触觉感知的自愈合及环境稳定超分子液晶凝胶</w:t>
        </w:r>
      </w:hyperlink>
    </w:p>
    <w:p>
      <w:pPr>
        <w:spacing w:before="0" w:after="80"/>
      </w:pPr>
      <w:r>
        <w:rPr>
          <w:i/>
          <w:sz w:val="20"/>
        </w:rPr>
        <w:t>EN: Self‐Healing and Environmentally Stable Supramolecular Liquid Crystalline Gels for Mechanochromic Optics and Tactile Sensing</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1414">
        <w:r>
          <w:rPr>
            <w:color w:val="1155CC"/>
            <w:u w:val="single"/>
          </w:rPr>
          <w:t>10.1002/adma.74899</w:t>
        </w:r>
      </w:hyperlink>
    </w:p>
    <w:p>
      <w:pPr>
        <w:spacing w:before="0" w:after="120"/>
      </w:pPr>
      <w:r>
        <w:rPr>
          <w:b/>
        </w:rPr>
        <w:t xml:space="preserve">Notes: </w:t>
      </w:r>
      <w:r>
        <w:t>abstract_source=crossref</w:t>
      </w:r>
    </w:p>
    <w:p>
      <w:pPr>
        <w:spacing w:before="0" w:after="80" w:lineRule="auto" w:line="276"/>
      </w:pPr>
      <w:r>
        <w:rPr>
          <w:b/>
        </w:rPr>
        <w:t xml:space="preserve">摘要（ZH）: </w:t>
      </w:r>
      <w:r>
        <w:t>摘要 力致变色材料在防伪、信息加密和智能传感方面具有广阔的应用前景。然而，现有材料在实现宽变色范围、稳健的动态网络以及环境适应性方面长期面临挑战。本文中，我们通过液晶分子与丙烯酸酯共聚物之间的偶极–π和π–π相互作用的协同效应构建了三维动态交联网络。所得超分子液晶凝胶（SLCG）通过超分子相互作用的解离展现出宽范围的干涉色变化和优异的力学性能。同时，精心设计的动态网络赋予SLCG自恢复、可回收和自修复能力。SLCG还能有效屏蔽不利环境影响，使其在宽温度范围和水下均能实现稳定的力致变色性能。随后，SLCG可作为智能平台应用于信息加密、按需显示和可视化触觉传感系统。本工作为高性能力致变色材料的开发及其融入下一代智能应用铺平了道路。</w:t>
      </w:r>
    </w:p>
    <w:p>
      <w:pPr>
        <w:spacing w:before="0" w:after="200" w:lineRule="auto" w:line="276"/>
      </w:pPr>
      <w:r>
        <w:rPr>
          <w:b/>
        </w:rPr>
        <w:t xml:space="preserve">Abstract (EN): </w:t>
      </w:r>
      <w:r>
        <w:t>Mechanochromic materials hold great promise for applications in anti‐counterfeiting, information encryption, and intelligent sensing. However, existing materials face long‐term challenges in achieving a wide color‐changing range, a robust dynamic network, and environmental adaptability. Herein, we constructed a 3D dynamic cross‐linked network through the synergistic effect of dipole–π and π–π interactions between liquid crystal molecules and acrylate copolymers. The resulting supramolecular liquid crystalline gel (SLCG) exhibited a wide range of interference color changes and excellent mechanical properties through the dissociation of supramolecular interactions. Meanwhile, the well‐designed dynamic network endowed the SLCG with self‐recovery, recycling, and self‐healing abilities. The SLCG can also effectively shield against adverse environmental effects, enabling stable mechanochromic performance across a broad temperature range and underwater. Subsequently, the SLCG can serve as an intelligent platform for applications in information encryption, on‐demand display, and visualized tactile sensing systems. This work paves the way for the development of high‐performance mechanochromic materials and their integration into next‐generation intelligent applications.</w:t>
      </w:r>
    </w:p>
    <w:p>
      <w:pPr>
        <w:spacing w:before="120" w:after="120"/>
      </w:pPr>
      <w:r>
        <w:rPr>
          <w:sz w:val="18"/>
        </w:rPr>
        <w:t>——————————————————————————————————————————————————————————————————————</w:t>
      </w:r>
    </w:p>
    <w:p>
      <w:pPr>
        <w:spacing w:before="160" w:after="40" w:line="240" w:lineRule="auto"/>
      </w:pPr>
      <w:r>
        <w:rPr>
          <w:b/>
        </w:rPr>
        <w:t xml:space="preserve">[545] </w:t>
      </w:r>
      <w:hyperlink r:id="rId1415">
        <w:r>
          <w:rPr>
            <w:color w:val="1155CC"/>
            <w:u w:val="single"/>
          </w:rPr>
          <w:t>二维铁磁体 Fe 3 GaTe 2 中通过集体自旋织构转变运行的室温斯格明子突触 (Adv. Mater. 49/2026)</w:t>
        </w:r>
      </w:hyperlink>
    </w:p>
    <w:p>
      <w:pPr>
        <w:spacing w:before="0" w:after="80"/>
      </w:pPr>
      <w:r>
        <w:rPr>
          <w:i/>
          <w:sz w:val="20"/>
        </w:rPr>
        <w:t>EN: Room‐Temperature Skyrmionic Synapse in 2D Ferromagnet Fe 3 GaTe 2 Operating via Collective Spin Texture Transformation (Adv. Mater. 49/2026)</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1416">
        <w:r>
          <w:rPr>
            <w:color w:val="1155CC"/>
            <w:u w:val="single"/>
          </w:rPr>
          <w:t>10.1002/adma.74794</w:t>
        </w:r>
      </w:hyperlink>
    </w:p>
    <w:p>
      <w:pPr>
        <w:spacing w:before="0" w:after="120"/>
      </w:pPr>
      <w:r>
        <w:rPr>
          <w:b/>
        </w:rPr>
        <w:t xml:space="preserve">Notes: </w:t>
      </w:r>
      <w:r>
        <w:t>abstract_source=openalex</w:t>
      </w:r>
    </w:p>
    <w:p>
      <w:pPr>
        <w:spacing w:before="0" w:after="80" w:lineRule="auto" w:line="276"/>
      </w:pPr>
      <w:r>
        <w:rPr>
          <w:b/>
        </w:rPr>
        <w:t xml:space="preserve">摘要（ZH）: </w:t>
      </w:r>
      <w:r>
        <w:t>室温斯格明子突触 受人脑启发，斯格明子突触是可持续人工智能的一个令人兴奋的平台。通过利用二维磁体Fe3GaTe2中的集体拓扑自旋织构变换，本工作实现了确定性的室温突触行为，在可扩展的范德华材料平台上结合了超低能耗运行、多级存储和高性能神经形态计算。更多详情见Elton J.G. Santos、Xiaoqian Zhang、Peng Li及其合作者的研究论文（DOI: 10.1002/adma.202520288）。</w:t>
      </w:r>
    </w:p>
    <w:p>
      <w:pPr>
        <w:spacing w:before="0" w:after="200" w:lineRule="auto" w:line="276"/>
      </w:pPr>
      <w:r>
        <w:rPr>
          <w:b/>
        </w:rPr>
        <w:t xml:space="preserve">Abstract (EN): </w:t>
      </w:r>
      <w:r>
        <w:t>Room-Temperature Skyrmionic Synapse Inspired by the human brain, skyrmionic synapses represent an exciting platform for sustainable artificial intelligence. By harnessing collective topological spin-texture transformations in the two-dimensional magnet Fe3GaTe2, this work achieves deterministic room-temperature synaptic behaviour, combining ultralow-energy operation, multi-level memory, and high-performance neuromorphic computing within a scalable van der Waals material platform. More details can be found in the Research Article by Elton J.G. Santos, Xiaoqian Zhang, Peng Li, and co-workers (DOI: 10.1002/adma.202520288).</w:t>
      </w:r>
    </w:p>
    <w:p>
      <w:pPr>
        <w:spacing w:before="120" w:after="120"/>
      </w:pPr>
      <w:r>
        <w:rPr>
          <w:sz w:val="18"/>
        </w:rPr>
        <w:t>——————————————————————————————————————————————————————————————————————</w:t>
      </w:r>
    </w:p>
    <w:p>
      <w:pPr>
        <w:spacing w:before="160" w:after="40" w:line="240" w:lineRule="auto"/>
      </w:pPr>
      <w:r>
        <w:rPr>
          <w:b/>
        </w:rPr>
        <w:t xml:space="preserve">[546] </w:t>
      </w:r>
      <w:hyperlink r:id="rId1417">
        <w:r>
          <w:rPr>
            <w:color w:val="1155CC"/>
            <w:u w:val="single"/>
          </w:rPr>
          <w:t>采用动态状态估计的通信故障与网络攻击鲁棒广域失步预测方案</w:t>
        </w:r>
      </w:hyperlink>
    </w:p>
    <w:p>
      <w:pPr>
        <w:spacing w:before="0" w:after="80"/>
      </w:pPr>
      <w:r>
        <w:rPr>
          <w:i/>
          <w:sz w:val="20"/>
        </w:rPr>
        <w:t>EN: A Communication Failure and Cyber-Attack Resilient Wide-Area Out-of-Step Prediction Scheme Using Dynamic State Estimation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18">
        <w:r>
          <w:rPr>
            <w:color w:val="1155CC"/>
            <w:u w:val="single"/>
          </w:rPr>
          <w:t>10.1109/tpwrs.2026.3684825</w:t>
        </w:r>
      </w:hyperlink>
    </w:p>
    <w:p>
      <w:pPr>
        <w:spacing w:before="0" w:after="120"/>
      </w:pPr>
      <w:r>
        <w:rPr>
          <w:b/>
        </w:rPr>
        <w:t xml:space="preserve">Notes: </w:t>
      </w:r>
      <w:r>
        <w:t>abstract_source=semanticscholar</w:t>
      </w:r>
    </w:p>
    <w:p>
      <w:pPr>
        <w:spacing w:before="0" w:after="80" w:lineRule="auto" w:line="276"/>
      </w:pPr>
      <w:r>
        <w:rPr>
          <w:b/>
        </w:rPr>
        <w:t xml:space="preserve">摘要（ZH）: </w:t>
      </w:r>
      <w:r>
        <w:t>失步（OOS）预测对于降低电力系统部件所承受的机械和电气应力至关重要。一种可靠的策略是利用广域测量系统（WAMS）监视输电线路上电压相角差和发电机转子角的动态行为。然而，相量测量单元（PMU）的有限可用性带来了挑战，因为并非所有母线都有电压相角测量。此外，转子角无法直接测量，必须进行估计。本文提出了一种基于动态状态估计（DSE）的OOS预测方案，可同时估计代数状态和动态状态。通过计算滑差频率和电压相角差的加速度，在滑差-加速度平面上跟踪电气中心轨迹来预测其位置。类似的方法基于估计的转子角用于预测发电机OOS。由于该方案依赖WAMS数据，因此容易受到虚假数据注入攻击（FDIA）、拒绝服务攻击（DoSA）和通信故障等网络威胁的影响。为提高鲁棒性，所提方法将惩罚加权最小二乘（PWLS）方法融入扩展卡尔曼滤波器（EKF）中，以检测和缓解攻击并处理数据丢失。该方案在IEEE 39节点测试系统上在各种网络拓扑和攻击场景下得到了验证。</w:t>
      </w:r>
    </w:p>
    <w:p>
      <w:pPr>
        <w:spacing w:before="0" w:after="200" w:lineRule="auto" w:line="276"/>
      </w:pPr>
      <w:r>
        <w:rPr>
          <w:b/>
        </w:rPr>
        <w:t xml:space="preserve">Abstract (EN): </w:t>
      </w:r>
      <w:r>
        <w:t>Out-of-step (OOS) prediction isessential for reducing mechanical and electrical stress on power system components. A reliable strategy involves using wide-area measurement systems (WAMS) to monitor the dynamic behavior of voltage angle differences across transmission lines and generator rotor angles. However, the limited availability of phasor measurement units (PMUs) presents a challenge, as voltage angle measurements are not available at all buses. Moreover, rotor angles cannot be directly measured and must be estimated. This paper proposes an OOS prediction scheme based on dynamic state estimation (DSE), which concurrently estimates both algebraic and dynamic states. By calculating the slip frequency and the acceleration of voltage angle differences, the electrical center's location is predicted by tracking its trajectory on the slip-acceleration plane. A similar approach is used to predict generator OOS based on the estimated rotor angles. Since the scheme depends on WAMS data, it is susceptible to cyber-threats such as false data injection attacks (FDIAs), denial-of-service attacks (DoSAs), and communication failures. To improve resilience, the proposed method integrates a penalized weighted least squares (PWLS) approach into an extended Kalman filter (EKF) for detecting and mitigating attacks and handling data loss. The scheme is validated on the IEEE 39-bus test system under various network topologies and attack scenarios.</w:t>
      </w:r>
    </w:p>
    <w:p>
      <w:pPr>
        <w:spacing w:before="120" w:after="120"/>
      </w:pPr>
      <w:r>
        <w:rPr>
          <w:sz w:val="18"/>
        </w:rPr>
        <w:t>——————————————————————————————————————————————————————————————————————</w:t>
      </w:r>
    </w:p>
    <w:p>
      <w:pPr>
        <w:spacing w:before="160" w:after="40" w:line="240" w:lineRule="auto"/>
      </w:pPr>
      <w:r>
        <w:rPr>
          <w:b/>
        </w:rPr>
        <w:t xml:space="preserve">[547] </w:t>
      </w:r>
      <w:hyperlink r:id="rId1419">
        <w:r>
          <w:rPr>
            <w:color w:val="1155CC"/>
            <w:u w:val="single"/>
          </w:rPr>
          <w:t>机制驱动的纳米制剂用于治疗间歇性缺氧与牙周炎诱导的认知障碍 (Adv. Mater. 49/2026)</w:t>
        </w:r>
      </w:hyperlink>
    </w:p>
    <w:p>
      <w:pPr>
        <w:spacing w:before="0" w:after="80"/>
      </w:pPr>
      <w:r>
        <w:rPr>
          <w:i/>
          <w:sz w:val="20"/>
        </w:rPr>
        <w:t>EN: Mechanism‐Driven Nanoformulations for Cognitive Impairment Induced by Intermittent Hypoxia and Periodontitis (Adv. Mater. 49/2026)</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1420">
        <w:r>
          <w:rPr>
            <w:color w:val="1155CC"/>
            <w:u w:val="single"/>
          </w:rPr>
          <w:t>10.1002/adma.74796</w:t>
        </w:r>
      </w:hyperlink>
    </w:p>
    <w:p>
      <w:pPr>
        <w:spacing w:before="0" w:after="120"/>
      </w:pPr>
      <w:r>
        <w:rPr>
          <w:b/>
        </w:rPr>
        <w:t xml:space="preserve">Notes: </w:t>
      </w:r>
      <w:r>
        <w:t>abstract_source=openalex</w:t>
      </w:r>
    </w:p>
    <w:p>
      <w:pPr>
        <w:spacing w:before="0" w:after="80" w:lineRule="auto" w:line="276"/>
      </w:pPr>
      <w:r>
        <w:rPr>
          <w:b/>
        </w:rPr>
        <w:t xml:space="preserve">摘要（ZH）: </w:t>
      </w:r>
      <w:r>
        <w:t>认知障碍 受中国神话哪吒的启发，Janus“魔丸”呈现出不对称结构：结合RVG多肽的Au域靶向神经元，而带有TPP配体的mSiO2域则归巢至线粒体，并包封维生素B2。一艘线粒体之舟漂浮于神经元表面，当魔丸靠近时ROS被清除，象征着精准递送与分级靶向。更多细节见Kai-Run Zhang、Xiaomin Li、Jun Gao、Yue-Hua Liu及其同事的研究论文（DOI: 10.1002/adma.73920）。</w:t>
      </w:r>
    </w:p>
    <w:p>
      <w:pPr>
        <w:spacing w:before="0" w:after="200" w:lineRule="auto" w:line="276"/>
      </w:pPr>
      <w:r>
        <w:rPr>
          <w:b/>
        </w:rPr>
        <w:t xml:space="preserve">Abstract (EN): </w:t>
      </w:r>
      <w:r>
        <w:t>Cognitive Impairment Inspired by the Chinese myth of Nezha, the Janus “magic pill” shows an asymmetric structure: the Au domain with RVG peptide targets neurons, while the mSiO2 domain with TPP ligands homes to mitochondria, encapsulating vitamin B2. A mitochondrial boat floats on a neuronal surface, where ROS are scavenged as the pill approaches, symbolizing precision delivery and hierarchical targeting. More details can be found in the Research Article by Kai-Run Zhang, Xiaomin Li, Jun Gao, Yue-Hua Liu, and co-workers (DOI: 10.1002/adma.73920).</w:t>
      </w:r>
    </w:p>
    <w:p>
      <w:pPr>
        <w:spacing w:before="120" w:after="120"/>
      </w:pPr>
      <w:r>
        <w:rPr>
          <w:sz w:val="18"/>
        </w:rPr>
        <w:t>——————————————————————————————————————————————————————————————————————</w:t>
      </w:r>
    </w:p>
    <w:p>
      <w:pPr>
        <w:spacing w:before="160" w:after="40" w:line="240" w:lineRule="auto"/>
      </w:pPr>
      <w:r>
        <w:rPr>
          <w:b/>
        </w:rPr>
        <w:t xml:space="preserve">[548] </w:t>
      </w:r>
      <w:hyperlink r:id="rId1421">
        <w:r>
          <w:rPr>
            <w:color w:val="1155CC"/>
            <w:u w:val="single"/>
          </w:rPr>
          <w:t>重塑骨质疏松性骨缺损感染再生微环境的多功能仿生特洛伊木马纳米系统</w:t>
        </w:r>
      </w:hyperlink>
    </w:p>
    <w:p>
      <w:pPr>
        <w:spacing w:before="0" w:after="80"/>
      </w:pPr>
      <w:r>
        <w:rPr>
          <w:i/>
          <w:sz w:val="20"/>
        </w:rPr>
        <w:t>EN: Multifunctional Biomimetic Trojan Horse Nanosystem for Remodeling Infected Regenerative Microenvironments in Osteoporotic Bone Defects</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1422">
        <w:r>
          <w:rPr>
            <w:color w:val="1155CC"/>
            <w:u w:val="single"/>
          </w:rPr>
          <w:t>10.1002/adma.74669</w:t>
        </w:r>
      </w:hyperlink>
    </w:p>
    <w:p>
      <w:pPr>
        <w:spacing w:before="0" w:after="120"/>
      </w:pPr>
      <w:r>
        <w:rPr>
          <w:b/>
        </w:rPr>
        <w:t xml:space="preserve">Notes: </w:t>
      </w:r>
      <w:r>
        <w:t>abstract_source=crossref</w:t>
      </w:r>
    </w:p>
    <w:p>
      <w:pPr>
        <w:spacing w:before="0" w:after="80" w:lineRule="auto" w:line="276"/>
      </w:pPr>
      <w:r>
        <w:rPr>
          <w:b/>
        </w:rPr>
        <w:t xml:space="preserve">摘要（ZH）: </w:t>
      </w:r>
      <w:r>
        <w:t>摘要 感染是骨质疏松性骨折最常见的并发症，其特点常为细菌耐药性和胞内感染，给骨质疏松性骨折的治疗带来重大挑战。在此，我们开发了一种基于羟基磷灰石纳米管（NT‐HA）的多功能仿生特洛伊木马纳米系统，用于微环境重塑。NT‐HA采用双阶段抗菌肽（AMP）递送策略：表面吸附的AMP快速释放以清除胞外细菌，而NT‐HA通过内吞作用被内化后释放包封的AMP，从而高效清除胞内细菌。在释放AMP后，NT‐HA可调控PI3K‐AKT信号级联反应，促进骨质疏松性骨髓间充质干细胞（OBMSCs）的定向成骨分化。在体内感染性骨质疏松性骨缺损修复中，该特洛伊木马纳米系统不仅通过消除细胞内感染和诱导OBMSCs成骨来增强骨再生，还能减少种植体周围骨丢失并增强骨强度，最终重塑再生微环境，实现最佳的骨缺损修复与功能重建。</w:t>
      </w:r>
    </w:p>
    <w:p>
      <w:pPr>
        <w:spacing w:before="0" w:after="200" w:lineRule="auto" w:line="276"/>
      </w:pPr>
      <w:r>
        <w:rPr>
          <w:b/>
        </w:rPr>
        <w:t xml:space="preserve">Abstract (EN): </w:t>
      </w:r>
      <w:r>
        <w:t>Infection is the most common complication of osteoporotic fractures, often characterized by bacterial resistance and intracellular infection, posing a major challenge in the treatment of osteoporotic fractures. Here, we developed a multifunctional biomimetic Trojan horse nanosystem based on hydroxyapatite nanotubes (NT‐HA) for microenvironment remodeling. The NT‐HA exhibits a dual‐stage antimicrobial peptide (AMP) delivery strategy, in which surface‐adsorbed AMPs are rapidly released to eliminate extracellular bacteria, while NT‐HA is internalized via endocytosis to release encapsulated AMPs for efficient intracellular bacterial clearance. After releasing AMPs, the NT‐HA can regulate the PI3K‐AKT signaling cascade, promoting the directed osteogenic differentiation of osteoporotic bone marrow mesenchymal stem cells (OBMSCs). In the repair of infected osteoporotic bone defects in vivo, this Trojan horse nanosystem not only enhances bone regeneration by eliminating cellular infections and inducing OBMSCs osteogenesis but also reduces peri‐implant bone loss and strengthens bone strength, ultimately remodeling the regenerative microenvironment to achieve optimal bone defect repair and functional reconstruction.</w:t>
      </w:r>
    </w:p>
    <w:p>
      <w:pPr>
        <w:spacing w:before="120" w:after="120"/>
      </w:pPr>
      <w:r>
        <w:rPr>
          <w:sz w:val="18"/>
        </w:rPr>
        <w:t>——————————————————————————————————————————————————————————————————————</w:t>
      </w:r>
    </w:p>
    <w:p>
      <w:pPr>
        <w:spacing w:before="160" w:after="40" w:line="240" w:lineRule="auto"/>
      </w:pPr>
      <w:r>
        <w:rPr>
          <w:b/>
        </w:rPr>
        <w:t xml:space="preserve">[549] </w:t>
      </w:r>
      <w:hyperlink r:id="rId1423">
        <w:r>
          <w:rPr>
            <w:color w:val="1155CC"/>
            <w:u w:val="single"/>
          </w:rPr>
          <w:t>基于细胞响应糖原纳米颗粒作为代谢电池的自喂养活性材料</w:t>
        </w:r>
      </w:hyperlink>
    </w:p>
    <w:p>
      <w:pPr>
        <w:spacing w:before="0" w:after="80"/>
      </w:pPr>
      <w:r>
        <w:rPr>
          <w:i/>
          <w:sz w:val="20"/>
        </w:rPr>
        <w:t>EN: Self‐Feeding Living Materials Enabled by Cell Responsive Glycogen Nanoparticles as Metabolic Batteries</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1424">
        <w:r>
          <w:rPr>
            <w:color w:val="1155CC"/>
            <w:u w:val="single"/>
          </w:rPr>
          <w:t>10.1002/adma.74812</w:t>
        </w:r>
      </w:hyperlink>
    </w:p>
    <w:p>
      <w:pPr>
        <w:spacing w:before="0" w:after="120"/>
      </w:pPr>
      <w:r>
        <w:rPr>
          <w:b/>
        </w:rPr>
        <w:t xml:space="preserve">Notes: </w:t>
      </w:r>
      <w:r>
        <w:t>abstract_source=crossref</w:t>
      </w:r>
    </w:p>
    <w:p>
      <w:pPr>
        <w:spacing w:before="0" w:after="80" w:lineRule="auto" w:line="276"/>
      </w:pPr>
      <w:r>
        <w:rPr>
          <w:b/>
        </w:rPr>
        <w:t xml:space="preserve">摘要（ZH）: </w:t>
      </w:r>
      <w:r>
        <w:t>摘要 将工程化活体材料放大至临床相关尺寸受到氧气和营养物质扩散依赖性耗竭的限制，后者会迅速诱发代谢衰竭。我们引入糖原作为一种营养纳米颗粒，可提供细胞介导的自主营养释放，以支持极端代谢应激下的长期存活。我们证明，人间充质基质细胞（hMSCs）在获得胞外糖原后，可在缺氧和血清剥夺条件下存活数周。与长期持有的假设相反，hMSCs可分泌糖原降解酶，实现受细胞密度控制的胞外糖原分解以及葡萄糖和代谢中间产物的持续释放，使糖原成为首创性的“代谢电池”。这种细胞响应过程可维持代谢活动、限制糖酵解性酸中毒并增强促血管生成信号。为将这一机制转化为通用材料平台，我们设计了核壳型葡聚糖-酪胺微胶囊，其可稳定包封糖原，同时允许酶和降解产物的扩散。将其整合到厘米级GelMA构建体中后，这些微胶囊在缺氧条件下维持hMSC的活力和功能至少1个月。在体内，负载糖原的植入物可促进深层细胞浸润、增强基质重塑、增加M2巨噬细胞极化，并协调加速血管化。这项工作确立了基于糖原的营养纳米颗粒作为代谢电池的新概念，以赋予工程化组织自主自养能力</w:t>
      </w:r>
    </w:p>
    <w:p>
      <w:pPr>
        <w:spacing w:before="0" w:after="200" w:lineRule="auto" w:line="276"/>
      </w:pPr>
      <w:r>
        <w:rPr>
          <w:b/>
        </w:rPr>
        <w:t xml:space="preserve">Abstract (EN): </w:t>
      </w:r>
      <w:r>
        <w:t>Scaling engineered living materials to clinically relevant dimensions is limited by diffusion‐dependent depletion of oxygen and nutrients, which rapidly induces metabolic failure. We introduce glycogen as a nutritional nanoparticle that provides cell‐mediated, autonomous nutrient release to support long‐term survival under extreme metabolic stress. We demonstrate that human mesenchymal stromal cells (hMSCs) survive for weeks in anoxia and serum deprivation when provided extracellular glycogen. Contrary to long‐held assumptions, hMSCs secrete glycogen‐degrading enzymes, enabling cell‐density‐controlled extracellular glycogenolysis and sustained release of glucose and metabolic intermediates, positioning glycogen as the first‐of‐its‐kind metabolic battery. This cell‐responsive process maintains metabolic activity, limits glycolytic acidosis, and enhances pro‐angiogenic signaling. To translate this mechanism into a versatile materials platform, we engineered core‐shell dextran‐tyramine microcapsules that stably encapsulate glycogen while permitting diffusion of enzymes and degradation products. Integrated into centimeter‐scale GelMA constructs, these microcapsules maintained hMSC viability and function for at least 1 month under anoxia. In vivo, glycogen‐loaded implants promote deep cellular infiltration, enhanced matrix remodeling, increased M2 macrophage polarization, and orchestrated accelerated vascularization. This work establishes the novel concept of glycogen‐based nutritional nanoparticles as metabolic batteries to endow engineered tissues with autonomous self‐feeding capacity, enabling scalable and functional living materials for regenerative medicine and related technologies.</w:t>
      </w:r>
    </w:p>
    <w:p>
      <w:pPr>
        <w:spacing w:before="120" w:after="120"/>
      </w:pPr>
      <w:r>
        <w:rPr>
          <w:sz w:val="18"/>
        </w:rPr>
        <w:t>——————————————————————————————————————————————————————————————————————</w:t>
      </w:r>
    </w:p>
    <w:p>
      <w:pPr>
        <w:spacing w:before="160" w:after="40" w:line="240" w:lineRule="auto"/>
      </w:pPr>
      <w:r>
        <w:rPr>
          <w:b/>
        </w:rPr>
        <w:t xml:space="preserve">[550] </w:t>
      </w:r>
      <w:hyperlink r:id="rId1425">
        <w:r>
          <w:rPr>
            <w:color w:val="1155CC"/>
            <w:u w:val="single"/>
          </w:rPr>
          <w:t>高功率密度双边双磁体定子-动子直线振荡电机的设计与分析</w:t>
        </w:r>
      </w:hyperlink>
    </w:p>
    <w:p>
      <w:pPr>
        <w:spacing w:before="0" w:after="80"/>
      </w:pPr>
      <w:r>
        <w:rPr>
          <w:i/>
          <w:sz w:val="20"/>
        </w:rPr>
        <w:t>EN: Design and Analysis of a High-Power-Density Double-Sided Dual-Magnet Stator-Mover Linear Oscillatory Machine</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426">
        <w:r>
          <w:rPr>
            <w:color w:val="1155CC"/>
            <w:u w:val="single"/>
          </w:rPr>
          <w:t>10.1109/tec.2026.3656600</w:t>
        </w:r>
      </w:hyperlink>
    </w:p>
    <w:p>
      <w:pPr>
        <w:spacing w:before="0" w:after="120"/>
      </w:pPr>
      <w:r>
        <w:rPr>
          <w:b/>
        </w:rPr>
        <w:t xml:space="preserve">Notes: </w:t>
      </w:r>
      <w:r>
        <w:t>abstract_source=semanticscholar</w:t>
      </w:r>
    </w:p>
    <w:p>
      <w:pPr>
        <w:spacing w:before="0" w:after="80" w:lineRule="auto" w:line="276"/>
      </w:pPr>
      <w:r>
        <w:rPr>
          <w:b/>
        </w:rPr>
        <w:t xml:space="preserve">摘要（ZH）: </w:t>
      </w:r>
      <w:r>
        <w:t>传统E型直线振荡电机（ELOM）存在气隙磁通密度利用率不足和功率密度低的问题，限制了其更广泛的应用。为提高功率密度，本文提出了一种创新的双边双磁钢定子-动子直线振荡电机（DSLOM），其具有永磁体（PM）-铁芯-PM复合动子结构以及定子侧的磁通切换拓扑，可通过增强气隙磁通密度大幅提高整体输出功率。首先，介绍了DSLOM的拓扑结构和工作原理。然后，考虑到所提出电机的PM磁路与电枢磁路之间的差异，建立了两个独立的等效磁路（EMC）模型，包括考虑中心区域饱和的PM EMC和考虑槽漏磁的电枢EMC。此外，建立并详细分析了关键尺寸参数的全面设计准则。最后，仿真和实验结果表明，与传统ELOM相比，所提出的DSLOM的永磁体利用率提高了17.65%，输出功率密度显著提升，从而验证了所提出拓扑结构的优越性和正确性。</w:t>
      </w:r>
    </w:p>
    <w:p>
      <w:pPr>
        <w:spacing w:before="0" w:after="200" w:lineRule="auto" w:line="276"/>
      </w:pPr>
      <w:r>
        <w:rPr>
          <w:b/>
        </w:rPr>
        <w:t xml:space="preserve">Abstract (EN): </w:t>
      </w:r>
      <w:r>
        <w:t>Conventional E-type linear oscillatory machine (ELOM) suffers from insufficient utilization of air gap flux density and low power density, which limits their wider adoption. In order to improve the power density, this article proposes an innovative double-sided dual-magnet stator-mover LOM (DSLOM) featuring a composite mover structure of permanent magnet (PM)-iron core-PM and a flux switching topology on the stator side, which can greatly improve the overall output power by enhancing the air gap magnetic flux density. First, the topology and operating principle of the DSLOM are presented. Then, considering the differences between the PM magnetic circuit and the armature magnetic circuit of the proposed machine, two separate equivalent magnetic circuit (EMC) models are established, including a PM EMC accounting for center region saturation and an armature EMC considering slot leakage flux. Moreover, comprehensive design guidelines for the key dimensional parameters are established and analyzed in detail. Finally, simulation and experimental results demonstrate that, compared with the conventional ELOM, the proposed DSLOM achieves a 17.65% improvement in permanent-magnet utilization and a significant increase in output power density, thereby validating the superiority and correctness of the proposed topology.</w:t>
      </w:r>
    </w:p>
    <w:p>
      <w:pPr>
        <w:spacing w:before="120" w:after="120"/>
      </w:pPr>
      <w:r>
        <w:rPr>
          <w:sz w:val="18"/>
        </w:rPr>
        <w:t>——————————————————————————————————————————————————————————————————————</w:t>
      </w:r>
    </w:p>
    <w:p>
      <w:pPr>
        <w:spacing w:before="160" w:after="40" w:line="240" w:lineRule="auto"/>
      </w:pPr>
      <w:r>
        <w:rPr>
          <w:b/>
        </w:rPr>
        <w:t xml:space="preserve">[551] </w:t>
      </w:r>
      <w:hyperlink r:id="rId1427">
        <w:r>
          <w:rPr>
            <w:color w:val="1155CC"/>
            <w:u w:val="single"/>
          </w:rPr>
          <w:t>晶格应变与内建电场通过多相异质界面处动态NiOOH介导协同促进尿素氧化</w:t>
        </w:r>
      </w:hyperlink>
    </w:p>
    <w:p>
      <w:pPr>
        <w:spacing w:before="0" w:after="80"/>
      </w:pPr>
      <w:r>
        <w:rPr>
          <w:i/>
          <w:sz w:val="20"/>
        </w:rPr>
        <w:t>EN: Lattice Strain and Built‐In Field Synergistically Boost Urea Oxidation via Dynamic NiOOH Mediation at Multiphase Heterointerfaces</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1428">
        <w:r>
          <w:rPr>
            <w:color w:val="1155CC"/>
            <w:u w:val="single"/>
          </w:rPr>
          <w:t>10.1002/adma.74790</w:t>
        </w:r>
      </w:hyperlink>
    </w:p>
    <w:p>
      <w:pPr>
        <w:spacing w:before="0" w:after="120"/>
      </w:pPr>
      <w:r>
        <w:rPr>
          <w:b/>
        </w:rPr>
        <w:t xml:space="preserve">Notes: </w:t>
      </w:r>
      <w:r>
        <w:t>abstract_source=crossref</w:t>
      </w:r>
    </w:p>
    <w:p>
      <w:pPr>
        <w:spacing w:before="0" w:after="80" w:lineRule="auto" w:line="276"/>
      </w:pPr>
      <w:r>
        <w:rPr>
          <w:b/>
        </w:rPr>
        <w:t xml:space="preserve">摘要（ZH）: </w:t>
      </w:r>
      <w:r>
        <w:t>摘要 镍基异质结电催化剂在尿素氧化反应（UOR）中的实际应用受到活性位点不足和多步反应动力学缓慢的阻碍。在此，制备了硫掺杂木质素衍生碳包覆的Ni‐NiO‐MoO2微纳阵列（Ni‐NiO‐MoO2@SC）以解决这些问题。实验和理论结果表明，多相异质界面由于各组分的功函数和电子结构差异而自发生成内建电场，并同时诱导晶格应变，协同优化电子结构并加速活性NiOOH物种的动态生成。原位电化学表征和密度泛函理论计算进一步证实，所构建的界面促进尿素吸附、促进N─N偶联和C─N键断裂、加速*COOH中间体脱附，并避免NiOOH的过度积累。因此，Ni‐NiO‐MoO2@SC展现出优异的UOR活性，在10/500 mA cm−2下的电位分别低至1.34/1.40 V。此外，硫掺杂碳包覆和微纳阵列结构赋予催化剂优异的耐腐蚀性和传质能力，在膜电极组件中实现长期稳定性（1.53 V、500 mA cm−2下运行500 h）。这项工作为面向尿素电解及更广泛用途的高性能镍基电催化剂提供了一种通用的界面工程与包覆策略。</w:t>
      </w:r>
    </w:p>
    <w:p>
      <w:pPr>
        <w:spacing w:before="0" w:after="200" w:lineRule="auto" w:line="276"/>
      </w:pPr>
      <w:r>
        <w:rPr>
          <w:b/>
        </w:rPr>
        <w:t xml:space="preserve">Abstract (EN): </w:t>
      </w:r>
      <w:r>
        <w:t>The practical application of nickel‐based heterojunction electrocatalysts for the urea oxidation reaction (UOR) is impeded by insufficient active sites and sluggish multi‐step reaction kinetics. Herein, a sulfur‐doped lignin‐derived carbon encapsulated Ni‐NiO‐MoO 2 micro‐nano array (Ni‐NiO‐MoO 2 @SC) is fabricated to tackle these issues. Experimental and theoretical results demonstrate that the multiphase heterointerfaces spontaneously generate a built‐in electric field due to the distinct work function and electronic structure of each component, and simultaneously induce lattice strain, which synergistically optimizes the electronic structure and accelerates the dynamic formation of active NiOOH species. In‐situ electrochemical characterizations and density functional theory calculations further confirm that the engineered interface promotes urea adsorption, facilitates N─N coupling and C─N bond cleavage, expedites *COOH intermediate desorption, and avoids excessive accumulation of NiOOH. Consequently, Ni‐NiO‐MoO 2 @SC delivers superior UOR activity with low potentials of 1.34/1.40 V at 10/500 mA cm −2 , respectively. Moreover, the sulfur‐doped carbon encapsulation and micro‐nano array architecture endow the catalyst with excellent corrosion resistance and mass transport capability, realizing long‐term stability (500 mA cm −2 at 1.53 V for 500 h) in membrane electrode assemblies. This work provides a versatile interface engineering and encapsulation strategy for high‐performance nickel‐based electrocatalysts toward urea electrolysis and beyond.</w:t>
      </w:r>
    </w:p>
    <w:p>
      <w:pPr>
        <w:spacing w:before="120" w:after="120"/>
      </w:pPr>
      <w:r>
        <w:rPr>
          <w:sz w:val="18"/>
        </w:rPr>
        <w:t>——————————————————————————————————————————————————————————————————————</w:t>
      </w:r>
    </w:p>
    <w:p>
      <w:pPr>
        <w:spacing w:before="160" w:after="40" w:line="240" w:lineRule="auto"/>
      </w:pPr>
      <w:r>
        <w:rPr>
          <w:b/>
        </w:rPr>
        <w:t xml:space="preserve">[552] </w:t>
      </w:r>
      <w:hyperlink r:id="rId1429">
        <w:r>
          <w:rPr>
            <w:color w:val="1155CC"/>
            <w:u w:val="single"/>
          </w:rPr>
          <w:t>基于二阶导数和自相关的频率质量指标</w:t>
        </w:r>
      </w:hyperlink>
    </w:p>
    <w:p>
      <w:pPr>
        <w:spacing w:before="0" w:after="80"/>
      </w:pPr>
      <w:r>
        <w:rPr>
          <w:i/>
          <w:sz w:val="20"/>
        </w:rPr>
        <w:t>EN: Frequency Quality Metrics Based on Second-Order Derivative and Autocorrelation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30">
        <w:r>
          <w:rPr>
            <w:color w:val="1155CC"/>
            <w:u w:val="single"/>
          </w:rPr>
          <w:t>10.1109/tpwrs.2026.3707412</w:t>
        </w:r>
      </w:hyperlink>
    </w:p>
    <w:p>
      <w:pPr>
        <w:spacing w:before="0" w:after="120"/>
      </w:pPr>
      <w:r>
        <w:rPr>
          <w:b/>
        </w:rPr>
        <w:t xml:space="preserve">Notes: </w:t>
      </w:r>
      <w:r>
        <w:t>abstract_source=semanticscholar</w:t>
      </w:r>
    </w:p>
    <w:p>
      <w:pPr>
        <w:spacing w:before="0" w:after="80" w:lineRule="auto" w:line="276"/>
      </w:pPr>
      <w:r>
        <w:rPr>
          <w:b/>
        </w:rPr>
        <w:t xml:space="preserve">摘要（ZH）: </w:t>
      </w:r>
      <w:r>
        <w:t>这篇面向工业界的论文源于这样一个观察：输电系统运营商（TSO）目前使用的频率质量指标无法完全刻画电网频率的动态行为。受这一空白的启发，本文提出了基于二阶动力学和随机自相关的新型频率质量指标。利用来自爱尔兰、英国和北欧系统的0.1 s和1 s分辨率真实数据并进行动态随机仿真，本文表明所提出的指标在超越现有知名指标的层面上，为电网频率质量的好坏带来了新的且反直觉的洞察。特别地，本文表明一个电力系统在使用标准指标时可能表现出良好的频率质量，而使用所提出的指标时则表现出较差的频率质量。</w:t>
      </w:r>
    </w:p>
    <w:p>
      <w:pPr>
        <w:spacing w:before="0" w:after="200" w:lineRule="auto" w:line="276"/>
      </w:pPr>
      <w:r>
        <w:rPr>
          <w:b/>
        </w:rPr>
        <w:t xml:space="preserve">Abstract (EN): </w:t>
      </w:r>
      <w:r>
        <w:t>This industry-oriented paper originates from the observation that current frequency quality metrics utilized by transmission system operators (TSOs) fail to fully capture the dynamic behavior of the grid frequency. Motivated by this gap, the paper proposes novel frequency quality metrics based on second-order dynamics and stochastic autocorrelation. Using real-world data with 0.1 s and 1 s resolution from the Irish, Great Britain and Nordic systems and running dynamic stochastic simulations, the paper shows that the proposed metrics bring new and counterintuitive insights in terms of how good or poor the frequency quality of power grids is beyond current well-known metrics. In particular, the paper shows that a power system may show good frequency quality using standard metrics and poor frequency quality using the proposed metrics.</w:t>
      </w:r>
    </w:p>
    <w:p>
      <w:pPr>
        <w:spacing w:before="120" w:after="120"/>
      </w:pPr>
      <w:r>
        <w:rPr>
          <w:sz w:val="18"/>
        </w:rPr>
        <w:t>——————————————————————————————————————————————————————————————————————</w:t>
      </w:r>
    </w:p>
    <w:p>
      <w:pPr>
        <w:spacing w:before="160" w:after="40" w:line="240" w:lineRule="auto"/>
      </w:pPr>
      <w:r>
        <w:rPr>
          <w:b/>
        </w:rPr>
        <w:t xml:space="preserve">[553] </w:t>
      </w:r>
      <w:hyperlink r:id="rId1431">
        <w:r>
          <w:rPr>
            <w:color w:val="1155CC"/>
            <w:u w:val="single"/>
          </w:rPr>
          <w:t>纳米管封装单分子与一维范德华磁体：限域调控磁性</w:t>
        </w:r>
      </w:hyperlink>
    </w:p>
    <w:p>
      <w:pPr>
        <w:spacing w:before="0" w:after="80"/>
      </w:pPr>
      <w:r>
        <w:rPr>
          <w:i/>
          <w:sz w:val="20"/>
        </w:rPr>
        <w:t>EN: Nanotube Encapsulation of Single‐Molecule and 1D van der Waals Magnets: Confinement‐Tuned Magnetism</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1432">
        <w:r>
          <w:rPr>
            <w:color w:val="1155CC"/>
            <w:u w:val="single"/>
          </w:rPr>
          <w:t>10.1002/adma.74808</w:t>
        </w:r>
      </w:hyperlink>
    </w:p>
    <w:p>
      <w:pPr>
        <w:spacing w:before="0" w:after="120"/>
      </w:pPr>
      <w:r>
        <w:rPr>
          <w:b/>
        </w:rPr>
        <w:t xml:space="preserve">Notes: </w:t>
      </w:r>
      <w:r>
        <w:t>abstract_source=crossref</w:t>
      </w:r>
    </w:p>
    <w:p>
      <w:pPr>
        <w:spacing w:before="0" w:after="80" w:lineRule="auto" w:line="276"/>
      </w:pPr>
      <w:r>
        <w:rPr>
          <w:b/>
        </w:rPr>
        <w:t xml:space="preserve">摘要（ZH）: </w:t>
      </w:r>
      <w:r>
        <w:t>摘要 单分子磁体（SMMs）和低维范德华（vdW）磁体在量子技术、自旋电子学和数据存储方面极具前景，但其集成到实际器件中常常受到化学反应性、聚集或加工过程中磁性功能丧失的阻碍。封装在碳纳米管（CNTs）和氮化硼纳米管（BNNTs）内部已成为一种多功能策略，可在原子尺度上保护、隔离、排列这些脆弱的磁性物质并对其进行电学寻址。本综述全面概述了封装磁性材料，聚焦两个相互关联的主题：分子磁体和一维（1D）vdW磁性异质结构。我们考察了控制纳米管封装的基本原理，对比了金属/半导体CNTs与绝缘BNNTs中截然不同的主客体相互作用。基础研究表明，从Mn 12 乙酸盐和TbPc 2 到内嵌金属富勒烯以及有机金属DyCp 3的SMMs在封装后仍保持其磁双稳态，限制效应有时还能延长弛豫时间并抑制量子隧穿。与此同时的进展使合成常规方法无法实现的真正一维（1D）vdW磁性材料成为可能，包括过渡金属三卤化物链（CrX 3、VX 3）、二卤化物链（CrX 2）和复杂碲化物（V x Te y），其磁性基态（如铁磁、反铁磁或自旋玻璃）可通过纳米管直径和电荷转移进行调控。谱学特征表明</w:t>
      </w:r>
    </w:p>
    <w:p>
      <w:pPr>
        <w:spacing w:before="0" w:after="200" w:lineRule="auto" w:line="276"/>
      </w:pPr>
      <w:r>
        <w:rPr>
          <w:b/>
        </w:rPr>
        <w:t xml:space="preserve">Abstract (EN): </w:t>
      </w:r>
      <w:r>
        <w:t>Single‐molecule magnets (SMMs) and low‐dimensional van der Waals (vdW) magnets are highly promising for quantum technologies, spintronics, and data storage, yet their integration into practical devices is frequently impeded by chemical reactivity, aggregation, or loss of magnetic function during processing. Encapsulation within carbon nanotubes (CNTs) and boron nitride nanotubes (BNNTs) has emerged as a versatile strategy to protect, isolate, align, and electronically address these fragile magnetic species at the atomic scale. This review provides a comprehensive overview of encapsulated magnetic materials, focusing on two interconnected themes: molecular magnets and one‐dimensional (1D vdW magnetic heterostructures. We examine the fundamental principles governing nanotube encapsulation, contrasting the distinct host‐guest interactions in metallic/semiconducting CNTs versus insulating BNNTs. Foundational studies demonstrate that SMMs from Mn 12 acetate and TbPc 2 to endohedral metallofullerenes and organometallic DyCp 3 retain their magnetic bistability upon encapsulation, with confinement sometimes enhancing relaxation times and suppressing quantum tunneling. Parallel advances have enabled the synthesis of truly 1D 1D vdW magnetic materials inaccessible by conventional means, including transition metal trihalide chains (CrX 3 , VX 3 ), dihalide chains (CrX 2 ), and complex tellurides (V x Te y ), whose magnetic ground states such as ferromagnetic, antiferromagnetic, or spin glass are tunable through nanotube diameter and charge transfer. Spectroscopic signatures of host‐guest interactions, magnetic properties, and emerging applications in spintronics, quantum information, and biomedical imaging are critically assessed. We conclude by identifying key challenges such as synthetic control, scalability, and device integration that must be overcome to realize the technological potential of these remarkable magnetic heterostructures.</w:t>
      </w:r>
    </w:p>
    <w:p>
      <w:pPr>
        <w:spacing w:before="120" w:after="120"/>
      </w:pPr>
      <w:r>
        <w:rPr>
          <w:sz w:val="18"/>
        </w:rPr>
        <w:t>——————————————————————————————————————————————————————————————————————</w:t>
      </w:r>
    </w:p>
    <w:p>
      <w:pPr>
        <w:spacing w:before="160" w:after="40" w:line="240" w:lineRule="auto"/>
      </w:pPr>
      <w:r>
        <w:rPr>
          <w:b/>
        </w:rPr>
        <w:t xml:space="preserve">[554] </w:t>
      </w:r>
      <w:hyperlink r:id="rId1433">
        <w:r>
          <w:rPr>
            <w:color w:val="1155CC"/>
            <w:u w:val="single"/>
          </w:rPr>
          <w:t>面向含可再生电力机组组合的多时间尺度学习优化方法</w:t>
        </w:r>
      </w:hyperlink>
    </w:p>
    <w:p>
      <w:pPr>
        <w:spacing w:before="0" w:after="80"/>
      </w:pPr>
      <w:r>
        <w:rPr>
          <w:i/>
          <w:sz w:val="20"/>
        </w:rPr>
        <w:t>EN: A Multi-Timescale Learn-to-Optimize Method for Unit Commitment With Renewable Power</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34">
        <w:r>
          <w:rPr>
            <w:color w:val="1155CC"/>
            <w:u w:val="single"/>
          </w:rPr>
          <w:t>10.1109/tpwrs.2026.3687255</w:t>
        </w:r>
      </w:hyperlink>
    </w:p>
    <w:p>
      <w:pPr>
        <w:spacing w:before="0" w:after="120"/>
      </w:pPr>
      <w:r>
        <w:rPr>
          <w:b/>
        </w:rPr>
        <w:t xml:space="preserve">Notes: </w:t>
      </w:r>
      <w:r>
        <w:t>abstract_source=semanticscholar</w:t>
      </w:r>
    </w:p>
    <w:p>
      <w:pPr>
        <w:spacing w:before="0" w:after="80" w:lineRule="auto" w:line="276"/>
      </w:pPr>
      <w:r>
        <w:rPr>
          <w:b/>
        </w:rPr>
        <w:t xml:space="preserve">摘要（ZH）: </w:t>
      </w:r>
      <w:r>
        <w:t>高比例波动性可再生能源接入产生了对快速求解大规模安全约束机组组合（SCUC）问题的迫切需求。本文提出一种多时间尺度学习优化（MT-L2O）方法，以高效求解大规模随机SCUC。粗时间尺度作为基于学习的预求解阶段。在该尺度上，我们提出一种基于组的多分辨率建模，利用机器学习技术预测整数变量，并对高置信度的变量进行固定，供更细的时间尺度使用。因此，更细时间尺度上的问题规模得以缩减，可更高效地求解。与现有工作相比，在粗尺度学习时，跨越多个时段的二进制状态约束变为非活跃。这不仅显著降低了数据维度，还消除了针对这些约束的可行性恢复措施的需求。在更细的时间尺度上，我们基于较粗尺度确定的启停状态，为两类约束开发了约束削减方法。在IEEE 118节点系统、IEEE 300节点系统以及基于中国某实际省级电网的3266节点系统上的数值实验表明，我们的方法获得了近似最优解，平均性能差距不超过0.4%，与商业求解器Gurobi相比加速3.03至34.46倍。</w:t>
      </w:r>
    </w:p>
    <w:p>
      <w:pPr>
        <w:spacing w:before="0" w:after="200" w:lineRule="auto" w:line="276"/>
      </w:pPr>
      <w:r>
        <w:rPr>
          <w:b/>
        </w:rPr>
        <w:t xml:space="preserve">Abstract (EN): </w:t>
      </w:r>
      <w:r>
        <w:t>The high penetration of volatile renewable power has created an urgent need for fast methods to solve large-scale security-constrained unit commitment (SCUC) problems. In this paper, we propose a multi-timescale learn-to-optimize (MT-L2O) method to efficiently solve large-scale stochastic SCUC. The coarse timescale serves as a learning-based presolving stage. At this scale, we propose a group-based multi-resolution formulation where machine learning techniques are used to predict integer variables and fix those with high confidence for finer timescales. Therefore, problems at finer timescales are reduced in size and can be solved more efficiently. Compared to existing works, when learning at the coarse scale, binary status constraints spanning multiple time periods become inactive. This not only significantly reduces data dimensionality but also eliminates the need for feasibility recovery measures targeting these constraints. At finer timescales, we develop constraint reduction methods for two types of constraints based on the on/off status determined at coarser timescales. Numerical experiments on IEEE 118-bus system, IEEE 300-bus system, and a 3266-bus system based on a practical provincial grid in China demonstrate that our methods obtain near-optimal solutions with an average performance gap not exceeding 0.4% and achieve speedups of 3.03 to 34.46 times compared to the commercial solver Gurobi.</w:t>
      </w:r>
    </w:p>
    <w:p>
      <w:pPr>
        <w:spacing w:before="120" w:after="120"/>
      </w:pPr>
      <w:r>
        <w:rPr>
          <w:sz w:val="18"/>
        </w:rPr>
        <w:t>——————————————————————————————————————————————————————————————————————</w:t>
      </w:r>
    </w:p>
    <w:p>
      <w:pPr>
        <w:spacing w:before="160" w:after="40" w:line="240" w:lineRule="auto"/>
      </w:pPr>
      <w:r>
        <w:rPr>
          <w:b/>
        </w:rPr>
        <w:t xml:space="preserve">[555] </w:t>
      </w:r>
      <w:hyperlink r:id="rId1435">
        <w:r>
          <w:rPr>
            <w:color w:val="1155CC"/>
            <w:u w:val="single"/>
          </w:rPr>
          <w:t>基于PMSG的风电系统低频振荡稳定运行域分析与自适应抑制策略</w:t>
        </w:r>
      </w:hyperlink>
    </w:p>
    <w:p>
      <w:pPr>
        <w:spacing w:before="0" w:after="80"/>
      </w:pPr>
      <w:r>
        <w:rPr>
          <w:i/>
          <w:sz w:val="20"/>
        </w:rPr>
        <w:t>EN: Analyzing of Stable Operating Regions and Adaptive Suppression Strategy for Low-Frequency Oscillations in PMSG-Based Wind Power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36">
        <w:r>
          <w:rPr>
            <w:color w:val="1155CC"/>
            <w:u w:val="single"/>
          </w:rPr>
          <w:t>10.1109/tpwrs.2026.3676651</w:t>
        </w:r>
      </w:hyperlink>
    </w:p>
    <w:p>
      <w:pPr>
        <w:spacing w:before="0" w:after="120"/>
      </w:pPr>
      <w:r>
        <w:rPr>
          <w:b/>
        </w:rPr>
        <w:t xml:space="preserve">Notes: </w:t>
      </w:r>
      <w:r>
        <w:t>abstract_source=semanticscholar</w:t>
      </w:r>
    </w:p>
    <w:p>
      <w:pPr>
        <w:spacing w:before="0" w:after="80" w:lineRule="auto" w:line="276"/>
      </w:pPr>
      <w:r>
        <w:rPr>
          <w:b/>
        </w:rPr>
        <w:t xml:space="preserve">摘要（ZH）: </w:t>
      </w:r>
      <w:r>
        <w:t>并网永磁同步发电机（PMSG）风电系统中的低频振荡（LFO）受多因素耦合效应影响。揭示振荡机理、刻画稳定域并开发抑制方法对保障稳定运行至关重要。本文为降阶并网风电场系统构建了多回路阻尼转矩分析模型，从阻尼视角深入分析了电网强度、有功功率输出水平、控制参数与阻尼路径之间的复杂交互与机制，并准确辨识了低频振荡的主导因素。此外，本研究通过定量分析主导控制参数在不同有功功率输出水平和电网强度下的适用性，精确刻画了稳定域，并从参数优化的角度提出了一种自适应低频振荡抑制策略。仿真结果充分验证了所提稳定域的准确性以及自适应振荡抑制策略的有效性。</w:t>
      </w:r>
    </w:p>
    <w:p>
      <w:pPr>
        <w:spacing w:before="0" w:after="200" w:lineRule="auto" w:line="276"/>
      </w:pPr>
      <w:r>
        <w:rPr>
          <w:b/>
        </w:rPr>
        <w:t xml:space="preserve">Abstract (EN): </w:t>
      </w:r>
      <w:r>
        <w:t>Low-frequency oscillation (LFO) in grid-connected permanent magnet synchronous generator (PMSG)-based wind power systems is influenced by multi-factor coupling effects. To reveal the oscillation mechanisms, to characterize the stability region, and to develop mitigation methods are critical for ensuring stable operation. This paper constructs a multi-loop damping torque analysis model for the reduced-order grid-connected wind farm system, thoroughly analyzes the complex interactions and mechanisms between grid strength, active power output levels, control parameters, and damping paths from a damping perspective, and accurately identifies the dominant factors of LFO. Furthermore, this study precisely characterizes the stability region by quantitatively analyzing the applicability of dominant control parameters under different active power output levels and grid strengths, and proposes an adaptive low-frequency oscillation suppression strategy from the perspective of parameter optimization. Simulation results fully validate the accuracy of the proposed stability region and the effectiveness of the adaptive oscillation suppression strategy.</w:t>
      </w:r>
    </w:p>
    <w:p>
      <w:pPr>
        <w:spacing w:before="120" w:after="120"/>
      </w:pPr>
      <w:r>
        <w:rPr>
          <w:sz w:val="18"/>
        </w:rPr>
        <w:t>——————————————————————————————————————————————————————————————————————</w:t>
      </w:r>
    </w:p>
    <w:p>
      <w:pPr>
        <w:spacing w:before="160" w:after="40" w:line="240" w:lineRule="auto"/>
      </w:pPr>
      <w:r>
        <w:rPr>
          <w:b/>
        </w:rPr>
        <w:t xml:space="preserve">[556] </w:t>
      </w:r>
      <w:hyperlink r:id="rId1437">
        <w:r>
          <w:rPr>
            <w:color w:val="1155CC"/>
            <w:u w:val="single"/>
          </w:rPr>
          <w:t>含N-1安全约束的鲁棒前瞻经济调度数据-模型混合驱动快速求解方法</w:t>
        </w:r>
      </w:hyperlink>
    </w:p>
    <w:p>
      <w:pPr>
        <w:spacing w:before="0" w:after="80"/>
      </w:pPr>
      <w:r>
        <w:rPr>
          <w:i/>
          <w:sz w:val="20"/>
        </w:rPr>
        <w:t>EN: A Hybrid Data-Model-Driven Fast-Solving Method for Robust Look-Ahead Economic Dispatch With N -1 Security Constraints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38">
        <w:r>
          <w:rPr>
            <w:color w:val="1155CC"/>
            <w:u w:val="single"/>
          </w:rPr>
          <w:t>10.1109/tpwrs.2026.3671262</w:t>
        </w:r>
      </w:hyperlink>
    </w:p>
    <w:p>
      <w:pPr>
        <w:spacing w:before="0" w:after="120"/>
      </w:pPr>
      <w:r>
        <w:rPr>
          <w:b/>
        </w:rPr>
        <w:t xml:space="preserve">Notes: </w:t>
      </w:r>
      <w:r>
        <w:t>abstract_source=semanticscholar</w:t>
      </w:r>
    </w:p>
    <w:p>
      <w:pPr>
        <w:spacing w:before="0" w:after="80" w:lineRule="auto" w:line="276"/>
      </w:pPr>
      <w:r>
        <w:rPr>
          <w:b/>
        </w:rPr>
        <w:t xml:space="preserve">摘要（ZH）: </w:t>
      </w:r>
      <w:r>
        <w:t>随着可再生能源（RESs）比例的上升，功率预测偏差和低安全裕度已成为关键问题。在日内阶段，系统运营商必须每隔几分钟以滚动方式修订发电计划。前瞻经济调度（LAED）涉及滚动时域优化、高不确定性和多决策变量。安全稳健决策的需求受到计算速度的制约。为此，本文提出一种鲁棒前瞻经济调度（RLAED）的快速求解方法。首先，构建数据—模型混合驱动框架，利用数据驱动方法识别非活跃约束。模型驱动方法通过稀疏调用确保小样本场景下决策的安全性，并向数据驱动模型提供反馈增强。其次，在数据驱动模块中提出鲁棒安全强化学习（RL）算法，以考虑电力系统的随机性和安全约束。通过构建状态对抗约束马尔可夫决策过程（SA-CMDP），利用观测对抗者在不确定区间内搜索最恶劣场景，与RL智能体并行训练。最后，实验结果表明，在IEEE 118节点和300节点算例中，含N-1约束的RLAED在75秒内求解完成——约为纯模型驱动方法所需时间的四十分之一。</w:t>
      </w:r>
    </w:p>
    <w:p>
      <w:pPr>
        <w:spacing w:before="0" w:after="200" w:lineRule="auto" w:line="276"/>
      </w:pPr>
      <w:r>
        <w:rPr>
          <w:b/>
        </w:rPr>
        <w:t xml:space="preserve">Abstract (EN): </w:t>
      </w:r>
      <w:r>
        <w:t>As the proportion of renewable energy sources (RESs) rises, power prediction deviations and low security margins have become critical. In the intraday stage, system operators must revise generation schedules on a rolling basis every few minutes. Look-ahead economic dispatch (LAED) involves rolling temporal optimization, high uncertainty, and multiple decision-making variables. The need for safe and robust decision-making is constrained by computation speed. Thus, this paper proposes a fast-solving method for robust look-ahead economic dispatch (RLAED). First, a hybrid data-model-driven framework is constructed, using the data-driven method to identify inactive constraints. The model-driven approach ensures the security of decisions in small-sample scenarios through sparse invocation, and provides feedback enhancement to the data-driven model. Next, a robust safe reinforcement learning (RL) algorithm is proposed in the data-driven module to consider the randomness and safety constraints of power systems. Constructing a state-adversarial constrained Markov decision process (SA-CMDP), an observational adversary is used to search for the worst-case scenario within uncertain intervals, training in parallel with the RL agent. Finally, experimental results demonstrate that in IEEE 118-bus and 300-bus cases, RLAED with N-1 constraints is solved in less than 75 seconds—approximately the fortieth of the time required by purely model-driven methods.</w:t>
      </w:r>
    </w:p>
    <w:p>
      <w:pPr>
        <w:spacing w:before="120" w:after="120"/>
      </w:pPr>
      <w:r>
        <w:rPr>
          <w:sz w:val="18"/>
        </w:rPr>
        <w:t>——————————————————————————————————————————————————————————————————————</w:t>
      </w:r>
    </w:p>
    <w:p>
      <w:pPr>
        <w:spacing w:before="160" w:after="40" w:line="240" w:lineRule="auto"/>
      </w:pPr>
      <w:r>
        <w:rPr>
          <w:b/>
        </w:rPr>
        <w:t xml:space="preserve">[557] </w:t>
      </w:r>
      <w:hyperlink r:id="rId1439">
        <w:r>
          <w:rPr>
            <w:color w:val="1155CC"/>
            <w:u w:val="single"/>
          </w:rPr>
          <w:t>输入凸神经网络作为IBR主导电力系统稳定性约束优化中的代理模型</w:t>
        </w:r>
      </w:hyperlink>
    </w:p>
    <w:p>
      <w:pPr>
        <w:spacing w:before="0" w:after="80"/>
      </w:pPr>
      <w:r>
        <w:rPr>
          <w:i/>
          <w:sz w:val="20"/>
        </w:rPr>
        <w:t>EN: Input Convex Neural Network as a Surrogate in Stability-Constrained Optimization for IBR-Dominated Power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40">
        <w:r>
          <w:rPr>
            <w:color w:val="1155CC"/>
            <w:u w:val="single"/>
          </w:rPr>
          <w:t>10.1109/tpwrs.2026.3709567</w:t>
        </w:r>
      </w:hyperlink>
    </w:p>
    <w:p>
      <w:pPr>
        <w:spacing w:before="0" w:after="120"/>
      </w:pPr>
      <w:r>
        <w:rPr>
          <w:b/>
        </w:rPr>
        <w:t xml:space="preserve">Notes: </w:t>
      </w:r>
      <w:r>
        <w:t>abstract_source=semanticscholar</w:t>
      </w:r>
    </w:p>
    <w:p>
      <w:pPr>
        <w:spacing w:before="0" w:after="80" w:lineRule="auto" w:line="276"/>
      </w:pPr>
      <w:r>
        <w:rPr>
          <w:b/>
        </w:rPr>
        <w:t xml:space="preserve">摘要（ZH）: </w:t>
      </w:r>
      <w:r>
        <w:t>输入凸神经网络（ICNNs）越来越多地被用作稳定性指标的替代模型，并作为约束嵌入电力系统优化中。本文阐明了两个反复出现的建模局限，它们可能抵消ICNN的凸性优势：（i）采用通用Big-$M$混合整数重构会引入辅助二进制变量，而这些变量对于强制ICNN次水平约束并非必要；（ii）反转稳定性不等式会将凸次水平集变为通常非凸的超水平集，从而破坏基于割方法的全局收敛保证。在阐明这些局限之后，我们提供了（i）ReLU-ICNN的精确基于LP的上图重构，（ii）次水平约定下具有全局保证的外逼近方案，以及（iii）超水平约定下保持可行性的内逼近方案，并在IEEE 14节点和118节点机组组合算例上进行了仿真。</w:t>
      </w:r>
    </w:p>
    <w:p>
      <w:pPr>
        <w:spacing w:before="0" w:after="200" w:lineRule="auto" w:line="276"/>
      </w:pPr>
      <w:r>
        <w:rPr>
          <w:b/>
        </w:rPr>
        <w:t xml:space="preserve">Abstract (EN): </w:t>
      </w:r>
      <w:r>
        <w:t>Input convex neural networks (ICNNs) are increasingly used as surrogates for stability indices and embedded as constraints in power-system optimization. This letter clarifies two recurring formulation limitations that can negate ICNN convexity benefits: (i) applying generic Big-$M$ mixed-integer reformulations introduces auxiliary binaries that are unnecessary for enforcing ICNN sublevel constraints; and (ii) reversing the stability inequality transforms a convex sublevel set into a generally nonconvex superlevel set, invalidating global-convergence guarantees of cut-based methods. After clarifying the limitations, we provide (i) an exact LP-based epigraph reformulation for ReLU-ICNNs, (ii) an outer-approximation scheme with global guarantees under the sublevel convention, and (iii) a feasibility-preserving inner-approximation scheme for the superlevel convention, with simulations on IEEE 14- and 118-bus unit commitment instances.</w:t>
      </w:r>
    </w:p>
    <w:p>
      <w:pPr>
        <w:spacing w:before="120" w:after="120"/>
      </w:pPr>
      <w:r>
        <w:rPr>
          <w:sz w:val="18"/>
        </w:rPr>
        <w:t>——————————————————————————————————————————————————————————————————————</w:t>
      </w:r>
    </w:p>
    <w:p>
      <w:pPr>
        <w:spacing w:before="160" w:after="40" w:line="240" w:lineRule="auto"/>
      </w:pPr>
      <w:r>
        <w:rPr>
          <w:b/>
        </w:rPr>
        <w:t xml:space="preserve">[558] </w:t>
      </w:r>
      <w:hyperlink r:id="rId1441">
        <w:r>
          <w:rPr>
            <w:color w:val="1155CC"/>
            <w:u w:val="single"/>
          </w:rPr>
          <w:t>基于工作站GPU轨迹敏感度张量的多场景动态安全评估</w:t>
        </w:r>
      </w:hyperlink>
    </w:p>
    <w:p>
      <w:pPr>
        <w:spacing w:before="0" w:after="80"/>
      </w:pPr>
      <w:r>
        <w:rPr>
          <w:i/>
          <w:sz w:val="20"/>
        </w:rPr>
        <w:t>EN: Multi-Scenario Dynamic Security Assessment With Trajectory Sensitivity Tensors on Workstation GPUs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42">
        <w:r>
          <w:rPr>
            <w:color w:val="1155CC"/>
            <w:u w:val="single"/>
          </w:rPr>
          <w:t>10.1109/tpwrs.2026.3712184</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本文提出了一种兼容 GPU 的张量代数框架，用于高效利用大型、高维轨迹灵敏度（TS）张量，进行多预想事故、多场景动态安全评估（DSA）。通过直接在压缩张量域中进行计算，所提方法在计算速度和内存效率方面取得了显著提升。在我们的数值实验中，与传统方法相比，估计系统轨迹的速度提升了 17 倍至 51 倍。</w:t>
      </w:r>
    </w:p>
    <w:p>
      <w:pPr>
        <w:spacing w:before="0" w:after="200" w:lineRule="auto" w:line="276"/>
      </w:pPr>
      <w:r>
        <w:rPr>
          <w:b/>
        </w:rPr>
        <w:t xml:space="preserve">Abstract (EN): </w:t>
      </w:r>
      <w:r>
        <w:t>This letter presents a GPU-compatible tensor algebra framework to efficiently utilize large, high-dimensional trajectory sensitivity (TS) tensors for multi-contingency, multi-scenario dynamic security assessment (DSA). By performing computations directly in the compressed tensor domain, the proposed method achieves substantial gains in computational speed and memory efficiency. In our numerical experiments, speedups between 17× and 51× were observed in estimating system trajectories compared to the conventional approach.</w:t>
      </w:r>
    </w:p>
    <w:p>
      <w:pPr>
        <w:spacing w:before="120" w:after="120"/>
      </w:pPr>
      <w:r>
        <w:rPr>
          <w:sz w:val="18"/>
        </w:rPr>
        <w:t>——————————————————————————————————————————————————————————————————————</w:t>
      </w:r>
    </w:p>
    <w:p>
      <w:pPr>
        <w:spacing w:before="160" w:after="40" w:line="240" w:lineRule="auto"/>
      </w:pPr>
      <w:r>
        <w:rPr>
          <w:b/>
        </w:rPr>
        <w:t xml:space="preserve">[559] </w:t>
      </w:r>
      <w:hyperlink r:id="rId1443">
        <w:r>
          <w:rPr>
            <w:color w:val="1155CC"/>
            <w:u w:val="single"/>
          </w:rPr>
          <w:t>膜活性肽治疗药物设计的计算平台</w:t>
        </w:r>
      </w:hyperlink>
    </w:p>
    <w:p>
      <w:pPr>
        <w:spacing w:before="0" w:after="80"/>
      </w:pPr>
      <w:r>
        <w:rPr>
          <w:i/>
          <w:sz w:val="20"/>
        </w:rPr>
        <w:t>EN: Computational Platforms for Membrane-Active Peptide Therapeutic Design</w:t>
      </w:r>
    </w:p>
    <w:p>
      <w:pPr>
        <w:spacing w:before="0" w:after="120"/>
      </w:pPr>
      <w:r>
        <w:rPr>
          <w:b/>
        </w:rPr>
        <w:t xml:space="preserve">Source: </w:t>
      </w:r>
      <w:r>
        <w:t>Chemical Reviews</w:t>
      </w:r>
      <w:r>
        <w:t xml:space="preserve">    </w:t>
      </w:r>
      <w:r>
        <w:rPr>
          <w:b/>
        </w:rPr>
        <w:t xml:space="preserve">Pub date: </w:t>
      </w:r>
      <w:r>
        <w:t>2026-09-01 00:00:00+00:00</w:t>
      </w:r>
      <w:r>
        <w:t xml:space="preserve">    </w:t>
      </w:r>
      <w:r>
        <w:rPr>
          <w:b/>
        </w:rPr>
        <w:t xml:space="preserve">DOI: </w:t>
      </w:r>
      <w:hyperlink r:id="rId1443">
        <w:r>
          <w:rPr>
            <w:color w:val="1155CC"/>
            <w:u w:val="single"/>
          </w:rPr>
          <w:t>10.1021/acs.chemrev.6c00100</w:t>
        </w:r>
      </w:hyperlink>
    </w:p>
    <w:p>
      <w:pPr>
        <w:spacing w:before="0" w:after="120"/>
      </w:pPr>
      <w:r>
        <w:rPr>
          <w:b/>
        </w:rPr>
        <w:t xml:space="preserve">Notes: </w:t>
      </w:r>
      <w:r>
        <w:t>abstract_source=crossref</w:t>
      </w:r>
    </w:p>
    <w:p>
      <w:pPr>
        <w:spacing w:before="0" w:after="80" w:lineRule="auto" w:line="276"/>
      </w:pPr>
      <w:r>
        <w:rPr>
          <w:b/>
        </w:rPr>
        <w:t xml:space="preserve">摘要（ZH）: </w:t>
      </w:r>
      <w:r>
        <w:t>摘要 基于多肽的治疗药物因其强大的生物活性、高特异性以及在免疫调节、抗病毒、抗癌和抗菌治疗中的广泛应用，正作为下一代药物日益受到青睐。膜活性多肽（MAPs）前景尤为可观，但其溶解性差、稳定性不佳、药代动力学特性不足、制造复杂性高以及递送方式有限等问题，制约了其临床转化。本综述重点关注在多肽设计阶段为解决这些挑战而开发的计算方法，以弥合临床前潜力与临床实用性之间的差距。本文旨在全面概述用于计算机辅助 MAP 设计、功能结构集合与理化性质预测、结构–功能关系、药物–靶点相互作用以及体内递送制剂策略的工具。这些方法涵盖生物信息学、分子动力学与分子建模，以及新兴的人工智能和机器学习平台，还包括计算–实验混合策略、化学修饰与偶联，以及基于纳米技术的递送系统。这些工具正在改善多肽药物的关键性质，包括血浆稳定性、靶点特异性、疗效和递送能力。计算设计的持续进步有望使 MAPs 应对疑难疾病、作用于传统上难以成药的靶点，并将其巨大的治疗潜力转化为临床上有效的治疗方法。</w:t>
      </w:r>
    </w:p>
    <w:p>
      <w:pPr>
        <w:spacing w:before="0" w:after="200" w:lineRule="auto" w:line="276"/>
      </w:pPr>
      <w:r>
        <w:rPr>
          <w:b/>
        </w:rPr>
        <w:t xml:space="preserve">Abstract (EN): </w:t>
      </w:r>
      <w:r>
        <w:t>Peptide-based therapeutics are gaining popularity as next-generation drugs because of their potent bioactivity, high specificity, and broad applications in immunomodulatory, antiviral, anticancer, and antimicrobial therapy. Membrane-active peptides (MAPs) are particularly promising, yet poor solubility, stability, pharmacokinetics, manufacturing complexity, and limited delivery options have restricted their clinical translation. This review focuses on computational approaches developed to address these challenges at the peptide-design stage and bridge the gap between preclinical promise and clinical utility. The goal here is to provide a broad overview of tools for in silico MAP design, prediction of functional structural ensembles and physicochemical properties, structure–function relationships, drug-target interactions, and formulation strategies for in vivo delivery. These approaches span bioinformatics, molecular dynamics and molecular modeling, and emerging artificial intelligence and machine learning platforms, including hybrid computational-experimental strategies, chemical modification and conjugation, and nanotechnology-based delivery systems. These tools are improving key peptide–drug properties, including plasma stability, target specificity, efficacy, and delivery. Continued advances in computational design may enable MAPs to address challenging diseases, engage traditionally undruggable targets, and translate their substantial therapeutic potential into clinically effective treatments.</w:t>
      </w:r>
    </w:p>
    <w:p>
      <w:pPr>
        <w:spacing w:before="120" w:after="120"/>
      </w:pPr>
      <w:r>
        <w:rPr>
          <w:sz w:val="18"/>
        </w:rPr>
        <w:t>——————————————————————————————————————————————————————————————————————</w:t>
      </w:r>
    </w:p>
    <w:p>
      <w:pPr>
        <w:spacing w:before="160" w:after="40" w:line="240" w:lineRule="auto"/>
      </w:pPr>
      <w:r>
        <w:rPr>
          <w:b/>
        </w:rPr>
        <w:t xml:space="preserve">[560] </w:t>
      </w:r>
      <w:hyperlink r:id="rId1444">
        <w:r>
          <w:rPr>
            <w:color w:val="1155CC"/>
            <w:u w:val="single"/>
          </w:rPr>
          <w:t>CdCl2抑制气相沉积锡钙钛矿晶体管的迟滞效应</w:t>
        </w:r>
      </w:hyperlink>
    </w:p>
    <w:p>
      <w:pPr>
        <w:spacing w:before="0" w:after="80"/>
      </w:pPr>
      <w:r>
        <w:rPr>
          <w:i/>
          <w:sz w:val="20"/>
        </w:rPr>
        <w:t>EN: CdCl2-Enabled Hysteresis Suppression in Vapor-Deposited Tin Perovskite Transistors</w:t>
      </w:r>
    </w:p>
    <w:p>
      <w:pPr>
        <w:spacing w:before="0" w:after="120"/>
      </w:pPr>
      <w:r>
        <w:rPr>
          <w:b/>
        </w:rPr>
        <w:t xml:space="preserve">Source: </w:t>
      </w:r>
      <w:r>
        <w:t>ACS Energy Letters</w:t>
      </w:r>
      <w:r>
        <w:t xml:space="preserve">    </w:t>
      </w:r>
      <w:r>
        <w:rPr>
          <w:b/>
        </w:rPr>
        <w:t xml:space="preserve">Pub date: </w:t>
      </w:r>
      <w:r>
        <w:t>2026-09-01 00:00:00+00:00</w:t>
      </w:r>
      <w:r>
        <w:t xml:space="preserve">    </w:t>
      </w:r>
      <w:r>
        <w:rPr>
          <w:b/>
        </w:rPr>
        <w:t xml:space="preserve">DOI: </w:t>
      </w:r>
      <w:hyperlink r:id="rId1444">
        <w:r>
          <w:rPr>
            <w:color w:val="1155CC"/>
            <w:u w:val="single"/>
          </w:rPr>
          <w:t>10.1021/acsenergylett.6c01172</w:t>
        </w:r>
      </w:hyperlink>
    </w:p>
    <w:p>
      <w:pPr>
        <w:spacing w:before="0" w:after="120"/>
      </w:pPr>
      <w:r>
        <w:rPr>
          <w:b/>
        </w:rPr>
        <w:t xml:space="preserve">Notes: </w:t>
      </w:r>
      <w:r>
        <w:t>abstract_source=crossref</w:t>
      </w:r>
    </w:p>
    <w:p>
      <w:pPr>
        <w:spacing w:before="0" w:after="80" w:lineRule="auto" w:line="276"/>
      </w:pPr>
      <w:r>
        <w:rPr>
          <w:b/>
        </w:rPr>
        <w:t xml:space="preserve">摘要（ZH）: </w:t>
      </w:r>
      <w:r>
        <w:t>摘要 锡卤化物钙钛矿是有前景的无铅替代半导体材料，作为p型薄膜晶体管（TFT）的沟道材料已取得显著进展。然而，它们在TFT中的实际应用仍受限于严重的自p掺杂和明显的滞回行为。在此，我们将CdCl2引入气相沉积的CsSnI3中，获得了滞回被强烈抑制、开关电流比约为106的p型 TFT。Cl–对碘空位的部分钝化降低了离子迁移，从而缓解了滞回。此外，CdCl2的掺入降低了完全钙钛矿相形成的热活化势垒，并增强了薄膜的结构韧性。这些结果确立了添加剂工程作为调控空位化学、抑制离子迁移并降低气相沉积锡卤化物钙钛矿形成热预算的有效途径，为稳定且与制造工艺兼容的钙钛矿电子器件提供了实用的设计策略。</w:t>
      </w:r>
    </w:p>
    <w:p>
      <w:pPr>
        <w:spacing w:before="0" w:after="200" w:lineRule="auto" w:line="276"/>
      </w:pPr>
      <w:r>
        <w:rPr>
          <w:b/>
        </w:rPr>
        <w:t xml:space="preserve">Abstract (EN): </w:t>
      </w:r>
      <w:r>
        <w:t>Tin halide perovskites are promising lead-alternative semiconductors that have demonstrated remarkable advances as channel materials for p-type thin-film transistors (TFTs). However, their practical use in TFTs remains limited by severe self p-doping and pronounced hysteresis. Here, we introduce CdCl2 into vapor-deposited CsSnI3 to obtain p-type TFTs with strongly suppressed hysteresis and an on/off current ratio of ∼106. The partial passivation of iodide vacancies by Cl– induced a reduction of ion migration, thereby mitigating hysteresis. In addition, the incorporation of CdCl2 lowered the thermal activation barrier for complete perovskite phase formation and enhanced the structural resilience of the film. These results establish additive engineering as an effective route to regulate vacancy chemistry, suppress ion migration, and lower the thermal budget of vapor-deposited tin halide perovskite formation, offering a practical design strategy for stable and manufacturing-compatible perovskite electronics.</w:t>
      </w:r>
    </w:p>
    <w:p>
      <w:pPr>
        <w:spacing w:before="120" w:after="120"/>
      </w:pPr>
      <w:r>
        <w:rPr>
          <w:sz w:val="18"/>
        </w:rPr>
        <w:t>——————————————————————————————————————————————————————————————————————</w:t>
      </w:r>
    </w:p>
    <w:p>
      <w:pPr>
        <w:spacing w:before="160" w:after="40" w:line="240" w:lineRule="auto"/>
      </w:pPr>
      <w:r>
        <w:rPr>
          <w:b/>
        </w:rPr>
        <w:t xml:space="preserve">[561] </w:t>
      </w:r>
      <w:hyperlink r:id="rId1445">
        <w:r>
          <w:rPr>
            <w:color w:val="1155CC"/>
            <w:u w:val="single"/>
          </w:rPr>
          <w:t>溶剂驱动的ZnMgO表面态重构用于稳定蓝光QLED</w:t>
        </w:r>
      </w:hyperlink>
    </w:p>
    <w:p>
      <w:pPr>
        <w:spacing w:before="0" w:after="80"/>
      </w:pPr>
      <w:r>
        <w:rPr>
          <w:i/>
          <w:sz w:val="20"/>
        </w:rPr>
        <w:t>EN: Solvent-Driven Surface-State Reconstruction of ZnMgO for Stable Blue QLEDs</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1445">
        <w:r>
          <w:rPr>
            <w:color w:val="1155CC"/>
            <w:u w:val="single"/>
          </w:rPr>
          <w:t>10.1021/acsami.6c10302</w:t>
        </w:r>
      </w:hyperlink>
    </w:p>
    <w:p>
      <w:pPr>
        <w:spacing w:before="0" w:after="120"/>
      </w:pPr>
      <w:r>
        <w:rPr>
          <w:b/>
        </w:rPr>
        <w:t xml:space="preserve">Notes: </w:t>
      </w:r>
      <w:r>
        <w:t>abstract_source=crossref</w:t>
      </w:r>
    </w:p>
    <w:p>
      <w:pPr>
        <w:spacing w:before="0" w:after="80" w:lineRule="auto" w:line="276"/>
      </w:pPr>
      <w:r>
        <w:rPr>
          <w:b/>
        </w:rPr>
        <w:t xml:space="preserve">摘要（ZH）: </w:t>
      </w:r>
      <w:r>
        <w:t>摘要 蓝色QLED在平衡高发光效率与运行稳定性方面面临关键挑战，其主要原因在于不受控的电子注入和界面陷阱辅助复合。在此，我们提出一种简便的水性ZnCl2后处理策略来调控ZnMgO（ZMO）电子传输层（ETL）。该方法利用水解诱导重结晶与氯离子介导表面钝化的协同机制，将有缺陷的纳米晶薄膜转变为高质量传输层。处理后的ETL呈现出重构的晶体形貌，晶界密度降低且氧空位被钝化。因此，无需任何预老化处理，优化的蓝色QLED的外量子效率（EQE，5.47%）和工作寿命（T50，5.2 × 103 h）均提升至三倍，亮度（2.4x104 cd/m2）提升至两倍（相对于对照器件）。这项工作展示了一种简便的方法来调控金属氧化物ETL的表面和体相性质，有效缓解效率滚降，并为商业化高亮度显示技术提供了策略。</w:t>
      </w:r>
    </w:p>
    <w:p>
      <w:pPr>
        <w:spacing w:before="0" w:after="200" w:lineRule="auto" w:line="276"/>
      </w:pPr>
      <w:r>
        <w:rPr>
          <w:b/>
        </w:rPr>
        <w:t xml:space="preserve">Abstract (EN): </w:t>
      </w:r>
      <w:r>
        <w:t>Blue QLEDs face a critical challenge in balancing high luminous efficiency with operational stability, primarily due to uncontrolled electron injection and interfacial trap-assisted recombination. Here, we present a facile aqueous ZnCl2 post-treatment strategy to engineer ZnMgO (ZMO) electron transport layers (ETLs). This approach leverages a synergistic mechanism of hydrolysis-induced recrystallization and chloride-mediated surface passivation to transform defective nanocrystal films into high-quality transport layers. The treated ETLs exhibit a reconstructed crystalline morphology with reduced grain boundary density and passivated oxygen vacancies. Consequently, without any pre-aging treatment, the optimized blue QLEDs exhibited a threefold increase in both external quantum efficiency (EQE, 5.47%) and operational lifetime (T50, 5.2 × 103 h), along with a twofold enhancement in luminance (2.4x104 cd/m2), compared to the control devices. This work demonstrates a facile method to manipulate the surface and bulk properties of metal oxide ETLs, effectively mitigating efficiency roll-off and providing a strategy for commercial high-brightness display technologies.</w:t>
      </w:r>
    </w:p>
    <w:p>
      <w:pPr>
        <w:spacing w:before="120" w:after="120"/>
      </w:pPr>
      <w:r>
        <w:rPr>
          <w:sz w:val="18"/>
        </w:rPr>
        <w:t>——————————————————————————————————————————————————————————————————————</w:t>
      </w:r>
    </w:p>
    <w:p>
      <w:pPr>
        <w:spacing w:before="160" w:after="40" w:line="240" w:lineRule="auto"/>
      </w:pPr>
      <w:r>
        <w:rPr>
          <w:b/>
        </w:rPr>
        <w:t xml:space="preserve">[562] </w:t>
      </w:r>
      <w:hyperlink r:id="rId1446">
        <w:r>
          <w:rPr>
            <w:color w:val="1155CC"/>
            <w:u w:val="single"/>
          </w:rPr>
          <w:t>单分散葡萄糖氧化酶功能化给体-受体共价有机框架的超高光热转换效率用于级联纳米酶治疗</w:t>
        </w:r>
      </w:hyperlink>
    </w:p>
    <w:p>
      <w:pPr>
        <w:spacing w:before="0" w:after="80"/>
      </w:pPr>
      <w:r>
        <w:rPr>
          <w:i/>
          <w:sz w:val="20"/>
        </w:rPr>
        <w:t>EN: Ultrahigh Photothermal Conversion Efficiency in Monodisperse Glucose Oxidase-Functionalized Donor-Acceptor Covalent Organic Frameworks for Cascade Nanozyme Therapy</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1446">
        <w:r>
          <w:rPr>
            <w:color w:val="1155CC"/>
            <w:u w:val="single"/>
          </w:rPr>
          <w:t>10.1021/acsami.6c13904</w:t>
        </w:r>
      </w:hyperlink>
    </w:p>
    <w:p>
      <w:pPr>
        <w:spacing w:before="0" w:after="120"/>
      </w:pPr>
      <w:r>
        <w:rPr>
          <w:b/>
        </w:rPr>
        <w:t xml:space="preserve">Notes: </w:t>
      </w:r>
      <w:r>
        <w:t>abstract_source=crossref</w:t>
      </w:r>
    </w:p>
    <w:p>
      <w:pPr>
        <w:spacing w:before="0" w:after="80" w:lineRule="auto" w:line="276"/>
      </w:pPr>
      <w:r>
        <w:rPr>
          <w:b/>
        </w:rPr>
        <w:t xml:space="preserve">摘要（ZH）: </w:t>
      </w:r>
      <w:r>
        <w:t>摘要 尽管共价有机框架（COF）已成为极具前景的多孔材料，但其固有的水相分散性差仍是关键瓶颈。传统的分散性改性策略往往以牺牲COF的本征特性为代价，而单一模式的治疗方法不足以克服肿瘤异质性和强大的细胞内氧化还原防御系统。本文报道了一种置换策略，利用葡萄糖氧化酶对供体-受体共轭COF进行非共价功能化。该设计可轻松实现高光热转换，同时以低至0.2的多分散指数实现长期稳定的水相分散。随后沉积的金纳米颗粒和二氧化锰可实现协同双光热治疗、自我补充的级联化学动力学治疗以及谷胱甘肽耗竭。详细的实验结果证实，活性氧的生成、葡萄糖的快速催化以及线粒体膜电位的降低协同促成了优异的治疗效果。</w:t>
      </w:r>
    </w:p>
    <w:p>
      <w:pPr>
        <w:spacing w:before="0" w:after="200" w:lineRule="auto" w:line="276"/>
      </w:pPr>
      <w:r>
        <w:rPr>
          <w:b/>
        </w:rPr>
        <w:t xml:space="preserve">Abstract (EN): </w:t>
      </w:r>
      <w:r>
        <w:t>Although covalent organic frameworks (COF) have emerged as highly promising porous materials, yet their inherently poor aqueous dispersibility remains a critical bottleneck. Conventional dispersibility modification strategies often come at the cost of COF’ intrinsic property while single-modal therapeutic approaches are insufficient to overcome tumor heterogeneity and robust intracellular redox defense systems. Herein, we report a replacement strategy that noncovalently functionalizes donor-acceptor conjugated COF with glucose oxidase. High photothermal conversion can be easily obtained, and such design simultaneously realizes long-standing aqueous dispersion with a low polydispersity index of 0.2. Subsequent deposition of gold nanoparticles and manganese dioxide enables synergistic dual-photothermal therapy, self-supplementing cascade chemodynamic therapy, and glutathione depletion. Detailed experimental results confirm that the generation of reactive oxygen species, fast catalysis of glucose, and decrease of mitochondrial membrane potential synergistically contribute to the excellent therapy effect.</w:t>
      </w:r>
    </w:p>
    <w:p>
      <w:pPr>
        <w:spacing w:before="120" w:after="120"/>
      </w:pPr>
      <w:r>
        <w:rPr>
          <w:sz w:val="18"/>
        </w:rPr>
        <w:t>——————————————————————————————————————————————————————————————————————</w:t>
      </w:r>
    </w:p>
    <w:p>
      <w:pPr>
        <w:spacing w:before="160" w:after="40" w:line="240" w:lineRule="auto"/>
      </w:pPr>
      <w:r>
        <w:rPr>
          <w:b/>
        </w:rPr>
        <w:t xml:space="preserve">[563] </w:t>
      </w:r>
      <w:hyperlink r:id="rId1447">
        <w:r>
          <w:rPr>
            <w:color w:val="1155CC"/>
            <w:u w:val="single"/>
          </w:rPr>
          <w:t>飞秒激光加工黑硅制备红外光电探测器：综述</w:t>
        </w:r>
      </w:hyperlink>
    </w:p>
    <w:p>
      <w:pPr>
        <w:spacing w:before="0" w:after="80"/>
      </w:pPr>
      <w:r>
        <w:rPr>
          <w:i/>
          <w:sz w:val="20"/>
        </w:rPr>
        <w:t>EN: Infrared Photodetector Fabrication by Femtosecond Laser-Engineered Black Silicon: A Comprehensive Review</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1447">
        <w:r>
          <w:rPr>
            <w:color w:val="1155CC"/>
            <w:u w:val="single"/>
          </w:rPr>
          <w:t>10.1021/acsami.6c05804</w:t>
        </w:r>
      </w:hyperlink>
    </w:p>
    <w:p>
      <w:pPr>
        <w:spacing w:before="0" w:after="120"/>
      </w:pPr>
      <w:r>
        <w:rPr>
          <w:b/>
        </w:rPr>
        <w:t xml:space="preserve">Notes: </w:t>
      </w:r>
      <w:r>
        <w:t>abstract_source=crossref</w:t>
      </w:r>
    </w:p>
    <w:p>
      <w:pPr>
        <w:spacing w:before="0" w:after="80" w:lineRule="auto" w:line="276"/>
      </w:pPr>
      <w:r>
        <w:rPr>
          <w:b/>
        </w:rPr>
        <w:t xml:space="preserve">摘要（ZH）: </w:t>
      </w:r>
      <w:r>
        <w:t>摘要 通过飞秒（fs）激光加工合成的黑硅（b-Si）已成为下一代红外（IR）光电探测器的关键候选材料。其独特的分层微/纳结构与过饱和杂质掺杂协同作用，实现了宽带光捕获和亚带隙吸收两大核心功能，共同将硅基器件的光谱响应从可见光扩展到近红外。凭借互补金属氧化物半导体（CMOS）工艺兼容性、低成本可扩展制造和工业适应性等固有优势，b-Si为解决传统III-V和II-VI半导体材料的固有局限（如晶格失配诱导的外延缺陷、复杂的生长工艺和高昂的生产成本）提供了可行的技术路线。本综述系统总结了飞秒激光加工b-Si用于红外探测的最新进展，重点关注三个相互关联的主题领域：（1）决定增强光吸收的基本物理机制，包括多重散射效应和杂质带介导的亚带隙跃迁；（2）关键性能优化策略，包括精准形貌工程、梯度杂质/共掺杂方案以及先进的后处理技术（如异质结构构建、等离激元共振增强和基于原子层沉积的表面钝化）；（3）b-Si与多种光电探测器架构（如平面/垂直p-n结）之间的集成方法</w:t>
      </w:r>
    </w:p>
    <w:p>
      <w:pPr>
        <w:spacing w:before="0" w:after="200" w:lineRule="auto" w:line="276"/>
      </w:pPr>
      <w:r>
        <w:rPr>
          <w:b/>
        </w:rPr>
        <w:t xml:space="preserve">Abstract (EN): </w:t>
      </w:r>
      <w:r>
        <w:t>Black Si (b-Si) synthesized via femtosecond (fs) laser processing has emerged as a pivotal candidate material for next-generation infrared (IR) photodetectors. Its unique hierarchical micro/nanostructures, in synergy with supersaturated impurity doping, enable dual core functionalities—broadband light trapping and sub-band gap absorption—which collectively extend the spectral response of Si-based devices from visible to near-infrared. Endowed with inherent advantages including complementary metal-oxide-semiconductor (CMOS) process compatibility, low-cost scalable fabrication, and industrial adaptability, b-Si provides a viable technical route to address the intrinsic limitations of traditional III-V and II-VI semiconductor materials, such as lattice mismatch-induced epitaxial defects, complex growth processes, and prohibitive production costs. This review systematically summarizes recent advances in fs laser-processed b-Si for IR detection, with a focus on three interrelated thematic areas: (1) the fundamental physical mechanisms governing enhanced light absorption, encompassing multiple scattering effects and impurity band-mediated sub-band gap transitions; (2) key performance optimization strategies, including precision morphology engineering, gradient impurity/co-doping protocols, and advanced post-processing techniques (e.g., heterostructure construction, plasmonic resonance enhancement, and atomic-layer-deposition-based surface passivation); (3) integration methodologies between b-Si and diverse photodetector architectures, such as planar/vertical p-n junctions, Schottky barrier diodes, and hybrid van der Waals heterostructures. Finally, the critical challenges restricting the practical deployment of fs laser-engineered b-Si are delineated, and prospective development directions are proposed—including CMOS-compatible mass fabrication, hetero-material integration for mid-wave IR extension, multispectral detection system design, and long-term stability enhancement via novel passivation strategies. This review aims to establish a comprehensive reference framework for rational design, performance optimization, and industrial translation of high-sensitivity, broadband, low-noise Si-based IR detectors.</w:t>
      </w:r>
    </w:p>
    <w:p>
      <w:pPr>
        <w:spacing w:before="120" w:after="120"/>
      </w:pPr>
      <w:r>
        <w:rPr>
          <w:sz w:val="18"/>
        </w:rPr>
        <w:t>——————————————————————————————————————————————————————————————————————</w:t>
      </w:r>
    </w:p>
    <w:p>
      <w:pPr>
        <w:spacing w:before="160" w:after="40" w:line="240" w:lineRule="auto"/>
      </w:pPr>
      <w:r>
        <w:rPr>
          <w:b/>
        </w:rPr>
        <w:t xml:space="preserve">[564] </w:t>
      </w:r>
      <w:hyperlink r:id="rId1448">
        <w:r>
          <w:rPr>
            <w:color w:val="1155CC"/>
            <w:u w:val="single"/>
          </w:rPr>
          <w:t>线电爆炸过程中的协同动态相变实现具有高效电磁吸收的高熵合金纳米颗粒</w:t>
        </w:r>
      </w:hyperlink>
    </w:p>
    <w:p>
      <w:pPr>
        <w:spacing w:before="0" w:after="80"/>
      </w:pPr>
      <w:r>
        <w:rPr>
          <w:i/>
          <w:sz w:val="20"/>
        </w:rPr>
        <w:t>EN: Synergistic Dynamic Phase Transformation during Wire Electro-explosion Enables High-Entropy Alloys Nanoparticles with Efficient Electromagnetic Absorption</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1448">
        <w:r>
          <w:rPr>
            <w:color w:val="1155CC"/>
            <w:u w:val="single"/>
          </w:rPr>
          <w:t>10.1021/acsami.6c08448</w:t>
        </w:r>
      </w:hyperlink>
    </w:p>
    <w:p>
      <w:pPr>
        <w:spacing w:before="0" w:after="120"/>
      </w:pPr>
      <w:r>
        <w:rPr>
          <w:b/>
        </w:rPr>
        <w:t xml:space="preserve">Notes: </w:t>
      </w:r>
      <w:r>
        <w:t>abstract_source=crossref</w:t>
      </w:r>
    </w:p>
    <w:p>
      <w:pPr>
        <w:spacing w:before="0" w:after="80" w:lineRule="auto" w:line="276"/>
      </w:pPr>
      <w:r>
        <w:rPr>
          <w:b/>
        </w:rPr>
        <w:t xml:space="preserve">摘要（ZH）: </w:t>
      </w:r>
      <w:r>
        <w:t>摘要 调控固溶体型合金化及成分-结构演变是优化高熵体系电磁匹配的有效策略。然而，对于在超快非平衡条件下合成的高熵合金纳米颗粒（HEA NPs），精确控制成分再分布和相演变仍然具有挑战性。本文提出了一种可控的电爆炸线（EEW）策略来调控AlFeCoNiCu HEA NPs的动态相变。在EEW过程中，能量沉积调控了金属线的相变顺序、气相/等离子体相混合以及快速非平衡凝结，使原子/离子得以充分扩散和再分布，从而形成晶体相组成可调的HEA纳米晶。优化后的FCC/BCC相组成促进多组分固溶体的形成并降低局部成分不均匀性，而EEW诱导的快速非平衡凝结冻结了晶格畸变、相界面和缺陷。因此，优化后的HEA NPs表现出优异的电磁波吸收（EWA）性能，最小反射损耗为–55.71 dB，有效吸收带宽为7.30 GHz。其耐腐蚀性也得到增强，腐蚀电位为–0.026 V。本工作表明，EEW为构建兼具EWA和耐腐蚀功能的高性能HEA纳米晶提供了一条可扩展的非平衡相工程途径。</w:t>
      </w:r>
    </w:p>
    <w:p>
      <w:pPr>
        <w:spacing w:before="0" w:after="200" w:lineRule="auto" w:line="276"/>
      </w:pPr>
      <w:r>
        <w:rPr>
          <w:b/>
        </w:rPr>
        <w:t xml:space="preserve">Abstract (EN): </w:t>
      </w:r>
      <w:r>
        <w:t>Regulating solid-solution-type alloying and composition–structure evolution is an effective strategy for optimizing electromagnetic matching in high-entropy systems. However, precise control over composition redistribution and phase evolution remains challenging for high-entropy alloy nanoparticles (HEA NPs) synthesized under ultrafast nonequilibrium conditions. Herein, we propose a controllable electrical explosion of wire (EEW) strategy to regulate the dynamic phase transformation of AlFeCoNiCu HEA NPs. During EEW, energy deposition regulates the phase-transition sequence, vapor/plasma-phase mixing, and rapid nonequilibrium condensation of metal wires, enabling sufficient atomic/ionic diffusion and redistribution to form HEA nanocrystals with tunable crystal-phase constitution. The optimized FCC/BCC phase constitution promotes multicomponent solid-solution formation and reduces local compositional heterogeneity, while rapid EEW-induced nonequilibrium condensation freezes lattice distortion, phase interfaces, and defects. As a result, the optimized HEA NPs exhibit excellent electromagnetic wave absorption (EWA), with a minimum reflection loss of –55.71 dB and an effective absorption bandwidth of 7.30 GHz. They also show enhanced corrosion resistance, with a corrosion potential of –0.026 V. This work demonstrates that EEW offers a scalable nonequilibrium phase-engineering route for constructing high-performance HEA nanocrystals with integrated EWA and corrosion-resistant functions.</w:t>
      </w:r>
    </w:p>
    <w:p>
      <w:pPr>
        <w:spacing w:before="120" w:after="120"/>
      </w:pPr>
      <w:r>
        <w:rPr>
          <w:sz w:val="18"/>
        </w:rPr>
        <w:t>——————————————————————————————————————————————————————————————————————</w:t>
      </w:r>
    </w:p>
    <w:p>
      <w:pPr>
        <w:spacing w:before="160" w:after="40" w:line="240" w:lineRule="auto"/>
      </w:pPr>
      <w:r>
        <w:rPr>
          <w:b/>
        </w:rPr>
        <w:t xml:space="preserve">[565] </w:t>
      </w:r>
      <w:hyperlink r:id="rId1449">
        <w:r>
          <w:rPr>
            <w:color w:val="1155CC"/>
            <w:u w:val="single"/>
          </w:rPr>
          <w:t>MOF-on-MOF异质结构薄膜用于宽带电磁波吸收与热管理</w:t>
        </w:r>
      </w:hyperlink>
    </w:p>
    <w:p>
      <w:pPr>
        <w:spacing w:before="0" w:after="80"/>
      </w:pPr>
      <w:r>
        <w:rPr>
          <w:i/>
          <w:sz w:val="20"/>
        </w:rPr>
        <w:t>EN: MOF-on-MOF Heterostructured Films for Broadband Electromagnetic Wave Absorption and Thermal Management</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1449">
        <w:r>
          <w:rPr>
            <w:color w:val="1155CC"/>
            <w:u w:val="single"/>
          </w:rPr>
          <w:t>10.1021/acsami.6c07694</w:t>
        </w:r>
      </w:hyperlink>
    </w:p>
    <w:p>
      <w:pPr>
        <w:spacing w:before="0" w:after="120"/>
      </w:pPr>
      <w:r>
        <w:rPr>
          <w:b/>
        </w:rPr>
        <w:t xml:space="preserve">Notes: </w:t>
      </w:r>
      <w:r>
        <w:t>abstract_source=crossref</w:t>
      </w:r>
    </w:p>
    <w:p>
      <w:pPr>
        <w:spacing w:before="0" w:after="80" w:lineRule="auto" w:line="276"/>
      </w:pPr>
      <w:r>
        <w:rPr>
          <w:b/>
        </w:rPr>
        <w:t xml:space="preserve">摘要（ZH）: </w:t>
      </w:r>
      <w:r>
        <w:t>摘要 理解异质界面工程与混合材料（包括金属有机骨架）电磁（EM）性能之间的关联，对于开发下一代高性能电磁波（EMW）吸收材料至关重要。作为首个同时实现高性能电磁吸收和热管理的全MOF异质结构薄膜的演示，本文通过将可溶液加工的MOF NUS-8与高导电性MOF Cu3(HHTP)2杂化，制备了异质结构MOF薄膜NUS-8@Cu3(HHTP)2。研究发现，该典型异质结构NUS-8@Cu3(HHTP)2能够有效调控其介电损耗行为。优化后的复合材料在2.5 mm厚度下表现出显著的最小反射损耗（RLmin）–42.9 dB和超宽有效吸收带宽（EAB）8.47 GHz，超越了迄今为止报道的导电MOF及MOF复合材料，树立了新的基准。将优化后的NUS-8@Cu3(HHTP)2复合材料掺入环氧树脂基体后，获得了RLmin为–33.2 dB、EAB为6.38 GHz的稳定且坚固的EMW吸收贴片。尤为重要的是，NUS-8@Cu3(HHTP)2环氧复合材料表现出增强的导热性，可实现高效散热，从而在热环境苛刻的场合下可靠使用。简而言之，本工作提出了一种通过异质结构工程设计高性能电磁吸收材料的新策略。</w:t>
      </w:r>
    </w:p>
    <w:p>
      <w:pPr>
        <w:spacing w:before="0" w:after="200" w:lineRule="auto" w:line="276"/>
      </w:pPr>
      <w:r>
        <w:rPr>
          <w:b/>
        </w:rPr>
        <w:t xml:space="preserve">Abstract (EN): </w:t>
      </w:r>
      <w:r>
        <w:t>Understanding the correlation between heterointerface engineering and electromagnetic (EM) properties in hybrid materials, including metal–organic frameworks, is critical to advancing next-generation high-performance electromagnetic wave (EMW) absorbers. As the first demonstration of an all-MOF heterostructure film that achieves both high-performance EM absorption and thermal management, herein, a heterostructured MOF film, NUS-8@Cu3(HHTP)2, was fabricated by hybridizing the solution-processable MOF NUS-8 with the highly conductive MOF Cu3(HHTP)2. This prototypical heterostructure NUS-8@Cu3(HHTP)2 was found to exhibit effective modulation of its dielectric loss behavior. The optimal composite exhibits a notable minimum reflection loss (RLmin) of –42.9 dB and an ultra-wide effective absorption bandwidth (EAB) of 8.47 GHz at 2.5 mm, setting up new benchmarks over conductive MOFs and MOF composites reported thus far. When the optimized NUS-8@Cu3(HHTP)2 composite was incorporated into an epoxy matrix, a stable and robust EMW absorbing patch featuring an RLmin of –33.2 dB and an EAB of 6.38 GHz was achieved. Of particular importance is that NUS-8@Cu3(HHTP)2 epoxy composites demonstrate an enhanced thermal conductivity, eliciting efficient heat dissipation for reliable use in thermally demanding environments. Put simply, this work introduces a new strategy for designing high-performance EM absorbers through heterostructure engineering.</w:t>
      </w:r>
    </w:p>
    <w:p>
      <w:pPr>
        <w:spacing w:before="120" w:after="120"/>
      </w:pPr>
      <w:r>
        <w:rPr>
          <w:sz w:val="18"/>
        </w:rPr>
        <w:t>——————————————————————————————————————————————————————————————————————</w:t>
      </w:r>
    </w:p>
    <w:p>
      <w:pPr>
        <w:spacing w:before="160" w:after="40" w:line="240" w:lineRule="auto"/>
      </w:pPr>
      <w:r>
        <w:rPr>
          <w:b/>
        </w:rPr>
        <w:t xml:space="preserve">[566] </w:t>
      </w:r>
      <w:hyperlink r:id="rId1450">
        <w:r>
          <w:rPr>
            <w:color w:val="1155CC"/>
            <w:u w:val="single"/>
          </w:rPr>
          <w:t>EAS改性PMP膜中的界面途径协同增强用于ECMO的CO2/O2选择性</w:t>
        </w:r>
      </w:hyperlink>
    </w:p>
    <w:p>
      <w:pPr>
        <w:spacing w:before="0" w:after="80"/>
      </w:pPr>
      <w:r>
        <w:rPr>
          <w:i/>
          <w:sz w:val="20"/>
        </w:rPr>
        <w:t>EN: Interfacial Pathway in EAS-Modified PMP Membranes Synergistically Enhances CO2/O2 Selectivity for ECMO</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1450">
        <w:r>
          <w:rPr>
            <w:color w:val="1155CC"/>
            <w:u w:val="single"/>
          </w:rPr>
          <w:t>10.1021/acsami.6c11892</w:t>
        </w:r>
      </w:hyperlink>
    </w:p>
    <w:p>
      <w:pPr>
        <w:spacing w:before="0" w:after="120"/>
      </w:pPr>
      <w:r>
        <w:rPr>
          <w:b/>
        </w:rPr>
        <w:t xml:space="preserve">Notes: </w:t>
      </w:r>
      <w:r>
        <w:t>abstract_source=crossref</w:t>
      </w:r>
    </w:p>
    <w:p>
      <w:pPr>
        <w:spacing w:before="0" w:after="80" w:lineRule="auto" w:line="276"/>
      </w:pPr>
      <w:r>
        <w:rPr>
          <w:b/>
        </w:rPr>
        <w:t xml:space="preserve">摘要（ZH）: </w:t>
      </w:r>
      <w:r>
        <w:t>摘要 气体在柔软无孔界面上的高效选择性传输仍是仿生膜设计的关键挑战，尤其是在体外膜肺氧合（ECMO）系统中。在此，我们报道了一种分子层面的机制，即界面限域与蛋白质组装协同诱导经EAS（一类可形成功能淀粉样纤维的I型疏水蛋白）修饰的聚(4-甲基-1-戊烯)（PMP）膜中的CO2选择性传输。通过全原子分子动力学模拟结合平均力势（PMF）分析，我们系统研究了吸附在原始和羟基化PMP表面上的EAS疏水蛋白单体、二聚体和三聚体上的气体渗透。我们发现，EAS蛋白的寡聚化驱动了相互连通的界面空腔的形成，将孤立的传输路径转变为渗流通道网络。这种结构转变将自由能面从以势垒为主的轮廓重塑为多阱拓扑结构。CO2可沿渗透坐标被选择性稳定，而O2传输仍受更高且更局域化的势垒支配。重要的是，表面羟基化通过引入极性相互作用进一步放大了这一效应，可作为调控界面能量学和气体-蛋白耦合的可调参数。这些发现确立了一种界面限域诱导的传输机制，其中气体选择性并非源于本征孔径，而是源于蛋白质组装、界面自由体积与分子的协同作用</w:t>
      </w:r>
    </w:p>
    <w:p>
      <w:pPr>
        <w:spacing w:before="0" w:after="200" w:lineRule="auto" w:line="276"/>
      </w:pPr>
      <w:r>
        <w:rPr>
          <w:b/>
        </w:rPr>
        <w:t xml:space="preserve">Abstract (EN): </w:t>
      </w:r>
      <w:r>
        <w:t>Efficient and selective gas transport across soft and nonporous interfaces remains a pivotal challenge for biomimetic membrane design, particularly in extracorporeal membrane oxygenation (ECMO) systems. Here, we report a molecular-level mechanism by which interfacial confinement and protein assembly cooperatively induce CO2 selective transport in EAS (a class I hydrophobin that forms functional amyloid fibrils)-modified poly(4-methyl-1-pentene) (PMP) membranes. By using all-atom molecular dynamics simulations combined with potential of mean force (PMF) analysis, we systematically investigate gas permeation across EAS hydrophobin monomers, dimers, and trimers adsorbed on pristine and hydroxylated PMP surfaces. We find that oligomerization of EAS proteins drives the formation of interconnected interfacial cavities, transforming isolated transport pathways into a percolated pathway network. This structural transition reshapes the free-energy landscape from a barrier-dominated profile to a multi-well topology. CO2 can be selectively stabilized along the permeation coordinate, while O2 transport remains governed by higher and more localized barriers. Importantly, surface hydroxylation further amplifies this effect by introducing polar interactions that act as a tunable parameter for modulating interfacial energetics and gas-protein coupling. These findings establish an interfacial confinement-induced transport mechanism in which gas selectivity emerges not from intrinsic pore size, but from the collective interplay of protein assembly, interfacial free volume, and molecular interactions. This work provides a general design principle for engineering bioinspired composite membranes with enhanced gas selectivity in ECMO and related gas-separation applications.</w:t>
      </w:r>
    </w:p>
    <w:p>
      <w:pPr>
        <w:spacing w:before="120" w:after="120"/>
      </w:pPr>
      <w:r>
        <w:rPr>
          <w:sz w:val="18"/>
        </w:rPr>
        <w:t>——————————————————————————————————————————————————————————————————————</w:t>
      </w:r>
    </w:p>
    <w:p>
      <w:pPr>
        <w:spacing w:before="160" w:after="40" w:line="240" w:lineRule="auto"/>
      </w:pPr>
      <w:r>
        <w:rPr>
          <w:b/>
        </w:rPr>
        <w:t xml:space="preserve">[567] </w:t>
      </w:r>
      <w:hyperlink r:id="rId1451">
        <w:r>
          <w:rPr>
            <w:color w:val="1155CC"/>
            <w:u w:val="single"/>
          </w:rPr>
          <w:t>用于可持续耐用黑色素基纺织品染色的活体全细胞生物催化</w:t>
        </w:r>
      </w:hyperlink>
    </w:p>
    <w:p>
      <w:pPr>
        <w:spacing w:before="0" w:after="80"/>
      </w:pPr>
      <w:r>
        <w:rPr>
          <w:i/>
          <w:sz w:val="20"/>
        </w:rPr>
        <w:t>EN: Living Whole-Cell Biocatalysis for Sustainable and Durable Melanin-Based Textile Coloration</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1451">
        <w:r>
          <w:rPr>
            <w:color w:val="1155CC"/>
            <w:u w:val="single"/>
          </w:rPr>
          <w:t>10.1021/acsami.6c11728</w:t>
        </w:r>
      </w:hyperlink>
    </w:p>
    <w:p>
      <w:pPr>
        <w:spacing w:before="0" w:after="120"/>
      </w:pPr>
      <w:r>
        <w:rPr>
          <w:b/>
        </w:rPr>
        <w:t xml:space="preserve">Notes: </w:t>
      </w:r>
      <w:r>
        <w:t>abstract_source=crossref</w:t>
      </w:r>
    </w:p>
    <w:p>
      <w:pPr>
        <w:spacing w:before="0" w:after="80" w:lineRule="auto" w:line="276"/>
      </w:pPr>
      <w:r>
        <w:rPr>
          <w:b/>
        </w:rPr>
        <w:t xml:space="preserve">摘要（ZH）: </w:t>
      </w:r>
      <w:r>
        <w:t>摘要 色素在工业中被广泛使用；然而，传统合成色素的生产依赖石油基原料，消耗大量能源，并涉及有毒化学品。尽管天然色素提供了可持续的替代方案，但这些体系受限于季节变化、地域依赖和有限的可扩展性。为克服这些限制，我们提出了一种用于黑色素合成与沉积的全细胞生物催化方法，其中表达酪氨酸酶的重组大肠杆菌通过铜依赖性氧化聚合将l-酪氨酸转化为黑色素。通过利用完整的微生物细胞作为自包含的生物催化单元，该系统免除了酶提取和纯化的需求。在进行原位应用于织物（棉）和木材等多种表面之前，对工艺条件进行了系统优化以最大化黑色素产量。黑色素的成功沉积通过紫外-可见-近红外反射率和透射率测量得到证实，其中涂覆后的棉布表现出显著低于未涂覆棉布的反射率和透射率，这与光吸收性黑色素涂层的形成一致。采用扫描电子显微镜（SEM）、傅里叶变换红外（FTIR）光谱和X射线光电子能谱（XPS）对未涂覆和涂覆的棉样进行表征，以评估表面形貌和化学修饰。未涂覆棉布的SEM图像显示其纤维呈束状结构的圆柱形，</w:t>
      </w:r>
    </w:p>
    <w:p>
      <w:pPr>
        <w:spacing w:before="0" w:after="200" w:lineRule="auto" w:line="276"/>
      </w:pPr>
      <w:r>
        <w:rPr>
          <w:b/>
        </w:rPr>
        <w:t xml:space="preserve">Abstract (EN): </w:t>
      </w:r>
      <w:r>
        <w:t>Pigments are widely utilized in industries; however, conventional synthetic pigment production relies on petroleum-based feedstocks, consumes significant energy, and involves toxic chemicals. Although natural pigments provide a sustainable alternative, these systems are constrained by seasonal variability, geographical dependence, and limited scalability. To overcome these limitations, we present a whole-cell biocatalytic approach for melanin synthesis and deposition, wherein recombinant Escherichia coli expressing tyrosinase is employed to convert l-tyrosine into melanin through copper-dependent oxidative polymerization. By harnessing intact microbial cells as self-contained biocatalytic units, this system bypasses the need for enzyme extraction and purification. The process conditions were systematically optimized to maximize melanin yield prior to in situ application on various surfaces, including fabric (cotton) and wood. The successful deposition of melanin was confirmed by ultraviolet–visible–near-infrared reflectance and transmittance measurements, wherein the coated cotton exhibited significantly lower reflectance and transmittance than the uncoated cotton, consistent with the formation of a light-absorbing melanin coating. The uncoated and coated cotton samples were characterized using scanning electron microscopy (SEM), Fourier transform infrared (FTIR) spectroscopy, and X-ray photoelectron spectroscopy (XPS) to evaluate surface morphology and chemical modifications. SEM images of the uncoated cotton revealed cylindrical fibers in a bundled architecture, whereas the coated cotton exhibited a clear adherence of cells to the surface of the fibers. FTIR spectra showed similar characteristic cellulose peaks for both the uncoated and coated cotton, suggesting minimal changes after coating. XPS analysis indicated the presence of an additional N 1s peak, attributable to the biomacromolecules associated with the adhered bacterial cells. Finally, functional evaluation revealed that the coated cotton exhibited superior photothermal conversion properties, achieving a temperature rise of up to 71 °C under near-infrared laser irradiation compared to minimal heating in uncoated controls. To demonstrate the versatility of the platform, the coating strategy was further extended to wood, where similarly effective melanin deposition was achieved. Taken together, this work establishes a simplified, efficient, and potentially scalable route toward sustainable coloration through living whole-cell engineered biocatalysis.</w:t>
      </w:r>
    </w:p>
    <w:p>
      <w:pPr>
        <w:spacing w:before="120" w:after="120"/>
      </w:pPr>
      <w:r>
        <w:rPr>
          <w:sz w:val="18"/>
        </w:rPr>
        <w:t>——————————————————————————————————————————————————————————————————————</w:t>
      </w:r>
    </w:p>
    <w:p>
      <w:pPr>
        <w:spacing w:before="160" w:after="40" w:line="240" w:lineRule="auto"/>
      </w:pPr>
      <w:r>
        <w:rPr>
          <w:b/>
        </w:rPr>
        <w:t xml:space="preserve">[568] </w:t>
      </w:r>
      <w:hyperlink r:id="rId1452">
        <w:r>
          <w:rPr>
            <w:color w:val="1155CC"/>
            <w:u w:val="single"/>
          </w:rPr>
          <w:t>无铅KNN基陶瓷中增强的外禀压电贡献及晶粒尺寸效应的微观起源</w:t>
        </w:r>
      </w:hyperlink>
    </w:p>
    <w:p>
      <w:pPr>
        <w:spacing w:before="0" w:after="80"/>
      </w:pPr>
      <w:r>
        <w:rPr>
          <w:i/>
          <w:sz w:val="20"/>
        </w:rPr>
        <w:t>EN: Enhanced Extrinsic Piezoelectric Contribution and Microscopic Origin of Grain Size Effect in Lead-Free KNN-Based Ceramics</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1452">
        <w:r>
          <w:rPr>
            <w:color w:val="1155CC"/>
            <w:u w:val="single"/>
          </w:rPr>
          <w:t>10.1021/acsami.6c11089</w:t>
        </w:r>
      </w:hyperlink>
    </w:p>
    <w:p>
      <w:pPr>
        <w:spacing w:before="0" w:after="120"/>
      </w:pPr>
      <w:r>
        <w:rPr>
          <w:b/>
        </w:rPr>
        <w:t xml:space="preserve">Notes: </w:t>
      </w:r>
      <w:r>
        <w:t>abstract_source=crossref</w:t>
      </w:r>
    </w:p>
    <w:p>
      <w:pPr>
        <w:spacing w:before="0" w:after="80" w:lineRule="auto" w:line="276"/>
      </w:pPr>
      <w:r>
        <w:rPr>
          <w:b/>
        </w:rPr>
        <w:t xml:space="preserve">摘要（ZH）: </w:t>
      </w:r>
      <w:r>
        <w:t>摘要 (K,Na)NbO3（KNN）基陶瓷被认为是最有前景的无铅压电材料之一，尽管在烧结过程中会遇到诸多挑战。为了更好地理解KNN基陶瓷的烧结行为，我们采用了一种将粉末活性调控与两步烧结工艺相结合的创新方法，在KNNTa-BNN陶瓷中成功获得了具有多种晶粒形貌的样品，包括均匀分布的小晶粒、大晶粒甚至类单晶超大晶粒。全面的结构分析揭示，大晶粒的形成与异常晶粒长大相关。在此过程中，煅烧粉末的表面活性因素是决定晶粒演变路径的主要因素，而元素偏析则作为叠加的扰动因素。由于大晶粒与小晶粒之间T相含量和内应力的差异，采用拉曼光谱技术可有效区分它们。晶粒尺寸的增大导致长程有序的非180°畴增多，显著增强了外禀贡献。因此，具有适当大晶粒尺寸（约31.65 μm）的6Ta陶瓷表现出优异的综合压电性能（d33约315 pC/N，TC约390 °C），在KNN基陶瓷中极具竞争力。当形成类单晶超大晶粒时，压电性能（d33 &gt; 500 pC/N）可进一步提高。本工作丰富了KNN基陶瓷的晶粒长大理论</w:t>
      </w:r>
    </w:p>
    <w:p>
      <w:pPr>
        <w:spacing w:before="0" w:after="200" w:lineRule="auto" w:line="276"/>
      </w:pPr>
      <w:r>
        <w:rPr>
          <w:b/>
        </w:rPr>
        <w:t xml:space="preserve">Abstract (EN): </w:t>
      </w:r>
      <w:r>
        <w:t>(K,Na)NbO3 (KNN)-based ceramics are considered among the most promising lead-free piezoelectric materials, despite the numerous challenges encountered during the sintering process. To better understand the sintering behavior of KNN-based ceramics, we adopted an innovative approach combining powder activity modulation with a two-step sintering process, successfully obtaining samples with diverse grain morphologies in the KNNTa-BNN ceramics, including uniformly distributed small grains, large grains, and even single-crystalline-like oversized grains. Comprehensive structural analysis reveals that the formation of large grains is associated with the abnormal grain growth. In this process, surface activity factors of calcined powder serve as the primary determinants of grain evolution pathways, while elemental segregation acts as a superimposed perturbing factor. Owing to the differences in T phase content and internal stress between large and small grains, Raman spectroscopy technology was employed to effectively distinguish them. The increase in grain size leads to a rise in long-range ordered non-180° domains, significantly enhancing the extrinsic contribution. As a result, the 6Ta ceramics with appropriately large grain sizes (∼31.65 μm) exhibit excellent comprehensive piezoelectric performance (d33 ∼ 315 pC/N, TC ∼ 390 °C), making it highly competitive among KNN-based ceramics. When the single-crystalline-like oversized grains were developed, the piezoelectric performance (d33 &gt; 500 pC/N) can be further enhanced. This work enriches the grain growth theory of KNN-based ceramics and offers a potential route to high-performance single crystals.</w:t>
      </w:r>
    </w:p>
    <w:p>
      <w:pPr>
        <w:spacing w:before="120" w:after="120"/>
      </w:pPr>
      <w:r>
        <w:rPr>
          <w:sz w:val="18"/>
        </w:rPr>
        <w:t>——————————————————————————————————————————————————————————————————————</w:t>
      </w:r>
    </w:p>
    <w:p>
      <w:pPr>
        <w:spacing w:before="160" w:after="40" w:line="240" w:lineRule="auto"/>
      </w:pPr>
      <w:r>
        <w:rPr>
          <w:b/>
        </w:rPr>
        <w:t xml:space="preserve">[569] </w:t>
      </w:r>
      <w:hyperlink r:id="rId1453">
        <w:r>
          <w:rPr>
            <w:color w:val="1155CC"/>
            <w:u w:val="single"/>
          </w:rPr>
          <w:t>铜催化叠氮-炔环加成反应普适性的起源</w:t>
        </w:r>
      </w:hyperlink>
    </w:p>
    <w:p>
      <w:pPr>
        <w:spacing w:before="0" w:after="80"/>
      </w:pPr>
      <w:r>
        <w:rPr>
          <w:i/>
          <w:sz w:val="20"/>
        </w:rPr>
        <w:t>EN: Origins of universality of copper-catalyzed azide-alkyne cycloaddition</w:t>
      </w:r>
    </w:p>
    <w:p>
      <w:pPr>
        <w:spacing w:before="0" w:after="120"/>
      </w:pPr>
      <w:r>
        <w:rPr>
          <w:b/>
        </w:rPr>
        <w:t xml:space="preserve">Source: </w:t>
      </w:r>
      <w:r>
        <w:t>Chem</w:t>
      </w:r>
      <w:r>
        <w:t xml:space="preserve">    </w:t>
      </w:r>
      <w:r>
        <w:rPr>
          <w:b/>
        </w:rPr>
        <w:t xml:space="preserve">Pub date: </w:t>
      </w:r>
      <w:r>
        <w:t>2026-09-01 00:00:00+00:00</w:t>
      </w:r>
      <w:r>
        <w:t xml:space="preserve">    </w:t>
      </w:r>
      <w:r>
        <w:rPr>
          <w:b/>
        </w:rPr>
        <w:t xml:space="preserve">DOI: </w:t>
      </w:r>
      <w:hyperlink r:id="rId1453">
        <w:r>
          <w:rPr>
            <w:color w:val="1155CC"/>
            <w:u w:val="single"/>
          </w:rPr>
          <w:t>10.1016/j.chempr.2026.103209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[570] </w:t>
      </w:r>
      <w:hyperlink r:id="rId1454">
        <w:r>
          <w:rPr>
            <w:color w:val="1155CC"/>
            <w:u w:val="single"/>
          </w:rPr>
          <w:t>用于决策的需求侧解决方案成本</w:t>
        </w:r>
      </w:hyperlink>
    </w:p>
    <w:p>
      <w:pPr>
        <w:spacing w:before="0" w:after="80"/>
      </w:pPr>
      <w:r>
        <w:rPr>
          <w:i/>
          <w:sz w:val="20"/>
        </w:rPr>
        <w:t>EN: Costs of demand-side solutions for decision-making</w:t>
      </w:r>
    </w:p>
    <w:p>
      <w:pPr>
        <w:spacing w:before="0" w:after="120"/>
      </w:pPr>
      <w:r>
        <w:rPr>
          <w:b/>
        </w:rPr>
        <w:t xml:space="preserve">Source: </w:t>
      </w:r>
      <w:r>
        <w:t>Joule</w:t>
      </w:r>
      <w:r>
        <w:t xml:space="preserve">    </w:t>
      </w:r>
      <w:r>
        <w:rPr>
          <w:b/>
        </w:rPr>
        <w:t xml:space="preserve">Pub date: </w:t>
      </w:r>
      <w:r>
        <w:t>2026-09-01 00:00:00+00:00</w:t>
      </w:r>
      <w:r>
        <w:t xml:space="preserve">    </w:t>
      </w:r>
      <w:r>
        <w:rPr>
          <w:b/>
        </w:rPr>
        <w:t xml:space="preserve">DOI: </w:t>
      </w:r>
      <w:hyperlink r:id="rId1454">
        <w:r>
          <w:rPr>
            <w:color w:val="1155CC"/>
            <w:u w:val="single"/>
          </w:rPr>
          <w:t>10.1016/j.joule.2026.102668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[571] </w:t>
      </w:r>
      <w:hyperlink r:id="rId1455">
        <w:r>
          <w:rPr>
            <w:color w:val="1155CC"/>
            <w:u w:val="single"/>
          </w:rPr>
          <w:t>可溶液加工胆甾相液晶材料的高通量丝网印刷实现全彩色立体3D显示</w:t>
        </w:r>
      </w:hyperlink>
    </w:p>
    <w:p>
      <w:pPr>
        <w:spacing w:before="0" w:after="80"/>
      </w:pPr>
      <w:r>
        <w:rPr>
          <w:i/>
          <w:sz w:val="20"/>
        </w:rPr>
        <w:t>EN: High-throughput screen printing of solution-processable cholesteric liquid crystal materials enables full-color stereoscopic 3D displays</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455">
        <w:r>
          <w:rPr>
            <w:color w:val="1155CC"/>
            <w:u w:val="single"/>
          </w:rPr>
          <w:t>10.1016/j.matt.2026.102998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[572] </w:t>
      </w:r>
      <w:hyperlink r:id="rId1456">
        <w:r>
          <w:rPr>
            <w:color w:val="1155CC"/>
            <w:u w:val="single"/>
          </w:rPr>
          <w:t>通过光偏振选择性控制THz磁振子-光相互作用</w:t>
        </w:r>
      </w:hyperlink>
    </w:p>
    <w:p>
      <w:pPr>
        <w:spacing w:before="0" w:after="80"/>
      </w:pPr>
      <w:r>
        <w:rPr>
          <w:i/>
          <w:sz w:val="20"/>
        </w:rPr>
        <w:t>EN: Selective Control of THz Magnon–Light Interactions via Light Polarization</w:t>
      </w:r>
    </w:p>
    <w:p>
      <w:pPr>
        <w:spacing w:before="0" w:after="120"/>
      </w:pPr>
      <w:r>
        <w:rPr>
          <w:b/>
        </w:rPr>
        <w:t xml:space="preserve">Source: </w:t>
      </w:r>
      <w:r>
        <w:t>Wiley: Advanced Materials: Table of Contents</w:t>
      </w:r>
      <w:r>
        <w:t xml:space="preserve">    </w:t>
      </w:r>
      <w:r>
        <w:rPr>
          <w:b/>
        </w:rPr>
        <w:t xml:space="preserve">Pub date: </w:t>
      </w:r>
      <w:r>
        <w:t>2026-09-01 00:00:00+00:00</w:t>
      </w:r>
      <w:r>
        <w:t xml:space="preserve">    </w:t>
      </w:r>
      <w:r>
        <w:rPr>
          <w:b/>
        </w:rPr>
        <w:t xml:space="preserve">DOI: </w:t>
      </w:r>
      <w:hyperlink r:id="rId1457">
        <w:r>
          <w:rPr>
            <w:color w:val="1155CC"/>
            <w:u w:val="single"/>
          </w:rPr>
          <w:t>10.1002/adma.74848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磁振子产生与湮灭的光学控制对于基于磁振子的量子器件至关重要。然而，传统的光磁振子过程面临一个根本性瓶颈，即磁振子产生（斯托克斯散射）与湮灭（反斯托克斯散射）的几率天生是对称的。在此，我们证明这种对称性可以在倾角反铁磁体 Sm0.6Er0.4FeO3 单晶中被打破。我们在该材料中识别出两种不同的磁光效应，它们作为磁振子—光相互作用的独立通道：磁圆双折射（MCB）促进保持螺旋度的散射，而磁线双折射（MLB）则支配改变螺旋度的散射。通过调节光的线偏振来控制 MCB 与 MLB 之间的相干干涉，我们可选择性地抑制斯托克斯或反斯托克斯拉曼散射。这种选择性抑制使准反铁磁（qAFM）磁振子的反斯托克斯与斯托克斯强度比超过 20（13 dB），从而实现了偏振选择性拉曼散射通道。我们发现，反铁磁磁振子的巨进动椭圆率强烈放大了 MLB 的贡献。我们的结果将该效应从先前的 YIG 体系（GHz 磁振子）拓展到 THz 频段。这些发现确立了稀土正铁氧体作为偏振对比的通用平台</w:t>
      </w:r>
    </w:p>
    <w:p>
      <w:pPr>
        <w:spacing w:before="0" w:after="200" w:lineRule="auto" w:line="276"/>
      </w:pPr>
      <w:r>
        <w:rPr>
          <w:b/>
        </w:rPr>
        <w:t xml:space="preserve">Abstract (EN): </w:t>
      </w:r>
      <w:r>
        <w:t>Optical control over magnon creation and annihilation is essential for magnon‐based quantum devices. However, conventional optomagnonic processes face a fundamental bottleneck, namely that the probabilities of magnon creation (Stokes scattering) and annihilation (anti‐Stokes scattering) are inherently symmetric. Here, we demonstrate that this symmetry can be broken in the canted antiferromagnet Sm</w:t>
      </w:r>
      <w:r>
        <w:t xml:space="preserve"> </w:t>
      </w:r>
      <w:r>
        <w:t>0.6</w:t>
      </w:r>
      <w:r>
        <w:t xml:space="preserve"> </w:t>
      </w:r>
      <w:r>
        <w:t>Er</w:t>
      </w:r>
      <w:r>
        <w:t xml:space="preserve"> </w:t>
      </w:r>
      <w:r>
        <w:t>0.4</w:t>
      </w:r>
      <w:r>
        <w:t xml:space="preserve"> </w:t>
      </w:r>
      <w:r>
        <w:t>FeO</w:t>
      </w:r>
      <w:r>
        <w:rPr>
          <w:vertAlign w:val="subscript"/>
        </w:rPr>
        <w:t>3</w:t>
      </w:r>
      <w:r>
        <w:t>single crystal. We identify two distinct magneto‐optical effects in this material that serve as independent channels for magnon–light interactions: magnetic circular birefringence (MCB) facilitates helicity‐conserving scattering, while magnetic linear birefringence (MLB) governs helicity‐changing scattering. By controlling the coherent interference between MCB and MLB via tuning the linear polarization of light, we selectively suppress either Stokes or anti‐Stokes Raman scattering. This selective suppression yields an extreme anti‐Stokes‐to‐Stokes intensity ratio exceeding 20 (13 dB) for quasi‐antiferromagnetic (qAFM) magnons, thereby enabling a polarization‐selective Raman scattering pathway. We found that the giant precession ellipticity of the antiferromagnetic magnon strongly amplifies the contribution of MLB. Our results extend this effect from previous YIG systems (GHz magnons) into the THz regime. These findings establish rare‐earth orthoferrites as a versatile platform for polarization‐controlled magnon–light interactions, paving the way for engineering terahertz (THz) antiferromagnetic magnonic devices.</w:t>
      </w:r>
    </w:p>
    <w:p>
      <w:pPr>
        <w:spacing w:before="120" w:after="120"/>
      </w:pPr>
      <w:r>
        <w:rPr>
          <w:sz w:val="18"/>
        </w:rPr>
        <w:t>——————————————————————————————————————————————————————————————————————</w:t>
      </w:r>
    </w:p>
    <w:p>
      <w:pPr>
        <w:spacing w:before="160" w:after="40" w:line="240" w:lineRule="auto"/>
      </w:pPr>
      <w:r>
        <w:rPr>
          <w:b/>
        </w:rPr>
        <w:t xml:space="preserve">[573] </w:t>
      </w:r>
      <w:hyperlink r:id="rId1458">
        <w:r>
          <w:rPr>
            <w:color w:val="1155CC"/>
            <w:u w:val="single"/>
          </w:rPr>
          <w:t>一种可编程双功能MOF海绵用于超快连续流含氧阴离子清除与可逆H2S封存</w:t>
        </w:r>
      </w:hyperlink>
    </w:p>
    <w:p>
      <w:pPr>
        <w:spacing w:before="0" w:after="80"/>
      </w:pPr>
      <w:r>
        <w:rPr>
          <w:i/>
          <w:sz w:val="20"/>
        </w:rPr>
        <w:t>EN: A Programmable Bifunctional MOF Sponge for Ultrafast Continuous-Flow Oxoanion Scavenging and Reversible H2S Sequestration</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1458">
        <w:r>
          <w:rPr>
            <w:color w:val="1155CC"/>
            <w:u w:val="single"/>
          </w:rPr>
          <w:t>10.1021/acsami.6c13407</w:t>
        </w:r>
      </w:hyperlink>
    </w:p>
    <w:p>
      <w:pPr>
        <w:spacing w:before="0" w:after="120"/>
      </w:pPr>
      <w:r>
        <w:rPr>
          <w:b/>
        </w:rPr>
        <w:t xml:space="preserve">Notes: </w:t>
      </w:r>
      <w:r>
        <w:t>abstract_source=crossref</w:t>
      </w:r>
    </w:p>
    <w:p>
      <w:pPr>
        <w:spacing w:before="0" w:after="80" w:lineRule="auto" w:line="276"/>
      </w:pPr>
      <w:r>
        <w:rPr>
          <w:b/>
        </w:rPr>
        <w:t xml:space="preserve">摘要（ZH）: </w:t>
      </w:r>
      <w:r>
        <w:t>摘要 选择性清除有害含氧阴离子及有毒气体封存属于最具挑战性的可持续环境修复任务之一，而经巧妙功能化的金属—有机框架（MOF）基可重构复合材料有望实现实用的废弃物处理。在此，我们开发了一种稳健的非互穿 MOF，CSMCRI-24（CSMCRI = 中央盐与海洋化学研究所），其含有阳离子型 [Ni2(μ2-OH)(CO2)2]+ 次级结构单元、富氮通道以及带有 –NO2 基团修饰的孔道。凭借其宽 pH 稳定性、高孔隙率以及可交换的抗衡阴离子，活化后的框架（24a）作为双功能平台，可对三种含氧阴离子（CrO42–、MnO4– 和 ReO4–）进行选择性和可逆的吸附，并伴随双相可见比色转变。重要的是，这些含氧阴离子的最大吸附容量超越当代材料，且该 MOF 展现出超快吸附动力学，即使在 50 倍过量的竞争阴离子共存下也能实现 95% 以上的去除效率。在不同水体基质中含氧阴离子清除性能保持不变，以及在实际操作条件下连续流固定床柱实验中保持稳定去除效率，凸显了该带电 MOF 的潜在适用性。该框架还可实现可逆的 H2S 封存并伴随裸眼比色检测，凸显了任务特异性孔道功能的多样性。面向实际部署，一种原位电</w:t>
      </w:r>
    </w:p>
    <w:p>
      <w:pPr>
        <w:spacing w:before="0" w:after="200" w:lineRule="auto" w:line="276"/>
      </w:pPr>
      <w:r>
        <w:rPr>
          <w:b/>
        </w:rPr>
        <w:t xml:space="preserve">Abstract (EN): </w:t>
      </w:r>
      <w:r>
        <w:t>Selective scavenging of hazardous oxoanions and toxic gas sequestration rank among the most demanding sustainable environmental remediation, wherein astutely functionalized metal–organic framework (MOF)-based reconfigurable composites can lead to practical waste management. Herein, we developed a robust noninterpenetrated MOF, CSMCRI-24 (CSMCRI = Central Salt &amp; Marine Chemicals Research Institute) containing cationic [Ni2(μ2-OH)(CO2)2]+ secondary building units, nitrogen-rich channels, and flanked –NO2 group-decked pores. Building on its wide range of pH stability, high porosity, and the presence of exchangeable counter anions, the activated framework (24a) acts as a dual-functional platform for selective and reversible uptake of three oxoanions (CrO42–, MnO4–, and ReO4–) followed by their bi-phasic visible colorimetric transitions. Importantly, the maximum adsorption capacities of these oxoanions surpass that of contemporary materials, and the MOF demonstrates ultrafast adsorption kinetics with above 95% removal efficiencies even in the co-existence of 50-fold excess of competing anions. Potential applicability of this charged MOF is highlighted from its unaltered oxoanion scavenging performance for different water matrices as well as steady removal efficiency during continuous-flow fixed-bed column experiments under practical operating conditions. The framework further enables reversible H2S sequestration with concurrent naked-eye colorimetric detection, highlighting the versatility of task-specific pore functionality. Aiming at practical deployment, an in situ-engineered MOF-based ionic sponge is fabricated, which provides a robust and regenerable platform for visible and reversible scavenging of toxic oxoanions and H2S. Complementing a battery of experimental pieces of evidence, in-depth density functional theory calculations elucidate the molecular-level interactions of oxoanions and H2S with the pore-aligned MOF functionality, providing mechanistic insights into the adsorption and sequestration of these hazardous analytes. Collectively, the present work demonstrates a viable pathway for translating task-specific, site-integrated cationic MOFs into programmable ionic sponges, providing a multifunctional platform for sustainable water purification, toxic gas remediation, and nuclear waste management.</w:t>
      </w:r>
    </w:p>
    <w:p>
      <w:pPr>
        <w:spacing w:before="120" w:after="120"/>
      </w:pPr>
      <w:r>
        <w:rPr>
          <w:sz w:val="18"/>
        </w:rPr>
        <w:t>——————————————————————————————————————————————————————————————————————</w:t>
      </w:r>
    </w:p>
    <w:p>
      <w:pPr>
        <w:spacing w:before="160" w:after="40" w:line="240" w:lineRule="auto"/>
      </w:pPr>
      <w:r>
        <w:rPr>
          <w:b/>
        </w:rPr>
        <w:t xml:space="preserve">[574] </w:t>
      </w:r>
      <w:hyperlink r:id="rId1459">
        <w:r>
          <w:rPr>
            <w:color w:val="1155CC"/>
            <w:u w:val="single"/>
          </w:rPr>
          <w:t>利用Fabry-Perot腔中嵌入的反应性Pd吸收体的形貌编码比色氢传感</w:t>
        </w:r>
      </w:hyperlink>
    </w:p>
    <w:p>
      <w:pPr>
        <w:spacing w:before="0" w:after="80"/>
      </w:pPr>
      <w:r>
        <w:rPr>
          <w:i/>
          <w:sz w:val="20"/>
        </w:rPr>
        <w:t>EN: Morphology‐Encoded Colorimetric Hydrogen Sensing Using Embedded Reactive Pd Absorbers in Fabry–Perot Cavities</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1460">
        <w:r>
          <w:rPr>
            <w:color w:val="1155CC"/>
            <w:u w:val="single"/>
          </w:rPr>
          <w:t>10.1002/adma.74886</w:t>
        </w:r>
      </w:hyperlink>
    </w:p>
    <w:p>
      <w:pPr>
        <w:spacing w:before="0" w:after="120"/>
      </w:pPr>
      <w:r>
        <w:rPr>
          <w:b/>
        </w:rPr>
        <w:t xml:space="preserve">Notes: </w:t>
      </w:r>
      <w:r>
        <w:t>abstract_source=crossref</w:t>
      </w:r>
    </w:p>
    <w:p>
      <w:pPr>
        <w:spacing w:before="0" w:after="80" w:lineRule="auto" w:line="276"/>
      </w:pPr>
      <w:r>
        <w:rPr>
          <w:b/>
        </w:rPr>
        <w:t xml:space="preserve">摘要（ZH）: </w:t>
      </w:r>
      <w:r>
        <w:t>摘要 化学反应通过吸收、介电环境和界面润湿的局部变化，为产生可见光学响应提供了一种强大策略。本文引入一种嵌入钯（Pd）的法布里—珀罗腔作为反应活性光学平台，其中结构色由腔内吸收与反应诱导的介电扰动耦合所决定。将 Pd 置于介电间隔层内可形成一个空间可控的反应性吸收体，其相对于驻波场的垂直位置决定了腔内波长选择性吸收。嵌入 Pd 层的形貌通过同时调制光学损耗和界面润湿，提供了一个额外的设计参数。在氧气存在下暴露于氢气时，Pd/聚合物界面处的催化水生成产生局部介电不均匀性和界面水滴，从而扰动光程长并放大可见响应。因此，该腔体表现出显著的、依赖于形貌的颜色转变，这是仅通过介电层工程或 Pd/PdH 折射率变化所无法实现的，从而可在环境光下进行直接目视氢气传感，并可制成能够大面积图案化的柔性光学器件。这些发现为反应活性光学腔建立了设计框架，将局部化学转化为比色氢气传感机制。</w:t>
      </w:r>
    </w:p>
    <w:p>
      <w:pPr>
        <w:spacing w:before="0" w:after="200" w:lineRule="auto" w:line="276"/>
      </w:pPr>
      <w:r>
        <w:rPr>
          <w:b/>
        </w:rPr>
        <w:t xml:space="preserve">Abstract (EN): </w:t>
      </w:r>
      <w:r>
        <w:t>Chemical reactions offer a powerful strategy for generating visible optical responses through localized changes in absorption, dielectric environment, and interfacial wetting. A palladium (Pd)‐embedded Fabry–Perot cavity is introduced as a reaction‐active optical platform in which structural color is governed by intracavity absorption coupled with reaction‐induced dielectric perturbation. Positioning Pd within the dielectric spacer creates a spatially controllable reactive absorber whose vertical location relative to the standing‐wave field dictates wavelength‐selective absorption within the cavity. The morphology of the embedded Pd layer provides an additional design parameter by modulating both optical loss and interfacial wetting. Under hydrogen exposure in the presence of oxygen, catalytic water formation at the Pd/polymer interface generates localized dielectric heterogeneity and interfacial water droplets, thereby perturbing the optical path length and amplifying the visible response. As a result, the cavity exhibits pronounced, morphology‐dependent color transitions that are inaccessible through dielectric‐layer engineering or Pd/PdH refractive‐index changes alone, enabling direct visual hydrogen sensing under ambient light, as well as flexible optical devices capable of large‐area patterning. These findings establish a design framework for reaction‐active optical cavities that translate localized chemistry into a colorimetric hydrogen sensing mechanism.</w:t>
      </w:r>
    </w:p>
    <w:p>
      <w:pPr>
        <w:spacing w:before="120" w:after="120"/>
      </w:pPr>
      <w:r>
        <w:rPr>
          <w:sz w:val="18"/>
        </w:rPr>
        <w:t>——————————————————————————————————————————————————————————————————————</w:t>
      </w:r>
    </w:p>
    <w:p>
      <w:pPr>
        <w:spacing w:before="160" w:after="40" w:line="240" w:lineRule="auto"/>
      </w:pPr>
      <w:r>
        <w:rPr>
          <w:b/>
        </w:rPr>
        <w:t xml:space="preserve">[575] </w:t>
      </w:r>
      <w:hyperlink r:id="rId1461">
        <w:r>
          <w:rPr>
            <w:color w:val="1155CC"/>
            <w:u w:val="single"/>
          </w:rPr>
          <w:t>用于真空应用的稳健层状隔热膜堆栈</w:t>
        </w:r>
      </w:hyperlink>
    </w:p>
    <w:p>
      <w:pPr>
        <w:spacing w:before="0" w:after="80"/>
      </w:pPr>
      <w:r>
        <w:rPr>
          <w:i/>
          <w:sz w:val="20"/>
        </w:rPr>
        <w:t>EN: Robust Layered Thermal Insulator Film Stacks for Vacuum Applications</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1461">
        <w:r>
          <w:rPr>
            <w:color w:val="1155CC"/>
            <w:u w:val="single"/>
          </w:rPr>
          <w:t>10.1021/acsami.6c09126</w:t>
        </w:r>
      </w:hyperlink>
    </w:p>
    <w:p>
      <w:pPr>
        <w:spacing w:before="0" w:after="120"/>
      </w:pPr>
      <w:r>
        <w:rPr>
          <w:b/>
        </w:rPr>
        <w:t xml:space="preserve">Notes: </w:t>
      </w:r>
      <w:r>
        <w:t>abstract_source=crossref</w:t>
      </w:r>
    </w:p>
    <w:p>
      <w:pPr>
        <w:spacing w:before="0" w:after="80" w:lineRule="auto" w:line="276"/>
      </w:pPr>
      <w:r>
        <w:rPr>
          <w:b/>
        </w:rPr>
        <w:t xml:space="preserve">摘要（ZH）: </w:t>
      </w:r>
      <w:r>
        <w:t>摘要 为了实现在月球上的持续存在，月球基础设施内需要机械坚固的薄型热绝缘体。现有解决方案包括气凝胶、多层绝缘和真空绝热板，它们往往无法满足这些标准，因为它们机械上不柔韧，且在意外撞击下可能发生热短路或结构失效。为弥补这一差距，我们报道了高层数密度（标称 80 至 400 层/mm）的氧化铝涂层双轴取向聚对苯二甲酸乙二醇酯（BoPET 或 Mylar）薄膜堆叠，作为真空环境中机械坚固、柔韧、低导热热绝缘的模型体系，对月球应用具有潜在相关性。我们的测量表明，由单面和双面原子层沉积氧化铝涂层的 2.5、5 和 12.5 μm 厚 BoPET 薄膜组成的堆叠，在 0.1 MPa 施加压应力及 35 至 120 °C 温度下，热导率低至 2.2 mW m–1 K–1。它们可承受远大于气凝胶或无涂层层状绝缘体的压应力（在单独的机械测试中 &gt;20 MPa），且在所研究的温度范围内机械或热性能无显著退化。HyLIFS 是有前景的真空绝缘候选材料，兼具真空气凝胶和真空绝热组件的 mW m–1 K–1 量级热导率以及更高的机械坚固性（柔韧性和抗压强度）。我们的热建模表明，真空中的主导传热机制是通过防粘连颗粒的点导热</w:t>
      </w:r>
    </w:p>
    <w:p>
      <w:pPr>
        <w:spacing w:before="0" w:after="200" w:lineRule="auto" w:line="276"/>
      </w:pPr>
      <w:r>
        <w:rPr>
          <w:b/>
        </w:rPr>
        <w:t xml:space="preserve">Abstract (EN): </w:t>
      </w:r>
      <w:r>
        <w:t>There is a need for mechanically robust, thin thermal insulators within lunar infrastructure to achieve a sustained presence on the Moon. Existing solutions, including aerogels, multilayer insulation, and vacuum insulation panels, often fail to meet these criteria because they are mechanically inflexible and may thermally short or structurally fail upon accidental impact. To bridge this gap, we report high-layer density (nominally 80 to 400 layers/mm) alumina-coated biaxially oriented polyethylene terephthalate (BoPET or Mylar) sheet stacks as a model system for mechanically robust, flexible, low-conductivity thermal insulation in vacuum environments, with potential relevance to lunar applications. Our measurements reveal that stacks consisting of single- and double-sided atomic layer deposited alumina-coated 2.5, 5, and 12.5 μm thick BoPET films, have thermal conductivities as low as 2.2 mW m–1 K–1 at 0.1 MPa applied compressive stress and temperatures from 35 to 120 °C. They can withstand much larger compressive stresses (&gt;20 MPa in separate mechanical testing) than aerogels or uncoated layered insulators without significant degradation of mechanical or thermal properties within the studied temperature range. HyLIFS are promising vacuum insulation candidates that combine the mW m–1 K–1-scale thermal conductivity of vacuum aerogels and vacuum insulation packages with much higher mechanical robustness (flexibility and compressive strength). Our thermal modeling indicates that the dominant heat transfer mechanism in vacuum is spot conduction through antiblocking particles embedded in BoPET, with strongest agreement at higher compressive stresses, suggesting pathways by which even lower conductivities could be achieved.</w:t>
      </w:r>
    </w:p>
    <w:p>
      <w:pPr>
        <w:spacing w:before="120" w:after="120"/>
      </w:pPr>
      <w:r>
        <w:rPr>
          <w:sz w:val="18"/>
        </w:rPr>
        <w:t>——————————————————————————————————————————————————————————————————————</w:t>
      </w:r>
    </w:p>
    <w:p>
      <w:pPr>
        <w:spacing w:before="160" w:after="40" w:line="240" w:lineRule="auto"/>
      </w:pPr>
      <w:r>
        <w:rPr>
          <w:b/>
        </w:rPr>
        <w:t xml:space="preserve">[576] </w:t>
      </w:r>
      <w:hyperlink r:id="rId1462">
        <w:r>
          <w:rPr>
            <w:color w:val="1155CC"/>
            <w:u w:val="single"/>
          </w:rPr>
          <w:t>大型N,P共掺杂稠合纳米石墨烯的骨架磷编辑实现可调谐激发态吸收</w:t>
        </w:r>
      </w:hyperlink>
    </w:p>
    <w:p>
      <w:pPr>
        <w:spacing w:before="0" w:after="80"/>
      </w:pPr>
      <w:r>
        <w:rPr>
          <w:i/>
          <w:sz w:val="20"/>
        </w:rPr>
        <w:t>EN: Skeletal Phosphorus Editing in Large N,P-Codoped Fused Nanographenes Enables Tunable Excited-State Absorption</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1462">
        <w:r>
          <w:rPr>
            <w:color w:val="1155CC"/>
            <w:u w:val="single"/>
          </w:rPr>
          <w:t>10.1021/acsami.6c12132</w:t>
        </w:r>
      </w:hyperlink>
    </w:p>
    <w:p>
      <w:pPr>
        <w:spacing w:before="0" w:after="120"/>
      </w:pPr>
      <w:r>
        <w:rPr>
          <w:b/>
        </w:rPr>
        <w:t xml:space="preserve">Notes: </w:t>
      </w:r>
      <w:r>
        <w:t>abstract_source=crossref</w:t>
      </w:r>
    </w:p>
    <w:p>
      <w:pPr>
        <w:spacing w:before="0" w:after="80" w:lineRule="auto" w:line="276"/>
      </w:pPr>
      <w:r>
        <w:rPr>
          <w:b/>
        </w:rPr>
        <w:t xml:space="preserve">摘要（ZH）: </w:t>
      </w:r>
      <w:r>
        <w:t>摘要 虽然将氮掺杂到大的稠合 π 共轭框架相对容易，但由于嵌入磷中心相关的几何不匹配和化学不稳定性，将氮和磷同时骨架化嵌入大的稠合 π 共轭框架在合成上仍然具有挑战性。在此，我们报道了一种顺序亲电磷化/硫捕获策略，可获得一个刚性的十环稠合 N、P 共掺杂纳米石墨烯，其中含有两个嵌入的氮杂膦嗪单元。最初分离出的 P=S 框架可以在不改变稠合碳—氮骨架的情况下化学选择性转化为相应的 P=O 类似物，从而提供一对结构匹配的 P=S/P=O 分子对。单晶 X 射线衍射表明，P=S 到 P=O 的交换调制了氮杂膦嗪单元周围的局部畸变。光谱测量和理论计算表明，这种局域磷修饰重新分布了前沿轨道密度和静电极化。飞秒瞬态吸收光谱显示两种衍生物具有相当的激发态寿命（τ = 1.46 和 1.62 ns），但 P=S 衍生物具有更强的激发态吸收带。在 532 nm 处的开孔 Z 扫描测量进一步证实，P=S 衍生物增强的激发态吸收转化为比 P=O 类似物更强的反饱和吸收，其 βeff 值可与基准 C60 相当。这项工作建立了对大骨架 N、P 共掺杂纳米石墨烯的合成途径，并表明局部</w:t>
      </w:r>
    </w:p>
    <w:p>
      <w:pPr>
        <w:spacing w:before="0" w:after="200" w:lineRule="auto" w:line="276"/>
      </w:pPr>
      <w:r>
        <w:rPr>
          <w:b/>
        </w:rPr>
        <w:t xml:space="preserve">Abstract (EN): </w:t>
      </w:r>
      <w:r>
        <w:t>While nitrogen doping into large fused π-conjugated frameworks is relatively facile, the skeletal incorporation of both nitrogen and phosphorus into large fused π-conjugated frameworks remains synthetically demanding owing to the geometric mismatch and chemical lability associated with embedded phosphorus centers. Herein, we report a sequential electrophilic phosphination/sulfur-trapping strategy that provides access to a rigid ten-ring-fused N,P-codoped nanographene containing two embedded azaphosphinine units. The initially isolated P=S framework can be chemoselectively converted into the corresponding P=O analogue without altering the fused carbon–nitrogen backbone, furnishing a structurally matched P=S/P=O molecular pair. Single-crystal X-ray diffraction reveals that P=S to P=O exchange modulates local distortion around azaphosphinine units. Spectroscopic measurements and theoretical calculations show that this localized phosphorus modification redistributes frontier orbital density and electrostatic polarization. Femtosecond transient absorption spectroscopy reveals comparable excited-state lifetimes for the two derivatives (τ = 1.46 and 1.62 ns), but a stronger excited-state absorption band for the P=S derivative. Open-aperture Z-scan measurements at 532 nm further confirm that the enhanced excited-state absorption of the P=S derivative translates into stronger reverse saturable absorption than the P=O analogue, with a βeff value comparable to benchmark C60. This work establishes synthetic access to large skeletal N,P-codoped nanographene and shows that local phosphorus chemistry can regulate excited-state absorption.</w:t>
      </w:r>
    </w:p>
    <w:p>
      <w:pPr>
        <w:spacing w:before="120" w:after="120"/>
      </w:pPr>
      <w:r>
        <w:rPr>
          <w:sz w:val="18"/>
        </w:rPr>
        <w:t>——————————————————————————————————————————————————————————————————————</w:t>
      </w:r>
    </w:p>
    <w:p>
      <w:pPr>
        <w:spacing w:before="160" w:after="40" w:line="240" w:lineRule="auto"/>
      </w:pPr>
      <w:r>
        <w:rPr>
          <w:b/>
        </w:rPr>
        <w:t xml:space="preserve">[577] </w:t>
      </w:r>
      <w:hyperlink r:id="rId1463">
        <w:r>
          <w:rPr>
            <w:color w:val="1155CC"/>
            <w:u w:val="single"/>
          </w:rPr>
          <w:t>用于小干扰RNA递送以实现癌症免疫治疗的大介孔共价有机框架纳米颗粒</w:t>
        </w:r>
      </w:hyperlink>
    </w:p>
    <w:p>
      <w:pPr>
        <w:spacing w:before="0" w:after="80"/>
      </w:pPr>
      <w:r>
        <w:rPr>
          <w:i/>
          <w:sz w:val="20"/>
        </w:rPr>
        <w:t>EN: Large-Mesopore Covalent Organic Framework Nanoparticles for Small Interfering RNA Delivery toward Cancer Immunotherapy</w:t>
      </w:r>
    </w:p>
    <w:p>
      <w:pPr>
        <w:spacing w:before="0" w:after="120"/>
      </w:pPr>
      <w:r>
        <w:rPr>
          <w:b/>
        </w:rPr>
        <w:t xml:space="preserve">Source: </w:t>
      </w:r>
      <w:r>
        <w:t>Journal of the American Chemical Society</w:t>
      </w:r>
      <w:r>
        <w:t xml:space="preserve">    </w:t>
      </w:r>
      <w:r>
        <w:rPr>
          <w:b/>
        </w:rPr>
        <w:t xml:space="preserve">Pub date: </w:t>
      </w:r>
      <w:r>
        <w:t>2026-09-01 00:00:00+00:00</w:t>
      </w:r>
      <w:r>
        <w:t xml:space="preserve">    </w:t>
      </w:r>
      <w:r>
        <w:rPr>
          <w:b/>
        </w:rPr>
        <w:t xml:space="preserve">DOI: </w:t>
      </w:r>
      <w:hyperlink r:id="rId1463">
        <w:r>
          <w:rPr>
            <w:color w:val="1155CC"/>
            <w:u w:val="single"/>
          </w:rPr>
          <w:t>10.1021/jacs.6c10067</w:t>
        </w:r>
      </w:hyperlink>
    </w:p>
    <w:p>
      <w:pPr>
        <w:spacing w:before="0" w:after="120"/>
      </w:pPr>
      <w:r>
        <w:rPr>
          <w:b/>
        </w:rPr>
        <w:t xml:space="preserve">Notes: </w:t>
      </w:r>
      <w:r>
        <w:t>abstract_source=crossref</w:t>
      </w:r>
    </w:p>
    <w:p>
      <w:pPr>
        <w:spacing w:before="0" w:after="80" w:lineRule="auto" w:line="276"/>
      </w:pPr>
      <w:r>
        <w:rPr>
          <w:b/>
        </w:rPr>
        <w:t xml:space="preserve">摘要（ZH）: </w:t>
      </w:r>
      <w:r>
        <w:t>摘要 小干扰 RNA（siRNA）通过精准的基因沉默机制为肿瘤免疫治疗提供了一种有前景的模式，然而由于其聚阴离子特性，其高效装载和体内递送依赖于专门的载体。多孔纳米材料是设计此类载体的理想平台。然而，构建用于高效 siRNA 装载和体内递送的生物相容性多孔有机材料具有挑战性，因为具有丰富、有序且大介孔的结构稳定有机纳米粒子（NPs）鲜有报道。在此，采用平衡刚性与柔性的连接体设计策略合成了共价有机框架（COFs），解决了同时生成有机 NPs 并保留有序大介孔的难题。具体而言，将柔性烯丙氧基链接枝到刚性的难溶连接体上，增强了连接体的溶解性和层间相互作用，从而实现了一系列介孔 COF 纳米粒子的合成。其中，由 4,4′-(1,2-乙炔二基)双(2-烯丙氧基苯甲醛)和 1,3,5-三(4-氨基苯基)苯衍生的 COF（TECOF）NPs 表现出 4.5 nm 的介孔孔径，据我们所知，这是迄今为止 COF 纳米粒子中报道的最大孔径。随后，TECOF NPs 被用作平台，共价接枝顺铂-COOH 配合物（Pt(IV)）并包封模型 siRNA（siPDL1），生成 siPDL1@TECOF-Pt。肿瘤细胞摄取后，接枝的 Pt(IV) 被证明可诱导细胞焦亡，而通道装载的 siPDL1 则被释放以沉默 PD-L1 表达。这种</w:t>
      </w:r>
    </w:p>
    <w:p>
      <w:pPr>
        <w:spacing w:before="0" w:after="200" w:lineRule="auto" w:line="276"/>
      </w:pPr>
      <w:r>
        <w:rPr>
          <w:b/>
        </w:rPr>
        <w:t xml:space="preserve">Abstract (EN): </w:t>
      </w:r>
      <w:r>
        <w:t>Small interfering RNA (siRNA) offers a promising modality for tumor immunotherapy through a precise gene-silencing mechanism, whereas its efficient loading and in vivo delivery rely on specialized carriers because of its polyanionic nature. Porous nanomaterials represent attractive platforms for designing such carriers. However, constructing biocompatible porous organic materials for efficient siRNA loading and in vivo delivery is challenging because structurally stable organic nanoparticles (NPs) with abundant, ordered, and large mesopores have rarely been reported. Herein, a linker-design strategy that balances rigidity and flexibility was used to synthesize covalent organic frameworks (COFs), resolving the dilemma of simultaneously producing organic NPs and preserving ordered large mesopores. Specifically, grafting flexible allyloxy chains onto rigid, poorly soluble linkers enhanced linker solubility and interlayer interactions, enabling the synthesis of a series of mesoporous COF nanoparticles. Thereinto, 4,4′-(1,2-ethynediyl)bis(2-allyloxybenzaldehyde) and 1,3,5-tris(4-aminophenyl)benzene-derived COF (TECOF) NPs exhibited a mesopore aperture of 4.5 nm, which, to the best of our knowledge, is the largest reported for COF nanoparticles to date. Subsequently, TECOF NPs were applied as platforms to covalently graft a cisplatin-COOH complex (Pt(IV)) and encapsulate a model siRNA (siPDL1) to generate siPDL1@TECOF-Pt. After tumor-cell uptake, grafted Pt(IV) was proven to induce pyroptosis, while channel-loaded siPDL1 was released to silence PD-L1 expression. Such a nanoscale-mesoporous-COF-assisted immunotherapy strategy demonstrated significant tumor growth inhibition and prolonged survival in 4T1 tumor-bearing mice. This study provides a proof-of-concept for the construction of large-mesopore COF NPs for efficient siRNA loading and in vivo delivery.</w:t>
      </w:r>
    </w:p>
    <w:p>
      <w:pPr>
        <w:spacing w:before="120" w:after="120"/>
      </w:pPr>
      <w:r>
        <w:rPr>
          <w:sz w:val="18"/>
        </w:rPr>
        <w:t>——————————————————————————————————————————————————————————————————————</w:t>
      </w:r>
    </w:p>
    <w:p>
      <w:pPr>
        <w:spacing w:before="160" w:after="40" w:line="240" w:lineRule="auto"/>
      </w:pPr>
      <w:r>
        <w:rPr>
          <w:b/>
        </w:rPr>
        <w:t xml:space="preserve">[578] </w:t>
      </w:r>
      <w:hyperlink r:id="rId1464">
        <w:r>
          <w:rPr>
            <w:color w:val="1155CC"/>
            <w:u w:val="single"/>
          </w:rPr>
          <w:t>β-螺旋桨Diels–Alder酶家族指导聚酮化合物生物合成中顺式十氢萘的形成</w:t>
        </w:r>
      </w:hyperlink>
    </w:p>
    <w:p>
      <w:pPr>
        <w:spacing w:before="0" w:after="80"/>
      </w:pPr>
      <w:r>
        <w:rPr>
          <w:i/>
          <w:sz w:val="20"/>
        </w:rPr>
        <w:t>EN: Family of β-Propeller Diels–Alderases Directs cis -Decalin Formation in Polyketide Biosynthesis</w:t>
      </w:r>
    </w:p>
    <w:p>
      <w:pPr>
        <w:spacing w:before="0" w:after="120"/>
      </w:pPr>
      <w:r>
        <w:rPr>
          <w:b/>
        </w:rPr>
        <w:t xml:space="preserve">Source: </w:t>
      </w:r>
      <w:r>
        <w:t>Journal of the American Chemical Society</w:t>
      </w:r>
      <w:r>
        <w:t xml:space="preserve">    </w:t>
      </w:r>
      <w:r>
        <w:rPr>
          <w:b/>
        </w:rPr>
        <w:t xml:space="preserve">Pub date: </w:t>
      </w:r>
      <w:r>
        <w:t>2026-09-01 00:00:00+00:00</w:t>
      </w:r>
      <w:r>
        <w:t xml:space="preserve">    </w:t>
      </w:r>
      <w:r>
        <w:rPr>
          <w:b/>
        </w:rPr>
        <w:t xml:space="preserve">DOI: </w:t>
      </w:r>
      <w:hyperlink r:id="rId1464">
        <w:r>
          <w:rPr>
            <w:color w:val="1155CC"/>
            <w:u w:val="single"/>
          </w:rPr>
          <w:t>10.1021/jacs.6c12942</w:t>
        </w:r>
      </w:hyperlink>
    </w:p>
    <w:p>
      <w:pPr>
        <w:spacing w:before="0" w:after="120"/>
      </w:pPr>
      <w:r>
        <w:rPr>
          <w:b/>
        </w:rPr>
        <w:t xml:space="preserve">Notes: </w:t>
      </w:r>
      <w:r>
        <w:t>abstract_source=crossref</w:t>
      </w:r>
    </w:p>
    <w:p>
      <w:pPr>
        <w:spacing w:before="0" w:after="80" w:lineRule="auto" w:line="276"/>
      </w:pPr>
      <w:r>
        <w:rPr>
          <w:b/>
        </w:rPr>
        <w:t xml:space="preserve">摘要（ZH）: </w:t>
      </w:r>
      <w:r>
        <w:t>摘要 十氢萘形成的Diels–Alder酶（周环酶）体现了自然界如何反复招募不相关的蛋白质折叠来控制[4 + 2]环加成反应，然而生成顺式稠合十氢萘的外型选择性分子内Diels–Alder（IMDA）反应仍然罕见且知之甚少。在此，我们发现了一个此前未被识别的细菌周环酶家族，其在聚酮化合物组装中强制执行外型IMDA路径。以alchivemycin A——一种由高度官能化的顺式十氢萘核心定义的大环抗菌聚酮化合物——为研究对象，我们鉴定了AvmG为专属的十氢萘形成酶。破坏avmG会使途径代谢流转向反式十氢萘支路异构体，这与自发、内型偏好的环化一致，而下游大环化酶无法处理这些产物；相反，AvmG能够促进真正顺式十氢萘中间体的形成。AvmG与已知的[4 + 2]环化酶无同源关系，采用类似整合素α N端结构域的β-螺旋桨结构，揭示了一种出人意料的周环立体控制骨架。基因组挖掘表明AvmG样蛋白广泛存在并富集于放线菌聚酮化合物基因簇中；对lydicamycin同源蛋白LymR的表征确立了在另一条途径中保守的外型IMDA活性。结构和突变分析表明，由环状结构定义的催化空腔在引导动力学上要求苛刻的顺式十氢萘产物中起关键作用。总之，这些发现拓展了Diels–Alder酶的折叠和机制多样性，定义了一个外型选择性的β-螺旋桨周环酶超家族，并为挖掘和生物工程……提供了新抓手</w:t>
      </w:r>
    </w:p>
    <w:p>
      <w:pPr>
        <w:spacing w:before="0" w:after="200" w:lineRule="auto" w:line="276"/>
      </w:pPr>
      <w:r>
        <w:rPr>
          <w:b/>
        </w:rPr>
        <w:t xml:space="preserve">Abstract (EN): </w:t>
      </w:r>
      <w:r>
        <w:t>Decalin-forming Diels–Alderases (pericyclases) exemplify how Nature repeatedly recruits unrelated protein folds to control [4 + 2] cycloadditions, yet exo-selective intramolecular Diels–Alder (IMDA) reactions that yield cis-fused decalins remain rare and poorly understood. Here, we uncover a previously unrecognized bacterial pericyclase family that enforces an exo-IMDA trajectory in polyketide assembly. Using alchivemycin A, a macrocyclic antibacterial polyketide whose scaffold is defined by a highly functionalized cis-decalin core, we identify AvmG as the dedicated decalin-forming enzyme. Disruption of avmG diverts pathway flux to trans-decalin shunt isomers consistent with spontaneous, endo-biased cyclization that cannot be processed by the downstream macrocyclase, whereas AvmG enables formation of the authentic cis-decalin intermediate. AvmG is unrelated to known [4 + 2] cyclases and adopts an integrin α N-terminal domain-like β-propeller architecture, revealing an unexpected scaffold for pericyclic stereocontrol. Genome mining shows that AvmG-like proteins are widespread and enriched in actinomycete polyketide gene clusters; characterization of the lydicamycin homolog LymR establishes conserved exo-IMDA activity in a distinct pathway. Structural and mutational analyses implicate a loop-defined catalytic cavity in steering the kinetically demanding cis-decalin outcome. Together, these findings expand the fold and mechanistic diversity of Diels–Alderases, define an exo-selective β-propeller pericyclase superfamily, and provide a new handle for mining and bioengineering cis-decalin biosynthetic pathways.</w:t>
      </w:r>
    </w:p>
    <w:p>
      <w:pPr>
        <w:spacing w:before="120" w:after="120"/>
      </w:pPr>
      <w:r>
        <w:rPr>
          <w:sz w:val="18"/>
        </w:rPr>
        <w:t>——————————————————————————————————————————————————————————————————————</w:t>
      </w:r>
    </w:p>
    <w:p>
      <w:pPr>
        <w:spacing w:before="160" w:after="40" w:line="240" w:lineRule="auto"/>
      </w:pPr>
      <w:r>
        <w:rPr>
          <w:b/>
        </w:rPr>
        <w:t xml:space="preserve">[579] </w:t>
      </w:r>
      <w:hyperlink r:id="rId1465">
        <w:r>
          <w:rPr>
            <w:color w:val="1155CC"/>
            <w:u w:val="single"/>
          </w:rPr>
          <w:t>超大孔纯硅分子筛中的3D到3D拓扑转变</w:t>
        </w:r>
      </w:hyperlink>
    </w:p>
    <w:p>
      <w:pPr>
        <w:spacing w:before="0" w:after="80"/>
      </w:pPr>
      <w:r>
        <w:rPr>
          <w:i/>
          <w:sz w:val="20"/>
        </w:rPr>
        <w:t>EN: 3D-to-3D Topotactic Transformation in Extra-Large-Pore Pure-Silica Zeolite</w:t>
      </w:r>
    </w:p>
    <w:p>
      <w:pPr>
        <w:spacing w:before="0" w:after="120"/>
      </w:pPr>
      <w:r>
        <w:rPr>
          <w:b/>
        </w:rPr>
        <w:t xml:space="preserve">Source: </w:t>
      </w:r>
      <w:r>
        <w:t>Journal of the American Chemical Society</w:t>
      </w:r>
      <w:r>
        <w:t xml:space="preserve">    </w:t>
      </w:r>
      <w:r>
        <w:rPr>
          <w:b/>
        </w:rPr>
        <w:t xml:space="preserve">Pub date: </w:t>
      </w:r>
      <w:r>
        <w:t>2026-09-01 00:00:00+00:00</w:t>
      </w:r>
      <w:r>
        <w:t xml:space="preserve">    </w:t>
      </w:r>
      <w:r>
        <w:rPr>
          <w:b/>
        </w:rPr>
        <w:t xml:space="preserve">DOI: </w:t>
      </w:r>
      <w:hyperlink r:id="rId1465">
        <w:r>
          <w:rPr>
            <w:color w:val="1155CC"/>
            <w:u w:val="single"/>
          </w:rPr>
          <w:t>10.1021/jacs.6c05613</w:t>
        </w:r>
      </w:hyperlink>
    </w:p>
    <w:p>
      <w:pPr>
        <w:spacing w:before="0" w:after="120"/>
      </w:pPr>
      <w:r>
        <w:rPr>
          <w:b/>
        </w:rPr>
        <w:t xml:space="preserve">Notes: </w:t>
      </w:r>
      <w:r>
        <w:t>abstract_source=crossref</w:t>
      </w:r>
    </w:p>
    <w:p>
      <w:pPr>
        <w:spacing w:before="0" w:after="80" w:lineRule="auto" w:line="276"/>
      </w:pPr>
      <w:r>
        <w:rPr>
          <w:b/>
        </w:rPr>
        <w:t xml:space="preserve">摘要（ZH）: </w:t>
      </w:r>
      <w:r>
        <w:t>摘要 稳定的硅基超大孔（ELP）分子筛对于加工大分子非常理想，但其直接合成仍然极具挑战性。在此，我们报道了JU-87，一种稳定的、完全连接的纯硅ELP分子筛，它通过一种含缺陷的24元环分子筛前体（JU-86）的3D到3D拓扑缩合反应形成。JU-86中SiO–···HOSi缺陷经煅烧诱导完全缩合生成JU-87，其特征在于一维18元环孔道（最大尺寸：17.36 Å），孔道内衬有口袋状空腔，并含有大量前所未有的高张力三元环单元。凭借其宽敞的孔道，JU-87可以容纳大体积染料分子，展示了其在大型底物吸附和催化升级方面的潜力。</w:t>
      </w:r>
    </w:p>
    <w:p>
      <w:pPr>
        <w:spacing w:before="0" w:after="200" w:lineRule="auto" w:line="276"/>
      </w:pPr>
      <w:r>
        <w:rPr>
          <w:b/>
        </w:rPr>
        <w:t xml:space="preserve">Abstract (EN): </w:t>
      </w:r>
      <w:r>
        <w:t>Stable silica-based extra-large-pore (ELP) zeolites are highly desirable for processing bulky molecules but remain exceedingly challenging to synthesize directly. Here, we report JU-87, a stable, fully connected pure-silica ELP zeolite formed through a 3D-to-3D topotactic condensation of an interrupted 24-membered-ring zeolite precursor (JU-86). The calcination-induced full condensation of the SiO–···HOSi defects in JU-86 yields JU-87, which features one-dimensional 18-membered-ring channels (max. dimension: 17.36 Å) lined with pocket-like cavities and contains abundant, unprecedented, highly strained three-membered-ring units. Owing to its spacious channels, JU-87 can accommodate bulky dye molecules, demonstrating its potential for the adsorption and catalytic upgrading of large substrates.</w:t>
      </w:r>
    </w:p>
    <w:p>
      <w:pPr>
        <w:spacing w:before="120" w:after="120"/>
      </w:pPr>
      <w:r>
        <w:rPr>
          <w:sz w:val="18"/>
        </w:rPr>
        <w:t>——————————————————————————————————————————————————————————————————————</w:t>
      </w:r>
    </w:p>
    <w:p>
      <w:pPr>
        <w:spacing w:before="160" w:after="40" w:line="240" w:lineRule="auto"/>
      </w:pPr>
      <w:r>
        <w:rPr>
          <w:b/>
        </w:rPr>
        <w:t xml:space="preserve">[580] </w:t>
      </w:r>
      <w:hyperlink r:id="rId1466">
        <w:r>
          <w:rPr>
            <w:color w:val="1155CC"/>
            <w:u w:val="single"/>
          </w:rPr>
          <w:t>金刚石类材料中通过填充调控动力学实现宽温区近零热膨胀</w:t>
        </w:r>
      </w:hyperlink>
    </w:p>
    <w:p>
      <w:pPr>
        <w:spacing w:before="0" w:after="80"/>
      </w:pPr>
      <w:r>
        <w:rPr>
          <w:i/>
          <w:sz w:val="20"/>
        </w:rPr>
        <w:t>EN: Wide-Temperature-Range Near-Zero Thermal Expansion via Stuffing-Controlled Dynamics in Diamond-Like Materials</w:t>
      </w:r>
    </w:p>
    <w:p>
      <w:pPr>
        <w:spacing w:before="0" w:after="120"/>
      </w:pPr>
      <w:r>
        <w:rPr>
          <w:b/>
        </w:rPr>
        <w:t xml:space="preserve">Source: </w:t>
      </w:r>
      <w:r>
        <w:t>Journal of the American Chemical Society</w:t>
      </w:r>
      <w:r>
        <w:t xml:space="preserve">    </w:t>
      </w:r>
      <w:r>
        <w:rPr>
          <w:b/>
        </w:rPr>
        <w:t xml:space="preserve">Pub date: </w:t>
      </w:r>
      <w:r>
        <w:t>2026-09-01 00:00:00+00:00</w:t>
      </w:r>
      <w:r>
        <w:t xml:space="preserve">    </w:t>
      </w:r>
      <w:r>
        <w:rPr>
          <w:b/>
        </w:rPr>
        <w:t xml:space="preserve">DOI: </w:t>
      </w:r>
      <w:hyperlink r:id="rId1466">
        <w:r>
          <w:rPr>
            <w:color w:val="1155CC"/>
            <w:u w:val="single"/>
          </w:rPr>
          <w:t>10.1021/jacs.6c10467</w:t>
        </w:r>
      </w:hyperlink>
    </w:p>
    <w:p>
      <w:pPr>
        <w:spacing w:before="0" w:after="120"/>
      </w:pPr>
      <w:r>
        <w:rPr>
          <w:b/>
        </w:rPr>
        <w:t xml:space="preserve">Notes: </w:t>
      </w:r>
      <w:r>
        <w:t>abstract_source=crossref</w:t>
      </w:r>
    </w:p>
    <w:p>
      <w:pPr>
        <w:spacing w:before="0" w:after="80" w:lineRule="auto" w:line="276"/>
      </w:pPr>
      <w:r>
        <w:rPr>
          <w:b/>
        </w:rPr>
        <w:t xml:space="preserve">摘要（ZH）: </w:t>
      </w:r>
      <w:r>
        <w:t>摘要 近零热膨胀（NZTE）材料对于光学仪器和航空航天部件等新兴精密技术至关重要。然而，在宽温度范围内具有稳健性能的现有材料十分有限，尤其是在寻求除NZTE之外的功能特性时更是如此。我们报道了一项数据驱动的材料设计研究，发现锌 blende 结构是获得NZTE并阐明其 underlying 晶体化学原理的极佳平台。基于此，我们引入了空位工程和填隙原子掺入，得到一系列立方四元硫属化合物 AM3M′X4，其中连接离子的振动被系统性调控。我们发现 NaAg3TiS4、NaAg3TiSe4 和 RbAg3TiSe4 是有前景的NZTE候选材料，其在较宽温度窗口（300–600 K）内的热膨胀系数低于 2 × 10–6 K–1。这些是不同于低热膨胀氧化物的半导体材料。我们通过晶格软化、刚性单元倾转和连接离子横向振动对负 Grüneisen 参数的协同贡献来解释NZTE。基于锌 blende 晶格的填充提供了一种调控连接离子横向模式的化学途径，从而控制热膨胀以获得NZTE。</w:t>
      </w:r>
    </w:p>
    <w:p>
      <w:pPr>
        <w:spacing w:before="0" w:after="200" w:lineRule="auto" w:line="276"/>
      </w:pPr>
      <w:r>
        <w:rPr>
          <w:b/>
        </w:rPr>
        <w:t xml:space="preserve">Abstract (EN): </w:t>
      </w:r>
      <w:r>
        <w:t>Near-zero thermal expansion (NZTE) materials are essential for emerging precision technologies, such as optical instruments and aerospace components. However, existing materials with robust performance over a broad temperature range are limited, especially if functional properties in addition to NZTE are sought. We report a data-driven materials design investigation and find that the zinc-blende structure is an excellent platform for obtaining NZTE and elucidating underlying crystal-chemical principles. Based on these, we introduced vacancy engineering and stuffed-atom incorporation, yielding a series of cubic quaternary chalcogenides AM3M′X4, where linkage ion vibrations are systematically modulated. We found that NaAg3TiS4, NaAg3TiSe4, and RbAg3TiSe4 are promising NZTE candidates with coefficients of thermal expansion below 2 × 10–6 K–1 over extended temperature windows (300–600 K). These are semiconducting materials distinct from low-thermal-expansion oxides. We explain the NZTE via the synergistic contributions of lattice softening, rigid-unit tilting, and linkage-ion transverse vibrations to the negative Grüneisen parameters. The stuffing of the zinc blende-based lattice provides a chemical way of tuning the linkage-ion transverse modes, thus controlling the thermal expansion in order to obtain NZTE.</w:t>
      </w:r>
    </w:p>
    <w:p>
      <w:pPr>
        <w:spacing w:before="120" w:after="120"/>
      </w:pPr>
      <w:r>
        <w:rPr>
          <w:sz w:val="18"/>
        </w:rPr>
        <w:t>——————————————————————————————————————————————————————————————————————</w:t>
      </w:r>
    </w:p>
    <w:p>
      <w:pPr>
        <w:spacing w:before="160" w:after="40" w:line="240" w:lineRule="auto"/>
      </w:pPr>
      <w:r>
        <w:rPr>
          <w:b/>
        </w:rPr>
        <w:t xml:space="preserve">[581] </w:t>
      </w:r>
      <w:hyperlink r:id="rId1467">
        <w:r>
          <w:rPr>
            <w:color w:val="1155CC"/>
            <w:u w:val="single"/>
          </w:rPr>
          <w:t>磺酰基取代脂肪族炔烃的基团转移自由基聚合</w:t>
        </w:r>
      </w:hyperlink>
    </w:p>
    <w:p>
      <w:pPr>
        <w:spacing w:before="0" w:after="80"/>
      </w:pPr>
      <w:r>
        <w:rPr>
          <w:i/>
          <w:sz w:val="20"/>
        </w:rPr>
        <w:t>EN: Group Transfer Radical Polymerization of Sulfone-Substituted Aliphatic Alkynes</w:t>
      </w:r>
    </w:p>
    <w:p>
      <w:pPr>
        <w:spacing w:before="0" w:after="120"/>
      </w:pPr>
      <w:r>
        <w:rPr>
          <w:b/>
        </w:rPr>
        <w:t xml:space="preserve">Source: </w:t>
      </w:r>
      <w:r>
        <w:t>Journal of the American Chemical Society</w:t>
      </w:r>
      <w:r>
        <w:t xml:space="preserve">    </w:t>
      </w:r>
      <w:r>
        <w:rPr>
          <w:b/>
        </w:rPr>
        <w:t xml:space="preserve">Pub date: </w:t>
      </w:r>
      <w:r>
        <w:t>2026-09-01 00:00:00+00:00</w:t>
      </w:r>
      <w:r>
        <w:t xml:space="preserve">    </w:t>
      </w:r>
      <w:r>
        <w:rPr>
          <w:b/>
        </w:rPr>
        <w:t xml:space="preserve">DOI: </w:t>
      </w:r>
      <w:hyperlink r:id="rId1467">
        <w:r>
          <w:rPr>
            <w:color w:val="1155CC"/>
            <w:u w:val="single"/>
          </w:rPr>
          <w:t>10.1021/jacs.6c16074</w:t>
        </w:r>
      </w:hyperlink>
    </w:p>
    <w:p>
      <w:pPr>
        <w:spacing w:before="0" w:after="120"/>
      </w:pPr>
      <w:r>
        <w:rPr>
          <w:b/>
        </w:rPr>
        <w:t xml:space="preserve">Notes: </w:t>
      </w:r>
      <w:r>
        <w:t>abstract_source=crossref</w:t>
      </w:r>
    </w:p>
    <w:p>
      <w:pPr>
        <w:spacing w:before="0" w:after="80" w:lineRule="auto" w:line="276"/>
      </w:pPr>
      <w:r>
        <w:rPr>
          <w:b/>
        </w:rPr>
        <w:t xml:space="preserve">摘要（ZH）: </w:t>
      </w:r>
      <w:r>
        <w:t>摘要 脂肪族炔烃的自由基均聚反应仍然是一项艰巨的挑战，主要原因是增长乙烯基自由基的高反应活性使得通过氢原子转移的链转移在动力学上不可避免地比链增长更有利。通过采用合理设计的带有远端磺酰基取代的脂肪族炔烃作为单体，我们在此报道了一种通过 1,4-基团转移的脂肪族炔烃高效自由基均聚反应，得到了一系列具有明确 ABC 型序列的新聚合物。DFT 计算表明，1,4-基团转移在促进链增长中起关键作用。所得聚合物作为高温质子交换膜燃料电池的粘结剂表现出优异的性能。此外，这些聚合物可被化学降解，产生多种有价值的巴豆胺。这项工作实现了传统方法无法实现的脂肪族炔烃的自由基聚合，为功能聚合物的开发提供了一个有前景的平台。</w:t>
      </w:r>
    </w:p>
    <w:p>
      <w:pPr>
        <w:spacing w:before="0" w:after="200" w:lineRule="auto" w:line="276"/>
      </w:pPr>
      <w:r>
        <w:rPr>
          <w:b/>
        </w:rPr>
        <w:t xml:space="preserve">Abstract (EN): </w:t>
      </w:r>
      <w:r>
        <w:t>Radical homopolymerization of aliphatic alkynes remains a formidable challenge, primarily because the high reactivity of propagating vinyl radicals renders inevitable chain transfer via hydrogen atom transfer kinetically more favorable than chain propagation. By harnessing rationally designed distal sulfone-substituted aliphatic alkynes as monomers, here we report an efficient radical homopolymerization of aliphatic alkynes via 1,4-group transfer, affording a series of new polymers with defined ABC-type sequence. DFT calculations reveal that the 1,4-group transfer plays a critical role in facilitating chain propagation. The resulting polymers further exhibit outstanding performance as binders for high-temperature proton-exchange membrane fuel cells. Furthermore, the polymers can be chemically degraded to yield a diversity of valuable crotylamines. This work achieves the elusive radical polymerization of aliphatic alkynes that is inaccessible by traditional methods, providing a promising platform for the development of functional polymers.</w:t>
      </w:r>
    </w:p>
    <w:p>
      <w:pPr>
        <w:spacing w:before="120" w:after="120"/>
      </w:pPr>
      <w:r>
        <w:rPr>
          <w:sz w:val="18"/>
        </w:rPr>
        <w:t>——————————————————————————————————————————————————————————————————————</w:t>
      </w:r>
    </w:p>
    <w:p>
      <w:pPr>
        <w:spacing w:before="160" w:after="40" w:line="240" w:lineRule="auto"/>
      </w:pPr>
      <w:r>
        <w:rPr>
          <w:b/>
        </w:rPr>
        <w:t xml:space="preserve">[582] </w:t>
      </w:r>
      <w:hyperlink r:id="rId1468">
        <w:r>
          <w:rPr>
            <w:color w:val="1155CC"/>
            <w:u w:val="single"/>
          </w:rPr>
          <w:t>通过19F魔角旋转NMR波谱实现氟化氨基酸的位点与残基特异性同时掺入用于细胞内结构生物学研究</w:t>
        </w:r>
      </w:hyperlink>
    </w:p>
    <w:p>
      <w:pPr>
        <w:spacing w:before="0" w:after="80"/>
      </w:pPr>
      <w:r>
        <w:rPr>
          <w:i/>
          <w:sz w:val="20"/>
        </w:rPr>
        <w:t>EN: Simultaneous Site- and Residue-Specific Incorporation of Fluorinated Amino Acids for In-Cell Structural Biology by 19F Magic Angle Spinning NMR Spectroscopy</w:t>
      </w:r>
    </w:p>
    <w:p>
      <w:pPr>
        <w:spacing w:before="0" w:after="120"/>
      </w:pPr>
      <w:r>
        <w:rPr>
          <w:b/>
        </w:rPr>
        <w:t xml:space="preserve">Source: </w:t>
      </w:r>
      <w:r>
        <w:t>Journal of the American Chemical Society</w:t>
      </w:r>
      <w:r>
        <w:t xml:space="preserve">    </w:t>
      </w:r>
      <w:r>
        <w:rPr>
          <w:b/>
        </w:rPr>
        <w:t xml:space="preserve">Pub date: </w:t>
      </w:r>
      <w:r>
        <w:t>2026-09-01 00:00:00+00:00</w:t>
      </w:r>
      <w:r>
        <w:t xml:space="preserve">    </w:t>
      </w:r>
      <w:r>
        <w:rPr>
          <w:b/>
        </w:rPr>
        <w:t xml:space="preserve">DOI: </w:t>
      </w:r>
      <w:hyperlink r:id="rId1468">
        <w:r>
          <w:rPr>
            <w:color w:val="1155CC"/>
            <w:u w:val="single"/>
          </w:rPr>
          <w:t>10.1021/jacs.6c10748</w:t>
        </w:r>
      </w:hyperlink>
    </w:p>
    <w:p>
      <w:pPr>
        <w:spacing w:before="0" w:after="120"/>
      </w:pPr>
      <w:r>
        <w:rPr>
          <w:b/>
        </w:rPr>
        <w:t xml:space="preserve">Notes: </w:t>
      </w:r>
      <w:r>
        <w:t>abstract_source=crossref</w:t>
      </w:r>
    </w:p>
    <w:p>
      <w:pPr>
        <w:spacing w:before="0" w:after="80" w:lineRule="auto" w:line="276"/>
      </w:pPr>
      <w:r>
        <w:rPr>
          <w:b/>
        </w:rPr>
        <w:t xml:space="preserve">摘要（ZH）: </w:t>
      </w:r>
      <w:r>
        <w:t>摘要 魔角旋转（MAS）核磁共振（NMR）波谱技术在获取细胞环境中大分子蛋白质和蛋白质组装体的原子级结构和动力学信息方面具有独特优势。然而，使用最常见的生物分子报告核——1H、13C 和 15N——的胞内 MAS NMR 应用仍然受到细胞背景信号强、固有灵敏度低和分辨率有限的阻碍。相比之下，19F 是一种高灵敏度（receptivity）原子核，天然不存在于生物分子中，是胞内 MAS NMR 的极佳探针。在此，我们报道了一种 19F 标记策略，将通过遗传密码扩展进行的 4-(三氟甲基)-l-苯丙氨酸（tfmF）的位点特异性掺入与所有色氨酸残基吲哚环 7 位的氟化相结合。我们将该方法应用于 SARS-CoV-2 核衣壳蛋白的 N 端结构域 NNTD。对于微晶 7F-Trp,tfmF28,U–15N–NNTD 样品，在二维偶极实验中检测到 tfmF 的 CF3 基团与三个 7F-Trp 残基的 F 原子之间的 19F–19F 相关性，距离范围为 10 至 21 Å。此外，对于电穿孔进入 A2780 细胞的 7F-Trp,tfmF28,U–15N–NNTD，CF3 基团的掺入所提供的更高波谱分辨率和灵敏度使得可在数小时内获得高质量的 19F 胞内 MAS NMR 波谱。芳香氟原子与 CF3 基团的同时标记拓展了用于细胞结构生物学的 19F MAS NMR 工具箱。</w:t>
      </w:r>
    </w:p>
    <w:p>
      <w:pPr>
        <w:spacing w:before="0" w:after="200" w:lineRule="auto" w:line="276"/>
      </w:pPr>
      <w:r>
        <w:rPr>
          <w:b/>
        </w:rPr>
        <w:t xml:space="preserve">Abstract (EN): </w:t>
      </w:r>
      <w:r>
        <w:t>Magic-angle spinning (MAS) nuclear magnetic resonance (NMR) spectroscopy is uniquely positioned to yield atomic-level structural and dynamic information on large proteins and protein assemblies in cellular environments. Yet, in-cell MAS NMR applications using the most common biomolecular reporter nuclei-1H, 13C, and 15N-remain hampered by a large cellular background, inherently low sensitivity, and limited resolution. In contrast, 19F is a high-receptivity nucleus that is naturally absent in biological molecules and is an excellent probe for in-cell MAS NMR. Here, we report a 19F-labeling strategy that combines site-specific incorporation of 4-(trifluoromethyl)-l-phenylalanine (tfmF) via genetic code expansion with fluorination of all tryptophan residues at the 7 position of the indole ring. We apply this approach to the N-terminal domain of the nucleocapsid protein from SARS-CoV-2, NNTD. For a microcrystalline 7F-Trp,tfmF28,U–15N–NNTD sample, 19F–19F correlations between the CF3 group of the tfmF and the F atoms of the three 7F-Trp residues are detected in 2D dipolar-based experiments, spanning a distance range from 10 to 21 Å. Additionally, for 7F-Trp,tfmF28,U–15N–NNTD electroporated into A2780 cells, the increased spectral resolution and sensitivity afforded by the incorporation of the CF3 group enable the acquisition of high-quality 19F in-cell MAS NMR spectra within a few hours. The simultaneous labeling with an aromatic fluorine atom and a CF3 group expands the toolbox of 19F MAS NMR for cellular structural biology.</w:t>
      </w:r>
    </w:p>
    <w:p>
      <w:pPr>
        <w:spacing w:before="120" w:after="120"/>
      </w:pPr>
      <w:r>
        <w:rPr>
          <w:sz w:val="18"/>
        </w:rPr>
        <w:t>——————————————————————————————————————————————————————————————————————</w:t>
      </w:r>
    </w:p>
    <w:p>
      <w:pPr>
        <w:spacing w:before="160" w:after="40" w:line="240" w:lineRule="auto"/>
      </w:pPr>
      <w:r>
        <w:rPr>
          <w:b/>
        </w:rPr>
        <w:t xml:space="preserve">[583] </w:t>
      </w:r>
      <w:hyperlink r:id="rId1469">
        <w:r>
          <w:rPr>
            <w:color w:val="1155CC"/>
            <w:u w:val="single"/>
          </w:rPr>
          <w:t>数字纳米孔计数实现对天然生物样品中痕量水平新抗原的直接鉴定</w:t>
        </w:r>
      </w:hyperlink>
    </w:p>
    <w:p>
      <w:pPr>
        <w:spacing w:before="0" w:after="80"/>
      </w:pPr>
      <w:r>
        <w:rPr>
          <w:i/>
          <w:sz w:val="20"/>
        </w:rPr>
        <w:t>EN: Digital Nanopore Counting Enabling Direct Identification of Trace-Level Neoantigens in Native Biological Samples</w:t>
      </w:r>
    </w:p>
    <w:p>
      <w:pPr>
        <w:spacing w:before="0" w:after="120"/>
      </w:pPr>
      <w:r>
        <w:rPr>
          <w:b/>
        </w:rPr>
        <w:t xml:space="preserve">Source: </w:t>
      </w:r>
      <w:r>
        <w:t>Journal of the American Chemical Society</w:t>
      </w:r>
      <w:r>
        <w:t xml:space="preserve">    </w:t>
      </w:r>
      <w:r>
        <w:rPr>
          <w:b/>
        </w:rPr>
        <w:t xml:space="preserve">Pub date: </w:t>
      </w:r>
      <w:r>
        <w:t>2026-09-01 00:00:00+00:00</w:t>
      </w:r>
      <w:r>
        <w:t xml:space="preserve">    </w:t>
      </w:r>
      <w:r>
        <w:rPr>
          <w:b/>
        </w:rPr>
        <w:t xml:space="preserve">DOI: </w:t>
      </w:r>
      <w:hyperlink r:id="rId1469">
        <w:r>
          <w:rPr>
            <w:color w:val="1155CC"/>
            <w:u w:val="single"/>
          </w:rPr>
          <w:t>10.1021/jacs.6c11903</w:t>
        </w:r>
      </w:hyperlink>
    </w:p>
    <w:p>
      <w:pPr>
        <w:spacing w:before="0" w:after="120"/>
      </w:pPr>
      <w:r>
        <w:rPr>
          <w:b/>
        </w:rPr>
        <w:t xml:space="preserve">Notes: </w:t>
      </w:r>
      <w:r>
        <w:t>abstract_source=crossref</w:t>
      </w:r>
    </w:p>
    <w:p>
      <w:pPr>
        <w:spacing w:before="0" w:after="80" w:lineRule="auto" w:line="276"/>
      </w:pPr>
      <w:r>
        <w:rPr>
          <w:b/>
        </w:rPr>
        <w:t xml:space="preserve">摘要（ZH）: </w:t>
      </w:r>
      <w:r>
        <w:t>摘要 肿瘤特异性新抗原一直是基于 TCR 的癌症疗法最具前景的靶点；然而，其检测因丰度低、序列可变性和潜在修饰而受到极大阻碍。为解决这些问题，我们开发了一种数字纳米孔框架，通过事件分辨的分子识别和计数，直接在细胞样品中明确鉴定并有效定量候选新抗原。通过设计多识别区纳米孔并开发一种通用的水渗透驱动力，我们同时提高了检测通量和特异性。结合丰富的电流特征和梯度提升决策树分类器，该平台可在外源孵育和内源表达的细胞样品中，从数字分配的事件中以单氨基酸分辨率鉴定单个卵清蛋白来源的模型新抗原。我们表明，定量限在天然生物环境中改善至 fmol 水平，从而能够在 30 分钟内从少至 5000 个细胞中直接鉴定新抗原。我们进一步展示了一种天然 Epstein–Barr 病毒相关新抗原的鉴定，凸显了该方法在生物样品中直接超灵敏分析稀有生物分子物种的潜力。</w:t>
      </w:r>
    </w:p>
    <w:p>
      <w:pPr>
        <w:spacing w:before="0" w:after="200" w:lineRule="auto" w:line="276"/>
      </w:pPr>
      <w:r>
        <w:rPr>
          <w:b/>
        </w:rPr>
        <w:t xml:space="preserve">Abstract (EN): </w:t>
      </w:r>
      <w:r>
        <w:t>Tumor-specific neoantigens have been the most promising targets for TCR-based cancer therapies; however, their detection is greatly hindered by low abundance, sequence variability, and potential modifications. To address these, we developed a digital nanopore framework to unambiguously identify and effectively quantify candidate neoantigens directly in cell samples via event-resolved molecular identification and counting. By engineering a multirecognition-region nanopore and developing a universal water-osmosis driving force, we simultaneously enhanced the detection throughput and specificity. Combined with enriched current signatures and a gradient-boosting decision-tree classifier, the platform identifies individual ovalbumin-derived model neoantigens with single-amino-acid resolution from digitally assigned events in both exogenously incubated and endogenously expressed cell samples. We show that the limit of quantification is improved to the fmol level in native biological environments, enabling the direct identification of neoantigens from as few as 5000 cells within 30 min. We further demonstrate the identification of a native Epstein–Barr virus-associated neoantigen, highlighting the potential of this approach in ultrasensitive analysis of rare biomolecular species directly in biological samples.</w:t>
      </w:r>
    </w:p>
    <w:p>
      <w:pPr>
        <w:spacing w:before="120" w:after="120"/>
      </w:pPr>
      <w:r>
        <w:rPr>
          <w:sz w:val="18"/>
        </w:rPr>
        <w:t>——————————————————————————————————————————————————————————————————————</w:t>
      </w:r>
    </w:p>
    <w:p>
      <w:pPr>
        <w:spacing w:before="160" w:after="40" w:line="240" w:lineRule="auto"/>
      </w:pPr>
      <w:r>
        <w:rPr>
          <w:b/>
        </w:rPr>
        <w:t xml:space="preserve">[584] </w:t>
      </w:r>
      <w:hyperlink r:id="rId1470">
        <w:r>
          <w:rPr>
            <w:color w:val="1155CC"/>
            <w:u w:val="single"/>
          </w:rPr>
          <w:t>金属纳米团簇中的专性互利共生</w:t>
        </w:r>
      </w:hyperlink>
    </w:p>
    <w:p>
      <w:pPr>
        <w:spacing w:before="0" w:after="80"/>
      </w:pPr>
      <w:r>
        <w:rPr>
          <w:i/>
          <w:sz w:val="20"/>
        </w:rPr>
        <w:t>EN: The Obligate Mutualism in Metal Nanoclusters</w:t>
      </w:r>
    </w:p>
    <w:p>
      <w:pPr>
        <w:spacing w:before="0" w:after="120"/>
      </w:pPr>
      <w:r>
        <w:rPr>
          <w:b/>
        </w:rPr>
        <w:t xml:space="preserve">Source: </w:t>
      </w:r>
      <w:r>
        <w:t>Journal of the American Chemical Society</w:t>
      </w:r>
      <w:r>
        <w:t xml:space="preserve">    </w:t>
      </w:r>
      <w:r>
        <w:rPr>
          <w:b/>
        </w:rPr>
        <w:t xml:space="preserve">Pub date: </w:t>
      </w:r>
      <w:r>
        <w:t>2026-09-01 00:00:00+00:00</w:t>
      </w:r>
      <w:r>
        <w:t xml:space="preserve">    </w:t>
      </w:r>
      <w:r>
        <w:rPr>
          <w:b/>
        </w:rPr>
        <w:t xml:space="preserve">DOI: </w:t>
      </w:r>
      <w:hyperlink r:id="rId1470">
        <w:r>
          <w:rPr>
            <w:color w:val="1155CC"/>
            <w:u w:val="single"/>
          </w:rPr>
          <w:t>10.1021/jacs.6c12226</w:t>
        </w:r>
      </w:hyperlink>
    </w:p>
    <w:p>
      <w:pPr>
        <w:spacing w:before="0" w:after="120"/>
      </w:pPr>
      <w:r>
        <w:rPr>
          <w:b/>
        </w:rPr>
        <w:t xml:space="preserve">Notes: </w:t>
      </w:r>
      <w:r>
        <w:t>abstract_source=crossref</w:t>
      </w:r>
    </w:p>
    <w:p>
      <w:pPr>
        <w:spacing w:before="0" w:after="80" w:lineRule="auto" w:line="276"/>
      </w:pPr>
      <w:r>
        <w:rPr>
          <w:b/>
        </w:rPr>
        <w:t xml:space="preserve">摘要（ZH）: </w:t>
      </w:r>
      <w:r>
        <w:t>摘要 金属纳米团簇因其独特的物理化学性质而受到广泛关注。然而，由于固有的不稳定性，还原态、高反应活性金属基纳米团簇（如还原态 Ni 纳米团簇）的合成仍然具有挑战性。在此，我们首次通过巧妙设计保护配体报道了环境稳定的还原态 Ni 纳米团簇，并特别揭示了一种此前未被认识的稳定化机制：两个各自难以单独分离的 Ni 纳米团簇通过共存而相互稳定。值得注意的是，该配对团簇在固相和溶液相中均保持稳定，并表现出类似于生物系统中专性互利共生的相互依存稳定性。这一发现表明，可以利用弱的团簇间相互作用来构建相互稳定的组装体，从而获得原本无法获得的金属纳米团簇。进一步研究表明，这两种纳米团簇发挥互补的催化作用，并协同促进硝酸盐还原。配对团簇之间的氢溢流促进了催化转化，使其活性相对于单个纳米团簇显著增强。这些结果表明，除专性互利共生这一特例外，纳米团簇超组装可以同时增强稳定性和功能性。更广泛地说，这项工作确立了团簇间组装作为一种获取、稳定和优化原子精确纳米团簇的通用策略，为合理设计开辟了新机遇。</w:t>
      </w:r>
    </w:p>
    <w:p>
      <w:pPr>
        <w:spacing w:before="0" w:after="200" w:lineRule="auto" w:line="276"/>
      </w:pPr>
      <w:r>
        <w:rPr>
          <w:b/>
        </w:rPr>
        <w:t xml:space="preserve">Abstract (EN): </w:t>
      </w:r>
      <w:r>
        <w:t>Metal nanoclusters have garnered significant attention owing to their unique physicochemical properties. However, the synthesis of reduced, reactive metal-based nanoclusters, such as reduced Ni nanoclusters, remains challenging because of their intrinsic instability. Herein, we first reported ambient-stable, reduced Ni nanoclusters by subtly engineering the protecting ligands, and particularly revealed a previously unrecognized stabilization mechanism in which two Ni nanoclusters, each difficult to isolate individually, are stabilized through coexistence. Remarkably, the paired clusters remain stable in both the solid and solution phases and exhibit interdependent stability reminiscent of obligate mutualism in biological systems. This finding suggests that weak intercluster interactions can be harnessed to engineer mutually stabilized assemblies, providing access to metal nanoclusters that would otherwise be unattainable. Further studies reveal that the two nanoclusters play complementary catalytic roles and synergistically promote nitrate reduction. Hydrogen spillover between the paired clusters facilitates catalytic turnover, resulting in markedly enhanced activity relative to the individual nanoclusters. These results demonstrate that nanocluster supra-assembly, beyond the specific case of obligate mutualism, can simultaneously enhance stability and functionality. More broadly, this work establishes intercluster assembly as a general strategy for accessing, stabilizing, and optimizing atomically precise nanoclusters, opening new opportunities for the rational design of advanced catalytic systems.</w:t>
      </w:r>
    </w:p>
    <w:p>
      <w:pPr>
        <w:spacing w:before="120" w:after="120"/>
      </w:pPr>
      <w:r>
        <w:rPr>
          <w:sz w:val="18"/>
        </w:rPr>
        <w:t>——————————————————————————————————————————————————————————————————————</w:t>
      </w:r>
    </w:p>
    <w:p>
      <w:pPr>
        <w:spacing w:before="160" w:after="40" w:line="240" w:lineRule="auto"/>
      </w:pPr>
      <w:r>
        <w:rPr>
          <w:b/>
        </w:rPr>
        <w:t xml:space="preserve">[585] </w:t>
      </w:r>
      <w:hyperlink r:id="rId1471">
        <w:r>
          <w:rPr>
            <w:color w:val="1155CC"/>
            <w:u w:val="single"/>
          </w:rPr>
          <w:t>TADF敏化剂化学空间构建结合虚拟筛选用于窄谱超荧光OLED</w:t>
        </w:r>
      </w:hyperlink>
    </w:p>
    <w:p>
      <w:pPr>
        <w:spacing w:before="0" w:after="80"/>
      </w:pPr>
      <w:r>
        <w:rPr>
          <w:i/>
          <w:sz w:val="20"/>
        </w:rPr>
        <w:t>EN: Mapping the Chemical Space of TADF Sensitizers Coupled with Virtual Screening for Narrowband Hyperfluorescence OLEDs</w:t>
      </w:r>
    </w:p>
    <w:p>
      <w:pPr>
        <w:spacing w:before="0" w:after="120"/>
      </w:pPr>
      <w:r>
        <w:rPr>
          <w:b/>
        </w:rPr>
        <w:t xml:space="preserve">Source: </w:t>
      </w:r>
      <w:r>
        <w:t>Journal of the American Chemical Society</w:t>
      </w:r>
      <w:r>
        <w:t xml:space="preserve">    </w:t>
      </w:r>
      <w:r>
        <w:rPr>
          <w:b/>
        </w:rPr>
        <w:t xml:space="preserve">Pub date: </w:t>
      </w:r>
      <w:r>
        <w:t>2026-09-01 00:00:00+00:00</w:t>
      </w:r>
      <w:r>
        <w:t xml:space="preserve">    </w:t>
      </w:r>
      <w:r>
        <w:rPr>
          <w:b/>
        </w:rPr>
        <w:t xml:space="preserve">DOI: </w:t>
      </w:r>
      <w:hyperlink r:id="rId1471">
        <w:r>
          <w:rPr>
            <w:color w:val="1155CC"/>
            <w:u w:val="single"/>
          </w:rPr>
          <w:t>10.1021/jacs.6c15924</w:t>
        </w:r>
      </w:hyperlink>
    </w:p>
    <w:p>
      <w:pPr>
        <w:spacing w:before="0" w:after="120"/>
      </w:pPr>
      <w:r>
        <w:rPr>
          <w:b/>
        </w:rPr>
        <w:t xml:space="preserve">Notes: </w:t>
      </w:r>
      <w:r>
        <w:t>abstract_source=crossref</w:t>
      </w:r>
    </w:p>
    <w:p>
      <w:pPr>
        <w:spacing w:before="0" w:after="80" w:lineRule="auto" w:line="276"/>
      </w:pPr>
      <w:r>
        <w:rPr>
          <w:b/>
        </w:rPr>
        <w:t xml:space="preserve">摘要（ZH）: </w:t>
      </w:r>
      <w:r>
        <w:t>摘要 开发用于窄带红光超荧光有机发光二极管（HF-OLED）的高效热激活延迟荧光（TADF）敏化剂仍然是一项重大挑战，因为长波长敏化需要同时优化小的单重态–三重态能隙（ΔEST）、低单重态激发态能量（ES1）以及高固态光致发光量子产率（ΦPL）。与成功的蓝光和绿光 counterparts 不同，红光 HF-OLED 在很大程度上仍依赖于贵金属磷光敏化剂。在此，我们建立了供体–受体–连接基化学空间映射框架，并结合虚拟筛选，实现无金属 TADF 敏化剂的快速发现，适用于窄带红光 HF-OLED，同时避免了传统的迭代试错分子优化。对一个包含 160 种分子架构的虚拟库进行筛选，发现连接基拓扑结构（而非仅供体–受体身份）是激发态能量学的关键结构决定因素，其中 1,8-二取代萘骨架脱颖而出，成为同时最小化 ΔEST 和 ES1 的优势 motif。在这些见解的指导下，克级可扩展的模块化合成提供了一系列基于 peri-萘、空间限域的通过空间电荷转移（TSCT）TADF 敏化剂，其发射峰最高达 667 nm，超低 ΔEST 值低于 0.01 eV，并通过聚集诱导发光（AIE）实现高达 98% 的固态 ΦPL。与全碳多环芳烃（PAH）发射体配对时，这些敏化剂 del</w:t>
      </w:r>
    </w:p>
    <w:p>
      <w:pPr>
        <w:spacing w:before="0" w:after="200" w:lineRule="auto" w:line="276"/>
      </w:pPr>
      <w:r>
        <w:rPr>
          <w:b/>
        </w:rPr>
        <w:t xml:space="preserve">Abstract (EN): </w:t>
      </w:r>
      <w:r>
        <w:t>Developing efficient thermally activated delayed fluorescence (TADF) sensitizers for narrowband red hyperfluorescence organic light-emitting diodes (HF-OLEDs) remains a major challenge because long-wavelength sensitization requires the simultaneous optimization of a small singlet–triplet energy gap (ΔEST), a low singlet excited-state energy (ES1), and a high solid-state photoluminescence quantum yield (ΦPL). Unlike their successful blue and green counterparts, red HF-OLEDs are still largely reliant on noble-metal phosphorescent sensitizers. Here, we establish a donor–acceptor–linker chemical-space mapping framework coupled with virtual screening to enable the rapid discovery of metal-free TADF sensitizers suitable for narrowband red HF-OLEDs while circumventing conventional iterative trial-and-error molecular optimization. Screening a virtual library of 160 molecular architectures identifies linker topology, rather than donor–acceptor identity alone, as the key structural determinant of excited-state energetics, with the 1,8-disubstituted naphthalene scaffold emerging as a privileged motif that simultaneously minimizes ΔEST and ES1. Guided by these insights, a gram-scalable modular synthesis furnishes a family of peri-naphthalene-based, spatially confined through-space charge-transfer (TSCT) TADF sensitizers exhibiting emission maxima reaching 667 nm, ultralow ΔEST values below 0.01 eV, and solid-state ΦPL values of up to 98% through aggregation-induced emission (AIE). When paired with all-carbon polycyclic aromatic hydrocarbon (PAH) emitters, these sensitizers deliver narrowband red HF-OLEDs with a maximum external quantum efficiency (EQE) of 27.6%, setting a benchmark for all-carbon PAH-based red HF-OLEDs. Moreover, the same TSCT platform is readily extendable to shorter-wavelength systems, as demonstrated by yellow PAH-based HF-OLEDs with an outstanding maximum EQE of 27.7%.</w:t>
      </w:r>
    </w:p>
    <w:p>
      <w:pPr>
        <w:spacing w:before="120" w:after="120"/>
      </w:pPr>
      <w:r>
        <w:rPr>
          <w:sz w:val="18"/>
        </w:rPr>
        <w:t>——————————————————————————————————————————————————————————————————————</w:t>
      </w:r>
    </w:p>
    <w:p>
      <w:pPr>
        <w:spacing w:before="160" w:after="40" w:line="240" w:lineRule="auto"/>
      </w:pPr>
      <w:r>
        <w:rPr>
          <w:b/>
        </w:rPr>
        <w:t xml:space="preserve">[586] </w:t>
      </w:r>
      <w:hyperlink r:id="rId1472">
        <w:r>
          <w:rPr>
            <w:color w:val="1155CC"/>
            <w:u w:val="single"/>
          </w:rPr>
          <w:t>TiIV–氧基配合物的电化学脱氧以实现有机分子的催化还原氧原子转移</w:t>
        </w:r>
      </w:hyperlink>
    </w:p>
    <w:p>
      <w:pPr>
        <w:spacing w:before="0" w:after="80"/>
      </w:pPr>
      <w:r>
        <w:rPr>
          <w:i/>
          <w:sz w:val="20"/>
        </w:rPr>
        <w:t>EN: Electrochemical Deoxygenation of a TiIV–Oxo Complex to Enable Catalytic Reductive Oxygen-Atom Transfer from Organic Molecules</w:t>
      </w:r>
    </w:p>
    <w:p>
      <w:pPr>
        <w:spacing w:before="0" w:after="120"/>
      </w:pPr>
      <w:r>
        <w:rPr>
          <w:b/>
        </w:rPr>
        <w:t xml:space="preserve">Source: </w:t>
      </w:r>
      <w:r>
        <w:t>Journal of the American Chemical Society</w:t>
      </w:r>
      <w:r>
        <w:t xml:space="preserve">    </w:t>
      </w:r>
      <w:r>
        <w:rPr>
          <w:b/>
        </w:rPr>
        <w:t xml:space="preserve">Pub date: </w:t>
      </w:r>
      <w:r>
        <w:t>2026-09-01 00:00:00+00:00</w:t>
      </w:r>
      <w:r>
        <w:t xml:space="preserve">    </w:t>
      </w:r>
      <w:r>
        <w:rPr>
          <w:b/>
        </w:rPr>
        <w:t xml:space="preserve">DOI: </w:t>
      </w:r>
      <w:hyperlink r:id="rId1472">
        <w:r>
          <w:rPr>
            <w:color w:val="1155CC"/>
            <w:u w:val="single"/>
          </w:rPr>
          <w:t>10.1021/jacs.6c11967</w:t>
        </w:r>
      </w:hyperlink>
    </w:p>
    <w:p>
      <w:pPr>
        <w:spacing w:before="0" w:after="120"/>
      </w:pPr>
      <w:r>
        <w:rPr>
          <w:b/>
        </w:rPr>
        <w:t xml:space="preserve">Notes: </w:t>
      </w:r>
      <w:r>
        <w:t>abstract_source=crossref</w:t>
      </w:r>
    </w:p>
    <w:p>
      <w:pPr>
        <w:spacing w:before="0" w:after="80" w:lineRule="auto" w:line="276"/>
      </w:pPr>
      <w:r>
        <w:rPr>
          <w:b/>
        </w:rPr>
        <w:t xml:space="preserve">摘要（ZH）: </w:t>
      </w:r>
      <w:r>
        <w:t>摘要 结构明确（TTP)TiII（TTP = 5,10,15,20-四甲苯基卟啉）配合物已被证明可促进有机分子（如亚砜和环氧化物）的化学计量脱氧反应，生成稳定的 (TTP)TiIV=O 产物。在此，我们探索通过化学或电化学还原再生 (TTP)TiII 以促进催化脱氧反应活性的策略。对 Lewis 酸的调研表明 B(OPh)3 在促进 Ti-氧代基团的活化与脱除方面具有良好效果，实现了 TiII 介导的二苯基亚砜还原性氧原子转移（OAT）。采用循环伏安法、库仑法、EPR 波谱和 X 射线晶体学对 TiIV=O 配合物电还原脱氧过程中产生的 TiIII 和 TiII 物种进行了探测与表征。数据表明 TiIV=O 周转遵循 Lewis 酸耦合电子转移脱氧路径。这些基础研究还辅以电化学反应，展示了来自亚砜、吡啶 N-氧化物和环氧化物的催化还原性氧原子转移。</w:t>
      </w:r>
    </w:p>
    <w:p>
      <w:pPr>
        <w:spacing w:before="0" w:after="200" w:lineRule="auto" w:line="276"/>
      </w:pPr>
      <w:r>
        <w:rPr>
          <w:b/>
        </w:rPr>
        <w:t xml:space="preserve">Abstract (EN): </w:t>
      </w:r>
      <w:r>
        <w:t>Well-defined (TTP)TiII (TTP = 5,10,15,20-tetratolylporphyrin) complexes have been shown to promote stoichiometric deoxygenation of organic molecules, such as sulfoxides and epoxides, forming a stable (TTP)TiIV=O product. Here, we explore strategies to promote catalytic deoxygenation reactivity by regenerating (TTP)TiII through chemical or electrochemical reduction. A survey of Lewis acids revealed the effectiveness of B(OPh)3 in promoting activation and loss of the Ti-oxo group, enabling TiII-mediated reductive oxygen-atom transfer (OAT) of diphenyl sulfoxide. Cyclic voltammetry, coulometry, EPR spectroscopy, and X-ray crystallography have been used to probe and characterize TiIII and TiII species from the electroreductive deoxygenation of the TiIV=O complex. The data implicate a Lewis-acid-coupled electron-transfer deoxygenation pathway for TiIV=O turnover. These fundamental studies are complemented by electrochemical reactions demonstrating catalytic reductive oxygen-atom transfer from sulfoxides, pyridine N-oxides, and epoxides.</w:t>
      </w:r>
    </w:p>
    <w:p>
      <w:pPr>
        <w:spacing w:before="120" w:after="120"/>
      </w:pPr>
      <w:r>
        <w:rPr>
          <w:sz w:val="18"/>
        </w:rPr>
        <w:t>——————————————————————————————————————————————————————————————————————</w:t>
      </w:r>
    </w:p>
    <w:p>
      <w:pPr>
        <w:spacing w:before="160" w:after="40" w:line="240" w:lineRule="auto"/>
      </w:pPr>
      <w:r>
        <w:rPr>
          <w:b/>
        </w:rPr>
        <w:t xml:space="preserve">[587] </w:t>
      </w:r>
      <w:hyperlink r:id="rId1473">
        <w:r>
          <w:rPr>
            <w:color w:val="1155CC"/>
            <w:u w:val="single"/>
          </w:rPr>
          <w:t>天然蛋白质组学揭示细菌病原体通过蛋白酶介导的血红素结合蛋白释放</w:t>
        </w:r>
      </w:hyperlink>
    </w:p>
    <w:p>
      <w:pPr>
        <w:spacing w:before="0" w:after="80"/>
      </w:pPr>
      <w:r>
        <w:rPr>
          <w:i/>
          <w:sz w:val="20"/>
        </w:rPr>
        <w:t>EN: Native Proteomics Reveals Protease-Mediated Hemophore Release by Bacterial Pathogens</w:t>
      </w:r>
    </w:p>
    <w:p>
      <w:pPr>
        <w:spacing w:before="0" w:after="120"/>
      </w:pPr>
      <w:r>
        <w:rPr>
          <w:b/>
        </w:rPr>
        <w:t xml:space="preserve">Source: </w:t>
      </w:r>
      <w:r>
        <w:t>Journal of the American Chemical Society</w:t>
      </w:r>
      <w:r>
        <w:t xml:space="preserve">    </w:t>
      </w:r>
      <w:r>
        <w:rPr>
          <w:b/>
        </w:rPr>
        <w:t xml:space="preserve">Pub date: </w:t>
      </w:r>
      <w:r>
        <w:t>2026-09-01 00:00:00+00:00</w:t>
      </w:r>
      <w:r>
        <w:t xml:space="preserve">    </w:t>
      </w:r>
      <w:r>
        <w:rPr>
          <w:b/>
        </w:rPr>
        <w:t xml:space="preserve">DOI: </w:t>
      </w:r>
      <w:hyperlink r:id="rId1473">
        <w:r>
          <w:rPr>
            <w:color w:val="1155CC"/>
            <w:u w:val="single"/>
          </w:rPr>
          <w:t>10.1021/jacs.6c04584</w:t>
        </w:r>
      </w:hyperlink>
    </w:p>
    <w:p>
      <w:pPr>
        <w:spacing w:before="0" w:after="120"/>
      </w:pPr>
      <w:r>
        <w:rPr>
          <w:b/>
        </w:rPr>
        <w:t xml:space="preserve">Notes: </w:t>
      </w:r>
      <w:r>
        <w:t>abstract_source=crossref</w:t>
      </w:r>
    </w:p>
    <w:p>
      <w:pPr>
        <w:spacing w:before="0" w:after="80" w:lineRule="auto" w:line="276"/>
      </w:pPr>
      <w:r>
        <w:rPr>
          <w:b/>
        </w:rPr>
        <w:t xml:space="preserve">摘要（ZH）: </w:t>
      </w:r>
      <w:r>
        <w:t>摘要 铁是几乎所有生命形式所必需的微量元素，包括在感染期间必须从宿主获取铁的病原微生物。在宿主–病原体界面，人类通过营养免疫限制微生物获取铁，而许多病原体通过分泌清除胞外血红素（铁原卟啉 IX）的血红素结合蛋白（hemophore）来克服这一限制。然而，利用传统的基于肽段的自下而上质谱（MS）技术在复杂蛋白质组中鉴定 hemophore 和其他配体结合蛋白型仍具挑战性。在此，我们介绍 ProteoMIX（通过混合的蛋白质组分析），这是一种基于功能的天然自上而下蛋白质组学工作流程，将慢混合模式天然 MS 与电荷还原相结合，可直接从复杂混合物中鉴定配体结合蛋白型。将 ProteoMIX 应用于白喉棒杆菌（Corynebacterium diphtheriae）外泌蛋白质组，鉴定到 ChtA30–314——一种由表面暴露的 ChtA 血红素受体经蛋白水解加工生成的丰富的可溶性 hemophore。通过天然自上而下 MS 测序、细胞分级分离和基因敲除，我们证明蛋白酶 DIP2069 通过去除 ChtA 的跨膜螺旋释放 ChtA30–314，产生可溶性蛋白型，递送血红素以支持微生物生长。相比之下，相关旁系同源蛋白 ChtC 不被加工，使 C. diphtheriae 能够从相关基因产物生成定位特异性的血红素结合蛋白型。将该方法扩展到金黄色葡萄球菌（Staphylococcus aureus），ProteoMIX 还揭示了与表面锚定变体共存的可溶性 IsdA hemophore，证明了该方法的通用性</w:t>
      </w:r>
    </w:p>
    <w:p>
      <w:pPr>
        <w:spacing w:before="0" w:after="200" w:lineRule="auto" w:line="276"/>
      </w:pPr>
      <w:r>
        <w:rPr>
          <w:b/>
        </w:rPr>
        <w:t xml:space="preserve">Abstract (EN): </w:t>
      </w:r>
      <w:r>
        <w:t>Iron is an essential micronutrient for nearly all forms of life, including pathogenic microbes that must acquire it from their host during infection. At the host–pathogen interface, humans restrict microbial access to iron through nutritional immunity, which many pathogens overcome by secreting hemophores that scavenge extracellular heme (iron protoporphyrin IX). However, identifying hemophores and other ligand-binding proteoforms in complex proteomes remains challenging using conventional peptide-based bottom-up mass spectrometry (MS). Here, we introduce ProteoMIX (Proteome Analysis by Mixing), a function-based native top-down proteomics workflow that combines slow-mixing mode native MS with charge reduction to identify ligand-binding proteoforms directly from complex mixtures. Applying ProteoMIX to the Corynebacterium diphtheriae exoproteome identified ChtA30–314, an abundant soluble hemophore generated by proteolytic processing of the surface-exposed ChtA heme receptor. Using native top-down MS sequencing, cell fractionation, and gene deletion, we show that the protease DIP2069 releases ChtA30–314 by removing ChtA’s transmembrane helix, producing a soluble proteoform that delivers heme to support microbial growth. In contrast, the related paralog ChtC is not processed, enabling C. diphtheriae to generate localization-specific heme-binding proteoforms from related gene products. Extending this approach to Staphylococcus aureus, ProteoMIX also revealed soluble IsdA hemophores that coexist with surface-anchored variants, demonstrating the generality of the method and suggesting that protease-mediated hemophore release may operate across Gram-positive pathogens.</w:t>
      </w:r>
    </w:p>
    <w:p>
      <w:pPr>
        <w:spacing w:before="120" w:after="120"/>
      </w:pPr>
      <w:r>
        <w:rPr>
          <w:sz w:val="18"/>
        </w:rPr>
        <w:t>——————————————————————————————————————————————————————————————————————</w:t>
      </w:r>
    </w:p>
    <w:p>
      <w:pPr>
        <w:spacing w:before="160" w:after="40" w:line="240" w:lineRule="auto"/>
      </w:pPr>
      <w:r>
        <w:rPr>
          <w:b/>
        </w:rPr>
        <w:t xml:space="preserve">[588] </w:t>
      </w:r>
      <w:hyperlink r:id="rId1474">
        <w:r>
          <w:rPr>
            <w:color w:val="1155CC"/>
            <w:u w:val="single"/>
          </w:rPr>
          <w:t>具有平衡可重写性的环保型电荷俘获存储晶体管用于神经形态计算</w:t>
        </w:r>
      </w:hyperlink>
    </w:p>
    <w:p>
      <w:pPr>
        <w:spacing w:before="0" w:after="80"/>
      </w:pPr>
      <w:r>
        <w:rPr>
          <w:i/>
          <w:sz w:val="20"/>
        </w:rPr>
        <w:t>EN: Eco-Friendly Charge-Trapping Memory Transistors with Balanced Rewritability for Neuromorphic Computing</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1474">
        <w:r>
          <w:rPr>
            <w:color w:val="1155CC"/>
            <w:u w:val="single"/>
          </w:rPr>
          <w:t>10.1021/acsami.6c10453</w:t>
        </w:r>
      </w:hyperlink>
    </w:p>
    <w:p>
      <w:pPr>
        <w:spacing w:before="0" w:after="120"/>
      </w:pPr>
      <w:r>
        <w:rPr>
          <w:b/>
        </w:rPr>
        <w:t xml:space="preserve">Notes: </w:t>
      </w:r>
      <w:r>
        <w:t>abstract_source=crossref</w:t>
      </w:r>
    </w:p>
    <w:p>
      <w:pPr>
        <w:spacing w:before="0" w:after="80" w:lineRule="auto" w:line="276"/>
      </w:pPr>
      <w:r>
        <w:rPr>
          <w:b/>
        </w:rPr>
        <w:t xml:space="preserve">摘要（ZH）: </w:t>
      </w:r>
      <w:r>
        <w:t>摘要 对于下一代物联网、可穿戴和以数据为中心的电子器件而言，兼具可靠多级数据存储、稳定突触权重调制和环境响应降解性的可持续存储器件的需求日益增长，因为快速的器件更换周期持续加剧电子垃圾问题。电荷俘获存储晶体管因通过调制俘获电荷密度实现多级存储操作以及优异的保持特性而成为实现这一目标的理想平台，这两者对于在神经形态计算中保持编程电导状态都至关重要。然而，此前报道的可生物降解和生物衍生存储及突触晶体管由于一次写入多次读取行为、保持特性不足或可重写操作不平衡，在实用神经形态应用方面主要受到限制。因此，将电可重写的非易失性存储操作与平衡的突触权重调制相结合的可生物降解、环保的电荷俘获存储晶体管平台，在实用存储和神经形态计算系统中的应用性仍在很大程度上未被探索。在此，我们报道了一种可生物降解的电荷俘获存储晶体管，其基于由羧甲基纤维素钠盐（CMC，一种可生物降解聚合物）和单宁酸（TA，一种植物来源的多酚分子）组成的优化共混电荷俘获层。CMC 和 TA 表现出电荷俘获行为，且对电子和空穴俘获的主导倾向不同，r</w:t>
      </w:r>
    </w:p>
    <w:p>
      <w:pPr>
        <w:spacing w:before="0" w:after="200" w:lineRule="auto" w:line="276"/>
      </w:pPr>
      <w:r>
        <w:rPr>
          <w:b/>
        </w:rPr>
        <w:t xml:space="preserve">Abstract (EN): </w:t>
      </w:r>
      <w:r>
        <w:t>Sustainable memory devices that combine reliable multilevel data storage, stable synaptic-weight modulation, and environmentally responsive degradability are increasingly needed for next-generation Internet of Things, wearable, and data-centric electronics, where rapid device replacement cycles continue to intensify electronic-waste concerns. Charge-trapping memory transistors offer an attractive platform for this purpose owing to their multilevel memory operation through modulation of trapped charge density and excellent retention characteristics, both of which are essential for preserving programmed conductance states in neuromorphic computing. However, previously reported biodegradable and bio-derived memory and synaptic transistors have mainly been limited in their practical neuromorphic applicability because of write-once-read-many behavior, insufficient retention, or unbalanced rewritable operation. Therefore, biodegradable and eco-friendly charge-trapping memory transistor platforms that integrate electrically rewritable non-volatile memory operation with balanced synaptic-weight modulation remain largely unexplored for their applicability to practical memory and neuromorphic computing systems. Here, we report a biodegradable charge-trapping memory transistor based on an optimized blended charge-trap layer composed of carboxymethyl cellulose sodium salt (CMC), a biodegradable polymer, and tannic acid (TA), a plant-derived polyphenolic molecule. CMC and TA exhibit charge-trapping behavior with different dominant tendencies toward electron and hole trapping, respectively, enabling their bias-dependent trapping contributions to be balanced by controlling the blending ratio. The optimized CMC (88%):TA (12%) charge-trap layer, combined with a tunneling layer, enables repetitive and well-balanced electrical program/erase operation, stable retention with a memory on/off current ratio exceeding 103 for 1000 s, and improved transistor switching characteristics. The resulting stable multilevel conductance modulation supports reversible potentiation and depression, which are implemented as synaptic weights in a hardware neural-network simulation for handwritten-digit recognition, achieving an accuracy comparable to the ideal software system. Moreover, the biodegradable charge-trap layer undergoes water-triggered dissolution in deionized water, leading to rapid loss of device integrity after immersion. These findings represent a significant step toward biodegradable charge-trapping memory transistors that simultaneously enable stable non-volatile retention, balanced synaptic-weight modulation, and environmentally responsive degradability for sustainable neuromorphic electronics.</w:t>
      </w:r>
    </w:p>
    <w:p>
      <w:pPr>
        <w:spacing w:before="120" w:after="120"/>
      </w:pPr>
      <w:r>
        <w:rPr>
          <w:sz w:val="18"/>
        </w:rPr>
        <w:t>——————————————————————————————————————————————————————————————————————</w:t>
      </w:r>
    </w:p>
    <w:p>
      <w:pPr>
        <w:spacing w:before="160" w:after="40" w:line="240" w:lineRule="auto"/>
      </w:pPr>
      <w:r>
        <w:rPr>
          <w:b/>
        </w:rPr>
        <w:t xml:space="preserve">[589] </w:t>
      </w:r>
      <w:hyperlink r:id="rId1475">
        <w:r>
          <w:rPr>
            <w:color w:val="1155CC"/>
            <w:u w:val="single"/>
          </w:rPr>
          <w:t>基于Itô矩优化的风电并网系统随机阻尼控制策略</w:t>
        </w:r>
      </w:hyperlink>
    </w:p>
    <w:p>
      <w:pPr>
        <w:spacing w:before="0" w:after="80"/>
      </w:pPr>
      <w:r>
        <w:rPr>
          <w:i/>
          <w:sz w:val="20"/>
        </w:rPr>
        <w:t>EN: Stochastic Damping Control Strategy for Wind Power Grid-Connected Systems Based on Itô-Moment Optimization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76">
        <w:r>
          <w:rPr>
            <w:color w:val="1155CC"/>
            <w:u w:val="single"/>
          </w:rPr>
          <w:t>10.1109/tpwrs.2026.3686398</w:t>
        </w:r>
      </w:hyperlink>
    </w:p>
    <w:p>
      <w:pPr>
        <w:spacing w:before="0" w:after="120"/>
      </w:pPr>
      <w:r>
        <w:rPr>
          <w:b/>
        </w:rPr>
        <w:t xml:space="preserve">Notes: </w:t>
      </w:r>
      <w:r>
        <w:t>abstract_source=semanticscholar</w:t>
      </w:r>
    </w:p>
    <w:p>
      <w:pPr>
        <w:spacing w:before="0" w:after="80" w:lineRule="auto" w:line="276"/>
      </w:pPr>
      <w:r>
        <w:rPr>
          <w:b/>
        </w:rPr>
        <w:t xml:space="preserve">摘要（ZH）: </w:t>
      </w:r>
      <w:r>
        <w:t>风速的随机变异性给高风电渗透率电力系统中低频振荡的阻尼带来了重大挑战。为解决这一问题，本文提出了一种用于并网风电系统的变增益广域附加阻尼控制(VG-WSDC)策略，其中控制器增益根据风速波动自适应调整。采用Itô矩优化(IMO)框架，通过基于低阶统计矩将随机阻尼性能要求重新表述为确定性优化问题，以考虑风速的随机性。所提方法能够在随机运行条件下同时增强临界模式阻尼并降低阻尼比的变异性。仿真研究表明，所提出的VG-WSDC在风速不确定性存在的情况下能有效抑制区域间低频振荡并提高小干扰稳定性鲁棒性。</w:t>
      </w:r>
    </w:p>
    <w:p>
      <w:pPr>
        <w:spacing w:before="0" w:after="200" w:lineRule="auto" w:line="276"/>
      </w:pPr>
      <w:r>
        <w:rPr>
          <w:b/>
        </w:rPr>
        <w:t xml:space="preserve">Abstract (EN): </w:t>
      </w:r>
      <w:r>
        <w:t>The stochastic variability of wind speed introduces significant challenges to the damping of low-frequency oscillations in power systems with high wind power penetration. To address this issue, this paper proposes a variable-gain wide-area supplementary damping control (VG-WSDC) strategy for grid-connected wind power systems, in which the controller gain is adaptively adjusted according to wind-speed fluctuations. An Itô-moment optimization (IMO) framework is employed to account for wind-speed stochasticity by reformulating stochastic damping performance requirements into a deterministic optimization problem based on low-order statistical moments. The proposed approach enables the simultaneous enhancement of critical mode damping and reduction of damping ratio variability under stochastic operating conditions. Simulation studies demonstrate that the proposed VG-WSDC effectively suppresses inter-area low-frequency oscillations and improves small-signal stability robustness in the presence of wind-speed uncertainty.</w:t>
      </w:r>
    </w:p>
    <w:p>
      <w:pPr>
        <w:spacing w:before="120" w:after="120"/>
      </w:pPr>
      <w:r>
        <w:rPr>
          <w:sz w:val="18"/>
        </w:rPr>
        <w:t>——————————————————————————————————————————————————————————————————————</w:t>
      </w:r>
    </w:p>
    <w:p>
      <w:pPr>
        <w:spacing w:before="160" w:after="40" w:line="240" w:lineRule="auto"/>
      </w:pPr>
      <w:r>
        <w:rPr>
          <w:b/>
        </w:rPr>
        <w:t xml:space="preserve">[590] </w:t>
      </w:r>
      <w:hyperlink r:id="rId1477">
        <w:r>
          <w:rPr>
            <w:color w:val="1155CC"/>
            <w:u w:val="single"/>
          </w:rPr>
          <w:t>构网型STATCOM对风电场系统的控制设计影响：弱电网集成与稳定效果</w:t>
        </w:r>
      </w:hyperlink>
    </w:p>
    <w:p>
      <w:pPr>
        <w:spacing w:before="0" w:after="80"/>
      </w:pPr>
      <w:r>
        <w:rPr>
          <w:i/>
          <w:sz w:val="20"/>
        </w:rPr>
        <w:t>EN: Control Design Impacts of Grid-Forming STATCOMs for Wind Farm Systems: Weak-Grid Integration and Stabilizing Effects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78">
        <w:r>
          <w:rPr>
            <w:color w:val="1155CC"/>
            <w:u w:val="single"/>
          </w:rPr>
          <w:t>10.1109/tpwrs.2026.3673937</w:t>
        </w:r>
      </w:hyperlink>
    </w:p>
    <w:p>
      <w:pPr>
        <w:spacing w:before="0" w:after="120"/>
      </w:pPr>
      <w:r>
        <w:rPr>
          <w:b/>
        </w:rPr>
        <w:t xml:space="preserve">Notes: </w:t>
      </w:r>
      <w:r>
        <w:t>abstract_source=semanticscholar</w:t>
      </w:r>
    </w:p>
    <w:p>
      <w:pPr>
        <w:spacing w:before="0" w:after="80" w:lineRule="auto" w:line="276"/>
      </w:pPr>
      <w:r>
        <w:rPr>
          <w:b/>
        </w:rPr>
        <w:t xml:space="preserve">摘要（ZH）: </w:t>
      </w:r>
      <w:r>
        <w:t>基于构网型(GFM)控制的变换器，如静止无功补偿器(STATCOM)，因其系统支撑特性和对弱电网条件的鲁棒性而被视为有前景的解决方案。与普遍看法相反，GFM变换器也可能出现弱电网不稳定问题，且它们对网络的稳定化程度尚不明确。本文研究了控制设计如何影响GFM变换器在弱电网中的稳定集成及其对互联电力系统的稳定化效果，并特别关注风电场并网。分析表明，弱电网稳定性和系统级稳定化关键取决于所采用的控制结构，而非构网概念本身。通过论证电流控制器中电压前馈(VFF)作用对弱电网稳定性的相反影响，本文强调了针对跟网型(GFL)和GFM变换器采用不同控制设计方法的必要性。从无源性角度分析了虚拟阻抗(VI)等关键GFM变换器参数对稳定集成到弱电网中的影响，并评估了其对频变潮流雅可比矩阵(FD-JB)的影响以考察系统稳定化效果。案例研究证实了以下发现：尽管无源性方法对变换器本身有效，但其对完整系统的稳定化效果可能因控制设计的不同而有所差异。</w:t>
      </w:r>
    </w:p>
    <w:p>
      <w:pPr>
        <w:spacing w:before="0" w:after="200" w:lineRule="auto" w:line="276"/>
      </w:pPr>
      <w:r>
        <w:rPr>
          <w:b/>
        </w:rPr>
        <w:t xml:space="preserve">Abstract (EN): </w:t>
      </w:r>
      <w:r>
        <w:t>Grid-forming (GFM) control-based converters such as static compensators (STATCOM) are considered as promising solutions for their system support characteristics and robustness against weak grid conditions. Contrary to common belief, GFM converters can also exhibit weak-grid instability, and it is unclear to what extent they stabilize the network. This paper investigates how control design affects both the stable integration of GFM converters into weak grids and their resulting stabilizing effects on the interconnected power system, with particular emphasis on wind farm integration. The analysis reveals that weak-grid stability and system-level stabilization critically depend on the adopted control structure rather than on the grid-forming concept itself. This highlights the necessity of adopting different control design approaches for grid-following (GFL) and GFM converters by demonstrating the opposite effects of voltage feed-forward (VFF) action in the current controller on weak-grid stability. The influences of key GFM converter parameters, such as virtual impedance (VI), are analyzed in terms of passivity for stable integration into weak grids. Their impact on the frequency-dependent power flow Jacobian (FD-JB) is also evaluated for system stabilizing effects. The case studies confirm the findings that although the passivity approach is effective for the converter itself, the resulting stabilizing effect on the complete system can be different depending on its control design.</w:t>
      </w:r>
    </w:p>
    <w:p>
      <w:pPr>
        <w:spacing w:before="120" w:after="120"/>
      </w:pPr>
      <w:r>
        <w:rPr>
          <w:sz w:val="18"/>
        </w:rPr>
        <w:t>——————————————————————————————————————————————————————————————————————</w:t>
      </w:r>
    </w:p>
    <w:p>
      <w:pPr>
        <w:spacing w:before="160" w:after="40" w:line="240" w:lineRule="auto"/>
      </w:pPr>
      <w:r>
        <w:rPr>
          <w:b/>
        </w:rPr>
        <w:t xml:space="preserve">[591] </w:t>
      </w:r>
      <w:hyperlink r:id="rId1479">
        <w:r>
          <w:rPr>
            <w:color w:val="1155CC"/>
            <w:u w:val="single"/>
          </w:rPr>
          <w:t>面向多区域异步互联电网的紧急感知与频率约束HVDC规划</w:t>
        </w:r>
      </w:hyperlink>
    </w:p>
    <w:p>
      <w:pPr>
        <w:spacing w:before="0" w:after="80"/>
      </w:pPr>
      <w:r>
        <w:rPr>
          <w:i/>
          <w:sz w:val="20"/>
        </w:rPr>
        <w:t>EN: Emergency-Aware and Frequency-Constrained HVDC Planning for a Multi-Area Asynchronously Interconnected Grid</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80">
        <w:r>
          <w:rPr>
            <w:color w:val="1155CC"/>
            <w:u w:val="single"/>
          </w:rPr>
          <w:t>10.1109/tpwrs.2026.3673335</w:t>
        </w:r>
      </w:hyperlink>
    </w:p>
    <w:p>
      <w:pPr>
        <w:spacing w:before="0" w:after="120"/>
      </w:pPr>
      <w:r>
        <w:rPr>
          <w:b/>
        </w:rPr>
        <w:t xml:space="preserve">Notes: </w:t>
      </w:r>
      <w:r>
        <w:t>abstract_source=semanticscholar</w:t>
      </w:r>
    </w:p>
    <w:p>
      <w:pPr>
        <w:spacing w:before="0" w:after="80" w:lineRule="auto" w:line="276"/>
      </w:pPr>
      <w:r>
        <w:rPr>
          <w:b/>
        </w:rPr>
        <w:t xml:space="preserve">摘要（ZH）: </w:t>
      </w:r>
      <w:r>
        <w:t>高压直流(HVDC)技术在可再生电力发电的长距离输电中发挥了关键作用。然而，大容量HVDC线路的接入在HVDC故障紧急情况下带来了显著的频率安全挑战。本文提出了一种考虑紧急情况和频率约束的HVDC规划方法，以优化多区域异步互联电网中区域间HVDC联络线的容量。首先，提出了一种协调紧急频率控制方案，用于在HVDC故障期间分配紧急控制资源。然后，建立了集成事件驱动紧急频率控制的增强型系统频率响应模型，并采用加权倾斜决策树方法提取频率最低点安全约束。所提规划模型考虑所有潜在的HVDC故障紧急情况，同时将候选HVDC容量作为决策变量。仿真结果表明该方法在平衡经济性与频率安全需求方面具有优越性能，为区域间HVDC规划提供了实用解决方案。</w:t>
      </w:r>
    </w:p>
    <w:p>
      <w:pPr>
        <w:spacing w:before="0" w:after="200" w:lineRule="auto" w:line="276"/>
      </w:pPr>
      <w:r>
        <w:rPr>
          <w:b/>
        </w:rPr>
        <w:t xml:space="preserve">Abstract (EN): </w:t>
      </w:r>
      <w:r>
        <w:t>High-voltage direct current (HVDC) technology has played a crucial role for long-distance transmission of renewable power generation. However, the integration of large-capacity HVDC lines introduces significant frequency security challenges during HVDC fault emergencies. This paper proposes an emergency-aware and frequency-constrained HVDC planning method to optimize the capacity of inter-area HVDC tie-lines in a multi-area asynchronously interconnected grid. Firstly, a coordinated emergency frequency control scheme is proposed to allocate the emergency control resources during HVDC faults. Then, an enhanced system frequency response model integrating event-driven emergency frequency control is developed and a weighted oblique decision tree approach is employed to extract frequency nadir security constraints. The proposed planning model considers all potential HVDC fault emergencies while treating candidate HVDC capacities as decision variables. Simulation results demonstrate superior performance in balancing economic efficiency with frequency security requirements, providing a practical solution for inter-area HVDC planning.</w:t>
      </w:r>
    </w:p>
    <w:p>
      <w:pPr>
        <w:spacing w:before="120" w:after="120"/>
      </w:pPr>
      <w:r>
        <w:rPr>
          <w:sz w:val="18"/>
        </w:rPr>
        <w:t>——————————————————————————————————————————————————————————————————————</w:t>
      </w:r>
    </w:p>
    <w:p>
      <w:pPr>
        <w:spacing w:before="160" w:after="40" w:line="240" w:lineRule="auto"/>
      </w:pPr>
      <w:r>
        <w:rPr>
          <w:b/>
        </w:rPr>
        <w:t xml:space="preserve">[592] </w:t>
      </w:r>
      <w:hyperlink r:id="rId1481">
        <w:r>
          <w:rPr>
            <w:color w:val="1155CC"/>
            <w:u w:val="single"/>
          </w:rPr>
          <w:t>在金属有机框架中构建分子风扇以克服扩散阻力实现痕量苯捕获</w:t>
        </w:r>
      </w:hyperlink>
    </w:p>
    <w:p>
      <w:pPr>
        <w:spacing w:before="0" w:after="80"/>
      </w:pPr>
      <w:r>
        <w:rPr>
          <w:i/>
          <w:sz w:val="20"/>
        </w:rPr>
        <w:t>EN: Construction of molecular fans in metal-organic framework to overcome diffusion resistance for trace benzene capture</w:t>
      </w:r>
    </w:p>
    <w:p>
      <w:pPr>
        <w:spacing w:before="0" w:after="120"/>
      </w:pPr>
      <w:r>
        <w:rPr>
          <w:b/>
        </w:rPr>
        <w:t xml:space="preserve">Source: </w:t>
      </w:r>
      <w:r>
        <w:t>Physical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吸附剂中与分子尺寸匹配的孔对苯具有强吸附力，但扩散阻力较高。克服分子尺寸匹配孔内的扩散阻力对于从室内空气或工业废气中高效捕集痕量苯至关重要，但也极具挑战性。本文报道了一种稳定的铁基金属有机框架(ZJU-701)，其具有分级微孔(5.8 ± 0.9、10.2 ± 2.3和21.2 ± 1.4 Å)以及以1,4-亚萘基为转子、位于微孔之间的分子风扇。在P/P0 = 0.001和298 K条件下，ZJU-701对苯的吸附速率常数为5.84 × 10⁻3 min⁻¹，吸附容量为2.05 mmol g⁻¹，超越了其他基准吸附剂。引人注目的是，当气流速度从0.03增加到0.12 m·s⁻¹时，ZJU-701对痕量苯的动态吸附容量仅损失10.1%，远低于其他基准吸附剂(30.6% ~ 76.9%)。苯的快速吸附归因于ZJU-701中分子风扇的旋转运动，并通过原位红外/拉曼光谱和固体核磁共振进行了验证。这项工作突出了一种利用分子风扇的动态孔工程策略，可缓解分子尺寸匹配孔内的扩散阻力，并平衡痕量气体捕集的吸附速率与容量。</w:t>
      </w:r>
    </w:p>
    <w:p>
      <w:pPr>
        <w:spacing w:before="0" w:after="200" w:lineRule="auto" w:line="276"/>
      </w:pPr>
      <w:r>
        <w:rPr>
          <w:b/>
        </w:rPr>
        <w:t xml:space="preserve">Abstract (EN): </w:t>
      </w:r>
      <w:r>
        <w:t>Molecular size-matched pores of adsorbents provide strong adsorptive forces for benzene, but high diffusion resistance. Overcoming the diffusion resistance within molecular size-matched pores is essential to efficient capture of trace benzene from indoor air or industrial exhaust gas, but challenging. Herein, we report a stable Fe-based metal-organic framework (ZJU-701) featuring hierarchical micropores (5.8 ± 0.9, 10.2 ± 2.3, and 21.2 ± 1.4 Å) and molecular fans with 1,4-naphthylene as rotors between micropores. ZJU-701 shows adsorption rate constant of 5.84 × 10⁻3 min⁻¹ and adsorption capacity of 2.05 mmol g⁻¹ for benzene at P/P0 = 0.001 and 298 K, surpassing other benchmark adsorbents. Strikingly, ZJU-701 exhibits only 10.1% loss of dynamic adsorption capacity for trace benzene as the gas velocity increases from 0.03 to 0.12 m·s⁻¹, much lower than other benchmark adsorbents (30.6% ~ 76.9%). The rapid adsorption of benzene is attributed to the rotational motion of molecular fans in ZJU-701, verified by in-situ Infrared/Raman Spectroscopy and solid-state NMR. This work highlights a dynamic pore-engineering strategy with molecular fans to alleviate diffusion resistance within molecular size-matched pores and balance adsorption rate and capacity for trace gas capture.</w:t>
      </w:r>
    </w:p>
    <w:p>
      <w:pPr>
        <w:spacing w:before="120" w:after="120"/>
      </w:pPr>
      <w:r>
        <w:rPr>
          <w:sz w:val="18"/>
        </w:rPr>
        <w:t>——————————————————————————————————————————————————————————————————————</w:t>
      </w:r>
    </w:p>
    <w:p>
      <w:pPr>
        <w:spacing w:before="160" w:after="40" w:line="240" w:lineRule="auto"/>
      </w:pPr>
      <w:r>
        <w:rPr>
          <w:b/>
        </w:rPr>
        <w:t xml:space="preserve">[593] </w:t>
      </w:r>
      <w:hyperlink r:id="rId1482">
        <w:r>
          <w:rPr>
            <w:color w:val="1155CC"/>
            <w:u w:val="single"/>
          </w:rPr>
          <w:t>基于连续域中拓扑谷型准束缚态的辐射可及鲁棒传输</w:t>
        </w:r>
      </w:hyperlink>
    </w:p>
    <w:p>
      <w:pPr>
        <w:spacing w:before="0" w:after="80"/>
      </w:pPr>
      <w:r>
        <w:rPr>
          <w:i/>
          <w:sz w:val="20"/>
        </w:rPr>
        <w:t>EN: Topological valley quasi-bound states in the continuum for radiatively accessible robust transport</w:t>
      </w:r>
    </w:p>
    <w:p>
      <w:pPr>
        <w:spacing w:before="0" w:after="120"/>
      </w:pPr>
      <w:r>
        <w:rPr>
          <w:b/>
        </w:rPr>
        <w:t xml:space="preserve">Source: </w:t>
      </w:r>
      <w:r>
        <w:t>Physical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拓扑谷光子学实现了对背向散射具有鲁棒性的片上光传输，但谷边缘态通常位于光锥之外，无法从自由空间直接激发。现有的具有辐射功能的器件主要利用强泄漏模式实现片上到自由空间的发射，其中增强的辐射耦合会损害传输性能。因此，在保持低损耗拓扑传输的同时实现自由空间到片上的激发仍然是一项挑战。本文在太赫兹谷光子晶体中实验演示了拓扑谷连续域准束缚态(QBICs)。通过引入几何调制和布里渊区折叠，谷边缘态被折叠进光锥并转变为拓扑谷QBICs，在保持鲁棒谷传输的同时实现可控的辐射耦合。利用时域太赫兹近场成像，我们直接观察了其传输过程，展示了可调的传播长度以及穿过尖锐弯折的鲁棒传输。我们进一步基于分束器和结型架构实现了片上路由功能，展示了自由空间到片上的激发及后续信号处理。我们的工作确立了拓扑谷QBICs作为连接自由空间辐射与低损耗拓扑传输的平台，为集成太赫兹器件开辟了新机遇。</w:t>
      </w:r>
    </w:p>
    <w:p>
      <w:pPr>
        <w:spacing w:before="0" w:after="200" w:lineRule="auto" w:line="276"/>
      </w:pPr>
      <w:r>
        <w:rPr>
          <w:b/>
        </w:rPr>
        <w:t xml:space="preserve">Abstract (EN): </w:t>
      </w:r>
      <w:r>
        <w:t>Topological valley photonics enables on-chip light transport robust against backscattering, but valley edge states typically lie outside the light cone and cannot be directly excited from free space. Existing devices with radiative functionality mainly exploit on-chip–to–free-space emission through strongly leaky modes, where enhanced radiative coupling compromises transport performance. Achieving free-space–to–on-chip excitation while preserving low-loss topological transport therefore remains a challenge. Here, we experimentally demonstrate topological valley quasi-bound states in the continuum (QBICs) in terahertz valley photonic crystals. By introducing geometric modulation and Brillouin-zone folding, valley edge states are folded into the light cone and transformed into topological valley QBICs with controllable radiative coupling while preserving robust valley transport. Using time-domain terahertz near-field imaging, we directly visualize their transport and demonstrate tunable propagation lengths together with robust transport through sharp bends. We further realize on-chip routing functionalities based on splitter and junction architectures, illustrating free-space–to–on-chip excitation and subsequent signal processing. Our work establishes topological valley QBICs as a platform for interfacing free-space radiation with low-loss topological transport, opening new opportunities for integrated terahertz devices.</w:t>
      </w:r>
    </w:p>
    <w:p>
      <w:pPr>
        <w:spacing w:before="120" w:after="120"/>
      </w:pPr>
      <w:r>
        <w:rPr>
          <w:sz w:val="18"/>
        </w:rPr>
        <w:t>——————————————————————————————————————————————————————————————————————</w:t>
      </w:r>
    </w:p>
    <w:p>
      <w:pPr>
        <w:spacing w:before="160" w:after="40" w:line="240" w:lineRule="auto"/>
      </w:pPr>
      <w:r>
        <w:rPr>
          <w:b/>
        </w:rPr>
        <w:t xml:space="preserve">[594] </w:t>
      </w:r>
      <w:hyperlink r:id="rId1483">
        <w:r>
          <w:rPr>
            <w:color w:val="1155CC"/>
            <w:u w:val="single"/>
          </w:rPr>
          <w:t>高场液态核磁共振中三个数量级的质子信号增强</w:t>
        </w:r>
      </w:hyperlink>
    </w:p>
    <w:p>
      <w:pPr>
        <w:spacing w:before="0" w:after="80"/>
      </w:pPr>
      <w:r>
        <w:rPr>
          <w:i/>
          <w:sz w:val="20"/>
        </w:rPr>
        <w:t>EN: Proton signal enhancement of three orders of magnitude in high-field liquid-state NMR</w:t>
      </w:r>
    </w:p>
    <w:p>
      <w:pPr>
        <w:spacing w:before="0" w:after="120"/>
      </w:pPr>
      <w:r>
        <w:rPr>
          <w:b/>
        </w:rPr>
        <w:t xml:space="preserve">Source: </w:t>
      </w:r>
      <w:r>
        <w:t>Physical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溶解动态核极化（d-DNP）是一种用于增强液态核磁共振（NMR）在生物物理和化学应用中灵敏度的超极化技术。D-DNP被广泛用于13C等杂核的灵敏度增强，但尽管有机物中1H含量丰富，它却几乎未被用于1H超极化。在此我们表明，OX063——一种迄今为止仅用于13C等低γ核超极化的自由基——也可用于1H的超极化。该超极化途径的实现得益于使用速调管放大器，其提供的功率比常规使用的固态微波源高三个数量级。超极化后，样品从极化器中弹出并液化，在高场NMR中获得约1000倍的1H信号增强。使用OX063不仅限制了样品转移过程中的T1弛豫，我们还表明它能保持液态T2，因此提供更优的灵敏度和分辨率。文中展示了该方法在选定氨基酸1H极化中的适用性。</w:t>
      </w:r>
    </w:p>
    <w:p>
      <w:pPr>
        <w:spacing w:before="0" w:after="200" w:lineRule="auto" w:line="276"/>
      </w:pPr>
      <w:r>
        <w:rPr>
          <w:b/>
        </w:rPr>
        <w:t xml:space="preserve">Abstract (EN): </w:t>
      </w:r>
      <w:r>
        <w:t>Dissolution-dynamic nuclear polarization (d-DNP) is a hyperpolarization technique that is used to enhance the sensitivity of liquid-state nuclear magnetic resonance (NMR) in biophysical and chemical applications. D-DNP is used widely for the sensitivity enhancement of hetero-nuclei such as 13C, but it is barely used for 1H hyperpolarization, despite the abundance of 1H in organic matter. Here we show that OX063, a radical that has so far been used only for the hyperpolarization of low-γ nuclei such as 13C, may be used also to hyperpolarize 1H. This hyperpolarization route is enabled by the use of a klystron amplifier that provides three orders of magnitude more power than conventionally used solid-state microwave sources. Following hyperpolarization, the sample is ejected from the polarizer and liquefied, yielding 1H signal enhancements of ~ 1000 in high-field NMR. The use of OX063 limits not only T1 relaxation during sample transfer, but we also show that it preserves the liquid-state T2, and therefore offers superior sensitivity and resolution. The applicability of this method to polarize 1H of selected amino acids is demonstrated.</w:t>
      </w:r>
    </w:p>
    <w:p>
      <w:pPr>
        <w:spacing w:before="120" w:after="120"/>
      </w:pPr>
      <w:r>
        <w:rPr>
          <w:sz w:val="18"/>
        </w:rPr>
        <w:t>——————————————————————————————————————————————————————————————————————</w:t>
      </w:r>
    </w:p>
    <w:p>
      <w:pPr>
        <w:spacing w:before="160" w:after="40" w:line="240" w:lineRule="auto"/>
      </w:pPr>
      <w:r>
        <w:rPr>
          <w:b/>
        </w:rPr>
        <w:t xml:space="preserve">[595] </w:t>
      </w:r>
      <w:hyperlink r:id="rId1484">
        <w:r>
          <w:rPr>
            <w:color w:val="1155CC"/>
            <w:u w:val="single"/>
          </w:rPr>
          <w:t>无刷励磁机旋转整流器二极管开路故障检测</w:t>
        </w:r>
      </w:hyperlink>
    </w:p>
    <w:p>
      <w:pPr>
        <w:spacing w:before="0" w:after="80"/>
      </w:pPr>
      <w:r>
        <w:rPr>
          <w:i/>
          <w:sz w:val="20"/>
        </w:rPr>
        <w:t>EN: Diode Open-Circuit Fault Detection for Rotating Rectifiers of Brushless Exciters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485">
        <w:r>
          <w:rPr>
            <w:color w:val="1155CC"/>
            <w:u w:val="single"/>
          </w:rPr>
          <w:t>10.1109/tec.2026.3656013</w:t>
        </w:r>
      </w:hyperlink>
    </w:p>
    <w:p>
      <w:pPr>
        <w:spacing w:before="0" w:after="120"/>
      </w:pPr>
      <w:r>
        <w:rPr>
          <w:b/>
        </w:rPr>
        <w:t xml:space="preserve">Notes: </w:t>
      </w:r>
      <w:r>
        <w:t>abstract_source=semanticscholar</w:t>
      </w:r>
    </w:p>
    <w:p>
      <w:pPr>
        <w:spacing w:before="0" w:after="80" w:lineRule="auto" w:line="276"/>
      </w:pPr>
      <w:r>
        <w:rPr>
          <w:b/>
        </w:rPr>
        <w:t xml:space="preserve">摘要（ZH）: </w:t>
      </w:r>
      <w:r>
        <w:t>旋转整流器是无刷励磁发电机中的薄弱环节，易发生二极管开路故障。多二极管故障会导致发电机励磁电流显著波动，从而引起机组功率振荡。研究开路二极管故障的特性及检测方法具有重要意义。本研究以典型无刷励磁机为例进行分析。首先，对励磁机中旋转整流器的二极管导通行为进行了分析。根据旋转整流器在正常和单二极管开路条件下励磁机气隙磁场的变化，观察到该故障可能在气隙磁场中引入分数次谐波。基于励磁机定子的结构特点及主磁场的溢出效应，在定子机壳附近放置一个绕有线圈的U形铁芯，以实现磁通分流和信号采集。通过线圈中感应电压谐波分量的变化来识别二极管开路故障。随后，建立了5.8 MW三相无刷励磁机的二维有限元仿真模型。搭建了三相14极无刷励磁机和旋转整流器实验平台以进行方法验证。结果表明，U形铁芯线圈中的感应电压能够有效反映二极管开路的特性</w:t>
      </w:r>
    </w:p>
    <w:p>
      <w:pPr>
        <w:spacing w:before="0" w:after="200" w:lineRule="auto" w:line="276"/>
      </w:pPr>
      <w:r>
        <w:rPr>
          <w:b/>
        </w:rPr>
        <w:t xml:space="preserve">Abstract (EN): </w:t>
      </w:r>
      <w:r>
        <w:t>The rotating rectifier represents a vulnerable link within the brushless excitation generator and is prone to diode open-circuit faults. A multi-diode fault will lead to significant fluctuations in the generator’s excitation current, thereby inducing power oscillations in the unit. Investigating the characteristics and detection approaches of open-circuit diode faults is of great significance. In this study, a typical brushless exciter is taken as an example for examination. First, an analysis is conducted on the diode conduction behavior of the rotating rectifier in the exciter. According to the variations in the air-gap magnetic field of the exciter under normal and single-diode open-circuit conditions of the rotating rectifier, it is observed that the fault might introduce fractional harmonics into the air-gap magnetic field. Based on the structural characteristics of the exciter stator and the spillover effect of the main magnetic field, a U-shaped iron core wound with coils is placed in the vicinity of the stator shell to achieve magnetic flux diversion and signal collection. The diode open-circuit fault is identified by the variations in harmonic components of the voltage induced in the coil. Subsequently, a two-dimensional finite element simulation model for a 5.8 MW three-phase brushless exciter is established. A three-phase, 14-pole brushless exciter and a rotating rectifier experimental platform were built for method validation. The results indicate that the induced voltage in the U-shaped core coil can effectively reflect the characteristics of diode open-circuit faults. This method is applicable to the online diagnosis of diode open-circuit faults in brushless exciters, enabling non-invasive detection, reducing the complexity of sensor installation, and exhibiting significant advantages in terms of high convenience and low risk.</w:t>
      </w:r>
    </w:p>
    <w:p>
      <w:pPr>
        <w:spacing w:before="120" w:after="120"/>
      </w:pPr>
      <w:r>
        <w:rPr>
          <w:sz w:val="18"/>
        </w:rPr>
        <w:t>——————————————————————————————————————————————————————————————————————</w:t>
      </w:r>
    </w:p>
    <w:p>
      <w:pPr>
        <w:spacing w:before="160" w:after="40" w:line="240" w:lineRule="auto"/>
      </w:pPr>
      <w:r>
        <w:rPr>
          <w:b/>
        </w:rPr>
        <w:t xml:space="preserve">[596] </w:t>
      </w:r>
      <w:hyperlink r:id="rId1486">
        <w:r>
          <w:rPr>
            <w:color w:val="1155CC"/>
            <w:u w:val="single"/>
          </w:rPr>
          <w:t>以S参数为基础的定子模型参数提取与SFRA解读</w:t>
        </w:r>
      </w:hyperlink>
    </w:p>
    <w:p>
      <w:pPr>
        <w:spacing w:before="0" w:after="80"/>
      </w:pPr>
      <w:r>
        <w:rPr>
          <w:i/>
          <w:sz w:val="20"/>
        </w:rPr>
        <w:t>EN: S-Parameters as a Basis for Stator Model Parameter Extraction and SFRA Interpretation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487">
        <w:r>
          <w:rPr>
            <w:color w:val="1155CC"/>
            <w:u w:val="single"/>
          </w:rPr>
          <w:t>10.1109/tec.2026.3665964</w:t>
        </w:r>
      </w:hyperlink>
    </w:p>
    <w:p>
      <w:pPr>
        <w:spacing w:before="0" w:after="120"/>
      </w:pPr>
      <w:r>
        <w:rPr>
          <w:b/>
        </w:rPr>
        <w:t xml:space="preserve">Notes: </w:t>
      </w:r>
      <w:r>
        <w:t>abstract_source=semanticscholar</w:t>
      </w:r>
    </w:p>
    <w:p>
      <w:pPr>
        <w:spacing w:before="0" w:after="80" w:lineRule="auto" w:line="276"/>
      </w:pPr>
      <w:r>
        <w:rPr>
          <w:b/>
        </w:rPr>
        <w:t xml:space="preserve">摘要（ZH）: </w:t>
      </w:r>
      <w:r>
        <w:t>扫频响应分析（SFRA）是一种广泛用于评估变压器机械和电气完整性的方法，并越来越多地应用于旋转电机。为支持基于SFRA的故障诊断，需要一个能够描述相关物理行为的机器专用模型。迄今为止，该模型的参数化部分是通过逐条迭代曲线拟合完成的，这需要对机器及其参数有深入的理解。一种完全基于测量和计算的方法将有助于克服对专业知识的需求。本文介绍了一种基于测量的方法，利用散射参数（S参数）对灰箱定子模型进行参数化，其中参数由测量数据解析导出。从理论和实验两方面分析了SFRA与S参数之间的关系，并提出了由S参数测量导出频率响应的转换方法。将该参数提取方法应用于三个定子，并通过仿真和测量进行了验证。结果表明，仿真可以以与以往方法相当的精度复现SFRA响应，同时显著提高了可重复性和透明度。该方法为基于模型的SFRA解释和未来的故障识别提供了可靠的基础。</w:t>
      </w:r>
    </w:p>
    <w:p>
      <w:pPr>
        <w:spacing w:before="0" w:after="200" w:lineRule="auto" w:line="276"/>
      </w:pPr>
      <w:r>
        <w:rPr>
          <w:b/>
        </w:rPr>
        <w:t xml:space="preserve">Abstract (EN): </w:t>
      </w:r>
      <w:r>
        <w:t>Sweep Frequency Response Analysis (SFRA) is a widely used method for assessing the mechanical and electrical integrity of transformers and is increasingly applied to electrical rotating machines. To support fault diagnosis based on SFRA, a machine-specific model is required that captures the relevant physical behaviour. Up to now the parametrisation of this model is partly done with individual iterative curve fitting, for which a deep understanding of the machine and its parameters is necessary. A method exclusively based on measurements and calculation would help to overcome this need for expert knowledge. This paper introduces a measurement-based approach to parametrise a grey-box stator model using scattering parameters (S-parameters), where the parameters are derived analytically from measured data. The relationship between SFRA and S-parameters is analysed theoretically and experimentally and a conversion to derive the frequency response from S-parameter measurements is presented. The parameter extraction method is applied to three stators and verified through simulation and measurement. The results show that the SFRA response can be reproduced in simulation with a comparable accuracy to previous methods while significantly improving reproducibility and transparency. The approach offers a reliable foundation for model-based SFRA interpretation and future fault identification.</w:t>
      </w:r>
    </w:p>
    <w:p>
      <w:pPr>
        <w:spacing w:before="120" w:after="120"/>
      </w:pPr>
      <w:r>
        <w:rPr>
          <w:sz w:val="18"/>
        </w:rPr>
        <w:t>——————————————————————————————————————————————————————————————————————</w:t>
      </w:r>
    </w:p>
    <w:p>
      <w:pPr>
        <w:spacing w:before="160" w:after="40" w:line="240" w:lineRule="auto"/>
      </w:pPr>
      <w:r>
        <w:rPr>
          <w:b/>
        </w:rPr>
        <w:t xml:space="preserve">[597] </w:t>
      </w:r>
      <w:hyperlink r:id="rId1488">
        <w:r>
          <w:rPr>
            <w:color w:val="1155CC"/>
            <w:u w:val="single"/>
          </w:rPr>
          <w:t>双原子框架中质子门控多位点协同质子-电子转移样路径用于选择性水净化</w:t>
        </w:r>
      </w:hyperlink>
    </w:p>
    <w:p>
      <w:pPr>
        <w:spacing w:before="0" w:after="80"/>
      </w:pPr>
      <w:r>
        <w:rPr>
          <w:i/>
          <w:sz w:val="20"/>
        </w:rPr>
        <w:t>EN: Proton-gated multisite concerted proton-electron transfer-like pathway in a dual-atom framework for selective water purification</w:t>
      </w:r>
    </w:p>
    <w:p>
      <w:pPr>
        <w:spacing w:before="0" w:after="120"/>
      </w:pPr>
      <w:r>
        <w:rPr>
          <w:b/>
        </w:rPr>
        <w:t xml:space="preserve">Source: </w:t>
      </w:r>
      <w:r>
        <w:t>Earth and environmental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精确的氧化剂活化对于高级水处理至关重要，但常受限于自由基猝灭和氧化剂效率低下。过一硫酸盐（PMS）具有广阔前景；然而，将O–O裂解导向非自由基途径需要紧密耦合的质子-电子转移，而由于活性位点的空间失配，这在非均相催化剂中难以实现。在此，我们报道了一种Co/Ni双单原子金属有机框架（MOF），其中原子级分散的Co/Ni位点与相邻的非配位-NH基团共同形成用于PMS活化的预组织局部微环境。实验与计算相结合的证据表明，Ni辅助的电子耦合促进了电荷向Co结合的PMS重分布，而相邻的非配位-NH基序提供了局部质子中继环境，共同有利于类MS-CPET途径。该途径促进O–O异裂和高价钴-氧中间体（Co(IV)=O）的形成。因此，该催化剂在测试条件下的归一化速率常数为6.2 × 10³ M⁻¹ min⁻¹，PMS消耗超过95%。值得注意的是，该系统在连续流动条件下稳定运行超过1000 h，处理容量超过1000 L。这项工作展示了一种通过双金属MOF框架内的电子调控和-NH质子耦合实现非自由基主导的可持续水净化的有效策略。</w:t>
      </w:r>
    </w:p>
    <w:p>
      <w:pPr>
        <w:spacing w:before="0" w:after="200" w:lineRule="auto" w:line="276"/>
      </w:pPr>
      <w:r>
        <w:rPr>
          <w:b/>
        </w:rPr>
        <w:t xml:space="preserve">Abstract (EN): </w:t>
      </w:r>
      <w:r>
        <w:t>Precise oxidant activation is essential for advanced water treatment but is often limited by radical quenching and low oxidant efficiency. Peroxymonosulfate (PMS) is promising; however, directing O-O cleavage towards non-radical pathways requires tightly coupled proton‒electron transfer, which is rarely achieved in heterogeneous catalysts because of spatially mismatched active sites. Here, we report a Co/Ni dual-single-atom metal–organic framework (MOF), in which atomically dispersed Co/Ni sites and adjacent noncoordinated -NH groups form a preorganized local microenvironment for PMS activation. Combined experimental and computational evidence suggests that Ni-assisted electronic coupling facilitates charge redistribution towards Co-bound PMS, while adjacent noncoordinated -NH motifs provide a local proton-relay environment, collectively favoring an MS-CPET-like pathway. This pathway promotes heterolytic O–O cleavage and the formation of a high-valent cobalt–oxo intermediate (Co(IV) = O). Consequently, the catalyst delivers a normalized rate constant of 6.2 × 103 M−1 min−1 with more than 95% PMS consumption under the tested conditions. Remarkably, the system operates stably for more than 1000 h under continuous flow, with a treatment capacity exceeding 1000 L. This work demonstrates a promising strategy for achieving non-radical-dominated and sustainable water purification through electronic regulation and -NH proton coupling within the framework of bimetallic MOFs.</w:t>
      </w:r>
    </w:p>
    <w:p>
      <w:pPr>
        <w:spacing w:before="120" w:after="120"/>
      </w:pPr>
      <w:r>
        <w:rPr>
          <w:sz w:val="18"/>
        </w:rPr>
        <w:t>——————————————————————————————————————————————————————————————————————</w:t>
      </w:r>
    </w:p>
    <w:p>
      <w:pPr>
        <w:spacing w:before="160" w:after="40" w:line="240" w:lineRule="auto"/>
      </w:pPr>
      <w:r>
        <w:rPr>
          <w:b/>
        </w:rPr>
        <w:t xml:space="preserve">[598] </w:t>
      </w:r>
      <w:hyperlink r:id="rId1489">
        <w:r>
          <w:rPr>
            <w:color w:val="1155CC"/>
            <w:u w:val="single"/>
          </w:rPr>
          <w:t>通过去对称化还原胺化催化对映选择性合成上缘功能化固有手性杯[4]芳烃</w:t>
        </w:r>
      </w:hyperlink>
    </w:p>
    <w:p>
      <w:pPr>
        <w:spacing w:before="0" w:after="80"/>
      </w:pPr>
      <w:r>
        <w:rPr>
          <w:i/>
          <w:sz w:val="20"/>
        </w:rPr>
        <w:t>EN: Catalytic Enantioselective Synthesis of Upper‐rim‐Functionalized Inherently Chiral Calix[4]arenes Through Desymmetrizing Reductive Amination</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490">
        <w:r>
          <w:rPr>
            <w:color w:val="1155CC"/>
            <w:u w:val="single"/>
          </w:rPr>
          <w:t>10.1002/anie.7517064</w:t>
        </w:r>
      </w:hyperlink>
    </w:p>
    <w:p>
      <w:pPr>
        <w:spacing w:before="0" w:after="120"/>
      </w:pPr>
      <w:r>
        <w:rPr>
          <w:b/>
        </w:rPr>
        <w:t xml:space="preserve">Notes: </w:t>
      </w:r>
      <w:r>
        <w:t>abstract_source=crossref</w:t>
      </w:r>
    </w:p>
    <w:p>
      <w:pPr>
        <w:spacing w:before="0" w:after="80" w:lineRule="auto" w:line="276"/>
      </w:pPr>
      <w:r>
        <w:rPr>
          <w:b/>
        </w:rPr>
        <w:t xml:space="preserve">摘要（ZH）: </w:t>
      </w:r>
      <w:r>
        <w:t>摘要 固有手性杯[4]芳烃（ICCs）是一类手性大环化合物，其手性源于取代基在刚性锥形构象中的不对称分布。尽管这类体系的固有手性早已被认识，但这些结构引人入胜的框架的对映选择性合成，尤其是非间位型ICCs，仍未被充分探索。在本工作中，我们报道了一种通过对称去对称化策略不对称合成ABCD型和ABCC型ICCs的通用方法。两类二氨基取代的前手性杯[4]芳烃通过手性磷酸催化的与各种醛的还原胺化被高效去对称化，可容忍广泛的上缘取代，并以高对映选择性获得带有多样官能团的ABCD型和ABCC型ICCs。对照实验表明，该反应经由连续的对映选择性去对称化和动力学拆分进行，其中亚胺的还原被确定为对映决定步骤。我们还对ICCs产物进行了多种衍生化，包括三个涉及ICCs二聚化的显著实例。此外，我们证明了将这些不对称合成和衍生化方法相结合，能够实现ABCD型ICCs全部六种可能立体异构体的不对称合成。此外，将荧光团基团引入这些固有手性框架，获得了具有良好光物理和手性光学性质的ICCs衍生物，进一步凸显了其潜</w:t>
      </w:r>
    </w:p>
    <w:p>
      <w:pPr>
        <w:spacing w:before="0" w:after="200" w:lineRule="auto" w:line="276"/>
      </w:pPr>
      <w:r>
        <w:rPr>
          <w:b/>
        </w:rPr>
        <w:t xml:space="preserve">Abstract (EN): </w:t>
      </w:r>
      <w:r>
        <w:t>Inherently chiral calix[4]arenes (ICCs) are chiral macrocyclic compounds whose chirality arises from the asymmetric distribution of substituents in their rigid cone conformations. Although inherent chirality in these systems has long been recognized, the enantioselective synthesis of these structurally intriguing frameworks, especially non‐meta‐type ICCs, remains underexplored. In this work, we report a versatile method for the asymmetric synthesis of both ABCD‐ and ABCC‐type ICCs via an enantioselective desymmetrization strategy. Two classes of diamino‐substituted prochiral calix[4]arenes were efficiently desymmetrized through chiral phosphoric acid‐catalyzed reductive amination with various aldehydes, tolerating a broad range of upper‐rim substitutions and affording both ABCD‐ and ABCC‐type ICCs bearing diverse functional groups with high enantioselectivities. Control experiments suggest that the reaction proceeds via sequential enantioselective desymmetrization and kinetic resolution, with reduction of the imine identified as the enantiodetermining step. Various derivatizations of the ICC products were also performed, including three notable examples involving dimerization of ICCs. Moreover, we demonstrate that combining these asymmetric synthetic and derivatization methods could enable the asymmetric synthesis of all six possible stereoisomers of the ABCD‐type ICCs. Furthermore, incorporation of fluorophore groups into these inherently chiral frameworks furnished ICC derivatives with promising photophysical and chiroptical properties, further underscoring the potential of this methodology.</w:t>
      </w:r>
    </w:p>
    <w:p>
      <w:pPr>
        <w:spacing w:before="120" w:after="120"/>
      </w:pPr>
      <w:r>
        <w:rPr>
          <w:sz w:val="18"/>
        </w:rPr>
        <w:t>——————————————————————————————————————————————————————————————————————</w:t>
      </w:r>
    </w:p>
    <w:p>
      <w:pPr>
        <w:spacing w:before="160" w:after="40" w:line="240" w:lineRule="auto"/>
      </w:pPr>
      <w:r>
        <w:rPr>
          <w:b/>
        </w:rPr>
        <w:t xml:space="preserve">[599] </w:t>
      </w:r>
      <w:hyperlink r:id="rId1491">
        <w:r>
          <w:rPr>
            <w:color w:val="1155CC"/>
            <w:u w:val="single"/>
          </w:rPr>
          <w:t>具有巨大双折射的有机金属硫属化物薄膜</w:t>
        </w:r>
      </w:hyperlink>
    </w:p>
    <w:p>
      <w:pPr>
        <w:spacing w:before="0" w:after="80"/>
      </w:pPr>
      <w:r>
        <w:rPr>
          <w:i/>
          <w:sz w:val="20"/>
        </w:rPr>
        <w:t>EN: Organic Metal Chalcogenide Films With Giant Birefringence</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492">
        <w:r>
          <w:rPr>
            <w:color w:val="1155CC"/>
            <w:u w:val="single"/>
          </w:rPr>
          <w:t>10.1002/anie.9163811</w:t>
        </w:r>
      </w:hyperlink>
    </w:p>
    <w:p>
      <w:pPr>
        <w:spacing w:before="0" w:after="120"/>
      </w:pPr>
      <w:r>
        <w:rPr>
          <w:b/>
        </w:rPr>
        <w:t xml:space="preserve">Notes: </w:t>
      </w:r>
      <w:r>
        <w:t>abstract_source=crossref</w:t>
      </w:r>
    </w:p>
    <w:p>
      <w:pPr>
        <w:spacing w:before="0" w:after="80" w:lineRule="auto" w:line="276"/>
      </w:pPr>
      <w:r>
        <w:rPr>
          <w:b/>
        </w:rPr>
        <w:t xml:space="preserve">摘要（ZH）: </w:t>
      </w:r>
      <w:r>
        <w:t>摘要 双折射薄膜作为集成光子系统的一种极具吸引力的候选材料，在优异的可加工性与无缝的衬底兼容性之间实现了完美平衡。然而，双折射薄膜通常仅能保持体块晶体性能的约20%，因此将薄膜的双折射率限制在很少超过0.1的水平。为解决这一局限，我们引入了一种二维范德华（2D-vDW）有机金属硫属化物（OMC）PbHBT（HBT = 4-巯基苯酚），其具有由无机PbS与有机Ph-OH配体交替排列构成的"分子尺度超晶格"。PbHBT晶体在546 nm处表现出0.39的双折射率。通过一种经济高效的原位逐层（LBL）旋涂液相外延（LPE）方法，制备了纳米级厚度可控、高度取向的PbHBT薄膜。PbHBT薄膜在546 nm处的双折射率为0.3，保持了其体块晶体双折射率的77%。重要的是，PbHBT薄膜在可见光谱范围内实现了0.65的双折射率，在近红外范围内实现了0.43，这是双折射薄膜迄今达到的最高值。这种优异的双折射性能源于PbHBT不同晶面的电子云密度各向异性，以及制成薄膜后晶粒取向的高度一致性。这项工作为具有大本征双折射和高保持率的薄膜双折射材料开辟了道路，弥合了体块与薄膜之间的性能差距。</w:t>
      </w:r>
    </w:p>
    <w:p>
      <w:pPr>
        <w:spacing w:before="0" w:after="200" w:lineRule="auto" w:line="276"/>
      </w:pPr>
      <w:r>
        <w:rPr>
          <w:b/>
        </w:rPr>
        <w:t xml:space="preserve">Abstract (EN): </w:t>
      </w:r>
      <w:r>
        <w:t>Birefringent films emerge as a compelling candidate for integrated photonic systems, gracefully balancing superior processability with seamless substrate compatibility. However, birefringent films typically retain only ∼20% of bulk crystal performance, which consequently limits film‐based birefringence to values rarely exceeding 0.1. To address this limitation, we introduce a two‐dimensional van der Waals (2D‐vDW) organic metal chalcogenide (OMC) PbHBT (HBT = 4‐mercaptophenol), featuring “molecular‐scale superlattices” of alternating inorganic PbS and organic Ph‐OH ligands. PbHBT crystal exhibits a birefringence of 0.39@546 nm. A nanoscale thickness‐controllable, highly oriented PbHBT film was prepared through an economical in situ layer‐by‐layer (LBL) spin‐coating liquid‐phase epitaxy (LPE) approach. The birefringence of the PbHBT film is 0.3 at 546 nm, maintaining 77% of the birefringence of its bulk crystal. Importantly, the PbHBT film achieves a birefringence of 0.65 in the visible spectrum and 0.43 in the near‐infrared, which are the highest notes ever achieved by a birefringent film. This excellent birefringence performance stems from the anisotropy of the electron cloud density of different crystal planes of the PbHBT and the high consistency of grain orientation after being fabricated into a film. This work opens avenues for thin‐film birefringent materials with large intrinsic birefringence and high retention, bridging the bulk‐film performance gap.</w:t>
      </w:r>
    </w:p>
    <w:p>
      <w:pPr>
        <w:spacing w:before="120" w:after="120"/>
      </w:pPr>
      <w:r>
        <w:rPr>
          <w:sz w:val="18"/>
        </w:rPr>
        <w:t>——————————————————————————————————————————————————————————————————————</w:t>
      </w:r>
    </w:p>
    <w:p>
      <w:pPr>
        <w:spacing w:before="160" w:after="40" w:line="240" w:lineRule="auto"/>
      </w:pPr>
      <w:r>
        <w:rPr>
          <w:b/>
        </w:rPr>
        <w:t xml:space="preserve">[600] </w:t>
      </w:r>
      <w:hyperlink r:id="rId1493">
        <w:r>
          <w:rPr>
            <w:color w:val="1155CC"/>
            <w:u w:val="single"/>
          </w:rPr>
          <w:t>基于馈线中心图神经网络的可再生能源渗透直流配电网络集成故障定位方法</w:t>
        </w:r>
      </w:hyperlink>
    </w:p>
    <w:p>
      <w:pPr>
        <w:spacing w:before="0" w:after="80"/>
      </w:pPr>
      <w:r>
        <w:rPr>
          <w:i/>
          <w:sz w:val="20"/>
        </w:rPr>
        <w:t>EN: Integrated Fault Location Method Using Feeder-Centric Graph Neural Networks for Renewable-Penetrated DC Distribution Networks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494">
        <w:r>
          <w:rPr>
            <w:color w:val="1155CC"/>
            <w:u w:val="single"/>
          </w:rPr>
          <w:t>10.1109/tsg.2026.3679303</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了一种基于图神经网络（GNN）的直流配电网（DCDN）故障定位方法，将传统上独立处理的故障选线（FLS）与故障测距（FDE）进行了集成。所提方法聚焦于馈线分析，包括多馈线的FLS和单馈线的FDE。具体而言，构建了以馈线为节点的图，其中提取同步测量数据作为节点特征，确保了维度的一致性并提升了学习效率。此外，所提方法将FLS与FDE之间的逻辑相互依赖关系明确嵌入到结构设计和参数更新机制中。设计了输出处理模块，通过分析FLS结果来估算故障距离，确保模型利用DCDN系统级信息的数据而非单一馈线的数据。进一步地，引入了两阶段预训练策略以提高稳定性和泛化能力，其中冻结了部分参数。通过硬件在环实验验证了所提方法的有效性和泛化能力。</w:t>
      </w:r>
    </w:p>
    <w:p>
      <w:pPr>
        <w:spacing w:before="0" w:after="200" w:lineRule="auto" w:line="276"/>
      </w:pPr>
      <w:r>
        <w:rPr>
          <w:b/>
        </w:rPr>
        <w:t xml:space="preserve">Abstract (EN): </w:t>
      </w:r>
      <w:r>
        <w:t>This paper proposes a fault location method for DC distribution networks (DCDNs) based on graph neural networks (GNNs), which integrates the fault line selection (FLS) and fault distance estimation (FDE) that are conventionally handled independently. The proposed method focuses on the analysis of feeders, including FLS of multiple feeders and FDE of a single feeder. Specifically, a feeder-as-node graph is constructed, where synchronous measurement data are extracted as node features, ensuring consistent dimensionality and enhanced learning efficiency. Moreover, the proposed method explicitly embeds the logical interdependencies between FLS and FDE into the structural design and parameter updating mechanism. An output processing module is designed to estimate the fault distance by analyzing the FLS results, ensuring the model utilizes the data of the DCDN system-level information rather than a single feeder. Furthermore, a two-stage pre-training strategy is introduced to improve stability and generalization, in which partial parameters are frozen. The effectiveness and generalization of the proposed method are verified by hardware-in-the-loop experiments.</w:t>
      </w:r>
    </w:p>
    <w:p>
      <w:pPr>
        <w:spacing w:before="120" w:after="120"/>
      </w:pPr>
      <w:r>
        <w:rPr>
          <w:sz w:val="18"/>
        </w:rPr>
        <w:t>——————————————————————————————————————————————————————————————————————</w:t>
      </w:r>
    </w:p>
    <w:p>
      <w:pPr>
        <w:spacing w:before="160" w:after="40" w:line="240" w:lineRule="auto"/>
      </w:pPr>
      <w:r>
        <w:rPr>
          <w:b/>
        </w:rPr>
        <w:t xml:space="preserve">[601] </w:t>
      </w:r>
      <w:hyperlink r:id="rId1495">
        <w:r>
          <w:rPr>
            <w:color w:val="1155CC"/>
            <w:u w:val="single"/>
          </w:rPr>
          <w:t>一种基于反正切框架并考虑参数阶跃变化的更快速 μ-PMU 算法</w:t>
        </w:r>
      </w:hyperlink>
    </w:p>
    <w:p>
      <w:pPr>
        <w:spacing w:before="0" w:after="80"/>
      </w:pPr>
      <w:r>
        <w:rPr>
          <w:i/>
          <w:sz w:val="20"/>
        </w:rPr>
        <w:t>EN: A Faster μ -PMU Algorithm Using Arctangent Framework With Parameter Step Change</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496">
        <w:r>
          <w:rPr>
            <w:color w:val="1155CC"/>
            <w:u w:val="single"/>
          </w:rPr>
          <w:t>10.1109/tsg.2026.3664302</w:t>
        </w:r>
      </w:hyperlink>
    </w:p>
    <w:p>
      <w:pPr>
        <w:spacing w:before="0" w:after="120"/>
      </w:pPr>
      <w:r>
        <w:rPr>
          <w:b/>
        </w:rPr>
        <w:t xml:space="preserve">Notes: </w:t>
      </w:r>
      <w:r>
        <w:t>abstract_source=semanticscholar</w:t>
      </w:r>
    </w:p>
    <w:p>
      <w:pPr>
        <w:spacing w:before="0" w:after="80" w:lineRule="auto" w:line="276"/>
      </w:pPr>
      <w:r>
        <w:rPr>
          <w:b/>
        </w:rPr>
        <w:t xml:space="preserve">摘要（ZH）: </w:t>
      </w:r>
      <w:r>
        <w:t>相量测量单元（PMU）通过在动态条件下实现实时监测、控制和保护，在现代电力系统中发挥着至关重要的作用。然而，在遭遇突变暂态时，其性能表现出不精确和响应时间较长的问题。为解决这些局限性，本文提出了一种高响应性、高精度的同步相量、频率和频率变化率（ROCOF）估计算法，能够有效应对幅值或相位的突然变化。该方法将初始频率估计与对数熵比策略相结合，实现有效的暂态检测。基于非对称窗口上的反正切拉普拉斯连续混合p范数（ALCMpN）算法采用阶跃建模。随后，一种补偿技术实现了估计前后的融合，消除了相位阶跃的影响并降低了ROCOF误差。IEC/IEEE 60255-118-1a合规性测试表明，所提算法实现了TVE &lt;0.001%、FE &lt;0.05 mHz和RFE &lt;0.005 Hz/s，均在P类约束范围之内。利用电网事件特征库（GESL）测试数据进行的现场验证进一步证实了其在真实故障条件下的稳健性能。利用RTDS–DSP硬件进行的实时验证展示了其可靠运行，确认了其在有源配电网中适用于实时PMU和保护应用。</w:t>
      </w:r>
    </w:p>
    <w:p>
      <w:pPr>
        <w:spacing w:before="0" w:after="200" w:lineRule="auto" w:line="276"/>
      </w:pPr>
      <w:r>
        <w:rPr>
          <w:b/>
        </w:rPr>
        <w:t xml:space="preserve">Abstract (EN): </w:t>
      </w:r>
      <w:r>
        <w:t>Phasor Measurement Units (PMUs) play a vital role in modern power systems by enabling real-time monitoring, control, and protection under dynamic conditions. However, their performance exhibits inaccuracy and longer response time when encountered with abrupt transients. To address these limitations, the paper introduces a highly responsive and precise algorithm for estimating synchrophasor, frequency and rate of change of frequency (ROCOF) that effectively cope with sudden amplitude or phase changes. The approach integrates the initial frequency estimation with a Logarithmic Entropy Ratio strategy for effective transient detection. A step modeling is used based on the Arctangent Laplacian Continuous Mixed p-Norm (ALCMpN) algorithm on asymmetric windows. Subsequently, a compensation technique enables blend between pre and post estimates which eliminates the influence of phase step and reduces the ROCOF error. IEC/IEEE 60255-118-1a compliance tests show that the proposed algorithm achieves TVE &lt;0.001%, FE &lt;0.05 mHz, and RFE &lt;0.005 Hz/s which are within the P-class constraint. Field validation using Grid Event Signature Library (GESL) test data further verifies robust performance under real fault conditions. Real-time validation using RTDS–DSP hardware demonstrates reliable operation confirming its suitability for real-time PMU and protection applications in active distribution networks.</w:t>
      </w:r>
    </w:p>
    <w:p>
      <w:pPr>
        <w:spacing w:before="120" w:after="120"/>
      </w:pPr>
      <w:r>
        <w:rPr>
          <w:sz w:val="18"/>
        </w:rPr>
        <w:t>——————————————————————————————————————————————————————————————————————</w:t>
      </w:r>
    </w:p>
    <w:p>
      <w:pPr>
        <w:spacing w:before="160" w:after="40" w:line="240" w:lineRule="auto"/>
      </w:pPr>
      <w:r>
        <w:rPr>
          <w:b/>
        </w:rPr>
        <w:t xml:space="preserve">[602] </w:t>
      </w:r>
      <w:hyperlink r:id="rId1497">
        <w:r>
          <w:rPr>
            <w:color w:val="1155CC"/>
            <w:u w:val="single"/>
          </w:rPr>
          <w:t>多面体需求灵活性集合的联邦聚合</w:t>
        </w:r>
      </w:hyperlink>
    </w:p>
    <w:p>
      <w:pPr>
        <w:spacing w:before="0" w:after="80"/>
      </w:pPr>
      <w:r>
        <w:rPr>
          <w:i/>
          <w:sz w:val="20"/>
        </w:rPr>
        <w:t>EN: Federated Aggregation of Polyhedral Demand Flexibility Sets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498">
        <w:r>
          <w:rPr>
            <w:color w:val="1155CC"/>
            <w:u w:val="single"/>
          </w:rPr>
          <w:t>10.1109/tsg.2026.3676867</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了一种支持电网运行的需求灵活性聚合联邦框架。与依赖静态、预定义基集作为聚合几何模板的现有几何方法不同，我们的框架通过实现该基集的协同优化来建立真正的联邦过程，而无需参与者与聚合商共享敏感数据。具体而言，我们首先将基集优化问题表述为双层规划。然后，利用最优解函数，我们将该双层规划重构为单层无约束学习任务。通过利用整体梯度的可分解结构，我们进一步设计了一种去中心化的基于梯度的算法来求解该学习任务。整个框架（包括基集优化、聚合和分解）在设计上无需交换原始用户数据即可运行。数值结果表明，与采用静态基集的方法相比，我们所提框架释放了显著更多的灵活性，从而为大规模协调需求灵活性提供了一种高效且增强隐私的有前景的框架。</w:t>
      </w:r>
    </w:p>
    <w:p>
      <w:pPr>
        <w:spacing w:before="0" w:after="200" w:lineRule="auto" w:line="276"/>
      </w:pPr>
      <w:r>
        <w:rPr>
          <w:b/>
        </w:rPr>
        <w:t xml:space="preserve">Abstract (EN): </w:t>
      </w:r>
      <w:r>
        <w:t>This paper proposes a federated framework for demand flexibility aggregation to support grid operations. Unlike existing geometric methods that rely on a static, pre-defined base set as the geometric template for aggregation, our framework establishes a true federated process by enabling the collaborative optimization of this base set without requiring the participants to share sensitive data with the aggregator. Specifically, we first formulate the base set optimization problem as a bilevel program. Using optimal solution functions, we then reformulate the bilevel program into a single-level, unconstrained learning task. By exploiting the decomposable structure of the overall gradient, we further design a decentralized gradient-based algorithm to solve this learning task. The entire framework, encompassing base set optimization, aggregation, and disaggregation, operates by design without exchanging raw user data. Numerical results demonstrate that our proposed framework unlocks substantially more flexibility than the approaches with static base sets, thus providing a promising framework for efficient and privacy-enhanced approaches to coordinate demand flexibility at scale.</w:t>
      </w:r>
    </w:p>
    <w:p>
      <w:pPr>
        <w:spacing w:before="120" w:after="120"/>
      </w:pPr>
      <w:r>
        <w:rPr>
          <w:sz w:val="18"/>
        </w:rPr>
        <w:t>——————————————————————————————————————————————————————————————————————</w:t>
      </w:r>
    </w:p>
    <w:p>
      <w:pPr>
        <w:spacing w:before="160" w:after="40" w:line="240" w:lineRule="auto"/>
      </w:pPr>
      <w:r>
        <w:rPr>
          <w:b/>
        </w:rPr>
        <w:t xml:space="preserve">[603] </w:t>
      </w:r>
      <w:hyperlink r:id="rId1499">
        <w:r>
          <w:rPr>
            <w:color w:val="1155CC"/>
            <w:u w:val="single"/>
          </w:rPr>
          <w:t>面向电气化公路的实时充电控制</w:t>
        </w:r>
      </w:hyperlink>
    </w:p>
    <w:p>
      <w:pPr>
        <w:spacing w:before="0" w:after="80"/>
      </w:pPr>
      <w:r>
        <w:rPr>
          <w:i/>
          <w:sz w:val="20"/>
        </w:rPr>
        <w:t>EN: Real-Time Charging Control for Electric Roadways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00">
        <w:r>
          <w:rPr>
            <w:color w:val="1155CC"/>
            <w:u w:val="single"/>
          </w:rPr>
          <w:t>10.1109/tsg.2026.3681544</w:t>
        </w:r>
      </w:hyperlink>
    </w:p>
    <w:p>
      <w:pPr>
        <w:spacing w:before="0" w:after="120"/>
      </w:pPr>
      <w:r>
        <w:rPr>
          <w:b/>
        </w:rPr>
        <w:t xml:space="preserve">Notes: </w:t>
      </w:r>
      <w:r>
        <w:t>abstract_source=semanticscholar</w:t>
      </w:r>
    </w:p>
    <w:p>
      <w:pPr>
        <w:spacing w:before="0" w:after="80" w:lineRule="auto" w:line="276"/>
      </w:pPr>
      <w:r>
        <w:rPr>
          <w:b/>
        </w:rPr>
        <w:t xml:space="preserve">摘要（ZH）: </w:t>
      </w:r>
      <w:r>
        <w:t>本文研究电动汽车（EV）驶过电气化道路（ER）时的最优无线充电问题。我们首先建立了一个全知性公式，以建模和优化ER与EV之间的分钟级能量传输，其中将ER微电网运行、EV侧功率平衡、电池动态以及无线电力传输限制作为约束条件。然而，该公式需要关于EV未来行驶方式的未来信息，而这些信息在实时运行中通常不可获得。为了摆脱对未来信息的依赖，我们利用全知性公式的填谷充电曲线的最优性，设计了一种因果算法。我们在不考虑损耗的理想情况下从理论上证明了所提算法的最优性。随后，该算法被扩展以考虑实际情况，如估计误差、损耗以及与ER同址部署的固定电池。最后，针对不同的交通状况，我们在包含损耗的现实现场设置下，采用不同的信息模式（有和无前瞻）对算法性能进行了数值验证。</w:t>
      </w:r>
    </w:p>
    <w:p>
      <w:pPr>
        <w:spacing w:before="0" w:after="200" w:lineRule="auto" w:line="276"/>
      </w:pPr>
      <w:r>
        <w:rPr>
          <w:b/>
        </w:rPr>
        <w:t xml:space="preserve">Abstract (EN): </w:t>
      </w:r>
      <w:r>
        <w:t>This paper studies the optimal wireless charging for electric vehicles (EVs) driving through an electric roadway (ER). We first develop a clairvoyant formulation to model and optimize the minute-level energy transmission between the ER and EVs, which incorporates ER microgrid operation, EV-side power balance, battery dynamics, and wireless power transfer limits as constraints. However, this formulation requires future information regarding how EVs will be driven, which is often unavailable during real-time operation. To circumvent the dependence on future information, we design a causal algorithm by leveraging the optimality of valley-filling charging profiles of the clairvoyant formulation. We theoretically establish the optimality of the proposed algorithm in an ideal setting without considering losses. The algorithm is then extended to account for practicalities such as estimation errors, losses, and incorporation of a stationary battery co-located with the ER. Finally, for distinct traffic conditions, we numerically validate the performance of the algorithm under realistic settings (incorporating losses) with different information patterns (with and without lookahead).</w:t>
      </w:r>
    </w:p>
    <w:p>
      <w:pPr>
        <w:spacing w:before="120" w:after="120"/>
      </w:pPr>
      <w:r>
        <w:rPr>
          <w:sz w:val="18"/>
        </w:rPr>
        <w:t>——————————————————————————————————————————————————————————————————————</w:t>
      </w:r>
    </w:p>
    <w:p>
      <w:pPr>
        <w:spacing w:before="160" w:after="40" w:line="240" w:lineRule="auto"/>
      </w:pPr>
      <w:r>
        <w:rPr>
          <w:b/>
        </w:rPr>
        <w:t xml:space="preserve">[604] </w:t>
      </w:r>
      <w:hyperlink r:id="rId1501">
        <w:r>
          <w:rPr>
            <w:color w:val="1155CC"/>
            <w:u w:val="single"/>
          </w:rPr>
          <w:t>基于贝叶斯优化的深度学习用于智能电网需求响应系统中的自适应实时FDIA检测</w:t>
        </w:r>
      </w:hyperlink>
    </w:p>
    <w:p>
      <w:pPr>
        <w:spacing w:before="0" w:after="80"/>
      </w:pPr>
      <w:r>
        <w:rPr>
          <w:i/>
          <w:sz w:val="20"/>
        </w:rPr>
        <w:t>EN: Bayesian-Optimized Deep Learning for Adaptive Real-Time FDIA Detection in Smart Grid Demand Response Systems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02">
        <w:r>
          <w:rPr>
            <w:color w:val="1155CC"/>
            <w:u w:val="single"/>
          </w:rPr>
          <w:t>10.1109/tsg.2026.3668905</w:t>
        </w:r>
      </w:hyperlink>
    </w:p>
    <w:p>
      <w:pPr>
        <w:spacing w:before="0" w:after="120"/>
      </w:pPr>
      <w:r>
        <w:rPr>
          <w:b/>
        </w:rPr>
        <w:t xml:space="preserve">Notes: </w:t>
      </w:r>
      <w:r>
        <w:t>abstract_source=semanticscholar</w:t>
      </w:r>
    </w:p>
    <w:p>
      <w:pPr>
        <w:spacing w:before="0" w:after="80" w:lineRule="auto" w:line="276"/>
      </w:pPr>
      <w:r>
        <w:rPr>
          <w:b/>
        </w:rPr>
        <w:t xml:space="preserve">摘要（ZH）: </w:t>
      </w:r>
      <w:r>
        <w:t>智能电网需求响应（DR）系统正面临来自虚假数据注入攻击（FDIAs）的不断升级的威胁，这类攻击通过破坏负荷预测来扭曲实时电价、破坏供需平衡，并引发级联性电网故障。这些入侵在严重不平衡的数据集中表现为从瞬时尖峰到长期失真的多尺度时间异常。我们提出了一种自适应深度学习架构，整合了：(i) 具有动态核尺度缩放的方差自适应一维卷积神经网络（CNN），可放大异常同时抑制噪声；(ii) 时间注意力双向LSTM（BiLSTM），用于解析前后向依赖关系；以及(iii) 采用Matérn核的贝叶斯优化（BO），在严格计算约束下联合优化精度—时延权衡。一种增强型SMOTE-RUS方案在保留设备级周期性的同时合成少数类攻击样本。基于来自290个美国家庭的37.7万条半小时级预测数据进行评估，该框架实现了99.26%的准确率、93.16%的F1分数和每样本1.2 ms的推理速度，比最强基线高出21.4%。</w:t>
      </w:r>
    </w:p>
    <w:p>
      <w:pPr>
        <w:spacing w:before="0" w:after="200" w:lineRule="auto" w:line="276"/>
      </w:pPr>
      <w:r>
        <w:rPr>
          <w:b/>
        </w:rPr>
        <w:t xml:space="preserve">Abstract (EN): </w:t>
      </w:r>
      <w:r>
        <w:t>Smart grid demand response (DR) systems face escalating threats from False Data Injection Attacks (FDIAs), which corrupt load forecasts to distort real-time pricing, destabilize supply–demand equilibrium, and precipitate cascading grid failures. These intrusions manifest as multi-scale temporal anomalies from transient spikes to prolonged distortions in severely imbalanced datasets. We propose an adaptive deep learning architecture integrating: (i) a variance-adaptive 1D convolutional neural network (CNN) with dynamic kernel scaling to magnify anomalies while attenuating noise; (ii) a temporal-attention bidirectional LSTM (BiLSTM) to resolve forward–backward dependencies; and (iii) Bayesian optimization (BO) with Matérn kernels to jointly optimize accuracy–latency trade-offs under strict computational constraints. An Enhanced SMOTE-RUS scheme synthesizes minority-class attacks while preserving appliance-level periodicity. Evaluated on 377k half-hourly forecasts from 290 U.S. households, the framework attains 99.26% accuracy, 93.16% F1-score, and 1.2 ms per-sample inference, exceeding the strongest baseline by 21.4%.</w:t>
      </w:r>
    </w:p>
    <w:p>
      <w:pPr>
        <w:spacing w:before="120" w:after="120"/>
      </w:pPr>
      <w:r>
        <w:rPr>
          <w:sz w:val="18"/>
        </w:rPr>
        <w:t>——————————————————————————————————————————————————————————————————————</w:t>
      </w:r>
    </w:p>
    <w:p>
      <w:pPr>
        <w:spacing w:before="160" w:after="40" w:line="240" w:lineRule="auto"/>
      </w:pPr>
      <w:r>
        <w:rPr>
          <w:b/>
        </w:rPr>
        <w:t xml:space="preserve">[605] </w:t>
      </w:r>
      <w:hyperlink r:id="rId1503">
        <w:r>
          <w:rPr>
            <w:color w:val="1155CC"/>
            <w:u w:val="single"/>
          </w:rPr>
          <w:t>含生物质发酵的电-沼气农村微电网两阶段风险调度</w:t>
        </w:r>
      </w:hyperlink>
    </w:p>
    <w:p>
      <w:pPr>
        <w:spacing w:before="0" w:after="80"/>
      </w:pPr>
      <w:r>
        <w:rPr>
          <w:i/>
          <w:sz w:val="20"/>
        </w:rPr>
        <w:t>EN: Two-Stage Risk-Based Scheduling for Electricity–Biogas Rural Microgrids With Biomass Fermentation</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04">
        <w:r>
          <w:rPr>
            <w:color w:val="1155CC"/>
            <w:u w:val="single"/>
          </w:rPr>
          <w:t>10.1109/tsg.2026.3684724</w:t>
        </w:r>
      </w:hyperlink>
    </w:p>
    <w:p>
      <w:pPr>
        <w:spacing w:before="0" w:after="120"/>
      </w:pPr>
      <w:r>
        <w:rPr>
          <w:b/>
        </w:rPr>
        <w:t xml:space="preserve">Notes: </w:t>
      </w:r>
      <w:r>
        <w:t>abstract_source=semanticscholar</w:t>
      </w:r>
    </w:p>
    <w:p>
      <w:pPr>
        <w:spacing w:before="0" w:after="80" w:lineRule="auto" w:line="276"/>
      </w:pPr>
      <w:r>
        <w:rPr>
          <w:b/>
        </w:rPr>
        <w:t xml:space="preserve">摘要（ZH）: </w:t>
      </w:r>
      <w:r>
        <w:t>电-沼气农村微电网（EBRMs）具有显著的经济潜力和多能源协调能力，是农村能源管理的一种有前景的范式。本文提出了一种利用可再生能源和生物质资源的EBRM能量调度方法，旨在经济地满足农村电力需求。沼气发酵过程被建模为一个非线性生化动态系统，其中沼气产量由涉及发酵温度和总固体（TS）浓度的微分方程控制。建立了一个考虑温度和TS动态的实用沼气发酵模型，并使用McCormick松弛进行线性化。为了更有效地捕捉条件风险价值（CVaR）尾部关注之外的可再生能源不确定性，引入了基尼加权CVaR（GWCVaR）模型来量化切负荷风险，从而构建了一个随机混合整数规划问题。为解决长期沼气调度与日前微电网 dispatch 之间的失配问题，提出了一种两阶段优化策略。最后，仿真结果验证了其有效性。与不含沼气集成的基线相比，所提方法使运行成本降低了26.2%，而集成的GWCVaR仅以3.4%的成本代价将切负荷风险降低了85%以上。</w:t>
      </w:r>
    </w:p>
    <w:p>
      <w:pPr>
        <w:spacing w:before="0" w:after="200" w:lineRule="auto" w:line="276"/>
      </w:pPr>
      <w:r>
        <w:rPr>
          <w:b/>
        </w:rPr>
        <w:t xml:space="preserve">Abstract (EN): </w:t>
      </w:r>
      <w:r>
        <w:t>Electricity-biogas rural microgrids (EBRMs) possess significant economic potential and the ability to coordinate multiple energy sources, making them a promising paradigm for energy management in rural areas. This paper proposes an energy scheduling method for an EBRM that utilizes renewable and biomass resources, with the goal of economically meeting rural electricity demand. The biogas fermentation process is modeled as a nonlinear biochemical dynamic system, where biogas production is governed by differential equations involving fermentation temperature and total solids (TS) concentration. A practical biogas fermentation model, which considers the dynamics of temperature and TS, is developed and subsequently linearized using McCormick relaxation. To more effectively capture renewable energy uncertainties beyond the tail focus of Conditional Value-at-Risk (CVaR), a Gini-weighted CVaR (GWCVaR) model is introduced to quantify the risk of load shedding, formulating a stochastic mixed-integer programming problem. To address the mismatch between long-term biogas scheduling and day-ahead microgrid dispatch, a two-stage optimization strategy is proposed. Finally, simulation results demonstrate its effectiveness. The proposed method achieves a 26.2% reduction in operating cost compared to a baseline without biogas integration, while the integrated GWCVaR reduces load-shedding risk by over 85% with only a 3.4% cost penalty.</w:t>
      </w:r>
    </w:p>
    <w:p>
      <w:pPr>
        <w:spacing w:before="120" w:after="120"/>
      </w:pPr>
      <w:r>
        <w:rPr>
          <w:sz w:val="18"/>
        </w:rPr>
        <w:t>——————————————————————————————————————————————————————————————————————</w:t>
      </w:r>
    </w:p>
    <w:p>
      <w:pPr>
        <w:spacing w:before="160" w:after="40" w:line="240" w:lineRule="auto"/>
      </w:pPr>
      <w:r>
        <w:rPr>
          <w:b/>
        </w:rPr>
        <w:t xml:space="preserve">[606] </w:t>
      </w:r>
      <w:hyperlink r:id="rId1505">
        <w:r>
          <w:rPr>
            <w:color w:val="1155CC"/>
            <w:u w:val="single"/>
          </w:rPr>
          <w:t>基于浅层物理信息神经网络的配电网数据驱动建模</w:t>
        </w:r>
      </w:hyperlink>
    </w:p>
    <w:p>
      <w:pPr>
        <w:spacing w:before="0" w:after="80"/>
      </w:pPr>
      <w:r>
        <w:rPr>
          <w:i/>
          <w:sz w:val="20"/>
        </w:rPr>
        <w:t>EN: Data-Driven Distribution Network Modeling Using Shallow Physics-Informed Neural Network</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06">
        <w:r>
          <w:rPr>
            <w:color w:val="1155CC"/>
            <w:u w:val="single"/>
          </w:rPr>
          <w:t>10.1109/tsg.2026.3675654</w:t>
        </w:r>
      </w:hyperlink>
    </w:p>
    <w:p>
      <w:pPr>
        <w:spacing w:before="0" w:after="120"/>
      </w:pPr>
      <w:r>
        <w:rPr>
          <w:b/>
        </w:rPr>
        <w:t xml:space="preserve">Notes: </w:t>
      </w:r>
      <w:r>
        <w:t>abstract_source=semanticscholar</w:t>
      </w:r>
    </w:p>
    <w:p>
      <w:pPr>
        <w:spacing w:before="0" w:after="80" w:lineRule="auto" w:line="276"/>
      </w:pPr>
      <w:r>
        <w:rPr>
          <w:b/>
        </w:rPr>
        <w:t xml:space="preserve">摘要（ZH）: </w:t>
      </w:r>
      <w:r>
        <w:t>精确的拓扑和线路参数是配电网规划、运行和控制的基础。基于配电网潮流的物理特性，我们基于输入凸神经网络（ICNN）优雅地设计了一种浅层物理信息神经网络（SPINN），用于执行数据驱动的配电网建模，实现配电网拓扑与线路参数的联合估计。所提出的数据驱动配电网建模建立了SPINN参数与配电网参数之间的解析表达式和映射，使配电网参数（即拓扑和线路参数）可以直接从神经网络参数计算和推断。配电网建模方法的性能在理论上得到进一步证明，并在IEEE 33、69和123节点系统上得到验证。结果表明，我们提出的方法能够准确估计拓扑和线路参数。</w:t>
      </w:r>
    </w:p>
    <w:p>
      <w:pPr>
        <w:spacing w:before="0" w:after="200" w:lineRule="auto" w:line="276"/>
      </w:pPr>
      <w:r>
        <w:rPr>
          <w:b/>
        </w:rPr>
        <w:t xml:space="preserve">Abstract (EN): </w:t>
      </w:r>
      <w:r>
        <w:t>Accurate topology and line parameters are fundamental for the planning, operation, and control of distribution networks. Motivated by the physics and characteristics of the distribution network power flow, a shallow physics-informed neural network (SPINN), based on the input convex neural network (ICNN), is elegantly designed to perform data-driven distribution network modeling, enabling the joint estimation of distribution network topology and line parameters. The proposed data-driven distribution network modeling establishes an analytical expression and mapping between the SPINN parameters and distribution network parameters, allowing the distribution network parameters, i.e., topologies and line parameters, to be directly calculated and inferred from the neural network parameters. The performance of the distribution network modeling method is further proved theoretically and verified on the IEEE 33, 69, and 123-bus systems. The results show that our proposed method can accurately estimate the topology and line parameters.</w:t>
      </w:r>
    </w:p>
    <w:p>
      <w:pPr>
        <w:spacing w:before="120" w:after="120"/>
      </w:pPr>
      <w:r>
        <w:rPr>
          <w:sz w:val="18"/>
        </w:rPr>
        <w:t>——————————————————————————————————————————————————————————————————————</w:t>
      </w:r>
    </w:p>
    <w:p>
      <w:pPr>
        <w:spacing w:before="160" w:after="40" w:line="240" w:lineRule="auto"/>
      </w:pPr>
      <w:r>
        <w:rPr>
          <w:b/>
        </w:rPr>
        <w:t xml:space="preserve">[607] </w:t>
      </w:r>
      <w:hyperlink r:id="rId1507">
        <w:r>
          <w:rPr>
            <w:color w:val="1155CC"/>
            <w:u w:val="single"/>
          </w:rPr>
          <w:t>利用bacSCP突破单细胞蛋白质组学极限以研究细菌异质性</w:t>
        </w:r>
      </w:hyperlink>
    </w:p>
    <w:p>
      <w:pPr>
        <w:spacing w:before="0" w:after="80"/>
      </w:pPr>
      <w:r>
        <w:rPr>
          <w:i/>
          <w:sz w:val="20"/>
        </w:rPr>
        <w:t>EN: Pushing the limits of single-cell proteomics to investigate bacterial heterogeneity using bacSCP</w:t>
      </w:r>
    </w:p>
    <w:p>
      <w:pPr>
        <w:spacing w:before="0" w:after="120"/>
      </w:pPr>
      <w:r>
        <w:rPr>
          <w:b/>
        </w:rPr>
        <w:t xml:space="preserve">Source: </w:t>
      </w:r>
      <w:r>
        <w:t>Biological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单细胞蛋白质组学（SCP）已成为在细胞分辨率下量化蛋白质表达变异的强大方法，然而大多数最先进的工作流程都是针对真核细胞量身定制的，仅有一项研究探索了如何通过质谱分析单个细菌。在此，我们建立了bacSCP，一种将SCP扩展到细菌细胞的实验方案，面临的挑战包括阻碍裂解的厚细菌细胞壁、极小的细胞尺寸及由此产生的低蛋白质含量，以及相对较高的外部来源污染蛋白。利用该bacSCP流程，我们从单个枯草芽孢杆菌（Bacillus subtilis）和大肠杆菌（Escherichia coli）细胞中定量了50多种细菌蛋白。在热应激下，我们在B. subtilis ΔmcsB菌株中可重复地观察到包括GroEL、GroES和ClpC在内的分子伴侣高达8倍的上调。重要的是，单细胞测量揭示了热应激亚群内部的潜在异质性，从而能够在蛋白质组水平上探究应激反应的变异性。这些结果证明了bacSCP的可行性，并为以单细胞蛋白质组分辨率研究细菌应激适应和表型多样性奠定了基础。</w:t>
      </w:r>
    </w:p>
    <w:p>
      <w:pPr>
        <w:spacing w:before="0" w:after="200" w:lineRule="auto" w:line="276"/>
      </w:pPr>
      <w:r>
        <w:rPr>
          <w:b/>
        </w:rPr>
        <w:t xml:space="preserve">Abstract (EN): </w:t>
      </w:r>
      <w:r>
        <w:t>Single-cell proteomics (SCP) has emerged as a powerful approach to quantify protein expression variability at cellular resolution, yet most state-of-the-art workflows are tailored to eukaryotic cells with only one study exploring how single bacteria can be analyzed by mass spectrometry. Here, we established bacSCP, a protocol extending SCP to bacterial cells, facing analytical challenges such as the thick bacterial cell wall hampering lysis, the extremely small cell size and resultant low protein content, and the comparatively high level of contaminating proteins from external sources. Using this bacSCP pipeline, we quantified more than 50 bacterial proteins from single Bacillus subtilis and Escherichia coli cells. Upon heat stress, we reproducibly observed up to 8-fold upregulation of chaperones including GroEL, GroES, and ClpC for a B. subtilis ΔmcsB strain. Importantly, single-cell measurements revealed potential heterogeneity within the heat-stressed subpopulation, enabling interrogation of stress-response variability at the proteome level. These results demonstrate the feasibility of bacSCP and provide a foundation for studying bacterial stress adaptation and phenotypic diversity with single-cell proteomic resolution.</w:t>
      </w:r>
    </w:p>
    <w:p>
      <w:pPr>
        <w:spacing w:before="120" w:after="120"/>
      </w:pPr>
      <w:r>
        <w:rPr>
          <w:sz w:val="18"/>
        </w:rPr>
        <w:t>——————————————————————————————————————————————————————————————————————</w:t>
      </w:r>
    </w:p>
    <w:p>
      <w:pPr>
        <w:spacing w:before="160" w:after="40" w:line="240" w:lineRule="auto"/>
      </w:pPr>
      <w:r>
        <w:rPr>
          <w:b/>
        </w:rPr>
        <w:t xml:space="preserve">[608] </w:t>
      </w:r>
      <w:hyperlink r:id="rId1508">
        <w:r>
          <w:rPr>
            <w:color w:val="1155CC"/>
            <w:u w:val="single"/>
          </w:rPr>
          <w:t>应对极端降雨事件的深度多模态融合与卡尔曼在线自适应电力负荷预测</w:t>
        </w:r>
      </w:hyperlink>
    </w:p>
    <w:p>
      <w:pPr>
        <w:spacing w:before="0" w:after="80"/>
      </w:pPr>
      <w:r>
        <w:rPr>
          <w:i/>
          <w:sz w:val="20"/>
        </w:rPr>
        <w:t>EN: Deep Multi-Modal Fusion and Kalman Online Adaptation for Electric Load Forecasting Against Extreme Rainfall Events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09">
        <w:r>
          <w:rPr>
            <w:color w:val="1155CC"/>
            <w:u w:val="single"/>
          </w:rPr>
          <w:t>10.1109/tsg.2026.3688857</w:t>
        </w:r>
      </w:hyperlink>
    </w:p>
    <w:p>
      <w:pPr>
        <w:spacing w:before="0" w:after="120"/>
      </w:pPr>
      <w:r>
        <w:rPr>
          <w:b/>
        </w:rPr>
        <w:t xml:space="preserve">Notes: </w:t>
      </w:r>
      <w:r>
        <w:t>abstract_source=openalex</w:t>
      </w:r>
    </w:p>
    <w:p>
      <w:pPr>
        <w:spacing w:before="0" w:after="80" w:lineRule="auto" w:line="276"/>
      </w:pPr>
      <w:r>
        <w:rPr>
          <w:b/>
        </w:rPr>
        <w:t xml:space="preserve">摘要（ZH）: </w:t>
      </w:r>
      <w:r>
        <w:t>极端降雨（ERF）是最频繁且影响范围最广的严重气象灾害之一，对电力系统具有重大影响。降水的突发性和不可预测性会导致电力消费行为的突变，给准确的电力负荷预测带来重大挑战。卫星图像提供了天气现象的细粒度空间特征，可用于捕捉影响电力需求的降雨模式和轨迹。为此，本文提出了一种基于多模态学习和在线适应的ERF灾害负荷预测方法，以卫星图像和时间序列数据作为输入。该方法不依赖卷积神经网络或Transformer，而是设计了一种新颖的轻量级MLP-Mixer架构。它利用三种Mixer操作——时间混合、token混合和通道混合——来处理序列卫星图像，使所提模型能够同时捕捉局部降雨细节和更广泛的天气动态，同时确保较低的计算成本。随后，设计了一种门控多模态单元，通过学习决定各模态如何影响该单元的激活，从而自适应地融合图像和数值特征的多模态表示。为使模型能够快速适应ERF事件引起的负荷模式变化，进一步开发了基于改进扩展卡尔曼滤波器的在线适应算法，利用新到达的负荷数据动态更新模型参数。基于ERF事件配电网负荷数据的大量实验表明，</w:t>
      </w:r>
    </w:p>
    <w:p>
      <w:pPr>
        <w:spacing w:before="0" w:after="200" w:lineRule="auto" w:line="276"/>
      </w:pPr>
      <w:r>
        <w:rPr>
          <w:b/>
        </w:rPr>
        <w:t xml:space="preserve">Abstract (EN): </w:t>
      </w:r>
      <w:r>
        <w:t>Extreme rainfall (ERF), one of the most frequent and widespread severe weather hazards, has significant impacts on power systems. The sudden and unpredictable nature of precipitation can cause abrupt changes in power consumption behavior, posing significant challenges for accurate electric load forecasting. Satellite images provide fine-grained spatial characteristics of weather phenomena, which can be leveraged to capture rainfall patterns and trajectories that influence power demand. To this end, this paper proposes a multimodal learning and online adaptation-based load forecasting method for ERF disasters by taking both satellite images and time series data as input. Instead of relying on convolutional neural networks or Transformers, a novel lightweight MLP-Mixer architecture is devised. It leverages three types of Mixer operations—time-mixing, token-mixing, and channel-mixing—to process sequential satellite images, which allows the proposed model to capture both local rainfall details and broader weather dynamics while ensuring lower computational costs. Following this, a gated multimodal unit is devised to adaptively fuse multimodal representations of images and numerical features by learning to decide how modalities influence the activation of the unit. To enable the model to rapidly adapt to load pattern changes caused by ERF events, a modified extended Kalman filter-based online adaptation algorithm is further developed to dynamically update model parameters using newly arrived load data. Extensive experiments on distribution network load data from ERF events show that the proposed method achieves superior performance compared to state-of-the-art load forecasting methods.</w:t>
      </w:r>
    </w:p>
    <w:p>
      <w:pPr>
        <w:spacing w:before="120" w:after="120"/>
      </w:pPr>
      <w:r>
        <w:rPr>
          <w:sz w:val="18"/>
        </w:rPr>
        <w:t>——————————————————————————————————————————————————————————————————————</w:t>
      </w:r>
    </w:p>
    <w:p>
      <w:pPr>
        <w:spacing w:before="160" w:after="40" w:line="240" w:lineRule="auto"/>
      </w:pPr>
      <w:r>
        <w:rPr>
          <w:b/>
        </w:rPr>
        <w:t xml:space="preserve">[609] </w:t>
      </w:r>
      <w:hyperlink r:id="rId1510">
        <w:r>
          <w:rPr>
            <w:color w:val="1155CC"/>
            <w:u w:val="single"/>
          </w:rPr>
          <w:t>强度超过1 GPa且稳定性达1000 °C的氮化硼纳米管纤维用于卓越中子屏蔽纺织品</w:t>
        </w:r>
      </w:hyperlink>
    </w:p>
    <w:p>
      <w:pPr>
        <w:spacing w:before="0" w:after="80"/>
      </w:pPr>
      <w:r>
        <w:rPr>
          <w:i/>
          <w:sz w:val="20"/>
        </w:rPr>
        <w:t>EN: Boron nitride nanotube fibers with over 1 GPa strength and 1000 °C stability for exceptional neutron shielding textiles</w:t>
      </w:r>
    </w:p>
    <w:p>
      <w:pPr>
        <w:spacing w:before="0" w:after="120"/>
      </w:pPr>
      <w:r>
        <w:rPr>
          <w:b/>
        </w:rPr>
        <w:t xml:space="preserve">Source: </w:t>
      </w:r>
      <w:r>
        <w:t>Physical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将氮化硼纳米管（BNNTs）集成到用于深空辐射屏蔽的坚固宏观结构中仍然是一项根本性挑战。在此，我们报道了具有80 wt% BNNT负载的连续自组装全纳米管（SAAN）纤维，其抗拉强度超过1 GPa，并具有从−196至1200 °C的极端热稳定性。这些纤维源于BNNTs与碳纳米管（CNTs）在溶致液晶中间相中的热力学共组装。这种剪切响应性纺丝原液在湿法纺丝过程中实现了协同重取向和致密的纳米管堆砌。当组装成宏观织物时，SAAN表现出2.85 mm−1的优异热中子衰减系数。此外，计算模拟表明这些轻质织物能够有效缓解银河宇宙射线（GCR）散裂产生的高穿透性二次热中子。展示了其无缝集成到商用2D平面和3D管状纺织制造工艺中，这种纳米制造方法为舱内（IVA）和舱外（EVA）活动的太空辐射屏蔽提供了一种可扩展且可靠的策略。</w:t>
      </w:r>
    </w:p>
    <w:p>
      <w:pPr>
        <w:spacing w:before="0" w:after="200" w:lineRule="auto" w:line="276"/>
      </w:pPr>
      <w:r>
        <w:rPr>
          <w:b/>
        </w:rPr>
        <w:t xml:space="preserve">Abstract (EN): </w:t>
      </w:r>
      <w:r>
        <w:t>Integrating boron nitride nanotubes (BNNTs) into robust macroscopic architectures for deep space radiation shielding remains a fundamental challenge. Here, we report continuous self-assembled all-nanotube (SAAN) fibers with an 80 wt% BNNT loading, combining tensile strength exceeding 1 GPa with extreme thermal stability from −196 to 1200 °C. These fibers originate from the thermodynamic co-assembly of BNNTs and carbon nanotubes (CNTs) into a lyotropic liquid crystalline mesophase. This shear-responsive dope enables cooperative reorientation and dense nanotube packing during wet-spinning. When assembled into macroscopic textiles, SAAN exhibits an exceptional thermal neutron attenuation coefficient of 2.85 mm−1. Furthermore, computational simulations indicate these lightweight textiles can effectively mitigate highly penetrating secondary thermal neutrons generated by Galactic Cosmic Ray (GCR) spallation. Demonstrating their seamless integration into commercial 2D flat and 3D tubular textile manufacturing processes, this nanomanufacturing approach provides a scalable and reliable strategy for space radiation shielding in both intravehicular (IVA) and extravehicular (EVA) activities.</w:t>
      </w:r>
    </w:p>
    <w:p>
      <w:pPr>
        <w:spacing w:before="120" w:after="120"/>
      </w:pPr>
      <w:r>
        <w:rPr>
          <w:sz w:val="18"/>
        </w:rPr>
        <w:t>——————————————————————————————————————————————————————————————————————</w:t>
      </w:r>
    </w:p>
    <w:p>
      <w:pPr>
        <w:spacing w:before="160" w:after="40" w:line="240" w:lineRule="auto"/>
      </w:pPr>
      <w:r>
        <w:rPr>
          <w:b/>
        </w:rPr>
        <w:t xml:space="preserve">[610] </w:t>
      </w:r>
      <w:hyperlink r:id="rId1511">
        <w:r>
          <w:rPr>
            <w:color w:val="1155CC"/>
            <w:u w:val="single"/>
          </w:rPr>
          <w:t>集成ESS、PV和EV的铁路枢纽柔性牵引变电所功率管理与控制</w:t>
        </w:r>
      </w:hyperlink>
    </w:p>
    <w:p>
      <w:pPr>
        <w:spacing w:before="0" w:after="80"/>
      </w:pPr>
      <w:r>
        <w:rPr>
          <w:i/>
          <w:sz w:val="20"/>
        </w:rPr>
        <w:t>EN: Power Management and Control for Flexible Traction Substation in Railway Hub Integrated With ESS, PV, and EV</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12">
        <w:r>
          <w:rPr>
            <w:color w:val="1155CC"/>
            <w:u w:val="single"/>
          </w:rPr>
          <w:t>10.1109/tsg.2026.3706383</w:t>
        </w:r>
      </w:hyperlink>
    </w:p>
    <w:p>
      <w:pPr>
        <w:spacing w:before="0" w:after="120"/>
      </w:pPr>
      <w:r>
        <w:rPr>
          <w:b/>
        </w:rPr>
        <w:t xml:space="preserve">Notes: </w:t>
      </w:r>
      <w:r>
        <w:t>abstract_source=semanticscholar</w:t>
      </w:r>
    </w:p>
    <w:p>
      <w:pPr>
        <w:spacing w:before="0" w:after="80" w:lineRule="auto" w:line="276"/>
      </w:pPr>
      <w:r>
        <w:rPr>
          <w:b/>
        </w:rPr>
        <w:t xml:space="preserve">摘要（ZH）: </w:t>
      </w:r>
      <w:r>
        <w:t>将储能系统（ESS）、光伏（PV）和电动汽车（EVs）集成到铁路枢纽中，以实现柔性牵引变电所（FTSS），从而实现能源供应脱碳并提高能源效率，这具有广阔前景。然而，FTSS的性能在很大程度上取决于复杂且动态运行条件下的潮流管理和控制。为解决这一问题，提出了一种集中式潮流控制策略，该策略综合了联合有功-无功功率管理策略（PMS）和基于主从结构的变流器控制策略。所提出的PMS在中央控制器中执行，通过采用联合有功和无功功率指令生成算法来确定变流器的实时功率指令。具体而言，构建了两阶段线性优化问题以优化有功功率指令，从而最大化再生制动能量（RBE）和光伏能量的利用。随后，基于剩余变流器容量计算无功功率指令，以改善牵引供电系统和铁路配电系统的电能质量。基于中央控制器的功率指令，主从控制协调各变流器的本地控制器以实现潮流控制。通过实验以及基于实际负荷数据的评估与比较，验证了所提方法的有效性和优越性。此外，还从能源交易机制和应用场景的角度讨论了所提方法的实施。</w:t>
      </w:r>
    </w:p>
    <w:p>
      <w:pPr>
        <w:spacing w:before="0" w:after="200" w:lineRule="auto" w:line="276"/>
      </w:pPr>
      <w:r>
        <w:rPr>
          <w:b/>
        </w:rPr>
        <w:t xml:space="preserve">Abstract (EN): </w:t>
      </w:r>
      <w:r>
        <w:t>It is promising to integrate the energy storage system (ESS), photovoltaic (PV), and electric vehicles (EVs) into the railway hub to achieve a flexible traction substation (FTSS) for decarbonizing the energy supply and enhancing the energy efficiency. However, the FTSS performance heavily depends on power flow management and control under complex and dynamic operating conditions. To address this issue, a centralized power flow control strategy synthesizing a joint active and reactive power management strategy (PMS) and a master-slave-based converter control strategy is proposed. The proposed PMS is executed in a central controller to determine the real-time power commands for converters by employing a joint active and reactive power command generation algorithm. Specifically, a two-stage linear optimization problem is formulated to optimize active power commands so that the utilization of regenerative braking energy (RBE) and PV energy can be maximized. Subsequently, reactive power commands are calculated based on the residual converter capacities to improve the power quality of the traction power system and railway distribution system. Based on the power commands from the central controller, the master-slave control coordinates the local controllers of converters for power flow control. The efficacy and superiority of the proposed method are demonstrated through experiment and field load data-based evaluation and comparison. Besides, the implementation of the proposed method is discussed from the energy trading mechanism and application scenario.</w:t>
      </w:r>
    </w:p>
    <w:p>
      <w:pPr>
        <w:spacing w:before="120" w:after="120"/>
      </w:pPr>
      <w:r>
        <w:rPr>
          <w:sz w:val="18"/>
        </w:rPr>
        <w:t>——————————————————————————————————————————————————————————————————————</w:t>
      </w:r>
    </w:p>
    <w:p>
      <w:pPr>
        <w:spacing w:before="160" w:after="40" w:line="240" w:lineRule="auto"/>
      </w:pPr>
      <w:r>
        <w:rPr>
          <w:b/>
        </w:rPr>
        <w:t xml:space="preserve">[611] </w:t>
      </w:r>
      <w:hyperlink r:id="rId1513">
        <w:r>
          <w:rPr>
            <w:color w:val="1155CC"/>
            <w:u w:val="single"/>
          </w:rPr>
          <w:t>在扭转双层MoS2中构筑莫尔势以实现选择性单分子传感</w:t>
        </w:r>
      </w:hyperlink>
    </w:p>
    <w:p>
      <w:pPr>
        <w:spacing w:before="0" w:after="80"/>
      </w:pPr>
      <w:r>
        <w:rPr>
          <w:i/>
          <w:sz w:val="20"/>
        </w:rPr>
        <w:t>EN: Engineering moiré potentials in twisted bilayer MoS2 for selective single-molecule sensing</w:t>
      </w:r>
    </w:p>
    <w:p>
      <w:pPr>
        <w:spacing w:before="0" w:after="120"/>
      </w:pPr>
      <w:r>
        <w:rPr>
          <w:b/>
        </w:rPr>
        <w:t xml:space="preserve">Source: </w:t>
      </w:r>
      <w:r>
        <w:t>Physical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扭曲双层MoS2构建了一个量子工程化的传感平台，其中莫尔超晶格为分子操控创造了可配置的表面势。在此，我们通过扭转角调控在双层MoS2中呈现出周期性调制的势场，并将其用于分子捕获和选择性传感。固有的54 meV莫尔势将芳香族分子（如罗丹明6G，R6G；亚甲基蓝，MB）限制在AA堆叠位点。引入扩展空位将限制深度增至238 meV，增强了吸附。扭转角可实现与分子的能带对齐，驱动电荷转移共振。这一集成设计——莫尔势、缺陷增强捕获和能带对齐电荷转移——协同放大拉曼信号，实现了低至10−20 M的单分子灵敏度。重要的是，该平台表现出分子特异性选择性：R6G在10°和50°双层MoS2上检测效果最佳，而MB在15°和45°时产生响应，展示了分子识别的扭转角编码。我们的具有扩展空位的扭曲MoS2确立了莫尔体系作为选择性分子传感的多功能平台。</w:t>
      </w:r>
    </w:p>
    <w:p>
      <w:pPr>
        <w:spacing w:before="0" w:after="200" w:lineRule="auto" w:line="276"/>
      </w:pPr>
      <w:r>
        <w:rPr>
          <w:b/>
        </w:rPr>
        <w:t xml:space="preserve">Abstract (EN): </w:t>
      </w:r>
      <w:r>
        <w:t>Twisted bilayer MoS2 forms a quantum-engineered sensing platform, where the moiré superlattice creates a configurable surface potential for molecular control. Here we present a periodically modulated landscape in bilayer MoS2 by twist-angle tuning, and use it for molecular trapping and selective sensing. The native 54 meV moiré potential confines aromatic molecules (e.g., rhodamine 6G, R6G; methylene blue, MB) at AA-stacking sites. Introducing extended vacancies deepens confinement to 238 meV, enhancing adsorption. Twist angle enables band alignment with molecules, driving charge-transfer resonances. This integrated design, moiré potentials, defect-enhanced trapping and band-aligned charge transfer, synergistically amplifies Raman signals, achieving single-molecule sensitivity down to 10−20 M. Importantly, the platform exhibits molecule-specific selectivity: R6G is optimally detected at 10° and 50° bilayer MoS2, while MB responds at 15° and 45°, demonstrating twist-angle encoding of molecular recognition. Our twisted MoS2 with extended vacancies establishes a moiré system as a versatile platform for selective molecular sensing.</w:t>
      </w:r>
    </w:p>
    <w:p>
      <w:pPr>
        <w:spacing w:before="120" w:after="120"/>
      </w:pPr>
      <w:r>
        <w:rPr>
          <w:sz w:val="18"/>
        </w:rPr>
        <w:t>——————————————————————————————————————————————————————————————————————</w:t>
      </w:r>
    </w:p>
    <w:p>
      <w:pPr>
        <w:spacing w:before="160" w:after="40" w:line="240" w:lineRule="auto"/>
      </w:pPr>
      <w:r>
        <w:rPr>
          <w:b/>
        </w:rPr>
        <w:t xml:space="preserve">[612] </w:t>
      </w:r>
      <w:hyperlink r:id="rId1514">
        <w:r>
          <w:rPr>
            <w:color w:val="1155CC"/>
            <w:u w:val="single"/>
          </w:rPr>
          <w:t>基于机器学习分子动力学的气态巨行星内部氢-氦不混溶边界</w:t>
        </w:r>
      </w:hyperlink>
    </w:p>
    <w:p>
      <w:pPr>
        <w:spacing w:before="0" w:after="80"/>
      </w:pPr>
      <w:r>
        <w:rPr>
          <w:i/>
          <w:sz w:val="20"/>
        </w:rPr>
        <w:t>EN: Hydrogen-helium immiscibility boundary in gas-giant planetary interiors from machine-learning molecular dynamics</w:t>
      </w:r>
    </w:p>
    <w:p>
      <w:pPr>
        <w:spacing w:before="0" w:after="120"/>
      </w:pPr>
      <w:r>
        <w:rPr>
          <w:b/>
        </w:rPr>
        <w:t xml:space="preserve">Source: </w:t>
      </w:r>
      <w:r>
        <w:t>Physical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氢-氦（H/He）不混溶边界的位置决定了氦雨是否发生以及在巨行星中的发生位置，但由于高压实验极具挑战性，且从头算模拟在体系尺寸和模拟时间上受限，该边界仍不确定。我们通过基于三种密度泛函近似（PBE、vdW-DF和杂化泛函HSE）训练的机器学习势驱动的大规模分子动力学计算成分相关的化学势，从而绘制了该边界。在100-1000 GPa的压力范围内，相分离温度通常比以往使用小体系尺寸的从头算模拟低约2000 K，且这一差异大于所选密度泛函、机器学习势、忽略核量子效应以及统计不确定性所带来的估计误差。将H/He混合自由能拟合到Redlich-Kister正规溶液模型，可合理解释相分离的热力学驱动力，并对该边界提供了预测性描述。与当前行星内部结构剖面的比较表明，氦雨在土星中是可能的，但在木星较温暖的内部则不太可能发生。我们的结果缩小了H/He不混溶边界的不确定性，并为耦合巨行星中相分离、热传输和成分梯度的行星模型提供了输入。</w:t>
      </w:r>
    </w:p>
    <w:p>
      <w:pPr>
        <w:spacing w:before="0" w:after="200" w:lineRule="auto" w:line="276"/>
      </w:pPr>
      <w:r>
        <w:rPr>
          <w:b/>
        </w:rPr>
        <w:t xml:space="preserve">Abstract (EN): </w:t>
      </w:r>
      <w:r>
        <w:t>The location of the hydrogen-helium (H/He) immiscibility boundary controls whether and where helium rain occurs in giant planets, yet it remains uncertain because high-pressure experiments are challenging and ab initio simulations are limited in system size and simulation time. We map this boundary by computing composition-dependent chemical potentials from large-scale molecular dynamics driven by machine learning potentials trained on three density functional approximations (PBE, vdW-DF, and the hybrid HSE). Across the pressure range of 100-1000 GPa, the demixing temperatures are typically ~ 2000 K lower than previous ab initio simulations using small system sizes, and this discrepancy is larger than the estimated error from the chosen density functionals, machine learning potentials, neglect of nuclear quantum effects, and statistical uncertainties. Fitting the H/He mixing free energy to a Redlich-Kister regular solution model rationalizes the thermodynamic driving force for phase separation, and provides a predictive representation of the boundary. Comparing with current planetary interior profiles indicates that helium rain is plausible in Saturn but unlikely in the warmer interior of Jupiter. Our results narrow the uncertainty in the H/He immiscibility boundary and provide inputs for planetary models that couple demixing, heat transport, and composition gradients in gas giants.</w:t>
      </w:r>
    </w:p>
    <w:p>
      <w:pPr>
        <w:spacing w:before="120" w:after="120"/>
      </w:pPr>
      <w:r>
        <w:rPr>
          <w:sz w:val="18"/>
        </w:rPr>
        <w:t>——————————————————————————————————————————————————————————————————————</w:t>
      </w:r>
    </w:p>
    <w:p>
      <w:pPr>
        <w:spacing w:before="160" w:after="40" w:line="240" w:lineRule="auto"/>
      </w:pPr>
      <w:r>
        <w:rPr>
          <w:b/>
        </w:rPr>
        <w:t xml:space="preserve">[613] </w:t>
      </w:r>
      <w:hyperlink r:id="rId1515">
        <w:r>
          <w:rPr>
            <w:color w:val="1155CC"/>
            <w:u w:val="single"/>
          </w:rPr>
          <w:t>基于PCET–HAT接力反应的烯烃自由基亚磺酰胺化</w:t>
        </w:r>
      </w:hyperlink>
    </w:p>
    <w:p>
      <w:pPr>
        <w:spacing w:before="0" w:after="80"/>
      </w:pPr>
      <w:r>
        <w:rPr>
          <w:i/>
          <w:sz w:val="20"/>
        </w:rPr>
        <w:t>EN: Radical Sulfinamidation of Alkenes Enabled by a PCET–HAT Relay</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16">
        <w:r>
          <w:rPr>
            <w:color w:val="1155CC"/>
            <w:u w:val="single"/>
          </w:rPr>
          <w:t>10.1002/anie.2451961</w:t>
        </w:r>
      </w:hyperlink>
    </w:p>
    <w:p>
      <w:pPr>
        <w:spacing w:before="0" w:after="120"/>
      </w:pPr>
      <w:r>
        <w:rPr>
          <w:b/>
        </w:rPr>
        <w:t xml:space="preserve">Notes: </w:t>
      </w:r>
      <w:r>
        <w:t>abstract_source=crossref</w:t>
      </w:r>
    </w:p>
    <w:p>
      <w:pPr>
        <w:spacing w:before="0" w:after="80" w:lineRule="auto" w:line="276"/>
      </w:pPr>
      <w:r>
        <w:rPr>
          <w:b/>
        </w:rPr>
        <w:t xml:space="preserve">摘要（ZH）: </w:t>
      </w:r>
      <w:r>
        <w:t>摘要 亚磺酰胺及相关硫(VI)结构单元在生物活性分子中广泛存在；然而，它们在烯烃上的直接引入传统上依赖于Lewis酸或过渡金属介导的双电子途径，最近的进展则以光诱导单电子过程为主。在此，我们报道了一种无需金属和光的烯烃自由基亚磺酰胺化反应，该反应通过由质子耦合电子转移-氢原子转移（PCET-HAT）接力实现的自由基链机制进行，并由痕量氧引发。该转化在操作简单的条件下进行，能够快速获得结构多样的亚磺酰胺，具有广泛的底物范围和优异的官能团耐受性。通过复杂天然产物和药物分子的后期官能化展示了该策略的合成实用性。结合实验研究和密度泛函理论计算的机理研究揭示了一个PCET引发的自由基链过程，其中HAT事件传递反应性以产生亚磺酰自由基，这解释了反应的高效性和高选择性。这项工作为烯烃亚磺酰胺化建立了一个机理上独特的平台，并凸显了PCET-HAT接力实现的自由基链过程在合成化学中的潜力。</w:t>
      </w:r>
    </w:p>
    <w:p>
      <w:pPr>
        <w:spacing w:before="0" w:after="200" w:lineRule="auto" w:line="276"/>
      </w:pPr>
      <w:r>
        <w:rPr>
          <w:b/>
        </w:rPr>
        <w:t xml:space="preserve">Abstract (EN): </w:t>
      </w:r>
      <w:r>
        <w:t>Sulfinamides and related sulfur(VI) motifs are widely represented in bioactive molecules; however, their direct installation onto alkenes has traditionally relied on Lewis acid‐ or transition metal‐mediated two‐electron pathways, with more recent advances dominated by photoinduced single‐electron processes. Here, we report a metal‐ and light‐free radical sulfinamidation of alkenes that proceeds through a radical chain mechanism enabled by a proton‐coupled electron transfer–hydrogen atom transfer (PCET–HAT) relay, initiated by trace amounts of oxygen. This transformation operates under operationally simple conditions, enabling rapid access to structurally diverse sulfinamides with broad substrate scope and excellent functional group tolerance. The synthetic utility of this strategy is demonstrated by the late‐stage functionalization of complex natural products and drug molecules. Mechanistic investigations combining experimental studies and density functional theory calculations reveal a PCET‐initiated radical chain process in which a HAT event relays reactivity to generate sulfinyl radicals, accounting for the high efficiency and selectivity of the reaction. This work establishes a mechanistically distinct platform for alkene sulfinamidation and highlights the potential of radical chain processes enabled by PCET–HAT relays in synthetic chemistry.</w:t>
      </w:r>
    </w:p>
    <w:p>
      <w:pPr>
        <w:spacing w:before="120" w:after="120"/>
      </w:pPr>
      <w:r>
        <w:rPr>
          <w:sz w:val="18"/>
        </w:rPr>
        <w:t>——————————————————————————————————————————————————————————————————————</w:t>
      </w:r>
    </w:p>
    <w:p>
      <w:pPr>
        <w:spacing w:before="160" w:after="40" w:line="240" w:lineRule="auto"/>
      </w:pPr>
      <w:r>
        <w:rPr>
          <w:b/>
        </w:rPr>
        <w:t xml:space="preserve">[614] </w:t>
      </w:r>
      <w:hyperlink r:id="rId1517">
        <w:r>
          <w:rPr>
            <w:color w:val="1155CC"/>
            <w:u w:val="single"/>
          </w:rPr>
          <w:t>作为肽组装体自分类、活性生长与压电响应分子线索的间隔基长度</w:t>
        </w:r>
      </w:hyperlink>
    </w:p>
    <w:p>
      <w:pPr>
        <w:spacing w:before="0" w:after="80"/>
      </w:pPr>
      <w:r>
        <w:rPr>
          <w:i/>
          <w:sz w:val="20"/>
        </w:rPr>
        <w:t>EN: Spacer Length as a Molecular Cue for Self‐Sorting, Living Growth, and Piezoresponse in Peptide Assemblies</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18">
        <w:r>
          <w:rPr>
            <w:color w:val="1155CC"/>
            <w:u w:val="single"/>
          </w:rPr>
          <w:t>10.1002/anie.4984465</w:t>
        </w:r>
      </w:hyperlink>
    </w:p>
    <w:p>
      <w:pPr>
        <w:spacing w:before="0" w:after="120"/>
      </w:pPr>
      <w:r>
        <w:rPr>
          <w:b/>
        </w:rPr>
        <w:t xml:space="preserve">Notes: </w:t>
      </w:r>
      <w:r>
        <w:t>abstract_source=crossref</w:t>
      </w:r>
    </w:p>
    <w:p>
      <w:pPr>
        <w:spacing w:before="0" w:after="80" w:lineRule="auto" w:line="276"/>
      </w:pPr>
      <w:r>
        <w:rPr>
          <w:b/>
        </w:rPr>
        <w:t xml:space="preserve">摘要（ZH）: </w:t>
      </w:r>
      <w:r>
        <w:t>摘要 超分子聚合为构建结构精确、功能复杂的材料提供了强有力的途径；然而，实现可控的多组分组装和涌现功能仍然是一项根本性挑战。在本研究中，我们发现双脲基序之间亚甲基间隔基长度的微小变化可以编码肽两亲分子的自组装行为。Cy3和Cy5标记的肽经成核-延伸驱动的组装形成具有间隔基依赖性二级结构的纳米纤维。FRET和超分辨显微镜表明，相同的间隔基促进随机共组装，而即使单个亚甲基的不匹配也会诱导高保真自分选。预形成的纤维表现出可忽略的单体交换，表明其为非平衡组装体。利用这一点，种子超分子聚合可获得分散度低且具有空间分辨域的嵌段共聚物。此外，间隔基长度和奇偶性可调节偶极排列，实现依赖间隔基长度的压电响应。总之，这些发现展示了微妙的分子设计参数如何作为分子线索来编程多组分超分子聚合，为设计区室化功能性生物材料和超分子生物电子系统提供了新机遇。</w:t>
      </w:r>
    </w:p>
    <w:p>
      <w:pPr>
        <w:spacing w:before="0" w:after="200" w:lineRule="auto" w:line="276"/>
      </w:pPr>
      <w:r>
        <w:rPr>
          <w:b/>
        </w:rPr>
        <w:t xml:space="preserve">Abstract (EN): </w:t>
      </w:r>
      <w:r>
        <w:t>Supramolecular polymerization offers a powerful route to structurally precise and functionally complex materials; however, achieving controlled multicomponent assembly and emergent functionality remains a fundamental challenge. In this study, we show that minimal variations in methylene spacer length between bisurea motifs encode the self‐assembly behavior of peptide amphiphiles. Cy3‐ and Cy5‐labeled peptides undergo nucleation‐elongation‐driven assembly into nanofibers with spacer‐dependent secondary structures. FRET and super‐resolution microscopy reveal that identical spacers promote random co‐assembly, whereas even a single methylene mismatch induces high‐fidelity self‐sorting. Pre‐formed fibers exhibit negligible monomer exchange, indicating nonequilibrium assemblies. Leveraging this, seeded supramolecular polymerization affords well‐defined block copolymers with low dispersity and spatially resolved domains. Furthermore, spacer length and odd‐even parity modulate dipolar alignment, enabling spacer length‐dependent piezoresponse. Collectively, these findings demonstrate how subtle molecular design parameters act as a molecular cue to program multicomponent supramolecular polymerization, offering new opportunities for designing compartmentalized, functional biomaterials and supramolecular bioelectronic systems.</w:t>
      </w:r>
    </w:p>
    <w:p>
      <w:pPr>
        <w:spacing w:before="120" w:after="120"/>
      </w:pPr>
      <w:r>
        <w:rPr>
          <w:sz w:val="18"/>
        </w:rPr>
        <w:t>——————————————————————————————————————————————————————————————————————</w:t>
      </w:r>
    </w:p>
    <w:p>
      <w:pPr>
        <w:spacing w:before="160" w:after="40" w:line="240" w:lineRule="auto"/>
      </w:pPr>
      <w:r>
        <w:rPr>
          <w:b/>
        </w:rPr>
        <w:t xml:space="preserve">[615] </w:t>
      </w:r>
      <w:hyperlink r:id="rId1519">
        <w:r>
          <w:rPr>
            <w:color w:val="1155CC"/>
            <w:u w:val="single"/>
          </w:rPr>
          <w:t>变革性的掩蔽邻苯醌化学：从愈创木酚直接活化到木质素基胶粘剂</w:t>
        </w:r>
      </w:hyperlink>
    </w:p>
    <w:p>
      <w:pPr>
        <w:spacing w:before="0" w:after="80"/>
      </w:pPr>
      <w:r>
        <w:rPr>
          <w:i/>
          <w:sz w:val="20"/>
        </w:rPr>
        <w:t>EN: Transformative Masked Ortho‐Quinone Chemistry: From Direct Guaiacol Activation to Lignin‐Based Adhesives</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20">
        <w:r>
          <w:rPr>
            <w:color w:val="1155CC"/>
            <w:u w:val="single"/>
          </w:rPr>
          <w:t>10.1002/anie.5604332</w:t>
        </w:r>
      </w:hyperlink>
    </w:p>
    <w:p>
      <w:pPr>
        <w:spacing w:before="0" w:after="120"/>
      </w:pPr>
      <w:r>
        <w:rPr>
          <w:b/>
        </w:rPr>
        <w:t xml:space="preserve">Notes: </w:t>
      </w:r>
      <w:r>
        <w:t>abstract_source=crossref</w:t>
      </w:r>
    </w:p>
    <w:p>
      <w:pPr>
        <w:spacing w:before="0" w:after="80" w:lineRule="auto" w:line="276"/>
      </w:pPr>
      <w:r>
        <w:rPr>
          <w:b/>
        </w:rPr>
        <w:t xml:space="preserve">摘要（ZH）: </w:t>
      </w:r>
      <w:r>
        <w:t>摘要 愈创木酚结构单元（1-羟基-2-甲氧基苯）是可再生生物酚类原料中最丰富的结构单元之一，通过生物炼制增值化代表了来自软木木质素的潜在工业规模原料流。在此，我们引入了掩蔽邻醌（MoQs）的变革性化学，生成高活性愈创木酚衍生物以制备硫醇-愈创木酚连接（TGC）聚合物。Phenyliodine(III)diacetate（PIDA）可在室温下数分钟内将愈创木酚氧化为化学纯的MoQs，生成活性的三愈创木酚单体，该单体可与多硫醇发生硫醇-MoQ Michael型聚加成反应。这种本体聚合得到TGC胶粘剂，其搭接剪切强度高达16.9 ± 0.9 MPa，达到专业应用性能。该稳健策略可扩展至直接活化工业木质素，生成可固化多MoQ预聚物，其粘接铝材的搭接剪切强度为9.1 ± 0.7 MPa，确立了MoQs作为连接木质素与高性能材料的可持续平台化学。</w:t>
      </w:r>
    </w:p>
    <w:p>
      <w:pPr>
        <w:spacing w:before="0" w:after="200" w:lineRule="auto" w:line="276"/>
      </w:pPr>
      <w:r>
        <w:rPr>
          <w:b/>
        </w:rPr>
        <w:t xml:space="preserve">Abstract (EN): </w:t>
      </w:r>
      <w:r>
        <w:t>Guaiacol moieties (1‐hydroxy‐2‐methoxy‐benzenes) are among the most abundant structural motifs in renewable biophenolic feedstocks, representing a potential industrial‐scale stream from softwood lignin through biorefinery valorization. Here, the transformative chemistry of masked ortho‐quinones (MoQs) is introduced, yielding reactive guaiacol derivatives to enable thiol‐guaiacol connectivity (TGC) polymers. Phenyliodine(III)diacetate (PIDA) oxidizes guaiacols to chemically pure MoQs within minutes at room temperature, generating activated triguaiacol monomers that undergo thiol‐MoQ Michael‐type polyaddition with multithiols. This bulk polymerization leads to TGC‐adhesives, reaching professional performance lap‐shear strengths up to 16.9 ± 0.9 MPa. The robust strategy is extended to directly activate technical lignin, generating curable multi‐MoQ prepolymers which bond aluminum with lap‐shear strengths of 9.1 ± 0.7 MPa, positioning MoQs as a sustainable platform chemistry to bridge from lignin to high‐performance materials.</w:t>
      </w:r>
    </w:p>
    <w:p>
      <w:pPr>
        <w:spacing w:before="120" w:after="120"/>
      </w:pPr>
      <w:r>
        <w:rPr>
          <w:sz w:val="18"/>
        </w:rPr>
        <w:t>——————————————————————————————————————————————————————————————————————</w:t>
      </w:r>
    </w:p>
    <w:p>
      <w:pPr>
        <w:spacing w:before="160" w:after="40" w:line="240" w:lineRule="auto"/>
      </w:pPr>
      <w:r>
        <w:rPr>
          <w:b/>
        </w:rPr>
        <w:t xml:space="preserve">[616] </w:t>
      </w:r>
      <w:hyperlink r:id="rId1521">
        <w:r>
          <w:rPr>
            <w:color w:val="1155CC"/>
            <w:u w:val="single"/>
          </w:rPr>
          <w:t>位点特异性分子工程重定向自由基路径实现甲烷选择性光催化偶联制C 2+烃</w:t>
        </w:r>
      </w:hyperlink>
    </w:p>
    <w:p>
      <w:pPr>
        <w:spacing w:before="0" w:after="80"/>
      </w:pPr>
      <w:r>
        <w:rPr>
          <w:i/>
          <w:sz w:val="20"/>
        </w:rPr>
        <w:t>EN: Site‐Specific Molecular Engineering Redirects Radical Pathways for Selective Photocatalytic Coupling of Methane to C 2+ Hydrocarbons</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22">
        <w:r>
          <w:rPr>
            <w:color w:val="1155CC"/>
            <w:u w:val="single"/>
          </w:rPr>
          <w:t>10.1002/anie.6847901</w:t>
        </w:r>
      </w:hyperlink>
    </w:p>
    <w:p>
      <w:pPr>
        <w:spacing w:before="0" w:after="120"/>
      </w:pPr>
      <w:r>
        <w:rPr>
          <w:b/>
        </w:rPr>
        <w:t xml:space="preserve">Notes: </w:t>
      </w:r>
      <w:r>
        <w:t>abstract_source=crossref</w:t>
      </w:r>
    </w:p>
    <w:p>
      <w:pPr>
        <w:spacing w:before="0" w:after="80" w:lineRule="auto" w:line="276"/>
      </w:pPr>
      <w:r>
        <w:rPr>
          <w:b/>
        </w:rPr>
        <w:t xml:space="preserve">摘要（ZH）: </w:t>
      </w:r>
      <w:r>
        <w:t>摘要 迈向碳中和，通过光驱动CH4氧化偶联（POCM）合成多碳产物仍是一项艰巨挑战，其原因在于活性—选择性权衡，根源在于缓慢的表面反应动力学和不可控的活性自由基反应。本文将烷基硫醇（C9SH）位点特异性地接枝到负载于平面TiO2上的Au位点上，构建了具有共价金—硫醇盐相互作用的典型C9S‐Auδ+/Au/TiO2体系。实验与理论分析相结合表明，共价Au—硫醇盐相互作用可调控界面电子结构并使Au位的d带中心上移，从而增强*CH3吸附并降低C─C偶联能垒，进而抑制由·O2−驱动的过度氧化。此外，重构的C9S‐Auδ+位点作为快速电子抽取通道，从相邻Au纳米颗粒中抽取电子，并保持长寿命的光生空穴用于C─H活化。同时，烷基链充当“分子栅栏”，有效促进局部CH4富集并稳定*CH3中间体。优化后的C9S‐Auδ+/Au/TiO2光催化剂对C2+产物表现出22.92 mmol gcat−1 h−1的优异产率和93.9%的选择性，跻身最先进的POCM贵金属负载光催化剂之列。这项工作确立了位点特异性分子工程作为调控界面电荷重分布和重塑自由基偶联路径的有效策略，实现CH4向多碳产物的转化</w:t>
      </w:r>
    </w:p>
    <w:p>
      <w:pPr>
        <w:spacing w:before="0" w:after="200" w:lineRule="auto" w:line="276"/>
      </w:pPr>
      <w:r>
        <w:rPr>
          <w:b/>
        </w:rPr>
        <w:t xml:space="preserve">Abstract (EN): </w:t>
      </w:r>
      <w:r>
        <w:t>Toward carbon neutrality, multi‐carbon synthesis from photo‐driven oxidative coupling of CH 4 (POCM) remains a formidable challenge due to the activity‐selectivity trade‐off, originating from sluggish surface reaction kinetics and uncontrolled reactive radical reactions. Herein, alkyl thiols (C 9 SH) were site‑specifically grafted onto Au sites supported on planar TiO 2 , forming the archetypal C 9 S‐Au δ+ /Au/TiO 2 system featuring covalent gold‐thiolate interplay. Combined experimental and theoretical analyses revealed that covalent Au‐thiolate interaction could modulate the interfacial electronic structure and upshift the d ‑band center of Au sites, thereby strengthening *CH 3 adsorption and lowering the C─C coupling barrier, thus suppressing the · O 2 − ‐driven overoxidation. Moreover, the reconstructed C 9 S‐Au δ+ sites acted as rapid electron extraction channels, drawing electrons from adjacent Au nanoparticles and preserving long‐lived photogenerated holes for C─H activation. Meanwhile, the alkyl chains served as “molecular fences”, effectively promoting local CH 4 enrichment and stabilizing *CH 3 intermediates. The optimized C 9 S‐Au δ+ /Au/TiO 2 photocatalyst exhibited an excellent yield of 22.92 mmol g cat −1 h −1 for C 2+ products with 93.9% selectivity, ranking it among the state‐of‐the‐art noble‐metal‐loaded photocatalysts for POCM. This work establishes site‐specific molecular engineering as an effective strategy to regulate interfacial charge redistribution and redirect radical coupling pathways, enabling CH 4 conversion to multi‐carbon products with enhanced activity and selectivity simultaneously.</w:t>
      </w:r>
    </w:p>
    <w:p>
      <w:pPr>
        <w:spacing w:before="120" w:after="120"/>
      </w:pPr>
      <w:r>
        <w:rPr>
          <w:sz w:val="18"/>
        </w:rPr>
        <w:t>——————————————————————————————————————————————————————————————————————</w:t>
      </w:r>
    </w:p>
    <w:p>
      <w:pPr>
        <w:spacing w:before="160" w:after="40" w:line="240" w:lineRule="auto"/>
      </w:pPr>
      <w:r>
        <w:rPr>
          <w:b/>
        </w:rPr>
        <w:t xml:space="preserve">[617] </w:t>
      </w:r>
      <w:hyperlink r:id="rId1523">
        <w:r>
          <w:rPr>
            <w:color w:val="1155CC"/>
            <w:u w:val="single"/>
          </w:rPr>
          <w:t>用于增强二次谐波产生的手性三角锥形卤化锗</w:t>
        </w:r>
      </w:hyperlink>
    </w:p>
    <w:p>
      <w:pPr>
        <w:spacing w:before="0" w:after="80"/>
      </w:pPr>
      <w:r>
        <w:rPr>
          <w:i/>
          <w:sz w:val="20"/>
        </w:rPr>
        <w:t>EN: Chiral Trigonal Pyramidal Germanium Halides for Enhanced Second Harmonic Generation</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24">
        <w:r>
          <w:rPr>
            <w:color w:val="1155CC"/>
            <w:u w:val="single"/>
          </w:rPr>
          <w:t>10.1002/anie.8413238</w:t>
        </w:r>
      </w:hyperlink>
    </w:p>
    <w:p>
      <w:pPr>
        <w:spacing w:before="0" w:after="120"/>
      </w:pPr>
      <w:r>
        <w:rPr>
          <w:b/>
        </w:rPr>
        <w:t xml:space="preserve">Notes: </w:t>
      </w:r>
      <w:r>
        <w:t>abstract_source=crossref</w:t>
      </w:r>
    </w:p>
    <w:p>
      <w:pPr>
        <w:spacing w:before="0" w:after="80" w:lineRule="auto" w:line="276"/>
      </w:pPr>
      <w:r>
        <w:rPr>
          <w:b/>
        </w:rPr>
        <w:t xml:space="preserve">摘要（ZH）: </w:t>
      </w:r>
      <w:r>
        <w:t>摘要 手性有机—无机杂化金属卤化物是二阶非线性光学（NLO）材料的极具前景的候选者。然而，其NLO性能在根本上受限于传统伪八面体配位固有的有限结构极化。在本工作中，我们证明了利用高极性三配位三角锥克服八面体笼的热力学限制的可行性，实现从对称六配位向离散结构的转变，从而增强二次谐波产生（SHG）。通过引入具有内在立体化学活性的手性R/S‐1,2,3,4‐四氢‐1‐萘乙胺（R/S‐THNA）阳离子的巨大空间位阻与Ge2+ 4s2孤对电子，我们合成了手性锗卤化物(R/S‐THNA)GeX3（X = Br, I）。晶体学和拓扑分析证实次级Ge···X相互作用完全断裂，产生孤立的[GeX3]−生色团。此外，在过渡偶极矩计算的指导下，通过混合卤素策略构建了(R‐THNA)GeI1.75Br1.25。单晶SHG测量表明，(R‐THNA)GeI1.75Br1.25表现出卓越的响应，分别是(R‐THNA)GeI3和(R‐THNA)GeBr3晶体的1.66倍和9.44倍。在125–150 µm粒径下对(R‐THNA)GeI1.75Br1.25进行的标准Kurtz–Perry测量显示其粉末SHG效率为KH2PO4的3.06倍，在手性锗卤化物中具有高度竞争力。这项工作确立了一种合理的</w:t>
      </w:r>
    </w:p>
    <w:p>
      <w:pPr>
        <w:spacing w:before="0" w:after="200" w:lineRule="auto" w:line="276"/>
      </w:pPr>
      <w:r>
        <w:rPr>
          <w:b/>
        </w:rPr>
        <w:t xml:space="preserve">Abstract (EN): </w:t>
      </w:r>
      <w:r>
        <w:t>Chiral organic–inorganic hybrid metal halides are highly promising candidates for second‐order nonlinear optical (NLO) materials. However, their NLO performance is fundamentally restricted by the limited structural polarization inherent to traditional pseudo‐octahedral coordination. In this work, we demonstrate the feasibility of using highly polar tricoordinate trigonal pyramids to overcome the thermodynamic constraints of the octahedral cages, enabling a structural shift from symmetric hexacoordination to discrete structures, thus enhancing second harmonic generation (SHG). By introducing the massive steric hindrance of the chiral R/S ‐1,2,3,4‐tetrahydro‐1‐naphthylamine ( R/S ‐THNA) cation with the intrinsic stereochemical activity of the Ge 2+ 4 s 2 lone pair, we synthesized chiral germanium halides, ( R/S ‐THNA)GeX 3 (X = Br, I). Crystallographic and topological analyses confirm the complete cleavage of secondary Ge···X interactions, yielding isolated [GeX 3 ] − chromophores. Furthermore, guided by transition dipole moment calculations, ( R ‐THNA)GeI 1.75 Br 1.25 was constructed via a mixed‐halide strategy. Single‐crystal SHG measurements reveal that ( R ‐THNA)GeI 1.75 Br 1.25 achieves an exceptional response, being 1.66 and 9.44 times those of ( R ‐THNA)GeI 3 and ( R ‐THNA)GeBr 3 crystals, respectively. Standard Kurtz–Perry measurements of ( R ‐THNA)GeI 1.75 Br 1.25 at a 125–150 µm particle size reveal a powder SHG efficiency of 3.06 times that of KH 2 PO 4 , representing a highly competitive value in chiral germanium halides. This work establishes a rational paradigm for designing high‐performance NLO materials through precise coordination tailoring.</w:t>
      </w:r>
    </w:p>
    <w:p>
      <w:pPr>
        <w:spacing w:before="120" w:after="120"/>
      </w:pPr>
      <w:r>
        <w:rPr>
          <w:sz w:val="18"/>
        </w:rPr>
        <w:t>——————————————————————————————————————————————————————————————————————</w:t>
      </w:r>
    </w:p>
    <w:p>
      <w:pPr>
        <w:spacing w:before="160" w:after="40" w:line="240" w:lineRule="auto"/>
      </w:pPr>
      <w:r>
        <w:rPr>
          <w:b/>
        </w:rPr>
        <w:t xml:space="preserve">[618] </w:t>
      </w:r>
      <w:hyperlink r:id="rId1525">
        <w:r>
          <w:rPr>
            <w:color w:val="1155CC"/>
            <w:u w:val="single"/>
          </w:rPr>
          <w:t>通过催化配位诱导的不对称加成实现paracyclophyne的去对称氢酰氧基化</w:t>
        </w:r>
      </w:hyperlink>
    </w:p>
    <w:p>
      <w:pPr>
        <w:spacing w:before="0" w:after="80"/>
      </w:pPr>
      <w:r>
        <w:rPr>
          <w:i/>
          <w:sz w:val="20"/>
        </w:rPr>
        <w:t>EN: Desymmetric Hydroacyloxylation of Paracyclophyne by Catalytic Coordination‐Induced Asymmetric Addition</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26">
        <w:r>
          <w:rPr>
            <w:color w:val="1155CC"/>
            <w:u w:val="single"/>
          </w:rPr>
          <w:t>10.1002/anie.1803920</w:t>
        </w:r>
      </w:hyperlink>
    </w:p>
    <w:p>
      <w:pPr>
        <w:spacing w:before="0" w:after="120"/>
      </w:pPr>
      <w:r>
        <w:rPr>
          <w:b/>
        </w:rPr>
        <w:t xml:space="preserve">Notes: </w:t>
      </w:r>
      <w:r>
        <w:t>abstract_source=crossref</w:t>
      </w:r>
    </w:p>
    <w:p>
      <w:pPr>
        <w:spacing w:before="0" w:after="80" w:lineRule="auto" w:line="276"/>
      </w:pPr>
      <w:r>
        <w:rPr>
          <w:b/>
        </w:rPr>
        <w:t xml:space="preserve">摘要（ZH）: </w:t>
      </w:r>
      <w:r>
        <w:t>摘要 应变芳炔是高活性、瞬态且中性的中间体。在不对称催化中对这些物种进行立体选择性操控仍是一项重大挑战。在本研究中，我们报道了一种新的催化铜(I)络合诱导的对芳环炔中间体的不对称加成模式。羧酸盐对芳环炔的直接加成是一种快速的释放应变的反应，通常导致外消旋产物。在引入催化量的手性铜(I)配合物后，开发了一种前所未有的立体收敛性羟基酰氧化反应，以高产率和优异的对映选择性得到平面手性[2.2]对环蕃酯。所得加成产物可通过Fries重排或Friedel–Crafts反应轻松转化为多种官能化羟基‐[2.2]对环蕃。这些是构建官能化平面手性[2.2]对环蕃（PCP）衍生物的重要合成砌块，而目前这些衍生物的制备严重依赖制备型HPLC或经典化学/动力学拆分方法。对照实验和DFT计算表明，铜(I)络合可稳定活性芳炔中间体，并通过六元环过渡态促进随后的不对称亲核加成。</w:t>
      </w:r>
    </w:p>
    <w:p>
      <w:pPr>
        <w:spacing w:before="0" w:after="200" w:lineRule="auto" w:line="276"/>
      </w:pPr>
      <w:r>
        <w:rPr>
          <w:b/>
        </w:rPr>
        <w:t xml:space="preserve">Abstract (EN): </w:t>
      </w:r>
      <w:r>
        <w:t>Strained arynes are highly reactive, transient, and neutral intermediates. Stereoselective manipulation of these species in asymmetric catalysis remains a significant challenge. In this study, we reported a new catalytic copper(I) complexation induced asymmetric addition mode on paracyclophyne intermediate. The direct addition of carboxylates to paracyclophynes is a fast, strain‐releasing reaction that typically leads to racemic products. Upon the introduction of a catalytic amount of a chiral copper(I) complex, an unprecedented stereoconvergent hydroacyloxylation reaction was developed, affording planar chiral [2.2]paracyclophane esters in high yields with excellent enantioselectivity. The resulting addition products can be readily transformed into a variety of functionalized hydroxyl‐[2.2]paracyclophanes via Fries rearrangement or Friedel–Crafts reactions. These are valuable synthetic building blocks for the construction of functionalized planar chiral [2.2]paracyclophane (PCP) derivatives, which currently rely heavily on preparative HPLC or classical chemical/kinetic resolution methods. Control experiments and DFT calculations reveal that copper(I) complexation stabilizes the reactive aryne intermediate and promotes the subsequent asymmetric nucleophilic addition via a six‐membered ring transition state.</w:t>
      </w:r>
    </w:p>
    <w:p>
      <w:pPr>
        <w:spacing w:before="120" w:after="120"/>
      </w:pPr>
      <w:r>
        <w:rPr>
          <w:sz w:val="18"/>
        </w:rPr>
        <w:t>——————————————————————————————————————————————————————————————————————</w:t>
      </w:r>
    </w:p>
    <w:p>
      <w:pPr>
        <w:spacing w:before="160" w:after="40" w:line="240" w:lineRule="auto"/>
      </w:pPr>
      <w:r>
        <w:rPr>
          <w:b/>
        </w:rPr>
        <w:t xml:space="preserve">[619] </w:t>
      </w:r>
      <w:hyperlink r:id="rId1527">
        <w:r>
          <w:rPr>
            <w:color w:val="1155CC"/>
            <w:u w:val="single"/>
          </w:rPr>
          <w:t>大型渔业的衰退与复合及极端气候事件相关</w:t>
        </w:r>
      </w:hyperlink>
    </w:p>
    <w:p>
      <w:pPr>
        <w:spacing w:before="0" w:after="80"/>
      </w:pPr>
      <w:r>
        <w:rPr>
          <w:i/>
          <w:sz w:val="20"/>
        </w:rPr>
        <w:t>EN: Large fisheries declines linked to compound and extreme climate events</w:t>
      </w:r>
    </w:p>
    <w:p>
      <w:pPr>
        <w:spacing w:before="0" w:after="120"/>
      </w:pPr>
      <w:r>
        <w:rPr>
          <w:b/>
        </w:rPr>
        <w:t xml:space="preserve">Source: </w:t>
      </w:r>
      <w:r>
        <w:t>Earth and environmental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极端气候正日益扰乱海洋生态系统和渔业。然而，关于极端海洋温度对鱼类种群和渔业影响的证据尚不一致，且热浪与生产力极端事件的复合影响仍不清楚。利用涵盖254个区域、1246个物种的6659个时间序列的三十年全球数据，我们进行了基于风险的分析，以量化这些物种所暴露的局地极端高温和低海洋生产力（单独及共同作用）如何影响当地渔获量。这些事件，尤其是复合发生时，会急剧增加局地极端低渔获事件的可能性，特别是在热带和亚热带地区。对粮食安全和保护至关重要的物种受到的影响尤为严重，在社会经济脆弱的国家中存在广泛风险。若不采取适应措施，预计极端事件的风险将在21世纪中叶强烈加剧。亟需加强监测和气候响应型渔业管理以增强韧性。</w:t>
      </w:r>
    </w:p>
    <w:p>
      <w:pPr>
        <w:spacing w:before="0" w:after="200" w:lineRule="auto" w:line="276"/>
      </w:pPr>
      <w:r>
        <w:rPr>
          <w:b/>
        </w:rPr>
        <w:t xml:space="preserve">Abstract (EN): </w:t>
      </w:r>
      <w:r>
        <w:t>Climate extremes are increasingly disrupting marine ecosystems and fisheries. However, evidence on extreme ocean temperature effects on fish stocks and fisheries is mixed, and the combined impacts of heat and productivity extremes remain unclear. Using three decades of global data encompassing 6659 time-series for 1246 species across 254 regions, we conduct a risk-based analysis to quantify how local extreme high temperatures and low ocean productivity that these species are exposed to, alone and together, affect local fisheries catches. These events, particularly when compounded, sharply increase the likelihood of local extreme low catch events, especially in tropical and subtropical regions. Species critical to food security and conservation are disproportionately affected, with widespread risks in socio-economically vulnerable countries. Without adaptation, extreme events’ risks are projected to strongly intensify by the mid-21st century. Strengthening monitoring and climate-responsive fisheries management is urgently needed to build resilience.</w:t>
      </w:r>
    </w:p>
    <w:p>
      <w:pPr>
        <w:spacing w:before="120" w:after="120"/>
      </w:pPr>
      <w:r>
        <w:rPr>
          <w:sz w:val="18"/>
        </w:rPr>
        <w:t>——————————————————————————————————————————————————————————————————————</w:t>
      </w:r>
    </w:p>
    <w:p>
      <w:pPr>
        <w:spacing w:before="160" w:after="40" w:line="240" w:lineRule="auto"/>
      </w:pPr>
      <w:r>
        <w:rPr>
          <w:b/>
        </w:rPr>
        <w:t xml:space="preserve">[620] </w:t>
      </w:r>
      <w:hyperlink r:id="rId1528">
        <w:r>
          <w:rPr>
            <w:color w:val="1155CC"/>
            <w:u w:val="single"/>
          </w:rPr>
          <w:t>极地和亚极地陆架海主导海洋热浪期间增强的沿海CO2吸收</w:t>
        </w:r>
      </w:hyperlink>
    </w:p>
    <w:p>
      <w:pPr>
        <w:spacing w:before="0" w:after="80"/>
      </w:pPr>
      <w:r>
        <w:rPr>
          <w:i/>
          <w:sz w:val="20"/>
        </w:rPr>
        <w:t>EN: Polar and subpolar shelf seas dominate enhanced coastal CO2 uptake during marine heatwaves</w:t>
      </w:r>
    </w:p>
    <w:p>
      <w:pPr>
        <w:spacing w:before="0" w:after="120"/>
      </w:pPr>
      <w:r>
        <w:rPr>
          <w:b/>
        </w:rPr>
        <w:t xml:space="preserve">Source: </w:t>
      </w:r>
      <w:r>
        <w:t>Earth and environmental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海洋热浪（MHWs）会扰动海-气CO2通量，但其对全球近海碳汇的累积影响仍知之甚少。利用四个基于观测的CO2通量数据集（优先采用全球近海产品），我们发现1985至2020年间MHWs使全球陆架海的净CO2吸收增强了11.0 ± 1.6%，与开阔大洋吸收减少形成对比。这种增强主要归因于极地和亚极地陆架海，那里频繁的MHWs与海冰消失和溶解无机碳（DIC）的非热力学减少相耦合，抵消并超过了较低纬度、以变暖为主导区域的吸收减少或释气增强。利用全球海洋生物地球化学模型的分析表明，观测到的DIC减少很大程度上与生物固碳增强有关。我们的研究揭示了MHWs对近海碳动态的区域特异性影响，凸显了高纬度陆架系统在持续气候变化下全球碳收支中的关键作用。</w:t>
      </w:r>
    </w:p>
    <w:p>
      <w:pPr>
        <w:spacing w:before="0" w:after="200" w:lineRule="auto" w:line="276"/>
      </w:pPr>
      <w:r>
        <w:rPr>
          <w:b/>
        </w:rPr>
        <w:t xml:space="preserve">Abstract (EN): </w:t>
      </w:r>
      <w:r>
        <w:t>Marine heatwaves (MHWs) perturb air–sea CO2 fluxes, but their cumulative impact on the global coastal carbon sink remains poorly understood. Using four observation-based CO2 flux datasets, with priority given to a global coastal product, we find that MHWs enhance net CO2 uptake in global shelf seas by 11.0 ± 1.6% from 1985 to 2020, in contrast to reduced uptake in the open ocean. The enhancement is largely attributable to polar and subpolar shelf seas, where frequent MHWs coincide with sea-ice loss and non-thermal reductions in dissolved inorganic carbon (DIC), outweighing reduced uptake or enhanced outgassing in lower-latitude, warming-dominated regions. Analysis with a global ocean biogeochemical model suggests that the observed DIC reductions are largely linked to enhanced biological carbon fixation. Our findings reveal region-specific MHW impacts on coastal carbon dynamics, highlighting a critical role of high-latitude shelf systems in the global carbon budget under ongoing climate change.</w:t>
      </w:r>
    </w:p>
    <w:p>
      <w:pPr>
        <w:spacing w:before="120" w:after="120"/>
      </w:pPr>
      <w:r>
        <w:rPr>
          <w:sz w:val="18"/>
        </w:rPr>
        <w:t>——————————————————————————————————————————————————————————————————————</w:t>
      </w:r>
    </w:p>
    <w:p>
      <w:pPr>
        <w:spacing w:before="160" w:after="40" w:line="240" w:lineRule="auto"/>
      </w:pPr>
      <w:r>
        <w:rPr>
          <w:b/>
        </w:rPr>
        <w:t xml:space="preserve">[621] </w:t>
      </w:r>
      <w:hyperlink r:id="rId1529">
        <w:r>
          <w:rPr>
            <w:color w:val="1155CC"/>
            <w:u w:val="single"/>
          </w:rPr>
          <w:t>高阶光子节点环半金属中的反手性铰链态</w:t>
        </w:r>
      </w:hyperlink>
    </w:p>
    <w:p>
      <w:pPr>
        <w:spacing w:before="0" w:after="80"/>
      </w:pPr>
      <w:r>
        <w:rPr>
          <w:i/>
          <w:sz w:val="20"/>
        </w:rPr>
        <w:t>EN: Antichiral hinge states in a higher-order photonic nodal ring semimetal</w:t>
      </w:r>
    </w:p>
    <w:p>
      <w:pPr>
        <w:spacing w:before="0" w:after="120"/>
      </w:pPr>
      <w:r>
        <w:rPr>
          <w:b/>
        </w:rPr>
        <w:t xml:space="preserve">Source: </w:t>
      </w:r>
      <w:r>
        <w:t>Physical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反手性态在相对的边界上沿相同方向传播，违背了边界模式必须抵消净手性的传统约束。先前发现的反手性态仅限于一阶拓扑半金属。然而，反手性棱态——即最近发现的高阶手性棱态的反手性对应物——仍然难以实现。在此，我们报道了在由三维旋磁光子晶体构成的高阶节点环半金属中反手性棱态的观测。近场扫描测量揭示了在两条平行的一维边界上存在一对棱态，它们沿相同方向单向传播，并对金属散射体具有稳健的传输特性。其空间位置可通过增删光子层来重新配置。此外观测到的反手性态和鼓面表面态展示了单一光子系统中一阶和二阶拓扑边界态的层级结构。我们的工作将反手性态拓展到高阶拓扑半金属，并在稳健且可重构的光子路由方面具有潜在应用。</w:t>
      </w:r>
    </w:p>
    <w:p>
      <w:pPr>
        <w:spacing w:before="0" w:after="200" w:lineRule="auto" w:line="276"/>
      </w:pPr>
      <w:r>
        <w:rPr>
          <w:b/>
        </w:rPr>
        <w:t xml:space="preserve">Abstract (EN): </w:t>
      </w:r>
      <w:r>
        <w:t>Antichiral states propagate in the same direction on opposite boundaries, defying the conventional constraint that boundary modes must cancel net chirality. Previously found antichiral states have been limited to first-order topological semimetals. However, antichiral hinge states—the antichiral counterpart of recently discovered higher-order chiral hinge states—remain elusive. Here, we report the observation of antichiral hinge states in a higher-order nodal-ring semimetal made of a three-dimensional gyromagnetic photonic crystal. Near-field scanning measurements reveal a pair of hinge states at two parallel one-dimensional boundaries propagating unidirectionally along the same direction, with robust transport against metallic scatterers. Their spatial positions can be reconfigured by adding or removing photonic layers. The additionally observed antichiral and drumhead surface states manifest a hierarchy of first- and second-order topological boundary states within a single photonic system. Our work extends antichiral states to higher-order topological semimetals and has potential applications in robust and reconfigurable photonic routing.</w:t>
      </w:r>
    </w:p>
    <w:p>
      <w:pPr>
        <w:spacing w:before="120" w:after="120"/>
      </w:pPr>
      <w:r>
        <w:rPr>
          <w:sz w:val="18"/>
        </w:rPr>
        <w:t>——————————————————————————————————————————————————————————————————————</w:t>
      </w:r>
    </w:p>
    <w:p>
      <w:pPr>
        <w:spacing w:before="160" w:after="40" w:line="240" w:lineRule="auto"/>
      </w:pPr>
      <w:r>
        <w:rPr>
          <w:b/>
        </w:rPr>
        <w:t xml:space="preserve">[622] </w:t>
      </w:r>
      <w:hyperlink r:id="rId1530">
        <w:r>
          <w:rPr>
            <w:color w:val="1155CC"/>
            <w:u w:val="single"/>
          </w:rPr>
          <w:t>用于皮肤接口器件中按需低力脱附的形状记忆聚合物粘合剂</w:t>
        </w:r>
      </w:hyperlink>
    </w:p>
    <w:p>
      <w:pPr>
        <w:spacing w:before="0" w:after="80"/>
      </w:pPr>
      <w:r>
        <w:rPr>
          <w:i/>
          <w:sz w:val="20"/>
        </w:rPr>
        <w:t>EN: Shape memory polymer adhesives for on-demand, low-force detachment in skin-interfaced devices</w:t>
      </w:r>
    </w:p>
    <w:p>
      <w:pPr>
        <w:spacing w:before="0" w:after="120"/>
      </w:pPr>
      <w:r>
        <w:rPr>
          <w:b/>
        </w:rPr>
        <w:t xml:space="preserve">Source: </w:t>
      </w:r>
      <w:r>
        <w:t>Physical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皮肤界面生物医疗器械需要粘合剂在使用时提供牢固附着，同时在剥离时尽量减少皮下皮肤变形以实现温和移除。传统医用粘合剂缺乏按需粘附调控机制，在揭除时常常引起皮肤刺激和损伤，尤其对脆弱人群。在此，我们提出一种热触发形状记忆聚合物（SMP）粘合剂，通过可编程的金字塔结构恢复实现可逆、高对比度的粘附切换。该粘合剂包含金字塔结构阵列，在休眠态下保持压平状态以确保牢固的皮肤粘附，但经玻璃化转变温度以上的温和加热后迅速恢复，显著降低有效接触面积并实现低力剥离。粘附可切换性能得到定量力学测量的支持，包括激活后剥离力和粘附能的降低，以及证明剥离期间皮下皮肤变形极小的三维数字图像相关（3D-DIC）分析。力学测试表明激活后粘附能可降低多达约99%，同时在使用期间保持稳定的承载性能。3D-DIC显示，与休眠态SMP不同，驱动态的SMP在剥离期间抑制应力集中并最大限度减少皮下皮肤变形。剪纸（kirigami）结构设计进一步增强了在单弯曲和双弯曲解剖表面上的贴合性，同时提高了水蒸气透过性。有限元</w:t>
      </w:r>
    </w:p>
    <w:p>
      <w:pPr>
        <w:spacing w:before="0" w:after="200" w:lineRule="auto" w:line="276"/>
      </w:pPr>
      <w:r>
        <w:rPr>
          <w:b/>
        </w:rPr>
        <w:t xml:space="preserve">Abstract (EN): </w:t>
      </w:r>
      <w:r>
        <w:t>Skin-interfaced biomedical devices require adhesives that provide strong attachment during use while enabling gentle removal with minimized subsurface skin deformation. Conventional medical adhesives lack mechanisms for on-demand adhesion modulation, often causing skin irritation and damage during detachment, particularly in vulnerable populations. Here, we present a thermally triggered shape memory polymer (SMP) adhesive that achieves reversible, high-contrast adhesion switching through programmable pyramidal structure recovery. The adhesive incorporates an array of pyramidal structures that remain flattened in a dormant state to ensure robust skin adhesion, but rapidly recover upon mild heating above the glass transition temperature, significantly reducing effective contact area and enabling low-force detachment. Adhesion switchability performances are supported by quantitative mechanical measurements, including reductions in peel force and adhesion energy after activation, as well as three-dimensional digital image correlation (3D-DIC) analyses demonstrating minimal subsurface skin deformation during detachment. Mechanical testing demonstrates up to ~99% reduction in adhesion energy upon activation, while maintaining stable load-bearing performance during use. 3D-DIC shows that the actuated SMP suppresses stress concentrations and minimizes subsurface skin deformation during detachment, unlike the dormant SMP. A kirigami structural design further enhances conformability on both singly and doubly curved anatomical surfaces while improving water vapor permeability. Finite element analysis and 3D-DIC measurements reveal substantial reductions in effective stiffness and enhanced bending accommodation enabled by the kirigami geometry. Integration with wireless mechano-acoustic sensors confirms reliable physiological signal acquisition in the dormant state and controlled detachment upon activation. This work establishes a thermally switchable SMP adhesive platform for low-force removal of skin-interfaced devices.</w:t>
      </w:r>
    </w:p>
    <w:p>
      <w:pPr>
        <w:spacing w:before="120" w:after="120"/>
      </w:pPr>
      <w:r>
        <w:rPr>
          <w:sz w:val="18"/>
        </w:rPr>
        <w:t>——————————————————————————————————————————————————————————————————————</w:t>
      </w:r>
    </w:p>
    <w:p>
      <w:pPr>
        <w:spacing w:before="160" w:after="40" w:line="240" w:lineRule="auto"/>
      </w:pPr>
      <w:r>
        <w:rPr>
          <w:b/>
        </w:rPr>
        <w:t xml:space="preserve">[623] </w:t>
      </w:r>
      <w:hyperlink r:id="rId1531">
        <w:r>
          <w:rPr>
            <w:color w:val="1155CC"/>
            <w:u w:val="single"/>
          </w:rPr>
          <w:t>嵌段共聚物多层介孔囊泡体</w:t>
        </w:r>
      </w:hyperlink>
    </w:p>
    <w:p>
      <w:pPr>
        <w:spacing w:before="0" w:after="80"/>
      </w:pPr>
      <w:r>
        <w:rPr>
          <w:i/>
          <w:sz w:val="20"/>
        </w:rPr>
        <w:t>EN: Multilayer mesoporous vesosomes of block copolymer</w:t>
      </w:r>
    </w:p>
    <w:p>
      <w:pPr>
        <w:spacing w:before="0" w:after="120"/>
      </w:pPr>
      <w:r>
        <w:rPr>
          <w:b/>
        </w:rPr>
        <w:t xml:space="preserve">Source: </w:t>
      </w:r>
      <w:r>
        <w:t>Physical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多层介孔泡囊体独特地结合了中空多层壳体与有序介孔，为多级门控、可控释放和程序化反应级联提供了基础，但其稳健构建仍具挑战性。在此，我们报道了一种基于三维受限自组装的分子工程策略，以制备壳层开孔近六方有序排列的多层泡囊体。十五烷基苯酚（PDP）和1,5-二溴戊烷（DBP）与聚(4-乙烯基吡啶)嵌段的选择性缔合精确调控嵌段共聚物体积分数，以稳定一种非常规的多孔层状形貌，而可逆氢键则实现了区域选择性成孔。实验和模拟揭示了受限效应与氢键在引导形貌演化中的协同作用，DBP进一步通过静电和交联相互作用细化组装过程。所得多层介孔泡囊体具有富含吡啶的冠层，展现出碘捕集能力（1.26 g g−1）、良好的可回收性，并且比无孔多层类似物具有更快的吸附速率。这项工作为复杂中空结构提供了通用途径，并阐明了决定其形成的关键因素。</w:t>
      </w:r>
    </w:p>
    <w:p>
      <w:pPr>
        <w:spacing w:before="0" w:after="200" w:lineRule="auto" w:line="276"/>
      </w:pPr>
      <w:r>
        <w:rPr>
          <w:b/>
        </w:rPr>
        <w:t xml:space="preserve">Abstract (EN): </w:t>
      </w:r>
      <w:r>
        <w:t>Multilayer mesoporous vesosomes uniquely combine hollow multilayer shells with ordered mesopores, providing a basis for multilevel gating, controlled release, and programmed reaction cascades, yet robust construction remains challenging. Herein, we report a molecular engineering strategy based on 3D-confined self-assembly to produce multilayer vesosomes with nearly hexagonally ordered shell perforations. Selective association of pentadecylphenol (PDP) and 1,5-dibromopentane (DBP) with the poly(4-vinylpyridine) block precisely tunes block-copolymer volume fraction to stabilize an unconventional perforated lamellar morphology, while reversible hydrogen bonding enables region-selective pore generation. Experiments and simulations reveal cooperative roles of confinement and hydrogen bonding in directing morphological evolution, with DBP further refining assembly through electrostatic and cross-linking interactions. The resulting multilayer mesoporous vesosomes feature a pyridine-rich corona and show iodine capture (1.26 g g−1), good recyclability, and faster uptake than nonporous multilayer analogues. This work offers a versatile route to complex hollow architectures and clarifies key determinants governing their formation.</w:t>
      </w:r>
    </w:p>
    <w:p>
      <w:pPr>
        <w:spacing w:before="120" w:after="120"/>
      </w:pPr>
      <w:r>
        <w:rPr>
          <w:sz w:val="18"/>
        </w:rPr>
        <w:t>——————————————————————————————————————————————————————————————————————</w:t>
      </w:r>
    </w:p>
    <w:p>
      <w:pPr>
        <w:spacing w:before="160" w:after="40" w:line="240" w:lineRule="auto"/>
      </w:pPr>
      <w:r>
        <w:rPr>
          <w:b/>
        </w:rPr>
        <w:t xml:space="preserve">[624] </w:t>
      </w:r>
      <w:hyperlink r:id="rId1532">
        <w:r>
          <w:rPr>
            <w:color w:val="1155CC"/>
            <w:u w:val="single"/>
          </w:rPr>
          <w:t>用于近红外和中红外辨识的传感器内多光谱感知</w:t>
        </w:r>
      </w:hyperlink>
    </w:p>
    <w:p>
      <w:pPr>
        <w:spacing w:before="0" w:after="80"/>
      </w:pPr>
      <w:r>
        <w:rPr>
          <w:i/>
          <w:sz w:val="20"/>
        </w:rPr>
        <w:t>EN: In-sensor multispectral perception for near- and mid-infrared discrimination</w:t>
      </w:r>
    </w:p>
    <w:p>
      <w:pPr>
        <w:spacing w:before="0" w:after="120"/>
      </w:pPr>
      <w:r>
        <w:rPr>
          <w:b/>
        </w:rPr>
        <w:t xml:space="preserve">Source: </w:t>
      </w:r>
      <w:r>
        <w:t>Physical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跨越可见光（Vis）、近红外（NIR）和中红外（MIR）的多光谱特征为挑战性环境下的智能视觉提供了互补信息。在传感器层面精确提取多光谱特征变得越来越关键，但对下一代视觉系统而言仍然难以实现。本文报道了一种由MoTe2/BP异质结构成的多光谱传感器，其可通过栅极调节在Ⅰ型和Ⅱ型能带对齐之间切换，在零偏压下实现双极性Vis/NIR（473 ~ 1064 nm）和单极性MIR（3.7和4.6 μm）响应，用于传感器内Vis/NIR卷积和MIR目标识别。除单器件运行外，9×1线阵验证了器件的均匀性及阵列级初步可行性。此外，该多光谱传感器在980 nm和3.7 μm光共同照射下可提取无串扰的Vis/NIR和MIR特征，在重构的系统级演示中将识别准确率从28%提升至84%。通过充分利用二维材料可调的能带结构，本工作展示了一种具有传感器内处理功能的多光谱感知通用传感器构型。</w:t>
      </w:r>
    </w:p>
    <w:p>
      <w:pPr>
        <w:spacing w:before="0" w:after="200" w:lineRule="auto" w:line="276"/>
      </w:pPr>
      <w:r>
        <w:rPr>
          <w:b/>
        </w:rPr>
        <w:t xml:space="preserve">Abstract (EN): </w:t>
      </w:r>
      <w:r>
        <w:t>Multispectral features across visible (Vis), near-infrared (NIR) and mid-infrared (MIR) provide complementary information for intelligent vision in challenging environments. Precise extraction of multispectral features within the sensor level becomes increasingly critical, yet remains elusive for next-generation vision systems. Here we report a multispectral sensor constructed by a MoTe2/BP heterojunction with gate-tunable band alignments between type-Ⅰ and type-Ⅱ, enabling bipolar Vis/NIR (473 ~ 1064 nm) and unipolar MIR (3.7 and 4.6 μm) responses under zero bias for in-sensor Vis/NIR convolution and MIR target recognition. Beyond single-device operation, a 9×1 linear array validates device uniformity and preliminary array-level feasibility. Furthermore, the multispectral sensor extracts crosstalk-free Vis/NIR and MIR features under co-illumination of 980-nm and 3.7-μm light, increasing recognition accuracy from 28% to 84% in reconstructed system-level demonstrations. By fully leveraging the tunable 2D-material band structure, this work demonstrates a universal sensor configuration for multispectral perception with in-sensor processing functions.</w:t>
      </w:r>
    </w:p>
    <w:p>
      <w:pPr>
        <w:spacing w:before="120" w:after="120"/>
      </w:pPr>
      <w:r>
        <w:rPr>
          <w:sz w:val="18"/>
        </w:rPr>
        <w:t>——————————————————————————————————————————————————————————————————————</w:t>
      </w:r>
    </w:p>
    <w:p>
      <w:pPr>
        <w:spacing w:before="160" w:after="40" w:line="240" w:lineRule="auto"/>
      </w:pPr>
      <w:r>
        <w:rPr>
          <w:b/>
        </w:rPr>
        <w:t xml:space="preserve">[625] </w:t>
      </w:r>
      <w:hyperlink r:id="rId1533">
        <w:r>
          <w:rPr>
            <w:color w:val="1155CC"/>
            <w:u w:val="single"/>
          </w:rPr>
          <w:t>醌-血红素π-π相互作用桥接生物-非生物界面以增强产甲烷过程</w:t>
        </w:r>
      </w:hyperlink>
    </w:p>
    <w:p>
      <w:pPr>
        <w:spacing w:before="0" w:after="80"/>
      </w:pPr>
      <w:r>
        <w:rPr>
          <w:i/>
          <w:sz w:val="20"/>
        </w:rPr>
        <w:t>EN: Quinone-heme π-π interactions bridge the biotic-abiotic interface for enhanced methanogenesis</w:t>
      </w:r>
    </w:p>
    <w:p>
      <w:pPr>
        <w:spacing w:before="0" w:after="120"/>
      </w:pPr>
      <w:r>
        <w:rPr>
          <w:b/>
        </w:rPr>
        <w:t xml:space="preserve">Source: </w:t>
      </w:r>
      <w:r>
        <w:t>Physical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醌类导电材料可促进厌氧消化过程中的胞外电子传递和产甲烷过程，在此过程中材料介导胞外产电菌产生的电子向亲电产甲烷菌的传递。然而，醌与亲电产甲烷菌在生物-非生物界面的电子传递机制仍不清楚。本研究在微生物电解池中构建了还原态蒽醌与马氏甲烷八叠球菌（Methanosarcina barkeri）之间的界面。仿生实验及对分离胞外聚合物的表征揭示了还原态蒽醌供电子的π体系与血红素接受电子的铁卟啉环之间的电子互补性，该血红素可能由细胞裂解释放并滞留于胞外聚合物中。这种互补性可能促进π-π相互作用，从而滞留具有氧化还原活性的血红素并促进电子传递，这与较低的界面电阻（34.3 Ω对225 Ω）以及阴极产甲烷10.6倍的增强相一致。本研究为生物-非生物界面的醌介导电子传递提供了深入认识，并为生物电化学系统电极材料的设计提供了支持。</w:t>
      </w:r>
    </w:p>
    <w:p>
      <w:pPr>
        <w:spacing w:before="0" w:after="200" w:lineRule="auto" w:line="276"/>
      </w:pPr>
      <w:r>
        <w:rPr>
          <w:b/>
        </w:rPr>
        <w:t xml:space="preserve">Abstract (EN): </w:t>
      </w:r>
      <w:r>
        <w:t>Quinone-based conductive materials promote extracellular electron transfer and methanogenesis during anaerobic digestion, in which the materials mediates the transfer of electrons produced by exoelectrogens to electrotrophic methanogens. However, the electron transfer mechanism between quinone and electrotrophic methanogens at the biotic-abiotic interface remains elusive. In this study, an interface between reduced anthraquinone and Methanosarcina barkeri is established in a microbial electrolysis cell. Biomimetic experiments and characterization of isolated extracellular polymeric substances reveal electronic complementarity between the electron-donating π-system of reduced anthraquinone and the electron-accepting iron-porphyrin ring of heme, which may be released by cell lysis and retained within extracellular polymeric substances. This complementarity may promote π-π interactions that retain redox-active heme and facilitate electron transfer, consistent with lower interfacial resistance (34.3 versus 225 Ω) and 10.6-fold enhancement in cathodic methanogenesis. This study provides insight into quinone-mediated electron transfer at the biotic-abiotic interface and supports the design of electrode materials for bioelectrochemical systems.</w:t>
      </w:r>
    </w:p>
    <w:p>
      <w:pPr>
        <w:spacing w:before="120" w:after="120"/>
      </w:pPr>
      <w:r>
        <w:rPr>
          <w:sz w:val="18"/>
        </w:rPr>
        <w:t>——————————————————————————————————————————————————————————————————————</w:t>
      </w:r>
    </w:p>
    <w:p>
      <w:pPr>
        <w:spacing w:before="160" w:after="40" w:line="240" w:lineRule="auto"/>
      </w:pPr>
      <w:r>
        <w:rPr>
          <w:b/>
        </w:rPr>
        <w:t xml:space="preserve">[626] </w:t>
      </w:r>
      <w:hyperlink r:id="rId1534">
        <w:r>
          <w:rPr>
            <w:color w:val="1155CC"/>
            <w:u w:val="single"/>
          </w:rPr>
          <w:t>一种计算高度局部化蛋白质稳定性的机器学习方法</w:t>
        </w:r>
      </w:hyperlink>
    </w:p>
    <w:p>
      <w:pPr>
        <w:spacing w:before="0" w:after="80"/>
      </w:pPr>
      <w:r>
        <w:rPr>
          <w:i/>
          <w:sz w:val="20"/>
        </w:rPr>
        <w:t>EN: A machine learning method for calculating highly localized protein stabilities</w:t>
      </w:r>
    </w:p>
    <w:p>
      <w:pPr>
        <w:spacing w:before="0" w:after="120"/>
      </w:pPr>
      <w:r>
        <w:rPr>
          <w:b/>
        </w:rPr>
        <w:t xml:space="preserve">Source: </w:t>
      </w:r>
      <w:r>
        <w:t>Biological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残基水平的开链自由能（∆Gop）是蛋白质局部稳定性的热力学描述符，可在生理相关时间尺度和条件下提供关于蛋白质系综的宝贵信息。PFNet可从常规肽水平的氢交换-质谱（HX-MS）数据集中即时确定任意大小蛋白质及其复合物的∆Gop。它释放了HX-MS的全部潜力，使该方法大众化，并确立了定量、可扩展且易于获取的分析。</w:t>
      </w:r>
    </w:p>
    <w:p>
      <w:pPr>
        <w:spacing w:before="0" w:after="200" w:lineRule="auto" w:line="276"/>
      </w:pPr>
      <w:r>
        <w:rPr>
          <w:b/>
        </w:rPr>
        <w:t xml:space="preserve">Abstract (EN): </w:t>
      </w:r>
      <w:r>
        <w:t>The residue-level free energy of opening (∆Gop) is the thermodynamic descriptor of localized protein stability, providing valuable information about the protein ensemble at physiologically relevant timescales and conditions. PFNet instantly determines ∆Gop for arbitrarily large proteins and complexes from conventional peptide-level hydrogen exchange-mass spectrometry (HX-MS) datasets. It unlocks the full potential of HX-MS, democratizing the method and establishing quantitative, scalable and accessible analysis.</w:t>
      </w:r>
    </w:p>
    <w:p>
      <w:pPr>
        <w:spacing w:before="120" w:after="120"/>
      </w:pPr>
      <w:r>
        <w:rPr>
          <w:sz w:val="18"/>
        </w:rPr>
        <w:t>——————————————————————————————————————————————————————————————————————</w:t>
      </w:r>
    </w:p>
    <w:p>
      <w:pPr>
        <w:spacing w:before="160" w:after="40" w:line="240" w:lineRule="auto"/>
      </w:pPr>
      <w:r>
        <w:rPr>
          <w:b/>
        </w:rPr>
        <w:t xml:space="preserve">[627] </w:t>
      </w:r>
      <w:hyperlink r:id="rId1535">
        <w:r>
          <w:rPr>
            <w:color w:val="1155CC"/>
            <w:u w:val="single"/>
          </w:rPr>
          <w:t>通过底物构象工程重塑混杂萜烯合酶的产物选择性与活性</w:t>
        </w:r>
      </w:hyperlink>
    </w:p>
    <w:p>
      <w:pPr>
        <w:spacing w:before="0" w:after="80"/>
      </w:pPr>
      <w:r>
        <w:rPr>
          <w:i/>
          <w:sz w:val="20"/>
        </w:rPr>
        <w:t>EN: Reprogramming product selectivity and activity in promiscuous terpene synthases via substrate conformation engineering</w:t>
      </w:r>
    </w:p>
    <w:p>
      <w:pPr>
        <w:spacing w:before="0" w:after="120"/>
      </w:pPr>
      <w:r>
        <w:rPr>
          <w:b/>
        </w:rPr>
        <w:t xml:space="preserve">Source: </w:t>
      </w:r>
      <w:r>
        <w:t>Physical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萜类化合物是结构多样的天然产物，具有广泛用途，但其生物合成常受到萜烯合酶（TPSs）低催化效率和差产物选择性的限制。同时增强产物特异性和催化性能仍是TPS工程中的重大挑战。本研究阐明了一种真菌吉玛烯A合酶的区域选择性和立体选择性，该酶催化法尼基二磷酸的1,10-环化形成关键的倍半萜中间体。底物口袋附近非催化残基（T169）的侧链体积可调节底物结合构象，从而重定向碳正离子级联反应并重塑产物谱。基于机理的口袋工程进一步获得了产物特异性改变的萜烯合酶变体。值得注意的是，一个变体使大肠杆菌中(+)-吉玛烯A的产量提高了24.3倍，在生物反应器中达到15.8 g L⁻¹——据我们所知，这是该宿主中报道的最高滴度。这些结果为底物构象介导的TPS特异性重编程提供了机理认识，凸显了开发高性能萜类生物催化剂的一种有前景的策略。</w:t>
      </w:r>
    </w:p>
    <w:p>
      <w:pPr>
        <w:spacing w:before="0" w:after="200" w:lineRule="auto" w:line="276"/>
      </w:pPr>
      <w:r>
        <w:rPr>
          <w:b/>
        </w:rPr>
        <w:t xml:space="preserve">Abstract (EN): </w:t>
      </w:r>
      <w:r>
        <w:t>Terpenoids are structurally diverse natural products with broad applications, yet their biosynthesis is often constrained by the low catalytic efficiency and poor product selectivity of terpene synthases (TPSs). Simultaneously enhancing product specificity and catalytic performance remains a major challenge in TPS engineering. Here, we elucidate the regio- and stereoselectivity of a fungal germacrene A synthase, which catalyzes the 1,10-cyclization of farnesyl diphosphate to form a central sesquiterpene intermediate. The side-chain volume of a non-catalytic residue (T169) adjacent to the substrate pocket modulates substrate-binding conformations, thereby redirecting the carbocation cascade and reshaping the product profile. Mechanism-guided pocket engineering further yielded terpene synthase variants with altered product specificity. Notably, one variant increased (+)-germacrene A production in Escherichia coli by 24.3-fold, reaching 15.8 g L⁻¹ in a bioreactor—the highest titer reported in this host to the best of our knowledge. These results provide mechanistic insight into substrate-conformation-mediated reprogramming of TPS specificity, highlighting a promising strategy for the development of high-performance terpenoid biocatalysts.</w:t>
      </w:r>
    </w:p>
    <w:p>
      <w:pPr>
        <w:spacing w:before="120" w:after="120"/>
      </w:pPr>
      <w:r>
        <w:rPr>
          <w:sz w:val="18"/>
        </w:rPr>
        <w:t>——————————————————————————————————————————————————————————————————————</w:t>
      </w:r>
    </w:p>
    <w:p>
      <w:pPr>
        <w:spacing w:before="160" w:after="40" w:line="240" w:lineRule="auto"/>
      </w:pPr>
      <w:r>
        <w:rPr>
          <w:b/>
        </w:rPr>
        <w:t xml:space="preserve">[628] </w:t>
      </w:r>
      <w:hyperlink r:id="rId1536">
        <w:r>
          <w:rPr>
            <w:color w:val="1155CC"/>
            <w:u w:val="single"/>
          </w:rPr>
          <w:t>光活性铁电体中的电可切换圆偏振光探测</w:t>
        </w:r>
      </w:hyperlink>
    </w:p>
    <w:p>
      <w:pPr>
        <w:spacing w:before="0" w:after="80"/>
      </w:pPr>
      <w:r>
        <w:rPr>
          <w:i/>
          <w:sz w:val="20"/>
        </w:rPr>
        <w:t>EN: Electrically Switchable Circularly Polarized Light Detection in Optically Active Ferroelectric</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37">
        <w:r>
          <w:rPr>
            <w:color w:val="1155CC"/>
            <w:u w:val="single"/>
          </w:rPr>
          <w:t>10.1002/anie.5199246</w:t>
        </w:r>
      </w:hyperlink>
    </w:p>
    <w:p>
      <w:pPr>
        <w:spacing w:before="0" w:after="120"/>
      </w:pPr>
      <w:r>
        <w:rPr>
          <w:b/>
        </w:rPr>
        <w:t xml:space="preserve">Notes: </w:t>
      </w:r>
      <w:r>
        <w:t>abstract_source=crossref</w:t>
      </w:r>
    </w:p>
    <w:p>
      <w:pPr>
        <w:spacing w:before="0" w:after="80" w:lineRule="auto" w:line="276"/>
      </w:pPr>
      <w:r>
        <w:rPr>
          <w:b/>
        </w:rPr>
        <w:t xml:space="preserve">摘要（ZH）: </w:t>
      </w:r>
      <w:r>
        <w:t>摘要 圆偏振光（CPL）探测是先进光子学和光电子技术的基础，然而CPL选择性的电可逆控制仍是一项关键挑战。光学活性铁电体 uniquely适合应对这一挑战，因为其在单一材料平台上集成了对称性赋予的光学活性、可切换的自发极化和体光伏效应（BPVE）。本文报道了一种光学活性杂化钙钛矿铁电体BnA2MA2Pb3Br10（1；BnA为3-丁烯基铵，MA为甲铵），成功实现了电可切换的CPL探测。利用1的BPVE，该器件表现出高灵敏度的自供电CPL探测，各向异性因子高达0.62。更重要的是，铁电极化翻转可逆转CPL选择性，实现电可重构的CPL探测。本工作确立了光学活性铁电体作为电可重构自供电手性光电器件可行平台的地位。</w:t>
      </w:r>
    </w:p>
    <w:p>
      <w:pPr>
        <w:spacing w:before="0" w:after="200" w:lineRule="auto" w:line="276"/>
      </w:pPr>
      <w:r>
        <w:rPr>
          <w:b/>
        </w:rPr>
        <w:t xml:space="preserve">Abstract (EN): </w:t>
      </w:r>
      <w:r>
        <w:t>Circularly polarized light (CPL) detection is fundamental to advanced photonic and optoelectronic technologies, yet electrically reversible control of CPL selectivity remains a critical challenge. Optically active ferroelectrics are uniquely suited to address this challenge because they integrate symmetry‐enabled optical activity, switchable spontaneous polarization, and the bulk photovoltaic effect (BPVE) within a single material platform. Herein, we report an optically active hybrid perovskite ferroelectric, BnA 2 MA 2 Pb 3 Br 10 ( 1 ; BnA is 3‐butenylammonium, MA is methylammonium), in which electrically switchable CPL detection is successfully achieved. Leveraging the BPVE in 1 , the device exhibits highly sensitive self‐powered CPL detection, with an anisotropy factor of up to 0.62. More importantly, ferroelectric polarization reversal reverses the CPL selectivity, enabling electrically reconfigurable CPL detection. This work establishes optically active ferroelectrics as a viable platform for electrically reconfigurable self‐powered chiroptoelectronic devices.</w:t>
      </w:r>
    </w:p>
    <w:p>
      <w:pPr>
        <w:spacing w:before="120" w:after="120"/>
      </w:pPr>
      <w:r>
        <w:rPr>
          <w:sz w:val="18"/>
        </w:rPr>
        <w:t>——————————————————————————————————————————————————————————————————————</w:t>
      </w:r>
    </w:p>
    <w:p>
      <w:pPr>
        <w:spacing w:before="160" w:after="40" w:line="240" w:lineRule="auto"/>
      </w:pPr>
      <w:r>
        <w:rPr>
          <w:b/>
        </w:rPr>
        <w:t xml:space="preserve">[629] </w:t>
      </w:r>
      <w:hyperlink r:id="rId1538">
        <w:r>
          <w:rPr>
            <w:color w:val="1155CC"/>
            <w:u w:val="single"/>
          </w:rPr>
          <w:t>基于双线性隐马尔可夫模型的聚合电动汽车数据驱动隐私保护建模与频率调节</w:t>
        </w:r>
      </w:hyperlink>
    </w:p>
    <w:p>
      <w:pPr>
        <w:spacing w:before="0" w:after="80"/>
      </w:pPr>
      <w:r>
        <w:rPr>
          <w:i/>
          <w:sz w:val="20"/>
        </w:rPr>
        <w:t>EN: Data-Driven Privacy-Preserving Modeling and Frequency Regulation With Aggregated Electric Vehicles via Bilinear Hidden Markov Model</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39">
        <w:r>
          <w:rPr>
            <w:color w:val="1155CC"/>
            <w:u w:val="single"/>
          </w:rPr>
          <w:t>10.1109/tsg.2026.3688192</w:t>
        </w:r>
      </w:hyperlink>
    </w:p>
    <w:p>
      <w:pPr>
        <w:spacing w:before="0" w:after="120"/>
      </w:pPr>
      <w:r>
        <w:rPr>
          <w:b/>
        </w:rPr>
        <w:t xml:space="preserve">Notes: </w:t>
      </w:r>
      <w:r>
        <w:t>abstract_source=semanticscholar</w:t>
      </w:r>
    </w:p>
    <w:p>
      <w:pPr>
        <w:spacing w:before="0" w:after="80" w:lineRule="auto" w:line="276"/>
      </w:pPr>
      <w:r>
        <w:rPr>
          <w:b/>
        </w:rPr>
        <w:t xml:space="preserve">摘要（ZH）: </w:t>
      </w:r>
      <w:r>
        <w:t>车辆到电网（V2G）技术允许双向电力流动以提供实时电网支持，使电动汽车（EV）非常适合频率调节等辅助服务。然而，现有的灵活性估计与聚合电动汽车协调方法通常依赖于单辆电动汽车的行驶信息（如到达/离开时间）和/或特性参数（如充电效率、电池容量）以及实时荷电状态（SOC），这引发了隐私担忧并面临数据质量问题。为应对这些挑战，本文提出了一种基于数据驱动的、隐私保护的聚合电动汽车频率调节建模与控制框架。所提方法无需任何单辆电动汽车信息，即可对聚合电动汽车的功率输出和灵活性提供准确估计，并实施有效的频率调节。仿真结果验证了所提方法的准确性和有效性，并且在SOC数据不准确的情况下优于基于模型和基于联邦学习的方法。</w:t>
      </w:r>
    </w:p>
    <w:p>
      <w:pPr>
        <w:spacing w:before="0" w:after="200" w:lineRule="auto" w:line="276"/>
      </w:pPr>
      <w:r>
        <w:rPr>
          <w:b/>
        </w:rPr>
        <w:t xml:space="preserve">Abstract (EN): </w:t>
      </w:r>
      <w:r>
        <w:t>Vehicle-to-Grid (V2G) technology allows bidirectional power flow for real-time grid support, making electric vehicles (EVs) well-suited for ancillary services such as frequency regulation. However, existing methods for flexibility estimation and coordinating aggregated EVs often rely on individual EV traveling information (e.g., arrival/departure time) and/or characteristic parameters (e.g., charging efficiency, battery capacity) as well as real-time state-of-charge (SOC), which raises privacy concerns and faces data quality issues. To address these challenges, this paper proposes a data-driven, privacy-preserving modeling and control framework for frequency regulation using aggregated EVs. The proposed method can provide accurate estimation for power outputs and flexibility of aggregated EVs and carry out effective frequency regulation without any individual EV information. Simulation results validate the accuracy and effectiveness of the proposed method, which also outperforms the model-based and federated learning-based method under SOC data inaccuracies.</w:t>
      </w:r>
    </w:p>
    <w:p>
      <w:pPr>
        <w:spacing w:before="120" w:after="120"/>
      </w:pPr>
      <w:r>
        <w:rPr>
          <w:sz w:val="18"/>
        </w:rPr>
        <w:t>——————————————————————————————————————————————————————————————————————</w:t>
      </w:r>
    </w:p>
    <w:p>
      <w:pPr>
        <w:spacing w:before="160" w:after="40" w:line="240" w:lineRule="auto"/>
      </w:pPr>
      <w:r>
        <w:rPr>
          <w:b/>
        </w:rPr>
        <w:t xml:space="preserve">[630] </w:t>
      </w:r>
      <w:hyperlink r:id="rId1540">
        <w:r>
          <w:rPr>
            <w:color w:val="1155CC"/>
            <w:u w:val="single"/>
          </w:rPr>
          <w:t>电力与交通耦合网络中光储充设施的协调可推广规划与运行</w:t>
        </w:r>
      </w:hyperlink>
    </w:p>
    <w:p>
      <w:pPr>
        <w:spacing w:before="0" w:after="80"/>
      </w:pPr>
      <w:r>
        <w:rPr>
          <w:i/>
          <w:sz w:val="20"/>
        </w:rPr>
        <w:t>EN: Coordinated and Generalizable Planning and Operation of PV-Storage-Charging Facilities in Coupled Power and Transportation Nexus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41">
        <w:r>
          <w:rPr>
            <w:color w:val="1155CC"/>
            <w:u w:val="single"/>
          </w:rPr>
          <w:t>10.1109/tsg.2026.3665749</w:t>
        </w:r>
      </w:hyperlink>
    </w:p>
    <w:p>
      <w:pPr>
        <w:spacing w:before="0" w:after="120"/>
      </w:pPr>
      <w:r>
        <w:rPr>
          <w:b/>
        </w:rPr>
        <w:t xml:space="preserve">Notes: </w:t>
      </w:r>
      <w:r>
        <w:t>abstract_source=semanticscholar</w:t>
      </w:r>
    </w:p>
    <w:p>
      <w:pPr>
        <w:spacing w:before="0" w:after="80" w:lineRule="auto" w:line="276"/>
      </w:pPr>
      <w:r>
        <w:rPr>
          <w:b/>
        </w:rPr>
        <w:t xml:space="preserve">摘要（ZH）: </w:t>
      </w:r>
      <w:r>
        <w:t>以大规模电动汽车普及为驱动的交通电气化对全球脱碳至关重要。然而，快速充电基础设施的部署带来了较高的城市投资成本、局部电网过载风险，以及因充电需求与发电之间时间不匹配而对可再生能源消纳造成的挑战。光伏-储能-充电（PSC）一体化电站提供了一种有前景的解决方案，但交通网与配电网耦合（CPTN）的协同规划仍不成熟。现有模型很少整合充电价格信号，而在多尺度不确定性和非线性动态下的分层优化，其解析方法或启发式方法在计算上仍难以实现。本文提出了一种用于CPTN中PSC协同规划与运行的分层多智能体强化学习框架。将多时间尺度嵌套优化模型构建为带选项的马尔可夫博弈，实现对长期投资以及短期定价与调度策略的协同学习。时空图卷积网络捕获动态节点与边特征，同时结合优势分解与顺序更新的近端策略优化方案提升了感知能力与收敛性。基于真实场景的案例研究显示，该方法在策略质量、计算与收敛效率方面优于最先进的基准方法，同时揭示了CPTN显著的成本效率提升与运行效益。</w:t>
      </w:r>
    </w:p>
    <w:p>
      <w:pPr>
        <w:spacing w:before="0" w:after="200" w:lineRule="auto" w:line="276"/>
      </w:pPr>
      <w:r>
        <w:rPr>
          <w:b/>
        </w:rPr>
        <w:t xml:space="preserve">Abstract (EN): </w:t>
      </w:r>
      <w:r>
        <w:t>Transportation electrification, driven by large-scale electric vehicle adoption, is pivotal to global decarbonization. However, rapid charging infrastructure deployment entails high urban investment costs, risks of local grid overloads, and challenges to renewable integration due to temporal mismatches between charging demand and generation. Photovoltaic–storage–charging (PSC) stations provide a promising solution, yet coordinated planning of coupled transportation and power distribution networks (CPTN) remains underdeveloped. Existing models rarely integrate charging price signals, and analytical or heuristic approaches for hierarchical optimization under multi-scale uncertainties and nonlinear dynamics remain computationally prohibitive. This paper proposes a hierarchical multi-agent reinforcement learning framework for coordinated PSC planning and operation in CPTN. A multi-time-scale nested optimization model is formulated as a Markov Game with options, enabling collaborative learning of long-term investment and short-term pricing and dispatching policies. Spatial–temporal graph convolutional networks capture dynamic nodal and edge features, while a proximal policy optimization scheme with advantage decomposition and sequential updates enhances perception and convergence. Case studies based on real-world settings demonstrate superior performance against state-of-the-art benchmarks in terms of policy quality, computational and convergence efficiency, while revealing significant cost-efficiency improvements and operational benefits for CPTN.</w:t>
      </w:r>
    </w:p>
    <w:p>
      <w:pPr>
        <w:spacing w:before="120" w:after="120"/>
      </w:pPr>
      <w:r>
        <w:rPr>
          <w:sz w:val="18"/>
        </w:rPr>
        <w:t>——————————————————————————————————————————————————————————————————————</w:t>
      </w:r>
    </w:p>
    <w:p>
      <w:pPr>
        <w:spacing w:before="160" w:after="40" w:line="240" w:lineRule="auto"/>
      </w:pPr>
      <w:r>
        <w:rPr>
          <w:b/>
        </w:rPr>
        <w:t xml:space="preserve">[631] </w:t>
      </w:r>
      <w:hyperlink r:id="rId1542">
        <w:r>
          <w:rPr>
            <w:color w:val="1155CC"/>
            <w:u w:val="single"/>
          </w:rPr>
          <w:t>一种新的自适应谐波相量估计算法及其硬件实现</w:t>
        </w:r>
      </w:hyperlink>
    </w:p>
    <w:p>
      <w:pPr>
        <w:spacing w:before="0" w:after="80"/>
      </w:pPr>
      <w:r>
        <w:rPr>
          <w:i/>
          <w:sz w:val="20"/>
        </w:rPr>
        <w:t>EN: A New Adaptive Harmonic Phasor Estimation Algorithm and Its Hardware Implementation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543">
        <w:r>
          <w:rPr>
            <w:color w:val="1155CC"/>
            <w:u w:val="single"/>
          </w:rPr>
          <w:t>10.1109/tpwrs.2026.3673731</w:t>
        </w:r>
      </w:hyperlink>
    </w:p>
    <w:p>
      <w:pPr>
        <w:spacing w:before="0" w:after="120"/>
      </w:pPr>
      <w:r>
        <w:rPr>
          <w:b/>
        </w:rPr>
        <w:t xml:space="preserve">Notes: </w:t>
      </w:r>
      <w:r>
        <w:t>abstract_source=semanticscholar</w:t>
      </w:r>
    </w:p>
    <w:p>
      <w:pPr>
        <w:spacing w:before="0" w:after="80" w:lineRule="auto" w:line="276"/>
      </w:pPr>
      <w:r>
        <w:rPr>
          <w:b/>
        </w:rPr>
        <w:t xml:space="preserve">摘要（ZH）: </w:t>
      </w:r>
      <w:r>
        <w:t>配电网中的传统同步相量估计面临新兴挑战，如频率偏差、多重干扰以及系统动态行为。为解决这些问题，本文提出了一种基于Champernowne的二阶自适应谐波相量估计（HPE）方法，并结合基于能量加权子空间跟踪（EWST）的旋转不变技术估计信号参数（ESPRIT）超分辨率频率估计加以增强。所提方法能够在噪声环境中动态跟踪频率变化，兼顾高精度和对系统变化的快速响应。动态相量采用假设交流与直流分量为整数次幂的幂级数建模，以更少的计算量获得更高的估计精度。此外，采用改进比例规则的Champernowne函数（CMF）与Levenberg梯度下降（IPC-LGD）框架相结合，可通过更平滑的收敛处理谐波振荡。CMF的利用增强了鲁棒性，改进的比例化思想利用系统固有的时变稀疏性实现更快的收敛速率。此外，所提设计在Raspberry Pi开发板上的输出结果和处理周期满足IEC/IEEE 60255-118-1标准。</w:t>
      </w:r>
    </w:p>
    <w:p>
      <w:pPr>
        <w:spacing w:before="0" w:after="200" w:lineRule="auto" w:line="276"/>
      </w:pPr>
      <w:r>
        <w:rPr>
          <w:b/>
        </w:rPr>
        <w:t xml:space="preserve">Abstract (EN): </w:t>
      </w:r>
      <w:r>
        <w:t>Traditional synchrophasor estimation in distribution network encounters emerging challenges, such as frequency deviations, multiple interferences, and dynamic system behaviors. To address these issues, this paper introduces a Champernowne based second-order adaptive harmonic phasor estimation (HPE), enhanced with super-resolution frequency estimation using an energy-weighted subspace tracking (EWST) based Estimation of Signal Parameters via Rotational Invariance Techniques (ESPRIT) method. The proposed method dynamically tracks the frequency variation in noisy environment, ensuring both high accuracy and fast response to system changes. The dynamic phasors have been modelled using power series that assumes integer powers of AC and DC components, to yield better exactness in the estimation with fewer calculations. Furthermore, the Champernowne function (CMF) with an improved proportionate rule is exploited along with Levenberg Gradient Descent (IPC-LGD) framework which can handle harmonic oscillations through smoother convergence. Utilization of CMF enhances robustness and the improved proportionate notion utilizes the inherent time varying system sparsity for faster rate of convergence. In addition, the outcomes and processing period of the proposed design on the Raspberry Pi board meets the IEC/IEEE 60255-118-1 standard.</w:t>
      </w:r>
    </w:p>
    <w:p>
      <w:pPr>
        <w:spacing w:before="120" w:after="120"/>
      </w:pPr>
      <w:r>
        <w:rPr>
          <w:sz w:val="18"/>
        </w:rPr>
        <w:t>——————————————————————————————————————————————————————————————————————</w:t>
      </w:r>
    </w:p>
    <w:p>
      <w:pPr>
        <w:spacing w:before="160" w:after="40" w:line="240" w:lineRule="auto"/>
      </w:pPr>
      <w:r>
        <w:rPr>
          <w:b/>
        </w:rPr>
        <w:t xml:space="preserve">[632] </w:t>
      </w:r>
      <w:hyperlink r:id="rId1544">
        <w:r>
          <w:rPr>
            <w:color w:val="1155CC"/>
            <w:u w:val="single"/>
          </w:rPr>
          <w:t>用于提供辅助服务的DER概率灵活性聚合</w:t>
        </w:r>
      </w:hyperlink>
    </w:p>
    <w:p>
      <w:pPr>
        <w:spacing w:before="0" w:after="80"/>
      </w:pPr>
      <w:r>
        <w:rPr>
          <w:i/>
          <w:sz w:val="20"/>
        </w:rPr>
        <w:t>EN: Probabilistic Flexibility Aggregation of DERs for Ancillary Services Provision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545">
        <w:r>
          <w:rPr>
            <w:color w:val="1155CC"/>
            <w:u w:val="single"/>
          </w:rPr>
          <w:t>10.1109/tpwrs.2026.3671108</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一种考虑电网的概率化方法，用于计算有源配电网（ADN）并网点（GCP）处的聚合灵活性，以使分布式能源（DER）能够参与辅助服务（AS）市场。具体而言，采用最优潮流（OPF）方法计算ADN在整个辅助服务提供期间在GCP处提供多种辅助服务的聚合能力。所提方法扩展了现有的时间耦合灵活性聚合方法，可同时考虑多种服务、确保所用DER的成本效益，并以概率化方式处理不确定性。将总灵活性分解为各DER功率灵活性时考虑了提供不同服务相关的运行成本，在假设服务价格已知的情况下，这确保了成本效益并最大化聚合灵活性的价值。通过获得经验不确定性集合，实现与北欧辅助服务市场最新发展相一致的概率分布的预定义覆盖率。最后，提出馈线分解方法以确保该方法适用于具有大量母线的实际配电网。案例研究展示了该方法的有效性，突出了网络约束和时间耦合的重要性，并说明了其对实际配电系统的适用性。</w:t>
      </w:r>
    </w:p>
    <w:p>
      <w:pPr>
        <w:spacing w:before="0" w:after="200" w:lineRule="auto" w:line="276"/>
      </w:pPr>
      <w:r>
        <w:rPr>
          <w:b/>
        </w:rPr>
        <w:t xml:space="preserve">Abstract (EN): </w:t>
      </w:r>
      <w:r>
        <w:t>This paper presents a grid-aware probabilistic approach to compute the aggregated flexibility at the grid connection point (GCP) of active distribution network (ADN) to allow the participation of DER in ancillary services (AS) markets. Specifically, an optimal power flow (OPF) method is used to compute the aggregated capability for the provision of multiple AS at the GCP of an ADN over the full AS provision horizon. The proposed method extends current approaches for the time-coupled flexibility aggregation, allowing to consider multiple services simultaneously, ensure cost-effectiveness of the used DER and handle uncertainties in a probabilistic way. The disaggregation of the total flexibility into individual DER power flexibilities accounts for the operational costs associated to the provision of different services. This ensures cost-effectiveness while maximizing the value of the aggregated flexibility, assuming known service prices. Empirical uncertainty sets are obtained to achieve a predefined coverage of the probability distribution in line with recent developments in the Nordic AS markets. Finally, a feeder-decomposition approach is proposed to ensure applicability to realistic distribution networks with a large number of buses. Case studies show the effectiveness of the method, highlight the importance of network constraints and time-coupling and illustrate its applicability to realistic distribution systems.</w:t>
      </w:r>
    </w:p>
    <w:p>
      <w:pPr>
        <w:spacing w:before="120" w:after="120"/>
      </w:pPr>
      <w:r>
        <w:rPr>
          <w:sz w:val="18"/>
        </w:rPr>
        <w:t>——————————————————————————————————————————————————————————————————————</w:t>
      </w:r>
    </w:p>
    <w:p>
      <w:pPr>
        <w:spacing w:before="160" w:after="40" w:line="240" w:lineRule="auto"/>
      </w:pPr>
      <w:r>
        <w:rPr>
          <w:b/>
        </w:rPr>
        <w:t xml:space="preserve">[633] </w:t>
      </w:r>
      <w:hyperlink r:id="rId1546">
        <w:r>
          <w:rPr>
            <w:color w:val="1155CC"/>
            <w:u w:val="single"/>
          </w:rPr>
          <w:t>基于探测的负荷建模与最优低层信号设计</w:t>
        </w:r>
      </w:hyperlink>
    </w:p>
    <w:p>
      <w:pPr>
        <w:spacing w:before="0" w:after="80"/>
      </w:pPr>
      <w:r>
        <w:rPr>
          <w:i/>
          <w:sz w:val="20"/>
        </w:rPr>
        <w:t>EN: Probing-Based Load Modeling and Optimal Low-Level Signal Design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547">
        <w:r>
          <w:rPr>
            <w:color w:val="1155CC"/>
            <w:u w:val="single"/>
          </w:rPr>
          <w:t>10.1109/tpwrs.2026.3673414</w:t>
        </w:r>
      </w:hyperlink>
    </w:p>
    <w:p>
      <w:pPr>
        <w:spacing w:before="0" w:after="120"/>
      </w:pPr>
      <w:r>
        <w:rPr>
          <w:b/>
        </w:rPr>
        <w:t xml:space="preserve">Notes: </w:t>
      </w:r>
      <w:r>
        <w:t>abstract_source=semanticscholar</w:t>
      </w:r>
    </w:p>
    <w:p>
      <w:pPr>
        <w:spacing w:before="0" w:after="80" w:lineRule="auto" w:line="276"/>
      </w:pPr>
      <w:r>
        <w:rPr>
          <w:b/>
        </w:rPr>
        <w:t xml:space="preserve">摘要（ZH）: </w:t>
      </w:r>
      <w:r>
        <w:t>作为电力系统动态分析的关键方面，负荷建模一直以提高模型精度并获得跟踪时变动态的能力为目标。本文提出一种基于激励信号的负荷建模方法。该创新方法通过可控装置向电力系统主动注入激励信号，以更好地激发负荷动态，且随着可控装置接入比例的不断提高，其适用性日益增强。为研究该方法并发挥其信号可控性优势，进一步提出了一种最优激励信号设计方法。首先，基于重新表述的频域辨识模型推导理论辨识误差，为评估辨识性能提供依据。随后，建立以最小化理论方差为目标的激励信号设计任务优化模型，并开发两步优化方法求解该问题。案例研究表明，最优激励信号在引起更少扰动的同时实现了更优的辨识性能，验证了所提方法的有效性。此外，理论分析与仿真结果之间的一致性也为所提辨识误差模型提供了进一步的验证。</w:t>
      </w:r>
    </w:p>
    <w:p>
      <w:pPr>
        <w:spacing w:before="0" w:after="200" w:lineRule="auto" w:line="276"/>
      </w:pPr>
      <w:r>
        <w:rPr>
          <w:b/>
        </w:rPr>
        <w:t xml:space="preserve">Abstract (EN): </w:t>
      </w:r>
      <w:r>
        <w:t>As a crucial aspect of analyzing power system dynamics, load modeling has been continually aimed at increasing the accuracy of models and attaining the ability to track time-varying dynamics. In this paper, a probing-based load modeling approach is proposed. This innovative method actively injects probing signals into power systems through controllable devices to better excite load dynamics and has become increasingly applicable due to the increasing integration of controllable devices. To investigate this method and leverage its signal controllability advantages, an optimal probing signal design method is further proposed. First, theoretical identification errors are derived based on a reformulated frequency-domain identification model, providing a basis for evaluating identification performance. Subsequently, an optimization model for probing signal design tasks is established to minimize the theoretical variance, and a two-step optimization approach is developed to solve this problem. Case studies demonstrate that the optimal probing signals achieve superior identification performance while inducing fewer disturbances, which verifies the effectiveness of the proposed method. Furthermore, the consistency between the theoretical analysis and simulation results also provides additional validation for the proposed identification error model.</w:t>
      </w:r>
    </w:p>
    <w:p>
      <w:pPr>
        <w:spacing w:before="120" w:after="120"/>
      </w:pPr>
      <w:r>
        <w:rPr>
          <w:sz w:val="18"/>
        </w:rPr>
        <w:t>——————————————————————————————————————————————————————————————————————</w:t>
      </w:r>
    </w:p>
    <w:p>
      <w:pPr>
        <w:spacing w:before="160" w:after="40" w:line="240" w:lineRule="auto"/>
      </w:pPr>
      <w:r>
        <w:rPr>
          <w:b/>
        </w:rPr>
        <w:t xml:space="preserve">[634] </w:t>
      </w:r>
      <w:hyperlink r:id="rId1548">
        <w:r>
          <w:rPr>
            <w:color w:val="1155CC"/>
            <w:u w:val="single"/>
          </w:rPr>
          <w:t>纺织摩擦电纳米发电机综述：从材料设计到自供电可穿戴能源系统</w:t>
        </w:r>
      </w:hyperlink>
    </w:p>
    <w:p>
      <w:pPr>
        <w:spacing w:before="0" w:after="80"/>
      </w:pPr>
      <w:r>
        <w:rPr>
          <w:i/>
          <w:sz w:val="20"/>
        </w:rPr>
        <w:t>EN: Review on Textile Triboelectric Nanogenerators: From Material Design to Self‐Powered Wearable Energy Systems</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1549">
        <w:r>
          <w:rPr>
            <w:color w:val="1155CC"/>
            <w:u w:val="single"/>
          </w:rPr>
          <w:t>10.1002/aenm.71524</w:t>
        </w:r>
      </w:hyperlink>
    </w:p>
    <w:p>
      <w:pPr>
        <w:spacing w:before="0" w:after="120"/>
      </w:pPr>
      <w:r>
        <w:rPr>
          <w:b/>
        </w:rPr>
        <w:t xml:space="preserve">Notes: </w:t>
      </w:r>
      <w:r>
        <w:t>abstract_source=crossref</w:t>
      </w:r>
    </w:p>
    <w:p>
      <w:pPr>
        <w:spacing w:before="0" w:after="80" w:lineRule="auto" w:line="276"/>
      </w:pPr>
      <w:r>
        <w:rPr>
          <w:b/>
        </w:rPr>
        <w:t xml:space="preserve">摘要（ZH）: </w:t>
      </w:r>
      <w:r>
        <w:t>摘要 可穿戴电子设备、智能纺织品和物联网（IoT）的快速增长提升了人们对可持续、自供能能源解决方案的需求。基于纺织品的摩擦纳米发电机（T-TENGs）将高效的机械能收集与纺织品的柔性、透气性、可拉伸性、耐洗性和可穿戴性相结合，已成为一种颇具前景的技术。本综述全面概述了T-TENGs的最新进展，涵盖了从基本机制到可穿戴应用的完整设计层级。文中讨论了交流型和新兴直流型TENG的工作原理，包括接触起电、静电感应、静电击穿和摩擦伏特效应。系统综述了摩擦电材料工程、纤维和纱线设计以及纺织品结构（包括机织、针织、编织、刺绣、多层和3D结构）的最新进展，重点阐述了性能提升和可扩展性。总结了在生物机械传感、可穿戴医疗、人机交互、智能纺织品和自供能可穿戴系统方面的应用，并强调了自供能传感与完全自主可穿戴平台之间的区别。最后，批判性分析了低电流输出、环境稳定性、耐洗性、耐久性、可扩展制造、性能标准化和商业化等关键挑战，并展望了迈向智能化、完全自主和商业化</w:t>
      </w:r>
    </w:p>
    <w:p>
      <w:pPr>
        <w:spacing w:before="0" w:after="200" w:lineRule="auto" w:line="276"/>
      </w:pPr>
      <w:r>
        <w:rPr>
          <w:b/>
        </w:rPr>
        <w:t xml:space="preserve">Abstract (EN): </w:t>
      </w:r>
      <w:r>
        <w:t>The rapid growth of wearable electronics, smart textiles, and the Internet of Things (IoT) has increased the demand for sustainable, self‐powered energy solutions. Textile‐based triboelectric nanogenerators (T‐TENGs) have emerged as a promising technology by combining efficient mechanical energy harvesting with the flexibility, breathability, stretchability, washability, and wearability of textiles. This review provides a comprehensive overview of recent advances in T‐TENGs, covering the complete design hierarchy from fundamental mechanisms to wearable applications. The operating principles of alternating‐current and emerging direct‐current TENGs, including contact electrification, electrostatic induction, electrostatic breakdown, and tribovoltaic effects, are discussed. Recent progress in triboelectric material engineering, fiber and yarn design, and textile architectures—including woven, knitted, braided, embroidered, multilayer, and 3D structures—is systematically reviewed with emphasis on performance enhancement and scalability. Applications in biomechanical sensing, wearable healthcare, human–machine interaction, smart textiles, and self‐powered wearable systems are summarized, highlighting the distinction between self‐powered sensing and fully autonomous wearable platforms. Finally, key challenges, including low current output, environmental stability, washability, durability, scalable manufacturing, performance standardization, and commercialization, are critically analyzed, and future research directions toward intelligent, fully autonomous, and commercially viable self‐powered wearable systems are outlined.</w:t>
      </w:r>
    </w:p>
    <w:p>
      <w:pPr>
        <w:spacing w:before="120" w:after="120"/>
      </w:pPr>
      <w:r>
        <w:rPr>
          <w:sz w:val="18"/>
        </w:rPr>
        <w:t>——————————————————————————————————————————————————————————————————————</w:t>
      </w:r>
    </w:p>
    <w:p>
      <w:pPr>
        <w:spacing w:before="160" w:after="40" w:line="240" w:lineRule="auto"/>
      </w:pPr>
      <w:r>
        <w:rPr>
          <w:b/>
        </w:rPr>
        <w:t xml:space="preserve">[635] </w:t>
      </w:r>
      <w:hyperlink r:id="rId1550">
        <w:r>
          <w:rPr>
            <w:color w:val="1155CC"/>
            <w:u w:val="single"/>
          </w:rPr>
          <w:t>纳米纤维素/COF复合膜的超分子工程：多维质子传递通道与框架锚定的协调</w:t>
        </w:r>
      </w:hyperlink>
    </w:p>
    <w:p>
      <w:pPr>
        <w:spacing w:before="0" w:after="80"/>
      </w:pPr>
      <w:r>
        <w:rPr>
          <w:i/>
          <w:sz w:val="20"/>
        </w:rPr>
        <w:t>EN: Supramolecular Engineering of Nanocellulose/COF Composite Membranes: Reconciling Multidimensional Proton Pathways With Framework Anchoring</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344">
        <w:r>
          <w:rPr>
            <w:color w:val="1155CC"/>
            <w:u w:val="single"/>
          </w:rPr>
          <w:t>10.1002/aenm.71416</w:t>
        </w:r>
      </w:hyperlink>
    </w:p>
    <w:p>
      <w:pPr>
        <w:spacing w:before="0" w:after="120"/>
      </w:pPr>
      <w:r>
        <w:rPr>
          <w:b/>
        </w:rPr>
        <w:t xml:space="preserve">Notes: </w:t>
      </w:r>
      <w:r>
        <w:t>abstract_source=crossref</w:t>
      </w:r>
    </w:p>
    <w:p>
      <w:pPr>
        <w:spacing w:before="0" w:after="80" w:lineRule="auto" w:line="276"/>
      </w:pPr>
      <w:r>
        <w:rPr>
          <w:b/>
        </w:rPr>
        <w:t xml:space="preserve">摘要（ZH）: </w:t>
      </w:r>
      <w:r>
        <w:t>摘要 对基于纳米纤维素的质子交换膜（NC-PEMs）而言，在实现高质子电导率的同时保持尺寸稳定性仍然是一项关键挑战，因为必要的酸功能化不可避免地引发严重溶胀。本文报道了一种超分子工程策略，将磺化纳米纤维素（SO3H-NC）与二维共价有机框架（TFP-DABA）集成，得到SO3H-NC@TFP-DABA膜，从而克服了这一长期存在的权衡问题。在机理上，SO3H-NC作为功能性插层剂诱导TFP-DABA层的剥离，暴露被屏蔽的酸性位点，并将氢键网络重组为连续的多维质子传输通道。同时，TFP-DABA框架施加刚性尺寸限制，有效约束了SO3H-NC的水化诱导溶胀。因此，优化后的SO3H-NC@TFP-DABA 3/7膜在80°C、98%和33%相对湿度（RH）下分别实现了590.6和281.5 mS cm−1的破纪录质子电导率，分别比Nafion 212提升13.4倍和5.1倍。卓越的传输效率使单电池测试中的峰值功率密度达到240 mW cm−2，比商业标准提升三倍。同时，该膜的溶胀率保持在5%以下，比Nafion 212低近四倍。这项工作为构建在宽湿度范围内兼具高电导率和尺寸稳定性的生物基PEMs确立了实用的超分子设计原则。</w:t>
      </w:r>
    </w:p>
    <w:p>
      <w:pPr>
        <w:spacing w:before="0" w:after="200" w:lineRule="auto" w:line="276"/>
      </w:pPr>
      <w:r>
        <w:rPr>
          <w:b/>
        </w:rPr>
        <w:t xml:space="preserve">Abstract (EN): </w:t>
      </w:r>
      <w:r>
        <w:t>Achieving high proton conductivity with dimensional stability remains a critical challenge for nanocellulose‐based proton exchange membranes (NC‐PEMs), as necessary acid functionalization invariably triggers severe swelling. Here we report a supramolecular engineering strategy that integrates sulfonated nanocellulose (SO 3 H‐NC) with a —2D covalent organic framework (TFP‐DABA), yielding a SO 3 H‐NC@TFP‐DABA membrane that overcomes this long‐standing trade‐off. Mechanistically, SO 3 H‐NC acts as a functional intercalator to induce the exfoliation of TFP‐DABA layers, exposing shielded acidic sites and reorganizing the hydrogen‐bond network into a continuous, multidimensional proton‐transport pathway. Simultaneously, TFP‐DABA framework imposes rigid dimensional confinement, effectively constraining the hydration‐induced swelling of the SO 3 H‐NC. Consequently, the optimized SO 3 H‐NC@TFP‐DABA 3/7 membrane delivers record‐breaking proton conductivities of 590.6 and 281.5 mS cm −1 at 80°C under 98% and 33% relative humidity (RH), respectively, corresponding to 13.4‐ and 5.1‐fold enhancements over Nafion 212. The superior transport efficiency facilitates a peak power density of 240 mW cm −2 in single‐cell tests, a threefold performance increase over the commercial standard. Meanwhile, the membrane maintains a swelling ratio of below 5%, nearly four times lower than that of Nafion 212. This work establishes a practical supramolecular design principle for constructing bio‐PEMs that are highly conductive yet dimensionally stable across a wide range of humidity conditions.</w:t>
      </w:r>
    </w:p>
    <w:p>
      <w:pPr>
        <w:spacing w:before="120" w:after="120"/>
      </w:pPr>
      <w:r>
        <w:rPr>
          <w:sz w:val="18"/>
        </w:rPr>
        <w:t>——————————————————————————————————————————————————————————————————————</w:t>
      </w:r>
    </w:p>
    <w:p>
      <w:pPr>
        <w:spacing w:before="160" w:after="40" w:line="240" w:lineRule="auto"/>
      </w:pPr>
      <w:r>
        <w:rPr>
          <w:b/>
        </w:rPr>
        <w:t xml:space="preserve">[636] </w:t>
      </w:r>
      <w:hyperlink r:id="rId1551">
        <w:r>
          <w:rPr>
            <w:color w:val="1155CC"/>
            <w:u w:val="single"/>
          </w:rPr>
          <w:t>基于MMC-HVDC的过度短路电流抑制：一种随机混合交直流输电扩展规划方法</w:t>
        </w:r>
      </w:hyperlink>
    </w:p>
    <w:p>
      <w:pPr>
        <w:spacing w:before="0" w:after="80"/>
      </w:pPr>
      <w:r>
        <w:rPr>
          <w:i/>
          <w:sz w:val="20"/>
        </w:rPr>
        <w:t>EN: Towards Excessive Short-Circuit Current Suppression via MMC-HVDC: A Stochastic Hybrid AC/DC Transmission Expansion Planning Approach</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552">
        <w:r>
          <w:rPr>
            <w:color w:val="1155CC"/>
            <w:u w:val="single"/>
          </w:rPr>
          <w:t>10.1109/tpwrs.2026.3698673</w:t>
        </w:r>
      </w:hyperlink>
    </w:p>
    <w:p>
      <w:pPr>
        <w:spacing w:before="0" w:after="120"/>
      </w:pPr>
      <w:r>
        <w:rPr>
          <w:b/>
        </w:rPr>
        <w:t xml:space="preserve">Notes: </w:t>
      </w:r>
      <w:r>
        <w:t>abstract_source=semanticscholar</w:t>
      </w:r>
    </w:p>
    <w:p>
      <w:pPr>
        <w:spacing w:before="0" w:after="80" w:lineRule="auto" w:line="276"/>
      </w:pPr>
      <w:r>
        <w:rPr>
          <w:b/>
        </w:rPr>
        <w:t xml:space="preserve">摘要（ZH）: </w:t>
      </w:r>
      <w:r>
        <w:t>为克服传统输电扩展规划（TEP）中短路电流（SCC）抑制方法的局限性，本信提出了一种考虑风电不确定性的新型SCC约束交直流混合TEP模型。为量化MMC的最大SCC贡献，开发了一种面向规划的等效电流源（ECS）模型，其具有随故障类型而不同的幅值，可直接嵌入TEP中。随后，提出了统一的SCC公式，整合了高压交流（HVAC）线路、同步发电机（SGs）和超导故障限流器（SFCLs）的SCC贡献。基于该SCC公式，所提随机模型被表述为混合整数线性规划（MILP）模型。数值仿真表明，所提公式在SCC建模与抑制方面是有效的。</w:t>
      </w:r>
    </w:p>
    <w:p>
      <w:pPr>
        <w:spacing w:before="0" w:after="200" w:lineRule="auto" w:line="276"/>
      </w:pPr>
      <w:r>
        <w:rPr>
          <w:b/>
        </w:rPr>
        <w:t xml:space="preserve">Abstract (EN): </w:t>
      </w:r>
      <w:r>
        <w:t>To overcome the limitations of conventional short- circuit current (SCC) suppression approaches in transmission expansion planning (TEP), this letter proposes a novel SCC-constrained hybrid AC/DC TEP model considering wind uncertainty. To quantify the maximum SCC contribution of MMC, a planning-oriented equivalent current source (ECS) model is developed with different fault-type-dependent magnitudes which could be directly embedded into the TEP. Then, a unified SCC formulation is proposed, integrating the SCC contribution of high voltage alternating current (HVAC) lines, synchronous generators (SGs) and superconducting fault current limiters (SFCLs). Based on the SCC formulation, the proposed stochastic model is cast as a mixed-integer linear programming (MILP) model. Numerical simulations suggest that the proposed formulations are effective in SCC modeling and suppression.</w:t>
      </w:r>
    </w:p>
    <w:p>
      <w:pPr>
        <w:spacing w:before="120" w:after="120"/>
      </w:pPr>
      <w:r>
        <w:rPr>
          <w:sz w:val="18"/>
        </w:rPr>
        <w:t>——————————————————————————————————————————————————————————————————————</w:t>
      </w:r>
    </w:p>
    <w:p>
      <w:pPr>
        <w:spacing w:before="160" w:after="40" w:line="240" w:lineRule="auto"/>
      </w:pPr>
      <w:r>
        <w:rPr>
          <w:b/>
        </w:rPr>
        <w:t xml:space="preserve">[637] </w:t>
      </w:r>
      <w:hyperlink r:id="rId1553">
        <w:r>
          <w:rPr>
            <w:color w:val="1155CC"/>
            <w:u w:val="single"/>
          </w:rPr>
          <w:t>将多神经DAE专家集成到电力系统动态元件建模中用于EMTP类仿真</w:t>
        </w:r>
      </w:hyperlink>
    </w:p>
    <w:p>
      <w:pPr>
        <w:spacing w:before="0" w:after="80"/>
      </w:pPr>
      <w:r>
        <w:rPr>
          <w:i/>
          <w:sz w:val="20"/>
        </w:rPr>
        <w:t>EN: Integrating Multi-Neural DAE Experts Into Power System Dynamic Component Modeling for EMTP-Type Simulation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554">
        <w:r>
          <w:rPr>
            <w:color w:val="1155CC"/>
            <w:u w:val="single"/>
          </w:rPr>
          <w:t>10.1109/tpwrs.2026.3685924</w:t>
        </w:r>
      </w:hyperlink>
    </w:p>
    <w:p>
      <w:pPr>
        <w:spacing w:before="0" w:after="120"/>
      </w:pPr>
      <w:r>
        <w:rPr>
          <w:b/>
        </w:rPr>
        <w:t xml:space="preserve">Notes: </w:t>
      </w:r>
      <w:r>
        <w:t>abstract_source=semanticscholar</w:t>
      </w:r>
    </w:p>
    <w:p>
      <w:pPr>
        <w:spacing w:before="0" w:after="80" w:lineRule="auto" w:line="276"/>
      </w:pPr>
      <w:r>
        <w:rPr>
          <w:b/>
        </w:rPr>
        <w:t xml:space="preserve">摘要（ZH）: </w:t>
      </w:r>
      <w:r>
        <w:t>传统的数据驱动建模方法在基于有限测量数据对电力系统中未知元件的电磁暂态(EMT)进行建模时面临显著的精度限制。此外,其泛化能力受限及兼容性问题进一步阻碍了其广泛应用。本文提出一种新颖的基于多门混合专家的微分-代数方程(MMOE-DAE)网络,用于对具有未知高阶动态特性的元件进行建模。首先,建立MMOE-DAE网络,通过调制多个门控神经DAE来建模三相元件各相之间的关系。然后,提出面向高阶动态元件建模的自动阶次升级模块,并通过全门控网络实现DAE阶次的辨识。最后,设计一种基于微调的模型局部参数灵活校准策略,以提高MMOE-DAE训练的精度和稳定性。基于商业EMT仿真平台CloudPSS,构建了不同电力元件的动态等值模型,并通过联合仿真评估了MMOE-DAE建模在精度和灵活性方面的优势。</w:t>
      </w:r>
    </w:p>
    <w:p>
      <w:pPr>
        <w:spacing w:before="0" w:after="200" w:lineRule="auto" w:line="276"/>
      </w:pPr>
      <w:r>
        <w:rPr>
          <w:b/>
        </w:rPr>
        <w:t xml:space="preserve">Abstract (EN): </w:t>
      </w:r>
      <w:r>
        <w:t>Traditional data-driven modeling methods encounter significant accuracy limitations when used to model the electromagnetic transients (EMT) of unidentified components in power systems based on limited measurement data. Moreover, their restricted generalization capabilities and compatibility issues further impede broad adoption. This paper proposes a novel multi-gate mixture-of-experts based differential-algebraic equation (MMOE-DAE) network to model components with unknown high-order dynamics. First, an MMOE-DAE network is established to model the relationships among the phases of the three-phase component by modulating multiple gated neural DAEs. Then, an automatic order upgrading module for high-order dynamic component modeling is proposed, and the identification of DAE order is facilitated by a fully gated network. Last, a model local parameter flexible calibration strategy based on fine-tuning is designed to improve the accuracy and stability of the MMOE-DAE training. Based on the commercial EMT simulation platform CloudPSS, dynamic equivalent models for different power components are constructed, and the accuracy and flexibility advantages of MMOE-DAE modeling are assessed through co-simulations.</w:t>
      </w:r>
    </w:p>
    <w:p>
      <w:pPr>
        <w:spacing w:before="120" w:after="120"/>
      </w:pPr>
      <w:r>
        <w:rPr>
          <w:sz w:val="18"/>
        </w:rPr>
        <w:t>——————————————————————————————————————————————————————————————————————</w:t>
      </w:r>
    </w:p>
    <w:p>
      <w:pPr>
        <w:spacing w:before="160" w:after="40" w:line="240" w:lineRule="auto"/>
      </w:pPr>
      <w:r>
        <w:rPr>
          <w:b/>
        </w:rPr>
        <w:t xml:space="preserve">[638] </w:t>
      </w:r>
      <w:hyperlink r:id="rId1555">
        <w:r>
          <w:rPr>
            <w:color w:val="1155CC"/>
            <w:u w:val="single"/>
          </w:rPr>
          <w:t>数字孪生集成的安全深度强化学习用于提升不平衡配电网的韧性</w:t>
        </w:r>
      </w:hyperlink>
    </w:p>
    <w:p>
      <w:pPr>
        <w:spacing w:before="0" w:after="80"/>
      </w:pPr>
      <w:r>
        <w:rPr>
          <w:i/>
          <w:sz w:val="20"/>
        </w:rPr>
        <w:t>EN: Digital Twin Integrated Safe Deep Reinforcement Learning for Resilience Enhancement of Unbalanced Distribution Grids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556">
        <w:r>
          <w:rPr>
            <w:color w:val="1155CC"/>
            <w:u w:val="single"/>
          </w:rPr>
          <w:t>10.1109/tpwrs.2026.3684449</w:t>
        </w:r>
      </w:hyperlink>
    </w:p>
    <w:p>
      <w:pPr>
        <w:spacing w:before="0" w:after="120"/>
      </w:pPr>
      <w:r>
        <w:rPr>
          <w:b/>
        </w:rPr>
        <w:t xml:space="preserve">Notes: </w:t>
      </w:r>
      <w:r>
        <w:t>abstract_source=semanticscholar</w:t>
      </w:r>
    </w:p>
    <w:p>
      <w:pPr>
        <w:spacing w:before="0" w:after="80" w:lineRule="auto" w:line="276"/>
      </w:pPr>
      <w:r>
        <w:rPr>
          <w:b/>
        </w:rPr>
        <w:t xml:space="preserve">摘要（ZH）: </w:t>
      </w:r>
      <w:r>
        <w:t>分布式能源(DER)在配电网中日益增长的接入以及极端事件的不断增加给电网带来了安全挑战,同时由于DER的广泛部署和未知的极端事件,难以获得精确的电网模型。本文提出一种新方法,通过新型电力系统数字孪生(DT)与基于深度强化学习(DRL)的多步关键负荷恢复方法相结合,增强不平衡配电网的韧性。首先,提出数据驱动与模型驱动相结合的辨识方法来构建电力系统DT,即使在不平衡条件下也能实现配电网网络拓扑和线路特性的辨识。此外,建立具有动态微电网(MG)构建能力的基于安全DRL的多步关键负荷恢复方案,以提高极端事件后配电系统的韧性并实现零电压越限。最后,提出DT与DRL相结合的韧性增强方法,在不平衡和不确定的电网条件下实现实时模型更新、最小负荷损失以及保障电网安全。</w:t>
      </w:r>
    </w:p>
    <w:p>
      <w:pPr>
        <w:spacing w:before="0" w:after="200" w:lineRule="auto" w:line="276"/>
      </w:pPr>
      <w:r>
        <w:rPr>
          <w:b/>
        </w:rPr>
        <w:t xml:space="preserve">Abstract (EN): </w:t>
      </w:r>
      <w:r>
        <w:t>The growing integration of distributed energy resources (DERs) into distribution grids and increasing extreme events bring security challenges into grids, while accurate grid model is difficult to be obtained due to the widespread deployment of DERs and unknown extreme events. This paper proposes a new method to strengthen the resilience of unbalanced distribution networks through the integration of a novel power system digital twin (DT) and deep reinforcement learning (DRL) based multi-step critical load restoration method. First, a combined data driven and model based identification method is proposed to develop power system DT, which achieves the identification of network topology and line characteristics of distribution grids even under unbalanced conditions. Moreover, a safe DRL based multi-step critical load restoration scheme with dynamic microgrids (MGs) formation capability is established to improve distribution system resilience after extreme events and realize zero voltage violations. Finally, a DT integrated DRL based resilience enhancement approach is proposed to achieve real-time model updating, minimal load loss and guaranteed grid safety under unbalanced and uncertain grid conditions.</w:t>
      </w:r>
    </w:p>
    <w:p>
      <w:pPr>
        <w:spacing w:before="120" w:after="120"/>
      </w:pPr>
      <w:r>
        <w:rPr>
          <w:sz w:val="18"/>
        </w:rPr>
        <w:t>——————————————————————————————————————————————————————————————————————</w:t>
      </w:r>
    </w:p>
    <w:p>
      <w:pPr>
        <w:spacing w:before="160" w:after="40" w:line="240" w:lineRule="auto"/>
      </w:pPr>
      <w:r>
        <w:rPr>
          <w:b/>
        </w:rPr>
        <w:t xml:space="preserve">[639] </w:t>
      </w:r>
      <w:hyperlink r:id="rId1557">
        <w:r>
          <w:rPr>
            <w:color w:val="1155CC"/>
            <w:u w:val="single"/>
          </w:rPr>
          <w:t>主动配电网的通用静态等值模型开发</w:t>
        </w:r>
      </w:hyperlink>
    </w:p>
    <w:p>
      <w:pPr>
        <w:spacing w:before="0" w:after="80"/>
      </w:pPr>
      <w:r>
        <w:rPr>
          <w:i/>
          <w:sz w:val="20"/>
        </w:rPr>
        <w:t>EN: Development of Generic Static Equivalent Models for Active Distribution Networks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558">
        <w:r>
          <w:rPr>
            <w:color w:val="1155CC"/>
            <w:u w:val="single"/>
          </w:rPr>
          <w:t>10.1109/tpwrs.2026.3671837</w:t>
        </w:r>
      </w:hyperlink>
    </w:p>
    <w:p>
      <w:pPr>
        <w:spacing w:before="0" w:after="120"/>
      </w:pPr>
      <w:r>
        <w:rPr>
          <w:b/>
        </w:rPr>
        <w:t xml:space="preserve">Notes: </w:t>
      </w:r>
      <w:r>
        <w:t>abstract_source=semanticscholar</w:t>
      </w:r>
    </w:p>
    <w:p>
      <w:pPr>
        <w:spacing w:before="0" w:after="80" w:lineRule="auto" w:line="276"/>
      </w:pPr>
      <w:r>
        <w:rPr>
          <w:b/>
        </w:rPr>
        <w:t xml:space="preserve">摘要（ZH）: </w:t>
      </w:r>
      <w:r>
        <w:t>换流器接口可再生能源(CI-RES)在配电网(DN)中日益增长的接入,加之同步发电机(SG)的逐步退役,正将辅助服务(AS)提供的责任从SG转移至CI-RES。为承担这一角色,CI-RES必须具备先进的频率和电压控制功能。然而,其间歇性特性以及DN与输电系统(TS)之间有功和无功功率交换的持续变化,给电力系统的安全可靠运行带来了重大挑战。传统的简化DN模型已不再适用,因为它们无法捕捉CI-RES控制策略对潮流的影响。本文提出一种新的方法论,用于建模和分析高CI-RES渗透率下DN的稳态行为,并考虑不同的频率和电压控制方案。该方法通过对中压和低压基准网络在不同运行条件下的仿真进行了验证,包括负荷类型、CI-RES渗透水平和控制策略的变化。结果证明了所提方法的鲁棒性和可扩展性,表明其能提供精确的等值模型并优于传统方法,尤其是当CI-RES同时嵌入频率和电压控制方案时。</w:t>
      </w:r>
    </w:p>
    <w:p>
      <w:pPr>
        <w:spacing w:before="0" w:after="200" w:lineRule="auto" w:line="276"/>
      </w:pPr>
      <w:r>
        <w:rPr>
          <w:b/>
        </w:rPr>
        <w:t xml:space="preserve">Abstract (EN): </w:t>
      </w:r>
      <w:r>
        <w:t>The increasing integration of converter-interfaced renewable energy sources (CI-RES) in distribution networks (DNs), combined with the gradual decommissioning of synchronous generators (SGs), is shifting the responsibility for ancillary services (AS) provision from SGs to CI-RES. To meet this role, CI-RES must incorporate advanced frequency and voltage control functionalities. However, their intermittent nature, together with the continuous variation of active and reactive power exchanges between DNs and the transmission system (TS), introduces significant challenges for secure and reliable power system operation. Conventional simplified DN models are no longer adequate, as they fail to capture the impact of CI-RES control strategies on power flows. This paper proposes a new methodology for modeling and analyzing the steady-state behavior of DNs with high CI-RES penetration, considering different frequency and voltage control schemes. The approach is validated through simulations on benchmark medium- and low-voltage networks under different operating conditions, including variations in load type, CI-RES penetration level, and control strategies. The results demonstrate the robustness and scalability of the proposed method, showing that it delivers accurate equivalent models and outperforms conventional approaches, particularly when CI-RES are embedded with both frequency and voltage control schemes.</w:t>
      </w:r>
    </w:p>
    <w:p>
      <w:pPr>
        <w:spacing w:before="120" w:after="120"/>
      </w:pPr>
      <w:r>
        <w:rPr>
          <w:sz w:val="18"/>
        </w:rPr>
        <w:t>——————————————————————————————————————————————————————————————————————</w:t>
      </w:r>
    </w:p>
    <w:p>
      <w:pPr>
        <w:spacing w:before="160" w:after="40" w:line="240" w:lineRule="auto"/>
      </w:pPr>
      <w:r>
        <w:rPr>
          <w:b/>
        </w:rPr>
        <w:t xml:space="preserve">[640] </w:t>
      </w:r>
      <w:hyperlink r:id="rId1559">
        <w:r>
          <w:rPr>
            <w:color w:val="1155CC"/>
            <w:u w:val="single"/>
          </w:rPr>
          <w:t>用于合成代表性潮流数据集的约束扩散模型</w:t>
        </w:r>
      </w:hyperlink>
    </w:p>
    <w:p>
      <w:pPr>
        <w:spacing w:before="0" w:after="80"/>
      </w:pPr>
      <w:r>
        <w:rPr>
          <w:i/>
          <w:sz w:val="20"/>
        </w:rPr>
        <w:t>EN: Constrained Diffusion Models for Synthesizing Representative Power Flow Datasets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560">
        <w:r>
          <w:rPr>
            <w:color w:val="1155CC"/>
            <w:u w:val="single"/>
          </w:rPr>
          <w:t>10.1109/tpwrs.2026.3684462</w:t>
        </w:r>
      </w:hyperlink>
    </w:p>
    <w:p>
      <w:pPr>
        <w:spacing w:before="0" w:after="120"/>
      </w:pPr>
      <w:r>
        <w:rPr>
          <w:b/>
        </w:rPr>
        <w:t xml:space="preserve">Notes: </w:t>
      </w:r>
      <w:r>
        <w:t>abstract_source=semanticscholar</w:t>
      </w:r>
    </w:p>
    <w:p>
      <w:pPr>
        <w:spacing w:before="0" w:after="80" w:lineRule="auto" w:line="276"/>
      </w:pPr>
      <w:r>
        <w:rPr>
          <w:b/>
        </w:rPr>
        <w:t xml:space="preserve">摘要（ZH）: </w:t>
      </w:r>
      <w:r>
        <w:t>高质量的潮流数据集对于训练电力系统中的机器学习模型至关重要。然而,安全与隐私问题限制了对真实数据的获取,使得统计上准确且物理上一致的合成数据集成为一种可行的替代方案。我们开发了一种扩散模型,用于从真实电网生成合成潮流数据集,该数据集既能复现真实数据的统计特性,又能保证交流潮流可行性。为施加约束,我们引入基于潮流约束的梯度引导,使扩散采样向可行样本方向引导。为提高学习效率并降低模型复杂度,我们进一步利用快速解耦潮流方法的洞见,提出用于扩散模型训练和采样的变量解耦策略。这些方案形成了一种物理信息驱动的扩散模型,所生成的潮流数据集在可行性和统计相似性方面优于标准扩散模型,IEEE基准系统上的实验验证了这一点。</w:t>
      </w:r>
    </w:p>
    <w:p>
      <w:pPr>
        <w:spacing w:before="0" w:after="200" w:lineRule="auto" w:line="276"/>
      </w:pPr>
      <w:r>
        <w:rPr>
          <w:b/>
        </w:rPr>
        <w:t xml:space="preserve">Abstract (EN): </w:t>
      </w:r>
      <w:r>
        <w:t>High-quality power flow datasets are essential for training machine learning models in power systems. However, security and privacy concerns restrict access to real-world data, making statistically accurate and physically consistent synthetic datasets a viable alternative. We develop a diffusion model for generating synthetic power flow datasets from real-world power grids that both replicate the statistical properties of the real-world data and ensure AC power flow feasibility. To enforce the constraints, we incorporate gradient guidance based on the power flow constraints to steer diffusion sampling toward feasible samples. To enhance learning efficiency and reduce model complexity, we further leverage insights from the fast decoupled power flow method and propose a variable decoupling strategy for the training and sampling of the diffusion model. These solutions lead to a physics-informed diffusion model, generating power flow datasets that outperform those from the standard diffusion in terms of feasibility and statistical similarity, as shown in experiments across IEEE benchmark systems.</w:t>
      </w:r>
    </w:p>
    <w:p>
      <w:pPr>
        <w:spacing w:before="120" w:after="120"/>
      </w:pPr>
      <w:r>
        <w:rPr>
          <w:sz w:val="18"/>
        </w:rPr>
        <w:t>——————————————————————————————————————————————————————————————————————</w:t>
      </w:r>
    </w:p>
    <w:p>
      <w:pPr>
        <w:spacing w:before="160" w:after="40" w:line="240" w:lineRule="auto"/>
      </w:pPr>
      <w:r>
        <w:rPr>
          <w:b/>
        </w:rPr>
        <w:t xml:space="preserve">[641] </w:t>
      </w:r>
      <w:hyperlink r:id="rId1561">
        <w:r>
          <w:rPr>
            <w:color w:val="1155CC"/>
            <w:u w:val="single"/>
          </w:rPr>
          <w:t>PQMFA：面向智能电网的轻量级可证明安全的后量子多因素认证密钥交换方案</w:t>
        </w:r>
      </w:hyperlink>
    </w:p>
    <w:p>
      <w:pPr>
        <w:spacing w:before="0" w:after="80"/>
      </w:pPr>
      <w:r>
        <w:rPr>
          <w:i/>
          <w:sz w:val="20"/>
        </w:rPr>
        <w:t>EN: PQMFA: Lightweight and Provably Secure Post-Quantum Multi-Factor Authentication Key Exchange Scheme for Smart Grid</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62">
        <w:r>
          <w:rPr>
            <w:color w:val="1155CC"/>
            <w:u w:val="single"/>
          </w:rPr>
          <w:t>10.1109/tsg.2026.3673601</w:t>
        </w:r>
      </w:hyperlink>
    </w:p>
    <w:p>
      <w:pPr>
        <w:spacing w:before="0" w:after="120"/>
      </w:pPr>
      <w:r>
        <w:rPr>
          <w:b/>
        </w:rPr>
        <w:t xml:space="preserve">Notes: </w:t>
      </w:r>
      <w:r>
        <w:t>abstract_source=semanticscholar</w:t>
      </w:r>
    </w:p>
    <w:p>
      <w:pPr>
        <w:spacing w:before="0" w:after="80" w:lineRule="auto" w:line="276"/>
      </w:pPr>
      <w:r>
        <w:rPr>
          <w:b/>
        </w:rPr>
        <w:t xml:space="preserve">摘要（ZH）: </w:t>
      </w:r>
      <w:r>
        <w:t>智能电网(SG)将电力基础设施与泛在通信和自动控制相耦合,但这种连接性扩大了计量和通信链路的攻击面。多因素认证(MFA)因此对于防止冒充和未授权访问至关重要。然而,大多数MFA方案依赖经典困难性假设,可能无法抵御量子攻击。此外,SG终端通常工作在资源不对称和严格时延约束之下。因此,迫切需要开发在后量子时代既安全又高效且可在SG环境中实际部署的后量子MFA方案。为确保后量子时代智能电网通信的安全,我们提出一种基于格的轻量级可证明安全的多因素认证密钥交换方案(PQMFA)。PQMFA将MFA集成到基于格的密钥交换框架中,并利用模糊验证器和蜜令牌等技术有效抵御口令猜测攻击。此外,引入一种新颖的基于格的非对称计算方法,以降低智能电表的计算开销。PQMFA的安全性在Real-Or-Random(ROR)模型下得到了形式化证明。与基准方案的对比分析表明,PQMFA不仅能有效抵御各种已知攻击并确保三因素安全,还在安全性与效率之间取得了实际的平衡。</w:t>
      </w:r>
    </w:p>
    <w:p>
      <w:pPr>
        <w:spacing w:before="0" w:after="200" w:lineRule="auto" w:line="276"/>
      </w:pPr>
      <w:r>
        <w:rPr>
          <w:b/>
        </w:rPr>
        <w:t xml:space="preserve">Abstract (EN): </w:t>
      </w:r>
      <w:r>
        <w:t>The smart grid (SG) couples power infrastructure with pervasive communication and automated control, but this connectivity enlarges the attack surface of metering and communication links. Multi-factor authentication (MFA) is therefore essential to prevent impersonation and unauthorized access. However, most MFA schemes rely on classical hardness assumptions and may not withstand quantum attacks. Moreover, SG terminals often operate under asymmetric resources and stringent latency constraints. Hence, it is urgent to develop post-quantum MFA schemes that are both secure and efficient, and practically deployable in SG environments. To ensure secure smart-grid communications in the post-quantum era, we propose a lattice-based lightweight and provably secure multi-factor authentication key exchange scheme (PQMFA). PQMFA integrates MFA into a lattice-based key exchange framework and leverages techniques such as fuzzy verifiers and honeywords to effectively resist password guessing attacks. Additionally, a novel lattice-based asymmetric computation method is introduced to reduce the computational overhead for smart meters. The security of PQMFA is formally proven under the Real-Or-Random (ROR) model. Comparative analysis with benchmark schemes demonstrates that PQMFA not only achieves strong resistance against various known attacks and ensures three-factor security, but also strikes a practical balance between security and efficiency.</w:t>
      </w:r>
    </w:p>
    <w:p>
      <w:pPr>
        <w:spacing w:before="120" w:after="120"/>
      </w:pPr>
      <w:r>
        <w:rPr>
          <w:sz w:val="18"/>
        </w:rPr>
        <w:t>——————————————————————————————————————————————————————————————————————</w:t>
      </w:r>
    </w:p>
    <w:p>
      <w:pPr>
        <w:spacing w:before="160" w:after="40" w:line="240" w:lineRule="auto"/>
      </w:pPr>
      <w:r>
        <w:rPr>
          <w:b/>
        </w:rPr>
        <w:t xml:space="preserve">[642] </w:t>
      </w:r>
      <w:hyperlink r:id="rId1563">
        <w:r>
          <w:rPr>
            <w:color w:val="1155CC"/>
            <w:u w:val="single"/>
          </w:rPr>
          <w:t>一种应用于电动汽车的新型相对极混合励磁电机的分析与优化</w:t>
        </w:r>
      </w:hyperlink>
    </w:p>
    <w:p>
      <w:pPr>
        <w:spacing w:before="0" w:after="80"/>
      </w:pPr>
      <w:r>
        <w:rPr>
          <w:i/>
          <w:sz w:val="20"/>
        </w:rPr>
        <w:t>EN: Analysis and Optimization of a New Consequent-Pole Hybrid Excited Machine Applied for Electric Vehicles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564">
        <w:r>
          <w:rPr>
            <w:color w:val="1155CC"/>
            <w:u w:val="single"/>
          </w:rPr>
          <w:t>10.1109/tec.2026.3656623</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一种用于电动汽车(EV)的新型分段定子混合励磁隐极电机(CPHES电机)。定子被分为两部分,以消除气隙中的偶次谐波磁场。定子齿分为两类,其中电枢齿的尺寸大于调制齿。置于定子中的电枢绕组和励磁绕组均为集中绕组。八个同极性的U型永磁体(PM)置于隐极转子中。阐述了所提电机的拓扑结构。通过解析模型讨论了CPHES电机的特性,如磁场耦合效应和分段定子。采用带灵敏度分析的多目标优化来提高CPHES电机的输出能力。通过一组Pareto前沿获得最优结果。采用有限元(FE)法分析CPHES电机的电磁性能,包括气隙磁通密度、磁链、空载反电动势(back-EMF)、电磁转矩和齿槽转矩。制造并测试了一台样机,以验证解析方法和FE预测结果。</w:t>
      </w:r>
    </w:p>
    <w:p>
      <w:pPr>
        <w:spacing w:before="0" w:after="200" w:lineRule="auto" w:line="276"/>
      </w:pPr>
      <w:r>
        <w:rPr>
          <w:b/>
        </w:rPr>
        <w:t xml:space="preserve">Abstract (EN): </w:t>
      </w:r>
      <w:r>
        <w:t>In this article, a new consequent-pole hybrid excited machine with segmented stator (CPHES machine) is proposed for electric vehicles (EVs). The stator is segmented into two parts to eliminate even-order harmonic fields in the air-gap. The stator tooth is divided into two types, in which the armature tooth is larger in size than the modulation tooth. Both the armature winding and the excitation winding housed in the stator are concentrated windings. Eight U-type permanent magnets (PMs) with the same polarity are housed in the consequent-pole rotor. The machine topology of this proposed machine is illustrated. The characteristics of the CPHES machine, such as the field coupling effect and the segmented stator, are discussed by the analytical model. The multi-objective optimization with sensitivity analysis is used to improve the output capability of the CPHES machine. The optimal outcomes can be obtained by a set of Pareto front. The finite element (FE) method is used to analyze the electromagnetic performances of the CPHES machine, including the air-gap flux density, the flux linkage, the no-load back electromagnetic force (back-EMF), the electromagnetic torque and the cogging torque. A prototype is manufactured and measured to verify the analytical method and the FE-predictions.</w:t>
      </w:r>
    </w:p>
    <w:p>
      <w:pPr>
        <w:spacing w:before="120" w:after="120"/>
      </w:pPr>
      <w:r>
        <w:rPr>
          <w:sz w:val="18"/>
        </w:rPr>
        <w:t>——————————————————————————————————————————————————————————————————————</w:t>
      </w:r>
    </w:p>
    <w:p>
      <w:pPr>
        <w:spacing w:before="160" w:after="40" w:line="240" w:lineRule="auto"/>
      </w:pPr>
      <w:r>
        <w:rPr>
          <w:b/>
        </w:rPr>
        <w:t xml:space="preserve">[643] </w:t>
      </w:r>
      <w:hyperlink r:id="rId1565">
        <w:r>
          <w:rPr>
            <w:color w:val="1155CC"/>
            <w:u w:val="single"/>
          </w:rPr>
          <w:t>超薄纳米层状氮化硼稳定钙钛矿量子点发光二极管</w:t>
        </w:r>
      </w:hyperlink>
    </w:p>
    <w:p>
      <w:pPr>
        <w:spacing w:before="0" w:after="80"/>
      </w:pPr>
      <w:r>
        <w:rPr>
          <w:i/>
          <w:sz w:val="20"/>
        </w:rPr>
        <w:t>EN: Ultrathin nano-layered boron nitride stabilizing perovskite quantum dot-based light-emitting diodes</w:t>
      </w:r>
    </w:p>
    <w:p>
      <w:pPr>
        <w:spacing w:before="0" w:after="120"/>
      </w:pPr>
      <w:r>
        <w:rPr>
          <w:b/>
        </w:rPr>
        <w:t xml:space="preserve">Source: </w:t>
      </w:r>
      <w:r>
        <w:t>Physical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钙钛矿量子点发光二极管（QLED）被认为是极具前景的照明与显示发光体。然而，其工作稳定性仍在很大程度上阻碍实际应用。在此，我们引入超薄纳米层状氮化硼（BN）作为埋底界面层以提升器件稳定性。作为一种有效的阻挡层，BN不仅与钙钛矿相互作用以钝化界面缺陷并消除离子迁移通道，还能直接抑制离子迁移。同时，BN使钙钛矿量子点的激子复合行为和电学传输特性对热的敏感性降低。结果是，经BN优化的QLED在初始亮度（L0）为100 cd m−2下实现了平均30.05%的EQE和外推工作寿命T50达25,263 h，分别比对照器件提高了1.7倍和约100倍。本工作通过界面工程将二维材料整合到钙钛矿中，为提升卤化物钙钛矿基LED的性能提供了一种务实策略。</w:t>
      </w:r>
    </w:p>
    <w:p>
      <w:pPr>
        <w:spacing w:before="0" w:after="200" w:lineRule="auto" w:line="276"/>
      </w:pPr>
      <w:r>
        <w:rPr>
          <w:b/>
        </w:rPr>
        <w:t xml:space="preserve">Abstract (EN): </w:t>
      </w:r>
      <w:r>
        <w:t>Perovskite quantum dot-based light-emitting diodes (QLEDs) have been regarded as promising emitters for lighting and displays. However, the operational stability still greatly hinders their practical applications. Here, we introduce ultrathin nano-layered boron nitride (BN) as buried interfacial layer to enhance device stability. As an effective blocking layer, BN not only interacts with perovskite to passivate interface defects and eliminate ion migration channel, but also directly suppresses ion migration. Meanwhile, BN makes exciton recombination behavior and electrical transport properties of perovskite QDs less sensitive to the heat. Resultantly, BN-optimized QLEDs achieved an average EQE of 30.05% and extrapolated operational lifetime T50 of 25,263 h at an initial luminance (L0) of 100 cd m−2, which is 1.7-fold and about 100-fold improvement compared to control devices, respectively. In this work, integrating 2D materials into perovskites through interface engineering provides a pragmatic tactic to enhance the performance of halide perovskite-based LEDs.</w:t>
      </w:r>
    </w:p>
    <w:p>
      <w:pPr>
        <w:spacing w:before="120" w:after="120"/>
      </w:pPr>
      <w:r>
        <w:rPr>
          <w:sz w:val="18"/>
        </w:rPr>
        <w:t>——————————————————————————————————————————————————————————————————————</w:t>
      </w:r>
    </w:p>
    <w:p>
      <w:pPr>
        <w:spacing w:before="160" w:after="40" w:line="240" w:lineRule="auto"/>
      </w:pPr>
      <w:r>
        <w:rPr>
          <w:b/>
        </w:rPr>
        <w:t xml:space="preserve">[644] </w:t>
      </w:r>
      <w:hyperlink r:id="rId1566">
        <w:r>
          <w:rPr>
            <w:color w:val="1155CC"/>
            <w:u w:val="single"/>
          </w:rPr>
          <w:t>IGNN：考虑信息物理电网中数据推理泄露的数据敏感性评估推理图神经网络</w:t>
        </w:r>
      </w:hyperlink>
    </w:p>
    <w:p>
      <w:pPr>
        <w:spacing w:before="0" w:after="80"/>
      </w:pPr>
      <w:r>
        <w:rPr>
          <w:i/>
          <w:sz w:val="20"/>
        </w:rPr>
        <w:t>EN: IGNN: An Inference Graph Neural Network for Data Sensitivity Assessment Considering Data Inference Leakage in Cyber-Physical Power Grid</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67">
        <w:r>
          <w:rPr>
            <w:color w:val="1155CC"/>
            <w:u w:val="single"/>
          </w:rPr>
          <w:t>10.1109/tsg.2026.3667966</w:t>
        </w:r>
      </w:hyperlink>
    </w:p>
    <w:p>
      <w:pPr>
        <w:spacing w:before="0" w:after="120"/>
      </w:pPr>
      <w:r>
        <w:rPr>
          <w:b/>
        </w:rPr>
        <w:t xml:space="preserve">Notes: </w:t>
      </w:r>
      <w:r>
        <w:t>abstract_source=semanticscholar</w:t>
      </w:r>
    </w:p>
    <w:p>
      <w:pPr>
        <w:spacing w:before="0" w:after="80" w:lineRule="auto" w:line="276"/>
      </w:pPr>
      <w:r>
        <w:rPr>
          <w:b/>
        </w:rPr>
        <w:t xml:space="preserve">摘要（ZH）: </w:t>
      </w:r>
      <w:r>
        <w:t>现代信息物理电力系统（CPPG）高度依赖细粒度的数据交换，但面临数据推理泄露（DIL）的隐蔽威胁，攻击者可从看似非敏感的数据中推断出敏感参数。现有风险评估方法通常关注直接网络攻击或采用静态二分类，无法捕捉由复杂物理与统计数据耦合引起的动态风险传播。为此，本文提出一种基于新型推理图神经网络（IGNN）的统一数据敏感性评估框架。我们首先构建一个融合模型驱动与数据驱动关联的推理关系图；构建层次分析法（AHP）模型以校准固有敏感性基线；随后开发一种新颖的推理加权图注意力网络（GAT），通过聚合沿推理路径传播的风险来量化最终敏感性。在IEEE 30、57节点、ACTIV 200节点以及case 1354-pegase系统上的实验表明，所提方法能有效量化数据敏感性并识别易受DIL影响的高风险数据，在不同系统规模下均表现出很强的鲁棒性。定量结果表明，本方法识别出的高敏感数据可产生高达0.9145的高威胁推理准确率，显著优于基于GCN和基于规则的基准方法。</w:t>
      </w:r>
    </w:p>
    <w:p>
      <w:pPr>
        <w:spacing w:before="0" w:after="200" w:lineRule="auto" w:line="276"/>
      </w:pPr>
      <w:r>
        <w:rPr>
          <w:b/>
        </w:rPr>
        <w:t xml:space="preserve">Abstract (EN): </w:t>
      </w:r>
      <w:r>
        <w:t>Modern Cyber-Physical Power Grids (CPPG) rely heavily on fine-grained data exchange, yet they face the concealed threat of Data Inference Leakage (DIL), where attackers infer sensitive parameters from seemingly non-sensitive data. Existing risk assessment methods typically focus on direct cyber-attacks or employ static binary classifications, failing to capture the dynamic risk propagation caused by complex physical and statistical data couplings. To address this, this paper proposes a unified data sensitivity assessment framework based on a novel Inference Graph Neural Network (IGNN). We first construct an inference relation graph that integrates both model-driven and data-driven correlations. An analytic hierarchy process (AHP) model is constructed to calibrate the intrinsic sensitivity baseline. Subsequently, a novel inference-weighted Graph Attention Network (GAT) is developed to quantify the final sensitivity by aggregating the risk propagating through the inference pathways. Experiments on IEEE 30-, 57-bus, ACTIV 200-bus, and case 1354-pegase systems demonstrate that the proposed method effectively quantifies data sensitivity and identifies high-risk data susceptible to DIL, exhibiting strong robustness across different system scales. Quantitative results indicate that the high-sensitivity data identified by our method yield a highly threatening inference accuracy of up to 0.9145, significantly outperforming GCN-based and rule-based benchmarks.</w:t>
      </w:r>
    </w:p>
    <w:p>
      <w:pPr>
        <w:spacing w:before="120" w:after="120"/>
      </w:pPr>
      <w:r>
        <w:rPr>
          <w:sz w:val="18"/>
        </w:rPr>
        <w:t>——————————————————————————————————————————————————————————————————————</w:t>
      </w:r>
    </w:p>
    <w:p>
      <w:pPr>
        <w:spacing w:before="160" w:after="40" w:line="240" w:lineRule="auto"/>
      </w:pPr>
      <w:r>
        <w:rPr>
          <w:b/>
        </w:rPr>
        <w:t xml:space="preserve">[645] </w:t>
      </w:r>
      <w:hyperlink r:id="rId1568">
        <w:r>
          <w:rPr>
            <w:color w:val="1155CC"/>
            <w:u w:val="single"/>
          </w:rPr>
          <w:t>单端截断的Au 52和Au 70量子棒：具有纵横比主导光物理特性的高量子产率NIR-II发射体</w:t>
        </w:r>
      </w:hyperlink>
    </w:p>
    <w:p>
      <w:pPr>
        <w:spacing w:before="0" w:after="80"/>
      </w:pPr>
      <w:r>
        <w:rPr>
          <w:i/>
          <w:sz w:val="20"/>
        </w:rPr>
        <w:t>EN: One‐End‐Truncated Au 52 and Au 70 Quantum Rods: High‐Quantum‐Yield NIR‐II Emitters With Aspect‐Ratio‐Dominated Photophysics</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69">
        <w:r>
          <w:rPr>
            <w:color w:val="1155CC"/>
            <w:u w:val="single"/>
          </w:rPr>
          <w:t>10.1002/anie.1815171</w:t>
        </w:r>
      </w:hyperlink>
    </w:p>
    <w:p>
      <w:pPr>
        <w:spacing w:before="0" w:after="120"/>
      </w:pPr>
      <w:r>
        <w:rPr>
          <w:b/>
        </w:rPr>
        <w:t xml:space="preserve">Notes: </w:t>
      </w:r>
      <w:r>
        <w:t>abstract_source=crossref</w:t>
      </w:r>
    </w:p>
    <w:p>
      <w:pPr>
        <w:spacing w:before="0" w:after="80" w:lineRule="auto" w:line="276"/>
      </w:pPr>
      <w:r>
        <w:rPr>
          <w:b/>
        </w:rPr>
        <w:t xml:space="preserve">摘要（ZH）: </w:t>
      </w:r>
      <w:r>
        <w:t>摘要 对NIR-II（1000–1700 nm）吸收/发射的精确调控对推进光子技术至关重要。原子精确的金量子棒（QR）为在原子水平精细调控NIR-II各向异性激子行为提供了结构明确平台。本研究报道了Au52(PET)38和Au70(PET)50（PET = 2-苯乙硫醇盐），它们是具有单端截断内核拓扑的独特金量子棒分支的成员。Au52和Au70分别在1032和1275 nm处表现出NIR-II吸收，并在1100和1360 nm处表现出纳秒荧光。它们的高量子产率（Au52为20.9%，Au70为14.8%）以及高亮度（Au52为5.6 × 104 M−1 cm−1，Au70具有相近数量级）大幅超过大多数分子NIR-II染料，凸显了其作为高效无机NIR-II荧光团的前景。对两个结构不同的金量子棒家族（包括单端截断和双尖端棒）的比较分析表明，纵向吸收和发射峰波长以及荧光线宽均遵循共同的依赖于长径比的标度关系，暗示基态和激发态电子结构存在长度依赖的调制。这些发现揭示了棒伸长与内核拓扑在决定NIR-II激子行为上的分层相互作用，并拓展了原子精确量子棒的结构设计空间。</w:t>
      </w:r>
    </w:p>
    <w:p>
      <w:pPr>
        <w:spacing w:before="0" w:after="200" w:lineRule="auto" w:line="276"/>
      </w:pPr>
      <w:r>
        <w:rPr>
          <w:b/>
        </w:rPr>
        <w:t xml:space="preserve">Abstract (EN): </w:t>
      </w:r>
      <w:r>
        <w:t>Precise control over absorption/emission in NIR‐II (1000–1700 nm) is essential for advancing photonic technologies. Atomically precise gold quantum rods (QRs) provide a structurally well‐defined platform for fine‐tuning NIR‐II anisotropic excitonic behavior at the atomic level. In this study, we report Au 52 (PET) 38 and Au 70 (PET) 50 (PET = 2‐phenylethanethiolate) as members of a distinct branch of Au QRs with one‐end‐truncated kernel topology. The Au 52 and Au 70 exhibit NIR‐II absorption at 1032 and 1275 nm and nanosecond fluorescence at 1100 and 1360 nm, respectively. Their high quantum yields (20.9% for Au 52 and 14.8% for Au 70 ) together with high brightness (5.6 × 10 4 M −1 cm −1 for Au 52 and a similar order of magnitude for Au 70 ) substantially exceed those of most molecular NIR‐II dyes, highlighting their promise as efficient inorganic NIR‐II fluorophores. Comparative analysis across two structurally distinct Au QR families, including one‐end‐truncated and double‐pointed rods, reveals that the longitudinal absorption and emission peak wavelengths, as well as the fluorescence linewidths, follow a common aspect‐ratio‐dependent scaling relation, suggesting length‐dependent modulation of the ground‐ and excited‐state electronic structure. These findings uncover a hierarchical interplay between rod elongation and kernel topology in defining NIR‐II excitonic behavior and expand the structural design space of atomically precise QRs.</w:t>
      </w:r>
    </w:p>
    <w:p>
      <w:pPr>
        <w:spacing w:before="120" w:after="120"/>
      </w:pPr>
      <w:r>
        <w:rPr>
          <w:sz w:val="18"/>
        </w:rPr>
        <w:t>——————————————————————————————————————————————————————————————————————</w:t>
      </w:r>
    </w:p>
    <w:p>
      <w:pPr>
        <w:spacing w:before="160" w:after="40" w:line="240" w:lineRule="auto"/>
      </w:pPr>
      <w:r>
        <w:rPr>
          <w:b/>
        </w:rPr>
        <w:t xml:space="preserve">[646] </w:t>
      </w:r>
      <w:hyperlink r:id="rId1570">
        <w:r>
          <w:rPr>
            <w:color w:val="1155CC"/>
            <w:u w:val="single"/>
          </w:rPr>
          <w:t>聚集增强光裂解用于时间分辨多色荧光加密和四进制光学存储</w:t>
        </w:r>
      </w:hyperlink>
    </w:p>
    <w:p>
      <w:pPr>
        <w:spacing w:before="0" w:after="80"/>
      </w:pPr>
      <w:r>
        <w:rPr>
          <w:i/>
          <w:sz w:val="20"/>
        </w:rPr>
        <w:t>EN: Aggregation‐Enhanced Photocleavage for Time‐Resolved Multicolor Fluorescence Encryption and Quaternary Optical Storage</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71">
        <w:r>
          <w:rPr>
            <w:color w:val="1155CC"/>
            <w:u w:val="single"/>
          </w:rPr>
          <w:t>10.1002/anie.7006612</w:t>
        </w:r>
      </w:hyperlink>
    </w:p>
    <w:p>
      <w:pPr>
        <w:spacing w:before="0" w:after="120"/>
      </w:pPr>
      <w:r>
        <w:rPr>
          <w:b/>
        </w:rPr>
        <w:t xml:space="preserve">Notes: </w:t>
      </w:r>
      <w:r>
        <w:t>abstract_source=crossref</w:t>
      </w:r>
    </w:p>
    <w:p>
      <w:pPr>
        <w:spacing w:before="0" w:after="80" w:lineRule="auto" w:line="276"/>
      </w:pPr>
      <w:r>
        <w:rPr>
          <w:b/>
        </w:rPr>
        <w:t xml:space="preserve">摘要（ZH）: </w:t>
      </w:r>
      <w:r>
        <w:t>摘要 能够产生时间分辨多色光输出的动态荧光系统在高级信息加密和光存储领域备受青睐。然而，荧光演化动力学的精确调控仍然具有挑战性，因为大多数已报道的系统要么表现出固化的光化学动力学，要么需要复杂的多组分组装。本文报道一种聚集调控的光化学系统，其中光切割动力学可通过依赖聚集态的激发态工程进行连续编程。我们合理设计了一种在中心乙烯基桥上具有可光切割结构的给体-受体发光体TPEMN。在光照射下，TPEMN经历显著的聚集增强的光氧化切割过程，光反应动力学随聚集程度逐步加快，并伴随从橙色到蓝色的连续多重荧光演化。系统的实验和理论研究揭示，聚集抑制了激发态结构弛豫，延长了激发态寿命，促进了系间窜越并促进了活性氧生成，从而显著加快光切割动力学。这将传统的二元光响应转化为分辨良好的时间依赖荧光态，实现了带欺骗性中间态的时间门控信息加密、具有“阅后即焚”功能的多级防伪以及高密度四元光存储的演示。本工作建立了聚集调控……</w:t>
      </w:r>
    </w:p>
    <w:p>
      <w:pPr>
        <w:spacing w:before="0" w:after="200" w:lineRule="auto" w:line="276"/>
      </w:pPr>
      <w:r>
        <w:rPr>
          <w:b/>
        </w:rPr>
        <w:t xml:space="preserve">Abstract (EN): </w:t>
      </w:r>
      <w:r>
        <w:t>Dynamic fluorescence systems capable of generating time‐resolved multicolor optical outputs are highly desirable for advanced information encryption and optical storage. However, precise regulation of fluorescence evolution kinetics remains challenging, as most reported systems either exhibit intrinsically fixed photochemical kinetics or require complex multicomponent assemblies. Herein, we report an aggregation‐regulated photochemical system in which the photocleavage kinetics can be continuously programmed through aggregation‐dependent excited‐state engineering. A donor–acceptor luminogen, TPEMN, with a photocleavable central vinyl bridge was rationally designed. Upon photoirradiation, TPEMN undergoes a pronounced aggregation‐enhanced photooxidative cleavage process in which photoreaction kinetics accelerate progressively with aggregation degree, accompanied by continuous multiple fluorescence evolutions from orange to blue. Systematic experimental and theoretical investigations reveal that aggregation suppresses excited‐state structural relaxation, prolongs excited‐state lifetime, facilitates intersystem crossing, and promotes reactive oxygen species generation, thereby markedly leading to accelerated photocleavage kinetics. This converts conventional binary photoresponses into well‐resolved time‐dependent fluorescence states, allowing demonstration of time‐gated information encryption with deceptive intermediates, multilevel anti‐counterfeiting with “burn‐after‐read” functionality, and high‐density quaternary optical storage. This work establishes aggregation‐regulated excited‐state engineering as a novel paradigm for manipulating photochemical reactivity, providing a conceptual framework for the development of high‐efficiency photoreactions, adaptive stimulus‐responsive materials, and dynamic information applications.</w:t>
      </w:r>
    </w:p>
    <w:p>
      <w:pPr>
        <w:spacing w:before="120" w:after="120"/>
      </w:pPr>
      <w:r>
        <w:rPr>
          <w:sz w:val="18"/>
        </w:rPr>
        <w:t>——————————————————————————————————————————————————————————————————————</w:t>
      </w:r>
    </w:p>
    <w:p>
      <w:pPr>
        <w:spacing w:before="160" w:after="40" w:line="240" w:lineRule="auto"/>
      </w:pPr>
      <w:r>
        <w:rPr>
          <w:b/>
        </w:rPr>
        <w:t xml:space="preserve">[647] </w:t>
      </w:r>
      <w:hyperlink r:id="rId1572">
        <w:r>
          <w:rPr>
            <w:color w:val="1155CC"/>
            <w:u w:val="single"/>
          </w:rPr>
          <w:t>利用蛋白质动力学实现Obafluorin类似物对苏氨酰-tRNA合成酶的选择性抑制</w:t>
        </w:r>
      </w:hyperlink>
    </w:p>
    <w:p>
      <w:pPr>
        <w:spacing w:before="0" w:after="80"/>
      </w:pPr>
      <w:r>
        <w:rPr>
          <w:i/>
          <w:sz w:val="20"/>
        </w:rPr>
        <w:t>EN: Leveraging Protein Dynamics for Selective Inhibition of Threonyl‐tRNA Synthetase by Obafluorin Analogs</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73">
        <w:r>
          <w:rPr>
            <w:color w:val="1155CC"/>
            <w:u w:val="single"/>
          </w:rPr>
          <w:t>10.1002/anie.5509036</w:t>
        </w:r>
      </w:hyperlink>
    </w:p>
    <w:p>
      <w:pPr>
        <w:spacing w:before="0" w:after="120"/>
      </w:pPr>
      <w:r>
        <w:rPr>
          <w:b/>
        </w:rPr>
        <w:t xml:space="preserve">Notes: </w:t>
      </w:r>
      <w:r>
        <w:t>abstract_source=crossref</w:t>
      </w:r>
    </w:p>
    <w:p>
      <w:pPr>
        <w:spacing w:before="0" w:after="80" w:lineRule="auto" w:line="276"/>
      </w:pPr>
      <w:r>
        <w:rPr>
          <w:b/>
        </w:rPr>
        <w:t xml:space="preserve">摘要（ZH）: </w:t>
      </w:r>
      <w:r>
        <w:t>摘要 抗生素耐药性的广泛出现亟需开发具有独特作用机制的新型药物。Obafluorin（OB）是一种天然β-内酯类抗生素，是苏氨酰-tRNA合成酶（ThrRS）的共价抑制剂，但原核与真核ThrRS活性位点的高度保守性导致其选择性极低，限制了OB的治疗潜力。在此，我们报道了一种基于结构动力学的设计策略，将OB转化为选择性抗菌剂。由于相同的结合模式，OB以近乎相等的效力抑制人和细菌ThrRS。OB的硝基苯基部分被视为能够区分敏感与耐药ThrRS同源物的“动力学传感器”。在此认识指导下，我们通过对该基团的合理改造设计了一系列OB类似物。其中，以对甲氧基苯基取代硝基苯基的OB-D4对细菌ThrRS相对于人ThrRS表现出241倍的选择性，同时安全性显著改善、细胞毒性极低。在小鼠皮肤感染模型中，OB-D4有效清除病原体、消除炎症并促进伤口愈合。总之，本工作建立了实现物种选择性的“动力学传感器”策略，将药物发现中的基本挑战——活性位点高度保守——转化为基于动力学差异的可利用机遇。</w:t>
      </w:r>
    </w:p>
    <w:p>
      <w:pPr>
        <w:spacing w:before="0" w:after="200" w:lineRule="auto" w:line="276"/>
      </w:pPr>
      <w:r>
        <w:rPr>
          <w:b/>
        </w:rPr>
        <w:t xml:space="preserve">Abstract (EN): </w:t>
      </w:r>
      <w:r>
        <w:t>The widespread emergence of antibiotic resistance necessitates the development of novel agents with unique mechanisms of action. Obafluorin (OB), a natural β‐lactone antibiotic, is a covalent inhibitor of threonyl‐tRNA synthetase (ThrRS), but the high conservation of the active site between prokaryote and eukaryote ThrRSs results in minimal selectivity, hindering the therapeutic potential of OB. Here, we report a structure dynamics‐based design strategy that transforms OB into a selective antibacterial agent. OB inhibits human and bacterial ThrRSs with nearly equal potency due to identical binding modes. The nitrophenyl moiety of OB is proposed as a ‘kinetic sensor’ that discriminates between sensitive and resistant ThrRS paralogs. Guided by this insight, we designed a series of OB analogs through rational modification of this moiety. Among them, OB‐D4 bearing a para ‐methoxyphenyl group in place of the nitrophenyl group, exhibited a 241‐fold selectivity for bacterial over human ThrRS, along with a markedly improved safety profile with minimal cytotoxicity. In a murine skin infection model, OB‐D4 effectively eradicated pathogens, resolving inflammation, and promoting wound healing. Together, this work establishes a ‘kinetic sensor’ strategy for achieving species selectivity, turning a fundamental challenge in drug discovery‐high active‐site conservation—into an exploitable opportunity based on dynamic differences.</w:t>
      </w:r>
    </w:p>
    <w:p>
      <w:pPr>
        <w:spacing w:before="120" w:after="120"/>
      </w:pPr>
      <w:r>
        <w:rPr>
          <w:sz w:val="18"/>
        </w:rPr>
        <w:t>——————————————————————————————————————————————————————————————————————</w:t>
      </w:r>
    </w:p>
    <w:p>
      <w:pPr>
        <w:spacing w:before="160" w:after="40" w:line="240" w:lineRule="auto"/>
      </w:pPr>
      <w:r>
        <w:rPr>
          <w:b/>
        </w:rPr>
        <w:t xml:space="preserve">[648] </w:t>
      </w:r>
      <w:hyperlink r:id="rId1574">
        <w:r>
          <w:rPr>
            <w:color w:val="1155CC"/>
            <w:u w:val="single"/>
          </w:rPr>
          <w:t>共组装镜像DNA纳米结构用于有效缓解急性肾损伤</w:t>
        </w:r>
      </w:hyperlink>
    </w:p>
    <w:p>
      <w:pPr>
        <w:spacing w:before="0" w:after="80"/>
      </w:pPr>
      <w:r>
        <w:rPr>
          <w:i/>
          <w:sz w:val="20"/>
        </w:rPr>
        <w:t>EN: Co‐Assembled Mirror‐Image DNA Nanostructure for Effective Alleviation of Acute Kidney Injury</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75">
        <w:r>
          <w:rPr>
            <w:color w:val="1155CC"/>
            <w:u w:val="single"/>
          </w:rPr>
          <w:t>10.1002/anie.4575346</w:t>
        </w:r>
      </w:hyperlink>
    </w:p>
    <w:p>
      <w:pPr>
        <w:spacing w:before="0" w:after="120"/>
      </w:pPr>
      <w:r>
        <w:rPr>
          <w:b/>
        </w:rPr>
        <w:t xml:space="preserve">Notes: </w:t>
      </w:r>
      <w:r>
        <w:t>abstract_source=crossref</w:t>
      </w:r>
    </w:p>
    <w:p>
      <w:pPr>
        <w:spacing w:before="0" w:after="80" w:lineRule="auto" w:line="276"/>
      </w:pPr>
      <w:r>
        <w:rPr>
          <w:b/>
        </w:rPr>
        <w:t xml:space="preserve">摘要（ZH）: </w:t>
      </w:r>
      <w:r>
        <w:t>摘要 急性肾损伤（AKI）治疗的高需求呼吁开发新的肾病治疗药物。氧化应激 coupled with 过度炎症是AKI的主要病理机制。特别是，补体成分5a（C5a）加剧了氧化应激与炎症反应之间的恶性循环。在此，我们开发了一种级联功能的镜像DNA纳米结构——L-DNA四面体（LDT），可依次阻断细胞外补体C5a以减轻炎症，并清除细胞内活性氧（ROS）以抑制氧化应激。通过ROS敏感连接子（硫缩酮，即TK键）将C5a中和镜像适配体（LA）整合到LDT中，使其在炎症微环境中释放LA以阻断C5a。与D-核酸对应物相比，LA偶联的LDT（LDT-LA）表现出优先的肾脏摄取和增强的肾脏滞留，并在缺血-再灌注（I/R）、顺铂和甘油诱导的AKI小鼠模型中提供了有效治疗。同时，LDT-LA具有优异的生物相容性，使其成为AKI治疗的有前景候选药物。生物稳定的、级联功能的LDT-LA可通过偶联适当的功能基团，作为治疗其他疾病的多功能平台。</w:t>
      </w:r>
    </w:p>
    <w:p>
      <w:pPr>
        <w:spacing w:before="0" w:after="200" w:lineRule="auto" w:line="276"/>
      </w:pPr>
      <w:r>
        <w:rPr>
          <w:b/>
        </w:rPr>
        <w:t xml:space="preserve">Abstract (EN): </w:t>
      </w:r>
      <w:r>
        <w:t>The high demand for acute kidney injury (AKI) therapy calls for the development of new therapeutics for renal management. Oxidative stress, coupled with excessive inflammation, is the main pathological mechanism for AKI. Specifically, complement component 5a (C5a) exacerbates the vicious cycle between oxidative stress and inflammatory responses. Herein, we developed a cascade‐functioning mirror‐image DNA nanostructure, L‐DNA tetrahedron (LDT), for sequentially blocking the extracellular complement C5a to alleviate inflammation and eliminating intracellular reactive oxygen species (ROS) to inhibit oxidative stress. A C5a‐neutralizing mirror‐image aptamer (LA) was incorporated into LDT via a ROS‐sensitive linker (thioketal, i.e., TK bond), which enabled the release of LA in the inflammatory microenvironment to block C5a. LA‐conjugated LDT (LDT‐LA) exhibited preferential renal uptake and enhanced renal retention compared with its counterpart made of D‐nucleic acids and provided effective treatment in ischemia‐reperfusion (I/R)‐, cisplatin‐, and glycerol‐induced AKI mouse models. Meanwhile, LDT‐LA exhibits excellent biocompatibility, making it a promising candidate for AKI therapy. The biostable, cascade‐functioning LDT‐LA could act as a multifunctional platform for the treatment of other diseases by conjugating with appropriate functional groups.</w:t>
      </w:r>
    </w:p>
    <w:p>
      <w:pPr>
        <w:spacing w:before="120" w:after="120"/>
      </w:pPr>
      <w:r>
        <w:rPr>
          <w:sz w:val="18"/>
        </w:rPr>
        <w:t>——————————————————————————————————————————————————————————————————————</w:t>
      </w:r>
    </w:p>
    <w:p>
      <w:pPr>
        <w:spacing w:before="160" w:after="40" w:line="240" w:lineRule="auto"/>
      </w:pPr>
      <w:r>
        <w:rPr>
          <w:b/>
        </w:rPr>
        <w:t xml:space="preserve">[649] </w:t>
      </w:r>
      <w:hyperlink r:id="rId1576">
        <w:r>
          <w:rPr>
            <w:color w:val="1155CC"/>
            <w:u w:val="single"/>
          </w:rPr>
          <w:t>设计多层光阳极用于广谱硫醇三氟甲基化</w:t>
        </w:r>
      </w:hyperlink>
    </w:p>
    <w:p>
      <w:pPr>
        <w:spacing w:before="0" w:after="80"/>
      </w:pPr>
      <w:r>
        <w:rPr>
          <w:i/>
          <w:sz w:val="20"/>
        </w:rPr>
        <w:t>EN: Designing Multilayered Photoanodes for Broad‐Scope Thiol Trifluoromethylation</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77">
        <w:r>
          <w:rPr>
            <w:color w:val="1155CC"/>
            <w:u w:val="single"/>
          </w:rPr>
          <w:t>10.1002/anie.2725970</w:t>
        </w:r>
      </w:hyperlink>
    </w:p>
    <w:p>
      <w:pPr>
        <w:spacing w:before="0" w:after="120"/>
      </w:pPr>
      <w:r>
        <w:rPr>
          <w:b/>
        </w:rPr>
        <w:t xml:space="preserve">Notes: </w:t>
      </w:r>
      <w:r>
        <w:t>abstract_source=crossref</w:t>
      </w:r>
    </w:p>
    <w:p>
      <w:pPr>
        <w:spacing w:before="0" w:after="80" w:lineRule="auto" w:line="276"/>
      </w:pPr>
      <w:r>
        <w:rPr>
          <w:b/>
        </w:rPr>
        <w:t xml:space="preserve">摘要（ZH）: </w:t>
      </w:r>
      <w:r>
        <w:t>摘要 自由基有机合成中的宽泛底物普适性常受限于底物依赖的自由基生成与高活性自由基物种快速、非选择性反应性之间的动力学失配。在本研究中，我们报道了负载Co2P的氮化碳（CN）量子点作为WO3薄膜的助催化剂，构建了命名为Co2P@CN-WO3的多层光阳极。在450 nm光照下，对甲基苯硫酚与三氟甲磺酰氯的模型反应生成4-(三氟甲硫基)甲苯，转化率达95%，选择性为91%，总产率为86.5%。该光阳极在连续运行84小时后仍保持约80%的活性。该方案 remarkably 适用于84种硫醇底物，其中16种 challenging 底物的产率可通过调节光电催化（PEC）系统参数进一步优化。机理研究表明，CN层改善了底物-界面接触，而Co2P则作为硫中心自由基生成和S─CF3键形成的催化活性位点，促进了该硫醇三氟甲基化反应。这项工作为实现PEC宽范围自由基转化提供了一种光电极设计策略。</w:t>
      </w:r>
    </w:p>
    <w:p>
      <w:pPr>
        <w:spacing w:before="0" w:after="200" w:lineRule="auto" w:line="276"/>
      </w:pPr>
      <w:r>
        <w:rPr>
          <w:b/>
        </w:rPr>
        <w:t xml:space="preserve">Abstract (EN): </w:t>
      </w:r>
      <w:r>
        <w:t>Broad substrate generality in radical organic synthesis is often limited by the kinetic mismatch between substrate‐dependent radical generation and the rapid, nonselective reactivity of highly active radical species. In this study, we report the development of Co 2 P‐loaded carbon nitride (CN) dots as a cocatalyst for WO 3 films, creating a multilayered photoanode designated as Co 2 P@CN‐WO 3 . Under 450 nm irradiation, the model reaction of p ‐methylthiophenol with trifluoromethanesulfonyl chloride resulted in 4‐(trifluoromethylthio)toluene, achieving a conversion of 95%, a selectivity of 91%, and an overall yield of 86.5%. The photoanode retained ca. 80% activity after 84 h of continuous operation. The protocol was remarkably applicable to 84 thiol substrates, and the yields of 16 challenging substrates can be further optimized by adjusting the parameters of the photoelectrocatalysis (PEC) system. Mechanistic studies reveal that the CN layer improves substrate–interface contact, whereas Co 2 P serves as a catalytically active site for sulfur‐centered radical generation and S─CF 3 bond formation, promoting this thiol trifluoromethylation. This work provides a photoelectrode design strategy for achieving broad‐scope radical transformations by PEC.</w:t>
      </w:r>
    </w:p>
    <w:p>
      <w:pPr>
        <w:spacing w:before="120" w:after="120"/>
      </w:pPr>
      <w:r>
        <w:rPr>
          <w:sz w:val="18"/>
        </w:rPr>
        <w:t>——————————————————————————————————————————————————————————————————————</w:t>
      </w:r>
    </w:p>
    <w:p>
      <w:pPr>
        <w:spacing w:before="160" w:after="40" w:line="240" w:lineRule="auto"/>
      </w:pPr>
      <w:r>
        <w:rPr>
          <w:b/>
        </w:rPr>
        <w:t xml:space="preserve">[650] </w:t>
      </w:r>
      <w:hyperlink r:id="rId1578">
        <w:r>
          <w:rPr>
            <w:color w:val="1155CC"/>
            <w:u w:val="single"/>
          </w:rPr>
          <w:t>利用X射线自由电子激光探索准静态压缩下的极端状态</w:t>
        </w:r>
      </w:hyperlink>
    </w:p>
    <w:p>
      <w:pPr>
        <w:spacing w:before="0" w:after="80"/>
      </w:pPr>
      <w:r>
        <w:rPr>
          <w:i/>
          <w:sz w:val="20"/>
        </w:rPr>
        <w:t>EN: Using X-ray free electron lasers to explore extreme states under quasi-static compression</w:t>
      </w:r>
    </w:p>
    <w:p>
      <w:pPr>
        <w:spacing w:before="0" w:after="120"/>
      </w:pPr>
      <w:r>
        <w:rPr>
          <w:b/>
        </w:rPr>
        <w:t xml:space="preserve">Source: </w:t>
      </w:r>
      <w:r>
        <w:t>Earth and environmental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X射线自由电子激光（XFELs）的卓越亮度与金刚石对顶砧（DACs）中的准静态压缩相结合，催生了探测物质极端状态的新型时间分辨方法。通过将串行X射线技术与压力和温度快速变化的动态驱动相结合，这些研究为认识相平衡、化学反应动力学和地球物理过程提供了洞察。在此，我们介绍了用于DAC研究的当前最先进的XFEL技术，包括串行X射线加热、脉冲激光加热和快速压缩。我们还强调了未来研究的关键问题，涉及强X射线与高压下样品的相互作用及相关的非平衡态。</w:t>
      </w:r>
    </w:p>
    <w:p>
      <w:pPr>
        <w:spacing w:before="0" w:after="200" w:lineRule="auto" w:line="276"/>
      </w:pPr>
      <w:r>
        <w:rPr>
          <w:b/>
        </w:rPr>
        <w:t xml:space="preserve">Abstract (EN): </w:t>
      </w:r>
      <w:r>
        <w:t>The exceptional brilliance of X-ray free electron lasers (XFELs) combined with quasi-static compression in diamond anvil cells (DACs) has enabled novel time-resolved methods for probing extreme states of matter. Coupling serial X-ray techniques with dynamic drivers for rapidly changing pressure and temperature, these studies offer insight into phase equilibria, chemical reaction kinetics, and geophysical processes. Here, we present the current state-of-the-art XFEL techniques used for DAC research, including serial X-ray heating, pulsed laser heating, and rapid compression. Essential questions for future investigation are also highlighted, regarding the interactions of intense X-rays with samples at high pressure and associated non-equilibrium states.</w:t>
      </w:r>
    </w:p>
    <w:p>
      <w:pPr>
        <w:spacing w:before="120" w:after="120"/>
      </w:pPr>
      <w:r>
        <w:rPr>
          <w:sz w:val="18"/>
        </w:rPr>
        <w:t>——————————————————————————————————————————————————————————————————————</w:t>
      </w:r>
    </w:p>
    <w:p>
      <w:pPr>
        <w:spacing w:before="160" w:after="40" w:line="240" w:lineRule="auto"/>
      </w:pPr>
      <w:r>
        <w:rPr>
          <w:b/>
        </w:rPr>
        <w:t xml:space="preserve">[651] </w:t>
      </w:r>
      <w:hyperlink r:id="rId1579">
        <w:r>
          <w:rPr>
            <w:color w:val="1155CC"/>
            <w:u w:val="single"/>
          </w:rPr>
          <w:t>李雅普诺夫指数解释机械马尔可夫系统中无序诱导的极化与孤子跃迁</w:t>
        </w:r>
      </w:hyperlink>
    </w:p>
    <w:p>
      <w:pPr>
        <w:spacing w:before="0" w:after="80"/>
      </w:pPr>
      <w:r>
        <w:rPr>
          <w:i/>
          <w:sz w:val="20"/>
        </w:rPr>
        <w:t>EN: Lyapunov exponents explain disorder-induced polarization and soliton jumping in a mechanical Markov system</w:t>
      </w:r>
    </w:p>
    <w:p>
      <w:pPr>
        <w:spacing w:before="0" w:after="120"/>
      </w:pPr>
      <w:r>
        <w:rPr>
          <w:b/>
        </w:rPr>
        <w:t xml:space="preserve">Source: </w:t>
      </w:r>
      <w:r>
        <w:t>Physical sciences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利用空间无序与时间随机性之间的映射，我们开发了一个基于Lyapunov指数的新框架，以解释无序一维（1D）力学系统中奇异的波局域化和迁移现象，这些系统可通过马尔可夫过程的空间类比来构建，我们称之为“力学马尔可夫系统”。我们证明，无序在这些力学马尔可夫系统中诱导零模（ZMs）的稳健极化，并利用Lyapunov指数解释了这一现象。值得注意的是，尽管其他所有模式都受无序控制的局域化影响，这些零模在非线性区域成为可移动的孤子，并表现出一系列新的非线性动力学特征，包括无反射的手性依赖跳跃，这同样可用Lyapunov指数加以解释。我们的结果确立了马尔可夫形式体系作为解释和设计无序力学系统中局域化与动力学的强大工具，为具有新型线性和非线性响应的可编程超材料开辟了机遇。</w:t>
      </w:r>
    </w:p>
    <w:p>
      <w:pPr>
        <w:spacing w:before="0" w:after="200" w:lineRule="auto" w:line="276"/>
      </w:pPr>
      <w:r>
        <w:rPr>
          <w:b/>
        </w:rPr>
        <w:t xml:space="preserve">Abstract (EN): </w:t>
      </w:r>
      <w:r>
        <w:t>Using a mapping between spatial disorder and temporal stochasticity, we develop a new framework using Lyapunov exponents to explain exotic wave localization and mobility phenomena in disordered one-dimensional (1D) mechanical systems that can be constructed via a spatial analog of a Markov process, which we call “mechanical Markov systems.” We show that disorder induces robust polarization of zero modes (ZMs) in these mechanical Markov systems, and this phenomenon is explained using Lyapunov exponents. Remarkably, these ZMs become mobile solitons in the nonlinear regime despite the disorder-controlled localization of all other modes, and display a set of new nonlinear dynamics features including reflectionless chirality-dependent jumping, which can also be explained using Lyapunov exponents. Our results establish the Markov formalism as a powerful tool to explain and design localization and dynamics in disordered mechanical systems, opening opportunities for programmable metamaterials with novel linear and nonlinear responses.</w:t>
      </w:r>
    </w:p>
    <w:p>
      <w:pPr>
        <w:spacing w:before="120" w:after="120"/>
      </w:pPr>
      <w:r>
        <w:rPr>
          <w:sz w:val="18"/>
        </w:rPr>
        <w:t>——————————————————————————————————————————————————————————————————————</w:t>
      </w:r>
    </w:p>
    <w:p>
      <w:pPr>
        <w:spacing w:before="160" w:after="40" w:line="240" w:lineRule="auto"/>
      </w:pPr>
      <w:r>
        <w:rPr>
          <w:b/>
        </w:rPr>
        <w:t xml:space="preserve">[652] </w:t>
      </w:r>
      <w:hyperlink r:id="rId1580">
        <w:r>
          <w:rPr>
            <w:color w:val="1155CC"/>
            <w:u w:val="single"/>
          </w:rPr>
          <w:t>世界道路表面正在改变</w:t>
        </w:r>
      </w:hyperlink>
    </w:p>
    <w:p>
      <w:pPr>
        <w:spacing w:before="0" w:after="80"/>
      </w:pPr>
      <w:r>
        <w:rPr>
          <w:i/>
          <w:sz w:val="20"/>
        </w:rPr>
        <w:t>EN: The changing surface of the world’s roads</w:t>
      </w:r>
    </w:p>
    <w:p>
      <w:pPr>
        <w:spacing w:before="0" w:after="120"/>
      </w:pPr>
      <w:r>
        <w:rPr>
          <w:b/>
        </w:rPr>
        <w:t xml:space="preserve">Source: </w:t>
      </w:r>
      <w:r>
        <w:t>Scientific community and society : Nature Communications subject feeds</w:t>
      </w:r>
      <w:r>
        <w:t xml:space="preserve">    </w:t>
      </w:r>
      <w:r>
        <w:rPr>
          <w:b/>
        </w:rPr>
        <w:t xml:space="preserve">Pub date: </w:t>
      </w:r>
      <w:r>
        <w:t>2026-09-01 00:00:00+00:00</w:t>
      </w:r>
    </w:p>
    <w:p>
      <w:pPr>
        <w:spacing w:before="0" w:after="120"/>
      </w:pPr>
      <w:r>
        <w:rPr>
          <w:b/>
        </w:rPr>
        <w:t xml:space="preserve">Notes: </w:t>
      </w:r>
      <w:r>
        <w:t>abstract_source=nature_html</w:t>
      </w:r>
    </w:p>
    <w:p>
      <w:pPr>
        <w:spacing w:before="0" w:after="80" w:lineRule="auto" w:line="276"/>
      </w:pPr>
      <w:r>
        <w:rPr>
          <w:b/>
        </w:rPr>
        <w:t xml:space="preserve">摘要（ZH）: </w:t>
      </w:r>
      <w:r>
        <w:t>韧性道路基础设施是联合国可持续发展目标（SDGs）的基石，然而全球尺度上空间一致的道路路面状况信息仍然有限。我们基于一个从Planetscope卫星影像中同时提取道路铺装状态和道路宽度的深度学习框架克服了这一空白。由此对2020年和2024年920万公里关键干线道路中的95.5%进行了制图，其中近一半此前未被分类。所得到的数据集和多尺度分析框架能够在发展、气候适应和公平性的背景下评估道路基础设施。与夜间灯光等代理指标不同，该数据以更高的空间分辨率直接捕捉支撑韧性的物理基础设施。该数据集揭示了人类发展的多尺度地理格局，在行星尺度上捕捉基础设施投资与可达性，支持面向人道主义物流的全球人道通行性矩阵，同时提供道路差异的局部洞察——例如揭示加纳与治理相关的模式，并凸显巴基斯坦与气候相关的脆弱性。</w:t>
      </w:r>
    </w:p>
    <w:p>
      <w:pPr>
        <w:spacing w:before="0" w:after="200" w:lineRule="auto" w:line="276"/>
      </w:pPr>
      <w:r>
        <w:rPr>
          <w:b/>
        </w:rPr>
        <w:t xml:space="preserve">Abstract (EN): </w:t>
      </w:r>
      <w:r>
        <w:t>Resilient road infrastructure is a cornerstone of the UN Sustainable Development Goals (SDGs), yet spatially consistent information on road surface conditions at the global scale remains limited. We overcome this gap based on a deep learning framework that extracts both road pavedness and road width from Planetscope satellite imagery. Thereby, mapping 95.5% of 9.2 million km of critical arterial roads for 2020 and 2024, nearly half of which was previously unclassified.The resulting dataset and multi-scale analytical framework enable assessments of road infrastructure in the context of development, climate adaptation, and equity.Unlike proxies such as nighttime lights, the data directly captures the physical infrastructure underpinning resilience at higher spatial resolution.This dataset reveals a multi-scale geography of human development, capturing infrastructure investment and accessibility at the planetary scale, enabling a global Humanitarian Passability Matrix for humanitarian logistics, while also providing local insights into road disparities—for example, revealing governance-related patterns in Ghana and highlighting climate-related vulnerabilities in Pakistan.</w:t>
      </w:r>
    </w:p>
    <w:p>
      <w:pPr>
        <w:spacing w:before="120" w:after="120"/>
      </w:pPr>
      <w:r>
        <w:rPr>
          <w:sz w:val="18"/>
        </w:rPr>
        <w:t>——————————————————————————————————————————————————————————————————————</w:t>
      </w:r>
    </w:p>
    <w:p>
      <w:pPr>
        <w:spacing w:before="160" w:after="40" w:line="240" w:lineRule="auto"/>
      </w:pPr>
      <w:r>
        <w:rPr>
          <w:b/>
        </w:rPr>
        <w:t xml:space="preserve">[653] </w:t>
      </w:r>
      <w:hyperlink r:id="rId1581">
        <w:r>
          <w:rPr>
            <w:color w:val="1155CC"/>
            <w:u w:val="single"/>
          </w:rPr>
          <w:t>采用PCB定子的无稀土轴向磁通永磁电机性能分析</w:t>
        </w:r>
      </w:hyperlink>
    </w:p>
    <w:p>
      <w:pPr>
        <w:spacing w:before="0" w:after="80"/>
      </w:pPr>
      <w:r>
        <w:rPr>
          <w:i/>
          <w:sz w:val="20"/>
        </w:rPr>
        <w:t>EN: Performance Analysis of a Rare-Earth-Free Axial Flux Permanent Magnet Motor Using a PCB Stator</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582">
        <w:r>
          <w:rPr>
            <w:color w:val="1155CC"/>
            <w:u w:val="single"/>
          </w:rPr>
          <w:t>10.1109/tec.2026.3669789</w:t>
        </w:r>
      </w:hyperlink>
    </w:p>
    <w:p>
      <w:pPr>
        <w:spacing w:before="0" w:after="120"/>
      </w:pPr>
      <w:r>
        <w:rPr>
          <w:b/>
        </w:rPr>
        <w:t xml:space="preserve">Notes: </w:t>
      </w:r>
      <w:r>
        <w:t>abstract_source=semanticscholar</w:t>
      </w:r>
    </w:p>
    <w:p>
      <w:pPr>
        <w:spacing w:before="0" w:after="80" w:lineRule="auto" w:line="276"/>
      </w:pPr>
      <w:r>
        <w:rPr>
          <w:b/>
        </w:rPr>
        <w:t xml:space="preserve">摘要（ZH）: </w:t>
      </w:r>
      <w:r>
        <w:t>结构简单和材料用量少是降低制造成本的关键因素，而这对于在大批量生产的小分马力无刷永磁电机的全球市场中保持竞争力至关重要。本文分析了一种采用印刷电路板（PCB）定子的轴向磁通永磁电机在小分马力驱动中的性能，与无铁芯PCB电机不同，该电机采用了铁氧体铁芯。研究表明，尽管看似增加了成本，但该电机整体不仅比传统结构表现出更优越的性能，实际上成本反而更低。这是因为可以使用低成本的铁氧体磁体代替稀土磁体，并且铁芯形状针对成本高效的PCB集成进行了优化。本文描述了电机结构和关键设计考虑，并介绍了一个专用测试台，以应对小分马力电机独特的测量挑战。在空载和负载条件下，对该电机的性能进行了理论和实验分析。研究结果证实了所研究电机拓扑在径向风机应用中的潜力。</w:t>
      </w:r>
    </w:p>
    <w:p>
      <w:pPr>
        <w:spacing w:before="0" w:after="200" w:lineRule="auto" w:line="276"/>
      </w:pPr>
      <w:r>
        <w:rPr>
          <w:b/>
        </w:rPr>
        <w:t xml:space="preserve">Abstract (EN): </w:t>
      </w:r>
      <w:r>
        <w:t>Simplicity in structure and minimal material usage are key factors in reducing manufacturing costs, which is essential for staying competitive in the global market of mass-produced sub-fractional horsepower brushless permanent magnet motors. This paper analyzes the performance of an axial flux permanent magnet motor using a printed circuit board (PCB) stator for sub-fractional horsepower drives that – in contrast to the coreless PCB motors – employs a ferrite core. The investigation shows that, despite this seemingly added cost, the overall motor not only exhibits superior performance compared to the conventional structure but actually comes at reduced cost. This is because low-cost ferrite magnets can be used instead of rare-earth magnets, and the core shape being optimized for cost-efficient PCB integration. The motor structure and key design considerations are described, and a specialized test rig is introduced to address the unique measurement challenges of sub-fractional horsepower machines. The motor’s performance is analyzed theoretically and experimentally under both no-load and load conditions. The findings confirm the potential of the investigated motor topology for radial fan applications.</w:t>
      </w:r>
    </w:p>
    <w:p>
      <w:pPr>
        <w:spacing w:before="120" w:after="120"/>
      </w:pPr>
      <w:r>
        <w:rPr>
          <w:sz w:val="18"/>
        </w:rPr>
        <w:t>——————————————————————————————————————————————————————————————————————</w:t>
      </w:r>
    </w:p>
    <w:p>
      <w:pPr>
        <w:spacing w:before="160" w:after="40" w:line="240" w:lineRule="auto"/>
      </w:pPr>
      <w:r>
        <w:rPr>
          <w:b/>
        </w:rPr>
        <w:t xml:space="preserve">[654] </w:t>
      </w:r>
      <w:hyperlink r:id="rId1583">
        <w:r>
          <w:rPr>
            <w:color w:val="1155CC"/>
            <w:u w:val="single"/>
          </w:rPr>
          <w:t>畸变电网条件下电池储能系统充电电流纹波抑制的导纳重塑方法</w:t>
        </w:r>
      </w:hyperlink>
    </w:p>
    <w:p>
      <w:pPr>
        <w:spacing w:before="0" w:after="80"/>
      </w:pPr>
      <w:r>
        <w:rPr>
          <w:i/>
          <w:sz w:val="20"/>
        </w:rPr>
        <w:t>EN: Admittance Reshaping Method for Charging Current Ripple Suppression of the Battery Energy Storage System Under Distorted Grid Conditions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584">
        <w:r>
          <w:rPr>
            <w:color w:val="1155CC"/>
            <w:u w:val="single"/>
          </w:rPr>
          <w:t>10.1109/tec.2026.3685813</w:t>
        </w:r>
      </w:hyperlink>
    </w:p>
    <w:p>
      <w:pPr>
        <w:spacing w:before="0" w:after="120"/>
      </w:pPr>
      <w:r>
        <w:rPr>
          <w:b/>
        </w:rPr>
        <w:t xml:space="preserve">Notes: </w:t>
      </w:r>
      <w:r>
        <w:t>abstract_source=semanticscholar</w:t>
      </w:r>
    </w:p>
    <w:p>
      <w:pPr>
        <w:spacing w:before="0" w:after="80" w:lineRule="auto" w:line="276"/>
      </w:pPr>
      <w:r>
        <w:rPr>
          <w:b/>
        </w:rPr>
        <w:t xml:space="preserve">摘要（ZH）: </w:t>
      </w:r>
      <w:r>
        <w:t>电网电压背景谐波会在储能变流器（ESC）中诱发谐波电流。此外，电池储能系统（BESS）的频率耦合特性会诱发新的谐波电流分量，可能导致电池充电过程中的电流纹波。本文提出了一种导纳重塑方法，以减轻电网背景谐波对BESS电池充电电流的影响。首先，建立了ESC的小信号导纳模型。然后，对充电电流纹波进行了理论分析和数学推导。接着，给出了电流内环和功率外环导纳重塑因子的一般形式，将导纳模型重塑为dq坐标系下的对称系统，从而减小谐波分量。此外，通过适当选取导纳重塑因子的参数来降低谐波的幅值。通过解耦系统并降低ESC的导纳值，提高了并网电流质量，同时抑制了充电电流纹波。仿真和实验结果验证了所提导纳重塑方法的可行性和有效性。</w:t>
      </w:r>
    </w:p>
    <w:p>
      <w:pPr>
        <w:spacing w:before="0" w:after="200" w:lineRule="auto" w:line="276"/>
      </w:pPr>
      <w:r>
        <w:rPr>
          <w:b/>
        </w:rPr>
        <w:t xml:space="preserve">Abstract (EN): </w:t>
      </w:r>
      <w:r>
        <w:t>Grid voltage background harmonics can induce harmonic currents in the energy storage converter (ESC). Furthermore, the frequency-coupling characteristic of the battery energy storage system (BESS), which induces new harmonic current components, can result in current ripple during battery charging. This paper proposes an admittance-reshaping method to mitigate the influence of grid background harmonics on the battery charging current of the BESS. Firstly, the small-signal admittance model of the ESC is established. Then, a theoretical analysis and mathematical derivation of the charging current ripple are conducted. The general forms of the inner current-control loop and outer power-control loop admittance-reshaping factors are then developed to reshape the admittance model into a symmetrical system within the dq frame, as a result, the harmonic components are reduced. Furthermore, the admittance-reshaping factors’ parameters are appropriately selected to reduce the magnitude of harmonics. By decoupling the system and lowering the admittance value of the ESC, the quality of the grid-connected current is improved, while simultaneously suppressing the charging current ripple. The feasibility and effectiveness of the proposed admittance-reshaping method are verified by the presented simulation and experimental results.</w:t>
      </w:r>
    </w:p>
    <w:p>
      <w:pPr>
        <w:spacing w:before="120" w:after="120"/>
      </w:pPr>
      <w:r>
        <w:rPr>
          <w:sz w:val="18"/>
        </w:rPr>
        <w:t>——————————————————————————————————————————————————————————————————————</w:t>
      </w:r>
    </w:p>
    <w:p>
      <w:pPr>
        <w:spacing w:before="160" w:after="40" w:line="240" w:lineRule="auto"/>
      </w:pPr>
      <w:r>
        <w:rPr>
          <w:b/>
        </w:rPr>
        <w:t xml:space="preserve">[655] </w:t>
      </w:r>
      <w:hyperlink r:id="rId1585">
        <w:r>
          <w:rPr>
            <w:color w:val="1155CC"/>
            <w:u w:val="single"/>
          </w:rPr>
          <w:t>面向HVAC系统参与能量与调节联合市场的利润驱动自适应不确定性建模</w:t>
        </w:r>
      </w:hyperlink>
    </w:p>
    <w:p>
      <w:pPr>
        <w:spacing w:before="0" w:after="80"/>
      </w:pPr>
      <w:r>
        <w:rPr>
          <w:i/>
          <w:sz w:val="20"/>
        </w:rPr>
        <w:t>EN: Profit-Driven Adaptive Uncertainty Modeling for HVAC Systems Participation in Joint Energy and Regulation Markets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86">
        <w:r>
          <w:rPr>
            <w:color w:val="1155CC"/>
            <w:u w:val="single"/>
          </w:rPr>
          <w:t>10.1109/tsg.2026.3676977</w:t>
        </w:r>
      </w:hyperlink>
    </w:p>
    <w:p>
      <w:pPr>
        <w:spacing w:before="0" w:after="120"/>
      </w:pPr>
      <w:r>
        <w:rPr>
          <w:b/>
        </w:rPr>
        <w:t xml:space="preserve">Notes: </w:t>
      </w:r>
      <w:r>
        <w:t>abstract_source=semanticscholar</w:t>
      </w:r>
    </w:p>
    <w:p>
      <w:pPr>
        <w:spacing w:before="0" w:after="80" w:lineRule="auto" w:line="276"/>
      </w:pPr>
      <w:r>
        <w:rPr>
          <w:b/>
        </w:rPr>
        <w:t xml:space="preserve">摘要（ZH）: </w:t>
      </w:r>
      <w:r>
        <w:t>本文提出了一种面向利润的AGC信号自适应不确定性建模框架，以支持在能量与调节联合市场中的投标。传统方法通常通过最小化估计误差来刻画不确定性，这往往与经济目标不一致，导致决策次优。为弥合这一差距，本文开发了一个利润驱动的双层优化模型，联合优化不确定性集合的参数和市场投标，确保不确定性表征与决策目标之间的一致性。为解决传统不确定性集合的几何刚性并增强所提框架的有效性，本文引入了基于输入凸神经网络的不确定性集合（ICNN-US），能够表示任意凸形状。进一步集成了超网络，使ICNN-US能够动态适应不断变化的优化模型参数，实现自适应且情境感知的不确定性建模。该框架结合了可微分优化层，以确保计算的可处理性，并通过基于梯度的方法实现高效的端到端训练。基于真实数据的案例研究表明，与传统面向估计的方法相比，所提框架的经济性能提升了5.86%，同时在AGC信号部署中始终保持调度可行性。</w:t>
      </w:r>
    </w:p>
    <w:p>
      <w:pPr>
        <w:spacing w:before="0" w:after="200" w:lineRule="auto" w:line="276"/>
      </w:pPr>
      <w:r>
        <w:rPr>
          <w:b/>
        </w:rPr>
        <w:t xml:space="preserve">Abstract (EN): </w:t>
      </w:r>
      <w:r>
        <w:t>This paper presents a profit-driven adaptive uncertainty modeling framework for automatic generation control (AGC) signals to support bidding in joint energy and regulation markets. Conventional methods typically characterize uncertainty by minimizing estimation error, which is often misaligned with economic objectives and results in suboptimal decisions. To bridge this gap, a profit-driven bilevel optimization model is developed to jointly optimize the parameters of the uncertainty set and market bids, ensuring consistency between uncertainty representation and decision-making objectives. To address the geometric rigidity of traditional uncertainty sets and enhance the effectiveness of the proposed framework, this paper introduces an input-convex neural network–based uncertainty set (ICNN-US) capable of representing arbitrary convex shapes. A hypernetwork is further integrated to dynamically adapt the ICNN-US to varying optimization model parameters, enabling adaptive and context-aware uncertainty modeling. The framework incorporates a differentiable optimization layer to ensure computational tractability and enable efficient end-to-end training via gradient-based methods. Case studies based on real-world data demonstrate that the proposed framework improves economic performance by 5.86% compared with conventional estimation-oriented methods while consistently maintaining dispatch feasibility for AGC signal deployment.</w:t>
      </w:r>
    </w:p>
    <w:p>
      <w:pPr>
        <w:spacing w:before="120" w:after="120"/>
      </w:pPr>
      <w:r>
        <w:rPr>
          <w:sz w:val="18"/>
        </w:rPr>
        <w:t>——————————————————————————————————————————————————————————————————————</w:t>
      </w:r>
    </w:p>
    <w:p>
      <w:pPr>
        <w:spacing w:before="160" w:after="40" w:line="240" w:lineRule="auto"/>
      </w:pPr>
      <w:r>
        <w:rPr>
          <w:b/>
        </w:rPr>
        <w:t xml:space="preserve">[656] </w:t>
      </w:r>
      <w:hyperlink r:id="rId1587">
        <w:r>
          <w:rPr>
            <w:color w:val="1155CC"/>
            <w:u w:val="single"/>
          </w:rPr>
          <w:t>电力系统调度问题中的代理模型：基于图神经网络学习有效约束</w:t>
        </w:r>
      </w:hyperlink>
    </w:p>
    <w:p>
      <w:pPr>
        <w:spacing w:before="0" w:after="80"/>
      </w:pPr>
      <w:r>
        <w:rPr>
          <w:i/>
          <w:sz w:val="20"/>
        </w:rPr>
        <w:t>EN: Surrogate Models in Power System Scheduling Problems: Learning Active Constraints via Graph Neural Networks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88">
        <w:r>
          <w:rPr>
            <w:color w:val="1155CC"/>
            <w:u w:val="single"/>
          </w:rPr>
          <w:t>10.1109/tsg.2026.3681028</w:t>
        </w:r>
      </w:hyperlink>
    </w:p>
    <w:p>
      <w:pPr>
        <w:spacing w:before="0" w:after="120"/>
      </w:pPr>
      <w:r>
        <w:rPr>
          <w:b/>
        </w:rPr>
        <w:t xml:space="preserve">Notes: </w:t>
      </w:r>
      <w:r>
        <w:t>abstract_source=semanticscholar</w:t>
      </w:r>
    </w:p>
    <w:p>
      <w:pPr>
        <w:spacing w:before="0" w:after="80" w:lineRule="auto" w:line="276"/>
      </w:pPr>
      <w:r>
        <w:rPr>
          <w:b/>
        </w:rPr>
        <w:t xml:space="preserve">摘要（ZH）: </w:t>
      </w:r>
      <w:r>
        <w:t>电力系统调度问题需要反复求解，并且为了实时部署资产设定点需要快速计算。由于能够刻画网络运营商与终端用户之间的层次结构，双层优化常被采用。然而，双层模型固有的复杂性使得反复求解在计算上代价高昂。为此，我们提出了一种代理建模方法，用于预测完整双层模型中起作用约束的集合，从而显著降低计算量。我们不依赖对不确定参数的大量采样，而是利用优化问题的二部图结构，并应用图神经网络（GNN），通过利用优化模型的内在几何依赖性直接学习约束活动性。我们通过将代理目标值和计算加速与原问题进行比较来评估该端到端方法，并在一系列复杂度递增的测试案例（从线性规划问题到混合整数线性规划和双层问题）上与随机森林（RF）和前馈神经网络（FNN）分类器进行了基准测试。结果表明，编码了互补松弛和二元激活等数学特性以降低模型复杂度的基于GNN的模型，实现了高达10-20倍的加速，目标偏差低于4%，最优性比率达99%。这优于RF和FNN的性能，凸显了GNN直接编码数学结构的适用性。</w:t>
      </w:r>
    </w:p>
    <w:p>
      <w:pPr>
        <w:spacing w:before="0" w:after="200" w:lineRule="auto" w:line="276"/>
      </w:pPr>
      <w:r>
        <w:rPr>
          <w:b/>
        </w:rPr>
        <w:t xml:space="preserve">Abstract (EN): </w:t>
      </w:r>
      <w:r>
        <w:t>Power system scheduling problems are solved repeatedly and require fast computation for real time deployment of asset setpoints. Bilevel optimization is often employed due to its ability to capture the hierarchical structure between network operators and end users. However, the inherent complexity of bilevel models makes repeated solutions computationally expensive. To address this, we propose a surrogate modeling approach that predicts the set of active constraints in the full bilevel formulation, thereby significantly reducing computational effort. Rather than relying on extensive sampling over uncertain parameters, we exploit the bipartite graph structure of optimization problems and apply Graph Neural Networks (GNNs) to learn constraint activity directly by leveraging the intrinsic geometric dependencies of the optimization models. We evaluate the end to end approach by comparing the surrogate objective values and computational speedup against the original problem, benchmarking against Random Forest (RF) and Feed-foward Neural Network (FNN) classifiers across a range of increasingly complex test cases, from linear programming problems to mixed integer linear programming and bilevel problems. Results show that GNN based models, which encode mathematical properties like complementary slackness and binary activations to reduce model complexity, achieve up to 10-20x speedup with an objective deviation under 4% and a 99% optimality ratio. This represents superior performance to RFs and FNN, highlighting the suitability of GNNs for directly encoding the mathematical structure of optimization models, thanks to its inherent topology awareness to solve complex constraint activity prediction tasks in power system scheduling.</w:t>
      </w:r>
    </w:p>
    <w:p>
      <w:pPr>
        <w:spacing w:before="120" w:after="120"/>
      </w:pPr>
      <w:r>
        <w:rPr>
          <w:sz w:val="18"/>
        </w:rPr>
        <w:t>——————————————————————————————————————————————————————————————————————</w:t>
      </w:r>
    </w:p>
    <w:p>
      <w:pPr>
        <w:spacing w:before="160" w:after="40" w:line="240" w:lineRule="auto"/>
      </w:pPr>
      <w:r>
        <w:rPr>
          <w:b/>
        </w:rPr>
        <w:t xml:space="preserve">[657] </w:t>
      </w:r>
      <w:hyperlink r:id="rId1589">
        <w:r>
          <w:rPr>
            <w:color w:val="1155CC"/>
            <w:u w:val="single"/>
          </w:rPr>
          <w:t>混合燃料电池/电池/超级电容器系统分散协调与稳定的自主固定时间模型预测控制</w:t>
        </w:r>
      </w:hyperlink>
    </w:p>
    <w:p>
      <w:pPr>
        <w:spacing w:before="0" w:after="80"/>
      </w:pPr>
      <w:r>
        <w:rPr>
          <w:i/>
          <w:sz w:val="20"/>
        </w:rPr>
        <w:t>EN: Autonomous Fixed-Time Model Predictive Control for Decentralized Coordination and Stabilization of Hybrid Fuel Cell/Battery/Supercapacitor Systems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90">
        <w:r>
          <w:rPr>
            <w:color w:val="1155CC"/>
            <w:u w:val="single"/>
          </w:rPr>
          <w:t>10.1109/tsg.2026.3686950</w:t>
        </w:r>
      </w:hyperlink>
    </w:p>
    <w:p>
      <w:pPr>
        <w:spacing w:before="0" w:after="120"/>
      </w:pPr>
      <w:r>
        <w:rPr>
          <w:b/>
        </w:rPr>
        <w:t xml:space="preserve">Notes: </w:t>
      </w:r>
      <w:r>
        <w:t>abstract_source=semanticscholar</w:t>
      </w:r>
    </w:p>
    <w:p>
      <w:pPr>
        <w:spacing w:before="0" w:after="80" w:lineRule="auto" w:line="276"/>
      </w:pPr>
      <w:r>
        <w:rPr>
          <w:b/>
        </w:rPr>
        <w:t xml:space="preserve">摘要（ZH）: </w:t>
      </w:r>
      <w:r>
        <w:t>对于带有恒功率负载（CPL）的燃料电池/电池/超级电容器混合储能系统（HESS），其控制器需要满足期望的控制目标，包括分散式动态功率分配、快速电压调节、大信号稳定、可靠性和可扩展性。为此，本文提出了一种自治固定时间模型预测控制（FxTMPC），旨在以更少的系统先验知识和采样成本实现上述目标。首先，构造固定时间扰动观测器（FxTDO）来估计并对未知的时变源荷侧信息进行前馈补偿，这不仅降低了控制器设计复杂度，还显著提高了抗扰鲁棒性。其次，基于源荷估计变量离线求解滚动时域优化问题，并通过在框架中嵌入固定时间算法来修正参考轨迹，从而得到FxTMPC。然后，开发了基于FxTMPC的分散式混合下垂控制（DHDC），通过修改电压参考值在输出端实现虚拟阻抗/电阻/电容，不仅使不同类型的电源分别响应负载的低/中/高频分量，还借助FxTDO减少了传感器的使用，从而以低成本实现上述期望目标。最后，多种场景下的仿真和实验结果表明，所提控制策略以更少的先验知识和传感器实现了HESS的目标。</w:t>
      </w:r>
    </w:p>
    <w:p>
      <w:pPr>
        <w:spacing w:before="0" w:after="200" w:lineRule="auto" w:line="276"/>
      </w:pPr>
      <w:r>
        <w:rPr>
          <w:b/>
        </w:rPr>
        <w:t xml:space="preserve">Abstract (EN): </w:t>
      </w:r>
      <w:r>
        <w:t>For the fuel cell/battery/supercapacitor hybrid energy storage system (HESS) with constant power loads (CPLs), its controller needs to meet desired control goals, including decentralized dynamic power sharing, fast voltage regulation, large signal stabilization, reliability, and scalability. To this end, this paper proposes an autonomous fixed-time model predictive control (FxTMPC), which aims to achieve the above objectives with less system prior knowledge and sampling cost. First, the fixed-time disturbance observer (FxTDO) is constructed to estimate and feed-forward compensate for unknown and time-varying source-load side information, which not only reduces controller design complexity but also significantly improves robustness against disturbances. Second, the receding horizon optimization problem is solved offline based on source-load estimation variables, and FxTMPC is obtained by embedding fixed-time algorithms into the framework to correct the reference trajectory. Then, a decentralized hybrid droop control (DHDC) based on FxTMPC is developed, which achieves virtual impedance/resistance/capacitance at output terminals by modifying voltage reference values, not only enables different types of sources to respond to low/mid/high-frequency components of the load respectively, but also to reduce sensor usage with the assistance of FxTDO, thus achieving above the desired objectives with low cost. Finally, simulation and experimental results under multiple scenarios demonstrate that the proposed control strategy achieves HESS objectives with less prior knowledge and sensors, while comparative studies confirm its superiority.</w:t>
      </w:r>
    </w:p>
    <w:p>
      <w:pPr>
        <w:spacing w:before="120" w:after="120"/>
      </w:pPr>
      <w:r>
        <w:rPr>
          <w:sz w:val="18"/>
        </w:rPr>
        <w:t>——————————————————————————————————————————————————————————————————————</w:t>
      </w:r>
    </w:p>
    <w:p>
      <w:pPr>
        <w:spacing w:before="160" w:after="40" w:line="240" w:lineRule="auto"/>
      </w:pPr>
      <w:r>
        <w:rPr>
          <w:b/>
        </w:rPr>
        <w:t xml:space="preserve">[658] </w:t>
      </w:r>
      <w:hyperlink r:id="rId1591">
        <w:r>
          <w:rPr>
            <w:color w:val="1155CC"/>
            <w:u w:val="single"/>
          </w:rPr>
          <w:t>基于双通道格拉姆角场与增强马氏距离的电能质量扰动分布外检测</w:t>
        </w:r>
      </w:hyperlink>
    </w:p>
    <w:p>
      <w:pPr>
        <w:spacing w:before="0" w:after="80"/>
      </w:pPr>
      <w:r>
        <w:rPr>
          <w:i/>
          <w:sz w:val="20"/>
        </w:rPr>
        <w:t>EN: Detection of Out-of-Distribution Power Quality Disturbance Using Dual-Channel Gramian Angular Field With Enhanced Mahalanobis Distance</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92">
        <w:r>
          <w:rPr>
            <w:color w:val="1155CC"/>
            <w:u w:val="single"/>
          </w:rPr>
          <w:t>10.1109/tsg.2026.3679970</w:t>
        </w:r>
      </w:hyperlink>
    </w:p>
    <w:p>
      <w:pPr>
        <w:spacing w:before="0" w:after="120"/>
      </w:pPr>
      <w:r>
        <w:rPr>
          <w:b/>
        </w:rPr>
        <w:t xml:space="preserve">Notes: </w:t>
      </w:r>
      <w:r>
        <w:t>abstract_source=semanticscholar</w:t>
      </w:r>
    </w:p>
    <w:p>
      <w:pPr>
        <w:spacing w:before="0" w:after="80" w:lineRule="auto" w:line="276"/>
      </w:pPr>
      <w:r>
        <w:rPr>
          <w:b/>
        </w:rPr>
        <w:t xml:space="preserve">摘要（ZH）: </w:t>
      </w:r>
      <w:r>
        <w:t>用于电能质量扰动（PQD）分类的深度学习方法在电力系统应用中面临显著的部署挑战。随着可再生能源、电动汽车和其他非传统负载的日益接入，由于电力系统运行条件的不断演变，分布外（OOD）数据频繁出现，这是一个关键但尚未充分探索的挑战。在本研究中，正式定义了PQD分类中的OOD问题，即模型在训练期间缺失某些扰动模式。利用PQD数据的独特特性，为OOD驱动的框架开发了一种四阶段多模态OOD检测方法，以增强PQD分类。所提方法首先将PQD波形转换为双通道格拉姆角场（GAF）图，然后利用视觉Transformer提取判别特征。采用马氏距离进行OOD评分，并引入多模态辅助判据以增强分布内（IND）与OOD之间的区分。基于符合IEEE标准的仿真波形和实际PQD数据开展了全面的案例研究。应用于仿真PQD数据的结果表明，所提方法在90%真阳性召回率下的假阳性率（FPR90）可达2.10%，优于以往所有方法。实际应用表明，与包含OOD样本的未过滤数据集相比，PQD分类准确率显著提升了9.64%。</w:t>
      </w:r>
    </w:p>
    <w:p>
      <w:pPr>
        <w:spacing w:before="0" w:after="200" w:lineRule="auto" w:line="276"/>
      </w:pPr>
      <w:r>
        <w:rPr>
          <w:b/>
        </w:rPr>
        <w:t xml:space="preserve">Abstract (EN): </w:t>
      </w:r>
      <w:r>
        <w:t>Deep learning methods for the power quality disturbance (PQD) classification encounter significant deployment challenges in power system applications. With the increasing integration of renewable energy, electric vehicles, and other non-traditional loads, the out-of-distribution (OOD) data occurs frequently due to evolving power system conditions, which represents a critical yet underexplored challenge. In this study, the OOD problem in the PQD classification is formally defined, where models encounter the absence of disturbance patterns during training. Leveraging the unique characteristics of PQD data, a four-stage multimodal OOD detection method is developed for the OOD-driven framework to enhance PQD classification. The proposed method first transforms PQD waveforms into dual-channel Gramian Angular Field (GAF) maps, then extracts discriminative features with vision Transformers. Mahalanobis distance is employed for OOD scoring, and a multimodal auxiliary criterion is introduced to enhance the distinction between in-distribution (IND) and OOD. Comprehensive case studies are conducted using both simulated IEEE standard-compliant waveforms and practical PQD data. Results applied to the simulated PQD data demonstrate that the proposed method can achieve a 2.10% of false positive rate at 90% true positive recall (FPR90), outperforming all previous methods. Practical applications demonstrate a remarkable 9.64% improvement in the PQD classification accuracy compared to the unfiltered dataset containing OOD samples.</w:t>
      </w:r>
    </w:p>
    <w:p>
      <w:pPr>
        <w:spacing w:before="120" w:after="120"/>
      </w:pPr>
      <w:r>
        <w:rPr>
          <w:sz w:val="18"/>
        </w:rPr>
        <w:t>——————————————————————————————————————————————————————————————————————</w:t>
      </w:r>
    </w:p>
    <w:p>
      <w:pPr>
        <w:spacing w:before="160" w:after="40" w:line="240" w:lineRule="auto"/>
      </w:pPr>
      <w:r>
        <w:rPr>
          <w:b/>
        </w:rPr>
        <w:t xml:space="preserve">[659] </w:t>
      </w:r>
      <w:hyperlink r:id="rId1593">
        <w:r>
          <w:rPr>
            <w:color w:val="1155CC"/>
            <w:u w:val="single"/>
          </w:rPr>
          <w:t>考虑表后资源的配电网预测辅助状态估计</w:t>
        </w:r>
      </w:hyperlink>
    </w:p>
    <w:p>
      <w:pPr>
        <w:spacing w:before="0" w:after="80"/>
      </w:pPr>
      <w:r>
        <w:rPr>
          <w:i/>
          <w:sz w:val="20"/>
        </w:rPr>
        <w:t>EN: Forecasting-Aided State Estimation in Distribution Networks Considering Behind-the-Meter Resources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94">
        <w:r>
          <w:rPr>
            <w:color w:val="1155CC"/>
            <w:u w:val="single"/>
          </w:rPr>
          <w:t>10.1109/tsg.2026.3688603</w:t>
        </w:r>
      </w:hyperlink>
    </w:p>
    <w:p>
      <w:pPr>
        <w:spacing w:before="0" w:after="120"/>
      </w:pPr>
      <w:r>
        <w:rPr>
          <w:b/>
        </w:rPr>
        <w:t xml:space="preserve">Notes: </w:t>
      </w:r>
      <w:r>
        <w:t>abstract_source=semanticscholar</w:t>
      </w:r>
    </w:p>
    <w:p>
      <w:pPr>
        <w:spacing w:before="0" w:after="80" w:lineRule="auto" w:line="276"/>
      </w:pPr>
      <w:r>
        <w:rPr>
          <w:b/>
        </w:rPr>
        <w:t xml:space="preserve">摘要（ZH）: </w:t>
      </w:r>
      <w:r>
        <w:t>配电系统状态估计（DSSE）在有源配电网（ADN）中至关重要。然而，包括表后（BTM）资源和响应性负荷特性在内的新兴负荷需求，增加了伪测量生成过程中的不确定性。大多数现有方法难以准确生成包含BTM资源的负荷需求伪测量。为此，利用子空间状态空间系统辨识数值算法（N4SID）为配电系统中的每个节点构建动态等效模型（DEM），以模拟这些节点的动态特性。然后将这些DEM集成到无迹卡尔曼滤波器（UKF）中，以预测和修正测量值。UKF阶段的输出被用于通过预测辅助状态估计（FASE）执行状态估计过程。所提出的方法在改进的IEEE-123测试系统上进行了测试和验证。数值结果证明了所提出的DEM的有效性，将最先进的深度学习模型实现的平均绝对误差（MAE）从5.90 kW降低到UKF预测的2.69 kW，并进一步通过UKF修正降至1.64 kW。</w:t>
      </w:r>
    </w:p>
    <w:p>
      <w:pPr>
        <w:spacing w:before="0" w:after="200" w:lineRule="auto" w:line="276"/>
      </w:pPr>
      <w:r>
        <w:rPr>
          <w:b/>
        </w:rPr>
        <w:t xml:space="preserve">Abstract (EN): </w:t>
      </w:r>
      <w:r>
        <w:t>Distribution system state estimation (DSSE) is essential in active distribution networks (ADNs). However, new emerging load demands, including the profiles of behind-the-meter (BTM) resources and responsive loads, increase the uncertainty during pseudo-measurement generation. Most existing methods struggle to accurately generate pseudo measurements of load demands incorporating the BTM resources. To address this, a dynamic equivalent model (DEM) for each node within the distribution system is constructed using the Numerical algorithm for Subspace State Space System IDentification (N4SID) algorithm to mimic the dynamics of these nodes. These DEMs are then integrated into an unscented Kalman filter (UKF) to predict and refine the measurements. The output of the UKF stage is utilized to perform the state estimation process using forecasting-aided state estimation (FASE). The proposed approach was tested and validated using the modified IEEE-123 tests system. The numerical results demonstrated the effectiveness of the proposed DEMs, reducing the mean absolute error (MAE) from 5.90 kW, achieved by the state-of-the-art deep learning models, to 2.69 kW with UKF prediction and further to 1.64 kW with UKF correction.</w:t>
      </w:r>
    </w:p>
    <w:p>
      <w:pPr>
        <w:spacing w:before="120" w:after="120"/>
      </w:pPr>
      <w:r>
        <w:rPr>
          <w:sz w:val="18"/>
        </w:rPr>
        <w:t>——————————————————————————————————————————————————————————————————————</w:t>
      </w:r>
    </w:p>
    <w:p>
      <w:pPr>
        <w:spacing w:before="160" w:after="40" w:line="240" w:lineRule="auto"/>
      </w:pPr>
      <w:r>
        <w:rPr>
          <w:b/>
        </w:rPr>
        <w:t xml:space="preserve">[660] </w:t>
      </w:r>
      <w:hyperlink r:id="rId1595">
        <w:r>
          <w:rPr>
            <w:color w:val="1155CC"/>
            <w:u w:val="single"/>
          </w:rPr>
          <w:t>考虑两轴端质量差异以提高转子疲劳寿命的改进径向位移控制</w:t>
        </w:r>
      </w:hyperlink>
    </w:p>
    <w:p>
      <w:pPr>
        <w:spacing w:before="0" w:after="80"/>
      </w:pPr>
      <w:r>
        <w:rPr>
          <w:i/>
          <w:sz w:val="20"/>
        </w:rPr>
        <w:t>EN: An Improved Radial Displacement Control Considering Mass Difference Between Two Shaft Ends to Increase the Rotor Fatigue Life</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596">
        <w:r>
          <w:rPr>
            <w:color w:val="1155CC"/>
            <w:u w:val="single"/>
          </w:rPr>
          <w:t>10.1109/tec.2026.3675728</w:t>
        </w:r>
      </w:hyperlink>
    </w:p>
    <w:p>
      <w:pPr>
        <w:spacing w:before="0" w:after="120"/>
      </w:pPr>
      <w:r>
        <w:rPr>
          <w:b/>
        </w:rPr>
        <w:t xml:space="preserve">Notes: </w:t>
      </w:r>
      <w:r>
        <w:t>abstract_source=semanticscholar</w:t>
      </w:r>
    </w:p>
    <w:p>
      <w:pPr>
        <w:spacing w:before="0" w:after="80" w:lineRule="auto" w:line="276"/>
      </w:pPr>
      <w:r>
        <w:rPr>
          <w:b/>
        </w:rPr>
        <w:t xml:space="preserve">摘要（ZH）: </w:t>
      </w:r>
      <w:r>
        <w:t>陷波滤波器（NF）广泛应用于五自由度（5-DoFs）磁悬浮电机中，以降低谐振频率附近的振动。然而，由于轴向推力盘的存在，转轴两端的转子质量通常不同。这不仅增加了陷波滤波器设计的难度，也降低了转子系统的疲劳寿命。因此，本文提出了一种交叉位移控制（CDC）方法来同步两端的位移，从而减少陷波滤波器的数量并提高转子系统的疲劳寿命。仿真和实验结果表明，在4000 r/min、10000 r/min和20000 r/min下，转子系统的疲劳寿命分别可提高17.70倍、21%和10%。在此基础上，还可以加入移相陷波滤波器来降低谐振频率附近的振动。实验结果验证了采用所提策略后，谐振频率附近转子系统的疲劳寿命可提高26.5%，位移调节时间也可减少51.7%。</w:t>
      </w:r>
    </w:p>
    <w:p>
      <w:pPr>
        <w:spacing w:before="0" w:after="200" w:lineRule="auto" w:line="276"/>
      </w:pPr>
      <w:r>
        <w:rPr>
          <w:b/>
        </w:rPr>
        <w:t xml:space="preserve">Abstract (EN): </w:t>
      </w:r>
      <w:r>
        <w:t>Notch filters (NFs) are widely applied in the five-degrees of freedom (5-DoFs) magnetic levitation motors to reduce the vibration near the resonant frequency. However, due to the existence of axial thrust disk, rotor masses at the two ends of the shaft are generally different. It not only increases the difficulty of NF design, but also reduces of fatigue life of rotor system. Therefore, a cross displacement control (CDC) method is proposed in this paper to synchronize the displacements at the two ends, which reduces the number of NFs and improves the fatigue life of rotor system. Simulation and experimental results show that the fatigue life of rotor system can be improved by 17.70 times, 21% and 10% at 4000 r/min, 10000 r/min and 20000 r/min, respectively. On the basis of that, the phase-shift NF can also be added to reduce the vibration near the resonant frequency. Experimental results verify that the fatigue life of rotor system can be improved by 26.5% near the resonant frequency with proposed strategy, and the adjustable time of displacement can also be reduced by 51.7%.</w:t>
      </w:r>
    </w:p>
    <w:p>
      <w:pPr>
        <w:spacing w:before="120" w:after="120"/>
      </w:pPr>
      <w:r>
        <w:rPr>
          <w:sz w:val="18"/>
        </w:rPr>
        <w:t>——————————————————————————————————————————————————————————————————————</w:t>
      </w:r>
    </w:p>
    <w:p>
      <w:pPr>
        <w:spacing w:before="160" w:after="40" w:line="240" w:lineRule="auto"/>
      </w:pPr>
      <w:r>
        <w:rPr>
          <w:b/>
        </w:rPr>
        <w:t xml:space="preserve">[661] </w:t>
      </w:r>
      <w:hyperlink r:id="rId1597">
        <w:r>
          <w:rPr>
            <w:color w:val="1155CC"/>
            <w:u w:val="single"/>
          </w:rPr>
          <w:t>作者更正：各向异性纳米颗粒的凹度增强手性自组装以实现强手性光学活性</w:t>
        </w:r>
      </w:hyperlink>
    </w:p>
    <w:p>
      <w:pPr>
        <w:spacing w:before="0" w:after="80"/>
      </w:pPr>
      <w:r>
        <w:rPr>
          <w:i/>
          <w:sz w:val="20"/>
        </w:rPr>
        <w:t>EN: Author Correction: Concavity-enhanced chiral self-assembly of anisotropic nanoparticles toward strong chiroptical activity</w:t>
      </w:r>
    </w:p>
    <w:p>
      <w:pPr>
        <w:spacing w:before="0" w:after="120"/>
      </w:pPr>
      <w:r>
        <w:rPr>
          <w:b/>
        </w:rPr>
        <w:t xml:space="preserve">Source: </w:t>
      </w:r>
      <w:r>
        <w:t>Physical sciences : Nature Communications subject feeds</w:t>
      </w:r>
      <w:r>
        <w:t xml:space="preserve">    </w:t>
      </w:r>
      <w:r>
        <w:rPr>
          <w:b/>
        </w:rPr>
        <w:t xml:space="preserve">Pub date: </w:t>
      </w:r>
      <w:r>
        <w:t>2026-09-01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[662] </w:t>
      </w:r>
      <w:hyperlink r:id="rId1328">
        <w:r>
          <w:rPr>
            <w:color w:val="1155CC"/>
            <w:u w:val="single"/>
          </w:rPr>
          <w:t>孤岛微电网中自由活塞斯特林发电机的热-机械统一惯量估计与增强</w:t>
        </w:r>
      </w:hyperlink>
    </w:p>
    <w:p>
      <w:pPr>
        <w:spacing w:before="0" w:after="80"/>
      </w:pPr>
      <w:r>
        <w:rPr>
          <w:i/>
          <w:sz w:val="20"/>
        </w:rPr>
        <w:t>EN: Thermal-Mechanical Unified Inertia Estimation and Enhancement of Free Piston Stirling Generator in Island Microgrid</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328">
        <w:r>
          <w:rPr>
            <w:color w:val="1155CC"/>
            <w:u w:val="single"/>
          </w:rPr>
          <w:t>10.1109/tsg.2026.3684117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[663] </w:t>
      </w:r>
      <w:hyperlink r:id="rId1199">
        <w:r>
          <w:rPr>
            <w:color w:val="1155CC"/>
            <w:u w:val="single"/>
          </w:rPr>
          <w:t>面向两阶段配电网调度的强化学习适配器可再生能源预测框架</w:t>
        </w:r>
      </w:hyperlink>
    </w:p>
    <w:p>
      <w:pPr>
        <w:spacing w:before="0" w:after="80"/>
      </w:pPr>
      <w:r>
        <w:rPr>
          <w:i/>
          <w:sz w:val="20"/>
        </w:rPr>
        <w:t>EN: A Reinforcement Learning-Adapter Renewable Energy Forecasting Framework for Two-Stage Distribution Network Scheduling</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99">
        <w:r>
          <w:rPr>
            <w:color w:val="1155CC"/>
            <w:u w:val="single"/>
          </w:rPr>
          <w:t>10.1109/tsg.2026.3677789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[664] </w:t>
      </w:r>
      <w:hyperlink r:id="rId1165">
        <w:r>
          <w:rPr>
            <w:color w:val="1155CC"/>
            <w:u w:val="single"/>
          </w:rPr>
          <w:t>风-抽水蓄能混合微电网中多频率振荡的协调负荷频率控制</w:t>
        </w:r>
      </w:hyperlink>
    </w:p>
    <w:p>
      <w:pPr>
        <w:spacing w:before="0" w:after="80"/>
      </w:pPr>
      <w:r>
        <w:rPr>
          <w:i/>
          <w:sz w:val="20"/>
        </w:rPr>
        <w:t>EN: Coordinated Load Frequency Control for Multi-Frequency Oscillations in Wind-Pumped Storage Hybrid Microgrids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65">
        <w:r>
          <w:rPr>
            <w:color w:val="1155CC"/>
            <w:u w:val="single"/>
          </w:rPr>
          <w:t>10.1109/tsg.2026.3684062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[665] </w:t>
      </w:r>
      <w:hyperlink r:id="rId1183">
        <w:r>
          <w:rPr>
            <w:color w:val="1155CC"/>
            <w:u w:val="single"/>
          </w:rPr>
          <w:t>TSO-DSO协同电力系统中负荷篡改攻击的建模与影响评估</w:t>
        </w:r>
      </w:hyperlink>
    </w:p>
    <w:p>
      <w:pPr>
        <w:spacing w:before="0" w:after="80"/>
      </w:pPr>
      <w:r>
        <w:rPr>
          <w:i/>
          <w:sz w:val="20"/>
        </w:rPr>
        <w:t>EN: Modeling and Impact Assessment of Load-Altering Attacks in TSO-DSO Coordinated Power Systems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83">
        <w:r>
          <w:rPr>
            <w:color w:val="1155CC"/>
            <w:u w:val="single"/>
          </w:rPr>
          <w:t>10.1109/tsg.2026.3668376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[666] </w:t>
      </w:r>
      <w:hyperlink r:id="rId1163">
        <w:r>
          <w:rPr>
            <w:color w:val="1155CC"/>
            <w:u w:val="single"/>
          </w:rPr>
          <w:t>基于松弛度的强化学习可扩展建筑暖通空调控制</w:t>
        </w:r>
      </w:hyperlink>
    </w:p>
    <w:p>
      <w:pPr>
        <w:spacing w:before="0" w:after="80"/>
      </w:pPr>
      <w:r>
        <w:rPr>
          <w:i/>
          <w:sz w:val="20"/>
        </w:rPr>
        <w:t>EN: Scalable Building HVAC Control Through Laxity-Based Reinforcement Learning</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63">
        <w:r>
          <w:rPr>
            <w:color w:val="1155CC"/>
            <w:u w:val="single"/>
          </w:rPr>
          <w:t>10.1109/tsg.2026.3667913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[667] </w:t>
      </w:r>
      <w:hyperlink r:id="rId1598">
        <w:r>
          <w:rPr>
            <w:color w:val="1155CC"/>
            <w:u w:val="single"/>
          </w:rPr>
          <w:t>基于暂态电路模型信息神经网络的线路电流差动保护网络攻击检测</w:t>
        </w:r>
      </w:hyperlink>
    </w:p>
    <w:p>
      <w:pPr>
        <w:spacing w:before="0" w:after="80"/>
      </w:pPr>
      <w:r>
        <w:rPr>
          <w:i/>
          <w:sz w:val="20"/>
        </w:rPr>
        <w:t>EN: Cyberattack Detection in Line Current Differential Relays via Transient Circuit Model-Informed Neural Networks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98">
        <w:r>
          <w:rPr>
            <w:color w:val="1155CC"/>
            <w:u w:val="single"/>
          </w:rPr>
          <w:t>10.1109/tsg.2026.3688749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[668] </w:t>
      </w:r>
      <w:hyperlink r:id="rId1125">
        <w:r>
          <w:rPr>
            <w:color w:val="1155CC"/>
            <w:u w:val="single"/>
          </w:rPr>
          <w:t>基于分片的异步协调机制：应对延迟与攻击的安全可扩展对等能源交易</w:t>
        </w:r>
      </w:hyperlink>
    </w:p>
    <w:p>
      <w:pPr>
        <w:spacing w:before="0" w:after="80"/>
      </w:pPr>
      <w:r>
        <w:rPr>
          <w:i/>
          <w:sz w:val="20"/>
        </w:rPr>
        <w:t>EN: Sharding-Based Asynchronous Coordination for Secure and Scalable Peer-to-Peer Energy Trading Under Delays and Attacks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25">
        <w:r>
          <w:rPr>
            <w:color w:val="1155CC"/>
            <w:u w:val="single"/>
          </w:rPr>
          <w:t>10.1109/tsg.2026.3684113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[669] </w:t>
      </w:r>
      <w:hyperlink r:id="rId1131">
        <w:r>
          <w:rPr>
            <w:color w:val="1155CC"/>
            <w:u w:val="single"/>
          </w:rPr>
          <w:t>B-DRNet：一种基于双目视觉的变电站安全距离监测框架</w:t>
        </w:r>
      </w:hyperlink>
    </w:p>
    <w:p>
      <w:pPr>
        <w:spacing w:before="0" w:after="80"/>
      </w:pPr>
      <w:r>
        <w:rPr>
          <w:i/>
          <w:sz w:val="20"/>
        </w:rPr>
        <w:t>EN: B-DRNet: A Stereo Vision-Based Framework for Safety Distance Monitoring in Substations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31">
        <w:r>
          <w:rPr>
            <w:color w:val="1155CC"/>
            <w:u w:val="single"/>
          </w:rPr>
          <w:t>10.1109/tsg.2026.3683001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[670] </w:t>
      </w:r>
      <w:hyperlink r:id="rId1129">
        <w:r>
          <w:rPr>
            <w:color w:val="1155CC"/>
            <w:u w:val="single"/>
          </w:rPr>
          <w:t>采用自适应等效损耗最小化策略的氢-电池系统光伏功率最优平滑</w:t>
        </w:r>
      </w:hyperlink>
    </w:p>
    <w:p>
      <w:pPr>
        <w:spacing w:before="0" w:after="80"/>
      </w:pPr>
      <w:r>
        <w:rPr>
          <w:i/>
          <w:sz w:val="20"/>
        </w:rPr>
        <w:t>EN: Optimal PV Power Smoothing in Hydrogen-Battery Systems Using an Adaptive Equivalent Consumption Minimization Strategy</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29">
        <w:r>
          <w:rPr>
            <w:color w:val="1155CC"/>
            <w:u w:val="single"/>
          </w:rPr>
          <w:t>10.1109/tsg.2026.3668122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[671] </w:t>
      </w:r>
      <w:hyperlink r:id="rId1599">
        <w:r>
          <w:rPr>
            <w:color w:val="1155CC"/>
            <w:u w:val="single"/>
          </w:rPr>
          <w:t>配电网中多微电网的分层协调不确定性抑制</w:t>
        </w:r>
      </w:hyperlink>
    </w:p>
    <w:p>
      <w:pPr>
        <w:spacing w:before="0" w:after="80"/>
      </w:pPr>
      <w:r>
        <w:rPr>
          <w:i/>
          <w:sz w:val="20"/>
        </w:rPr>
        <w:t>EN: Hierarchically Coordinated Uncertainty Mitigation of Multi-Microgrids in Distribution Network</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99">
        <w:r>
          <w:rPr>
            <w:color w:val="1155CC"/>
            <w:u w:val="single"/>
          </w:rPr>
          <w:t>10.1109/tsg.2026.3687859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[672] </w:t>
      </w:r>
      <w:hyperlink r:id="rId1127">
        <w:r>
          <w:rPr>
            <w:color w:val="1155CC"/>
            <w:u w:val="single"/>
          </w:rPr>
          <w:t>基于未来轨迹表征辅助DRL的配电网电池储能实时调度</w:t>
        </w:r>
      </w:hyperlink>
    </w:p>
    <w:p>
      <w:pPr>
        <w:spacing w:before="0" w:after="80"/>
      </w:pPr>
      <w:r>
        <w:rPr>
          <w:i/>
          <w:sz w:val="20"/>
        </w:rPr>
        <w:t>EN: Future Trajectory Representation-Aided DRL for Real-Time Battery Energy Storage Dispatch in Distribution Networks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27">
        <w:r>
          <w:rPr>
            <w:color w:val="1155CC"/>
            <w:u w:val="single"/>
          </w:rPr>
          <w:t>10.1109/tsg.2026.3673675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[673] </w:t>
      </w:r>
      <w:hyperlink r:id="rId1135">
        <w:r>
          <w:rPr>
            <w:color w:val="1155CC"/>
            <w:u w:val="single"/>
          </w:rPr>
          <w:t>基于树状交通网络代理模型的配电网可解释最优车辆充电策略</w:t>
        </w:r>
      </w:hyperlink>
    </w:p>
    <w:p>
      <w:pPr>
        <w:spacing w:before="0" w:after="80"/>
      </w:pPr>
      <w:r>
        <w:rPr>
          <w:i/>
          <w:sz w:val="20"/>
        </w:rPr>
        <w:t>EN: Explainable Optimal Vehicle Charging Strategy in Power Distribution Networks via Tree-Based Transportation Network Surrogates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35">
        <w:r>
          <w:rPr>
            <w:color w:val="1155CC"/>
            <w:u w:val="single"/>
          </w:rPr>
          <w:t>10.1109/tsg.2026.3672586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[674] </w:t>
      </w:r>
      <w:hyperlink r:id="rId1600">
        <w:r>
          <w:rPr>
            <w:color w:val="1155CC"/>
            <w:u w:val="single"/>
          </w:rPr>
          <w:t>基于扩散增强的分层强化学习用于面向目标的弹性配电系统恢复</w:t>
        </w:r>
      </w:hyperlink>
    </w:p>
    <w:p>
      <w:pPr>
        <w:spacing w:before="0" w:after="80"/>
      </w:pPr>
      <w:r>
        <w:rPr>
          <w:i/>
          <w:sz w:val="20"/>
        </w:rPr>
        <w:t>EN: Hierarchical Reinforcement Learning With Diffusion Augmentation for Goal-Oriented Resilient Distribution System Restoration</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600">
        <w:r>
          <w:rPr>
            <w:color w:val="1155CC"/>
            <w:u w:val="single"/>
          </w:rPr>
          <w:t>10.1109/tsg.2026.3688657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[675] </w:t>
      </w:r>
      <w:hyperlink r:id="rId1137">
        <w:r>
          <w:rPr>
            <w:color w:val="1155CC"/>
            <w:u w:val="single"/>
          </w:rPr>
          <w:t>基于LLM增强离线元强化学习的多任务V2G调节：人机协同框架</w:t>
        </w:r>
      </w:hyperlink>
    </w:p>
    <w:p>
      <w:pPr>
        <w:spacing w:before="0" w:after="80"/>
      </w:pPr>
      <w:r>
        <w:rPr>
          <w:i/>
          <w:sz w:val="20"/>
        </w:rPr>
        <w:t>EN: LLM-Enhanced Offline Meta-Reinforcement Learning for Multi-Task V2G Regulation: A Human-AI Collaborative Framework</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37">
        <w:r>
          <w:rPr>
            <w:color w:val="1155CC"/>
            <w:u w:val="single"/>
          </w:rPr>
          <w:t>10.1109/tsg.2026.3677461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[676] </w:t>
      </w:r>
      <w:hyperlink r:id="rId1601">
        <w:r>
          <w:rPr>
            <w:color w:val="1155CC"/>
            <w:u w:val="single"/>
          </w:rPr>
          <w:t>考虑电流限幅的并联构网型变换器孤岛微电网暂态稳定性分析</w:t>
        </w:r>
      </w:hyperlink>
    </w:p>
    <w:p>
      <w:pPr>
        <w:spacing w:before="0" w:after="80"/>
      </w:pPr>
      <w:r>
        <w:rPr>
          <w:i/>
          <w:sz w:val="20"/>
        </w:rPr>
        <w:t>EN: Transient Stability Analysis of Islanded Microgrid With Parallel Grid-Forming Converters Considering Current Limitation</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601">
        <w:r>
          <w:rPr>
            <w:color w:val="1155CC"/>
            <w:u w:val="single"/>
          </w:rPr>
          <w:t>10.1109/tsg.2026.3683908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[677] </w:t>
      </w:r>
      <w:hyperlink r:id="rId1139">
        <w:r>
          <w:rPr>
            <w:color w:val="1155CC"/>
            <w:u w:val="single"/>
          </w:rPr>
          <w:t>基于大语言模型的智能代理在信息物理电力系统攻防博弈中的应用</w:t>
        </w:r>
      </w:hyperlink>
    </w:p>
    <w:p>
      <w:pPr>
        <w:spacing w:before="0" w:after="80"/>
      </w:pPr>
      <w:r>
        <w:rPr>
          <w:i/>
          <w:sz w:val="20"/>
        </w:rPr>
        <w:t>EN: Large Language Model-Based Smart Agents for Attack-Defense Game on Cyber-Physical Power Systems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39">
        <w:r>
          <w:rPr>
            <w:color w:val="1155CC"/>
            <w:u w:val="single"/>
          </w:rPr>
          <w:t>10.1109/tsg.2026.3681079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[678] </w:t>
      </w:r>
      <w:hyperlink r:id="rId1143">
        <w:r>
          <w:rPr>
            <w:color w:val="1155CC"/>
            <w:u w:val="single"/>
          </w:rPr>
          <w:t>基于低分辨率智能电表测量的高分辨率居民负荷曲线数据驱动建模</w:t>
        </w:r>
      </w:hyperlink>
    </w:p>
    <w:p>
      <w:pPr>
        <w:spacing w:before="0" w:after="80"/>
      </w:pPr>
      <w:r>
        <w:rPr>
          <w:i/>
          <w:sz w:val="20"/>
        </w:rPr>
        <w:t>EN: Data-Driven Modeling of High-Resolution Residential Load Profiles Using Low-Resolution Smart Meter Measurements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43">
        <w:r>
          <w:rPr>
            <w:color w:val="1155CC"/>
            <w:u w:val="single"/>
          </w:rPr>
          <w:t>10.1109/tsg.2026.3678877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[679] </w:t>
      </w:r>
      <w:hyperlink r:id="rId1159">
        <w:r>
          <w:rPr>
            <w:color w:val="1155CC"/>
            <w:u w:val="single"/>
          </w:rPr>
          <w:t>结合零序与相间电流故障分量的配电网SPG故障分布式定位方法</w:t>
        </w:r>
      </w:hyperlink>
    </w:p>
    <w:p>
      <w:pPr>
        <w:spacing w:before="0" w:after="80"/>
      </w:pPr>
      <w:r>
        <w:rPr>
          <w:i/>
          <w:sz w:val="20"/>
        </w:rPr>
        <w:t>EN: Distributed Location Method for SPG Faults in Distribution Networks Combining Zero-Sequence and Phase-to-Phase Current Fault Components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59">
        <w:r>
          <w:rPr>
            <w:color w:val="1155CC"/>
            <w:u w:val="single"/>
          </w:rPr>
          <w:t>10.1109/tsg.2026.3687204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[680] </w:t>
      </w:r>
      <w:hyperlink r:id="rId1133">
        <w:r>
          <w:rPr>
            <w:color w:val="1155CC"/>
            <w:u w:val="single"/>
          </w:rPr>
          <w:t>面向类粒子电动汽车聚合动力学的统一潮流建模与边界感知RoPINN框架</w:t>
        </w:r>
      </w:hyperlink>
    </w:p>
    <w:p>
      <w:pPr>
        <w:spacing w:before="0" w:after="80"/>
      </w:pPr>
      <w:r>
        <w:rPr>
          <w:i/>
          <w:sz w:val="20"/>
        </w:rPr>
        <w:t>EN: Unified Load Flow Modeling and Boundary-Aware RoPINN Framework for Particle-Like EV Aggregation Dynamics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33">
        <w:r>
          <w:rPr>
            <w:color w:val="1155CC"/>
            <w:u w:val="single"/>
          </w:rPr>
          <w:t>10.1109/tsg.2026.3665273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[681] </w:t>
      </w:r>
      <w:hyperlink r:id="rId1602">
        <w:r>
          <w:rPr>
            <w:color w:val="1155CC"/>
            <w:u w:val="single"/>
          </w:rPr>
          <w:t>数据稀缺条件下配电网的信息物理韧性方向性过流继电保护</w:t>
        </w:r>
      </w:hyperlink>
    </w:p>
    <w:p>
      <w:pPr>
        <w:spacing w:before="0" w:after="80"/>
      </w:pPr>
      <w:r>
        <w:rPr>
          <w:i/>
          <w:sz w:val="20"/>
        </w:rPr>
        <w:t>EN: Cyber-Resilient Directional Overcurrent Relays in Distribution Systems Under Data Scarcity</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602">
        <w:r>
          <w:rPr>
            <w:color w:val="1155CC"/>
            <w:u w:val="single"/>
          </w:rPr>
          <w:t>10.1109/tsg.2026.3689406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[682] </w:t>
      </w:r>
      <w:hyperlink r:id="rId1197">
        <w:r>
          <w:rPr>
            <w:color w:val="1155CC"/>
            <w:u w:val="single"/>
          </w:rPr>
          <w:t>随机扰动下非线性电力系统的具有鲁棒性证书的易处理攻击检测</w:t>
        </w:r>
      </w:hyperlink>
    </w:p>
    <w:p>
      <w:pPr>
        <w:spacing w:before="0" w:after="80"/>
      </w:pPr>
      <w:r>
        <w:rPr>
          <w:i/>
          <w:sz w:val="20"/>
        </w:rPr>
        <w:t>EN: Tractable Attack Detection With Robustness Certificate for Nonlinear Power Systems Under Stochastic Disturbances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97">
        <w:r>
          <w:rPr>
            <w:color w:val="1155CC"/>
            <w:u w:val="single"/>
          </w:rPr>
          <w:t>10.1109/tsg.2026.3681977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[683] </w:t>
      </w:r>
      <w:hyperlink r:id="rId1193">
        <w:r>
          <w:rPr>
            <w:color w:val="1155CC"/>
            <w:u w:val="single"/>
          </w:rPr>
          <w:t>考虑谐波传播路径的网状电缆配电网调压有源滤波器优化规划</w:t>
        </w:r>
      </w:hyperlink>
    </w:p>
    <w:p>
      <w:pPr>
        <w:spacing w:before="0" w:after="80"/>
      </w:pPr>
      <w:r>
        <w:rPr>
          <w:i/>
          <w:sz w:val="20"/>
        </w:rPr>
        <w:t>EN: Optimal Planning of Voltage-Regulating Active Power Filters for Meshed Cable Distribution Networks Considering Harmonic Propagation Paths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93">
        <w:r>
          <w:rPr>
            <w:color w:val="1155CC"/>
            <w:u w:val="single"/>
          </w:rPr>
          <w:t>10.1109/tsg.2026.3664436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[684] </w:t>
      </w:r>
      <w:hyperlink r:id="rId1500">
        <w:r>
          <w:rPr>
            <w:color w:val="1155CC"/>
            <w:u w:val="single"/>
          </w:rPr>
          <w:t>电气化道路的实时充电控制</w:t>
        </w:r>
      </w:hyperlink>
    </w:p>
    <w:p>
      <w:pPr>
        <w:spacing w:before="0" w:after="80"/>
      </w:pPr>
      <w:r>
        <w:rPr>
          <w:i/>
          <w:sz w:val="20"/>
        </w:rPr>
        <w:t>EN: Real-Time Charging Control for Electric Roadways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00">
        <w:r>
          <w:rPr>
            <w:color w:val="1155CC"/>
            <w:u w:val="single"/>
          </w:rPr>
          <w:t>10.1109/tsg.2026.3681544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[685] </w:t>
      </w:r>
      <w:hyperlink r:id="rId1502">
        <w:r>
          <w:rPr>
            <w:color w:val="1155CC"/>
            <w:u w:val="single"/>
          </w:rPr>
          <w:t>智能电网需求响应系统中基于贝叶斯优化深度学习的自适应实时FDIA检测</w:t>
        </w:r>
      </w:hyperlink>
    </w:p>
    <w:p>
      <w:pPr>
        <w:spacing w:before="0" w:after="80"/>
      </w:pPr>
      <w:r>
        <w:rPr>
          <w:i/>
          <w:sz w:val="20"/>
        </w:rPr>
        <w:t>EN: Bayesian-Optimized Deep Learning for Adaptive Real-Time FDIA Detection in Smart Grid Demand Response Systems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02">
        <w:r>
          <w:rPr>
            <w:color w:val="1155CC"/>
            <w:u w:val="single"/>
          </w:rPr>
          <w:t>10.1109/tsg.2026.3668905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[686] </w:t>
      </w:r>
      <w:hyperlink r:id="rId1504">
        <w:r>
          <w:rPr>
            <w:color w:val="1155CC"/>
            <w:u w:val="single"/>
          </w:rPr>
          <w:t>含生物质发酵的电–沼气农村微电网两阶段风险调度</w:t>
        </w:r>
      </w:hyperlink>
    </w:p>
    <w:p>
      <w:pPr>
        <w:spacing w:before="0" w:after="80"/>
      </w:pPr>
      <w:r>
        <w:rPr>
          <w:i/>
          <w:sz w:val="20"/>
        </w:rPr>
        <w:t>EN: Two-Stage Risk-Based Scheduling for Electricity–Biogas Rural Microgrids With Biomass Fermentation</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04">
        <w:r>
          <w:rPr>
            <w:color w:val="1155CC"/>
            <w:u w:val="single"/>
          </w:rPr>
          <w:t>10.1109/tsg.2026.3684724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[687] </w:t>
      </w:r>
      <w:hyperlink r:id="rId1506">
        <w:r>
          <w:rPr>
            <w:color w:val="1155CC"/>
            <w:u w:val="single"/>
          </w:rPr>
          <w:t>基于浅层物理信息神经网络的配电网数据驱动建模</w:t>
        </w:r>
      </w:hyperlink>
    </w:p>
    <w:p>
      <w:pPr>
        <w:spacing w:before="0" w:after="80"/>
      </w:pPr>
      <w:r>
        <w:rPr>
          <w:i/>
          <w:sz w:val="20"/>
        </w:rPr>
        <w:t>EN: Data-Driven Distribution Network Modeling Using Shallow Physics-Informed Neural Network</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06">
        <w:r>
          <w:rPr>
            <w:color w:val="1155CC"/>
            <w:u w:val="single"/>
          </w:rPr>
          <w:t>10.1109/tsg.2026.3675654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[688] </w:t>
      </w:r>
      <w:hyperlink r:id="rId1509">
        <w:r>
          <w:rPr>
            <w:color w:val="1155CC"/>
            <w:u w:val="single"/>
          </w:rPr>
          <w:t>应对极端降雨事件的深度多模态融合与卡尔曼在线自适应电力负荷预测</w:t>
        </w:r>
      </w:hyperlink>
    </w:p>
    <w:p>
      <w:pPr>
        <w:spacing w:before="0" w:after="80"/>
      </w:pPr>
      <w:r>
        <w:rPr>
          <w:i/>
          <w:sz w:val="20"/>
        </w:rPr>
        <w:t>EN: Deep Multi-Modal Fusion and Kalman Online Adaptation for Electric Load Forecasting Against Extreme Rainfall Events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09">
        <w:r>
          <w:rPr>
            <w:color w:val="1155CC"/>
            <w:u w:val="single"/>
          </w:rPr>
          <w:t>10.1109/tsg.2026.3688857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[689] </w:t>
      </w:r>
      <w:hyperlink r:id="rId1512">
        <w:r>
          <w:rPr>
            <w:color w:val="1155CC"/>
            <w:u w:val="single"/>
          </w:rPr>
          <w:t>集成ESS、PV和EV的铁路枢纽柔性牵引变电站功率管理与控制</w:t>
        </w:r>
      </w:hyperlink>
    </w:p>
    <w:p>
      <w:pPr>
        <w:spacing w:before="0" w:after="80"/>
      </w:pPr>
      <w:r>
        <w:rPr>
          <w:i/>
          <w:sz w:val="20"/>
        </w:rPr>
        <w:t>EN: Power Management and Control for Flexible Traction Substation in Railway Hub Integrated With ESS, PV, and EV</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12">
        <w:r>
          <w:rPr>
            <w:color w:val="1155CC"/>
            <w:u w:val="single"/>
          </w:rPr>
          <w:t>10.1109/tsg.2026.3706383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[690] </w:t>
      </w:r>
      <w:hyperlink r:id="rId1046">
        <w:r>
          <w:rPr>
            <w:color w:val="1155CC"/>
            <w:u w:val="single"/>
          </w:rPr>
          <w:t>面向异构虚拟电厂点对点电能交易的全分布式市场出清框架</w:t>
        </w:r>
      </w:hyperlink>
    </w:p>
    <w:p>
      <w:pPr>
        <w:spacing w:before="0" w:after="80"/>
      </w:pPr>
      <w:r>
        <w:rPr>
          <w:i/>
          <w:sz w:val="20"/>
        </w:rPr>
        <w:t>EN: A Fully Distributed Market Clearing Framework for Peer-to-Peer Energy Trading in Heterogeneous Virtual Power Plants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46">
        <w:r>
          <w:rPr>
            <w:color w:val="1155CC"/>
            <w:u w:val="single"/>
          </w:rPr>
          <w:t>10.1109/tsg.2026.3673769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[691] </w:t>
      </w:r>
      <w:hyperlink r:id="rId1213">
        <w:r>
          <w:rPr>
            <w:color w:val="1155CC"/>
            <w:u w:val="single"/>
          </w:rPr>
          <w:t>微电网的一般性分布式有界与死区电压控制框架</w:t>
        </w:r>
      </w:hyperlink>
    </w:p>
    <w:p>
      <w:pPr>
        <w:spacing w:before="0" w:after="80"/>
      </w:pPr>
      <w:r>
        <w:rPr>
          <w:i/>
          <w:sz w:val="20"/>
        </w:rPr>
        <w:t>EN: A General Distributed Bounded-and-Deadband Voltage Control Framework for Microgrids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13">
        <w:r>
          <w:rPr>
            <w:color w:val="1155CC"/>
            <w:u w:val="single"/>
          </w:rPr>
          <w:t>10.1109/tsg.2026.3709623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[692] </w:t>
      </w:r>
      <w:hyperlink r:id="rId1195">
        <w:r>
          <w:rPr>
            <w:color w:val="1155CC"/>
            <w:u w:val="single"/>
          </w:rPr>
          <w:t>考虑调压型有源电力滤波器实际运行特性的配电网谐波优化控制策略</w:t>
        </w:r>
      </w:hyperlink>
    </w:p>
    <w:p>
      <w:pPr>
        <w:spacing w:before="0" w:after="80"/>
      </w:pPr>
      <w:r>
        <w:rPr>
          <w:i/>
          <w:sz w:val="20"/>
        </w:rPr>
        <w:t>EN: Optimal Harmonic Control Strategy for Distribution Networks Considering the Actual Operating Characteristics of Voltage-Regulating Active Power Filter</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95">
        <w:r>
          <w:rPr>
            <w:color w:val="1155CC"/>
            <w:u w:val="single"/>
          </w:rPr>
          <w:t>10.1109/tsg.2026.3676773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[693] </w:t>
      </w:r>
      <w:hyperlink r:id="rId1603">
        <w:r>
          <w:rPr>
            <w:color w:val="1155CC"/>
            <w:u w:val="single"/>
          </w:rPr>
          <w:t>用于电磁干扰屏蔽与各向异性热管理的多尺度结构化MXene/聚乙烯块体纳米复合材料</w:t>
        </w:r>
      </w:hyperlink>
    </w:p>
    <w:p>
      <w:pPr>
        <w:spacing w:before="0" w:after="80"/>
      </w:pPr>
      <w:r>
        <w:rPr>
          <w:i/>
          <w:sz w:val="20"/>
        </w:rPr>
        <w:t>EN: Multiscale structured MXene/polyethylene bulk nanocomposites for EMI shielding and anisotropic thermal management</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603">
        <w:r>
          <w:rPr>
            <w:color w:val="1155CC"/>
            <w:u w:val="single"/>
          </w:rPr>
          <w:t>10.1016/j.matt.2026.102855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[694] </w:t>
      </w:r>
      <w:hyperlink r:id="rId1604">
        <w:r>
          <w:rPr>
            <w:color w:val="1155CC"/>
            <w:u w:val="single"/>
          </w:rPr>
          <w:t>基于MXene膜电压诱导亚纳米通道塑性的自适应纳米流体离子筛分</w:t>
        </w:r>
      </w:hyperlink>
    </w:p>
    <w:p>
      <w:pPr>
        <w:spacing w:before="0" w:after="80"/>
      </w:pPr>
      <w:r>
        <w:rPr>
          <w:i/>
          <w:sz w:val="20"/>
        </w:rPr>
        <w:t>EN: Adaptive nanofluidic ion sieving via voltage-induced sub-nanometer channel plasticity in MXene membranes</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604">
        <w:r>
          <w:rPr>
            <w:color w:val="1155CC"/>
            <w:u w:val="single"/>
          </w:rPr>
          <w:t>10.1016/j.matt.2026.102854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[695] </w:t>
      </w:r>
      <w:hyperlink r:id="rId1054">
        <w:r>
          <w:rPr>
            <w:color w:val="1155CC"/>
            <w:u w:val="single"/>
          </w:rPr>
          <w:t>双极性直流微电网中用于功率分配与电压平衡的下垂控制分层控制方法</w:t>
        </w:r>
      </w:hyperlink>
    </w:p>
    <w:p>
      <w:pPr>
        <w:spacing w:before="0" w:after="80"/>
      </w:pPr>
      <w:r>
        <w:rPr>
          <w:i/>
          <w:sz w:val="20"/>
        </w:rPr>
        <w:t>EN: Droop-Based Hierarchical Control for Power-Sharing and Voltage Balancing in Bipolar DC Microgrids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54">
        <w:r>
          <w:rPr>
            <w:color w:val="1155CC"/>
            <w:u w:val="single"/>
          </w:rPr>
          <w:t>10.1109/tsg.2026.3676808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[696] </w:t>
      </w:r>
      <w:hyperlink r:id="rId1094">
        <w:r>
          <w:rPr>
            <w:color w:val="1155CC"/>
            <w:u w:val="single"/>
          </w:rPr>
          <w:t>为提升智能电表数据可用性而对家电使用隐私进行定价</w:t>
        </w:r>
      </w:hyperlink>
    </w:p>
    <w:p>
      <w:pPr>
        <w:spacing w:before="0" w:after="80"/>
      </w:pPr>
      <w:r>
        <w:rPr>
          <w:i/>
          <w:sz w:val="20"/>
        </w:rPr>
        <w:t>EN: Pricing Appliance Usage Privacy for Enhancing Usability of Smart Meter Data</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94">
        <w:r>
          <w:rPr>
            <w:color w:val="1155CC"/>
            <w:u w:val="single"/>
          </w:rPr>
          <w:t>10.1109/tsg.2026.3669553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[697] </w:t>
      </w:r>
      <w:hyperlink r:id="rId1098">
        <w:r>
          <w:rPr>
            <w:color w:val="1155CC"/>
            <w:u w:val="single"/>
          </w:rPr>
          <w:t>面向净负荷预测的物理信息感知的序列感知图Transformer模型</w:t>
        </w:r>
      </w:hyperlink>
    </w:p>
    <w:p>
      <w:pPr>
        <w:spacing w:before="0" w:after="80"/>
      </w:pPr>
      <w:r>
        <w:rPr>
          <w:i/>
          <w:sz w:val="20"/>
        </w:rPr>
        <w:t>EN: Physics-Informed Series-Aware Graph Transformer Model for Net Load Forecasting</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98">
        <w:r>
          <w:rPr>
            <w:color w:val="1155CC"/>
            <w:u w:val="single"/>
          </w:rPr>
          <w:t>10.1109/tsg.2026.3672290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[698] </w:t>
      </w:r>
      <w:hyperlink r:id="rId1062">
        <w:r>
          <w:rPr>
            <w:color w:val="1155CC"/>
            <w:u w:val="single"/>
          </w:rPr>
          <w:t>考虑表后DER的情境感知滚动时域多级负荷恢复</w:t>
        </w:r>
      </w:hyperlink>
    </w:p>
    <w:p>
      <w:pPr>
        <w:spacing w:before="0" w:after="80"/>
      </w:pPr>
      <w:r>
        <w:rPr>
          <w:i/>
          <w:sz w:val="20"/>
        </w:rPr>
        <w:t>EN: Situationally Aware Rolling Horizon Multi-Tier Load Restoration Considering Behind-the-Meter DER</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62">
        <w:r>
          <w:rPr>
            <w:color w:val="1155CC"/>
            <w:u w:val="single"/>
          </w:rPr>
          <w:t>10.1109/tsg.2026.3677352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[699] </w:t>
      </w:r>
      <w:hyperlink r:id="rId1066">
        <w:r>
          <w:rPr>
            <w:color w:val="1155CC"/>
            <w:u w:val="single"/>
          </w:rPr>
          <w:t>基于扩展潮流的含构网型与跟网型DG的有源配电网静态电压稳定与DG接入容量量化方法</w:t>
        </w:r>
      </w:hyperlink>
    </w:p>
    <w:p>
      <w:pPr>
        <w:spacing w:before="0" w:after="80"/>
      </w:pPr>
      <w:r>
        <w:rPr>
          <w:i/>
          <w:sz w:val="20"/>
        </w:rPr>
        <w:t>EN: Static Voltage Stability and DGs Integration Capacity Quantification Method With Extended Power Flow for ADNs With Grid-Forming and Grid-Following DGs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66">
        <w:r>
          <w:rPr>
            <w:color w:val="1155CC"/>
            <w:u w:val="single"/>
          </w:rPr>
          <w:t>10.1109/tsg.2026.3673095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[700] </w:t>
      </w:r>
      <w:hyperlink r:id="rId1605">
        <w:r>
          <w:rPr>
            <w:color w:val="1155CC"/>
            <w:u w:val="single"/>
          </w:rPr>
          <w:t>空白页</w:t>
        </w:r>
      </w:hyperlink>
    </w:p>
    <w:p>
      <w:pPr>
        <w:spacing w:before="0" w:after="80"/>
      </w:pPr>
      <w:r>
        <w:rPr>
          <w:i/>
          <w:sz w:val="20"/>
        </w:rPr>
        <w:t>EN: Blank Page</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605">
        <w:r>
          <w:rPr>
            <w:color w:val="1155CC"/>
            <w:u w:val="single"/>
          </w:rPr>
          <w:t>10.1109/tsg.2026.3722012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[701] </w:t>
      </w:r>
      <w:hyperlink r:id="rId1191">
        <w:r>
          <w:rPr>
            <w:color w:val="1155CC"/>
            <w:u w:val="single"/>
          </w:rPr>
          <w:t>基于破坏倾向的虚拟电厂两阶段利润分配方法</w:t>
        </w:r>
      </w:hyperlink>
    </w:p>
    <w:p>
      <w:pPr>
        <w:spacing w:before="0" w:after="80"/>
      </w:pPr>
      <w:r>
        <w:rPr>
          <w:i/>
          <w:sz w:val="20"/>
        </w:rPr>
        <w:t>EN: A Two-Stage Profit Allocation Method for Virtual Power Plants Based on the Propensity to Disrupt</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91">
        <w:r>
          <w:rPr>
            <w:color w:val="1155CC"/>
            <w:u w:val="single"/>
          </w:rPr>
          <w:t>10.1109/tsg.2026.3673322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[702] </w:t>
      </w:r>
      <w:hyperlink r:id="rId1307">
        <w:r>
          <w:rPr>
            <w:color w:val="1155CC"/>
            <w:u w:val="single"/>
          </w:rPr>
          <w:t>抵御DoS攻击的微电网虚拟智能体与最优通信网络设计</w:t>
        </w:r>
      </w:hyperlink>
    </w:p>
    <w:p>
      <w:pPr>
        <w:spacing w:before="0" w:after="80"/>
      </w:pPr>
      <w:r>
        <w:rPr>
          <w:i/>
          <w:sz w:val="20"/>
        </w:rPr>
        <w:t>EN: Virtual Agent and Optimal Communication Network Design for Microgrids Against DoS Attacks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307">
        <w:r>
          <w:rPr>
            <w:color w:val="1155CC"/>
            <w:u w:val="single"/>
          </w:rPr>
          <w:t>10.1109/tsg.2026.3674339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[703] </w:t>
      </w:r>
      <w:hyperlink r:id="rId1141">
        <w:r>
          <w:rPr>
            <w:color w:val="1155CC"/>
            <w:u w:val="single"/>
          </w:rPr>
          <w:t>考虑不确定性的基于自适应快速清算算法的微电网接入配网点对点交易</w:t>
        </w:r>
      </w:hyperlink>
    </w:p>
    <w:p>
      <w:pPr>
        <w:spacing w:before="0" w:after="80"/>
      </w:pPr>
      <w:r>
        <w:rPr>
          <w:i/>
          <w:sz w:val="20"/>
        </w:rPr>
        <w:t>EN: Adaptive Fast Clearing Algorithm-Based Peer-to-Peer Transaction for Microgrid-Integrated Distribution Network Considering Uncertainty</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41">
        <w:r>
          <w:rPr>
            <w:color w:val="1155CC"/>
            <w:u w:val="single"/>
          </w:rPr>
          <w:t>10.1109/tsg.2026.3686472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[704] </w:t>
      </w:r>
      <w:hyperlink r:id="rId1606">
        <w:r>
          <w:rPr>
            <w:color w:val="1155CC"/>
            <w:u w:val="single"/>
          </w:rPr>
          <w:t>直流微电网集群电压调节与电流均衡的分布-集中式与全分布式二次控制</w:t>
        </w:r>
      </w:hyperlink>
    </w:p>
    <w:p>
      <w:pPr>
        <w:spacing w:before="0" w:after="80"/>
      </w:pPr>
      <w:r>
        <w:rPr>
          <w:i/>
          <w:sz w:val="20"/>
        </w:rPr>
        <w:t>EN: Distributed-Centralized and Fully Distributed Secondary Control for Voltage Regulation and Current Sharing in DC Microgrid Clusters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606">
        <w:r>
          <w:rPr>
            <w:color w:val="1155CC"/>
            <w:u w:val="single"/>
          </w:rPr>
          <w:t>10.1109/tsg.2026.3688313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[705] </w:t>
      </w:r>
      <w:hyperlink r:id="rId1189">
        <w:r>
          <w:rPr>
            <w:color w:val="1155CC"/>
            <w:u w:val="single"/>
          </w:rPr>
          <w:t>分解与堆叠元学习的短期能电动汽车负荷预测</w:t>
        </w:r>
      </w:hyperlink>
    </w:p>
    <w:p>
      <w:pPr>
        <w:spacing w:before="0" w:after="80"/>
      </w:pPr>
      <w:r>
        <w:rPr>
          <w:i/>
          <w:sz w:val="20"/>
        </w:rPr>
        <w:t>EN: Decomposition and Stacked Meta-Learning for Short-Term Electric Vehicle Load Forecasting</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89">
        <w:r>
          <w:rPr>
            <w:color w:val="1155CC"/>
            <w:u w:val="single"/>
          </w:rPr>
          <w:t>10.1109/tsg.2026.3677496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[706] </w:t>
      </w:r>
      <w:hyperlink r:id="rId1263">
        <w:r>
          <w:rPr>
            <w:color w:val="1155CC"/>
            <w:u w:val="single"/>
          </w:rPr>
          <w:t>不确定负载条件下直流微电网的鲁棒吸引域</w:t>
        </w:r>
      </w:hyperlink>
    </w:p>
    <w:p>
      <w:pPr>
        <w:spacing w:before="0" w:after="80"/>
      </w:pPr>
      <w:r>
        <w:rPr>
          <w:i/>
          <w:sz w:val="20"/>
        </w:rPr>
        <w:t>EN: Robust Region of Attraction for DC Microgrids Under Uncertain Loading Conditions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63">
        <w:r>
          <w:rPr>
            <w:color w:val="1155CC"/>
            <w:u w:val="single"/>
          </w:rPr>
          <w:t>10.1109/tsg.2026.3698675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[707] </w:t>
      </w:r>
      <w:hyperlink r:id="rId1265">
        <w:r>
          <w:rPr>
            <w:color w:val="1155CC"/>
            <w:u w:val="single"/>
          </w:rPr>
          <w:t>电动汽车充电站竞争-合作混合定价：一种基于异构分层注意力的多智能体强化学习方法</w:t>
        </w:r>
      </w:hyperlink>
    </w:p>
    <w:p>
      <w:pPr>
        <w:spacing w:before="0" w:after="80"/>
      </w:pPr>
      <w:r>
        <w:rPr>
          <w:i/>
          <w:sz w:val="20"/>
        </w:rPr>
        <w:t>EN: Mixed Competitive--Cooperative Pricing for EV Charging Stations: A Multi-Agent Reinforcement Learning Approach With Heterogeneous Hierarchical Attention</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65">
        <w:r>
          <w:rPr>
            <w:color w:val="1155CC"/>
            <w:u w:val="single"/>
          </w:rPr>
          <w:t>10.1109/tsg.2026.3669058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[708] </w:t>
      </w:r>
      <w:hyperlink r:id="rId1267">
        <w:r>
          <w:rPr>
            <w:color w:val="1155CC"/>
            <w:u w:val="single"/>
          </w:rPr>
          <w:t>基于专家工作流的LLM增强多智能体强化学习实时P2P能源交易</w:t>
        </w:r>
      </w:hyperlink>
    </w:p>
    <w:p>
      <w:pPr>
        <w:spacing w:before="0" w:after="80"/>
      </w:pPr>
      <w:r>
        <w:rPr>
          <w:i/>
          <w:sz w:val="20"/>
        </w:rPr>
        <w:t>EN: LLM-Enhanced Multi-Agent Reinforcement Learning With Expert Workflow for Real-Time P2P Energy Trading</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67">
        <w:r>
          <w:rPr>
            <w:color w:val="1155CC"/>
            <w:u w:val="single"/>
          </w:rPr>
          <w:t>10.1109/tsg.2026.3684885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[709] </w:t>
      </w:r>
      <w:hyperlink r:id="rId1249">
        <w:r>
          <w:rPr>
            <w:color w:val="1155CC"/>
            <w:u w:val="single"/>
          </w:rPr>
          <w:t>云边协同系统中计算服务与电力的市场驱动联合交易策略</w:t>
        </w:r>
      </w:hyperlink>
    </w:p>
    <w:p>
      <w:pPr>
        <w:spacing w:before="0" w:after="80"/>
      </w:pPr>
      <w:r>
        <w:rPr>
          <w:i/>
          <w:sz w:val="20"/>
        </w:rPr>
        <w:t>EN: Market-Driven Joint Trading Strategy for Computing Service and Electricity in Cloud-Edge Collaborative Systems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49">
        <w:r>
          <w:rPr>
            <w:color w:val="1155CC"/>
            <w:u w:val="single"/>
          </w:rPr>
          <w:t>10.1109/tsg.2026.3674957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[710] </w:t>
      </w:r>
      <w:hyperlink r:id="rId1273">
        <w:r>
          <w:rPr>
            <w:color w:val="1155CC"/>
            <w:u w:val="single"/>
          </w:rPr>
          <w:t>考虑灵活性资源的配电系统安全域的时不变性</w:t>
        </w:r>
      </w:hyperlink>
    </w:p>
    <w:p>
      <w:pPr>
        <w:spacing w:before="0" w:after="80"/>
      </w:pPr>
      <w:r>
        <w:rPr>
          <w:i/>
          <w:sz w:val="20"/>
        </w:rPr>
        <w:t>EN: Time-Invariance of Distribution System Security Region Considering Flexible Resources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73">
        <w:r>
          <w:rPr>
            <w:color w:val="1155CC"/>
            <w:u w:val="single"/>
          </w:rPr>
          <w:t>10.1109/tsg.2026.3667835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[711] </w:t>
      </w:r>
      <w:hyperlink r:id="rId1271">
        <w:r>
          <w:rPr>
            <w:color w:val="1155CC"/>
            <w:u w:val="single"/>
          </w:rPr>
          <w:t>PI-YOLO：一种基于航拍图像的高效电力线巡检检测器</w:t>
        </w:r>
      </w:hyperlink>
    </w:p>
    <w:p>
      <w:pPr>
        <w:spacing w:before="0" w:after="80"/>
      </w:pPr>
      <w:r>
        <w:rPr>
          <w:i/>
          <w:sz w:val="20"/>
        </w:rPr>
        <w:t>EN: PI-YOLO: An Efficient Detector for Power Line Inspection Using Aerial Images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71">
        <w:r>
          <w:rPr>
            <w:color w:val="1155CC"/>
            <w:u w:val="single"/>
          </w:rPr>
          <w:t>10.1109/tsg.2026.3685136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[712] </w:t>
      </w:r>
      <w:hyperlink r:id="rId1289">
        <w:r>
          <w:rPr>
            <w:color w:val="1155CC"/>
            <w:u w:val="single"/>
          </w:rPr>
          <w:t>基于信息物理联合数据驱动的电力系统网络攻击增强检测</w:t>
        </w:r>
      </w:hyperlink>
    </w:p>
    <w:p>
      <w:pPr>
        <w:spacing w:before="0" w:after="80"/>
      </w:pPr>
      <w:r>
        <w:rPr>
          <w:i/>
          <w:sz w:val="20"/>
        </w:rPr>
        <w:t>EN: Joint Cyber-Physical Data-Driven Enhanced Cyber-Attack Detection for Power Systems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89">
        <w:r>
          <w:rPr>
            <w:color w:val="1155CC"/>
            <w:u w:val="single"/>
          </w:rPr>
          <w:t>10.1109/tsg.2026.3692152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[713] </w:t>
      </w:r>
      <w:hyperlink r:id="rId1277">
        <w:r>
          <w:rPr>
            <w:color w:val="1155CC"/>
            <w:u w:val="single"/>
          </w:rPr>
          <w:t>微电网中构网型与跟网型逆变器的固定时间隐私保护分布式协调控制</w:t>
        </w:r>
      </w:hyperlink>
    </w:p>
    <w:p>
      <w:pPr>
        <w:spacing w:before="0" w:after="80"/>
      </w:pPr>
      <w:r>
        <w:rPr>
          <w:i/>
          <w:sz w:val="20"/>
        </w:rPr>
        <w:t>EN: Fixed-Time Privacy-Preserving Distributed Coordinated Control for Grid-Forming and Grid-Following Inverters in Microgrids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77">
        <w:r>
          <w:rPr>
            <w:color w:val="1155CC"/>
            <w:u w:val="single"/>
          </w:rPr>
          <w:t>10.1109/tsg.2026.3687218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[714] </w:t>
      </w:r>
      <w:hyperlink r:id="rId1261">
        <w:r>
          <w:rPr>
            <w:color w:val="1155CC"/>
            <w:u w:val="single"/>
          </w:rPr>
          <w:t>面向居民负荷分析的多视图图属性学习数据填补方法</w:t>
        </w:r>
      </w:hyperlink>
    </w:p>
    <w:p>
      <w:pPr>
        <w:spacing w:before="0" w:after="80"/>
      </w:pPr>
      <w:r>
        <w:rPr>
          <w:i/>
          <w:sz w:val="20"/>
        </w:rPr>
        <w:t>EN: Multi-View Graph Attributed Learning Data Imputation Method for Residential Load Analysis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61">
        <w:r>
          <w:rPr>
            <w:color w:val="1155CC"/>
            <w:u w:val="single"/>
          </w:rPr>
          <w:t>10.1109/tsg.2026.3690142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[715] </w:t>
      </w:r>
      <w:hyperlink r:id="rId1279">
        <w:r>
          <w:rPr>
            <w:color w:val="1155CC"/>
            <w:u w:val="single"/>
          </w:rPr>
          <w:t>虚拟电厂中家庭能量灵活性的分散式协调</w:t>
        </w:r>
      </w:hyperlink>
    </w:p>
    <w:p>
      <w:pPr>
        <w:spacing w:before="0" w:after="80"/>
      </w:pPr>
      <w:r>
        <w:rPr>
          <w:i/>
          <w:sz w:val="20"/>
        </w:rPr>
        <w:t>EN: Decentralized Coordination of Household Energy Flexibility in Virtual Power Plants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79">
        <w:r>
          <w:rPr>
            <w:color w:val="1155CC"/>
            <w:u w:val="single"/>
          </w:rPr>
          <w:t>10.1109/tsg.2026.3678275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[716] </w:t>
      </w:r>
      <w:hyperlink r:id="rId1281">
        <w:r>
          <w:rPr>
            <w:color w:val="1155CC"/>
            <w:u w:val="single"/>
          </w:rPr>
          <w:t>面向可泛化数据驱动动态安全评估的电网拓扑连续特征表示</w:t>
        </w:r>
      </w:hyperlink>
    </w:p>
    <w:p>
      <w:pPr>
        <w:spacing w:before="0" w:after="80"/>
      </w:pPr>
      <w:r>
        <w:rPr>
          <w:i/>
          <w:sz w:val="20"/>
        </w:rPr>
        <w:t>EN: Continuous Feature Representation of Power Grid Topology for Generalizable Data-Driven Dynamic Security Assessment</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81">
        <w:r>
          <w:rPr>
            <w:color w:val="1155CC"/>
            <w:u w:val="single"/>
          </w:rPr>
          <w:t>10.1109/tpwrs.2026.3673735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[717] </w:t>
      </w:r>
      <w:hyperlink r:id="rId1283">
        <w:r>
          <w:rPr>
            <w:color w:val="1155CC"/>
            <w:u w:val="single"/>
          </w:rPr>
          <w:t>考虑母线与联络开关故障的安全约束变电站重构</w:t>
        </w:r>
      </w:hyperlink>
    </w:p>
    <w:p>
      <w:pPr>
        <w:spacing w:before="0" w:after="80"/>
      </w:pPr>
      <w:r>
        <w:rPr>
          <w:i/>
          <w:sz w:val="20"/>
        </w:rPr>
        <w:t>EN: Security-Constrained Substation Reconfiguration Considering Busbar and Coupler Contingencies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83">
        <w:r>
          <w:rPr>
            <w:color w:val="1155CC"/>
            <w:u w:val="single"/>
          </w:rPr>
          <w:t>10.1109/tpwrs.2026.3672206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[718] </w:t>
      </w:r>
      <w:hyperlink r:id="rId1285">
        <w:r>
          <w:rPr>
            <w:color w:val="1155CC"/>
            <w:u w:val="single"/>
          </w:rPr>
          <w:t>基于贝叶斯滤波的换流器引发不确定性波动下精细化频率约束机组组合</w:t>
        </w:r>
      </w:hyperlink>
    </w:p>
    <w:p>
      <w:pPr>
        <w:spacing w:before="0" w:after="80"/>
      </w:pPr>
      <w:r>
        <w:rPr>
          <w:i/>
          <w:sz w:val="20"/>
        </w:rPr>
        <w:t>EN: Refined Frequency-Constrained Unit Commitment Under Converter-Induced Uncertain-Variability Through Bayesian Filtering</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85">
        <w:r>
          <w:rPr>
            <w:color w:val="1155CC"/>
            <w:u w:val="single"/>
          </w:rPr>
          <w:t>10.1109/tpwrs.2026.3684036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[719] </w:t>
      </w:r>
      <w:hyperlink r:id="rId1287">
        <w:r>
          <w:rPr>
            <w:color w:val="1155CC"/>
            <w:u w:val="single"/>
          </w:rPr>
          <w:t>用于校正性最优潮流的物理信息多智能体学习</w:t>
        </w:r>
      </w:hyperlink>
    </w:p>
    <w:p>
      <w:pPr>
        <w:spacing w:before="0" w:after="80"/>
      </w:pPr>
      <w:r>
        <w:rPr>
          <w:i/>
          <w:sz w:val="20"/>
        </w:rPr>
        <w:t>EN: Physics-Informed Multi-Agent Learning for Corrective Optimal Power Flow</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87">
        <w:r>
          <w:rPr>
            <w:color w:val="1155CC"/>
            <w:u w:val="single"/>
          </w:rPr>
          <w:t>10.1109/tpwrs.2026.3672692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[720] </w:t>
      </w:r>
      <w:hyperlink r:id="rId1251">
        <w:r>
          <w:rPr>
            <w:color w:val="1155CC"/>
            <w:u w:val="single"/>
          </w:rPr>
          <w:t>基于单母线注入的混合数据/模型驱动全系统导纳辨识</w:t>
        </w:r>
      </w:hyperlink>
    </w:p>
    <w:p>
      <w:pPr>
        <w:spacing w:before="0" w:after="80"/>
      </w:pPr>
      <w:r>
        <w:rPr>
          <w:i/>
          <w:sz w:val="20"/>
        </w:rPr>
        <w:t>EN: Hybrid Data/Model-Driven Whole-System Admittance Identification via Single-Bus Injections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51">
        <w:r>
          <w:rPr>
            <w:color w:val="1155CC"/>
            <w:u w:val="single"/>
          </w:rPr>
          <w:t>10.1109/tpwrs.2026.3684993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[721] </w:t>
      </w:r>
      <w:hyperlink r:id="rId1269">
        <w:r>
          <w:rPr>
            <w:color w:val="1155CC"/>
            <w:u w:val="single"/>
          </w:rPr>
          <w:t>电力系统中构网型与跟网型逆变器分布式协同优化频率控制</w:t>
        </w:r>
      </w:hyperlink>
    </w:p>
    <w:p>
      <w:pPr>
        <w:spacing w:before="0" w:after="80"/>
      </w:pPr>
      <w:r>
        <w:rPr>
          <w:i/>
          <w:sz w:val="20"/>
        </w:rPr>
        <w:t>EN: Distributed Coordination of Grid-Forming and Grid-Following Inverters for Optimal Frequency Control in Power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69">
        <w:r>
          <w:rPr>
            <w:color w:val="1155CC"/>
            <w:u w:val="single"/>
          </w:rPr>
          <w:t>10.1109/tpwrs.2026.3684791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[722] </w:t>
      </w:r>
      <w:hyperlink r:id="rId1255">
        <w:r>
          <w:rPr>
            <w:color w:val="1155CC"/>
            <w:u w:val="single"/>
          </w:rPr>
          <w:t>面向分散式紧急控制的隐私保护多智能体深度进化学习</w:t>
        </w:r>
      </w:hyperlink>
    </w:p>
    <w:p>
      <w:pPr>
        <w:spacing w:before="0" w:after="80"/>
      </w:pPr>
      <w:r>
        <w:rPr>
          <w:i/>
          <w:sz w:val="20"/>
        </w:rPr>
        <w:t>EN: Privacy-Preserving Multi-Agent Deep Evolutionary Learning for Decentralized Emergency Control</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55">
        <w:r>
          <w:rPr>
            <w:color w:val="1155CC"/>
            <w:u w:val="single"/>
          </w:rPr>
          <w:t>10.1109/tpwrs.2026.3671869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[723] </w:t>
      </w:r>
      <w:hyperlink r:id="rId1607">
        <w:r>
          <w:rPr>
            <w:color w:val="1155CC"/>
            <w:u w:val="single"/>
          </w:rPr>
          <w:t>《迈向真实：北美及合成电网模型中的稀疏矩阵统计》更正</w:t>
        </w:r>
      </w:hyperlink>
    </w:p>
    <w:p>
      <w:pPr>
        <w:spacing w:before="0" w:after="80"/>
      </w:pPr>
      <w:r>
        <w:rPr>
          <w:i/>
          <w:sz w:val="20"/>
        </w:rPr>
        <w:t>EN: Correction to “Toward Realism: Sparse Matrix Statistics in the North American and Synthetic Electric Grid Models”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607">
        <w:r>
          <w:rPr>
            <w:color w:val="1155CC"/>
            <w:u w:val="single"/>
          </w:rPr>
          <w:t>10.1109/tpwrs.2026.3719044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[724] </w:t>
      </w:r>
      <w:hyperlink r:id="rId1275">
        <w:r>
          <w:rPr>
            <w:color w:val="1155CC"/>
            <w:u w:val="single"/>
          </w:rPr>
          <w:t>面向未见网络的基于物理感知的循环与图学习的鲁棒配电系统状态估计</w:t>
        </w:r>
      </w:hyperlink>
    </w:p>
    <w:p>
      <w:pPr>
        <w:spacing w:before="0" w:after="80"/>
      </w:pPr>
      <w:r>
        <w:rPr>
          <w:i/>
          <w:sz w:val="20"/>
        </w:rPr>
        <w:t>EN: Physics-Aware Recurrent and Graphical Learning for Robust Distribution System State Estimation Across Unseen Networks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75">
        <w:r>
          <w:rPr>
            <w:color w:val="1155CC"/>
            <w:u w:val="single"/>
          </w:rPr>
          <w:t>10.1109/tsg.2026.3677277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[725] </w:t>
      </w:r>
      <w:hyperlink r:id="rId1259">
        <w:r>
          <w:rPr>
            <w:color w:val="1155CC"/>
            <w:u w:val="single"/>
          </w:rPr>
          <w:t>复杂微电网系统能量管理的分布式强化学习：一种融合时序卷积网络的新方法</w:t>
        </w:r>
      </w:hyperlink>
    </w:p>
    <w:p>
      <w:pPr>
        <w:spacing w:before="0" w:after="80"/>
      </w:pPr>
      <w:r>
        <w:rPr>
          <w:i/>
          <w:sz w:val="20"/>
        </w:rPr>
        <w:t>EN: Distributional Reinforcement Learning for Energy Management in Complex Microgrid Systems: A Novel Approach Integrating Temporal Convolutional Networks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59">
        <w:r>
          <w:rPr>
            <w:color w:val="1155CC"/>
            <w:u w:val="single"/>
          </w:rPr>
          <w:t>10.1109/tsg.2026.3675899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[726] </w:t>
      </w:r>
      <w:hyperlink r:id="rId1257">
        <w:r>
          <w:rPr>
            <w:color w:val="1155CC"/>
            <w:u w:val="single"/>
          </w:rPr>
          <w:t>含异构不确定分布式能源的主动配电网统一模型聚合</w:t>
        </w:r>
      </w:hyperlink>
    </w:p>
    <w:p>
      <w:pPr>
        <w:spacing w:before="0" w:after="80"/>
      </w:pPr>
      <w:r>
        <w:rPr>
          <w:i/>
          <w:sz w:val="20"/>
        </w:rPr>
        <w:t>EN: Unified Model Aggregation of Active Distribution Network With Heterogeneous Uncertain Distributed Energy Resources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257">
        <w:r>
          <w:rPr>
            <w:color w:val="1155CC"/>
            <w:u w:val="single"/>
          </w:rPr>
          <w:t>10.1109/tsg.2026.3687526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[727] </w:t>
      </w:r>
      <w:hyperlink r:id="rId1344">
        <w:r>
          <w:rPr>
            <w:color w:val="1155CC"/>
            <w:u w:val="single"/>
          </w:rPr>
          <w:t>考虑执行器故障与扰动的孤岛微电网全分布式容错二次控制</w:t>
        </w:r>
      </w:hyperlink>
    </w:p>
    <w:p>
      <w:pPr>
        <w:spacing w:before="0" w:after="80"/>
      </w:pPr>
      <w:r>
        <w:rPr>
          <w:i/>
          <w:sz w:val="20"/>
        </w:rPr>
        <w:t>EN: Fully Distributed Fault-Tolerant Secondary Control for Islanded Microgrids With Actuator Faults and Disturbances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344">
        <w:r>
          <w:rPr>
            <w:color w:val="1155CC"/>
            <w:u w:val="single"/>
          </w:rPr>
          <w:t>10.1109/tsg.2026.3677035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[728] </w:t>
      </w:r>
      <w:hyperlink r:id="rId1187">
        <w:r>
          <w:rPr>
            <w:color w:val="1155CC"/>
            <w:u w:val="single"/>
          </w:rPr>
          <w:t>基于投影梯度下降的MVDC配电系统实时阻塞缓解分层分布式控制</w:t>
        </w:r>
      </w:hyperlink>
    </w:p>
    <w:p>
      <w:pPr>
        <w:spacing w:before="0" w:after="80"/>
      </w:pPr>
      <w:r>
        <w:rPr>
          <w:i/>
          <w:sz w:val="20"/>
        </w:rPr>
        <w:t>EN: Hierarchical Distributed Control With Projected Gradient Descent for Real-Time Congestion Mitigation in MVDC Distribution Systems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87">
        <w:r>
          <w:rPr>
            <w:color w:val="1155CC"/>
            <w:u w:val="single"/>
          </w:rPr>
          <w:t>10.1109/tsg.2026.3668320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[729] </w:t>
      </w:r>
      <w:hyperlink r:id="rId1608">
        <w:r>
          <w:rPr>
            <w:color w:val="1155CC"/>
            <w:u w:val="single"/>
          </w:rPr>
          <w:t>非独立同分布场景下基于熵正则化加权联邦元学习的电力负荷预测方法</w:t>
        </w:r>
      </w:hyperlink>
    </w:p>
    <w:p>
      <w:pPr>
        <w:spacing w:before="0" w:after="80"/>
      </w:pPr>
      <w:r>
        <w:rPr>
          <w:i/>
          <w:sz w:val="20"/>
        </w:rPr>
        <w:t>EN: Entropy-Regularized Weighted Federated Meta-Learning Approach for Power Load Forecasting in Non-IID Scenarios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608">
        <w:r>
          <w:rPr>
            <w:color w:val="1155CC"/>
            <w:u w:val="single"/>
          </w:rPr>
          <w:t>10.1109/tsg.2026.3688250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[730] </w:t>
      </w:r>
      <w:hyperlink r:id="rId1060">
        <w:r>
          <w:rPr>
            <w:color w:val="1155CC"/>
            <w:u w:val="single"/>
          </w:rPr>
          <w:t>基于量化技术的主动配电网动态预测-决策联合制定端到端学习模型</w:t>
        </w:r>
      </w:hyperlink>
    </w:p>
    <w:p>
      <w:pPr>
        <w:spacing w:before="0" w:after="80"/>
      </w:pPr>
      <w:r>
        <w:rPr>
          <w:i/>
          <w:sz w:val="20"/>
        </w:rPr>
        <w:t>EN: An End-to-End Learning Model With Quantization Technology for Dynamic Prediction-Decision Joint-Making in Active Distribution Networks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60">
        <w:r>
          <w:rPr>
            <w:color w:val="1155CC"/>
            <w:u w:val="single"/>
          </w:rPr>
          <w:t>10.1109/tsg.2026.3668484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[731] </w:t>
      </w:r>
      <w:hyperlink r:id="rId1167">
        <w:r>
          <w:rPr>
            <w:color w:val="1155CC"/>
            <w:u w:val="single"/>
          </w:rPr>
          <w:t>考虑冷冻水回路蓄冷的商业暖通空调负荷需求响应潜力评估</w:t>
        </w:r>
      </w:hyperlink>
    </w:p>
    <w:p>
      <w:pPr>
        <w:spacing w:before="0" w:after="80"/>
      </w:pPr>
      <w:r>
        <w:rPr>
          <w:i/>
          <w:sz w:val="20"/>
        </w:rPr>
        <w:t>EN: Demand Response Potential Evaluation for Commercial HVAC Loads Considering Cooling Storage in Chilled Water Loops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67">
        <w:r>
          <w:rPr>
            <w:color w:val="1155CC"/>
            <w:u w:val="single"/>
          </w:rPr>
          <w:t>10.1109/tsg.2026.3676769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[732] </w:t>
      </w:r>
      <w:hyperlink r:id="rId1609">
        <w:r>
          <w:rPr>
            <w:color w:val="1155CC"/>
            <w:u w:val="single"/>
          </w:rPr>
          <w:t>基于量化反应的智能电网攻防博弈有限理性演化对抗强化学习</w:t>
        </w:r>
      </w:hyperlink>
    </w:p>
    <w:p>
      <w:pPr>
        <w:spacing w:before="0" w:after="80"/>
      </w:pPr>
      <w:r>
        <w:rPr>
          <w:i/>
          <w:sz w:val="20"/>
        </w:rPr>
        <w:t>EN: Quantal Response-Based Adversarial Reinforcement Learning for Smart Grid Attack-Defense Game With Bounded Rationality Evolution</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609">
        <w:r>
          <w:rPr>
            <w:color w:val="1155CC"/>
            <w:u w:val="single"/>
          </w:rPr>
          <w:t>10.1109/tsg.2026.3687233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[733] </w:t>
      </w:r>
      <w:hyperlink r:id="rId1070">
        <w:r>
          <w:rPr>
            <w:color w:val="1155CC"/>
            <w:u w:val="single"/>
          </w:rPr>
          <w:t>基于嵌入大语言模型的多智能体强化学习的综合能源系统低碳调度</w:t>
        </w:r>
      </w:hyperlink>
    </w:p>
    <w:p>
      <w:pPr>
        <w:spacing w:before="0" w:after="80"/>
      </w:pPr>
      <w:r>
        <w:rPr>
          <w:i/>
          <w:sz w:val="20"/>
        </w:rPr>
        <w:t>EN: Low Carbon Scheduling of Integrated Energy System Based on Large Language Model-Embedded Multi-Agent Reinforcement Learning</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70">
        <w:r>
          <w:rPr>
            <w:color w:val="1155CC"/>
            <w:u w:val="single"/>
          </w:rPr>
          <w:t>10.1109/tsg.2026.3672814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[734] </w:t>
      </w:r>
      <w:hyperlink r:id="rId1072">
        <w:r>
          <w:rPr>
            <w:color w:val="1155CC"/>
            <w:u w:val="single"/>
          </w:rPr>
          <w:t>基于共形预测的表后光伏系统概率分解</w:t>
        </w:r>
      </w:hyperlink>
    </w:p>
    <w:p>
      <w:pPr>
        <w:spacing w:before="0" w:after="80"/>
      </w:pPr>
      <w:r>
        <w:rPr>
          <w:i/>
          <w:sz w:val="20"/>
        </w:rPr>
        <w:t>EN: Probabilistic Disaggregation of Behind-the-Meter PV Systems Using Conformal Prediction</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72">
        <w:r>
          <w:rPr>
            <w:color w:val="1155CC"/>
            <w:u w:val="single"/>
          </w:rPr>
          <w:t>10.1109/tsg.2026.3676842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[735] </w:t>
      </w:r>
      <w:hyperlink r:id="rId1074">
        <w:r>
          <w:rPr>
            <w:color w:val="1155CC"/>
            <w:u w:val="single"/>
          </w:rPr>
          <w:t>柔性牵引供电系统多时间尺度分布式随机经济调度</w:t>
        </w:r>
      </w:hyperlink>
    </w:p>
    <w:p>
      <w:pPr>
        <w:spacing w:before="0" w:after="80"/>
      </w:pPr>
      <w:r>
        <w:rPr>
          <w:i/>
          <w:sz w:val="20"/>
        </w:rPr>
        <w:t>EN: Multi-Time Scale Distributed Stochastic Economic Dispatch for Flexible Traction Power Supply System</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74">
        <w:r>
          <w:rPr>
            <w:color w:val="1155CC"/>
            <w:u w:val="single"/>
          </w:rPr>
          <w:t>10.1109/tsg.2026.3678340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[736] </w:t>
      </w:r>
      <w:hyperlink r:id="rId1076">
        <w:r>
          <w:rPr>
            <w:color w:val="1155CC"/>
            <w:u w:val="single"/>
          </w:rPr>
          <w:t>价格响应型柔性负荷的动态行为建模：一种深度学习参数化的逆优化方法</w:t>
        </w:r>
      </w:hyperlink>
    </w:p>
    <w:p>
      <w:pPr>
        <w:spacing w:before="0" w:after="80"/>
      </w:pPr>
      <w:r>
        <w:rPr>
          <w:i/>
          <w:sz w:val="20"/>
        </w:rPr>
        <w:t>EN: Dynamic Behavior Modeling of Price-Responsive Flexible Loads: A Deep Learning-Parameterized Inverse Optimization Approach</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76">
        <w:r>
          <w:rPr>
            <w:color w:val="1155CC"/>
            <w:u w:val="single"/>
          </w:rPr>
          <w:t>10.1109/tsg.2026.3672613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[737] </w:t>
      </w:r>
      <w:hyperlink r:id="rId1120">
        <w:r>
          <w:rPr>
            <w:color w:val="1155CC"/>
            <w:u w:val="single"/>
          </w:rPr>
          <w:t>集成微电网-电动汽车充电站的集中式多功能电力管理</w:t>
        </w:r>
      </w:hyperlink>
    </w:p>
    <w:p>
      <w:pPr>
        <w:spacing w:before="0" w:after="80"/>
      </w:pPr>
      <w:r>
        <w:rPr>
          <w:i/>
          <w:sz w:val="20"/>
        </w:rPr>
        <w:t>EN: Centralized Multi-Functional Power Management of an Integrated Microgrid–Electric Vehicle Charging Station</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20">
        <w:r>
          <w:rPr>
            <w:color w:val="1155CC"/>
            <w:u w:val="single"/>
          </w:rPr>
          <w:t>10.1109/tsg.2026.3667702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[738] </w:t>
      </w:r>
      <w:hyperlink r:id="rId1114">
        <w:r>
          <w:rPr>
            <w:color w:val="1155CC"/>
            <w:u w:val="single"/>
          </w:rPr>
          <w:t>基于Andronov-Hopf振荡器的并网逆变器谐波消除方案</w:t>
        </w:r>
      </w:hyperlink>
    </w:p>
    <w:p>
      <w:pPr>
        <w:spacing w:before="0" w:after="80"/>
      </w:pPr>
      <w:r>
        <w:rPr>
          <w:i/>
          <w:sz w:val="20"/>
        </w:rPr>
        <w:t>EN: Andronov-Hopf Oscillator-Based Harmonic Elimination Scheme for Grid-Connected Inverters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14">
        <w:r>
          <w:rPr>
            <w:color w:val="1155CC"/>
            <w:u w:val="single"/>
          </w:rPr>
          <w:t>10.1109/tsg.2026.3674889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[739] </w:t>
      </w:r>
      <w:hyperlink r:id="rId1161">
        <w:r>
          <w:rPr>
            <w:color w:val="1155CC"/>
            <w:u w:val="single"/>
          </w:rPr>
          <w:t>基于单纯形图的大规模智能电网网络攻击检测与定位</w:t>
        </w:r>
      </w:hyperlink>
    </w:p>
    <w:p>
      <w:pPr>
        <w:spacing w:before="0" w:after="80"/>
      </w:pPr>
      <w:r>
        <w:rPr>
          <w:i/>
          <w:sz w:val="20"/>
        </w:rPr>
        <w:t>EN: Simplicial Graph-Based Detection and Localization of Cyber Attacks Against Large-Scale Smart Grids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61">
        <w:r>
          <w:rPr>
            <w:color w:val="1155CC"/>
            <w:u w:val="single"/>
          </w:rPr>
          <w:t>10.1109/tsg.2026.3682950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[740] </w:t>
      </w:r>
      <w:hyperlink r:id="rId1177">
        <w:r>
          <w:rPr>
            <w:color w:val="1155CC"/>
            <w:u w:val="single"/>
          </w:rPr>
          <w:t>利用物联网与智能体AI聚类缩放优化P2P能源交易</w:t>
        </w:r>
      </w:hyperlink>
    </w:p>
    <w:p>
      <w:pPr>
        <w:spacing w:before="0" w:after="80"/>
      </w:pPr>
      <w:r>
        <w:rPr>
          <w:i/>
          <w:sz w:val="20"/>
        </w:rPr>
        <w:t>EN: Optimizing P2P Energy Trading Using Internet of Things and Agentic AI Cluster Zooming</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77">
        <w:r>
          <w:rPr>
            <w:color w:val="1155CC"/>
            <w:u w:val="single"/>
          </w:rPr>
          <w:t>10.1109/tsg.2026.3674759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[741] </w:t>
      </w:r>
      <w:hyperlink r:id="rId1185">
        <w:r>
          <w:rPr>
            <w:color w:val="1155CC"/>
            <w:u w:val="single"/>
          </w:rPr>
          <w:t>不确定性下基于DRCC的电动汽车充电站高效可 tractable 最优运行</w:t>
        </w:r>
      </w:hyperlink>
    </w:p>
    <w:p>
      <w:pPr>
        <w:spacing w:before="0" w:after="80"/>
      </w:pPr>
      <w:r>
        <w:rPr>
          <w:i/>
          <w:sz w:val="20"/>
        </w:rPr>
        <w:t>EN: Time-Efficient and Tractable DRCC-Based Optimal Operation of EV Charging Stations Under Uncertainty</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85">
        <w:r>
          <w:rPr>
            <w:color w:val="1155CC"/>
            <w:u w:val="single"/>
          </w:rPr>
          <w:t>10.1109/tsg.2026.3681939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[742] </w:t>
      </w:r>
      <w:hyperlink r:id="rId1181">
        <w:r>
          <w:rPr>
            <w:color w:val="1155CC"/>
            <w:u w:val="single"/>
          </w:rPr>
          <w:t>DER不确定性聚合：联合机会约束下的Minkowski和</w:t>
        </w:r>
      </w:hyperlink>
    </w:p>
    <w:p>
      <w:pPr>
        <w:spacing w:before="0" w:after="80"/>
      </w:pPr>
      <w:r>
        <w:rPr>
          <w:i/>
          <w:sz w:val="20"/>
        </w:rPr>
        <w:t>EN: Aggregating DER Uncertainty: Minkowski Sum Under Joint Chance Constraints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181">
        <w:r>
          <w:rPr>
            <w:color w:val="1155CC"/>
            <w:u w:val="single"/>
          </w:rPr>
          <w:t>10.1109/tsg.2026.3676781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[743] </w:t>
      </w:r>
      <w:hyperlink r:id="rId1078">
        <w:r>
          <w:rPr>
            <w:color w:val="1155CC"/>
            <w:u w:val="single"/>
          </w:rPr>
          <w:t>基于零序电容变化的配电网跨线相继故障检测</w:t>
        </w:r>
      </w:hyperlink>
    </w:p>
    <w:p>
      <w:pPr>
        <w:spacing w:before="0" w:after="80"/>
      </w:pPr>
      <w:r>
        <w:rPr>
          <w:i/>
          <w:sz w:val="20"/>
        </w:rPr>
        <w:t>EN: A Cross-Line Successive Fault Detection of Distribution Network Based on Zero-Sequence Capacitance Variation</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078">
        <w:r>
          <w:rPr>
            <w:color w:val="1155CC"/>
            <w:u w:val="single"/>
          </w:rPr>
          <w:t>10.1109/tsg.2026.3687196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[744] </w:t>
      </w:r>
      <w:hyperlink r:id="rId1309">
        <w:r>
          <w:rPr>
            <w:color w:val="1155CC"/>
            <w:u w:val="single"/>
          </w:rPr>
          <w:t>基于区块链的联邦学习方法用于双重验证的窃电检测</w:t>
        </w:r>
      </w:hyperlink>
    </w:p>
    <w:p>
      <w:pPr>
        <w:spacing w:before="0" w:after="80"/>
      </w:pPr>
      <w:r>
        <w:rPr>
          <w:i/>
          <w:sz w:val="20"/>
        </w:rPr>
        <w:t>EN: A Blockchain-Based Federated Learning Approach for Electricity Theft Detection Through Dual-Verification</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309">
        <w:r>
          <w:rPr>
            <w:color w:val="1155CC"/>
            <w:u w:val="single"/>
          </w:rPr>
          <w:t>10.1109/tsg.2026.3676843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[745] </w:t>
      </w:r>
      <w:hyperlink r:id="rId1305">
        <w:r>
          <w:rPr>
            <w:color w:val="1155CC"/>
            <w:u w:val="single"/>
          </w:rPr>
          <w:t>协调电动汽车充电站与光伏-电池系统的在线随机优化</w:t>
        </w:r>
      </w:hyperlink>
    </w:p>
    <w:p>
      <w:pPr>
        <w:spacing w:before="0" w:after="80"/>
      </w:pPr>
      <w:r>
        <w:rPr>
          <w:i/>
          <w:sz w:val="20"/>
        </w:rPr>
        <w:t>EN: Online Stochastic Optimization for Coordinating EV Charging Stations With PV-Battery Systems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305">
        <w:r>
          <w:rPr>
            <w:color w:val="1155CC"/>
            <w:u w:val="single"/>
          </w:rPr>
          <w:t>10.1109/tsg.2026.3703651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[746] </w:t>
      </w:r>
      <w:hyperlink r:id="rId1610">
        <w:r>
          <w:rPr>
            <w:color w:val="1155CC"/>
            <w:u w:val="single"/>
          </w:rPr>
          <w:t>基于动态规划的非预测性电力-交通耦合系统多阶段协调优化调度方法</w:t>
        </w:r>
      </w:hyperlink>
    </w:p>
    <w:p>
      <w:pPr>
        <w:spacing w:before="0" w:after="80"/>
      </w:pPr>
      <w:r>
        <w:rPr>
          <w:i/>
          <w:sz w:val="20"/>
        </w:rPr>
        <w:t>EN: Dynamic Programming-Based Non-Anticipative Approach for Multi-Stage Coordinated Optimal Dispatch of Electricity and Transportation Nexus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610">
        <w:r>
          <w:rPr>
            <w:color w:val="1155CC"/>
            <w:u w:val="single"/>
          </w:rPr>
          <w:t>10.1109/tsg.2026.3687884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[747] </w:t>
      </w:r>
      <w:hyperlink r:id="rId1498">
        <w:r>
          <w:rPr>
            <w:color w:val="1155CC"/>
            <w:u w:val="single"/>
          </w:rPr>
          <w:t>多面体需求灵活性集合的联邦聚合</w:t>
        </w:r>
      </w:hyperlink>
    </w:p>
    <w:p>
      <w:pPr>
        <w:spacing w:before="0" w:after="80"/>
      </w:pPr>
      <w:r>
        <w:rPr>
          <w:i/>
          <w:sz w:val="20"/>
        </w:rPr>
        <w:t>EN: Federated Aggregation of Polyhedral Demand Flexibility Sets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498">
        <w:r>
          <w:rPr>
            <w:color w:val="1155CC"/>
            <w:u w:val="single"/>
          </w:rPr>
          <w:t>10.1109/tsg.2026.3676867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[748] </w:t>
      </w:r>
      <w:hyperlink r:id="rId1496">
        <w:r>
          <w:rPr>
            <w:color w:val="1155CC"/>
            <w:u w:val="single"/>
          </w:rPr>
          <w:t>一种利用带参数步进变化的反正切框架的更快速μ-PMU算法</w:t>
        </w:r>
      </w:hyperlink>
    </w:p>
    <w:p>
      <w:pPr>
        <w:spacing w:before="0" w:after="80"/>
      </w:pPr>
      <w:r>
        <w:rPr>
          <w:i/>
          <w:sz w:val="20"/>
        </w:rPr>
        <w:t>EN: A Faster μ -PMU Algorithm Using Arctangent Framework With Parameter Step Change</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496">
        <w:r>
          <w:rPr>
            <w:color w:val="1155CC"/>
            <w:u w:val="single"/>
          </w:rPr>
          <w:t>10.1109/tsg.2026.3664302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[749] </w:t>
      </w:r>
      <w:hyperlink r:id="rId339">
        <w:r>
          <w:rPr>
            <w:color w:val="1155CC"/>
            <w:u w:val="single"/>
          </w:rPr>
          <w:t>考虑氢电解 contingency 频率服务的节点频率最低值机会约束经济调度</w:t>
        </w:r>
      </w:hyperlink>
    </w:p>
    <w:p>
      <w:pPr>
        <w:spacing w:before="0" w:after="80"/>
      </w:pPr>
      <w:r>
        <w:rPr>
          <w:i/>
          <w:sz w:val="20"/>
        </w:rPr>
        <w:t>EN: Nodal Frequency Nadir Chance-Constrained Economic Dispatch Considering Contingency Frequency Service From Hydrogen Electrolysis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339">
        <w:r>
          <w:rPr>
            <w:color w:val="1155CC"/>
            <w:u w:val="single"/>
          </w:rPr>
          <w:t>10.1109/tsg.2026.3684658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[750] </w:t>
      </w:r>
      <w:hyperlink r:id="rId1311">
        <w:r>
          <w:rPr>
            <w:color w:val="1155CC"/>
            <w:u w:val="single"/>
          </w:rPr>
          <w:t>用于具有悬伸结构的 SPM 电机开路磁场预测的改进三维混合模型</w:t>
        </w:r>
      </w:hyperlink>
    </w:p>
    <w:p>
      <w:pPr>
        <w:spacing w:before="0" w:after="80"/>
      </w:pPr>
      <w:r>
        <w:rPr>
          <w:i/>
          <w:sz w:val="20"/>
        </w:rPr>
        <w:t>EN: Improved 3-D Hybrid Models for Open-Circuit Field Prediction in SPM Machines With Overhang Structures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11">
        <w:r>
          <w:rPr>
            <w:color w:val="1155CC"/>
            <w:u w:val="single"/>
          </w:rPr>
          <w:t>10.1109/tec.2026.3684726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[751] </w:t>
      </w:r>
      <w:hyperlink r:id="rId1330">
        <w:r>
          <w:rPr>
            <w:color w:val="1155CC"/>
            <w:u w:val="single"/>
          </w:rPr>
          <w:t>基于转速增量动态补偿的 PMSG-WECS 转子动能精确功率平滑控制</w:t>
        </w:r>
      </w:hyperlink>
    </w:p>
    <w:p>
      <w:pPr>
        <w:spacing w:before="0" w:after="80"/>
      </w:pPr>
      <w:r>
        <w:rPr>
          <w:i/>
          <w:sz w:val="20"/>
        </w:rPr>
        <w:t>EN: Accurate Rotor Kinetic Energy-Based Power Smoothing Control Using Speed Increment Dynamic Compensation for PMSG-WECS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30">
        <w:r>
          <w:rPr>
            <w:color w:val="1155CC"/>
            <w:u w:val="single"/>
          </w:rPr>
          <w:t>10.1109/tec.2026.3685704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[752] </w:t>
      </w:r>
      <w:hyperlink r:id="rId1316">
        <w:r>
          <w:rPr>
            <w:color w:val="1155CC"/>
            <w:u w:val="single"/>
          </w:rPr>
          <w:t>考虑磁饱和与扩散效应的 PMSM 转子涡流损耗预测解析模型</w:t>
        </w:r>
      </w:hyperlink>
    </w:p>
    <w:p>
      <w:pPr>
        <w:spacing w:before="0" w:after="80"/>
      </w:pPr>
      <w:r>
        <w:rPr>
          <w:i/>
          <w:sz w:val="20"/>
        </w:rPr>
        <w:t>EN: Analytical Model for Predicting Rotor Eddy Current Loss of PMSMs Considering Magnetic Saturation and Diffusion Effect</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16">
        <w:r>
          <w:rPr>
            <w:color w:val="1155CC"/>
            <w:u w:val="single"/>
          </w:rPr>
          <w:t>10.1109/tec.2026.3676225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[753] </w:t>
      </w:r>
      <w:hyperlink r:id="rId1096">
        <w:r>
          <w:rPr>
            <w:color w:val="1155CC"/>
            <w:u w:val="single"/>
          </w:rPr>
          <w:t>一种用于 PMSM 驱动系统中差模和共模干扰抑制的新型磁集成三相 EMI 滤波器</w:t>
        </w:r>
      </w:hyperlink>
    </w:p>
    <w:p>
      <w:pPr>
        <w:spacing w:before="0" w:after="80"/>
      </w:pPr>
      <w:r>
        <w:rPr>
          <w:i/>
          <w:sz w:val="20"/>
        </w:rPr>
        <w:t>EN: A Novel Magnetic Integrated Three-Phase EMI Filter for Differential-Mode and Common-Mode Interference Suppression in PMSM Drive Systems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96">
        <w:r>
          <w:rPr>
            <w:color w:val="1155CC"/>
            <w:u w:val="single"/>
          </w:rPr>
          <w:t>10.1109/tec.2026.3678419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[754] </w:t>
      </w:r>
      <w:hyperlink r:id="rId1368">
        <w:r>
          <w:rPr>
            <w:color w:val="1155CC"/>
            <w:u w:val="single"/>
          </w:rPr>
          <w:t>配备同步励磁机的无刷绕线励磁同步电机励磁电流估计</w:t>
        </w:r>
      </w:hyperlink>
    </w:p>
    <w:p>
      <w:pPr>
        <w:spacing w:before="0" w:after="80"/>
      </w:pPr>
      <w:r>
        <w:rPr>
          <w:i/>
          <w:sz w:val="20"/>
        </w:rPr>
        <w:t>EN: Field Current Estimation for Brushless Wound-Field Synchronous Machine Equipped With Synchronous Exciter</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68">
        <w:r>
          <w:rPr>
            <w:color w:val="1155CC"/>
            <w:u w:val="single"/>
          </w:rPr>
          <w:t>10.1109/tec.2026.3657942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[755] </w:t>
      </w:r>
      <w:hyperlink r:id="rId1205">
        <w:r>
          <w:rPr>
            <w:color w:val="1155CC"/>
            <w:u w:val="single"/>
          </w:rPr>
          <w:t>基于电流和电压重构的低铜耗高阻连接容错五相 PMSM 方法</w:t>
        </w:r>
      </w:hyperlink>
    </w:p>
    <w:p>
      <w:pPr>
        <w:spacing w:before="0" w:after="80"/>
      </w:pPr>
      <w:r>
        <w:rPr>
          <w:i/>
          <w:sz w:val="20"/>
        </w:rPr>
        <w:t>EN: Low Copper Loss High-Resistance Connection Fault Tolerant Method in Five-Phase PMSM With Current and Voltage Reconfiguration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05">
        <w:r>
          <w:rPr>
            <w:color w:val="1155CC"/>
            <w:u w:val="single"/>
          </w:rPr>
          <w:t>10.1109/tec.2026.3665730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[756] </w:t>
      </w:r>
      <w:hyperlink r:id="rId1326">
        <w:r>
          <w:rPr>
            <w:color w:val="1155CC"/>
            <w:u w:val="single"/>
          </w:rPr>
          <w:t>采用改进 Kriging 模型的直线-旋转 PMSM 多目标全局优化方法</w:t>
        </w:r>
      </w:hyperlink>
    </w:p>
    <w:p>
      <w:pPr>
        <w:spacing w:before="0" w:after="80"/>
      </w:pPr>
      <w:r>
        <w:rPr>
          <w:i/>
          <w:sz w:val="20"/>
        </w:rPr>
        <w:t>EN: A Multi-Objective Global Optimization Method for Linear-Rotary PMSM Using an Improved Kriging Model</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26">
        <w:r>
          <w:rPr>
            <w:color w:val="1155CC"/>
            <w:u w:val="single"/>
          </w:rPr>
          <w:t>10.1109/tec.2026.3684646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[757] </w:t>
      </w:r>
      <w:hyperlink r:id="rId1064">
        <w:r>
          <w:rPr>
            <w:color w:val="1155CC"/>
            <w:u w:val="single"/>
          </w:rPr>
          <w:t>抽水蓄能电站变频器供电同步电机励磁绕组中的附加交流铜耗</w:t>
        </w:r>
      </w:hyperlink>
    </w:p>
    <w:p>
      <w:pPr>
        <w:spacing w:before="0" w:after="80"/>
      </w:pPr>
      <w:r>
        <w:rPr>
          <w:i/>
          <w:sz w:val="20"/>
        </w:rPr>
        <w:t>EN: Additional AC Copper Losses in the Field Winding of Converter-Fed Synchronous Machines for Pumped Storage Hydropower Plants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64">
        <w:r>
          <w:rPr>
            <w:color w:val="1155CC"/>
            <w:u w:val="single"/>
          </w:rPr>
          <w:t>10.1109/tec.2026.3666367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[758] </w:t>
      </w:r>
      <w:hyperlink r:id="rId1088">
        <w:r>
          <w:rPr>
            <w:color w:val="1155CC"/>
            <w:u w:val="single"/>
          </w:rPr>
          <w:t>供电于恒功率负载的并网电压源变换器提升暂态稳定性的动态电流控制策略</w:t>
        </w:r>
      </w:hyperlink>
    </w:p>
    <w:p>
      <w:pPr>
        <w:spacing w:before="0" w:after="80"/>
      </w:pPr>
      <w:r>
        <w:rPr>
          <w:i/>
          <w:sz w:val="20"/>
        </w:rPr>
        <w:t>EN: Dynamic Current Control Strategy of Grid-Connected Voltage Source Converters Feeding Constant Power Loads for Transient Stability Enhancement</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88">
        <w:r>
          <w:rPr>
            <w:color w:val="1155CC"/>
            <w:u w:val="single"/>
          </w:rPr>
          <w:t>10.1109/tec.2026.3657355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[759] </w:t>
      </w:r>
      <w:hyperlink r:id="rId1090">
        <w:r>
          <w:rPr>
            <w:color w:val="1155CC"/>
            <w:u w:val="single"/>
          </w:rPr>
          <w:t>用于电磁缓冲器分析的一种精确非线性涡流磁网络模型</w:t>
        </w:r>
      </w:hyperlink>
    </w:p>
    <w:p>
      <w:pPr>
        <w:spacing w:before="0" w:after="80"/>
      </w:pPr>
      <w:r>
        <w:rPr>
          <w:i/>
          <w:sz w:val="20"/>
        </w:rPr>
        <w:t>EN: A Precise Nonlinear Eddy-Current Magnetic Network Model for the Analysis of Electromagnetic Buffer</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90">
        <w:r>
          <w:rPr>
            <w:color w:val="1155CC"/>
            <w:u w:val="single"/>
          </w:rPr>
          <w:t>10.1109/tec.2026.3677039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[760] </w:t>
      </w:r>
      <w:hyperlink r:id="rId1092">
        <w:r>
          <w:rPr>
            <w:color w:val="1155CC"/>
            <w:u w:val="single"/>
          </w:rPr>
          <w:t>基于自适应变速率趋近律与扰动扩展滑模观测器的预测转矩控制感应电机驱动滑模速度控制</w:t>
        </w:r>
      </w:hyperlink>
    </w:p>
    <w:p>
      <w:pPr>
        <w:spacing w:before="0" w:after="80"/>
      </w:pPr>
      <w:r>
        <w:rPr>
          <w:i/>
          <w:sz w:val="20"/>
        </w:rPr>
        <w:t>EN: Sliding-Mode Speed Control for Predictive-Torque-Control-Based Induction-Machine Drives Based on Adaptive-Variable-Rate Reaching Law and Disturbance-Extended Sliding-Mode Observer</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92">
        <w:r>
          <w:rPr>
            <w:color w:val="1155CC"/>
            <w:u w:val="single"/>
          </w:rPr>
          <w:t>10.1109/tec.2025.3605898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[761] </w:t>
      </w:r>
      <w:hyperlink r:id="rId1201">
        <w:r>
          <w:rPr>
            <w:color w:val="1155CC"/>
            <w:u w:val="single"/>
          </w:rPr>
          <w:t>高速永磁电机碳纤维护套固定转子的绕线工艺仿真与应力分析</w:t>
        </w:r>
      </w:hyperlink>
    </w:p>
    <w:p>
      <w:pPr>
        <w:spacing w:before="0" w:after="80"/>
      </w:pPr>
      <w:r>
        <w:rPr>
          <w:i/>
          <w:sz w:val="20"/>
        </w:rPr>
        <w:t>EN: Winding Process Simulation and Stress Analysis of Rotor Retained by Carbon Fiber Sleeve for High-Speed Permanent Magnet Machines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01">
        <w:r>
          <w:rPr>
            <w:color w:val="1155CC"/>
            <w:u w:val="single"/>
          </w:rPr>
          <w:t>10.1109/tec.2026.3690739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[762] </w:t>
      </w:r>
      <w:hyperlink r:id="rId1332">
        <w:r>
          <w:rPr>
            <w:color w:val="1155CC"/>
            <w:u w:val="single"/>
          </w:rPr>
          <w:t>基于小位置信号注入与卡尔曼滤波消除饱和的PMSM绕组与磁体温度解耦跟踪</w:t>
        </w:r>
      </w:hyperlink>
    </w:p>
    <w:p>
      <w:pPr>
        <w:spacing w:before="0" w:after="80"/>
      </w:pPr>
      <w:r>
        <w:rPr>
          <w:i/>
          <w:sz w:val="20"/>
        </w:rPr>
        <w:t>EN: Winding and Magnet Temperature Decoupled Tracking for PMSM Eliminating Saturation Using Small Position Signal Injection and Kalman Filter</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32">
        <w:r>
          <w:rPr>
            <w:color w:val="1155CC"/>
            <w:u w:val="single"/>
          </w:rPr>
          <w:t>10.1109/tec.2026.3691142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[763] </w:t>
      </w:r>
      <w:hyperlink r:id="rId1313">
        <w:r>
          <w:rPr>
            <w:color w:val="1155CC"/>
            <w:u w:val="single"/>
          </w:rPr>
          <w:t>具有外部扰动的不确定水轮机调速系统性能增强自适应有限时间精确控制</w:t>
        </w:r>
      </w:hyperlink>
    </w:p>
    <w:p>
      <w:pPr>
        <w:spacing w:before="0" w:after="80"/>
      </w:pPr>
      <w:r>
        <w:rPr>
          <w:i/>
          <w:sz w:val="20"/>
        </w:rPr>
        <w:t>EN: Performance-Enhanced Adaptive Finite-Time Accurate Control of Uncertain Hydro Turbine Governing System With External Disturbances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13">
        <w:r>
          <w:rPr>
            <w:color w:val="1155CC"/>
            <w:u w:val="single"/>
          </w:rPr>
          <w:t>10.1109/tec.2026.3684970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[764] </w:t>
      </w:r>
      <w:hyperlink r:id="rId1299">
        <w:r>
          <w:rPr>
            <w:color w:val="1155CC"/>
            <w:u w:val="single"/>
          </w:rPr>
          <w:t>多相定子设计自励磁绕线转子同步电机的实验评估与数学建模</w:t>
        </w:r>
      </w:hyperlink>
    </w:p>
    <w:p>
      <w:pPr>
        <w:spacing w:before="0" w:after="80"/>
      </w:pPr>
      <w:r>
        <w:rPr>
          <w:i/>
          <w:sz w:val="20"/>
        </w:rPr>
        <w:t>EN: Experimental Assessment and Mathematical Modeling of a Self-Excited Wound Rotor Synchronous Motor With Multiphase Stator Design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99">
        <w:r>
          <w:rPr>
            <w:color w:val="1155CC"/>
            <w:u w:val="single"/>
          </w:rPr>
          <w:t>10.1109/tec.2026.3669173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[765] </w:t>
      </w:r>
      <w:hyperlink r:id="rId1297">
        <w:r>
          <w:rPr>
            <w:color w:val="1155CC"/>
            <w:u w:val="single"/>
          </w:rPr>
          <w:t>微电网中柴油发电机的一种新型数字孪生</w:t>
        </w:r>
      </w:hyperlink>
    </w:p>
    <w:p>
      <w:pPr>
        <w:spacing w:before="0" w:after="80"/>
      </w:pPr>
      <w:r>
        <w:rPr>
          <w:i/>
          <w:sz w:val="20"/>
        </w:rPr>
        <w:t>EN: A Novel Digital Twin for Diesel Generator in Microgrids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97">
        <w:r>
          <w:rPr>
            <w:color w:val="1155CC"/>
            <w:u w:val="single"/>
          </w:rPr>
          <w:t>10.1109/tec.2026.3664079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[766] </w:t>
      </w:r>
      <w:hyperlink r:id="rId1086">
        <w:r>
          <w:rPr>
            <w:color w:val="1155CC"/>
            <w:u w:val="single"/>
          </w:rPr>
          <w:t>基于反电动势观测器的模型预测算法永磁同步电机无传感器控制</w:t>
        </w:r>
      </w:hyperlink>
    </w:p>
    <w:p>
      <w:pPr>
        <w:spacing w:before="0" w:after="80"/>
      </w:pPr>
      <w:r>
        <w:rPr>
          <w:i/>
          <w:sz w:val="20"/>
        </w:rPr>
        <w:t>EN: Sensorless Control of Permanent Magnet Synchronous Motors Using Model Predictive Algorithm Based Back-EMF Observer</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86">
        <w:r>
          <w:rPr>
            <w:color w:val="1155CC"/>
            <w:u w:val="single"/>
          </w:rPr>
          <w:t>10.1109/tec.2026.3687962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[767] </w:t>
      </w:r>
      <w:hyperlink r:id="rId1100">
        <w:r>
          <w:rPr>
            <w:color w:val="1155CC"/>
            <w:u w:val="single"/>
          </w:rPr>
          <w:t>基于无模型预测电流控制的双星形-三角形绕组PMSM自适应容错控制</w:t>
        </w:r>
      </w:hyperlink>
    </w:p>
    <w:p>
      <w:pPr>
        <w:spacing w:before="0" w:after="80"/>
      </w:pPr>
      <w:r>
        <w:rPr>
          <w:i/>
          <w:sz w:val="20"/>
        </w:rPr>
        <w:t>EN: Adaptive Fault-Tolerant Control Based on Model-Free Predictive Current Control for PMSM With Dual Star-Delta Windings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100">
        <w:r>
          <w:rPr>
            <w:color w:val="1155CC"/>
            <w:u w:val="single"/>
          </w:rPr>
          <w:t>10.1109/tec.2026.3662815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[768] </w:t>
      </w:r>
      <w:hyperlink r:id="rId1084">
        <w:r>
          <w:rPr>
            <w:color w:val="1155CC"/>
            <w:u w:val="single"/>
          </w:rPr>
          <w:t>混合偏心条件下表贴式永磁同步电机杂散磁场的分阶段解析建模</w:t>
        </w:r>
      </w:hyperlink>
    </w:p>
    <w:p>
      <w:pPr>
        <w:spacing w:before="0" w:after="80"/>
      </w:pPr>
      <w:r>
        <w:rPr>
          <w:i/>
          <w:sz w:val="20"/>
        </w:rPr>
        <w:t>EN: Stage-Wise Analytical Modeling of the Stray Magnetic Field in Surface-Mounted Permanent Magnet Synchronous Motors Under Mixed Eccentricity</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84">
        <w:r>
          <w:rPr>
            <w:color w:val="1155CC"/>
            <w:u w:val="single"/>
          </w:rPr>
          <w:t>10.1109/tec.2026.3657215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[769] </w:t>
      </w:r>
      <w:hyperlink r:id="rId1104">
        <w:r>
          <w:rPr>
            <w:color w:val="1155CC"/>
            <w:u w:val="single"/>
          </w:rPr>
          <w:t>同步发电机的实时无功功率极限：在西班牙新电压控制系统中的应用</w:t>
        </w:r>
      </w:hyperlink>
    </w:p>
    <w:p>
      <w:pPr>
        <w:spacing w:before="0" w:after="80"/>
      </w:pPr>
      <w:r>
        <w:rPr>
          <w:i/>
          <w:sz w:val="20"/>
        </w:rPr>
        <w:t>EN: Real-Time Reactive Power Limits of Synchronous Generators: Application to the New Spanish Voltage Control System</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104">
        <w:r>
          <w:rPr>
            <w:color w:val="1155CC"/>
            <w:u w:val="single"/>
          </w:rPr>
          <w:t>10.1109/tec.2026.3662808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[770] </w:t>
      </w:r>
      <w:hyperlink r:id="rId1068">
        <w:r>
          <w:rPr>
            <w:color w:val="1155CC"/>
            <w:u w:val="single"/>
          </w:rPr>
          <w:t>双三相PMSM系统的一种直接谐波电流抑制技术</w:t>
        </w:r>
      </w:hyperlink>
    </w:p>
    <w:p>
      <w:pPr>
        <w:spacing w:before="0" w:after="80"/>
      </w:pPr>
      <w:r>
        <w:rPr>
          <w:i/>
          <w:sz w:val="20"/>
        </w:rPr>
        <w:t>EN: A Direct Harmonic Current Suppression Technique for Dual Three-Phase PMSM System</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68">
        <w:r>
          <w:rPr>
            <w:color w:val="1155CC"/>
            <w:u w:val="single"/>
          </w:rPr>
          <w:t>10.1109/tec.2026.3690281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[771] </w:t>
      </w:r>
      <w:hyperlink r:id="rId1080">
        <w:r>
          <w:rPr>
            <w:color w:val="1155CC"/>
            <w:u w:val="single"/>
          </w:rPr>
          <w:t>面向磁悬浮平面电机功耗最小化的动子空间约束结构优化</w:t>
        </w:r>
      </w:hyperlink>
    </w:p>
    <w:p>
      <w:pPr>
        <w:spacing w:before="0" w:after="80"/>
      </w:pPr>
      <w:r>
        <w:rPr>
          <w:i/>
          <w:sz w:val="20"/>
        </w:rPr>
        <w:t>EN: Spatial-Constrained Structure Optimization of the Mover for Minimizing Power Consumption in Maglev Planar Motors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80">
        <w:r>
          <w:rPr>
            <w:color w:val="1155CC"/>
            <w:u w:val="single"/>
          </w:rPr>
          <w:t>10.1109/tec.2026.3674968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[772] </w:t>
      </w:r>
      <w:hyperlink r:id="rId1058">
        <w:r>
          <w:rPr>
            <w:color w:val="1155CC"/>
            <w:u w:val="single"/>
          </w:rPr>
          <w:t>无锁相环方法：并网跟随型逆变器中基于无功功率的同步</w:t>
        </w:r>
      </w:hyperlink>
    </w:p>
    <w:p>
      <w:pPr>
        <w:spacing w:before="0" w:after="80"/>
      </w:pPr>
      <w:r>
        <w:rPr>
          <w:i/>
          <w:sz w:val="20"/>
        </w:rPr>
        <w:t>EN: PLL-Free Approach: Reactive Power-Based Synchronization in Grid-Following Inverters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58">
        <w:r>
          <w:rPr>
            <w:color w:val="1155CC"/>
            <w:u w:val="single"/>
          </w:rPr>
          <w:t>10.1109/tec.2026.3657222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[773] </w:t>
      </w:r>
      <w:hyperlink r:id="rId1102">
        <w:r>
          <w:rPr>
            <w:color w:val="1155CC"/>
            <w:u w:val="single"/>
          </w:rPr>
          <w:t>负载循环下服役老化与备用水轮发电机定子线圈的多应力老化研究</w:t>
        </w:r>
      </w:hyperlink>
    </w:p>
    <w:p>
      <w:pPr>
        <w:spacing w:before="0" w:after="80"/>
      </w:pPr>
      <w:r>
        <w:rPr>
          <w:i/>
          <w:sz w:val="20"/>
        </w:rPr>
        <w:t>EN: Multi-Stress Aging of Service-Aged and Backup Hydrogenerator Stator Coils Under Load Cycling</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102">
        <w:r>
          <w:rPr>
            <w:color w:val="1155CC"/>
            <w:u w:val="single"/>
          </w:rPr>
          <w:t>10.1109/tec.2026.3690784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[774] </w:t>
      </w:r>
      <w:hyperlink r:id="rId1082">
        <w:r>
          <w:rPr>
            <w:color w:val="1155CC"/>
            <w:u w:val="single"/>
          </w:rPr>
          <w:t>磁电导电合金屏蔽配置对空冷同步调相机端部多物理场的影响</w:t>
        </w:r>
      </w:hyperlink>
    </w:p>
    <w:p>
      <w:pPr>
        <w:spacing w:before="0" w:after="80"/>
      </w:pPr>
      <w:r>
        <w:rPr>
          <w:i/>
          <w:sz w:val="20"/>
        </w:rPr>
        <w:t>EN: Impact of Shielding Configurations With Magnetic-Electrically Conductive Alloy on Multi-Physical Fields in the End Region of Air-Cooled Synchronous Condenser</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82">
        <w:r>
          <w:rPr>
            <w:color w:val="1155CC"/>
            <w:u w:val="single"/>
          </w:rPr>
          <w:t>10.1109/tec.2026.3686179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[775] </w:t>
      </w:r>
      <w:hyperlink r:id="rId370">
        <w:r>
          <w:rPr>
            <w:color w:val="1155CC"/>
            <w:u w:val="single"/>
          </w:rPr>
          <w:t>多电气化与全电气化渔船中的电池储能：实时仿真与实验验证</w:t>
        </w:r>
      </w:hyperlink>
    </w:p>
    <w:p>
      <w:pPr>
        <w:spacing w:before="0" w:after="80"/>
      </w:pPr>
      <w:r>
        <w:rPr>
          <w:i/>
          <w:sz w:val="20"/>
        </w:rPr>
        <w:t>EN: Battery Storage in More- and All-Electric Fishing Vessels: Real-Time Simulation and Experimental Verification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370">
        <w:r>
          <w:rPr>
            <w:color w:val="1155CC"/>
            <w:u w:val="single"/>
          </w:rPr>
          <w:t>10.1109/tec.2026.3679977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[776] </w:t>
      </w:r>
      <w:hyperlink r:id="rId30">
        <w:r>
          <w:rPr>
            <w:color w:val="1155CC"/>
            <w:u w:val="single"/>
          </w:rPr>
          <w:t>一种基于改进Logistic函数的光伏电源建模方法用于光伏电力应用</w:t>
        </w:r>
      </w:hyperlink>
    </w:p>
    <w:p>
      <w:pPr>
        <w:spacing w:before="0" w:after="80"/>
      </w:pPr>
      <w:r>
        <w:rPr>
          <w:i/>
          <w:sz w:val="20"/>
        </w:rPr>
        <w:t>EN: A Novel Modified Logistic Function Based PV Source Modeling for PV Power Applications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30">
        <w:r>
          <w:rPr>
            <w:color w:val="1155CC"/>
            <w:u w:val="single"/>
          </w:rPr>
          <w:t>10.1109/tec.2026.3703650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[777] </w:t>
      </w:r>
      <w:hyperlink r:id="rId1611">
        <w:r>
          <w:rPr>
            <w:color w:val="1155CC"/>
            <w:u w:val="single"/>
          </w:rPr>
          <w:t>基于NGnet的可制造性导向电机拓扑优化框架</w:t>
        </w:r>
      </w:hyperlink>
    </w:p>
    <w:p>
      <w:pPr>
        <w:spacing w:before="0" w:after="80"/>
      </w:pPr>
      <w:r>
        <w:rPr>
          <w:i/>
          <w:sz w:val="20"/>
        </w:rPr>
        <w:t>EN: Manufacturability Oriented Topology Optimization Framework for Electrical Machines Using NGnet</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611">
        <w:r>
          <w:rPr>
            <w:color w:val="1155CC"/>
            <w:u w:val="single"/>
          </w:rPr>
          <w:t>10.1109/tec.2026.3689444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[778] </w:t>
      </w:r>
      <w:hyperlink r:id="rId1612">
        <w:r>
          <w:rPr>
            <w:color w:val="1155CC"/>
            <w:u w:val="single"/>
          </w:rPr>
          <w:t>智能逆变器的混合动态建模</w:t>
        </w:r>
      </w:hyperlink>
    </w:p>
    <w:p>
      <w:pPr>
        <w:spacing w:before="0" w:after="80"/>
      </w:pPr>
      <w:r>
        <w:rPr>
          <w:i/>
          <w:sz w:val="20"/>
        </w:rPr>
        <w:t>EN: Hybrid Dynamic Modeling of Smart Inverter</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612">
        <w:r>
          <w:rPr>
            <w:color w:val="1155CC"/>
            <w:u w:val="single"/>
          </w:rPr>
          <w:t>10.1109/tec.2026.3688057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[779] </w:t>
      </w:r>
      <w:hyperlink r:id="rId1110">
        <w:r>
          <w:rPr>
            <w:color w:val="1155CC"/>
            <w:u w:val="single"/>
          </w:rPr>
          <w:t>考虑分布不均影响的电机绕组寄生电容解析方法研究</w:t>
        </w:r>
      </w:hyperlink>
    </w:p>
    <w:p>
      <w:pPr>
        <w:spacing w:before="0" w:after="80"/>
      </w:pPr>
      <w:r>
        <w:rPr>
          <w:i/>
          <w:sz w:val="20"/>
        </w:rPr>
        <w:t>EN: Research on Analytical Method of Parasitic Capacitance in Motor Windings Considering Impact of Distributed Disorder</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110">
        <w:r>
          <w:rPr>
            <w:color w:val="1155CC"/>
            <w:u w:val="single"/>
          </w:rPr>
          <w:t>10.1109/tec.2026.3691048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[780] </w:t>
      </w:r>
      <w:hyperlink r:id="rId1108">
        <w:r>
          <w:rPr>
            <w:color w:val="1155CC"/>
            <w:u w:val="single"/>
          </w:rPr>
          <w:t>永磁辅助无轴承同步磁阻电机全速域径向位移无传感器控制</w:t>
        </w:r>
      </w:hyperlink>
    </w:p>
    <w:p>
      <w:pPr>
        <w:spacing w:before="0" w:after="80"/>
      </w:pPr>
      <w:r>
        <w:rPr>
          <w:i/>
          <w:sz w:val="20"/>
        </w:rPr>
        <w:t>EN: Radial Displacement Sensorless Control of Permanent Magnet Assisted Bearingless Synchronous Reluctance Motor in Full Speed Range</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108">
        <w:r>
          <w:rPr>
            <w:color w:val="1155CC"/>
            <w:u w:val="single"/>
          </w:rPr>
          <w:t>10.1109/tec.2026.3670381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[781] </w:t>
      </w:r>
      <w:hyperlink r:id="rId1106">
        <w:r>
          <w:rPr>
            <w:color w:val="1155CC"/>
            <w:u w:val="single"/>
          </w:rPr>
          <w:t>基于参数化均匀化与神经网络的迁移学习用于电机磁芯损耗的高效数据建模</w:t>
        </w:r>
      </w:hyperlink>
    </w:p>
    <w:p>
      <w:pPr>
        <w:spacing w:before="0" w:after="80"/>
      </w:pPr>
      <w:r>
        <w:rPr>
          <w:i/>
          <w:sz w:val="20"/>
        </w:rPr>
        <w:t>EN: Transfer Learning for Data-Efficient Magnetic Core Loss Modeling in Electrical Machines via Parametric Homogenization and Neural Networks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106">
        <w:r>
          <w:rPr>
            <w:color w:val="1155CC"/>
            <w:u w:val="single"/>
          </w:rPr>
          <w:t>10.1109/tec.2026.3684936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[782] </w:t>
      </w:r>
      <w:hyperlink r:id="rId1118">
        <w:r>
          <w:rPr>
            <w:color w:val="1155CC"/>
            <w:u w:val="single"/>
          </w:rPr>
          <w:t>基于扰动观测器的五相容错内置式永磁电机改进快速终端滑模控制</w:t>
        </w:r>
      </w:hyperlink>
    </w:p>
    <w:p>
      <w:pPr>
        <w:spacing w:before="0" w:after="80"/>
      </w:pPr>
      <w:r>
        <w:rPr>
          <w:i/>
          <w:sz w:val="20"/>
        </w:rPr>
        <w:t>EN: Improved Fast Terminal Sliding Mode Control With Disturbance Observer for Five-Phase Fault-Tolerant IPM Motor Drives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118">
        <w:r>
          <w:rPr>
            <w:color w:val="1155CC"/>
            <w:u w:val="single"/>
          </w:rPr>
          <w:t>10.1109/tec.2026.3671116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[783] </w:t>
      </w:r>
      <w:hyperlink r:id="rId1112">
        <w:r>
          <w:rPr>
            <w:color w:val="1155CC"/>
            <w:u w:val="single"/>
          </w:rPr>
          <w:t>感应电机固有约束满足的非线性损耗最小化控制</w:t>
        </w:r>
      </w:hyperlink>
    </w:p>
    <w:p>
      <w:pPr>
        <w:spacing w:before="0" w:after="80"/>
      </w:pPr>
      <w:r>
        <w:rPr>
          <w:i/>
          <w:sz w:val="20"/>
        </w:rPr>
        <w:t>EN: Nonlinear Loss-Minimizing Control of Induction Motors With Inherent Constraint Satisfaction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112">
        <w:r>
          <w:rPr>
            <w:color w:val="1155CC"/>
            <w:u w:val="single"/>
          </w:rPr>
          <w:t>10.1109/tec.2026.3666060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[784] </w:t>
      </w:r>
      <w:hyperlink r:id="rId1426">
        <w:r>
          <w:rPr>
            <w:color w:val="1155CC"/>
            <w:u w:val="single"/>
          </w:rPr>
          <w:t>高功率密度双边双磁极定子-动子直线振荡电机的设计与分析</w:t>
        </w:r>
      </w:hyperlink>
    </w:p>
    <w:p>
      <w:pPr>
        <w:spacing w:before="0" w:after="80"/>
      </w:pPr>
      <w:r>
        <w:rPr>
          <w:i/>
          <w:sz w:val="20"/>
        </w:rPr>
        <w:t>EN: Design and Analysis of a High-Power-Density Double-Sided Dual-Magnet Stator-Mover Linear Oscillatory Machine</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426">
        <w:r>
          <w:rPr>
            <w:color w:val="1155CC"/>
            <w:u w:val="single"/>
          </w:rPr>
          <w:t>10.1109/tec.2026.3656600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[785] </w:t>
      </w:r>
      <w:hyperlink r:id="rId1400">
        <w:r>
          <w:rPr>
            <w:color w:val="1155CC"/>
            <w:u w:val="single"/>
          </w:rPr>
          <w:t>一种用于拼接气隙模块化永磁爪极电机性能分析的三维等效磁网络模型</w:t>
        </w:r>
      </w:hyperlink>
    </w:p>
    <w:p>
      <w:pPr>
        <w:spacing w:before="0" w:after="80"/>
      </w:pPr>
      <w:r>
        <w:rPr>
          <w:i/>
          <w:sz w:val="20"/>
        </w:rPr>
        <w:t>EN: A 3-D Equivalent Magnetic Network Model for Performance Analysis of Modular Permanent Magnet Claw Pole Machines With Spliced Air Gaps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400">
        <w:r>
          <w:rPr>
            <w:color w:val="1155CC"/>
            <w:u w:val="single"/>
          </w:rPr>
          <w:t>10.1109/tec.2026.3676473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[786] </w:t>
      </w:r>
      <w:hyperlink r:id="rId1052">
        <w:r>
          <w:rPr>
            <w:color w:val="1155CC"/>
            <w:u w:val="single"/>
          </w:rPr>
          <w:t>风电场解耦模型用于CPU-GPU并行电磁暂态仿真的细粒度优化分配</w:t>
        </w:r>
      </w:hyperlink>
    </w:p>
    <w:p>
      <w:pPr>
        <w:spacing w:before="0" w:after="80"/>
      </w:pPr>
      <w:r>
        <w:rPr>
          <w:i/>
          <w:sz w:val="20"/>
        </w:rPr>
        <w:t>EN: Fine-Grained Optimal Allocation of Wind Farm Decoupled Models for CPU-GPU Parallel EMT Simulation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52">
        <w:r>
          <w:rPr>
            <w:color w:val="1155CC"/>
            <w:u w:val="single"/>
          </w:rPr>
          <w:t>10.1109/tec.2026.3669438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[787] </w:t>
      </w:r>
      <w:hyperlink r:id="rId1056">
        <w:r>
          <w:rPr>
            <w:color w:val="1155CC"/>
            <w:u w:val="single"/>
          </w:rPr>
          <w:t>具有硬件加速的可并行复数神经动力学PMSM温度估计模型</w:t>
        </w:r>
      </w:hyperlink>
    </w:p>
    <w:p>
      <w:pPr>
        <w:spacing w:before="0" w:after="80"/>
      </w:pPr>
      <w:r>
        <w:rPr>
          <w:i/>
          <w:sz w:val="20"/>
        </w:rPr>
        <w:t>EN: Parallelizable Complex Neural Dynamics Models for PMSM Temperature Estimation With Hardware Acceleration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56">
        <w:r>
          <w:rPr>
            <w:color w:val="1155CC"/>
            <w:u w:val="single"/>
          </w:rPr>
          <w:t>10.1109/tec.2026.3685235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[788] </w:t>
      </w:r>
      <w:hyperlink r:id="rId1048">
        <w:r>
          <w:rPr>
            <w:color w:val="1155CC"/>
            <w:u w:val="single"/>
          </w:rPr>
          <w:t>一种用于抑制SiC电机驱动系统中电机端子过电压的 dv / dt 输出滤波器</w:t>
        </w:r>
      </w:hyperlink>
    </w:p>
    <w:p>
      <w:pPr>
        <w:spacing w:before="0" w:after="80"/>
      </w:pPr>
      <w:r>
        <w:rPr>
          <w:i/>
          <w:sz w:val="20"/>
        </w:rPr>
        <w:t>EN: A dv / dt Output Filter for Mitigating Motor Terminal Overvoltage in SiC-Based Motor Drive Systems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48">
        <w:r>
          <w:rPr>
            <w:color w:val="1155CC"/>
            <w:u w:val="single"/>
          </w:rPr>
          <w:t>10.1109/tec.2026.3673835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[789] </w:t>
      </w:r>
      <w:hyperlink r:id="rId1613">
        <w:r>
          <w:rPr>
            <w:color w:val="1155CC"/>
            <w:u w:val="single"/>
          </w:rPr>
          <w:t>基于电网侧测量的并网逆变器间接预测功率控制</w:t>
        </w:r>
      </w:hyperlink>
    </w:p>
    <w:p>
      <w:pPr>
        <w:spacing w:before="0" w:after="80"/>
      </w:pPr>
      <w:r>
        <w:rPr>
          <w:i/>
          <w:sz w:val="20"/>
        </w:rPr>
        <w:t>EN: Indirect Predictive Power Control of Grid-Following Inverters Using the Grid-Side Measurements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613">
        <w:r>
          <w:rPr>
            <w:color w:val="1155CC"/>
            <w:u w:val="single"/>
          </w:rPr>
          <w:t>10.1109/tec.2026.3688132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[790] </w:t>
      </w:r>
      <w:hyperlink r:id="rId1253">
        <w:r>
          <w:rPr>
            <w:color w:val="1155CC"/>
            <w:u w:val="single"/>
          </w:rPr>
          <w:t>用于分析次同步振荡的IBR模型在线估计</w:t>
        </w:r>
      </w:hyperlink>
    </w:p>
    <w:p>
      <w:pPr>
        <w:spacing w:before="0" w:after="80"/>
      </w:pPr>
      <w:r>
        <w:rPr>
          <w:i/>
          <w:sz w:val="20"/>
        </w:rPr>
        <w:t>EN: In Situ Estimation of IBR Models for Analyzing Sub-Synchronous Oscillations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53">
        <w:r>
          <w:rPr>
            <w:color w:val="1155CC"/>
            <w:u w:val="single"/>
          </w:rPr>
          <w:t>10.1109/tpwrs.2026.3683844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[791] </w:t>
      </w:r>
      <w:hyperlink r:id="rId1301">
        <w:r>
          <w:rPr>
            <w:color w:val="1155CC"/>
            <w:u w:val="single"/>
          </w:rPr>
          <w:t>将电机绕组用作空调压缩机机油预热器</w:t>
        </w:r>
      </w:hyperlink>
    </w:p>
    <w:p>
      <w:pPr>
        <w:spacing w:before="0" w:after="80"/>
      </w:pPr>
      <w:r>
        <w:rPr>
          <w:i/>
          <w:sz w:val="20"/>
        </w:rPr>
        <w:t>EN: Usage of Motor Windings as Oil Preheater for Air Conditioner Compressors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01">
        <w:r>
          <w:rPr>
            <w:color w:val="1155CC"/>
            <w:u w:val="single"/>
          </w:rPr>
          <w:t>10.1109/tec.2026.3666225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[792] </w:t>
      </w:r>
      <w:hyperlink r:id="rId1303">
        <w:r>
          <w:rPr>
            <w:color w:val="1155CC"/>
            <w:u w:val="single"/>
          </w:rPr>
          <w:t>采用水冷板与灌封混合冷却系统的矿用带式输送机外转子低速大扭矩PMSM</w:t>
        </w:r>
      </w:hyperlink>
    </w:p>
    <w:p>
      <w:pPr>
        <w:spacing w:before="0" w:after="80"/>
      </w:pPr>
      <w:r>
        <w:rPr>
          <w:i/>
          <w:sz w:val="20"/>
        </w:rPr>
        <w:t>EN: Hybrid Cooling System With Water Plates and Potting for Outer-Rotor Low-Speed High-Torque PMSMs in Mining Belt Conveyors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03">
        <w:r>
          <w:rPr>
            <w:color w:val="1155CC"/>
            <w:u w:val="single"/>
          </w:rPr>
          <w:t>10.1109/tec.2026.3664845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[793] </w:t>
      </w:r>
      <w:hyperlink r:id="rId1564">
        <w:r>
          <w:rPr>
            <w:color w:val="1155CC"/>
            <w:u w:val="single"/>
          </w:rPr>
          <w:t>应用于电动汽车的新型混合励磁sequent-pole电机的分析与优化</w:t>
        </w:r>
      </w:hyperlink>
    </w:p>
    <w:p>
      <w:pPr>
        <w:spacing w:before="0" w:after="80"/>
      </w:pPr>
      <w:r>
        <w:rPr>
          <w:i/>
          <w:sz w:val="20"/>
        </w:rPr>
        <w:t>EN: Analysis and Optimization of a New Consequent-Pole Hybrid Excited Machine Applied for Electric Vehicles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564">
        <w:r>
          <w:rPr>
            <w:color w:val="1155CC"/>
            <w:u w:val="single"/>
          </w:rPr>
          <w:t>10.1109/tec.2026.3656623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[794] </w:t>
      </w:r>
      <w:hyperlink r:id="rId1485">
        <w:r>
          <w:rPr>
            <w:color w:val="1155CC"/>
            <w:u w:val="single"/>
          </w:rPr>
          <w:t>无刷励磁机旋转整流器二极管开路故障检测</w:t>
        </w:r>
      </w:hyperlink>
    </w:p>
    <w:p>
      <w:pPr>
        <w:spacing w:before="0" w:after="80"/>
      </w:pPr>
      <w:r>
        <w:rPr>
          <w:i/>
          <w:sz w:val="20"/>
        </w:rPr>
        <w:t>EN: Diode Open-Circuit Fault Detection for Rotating Rectifiers of Brushless Exciters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485">
        <w:r>
          <w:rPr>
            <w:color w:val="1155CC"/>
            <w:u w:val="single"/>
          </w:rPr>
          <w:t>10.1109/tec.2026.3656013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[795] </w:t>
      </w:r>
      <w:hyperlink r:id="rId1487">
        <w:r>
          <w:rPr>
            <w:color w:val="1155CC"/>
            <w:u w:val="single"/>
          </w:rPr>
          <w:t>以S参数为基础的定子模型参数提取与SFRA解读方法</w:t>
        </w:r>
      </w:hyperlink>
    </w:p>
    <w:p>
      <w:pPr>
        <w:spacing w:before="0" w:after="80"/>
      </w:pPr>
      <w:r>
        <w:rPr>
          <w:i/>
          <w:sz w:val="20"/>
        </w:rPr>
        <w:t>EN: S-Parameters as a Basis for Stator Model Parameter Extraction and SFRA Interpretation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487">
        <w:r>
          <w:rPr>
            <w:color w:val="1155CC"/>
            <w:u w:val="single"/>
          </w:rPr>
          <w:t>10.1109/tec.2026.3665964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[796] </w:t>
      </w:r>
      <w:hyperlink r:id="rId1596">
        <w:r>
          <w:rPr>
            <w:color w:val="1155CC"/>
            <w:u w:val="single"/>
          </w:rPr>
          <w:t>考虑两轴端质量差异的改进径向位移控制以提高转子疲劳寿命</w:t>
        </w:r>
      </w:hyperlink>
    </w:p>
    <w:p>
      <w:pPr>
        <w:spacing w:before="0" w:after="80"/>
      </w:pPr>
      <w:r>
        <w:rPr>
          <w:i/>
          <w:sz w:val="20"/>
        </w:rPr>
        <w:t>EN: An Improved Radial Displacement Control Considering Mass Difference Between Two Shaft Ends to Increase the Rotor Fatigue Life</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596">
        <w:r>
          <w:rPr>
            <w:color w:val="1155CC"/>
            <w:u w:val="single"/>
          </w:rPr>
          <w:t>10.1109/tec.2026.3675728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[797] </w:t>
      </w:r>
      <w:hyperlink r:id="rId1584">
        <w:r>
          <w:rPr>
            <w:color w:val="1155CC"/>
            <w:u w:val="single"/>
          </w:rPr>
          <w:t>畸变电网条件下电池储能系统充电电流纹波抑制的导纳重塑方法</w:t>
        </w:r>
      </w:hyperlink>
    </w:p>
    <w:p>
      <w:pPr>
        <w:spacing w:before="0" w:after="80"/>
      </w:pPr>
      <w:r>
        <w:rPr>
          <w:i/>
          <w:sz w:val="20"/>
        </w:rPr>
        <w:t>EN: Admittance Reshaping Method for Charging Current Ripple Suppression of the Battery Energy Storage System Under Distorted Grid Conditions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584">
        <w:r>
          <w:rPr>
            <w:color w:val="1155CC"/>
            <w:u w:val="single"/>
          </w:rPr>
          <w:t>10.1109/tec.2026.3685813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[798] </w:t>
      </w:r>
      <w:hyperlink r:id="rId1582">
        <w:r>
          <w:rPr>
            <w:color w:val="1155CC"/>
            <w:u w:val="single"/>
          </w:rPr>
          <w:t>采用PCB定子的无稀土轴向磁通永磁电机性能分析</w:t>
        </w:r>
      </w:hyperlink>
    </w:p>
    <w:p>
      <w:pPr>
        <w:spacing w:before="0" w:after="80"/>
      </w:pPr>
      <w:r>
        <w:rPr>
          <w:i/>
          <w:sz w:val="20"/>
        </w:rPr>
        <w:t>EN: Performance Analysis of a Rare-Earth-Free Axial Flux Permanent Magnet Motor Using a PCB Stator</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582">
        <w:r>
          <w:rPr>
            <w:color w:val="1155CC"/>
            <w:u w:val="single"/>
          </w:rPr>
          <w:t>10.1109/tec.2026.3669789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[799] </w:t>
      </w:r>
      <w:hyperlink r:id="rId1588">
        <w:r>
          <w:rPr>
            <w:color w:val="1155CC"/>
            <w:u w:val="single"/>
          </w:rPr>
          <w:t>电力系统调度问题中的代理模型：基于图神经网络学习有效约束</w:t>
        </w:r>
      </w:hyperlink>
    </w:p>
    <w:p>
      <w:pPr>
        <w:spacing w:before="0" w:after="80"/>
      </w:pPr>
      <w:r>
        <w:rPr>
          <w:i/>
          <w:sz w:val="20"/>
        </w:rPr>
        <w:t>EN: Surrogate Models in Power System Scheduling Problems: Learning Active Constraints via Graph Neural Networks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88">
        <w:r>
          <w:rPr>
            <w:color w:val="1155CC"/>
            <w:u w:val="single"/>
          </w:rPr>
          <w:t>10.1109/tsg.2026.3681028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[800] </w:t>
      </w:r>
      <w:hyperlink r:id="rId1386">
        <w:r>
          <w:rPr>
            <w:color w:val="1155CC"/>
            <w:u w:val="single"/>
          </w:rPr>
          <w:t>基于双开关序列PWM的单直流母线分流PMSM驱动系统简易三相电流重构策略</w:t>
        </w:r>
      </w:hyperlink>
    </w:p>
    <w:p>
      <w:pPr>
        <w:spacing w:before="0" w:after="80"/>
      </w:pPr>
      <w:r>
        <w:rPr>
          <w:i/>
          <w:sz w:val="20"/>
        </w:rPr>
        <w:t>EN: Two-Switching-Sequence PWM-Based Simple Three-Phase Current Reconstruction Strategy for Single DC-Link Shunt PMSM Drives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86">
        <w:r>
          <w:rPr>
            <w:color w:val="1155CC"/>
            <w:u w:val="single"/>
          </w:rPr>
          <w:t>10.1109/tec.2026.3656349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[801] </w:t>
      </w:r>
      <w:hyperlink r:id="rId1586">
        <w:r>
          <w:rPr>
            <w:color w:val="1155CC"/>
            <w:u w:val="single"/>
          </w:rPr>
          <w:t>面向联合能量与调节市场的HVAC系统利润驱动自适应不确定性建模</w:t>
        </w:r>
      </w:hyperlink>
    </w:p>
    <w:p>
      <w:pPr>
        <w:spacing w:before="0" w:after="80"/>
      </w:pPr>
      <w:r>
        <w:rPr>
          <w:i/>
          <w:sz w:val="20"/>
        </w:rPr>
        <w:t>EN: Profit-Driven Adaptive Uncertainty Modeling for HVAC Systems Participation in Joint Energy and Regulation Markets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86">
        <w:r>
          <w:rPr>
            <w:color w:val="1155CC"/>
            <w:u w:val="single"/>
          </w:rPr>
          <w:t>10.1109/tsg.2026.3676977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[802] </w:t>
      </w:r>
      <w:hyperlink r:id="rId1592">
        <w:r>
          <w:rPr>
            <w:color w:val="1155CC"/>
            <w:u w:val="single"/>
          </w:rPr>
          <w:t>基于双通道格拉姆角场与增强马氏距离的分布外电能质量扰动检测</w:t>
        </w:r>
      </w:hyperlink>
    </w:p>
    <w:p>
      <w:pPr>
        <w:spacing w:before="0" w:after="80"/>
      </w:pPr>
      <w:r>
        <w:rPr>
          <w:i/>
          <w:sz w:val="20"/>
        </w:rPr>
        <w:t>EN: Detection of Out-of-Distribution Power Quality Disturbance Using Dual-Channel Gramian Angular Field With Enhanced Mahalanobis Distance</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92">
        <w:r>
          <w:rPr>
            <w:color w:val="1155CC"/>
            <w:u w:val="single"/>
          </w:rPr>
          <w:t>10.1109/tsg.2026.3679970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[803] </w:t>
      </w:r>
      <w:hyperlink r:id="rId1541">
        <w:r>
          <w:rPr>
            <w:color w:val="1155CC"/>
            <w:u w:val="single"/>
          </w:rPr>
          <w:t>电-交通耦合网络中光储充设施的协调泛化规划与运行</w:t>
        </w:r>
      </w:hyperlink>
    </w:p>
    <w:p>
      <w:pPr>
        <w:spacing w:before="0" w:after="80"/>
      </w:pPr>
      <w:r>
        <w:rPr>
          <w:i/>
          <w:sz w:val="20"/>
        </w:rPr>
        <w:t>EN: Coordinated and Generalizable Planning and Operation of PV-Storage-Charging Facilities in Coupled Power and Transportation Nexus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41">
        <w:r>
          <w:rPr>
            <w:color w:val="1155CC"/>
            <w:u w:val="single"/>
          </w:rPr>
          <w:t>10.1109/tsg.2026.3665749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[804] </w:t>
      </w:r>
      <w:hyperlink r:id="rId1614">
        <w:r>
          <w:rPr>
            <w:color w:val="1155CC"/>
            <w:u w:val="single"/>
          </w:rPr>
          <w:t>针对微电网二次控制信号中间人攻击的自主识别与缓解方案</w:t>
        </w:r>
      </w:hyperlink>
    </w:p>
    <w:p>
      <w:pPr>
        <w:spacing w:before="0" w:after="80"/>
      </w:pPr>
      <w:r>
        <w:rPr>
          <w:i/>
          <w:sz w:val="20"/>
        </w:rPr>
        <w:t>EN: An Autonomous Identification and Mitigation Scheme for Man-in-the-Middle Attacks on Microgrid Secondary Control Signals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614">
        <w:r>
          <w:rPr>
            <w:color w:val="1155CC"/>
            <w:u w:val="single"/>
          </w:rPr>
          <w:t>10.1109/tsg.2026.3688202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[805] </w:t>
      </w:r>
      <w:hyperlink r:id="rId1594">
        <w:r>
          <w:rPr>
            <w:color w:val="1155CC"/>
            <w:u w:val="single"/>
          </w:rPr>
          <w:t>考虑表后资源的配电网预测辅助状态估计</w:t>
        </w:r>
      </w:hyperlink>
    </w:p>
    <w:p>
      <w:pPr>
        <w:spacing w:before="0" w:after="80"/>
      </w:pPr>
      <w:r>
        <w:rPr>
          <w:i/>
          <w:sz w:val="20"/>
        </w:rPr>
        <w:t>EN: Forecasting-Aided State Estimation in Distribution Networks Considering Behind-the-Meter Resources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94">
        <w:r>
          <w:rPr>
            <w:color w:val="1155CC"/>
            <w:u w:val="single"/>
          </w:rPr>
          <w:t>10.1109/tsg.2026.3688603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[806] </w:t>
      </w:r>
      <w:hyperlink r:id="rId1567">
        <w:r>
          <w:rPr>
            <w:color w:val="1155CC"/>
            <w:u w:val="single"/>
          </w:rPr>
          <w:t>IGNN：一种考虑信息物理电网中数据推断泄露的数据敏感性评估推理图神经网络</w:t>
        </w:r>
      </w:hyperlink>
    </w:p>
    <w:p>
      <w:pPr>
        <w:spacing w:before="0" w:after="80"/>
      </w:pPr>
      <w:r>
        <w:rPr>
          <w:i/>
          <w:sz w:val="20"/>
        </w:rPr>
        <w:t>EN: IGNN: An Inference Graph Neural Network for Data Sensitivity Assessment Considering Data Inference Leakage in Cyber-Physical Power Grid</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67">
        <w:r>
          <w:rPr>
            <w:color w:val="1155CC"/>
            <w:u w:val="single"/>
          </w:rPr>
          <w:t>10.1109/tsg.2026.3667966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[807] </w:t>
      </w:r>
      <w:hyperlink r:id="rId1562">
        <w:r>
          <w:rPr>
            <w:color w:val="1155CC"/>
            <w:u w:val="single"/>
          </w:rPr>
          <w:t>PQMFA：面向智能电网的轻量级可证明安全后量子多因素认证密钥交换方案</w:t>
        </w:r>
      </w:hyperlink>
    </w:p>
    <w:p>
      <w:pPr>
        <w:spacing w:before="0" w:after="80"/>
      </w:pPr>
      <w:r>
        <w:rPr>
          <w:i/>
          <w:sz w:val="20"/>
        </w:rPr>
        <w:t>EN: PQMFA: Lightweight and Provably Secure Post-Quantum Multi-Factor Authentication Key Exchange Scheme for Smart Grid</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62">
        <w:r>
          <w:rPr>
            <w:color w:val="1155CC"/>
            <w:u w:val="single"/>
          </w:rPr>
          <w:t>10.1109/tsg.2026.3673601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[808] </w:t>
      </w:r>
      <w:hyperlink r:id="rId1539">
        <w:r>
          <w:rPr>
            <w:color w:val="1155CC"/>
            <w:u w:val="single"/>
          </w:rPr>
          <w:t>基于双线性隐马尔可夫模型的聚合电动汽车数据驱动隐私保护建模与频率调节</w:t>
        </w:r>
      </w:hyperlink>
    </w:p>
    <w:p>
      <w:pPr>
        <w:spacing w:before="0" w:after="80"/>
      </w:pPr>
      <w:r>
        <w:rPr>
          <w:i/>
          <w:sz w:val="20"/>
        </w:rPr>
        <w:t>EN: Data-Driven Privacy-Preserving Modeling and Frequency Regulation With Aggregated Electric Vehicles via Bilinear Hidden Markov Model</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39">
        <w:r>
          <w:rPr>
            <w:color w:val="1155CC"/>
            <w:u w:val="single"/>
          </w:rPr>
          <w:t>10.1109/tsg.2026.3688192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[809] </w:t>
      </w:r>
      <w:hyperlink r:id="rId1494">
        <w:r>
          <w:rPr>
            <w:color w:val="1155CC"/>
            <w:u w:val="single"/>
          </w:rPr>
          <w:t>基于馈线中心图神经网络的可再生能源渗透直流配电网络综合故障定位方法</w:t>
        </w:r>
      </w:hyperlink>
    </w:p>
    <w:p>
      <w:pPr>
        <w:spacing w:before="0" w:after="80"/>
      </w:pPr>
      <w:r>
        <w:rPr>
          <w:i/>
          <w:sz w:val="20"/>
        </w:rPr>
        <w:t>EN: Integrated Fault Location Method Using Feeder-Centric Graph Neural Networks for Renewable-Penetrated DC Distribution Networks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494">
        <w:r>
          <w:rPr>
            <w:color w:val="1155CC"/>
            <w:u w:val="single"/>
          </w:rPr>
          <w:t>10.1109/tsg.2026.3679303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[810] </w:t>
      </w:r>
      <w:hyperlink r:id="rId1590">
        <w:r>
          <w:rPr>
            <w:color w:val="1155CC"/>
            <w:u w:val="single"/>
          </w:rPr>
          <w:t>混合燃料电池/电池/超级电容器系统分散式协同与稳定的自主固定时间模型预测控制</w:t>
        </w:r>
      </w:hyperlink>
    </w:p>
    <w:p>
      <w:pPr>
        <w:spacing w:before="0" w:after="80"/>
      </w:pPr>
      <w:r>
        <w:rPr>
          <w:i/>
          <w:sz w:val="20"/>
        </w:rPr>
        <w:t>EN: Autonomous Fixed-Time Model Predictive Control for Decentralized Coordination and Stabilization of Hybrid Fuel Cell/Battery/Supercapacitor Systems</w:t>
      </w:r>
    </w:p>
    <w:p>
      <w:pPr>
        <w:spacing w:before="0" w:after="120"/>
      </w:pPr>
      <w:r>
        <w:rPr>
          <w:b/>
        </w:rPr>
        <w:t xml:space="preserve">Source: </w:t>
      </w:r>
      <w:r>
        <w:t>IEEE Transactions on Smart Grid</w:t>
      </w:r>
      <w:r>
        <w:t xml:space="preserve">    </w:t>
      </w:r>
      <w:r>
        <w:rPr>
          <w:b/>
        </w:rPr>
        <w:t xml:space="preserve">Pub date: </w:t>
      </w:r>
      <w:r>
        <w:t>2026-09-01 00:00:00+00:00</w:t>
      </w:r>
      <w:r>
        <w:t xml:space="preserve">    </w:t>
      </w:r>
      <w:r>
        <w:rPr>
          <w:b/>
        </w:rPr>
        <w:t xml:space="preserve">DOI: </w:t>
      </w:r>
      <w:hyperlink r:id="rId1590">
        <w:r>
          <w:rPr>
            <w:color w:val="1155CC"/>
            <w:u w:val="single"/>
          </w:rPr>
          <w:t>10.1109/tsg.2026.3686950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[811] </w:t>
      </w:r>
      <w:hyperlink r:id="rId1384">
        <w:r>
          <w:rPr>
            <w:color w:val="1155CC"/>
            <w:u w:val="single"/>
          </w:rPr>
          <w:t>一种用于IPMSM驱动的鲁棒在线编码器容错控制策略</w:t>
        </w:r>
      </w:hyperlink>
    </w:p>
    <w:p>
      <w:pPr>
        <w:spacing w:before="0" w:after="80"/>
      </w:pPr>
      <w:r>
        <w:rPr>
          <w:i/>
          <w:sz w:val="20"/>
        </w:rPr>
        <w:t>EN: A Robust Online Encoder Fault Tolerant Control Strategy for IPMSM Drives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84">
        <w:r>
          <w:rPr>
            <w:color w:val="1155CC"/>
            <w:u w:val="single"/>
          </w:rPr>
          <w:t>10.1109/tec.2026.3663593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[812] </w:t>
      </w:r>
      <w:hyperlink r:id="rId1382">
        <w:r>
          <w:rPr>
            <w:color w:val="1155CC"/>
            <w:u w:val="single"/>
          </w:rPr>
          <w:t>基于双幂次组合趋近律的永磁同步电机两阶段变论域模糊无模型滑模控制</w:t>
        </w:r>
      </w:hyperlink>
    </w:p>
    <w:p>
      <w:pPr>
        <w:spacing w:before="0" w:after="80"/>
      </w:pPr>
      <w:r>
        <w:rPr>
          <w:i/>
          <w:sz w:val="20"/>
        </w:rPr>
        <w:t>EN: Two-Stage Variable Universe Fuzzy Model-Free Sliding Mode Control of Permanent Magnet Synchronous Motor Based on Double-Power-Combination Reaching Law</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82">
        <w:r>
          <w:rPr>
            <w:color w:val="1155CC"/>
            <w:u w:val="single"/>
          </w:rPr>
          <w:t>10.1109/tec.2026.3678392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[813] </w:t>
      </w:r>
      <w:hyperlink r:id="rId1380">
        <w:r>
          <w:rPr>
            <w:color w:val="1155CC"/>
            <w:u w:val="single"/>
          </w:rPr>
          <w:t>考虑速度与电流约束的PMSM伺服系统增强型连续终端滑模位置控制</w:t>
        </w:r>
      </w:hyperlink>
    </w:p>
    <w:p>
      <w:pPr>
        <w:spacing w:before="0" w:after="80"/>
      </w:pPr>
      <w:r>
        <w:rPr>
          <w:i/>
          <w:sz w:val="20"/>
        </w:rPr>
        <w:t>EN: Enhanced Continuous Terminal Sliding Mode Position Control for PMSM Servo Systems Considering Speed and Current Constraints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80">
        <w:r>
          <w:rPr>
            <w:color w:val="1155CC"/>
            <w:u w:val="single"/>
          </w:rPr>
          <w:t>10.1109/tec.2026.3668758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[814] </w:t>
      </w:r>
      <w:hyperlink r:id="rId1615">
        <w:r>
          <w:rPr>
            <w:color w:val="1155CC"/>
            <w:u w:val="single"/>
          </w:rPr>
          <w:t>定子匝间故障下同步磁阻电机的无传感器容错位置估计</w:t>
        </w:r>
      </w:hyperlink>
    </w:p>
    <w:p>
      <w:pPr>
        <w:spacing w:before="0" w:after="80"/>
      </w:pPr>
      <w:r>
        <w:rPr>
          <w:i/>
          <w:sz w:val="20"/>
        </w:rPr>
        <w:t>EN: Fault-Tolerant Sensorless Position Estimation for Synchronous Reluctance Motor Under Stator Inter-Turn Faults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615">
        <w:r>
          <w:rPr>
            <w:color w:val="1155CC"/>
            <w:u w:val="single"/>
          </w:rPr>
          <w:t>10.1109/tec.2026.3688917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[815] </w:t>
      </w:r>
      <w:hyperlink r:id="rId1338">
        <w:r>
          <w:rPr>
            <w:color w:val="1155CC"/>
            <w:u w:val="single"/>
          </w:rPr>
          <w:t>采用改进TSF与参数调节的开关磁阻电机模型预测转矩控制以抑制转矩脉动</w:t>
        </w:r>
      </w:hyperlink>
    </w:p>
    <w:p>
      <w:pPr>
        <w:spacing w:before="0" w:after="80"/>
      </w:pPr>
      <w:r>
        <w:rPr>
          <w:i/>
          <w:sz w:val="20"/>
        </w:rPr>
        <w:t>EN: Model Predictive Torque Control Using Modified TSF and Parameter Adjustment of SRMs for Torque Ripple Reduction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38">
        <w:r>
          <w:rPr>
            <w:color w:val="1155CC"/>
            <w:u w:val="single"/>
          </w:rPr>
          <w:t>10.1109/tec.2026.3655888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[816] </w:t>
      </w:r>
      <w:hyperlink r:id="rId1616">
        <w:r>
          <w:rPr>
            <w:color w:val="1155CC"/>
            <w:u w:val="single"/>
          </w:rPr>
          <w:t>空白页</w:t>
        </w:r>
      </w:hyperlink>
    </w:p>
    <w:p>
      <w:pPr>
        <w:spacing w:before="0" w:after="80"/>
      </w:pPr>
      <w:r>
        <w:rPr>
          <w:i/>
          <w:sz w:val="20"/>
        </w:rPr>
        <w:t>EN: Blank Page</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616">
        <w:r>
          <w:rPr>
            <w:color w:val="1155CC"/>
            <w:u w:val="single"/>
          </w:rPr>
          <w:t>10.1109/tec.2026.3719591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[817] </w:t>
      </w:r>
      <w:hyperlink r:id="rId1215">
        <w:r>
          <w:rPr>
            <w:color w:val="1155CC"/>
            <w:u w:val="single"/>
          </w:rPr>
          <w:t>基于Preisach磁滞模型的非晶合金高速永磁电机铁耗分析</w:t>
        </w:r>
      </w:hyperlink>
    </w:p>
    <w:p>
      <w:pPr>
        <w:spacing w:before="0" w:after="80"/>
      </w:pPr>
      <w:r>
        <w:rPr>
          <w:i/>
          <w:sz w:val="20"/>
        </w:rPr>
        <w:t>EN: Iron Loss Analysis in Amorphous Alloy High-Speed Permanent Magnet Motors Utilizing a Preisach Hysteresis Based Method</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15">
        <w:r>
          <w:rPr>
            <w:color w:val="1155CC"/>
            <w:u w:val="single"/>
          </w:rPr>
          <w:t>10.1109/tec.2026.3670450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[818] </w:t>
      </w:r>
      <w:hyperlink r:id="rId1217">
        <w:r>
          <w:rPr>
            <w:color w:val="1155CC"/>
            <w:u w:val="single"/>
          </w:rPr>
          <w:t>设计不确定性下电机效率图与效率曲线的多变量灵敏度分析</w:t>
        </w:r>
      </w:hyperlink>
    </w:p>
    <w:p>
      <w:pPr>
        <w:spacing w:before="0" w:after="80"/>
      </w:pPr>
      <w:r>
        <w:rPr>
          <w:i/>
          <w:sz w:val="20"/>
        </w:rPr>
        <w:t>EN: Multivariate Sensitivity Analysis of Electric Machine Efficiency Maps and Profiles Under Design Uncertainty</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17">
        <w:r>
          <w:rPr>
            <w:color w:val="1155CC"/>
            <w:u w:val="single"/>
          </w:rPr>
          <w:t>10.1109/tec.2026.3687758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[819] </w:t>
      </w:r>
      <w:hyperlink r:id="rId1221">
        <w:r>
          <w:rPr>
            <w:color w:val="1155CC"/>
            <w:u w:val="single"/>
          </w:rPr>
          <w:t>2/6极组合叠绕转子无刷双馈发电机设计及其与8极双馈感应发电机的对比研究</w:t>
        </w:r>
      </w:hyperlink>
    </w:p>
    <w:p>
      <w:pPr>
        <w:spacing w:before="0" w:after="80"/>
      </w:pPr>
      <w:r>
        <w:rPr>
          <w:i/>
          <w:sz w:val="20"/>
        </w:rPr>
        <w:t>EN: Design of a 2/6-Pole Combined Pitch Wound Rotor Brushless Doubly-Fed Generator and its Comparative Study With an 8-Pole Doubly-Fed Induction Generator</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21">
        <w:r>
          <w:rPr>
            <w:color w:val="1155CC"/>
            <w:u w:val="single"/>
          </w:rPr>
          <w:t>10.1109/tec.2026.3670030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[820] </w:t>
      </w:r>
      <w:hyperlink r:id="rId1219">
        <w:r>
          <w:rPr>
            <w:color w:val="1155CC"/>
            <w:u w:val="single"/>
          </w:rPr>
          <w:t>用于增强VSC在宽SCR变化下阻尼特性的鲁棒构网型稳定器</w:t>
        </w:r>
      </w:hyperlink>
    </w:p>
    <w:p>
      <w:pPr>
        <w:spacing w:before="0" w:after="80"/>
      </w:pPr>
      <w:r>
        <w:rPr>
          <w:i/>
          <w:sz w:val="20"/>
        </w:rPr>
        <w:t>EN: A Robust Grid-Forming Stabilizer for Enhanced Damping of VSCs Against Wide SCR Variations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19">
        <w:r>
          <w:rPr>
            <w:color w:val="1155CC"/>
            <w:u w:val="single"/>
          </w:rPr>
          <w:t>10.1109/tec.2026.3707397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[821] </w:t>
      </w:r>
      <w:hyperlink r:id="rId1207">
        <w:r>
          <w:rPr>
            <w:color w:val="1155CC"/>
            <w:u w:val="single"/>
          </w:rPr>
          <w:t>基于动态加权PSO-GWO的球形磁阻电机转矩计算误差补偿</w:t>
        </w:r>
      </w:hyperlink>
    </w:p>
    <w:p>
      <w:pPr>
        <w:spacing w:before="0" w:after="80"/>
      </w:pPr>
      <w:r>
        <w:rPr>
          <w:i/>
          <w:sz w:val="20"/>
        </w:rPr>
        <w:t>EN: Torque Calculation Error Compensation for Spherical Reluctance Motor Based on Dynamic Weighted PSO-GWO</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07">
        <w:r>
          <w:rPr>
            <w:color w:val="1155CC"/>
            <w:u w:val="single"/>
          </w:rPr>
          <w:t>10.1109/tec.2026.3677403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[822] </w:t>
      </w:r>
      <w:hyperlink r:id="rId1227">
        <w:r>
          <w:rPr>
            <w:color w:val="1155CC"/>
            <w:u w:val="single"/>
          </w:rPr>
          <w:t>用于降低转矩脉动的双永磁游标电机气隙磁导优化</w:t>
        </w:r>
      </w:hyperlink>
    </w:p>
    <w:p>
      <w:pPr>
        <w:spacing w:before="0" w:after="80"/>
      </w:pPr>
      <w:r>
        <w:rPr>
          <w:i/>
          <w:sz w:val="20"/>
        </w:rPr>
        <w:t>EN: Optimization of Air-Gap Profile in Dual-Permanent-Magnet Vernier Motor for Torque Ripple Reduction</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27">
        <w:r>
          <w:rPr>
            <w:color w:val="1155CC"/>
            <w:u w:val="single"/>
          </w:rPr>
          <w:t>10.1109/tec.2026.3682884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[823] </w:t>
      </w:r>
      <w:hyperlink r:id="rId1245">
        <w:r>
          <w:rPr>
            <w:color w:val="1155CC"/>
            <w:u w:val="single"/>
          </w:rPr>
          <w:t>一种用于电机电磁振动分析的等效正交各向异性材料参数辨识方法</w:t>
        </w:r>
      </w:hyperlink>
    </w:p>
    <w:p>
      <w:pPr>
        <w:spacing w:before="0" w:after="80"/>
      </w:pPr>
      <w:r>
        <w:rPr>
          <w:i/>
          <w:sz w:val="20"/>
        </w:rPr>
        <w:t>EN: Method for Identifying Equivalent Orthotropic Material Parameters of Motor for Analysis of Electromagnetic Vibrations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45">
        <w:r>
          <w:rPr>
            <w:color w:val="1155CC"/>
            <w:u w:val="single"/>
          </w:rPr>
          <w:t>10.1109/tec.2026.3690914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[824] </w:t>
      </w:r>
      <w:hyperlink r:id="rId1229">
        <w:r>
          <w:rPr>
            <w:color w:val="1155CC"/>
            <w:u w:val="single"/>
          </w:rPr>
          <w:t>面向永磁同步电机高保真故障数据增强的物理引导时间序列生成方法</w:t>
        </w:r>
      </w:hyperlink>
    </w:p>
    <w:p>
      <w:pPr>
        <w:spacing w:before="0" w:after="80"/>
      </w:pPr>
      <w:r>
        <w:rPr>
          <w:i/>
          <w:sz w:val="20"/>
        </w:rPr>
        <w:t>EN: Physics-Guided Time-Series Generation for High-Fidelity Fault Data Augmentation in Permanent Magnet Synchronous Motors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29">
        <w:r>
          <w:rPr>
            <w:color w:val="1155CC"/>
            <w:u w:val="single"/>
          </w:rPr>
          <w:t>10.1109/tec.2026.3667000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[825] </w:t>
      </w:r>
      <w:hyperlink r:id="rId1231">
        <w:r>
          <w:rPr>
            <w:color w:val="1155CC"/>
            <w:u w:val="single"/>
          </w:rPr>
          <w:t>聚焦端部绕组提升超导电机性能的研究</w:t>
        </w:r>
      </w:hyperlink>
    </w:p>
    <w:p>
      <w:pPr>
        <w:spacing w:before="0" w:after="80"/>
      </w:pPr>
      <w:r>
        <w:rPr>
          <w:i/>
          <w:sz w:val="20"/>
        </w:rPr>
        <w:t>EN: A Study on Improving Superconducting Machine Performance by Focusing on End Windings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231">
        <w:r>
          <w:rPr>
            <w:color w:val="1155CC"/>
            <w:u w:val="single"/>
          </w:rPr>
          <w:t>10.1109/tec.2026.3685105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[826] </w:t>
      </w:r>
      <w:hyperlink r:id="rId1410">
        <w:r>
          <w:rPr>
            <w:color w:val="1155CC"/>
            <w:u w:val="single"/>
          </w:rPr>
          <w:t>一种基于流匹配的不平衡数据条件下轴承故障诊断高效数据生成方法</w:t>
        </w:r>
      </w:hyperlink>
    </w:p>
    <w:p>
      <w:pPr>
        <w:spacing w:before="0" w:after="80"/>
      </w:pPr>
      <w:r>
        <w:rPr>
          <w:i/>
          <w:sz w:val="20"/>
        </w:rPr>
        <w:t>EN: An Efficient Data Generation Method Based on Flow Matching for Bearing Fault Diagnosis Under Imbalanced Data Conditions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410">
        <w:r>
          <w:rPr>
            <w:color w:val="1155CC"/>
            <w:u w:val="single"/>
          </w:rPr>
          <w:t>10.1109/tec.2026.3681597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[827] </w:t>
      </w:r>
      <w:hyperlink r:id="rId1408">
        <w:r>
          <w:rPr>
            <w:color w:val="1155CC"/>
            <w:u w:val="single"/>
          </w:rPr>
          <w:t>变齿数比磁齿轮电机的鲁棒滑模控制策略</w:t>
        </w:r>
      </w:hyperlink>
    </w:p>
    <w:p>
      <w:pPr>
        <w:spacing w:before="0" w:after="80"/>
      </w:pPr>
      <w:r>
        <w:rPr>
          <w:i/>
          <w:sz w:val="20"/>
        </w:rPr>
        <w:t>EN: Robust Sliding Mode Control Strategy for Variable-Gear-Ratio Magnetic-Geared Machines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408">
        <w:r>
          <w:rPr>
            <w:color w:val="1155CC"/>
            <w:u w:val="single"/>
          </w:rPr>
          <w:t>10.1109/tec.2026.3653190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[828] </w:t>
      </w:r>
      <w:hyperlink r:id="rId1390">
        <w:r>
          <w:rPr>
            <w:color w:val="1155CC"/>
            <w:u w:val="single"/>
          </w:rPr>
          <w:t>一种基于谐波电流注入的SPMSM鲁棒位置传感器偏移校正方法</w:t>
        </w:r>
      </w:hyperlink>
    </w:p>
    <w:p>
      <w:pPr>
        <w:spacing w:before="0" w:after="80"/>
      </w:pPr>
      <w:r>
        <w:rPr>
          <w:i/>
          <w:sz w:val="20"/>
        </w:rPr>
        <w:t>EN: A Robust Position Sensor Offset Correction Method Based on Harmonic Current Injection for SPMSM</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90">
        <w:r>
          <w:rPr>
            <w:color w:val="1155CC"/>
            <w:u w:val="single"/>
          </w:rPr>
          <w:t>10.1109/tec.2026.3657815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[829] </w:t>
      </w:r>
      <w:hyperlink r:id="rId1374">
        <w:r>
          <w:rPr>
            <w:color w:val="1155CC"/>
            <w:u w:val="single"/>
          </w:rPr>
          <w:t>IEC 60034-2-1标准在感应起动同步磁阻电机中的应用</w:t>
        </w:r>
      </w:hyperlink>
    </w:p>
    <w:p>
      <w:pPr>
        <w:spacing w:before="0" w:after="80"/>
      </w:pPr>
      <w:r>
        <w:rPr>
          <w:i/>
          <w:sz w:val="20"/>
        </w:rPr>
        <w:t>EN: On the Application of the IEC 60034-2-1 Standard to Line-Start Synchronous Reluctance Motors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74">
        <w:r>
          <w:rPr>
            <w:color w:val="1155CC"/>
            <w:u w:val="single"/>
          </w:rPr>
          <w:t>10.1109/tec.2026.3664355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[830] </w:t>
      </w:r>
      <w:hyperlink r:id="rId1376">
        <w:r>
          <w:rPr>
            <w:color w:val="1155CC"/>
            <w:u w:val="single"/>
          </w:rPr>
          <w:t>模式切换GFM变流器影响下GFL变流器的暂态稳定性</w:t>
        </w:r>
      </w:hyperlink>
    </w:p>
    <w:p>
      <w:pPr>
        <w:spacing w:before="0" w:after="80"/>
      </w:pPr>
      <w:r>
        <w:rPr>
          <w:i/>
          <w:sz w:val="20"/>
        </w:rPr>
        <w:t>EN: Transient Stability of GFL Converters Subjected to Mode Switching of GFM Converters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76">
        <w:r>
          <w:rPr>
            <w:color w:val="1155CC"/>
            <w:u w:val="single"/>
          </w:rPr>
          <w:t>10.1109/tec.2026.3676254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[831] </w:t>
      </w:r>
      <w:hyperlink r:id="rId1378">
        <w:r>
          <w:rPr>
            <w:color w:val="1155CC"/>
            <w:u w:val="single"/>
          </w:rPr>
          <w:t>采用发夹绕组的内置式永磁同步电机白盒高频建模</w:t>
        </w:r>
      </w:hyperlink>
    </w:p>
    <w:p>
      <w:pPr>
        <w:spacing w:before="0" w:after="80"/>
      </w:pPr>
      <w:r>
        <w:rPr>
          <w:i/>
          <w:sz w:val="20"/>
        </w:rPr>
        <w:t>EN: White-Box High-Frequency Modeling of Interior Permanent Magnet Synchronous Machines With Hairpin Windings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78">
        <w:r>
          <w:rPr>
            <w:color w:val="1155CC"/>
            <w:u w:val="single"/>
          </w:rPr>
          <w:t>10.1109/tec.2026.3683131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[832] </w:t>
      </w:r>
      <w:hyperlink r:id="rId1340">
        <w:r>
          <w:rPr>
            <w:color w:val="1155CC"/>
            <w:u w:val="single"/>
          </w:rPr>
          <w:t>基于双角轴改进同步参考坐标滤波器的内置式永磁同步电机无传感器控制</w:t>
        </w:r>
      </w:hyperlink>
    </w:p>
    <w:p>
      <w:pPr>
        <w:spacing w:before="0" w:after="80"/>
      </w:pPr>
      <w:r>
        <w:rPr>
          <w:i/>
          <w:sz w:val="20"/>
        </w:rPr>
        <w:t>EN: Sensorless Control of Interior Permanent Magnet Synchronous Motor Based on Improved Synchronous Reference Frame Filter in Double Angle Axis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340">
        <w:r>
          <w:rPr>
            <w:color w:val="1155CC"/>
            <w:u w:val="single"/>
          </w:rPr>
          <w:t>10.1109/tec.2026.3690127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[833] </w:t>
      </w:r>
      <w:hyperlink r:id="rId1225">
        <w:r>
          <w:rPr>
            <w:color w:val="1155CC"/>
            <w:u w:val="single"/>
          </w:rPr>
          <w:t>基于Shapley发电机选择的物理信息深度强化学习用于区间振荡阻尼</w:t>
        </w:r>
      </w:hyperlink>
    </w:p>
    <w:p>
      <w:pPr>
        <w:spacing w:before="0" w:after="80"/>
      </w:pPr>
      <w:r>
        <w:rPr>
          <w:i/>
          <w:sz w:val="20"/>
        </w:rPr>
        <w:t>EN: Physics-Informed Deep Reinforcement Learning for Inter-Area Oscillation Damping via Shapley-Based Generator Selection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25">
        <w:r>
          <w:rPr>
            <w:color w:val="1155CC"/>
            <w:u w:val="single"/>
          </w:rPr>
          <w:t>10.1109/tpwrs.2026.3684848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[834] </w:t>
      </w:r>
      <w:hyperlink r:id="rId1336">
        <w:r>
          <w:rPr>
            <w:color w:val="1155CC"/>
            <w:u w:val="single"/>
          </w:rPr>
          <w:t>为什么更短的时间步长会在停电风险分析中引发失效概率诅咒：解释与解决方案</w:t>
        </w:r>
      </w:hyperlink>
    </w:p>
    <w:p>
      <w:pPr>
        <w:spacing w:before="0" w:after="80"/>
      </w:pPr>
      <w:r>
        <w:rPr>
          <w:i/>
          <w:sz w:val="20"/>
        </w:rPr>
        <w:t>EN: Why Shorter Time Steps Induce the Failure Probability Curse in Power Outage Risk Analysis: An Explanation and Solution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36">
        <w:r>
          <w:rPr>
            <w:color w:val="1155CC"/>
            <w:u w:val="single"/>
          </w:rPr>
          <w:t>10.1109/tpwrs.2026.3683766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[835] </w:t>
      </w:r>
      <w:hyperlink r:id="rId1211">
        <w:r>
          <w:rPr>
            <w:color w:val="1155CC"/>
            <w:u w:val="single"/>
          </w:rPr>
          <w:t>对称可再生能源电力系统的特征值模式与参与度分析</w:t>
        </w:r>
      </w:hyperlink>
    </w:p>
    <w:p>
      <w:pPr>
        <w:spacing w:before="0" w:after="80"/>
      </w:pPr>
      <w:r>
        <w:rPr>
          <w:i/>
          <w:sz w:val="20"/>
        </w:rPr>
        <w:t>EN: Eigenvalue Patterns and Participation Analysis of Symmetric Renewable Energy Power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11">
        <w:r>
          <w:rPr>
            <w:color w:val="1155CC"/>
            <w:u w:val="single"/>
          </w:rPr>
          <w:t>10.1109/tpwrs.2026.3684614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[836] </w:t>
      </w:r>
      <w:hyperlink r:id="rId1155">
        <w:r>
          <w:rPr>
            <w:color w:val="1155CC"/>
            <w:u w:val="single"/>
          </w:rPr>
          <w:t>导电MOF薄膜中空间限域的水同位素传输</w:t>
        </w:r>
      </w:hyperlink>
    </w:p>
    <w:p>
      <w:pPr>
        <w:spacing w:before="0" w:after="80"/>
      </w:pPr>
      <w:r>
        <w:rPr>
          <w:i/>
          <w:sz w:val="20"/>
        </w:rPr>
        <w:t>EN: Space‐Confined Water Isotope Transport in Conductive MOF Thin Film</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155">
        <w:r>
          <w:rPr>
            <w:color w:val="1155CC"/>
            <w:u w:val="single"/>
          </w:rPr>
          <w:t>10.1002/anie.7017206</w:t>
        </w:r>
      </w:hyperlink>
    </w:p>
    <w:p>
      <w:pPr>
        <w:spacing w:before="0" w:after="120"/>
      </w:pPr>
      <w:r>
        <w:rPr>
          <w:b/>
        </w:rPr>
        <w:t xml:space="preserve">Notes: </w:t>
      </w:r>
      <w:r>
        <w:t>abstract_source=crossref</w:t>
      </w:r>
    </w:p>
    <w:p>
      <w:pPr>
        <w:spacing w:before="0" w:after="80" w:lineRule="auto" w:line="276"/>
      </w:pPr>
      <w:r>
        <w:rPr>
          <w:b/>
        </w:rPr>
        <w:t xml:space="preserve">摘要（ZH）: </w:t>
      </w:r>
      <w:r>
        <w:t>摘要 导电金属有机骨架（cMOF）薄膜具有有序纳米孔、可设计的电荷传输路径和潜在的柔性，有望解决同位素分离这一百年难题。然而，在此类受限空间内解析并放大水同位素体之间微观动力学差异仍非易事。在本工作中，通过可控的逐层生长制备了具有取向窄孔和柔性的质子-电子耦合二维π共轭cMOF薄膜（Cu1TPB0.1−xC）。通过关联电学和质量换能气体传感器技术，识别了H2O和D2O与骨架相互作用的细微差异，揭示了复杂的多阶段质量传输。对不同孔径cMOF的比较表明，这种识别源于不同的传导机制。值得注意的是，具有强空间限域效应的Cu1TPB0.1−xC薄膜由于其独特的质子-电子耦合传导特性而表现出复杂的多阶段电响应，从而能够进一步区分H2O和D2O在外表面和受限空间内的传输过程。因此，取向cMOF薄膜为解析和放大受限孔道中依赖于同位素的细微传输动力学提供了实时平台，为设计具有可控水同位素体传输的多孔材料提供了机理指导。</w:t>
      </w:r>
    </w:p>
    <w:p>
      <w:pPr>
        <w:spacing w:before="0" w:after="200" w:lineRule="auto" w:line="276"/>
      </w:pPr>
      <w:r>
        <w:rPr>
          <w:b/>
        </w:rPr>
        <w:t xml:space="preserve">Abstract (EN): </w:t>
      </w:r>
      <w:r>
        <w:t>The century‐old challenge of isotope separation might be addressed by conductive metal–organic framework (cMOF) thin films featuring ordered nanopores, designable charge‐transport pathways, and potential flexibility. However, resolving and amplifying the microscopic kinetic differences between water isotopologues within such confined spaces remains nontrivial. In this work, proton‐ and electron‐coupled two‐dimensional π‐conjugated cMOF thin films (Cu 1 TPB 0.1 − x C) are fabricated through controllable layer‐by‐layer growth with oriented narrow pores and flexibility. Correlating electrical‐ and mass‐transduced gas‐sensor technologies, the subtle differences in the interactions of H 2 O and D 2 O with the framework were identified, revealing a complex multistage mass transport. Comparison of cMOFs with different pore sizes shows that this identification originates from distinct conduction mechanisms. Notably, the Cu 1 TPB 0.1 − x C thin film with a strong space‐confined effect exhibits a complex multistage electrical response due to its unique proton–electron‐coupled conduction characteristics, thereby enabling further differentiation of the transport processes of H 2 O and D 2 O on the outer surface and within the confined spaces. The oriented cMOF films therefore provide a real‐time platform for resolving and amplifying subtle isotope‐dependent transport dynamics in confined pores, offering mechanistic guidance for the design of porous materials with controlled water‐isotopologue transport.</w:t>
      </w:r>
    </w:p>
    <w:p>
      <w:pPr>
        <w:spacing w:before="120" w:after="120"/>
      </w:pPr>
      <w:r>
        <w:rPr>
          <w:sz w:val="18"/>
        </w:rPr>
        <w:t>——————————————————————————————————————————————————————————————————————</w:t>
      </w:r>
    </w:p>
    <w:p>
      <w:pPr>
        <w:spacing w:before="160" w:after="40" w:line="240" w:lineRule="auto"/>
      </w:pPr>
      <w:r>
        <w:rPr>
          <w:b/>
        </w:rPr>
        <w:t xml:space="preserve">[837] </w:t>
      </w:r>
      <w:hyperlink r:id="rId1153">
        <w:r>
          <w:rPr>
            <w:color w:val="1155CC"/>
            <w:u w:val="single"/>
          </w:rPr>
          <w:t>仿生沸石咪唑酯框架中通过连接体区域异构化实现自适应诱导契合以促进SF6/N2分离</w:t>
        </w:r>
      </w:hyperlink>
    </w:p>
    <w:p>
      <w:pPr>
        <w:spacing w:before="0" w:after="80"/>
      </w:pPr>
      <w:r>
        <w:rPr>
          <w:i/>
          <w:sz w:val="20"/>
        </w:rPr>
        <w:t>EN: Adaptive Induced‐Fit via Engineered Linker Regioisomerization in Biomimetic Zeolitic Imidazolate Frameworks for Boosting SF 6 /N 2 Separation</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153">
        <w:r>
          <w:rPr>
            <w:color w:val="1155CC"/>
            <w:u w:val="single"/>
          </w:rPr>
          <w:t>10.1002/anie.3448513</w:t>
        </w:r>
      </w:hyperlink>
    </w:p>
    <w:p>
      <w:pPr>
        <w:spacing w:before="0" w:after="120"/>
      </w:pPr>
      <w:r>
        <w:rPr>
          <w:b/>
        </w:rPr>
        <w:t xml:space="preserve">Notes: </w:t>
      </w:r>
      <w:r>
        <w:t>abstract_source=crossref</w:t>
      </w:r>
    </w:p>
    <w:p>
      <w:pPr>
        <w:spacing w:before="0" w:after="80" w:lineRule="auto" w:line="276"/>
      </w:pPr>
      <w:r>
        <w:rPr>
          <w:b/>
        </w:rPr>
        <w:t xml:space="preserve">摘要（ZH）: </w:t>
      </w:r>
      <w:r>
        <w:t>摘要 捕获和回收六氟化硫（SF6）是减缓全球变暖的关键 yet 艰巨的挑战。在此，我们提出在沸石咪唑酯骨架（ZIF）内进行可编程的连接基位置异构化策略，以调控其刺激响应的结构柔性，从而显著提高从氮气（N2）气流中捕获SF6的效率。在咪唑酯连接基上同时对ZIF-8中的甲基和ZIF-90中的醛基进行位置异构化，得到ZIF-94，该材料在吸附SF6时表现出罕见的客体诱导的可逆骨架形变。这种行为赋予了对SF6分子类似酶的诱导契合识别机制，增强了主客体相互作用。因此，ZIF-94在298 K和0.1 bar下实现了1.97 mmol g−1的高SF6吸附容量和1438.69 mg cm−3的超高SF6堆积密度，并且SF6/N2选择性显著优于ZIF-8和ZIF-90。原位实验和理论分析表明，ZIF-94的SF6诱导结构柔性使骨架能够动态调整和优化其笼结构以匹配气体分子，从而显著增强SF6/N2分离性能。实验穿透柱测试和变压吸附模拟证实了ZIF-94对SF6/N2混合物的实际分离性能。这项工作为设计用于气体分离应用的柔性吸附剂提供了有益的见解。</w:t>
      </w:r>
    </w:p>
    <w:p>
      <w:pPr>
        <w:spacing w:before="0" w:after="200" w:lineRule="auto" w:line="276"/>
      </w:pPr>
      <w:r>
        <w:rPr>
          <w:b/>
        </w:rPr>
        <w:t xml:space="preserve">Abstract (EN): </w:t>
      </w:r>
      <w:r>
        <w:t>Capturing and recovering sulfur hexafluoride (SF 6 ) is a crucial yet formidable challenge in mitigating global warming. Herein, we propose a programmable linker regioisomerization strategy within zeolitic imidazolate frameworks (ZIFs) to modulate their stimulus‐responsive structural flexibility, thereby significantly enhancing SF 6 capture efficiency from nitrogen (N 2 ) streams. Simultaneous regioisomerization of the methyl group in ZIF‐8 and the aldehyde group in ZIF‐90 on the imidazolate linkers yields ZIF‐94, which exhibits a rare guest‐induced reversible framework deformation upon SF 6 adsorption. This behavior confers an enzyme‐like induced‐fit recognition mechanism for SF 6 molecules, strengthening host–guest interactions. As a result, ZIF‐94 achieves a high SF 6 adsorption capacity of 1.97 mmol g −1 and an ultrahigh SF 6 stacking density of 1438.69 mg cm −3 at 298 K and 0.1 bar, along with dramatically enhanced SF 6 /N 2 selectivities over ZIF‐8 and ZIF‐90. In situ experiments and theoretical analyses reveal that the SF 6 ‐induced structural flexibility of ZIF‐94 allows the framework to dynamically adjust and optimize its cage structure to match gas molecules, thus leading to significantly reinforced SF 6 /N 2 separation performance. The experimental column breakthrough tests and pressure swing adsorption simulations confirm the practical separation performance for SF 6 /N 2 mixtures in ZIF‐94. This work offers useful insights for designing flexible adsorbents for gas separation applications.</w:t>
      </w:r>
    </w:p>
    <w:p>
      <w:pPr>
        <w:spacing w:before="120" w:after="120"/>
      </w:pPr>
      <w:r>
        <w:rPr>
          <w:sz w:val="18"/>
        </w:rPr>
        <w:t>——————————————————————————————————————————————————————————————————————</w:t>
      </w:r>
    </w:p>
    <w:p>
      <w:pPr>
        <w:spacing w:before="160" w:after="40" w:line="240" w:lineRule="auto"/>
      </w:pPr>
      <w:r>
        <w:rPr>
          <w:b/>
        </w:rPr>
        <w:t xml:space="preserve">[838] </w:t>
      </w:r>
      <w:hyperlink r:id="rId1157">
        <w:r>
          <w:rPr>
            <w:color w:val="1155CC"/>
            <w:u w:val="single"/>
          </w:rPr>
          <w:t>金属氧化物在生理条件下通过磷酸盐β-消除催化脱氢氨基酸的生成</w:t>
        </w:r>
      </w:hyperlink>
    </w:p>
    <w:p>
      <w:pPr>
        <w:spacing w:before="0" w:after="80"/>
      </w:pPr>
      <w:r>
        <w:rPr>
          <w:i/>
          <w:sz w:val="20"/>
        </w:rPr>
        <w:t>EN: Metal Oxides Catalyze Formation of Dehydroamino Acids by Phosphate β‐Elimination Under Physiological Conditions</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157">
        <w:r>
          <w:rPr>
            <w:color w:val="1155CC"/>
            <w:u w:val="single"/>
          </w:rPr>
          <w:t>10.1002/anie.9805066</w:t>
        </w:r>
      </w:hyperlink>
    </w:p>
    <w:p>
      <w:pPr>
        <w:spacing w:before="0" w:after="120"/>
      </w:pPr>
      <w:r>
        <w:rPr>
          <w:b/>
        </w:rPr>
        <w:t xml:space="preserve">Notes: </w:t>
      </w:r>
      <w:r>
        <w:t>abstract_source=crossref</w:t>
      </w:r>
    </w:p>
    <w:p>
      <w:pPr>
        <w:spacing w:before="0" w:after="80" w:lineRule="auto" w:line="276"/>
      </w:pPr>
      <w:r>
        <w:rPr>
          <w:b/>
        </w:rPr>
        <w:t xml:space="preserve">摘要（ZH）: </w:t>
      </w:r>
      <w:r>
        <w:t>摘要 脱氢氨基酸（DHAAs）脱氢丙氨酸和脱氢丁氨酸分别由蛋白质中的丝氨酸和苏氨酸经翻译后形成。它们含有亲电性烯烃，可通过迈克尔加成与亲核试剂快速反应，产生多种化学修饰以及蛋白质交联。最近的工作表明，DHAAs及其修饰在从阿尔茨海默病（AD）患者大脑中分离的蛋白质聚集体中高度普遍存在。由于尚无已知的人类酶催化DHAAs的形成，这引发了它们如何产生的问题。我们在此表明，金属氧化物，特别是铁氧化物针铁矿和赤铁矿，在生理相关条件下能在体外高效催化模型磷酸肽中DHAAs的形成。已知铁氧化物会随年龄在人脑中积累，且这种沉积在AD等神经退行性疾病中增强。本文报道的通过多相催化形成DHAA的机制，提供了一种此前未知的将铁沉积与AD以及其他铁积累与蛋白质聚集共存的神经退行性疾病中蛋白质交联联系起来的机制。</w:t>
      </w:r>
    </w:p>
    <w:p>
      <w:pPr>
        <w:spacing w:before="0" w:after="200" w:lineRule="auto" w:line="276"/>
      </w:pPr>
      <w:r>
        <w:rPr>
          <w:b/>
        </w:rPr>
        <w:t xml:space="preserve">Abstract (EN): </w:t>
      </w:r>
      <w:r>
        <w:t>The dehydroamino acids (DHAAs) dehydroalanine and dehydrobutyrine are formed in proteins posttranslationally from serine and threonine, respectively. They contain an electrophilic alkene, which reacts readily with nucleophiles by Michael addition, giving rise to a variety of chemical modifications as well as protein crosslinks. Recent work has shown DHAAs and their modifications to be highly prevalent in protein aggregates isolated from brains of Alzheimer's Disease (AD) patients. As there is no human enzyme known to catalyze the formation of DHAAs, this raised the question of how they are produced. We show here that metal oxides, particularly the iron oxides goethite and hematite, efficiently catalyze the formation of DHAAs in model phosphopeptides in vitro under physiologically relevant conditions. Iron oxides are known to accumulate in the human brain with age, and this deposition is enhanced in neurodegenerative disorders like AD. The DHAA formation by heterogeneous catalysis reported here provides a previously unknown mechanism linking iron deposition to protein crosslinking in AD and potentially other neurodegenerative diseases where iron accumulation and protein aggregation co‐occur.</w:t>
      </w:r>
    </w:p>
    <w:p>
      <w:pPr>
        <w:spacing w:before="120" w:after="120"/>
      </w:pPr>
      <w:r>
        <w:rPr>
          <w:sz w:val="18"/>
        </w:rPr>
        <w:t>——————————————————————————————————————————————————————————————————————</w:t>
      </w:r>
    </w:p>
    <w:p>
      <w:pPr>
        <w:spacing w:before="160" w:after="40" w:line="240" w:lineRule="auto"/>
      </w:pPr>
      <w:r>
        <w:rPr>
          <w:b/>
        </w:rPr>
        <w:t xml:space="preserve">[839] </w:t>
      </w:r>
      <w:hyperlink r:id="rId1223">
        <w:r>
          <w:rPr>
            <w:color w:val="1155CC"/>
            <w:u w:val="single"/>
          </w:rPr>
          <w:t>动态互锁双刚度界面相的超分子工程用于仿生高强度高韧性双网络气凝胶</w:t>
        </w:r>
      </w:hyperlink>
    </w:p>
    <w:p>
      <w:pPr>
        <w:spacing w:before="0" w:after="80"/>
      </w:pPr>
      <w:r>
        <w:rPr>
          <w:i/>
          <w:sz w:val="20"/>
        </w:rPr>
        <w:t>EN: Supramolecular Engineering of Dynamically Interlocked Dual‐Stiffness Interphase for Biomimetic Strong and Tough Double Network Aerogel</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223">
        <w:r>
          <w:rPr>
            <w:color w:val="1155CC"/>
            <w:u w:val="single"/>
          </w:rPr>
          <w:t>10.1002/anie.7495552</w:t>
        </w:r>
      </w:hyperlink>
    </w:p>
    <w:p>
      <w:pPr>
        <w:spacing w:before="0" w:after="120"/>
      </w:pPr>
      <w:r>
        <w:rPr>
          <w:b/>
        </w:rPr>
        <w:t xml:space="preserve">Notes: </w:t>
      </w:r>
      <w:r>
        <w:t>abstract_source=crossref</w:t>
      </w:r>
    </w:p>
    <w:p>
      <w:pPr>
        <w:spacing w:before="0" w:after="80" w:lineRule="auto" w:line="276"/>
      </w:pPr>
      <w:r>
        <w:rPr>
          <w:b/>
        </w:rPr>
        <w:t xml:space="preserve">摘要（ZH）: </w:t>
      </w:r>
      <w:r>
        <w:t>摘要：解决有机-无机杂化材料中根本性的模量-韧性权衡问题，一直是超分子化学与材料科学领域的重大挑战。本文提出了一种分子层面的动态互锁双刚度界面相设计，以突破这一极限，该设计采用芳纶纳米纤维/二氧化硅双重网络结构。与传统的物理共混不同，该界面相由双向氢键网络主导。通过深入的光谱学研究，我们揭示了这种强界面相互作用可在ANFs内引发分子内质子转移和电子重新分布。更引人注目的是，这种超分子相互作用驱动了无机网络内一种罕见而关键的结构相变，将柔性的六元硅氧烷环(SiO)6转变为刚性的四元环(SiO)4。在宏观层面，该化学界面相被整合到仿生皮芯结构气凝胶纤维中。双模式化学相互作用——静态锚定与动态硅羟基介导的滑移——协同赋予该杂化材料超高模量(1.15 GPa)与卓越韧性(8.1 MJ m−3)，同时保持其固有的极端温度稳定性。这种化学驱动的动态相重构机制为界面相工程建立了通用理论框架，为高性能多功能纳米复合材料的精确构筑提供了深刻见解。</w:t>
      </w:r>
    </w:p>
    <w:p>
      <w:pPr>
        <w:spacing w:before="0" w:after="200" w:lineRule="auto" w:line="276"/>
      </w:pPr>
      <w:r>
        <w:rPr>
          <w:b/>
        </w:rPr>
        <w:t xml:space="preserve">Abstract (EN): </w:t>
      </w:r>
      <w:r>
        <w:t>Resolving the fundamental modulus‐toughness trade‐off in organic‐inorganic hybrids remains a formidable challenge in supramolecular chemistry and materials science. Herein, we present a molecular‐level design of a dynamically interlocked dual‐stiffness interphase to break this limit, utilizing an aramid nanofiber/silica double‐network architecture. Unlike traditional physical blending, this interphase is governed by a bidirectional hydrogen‐bonding network. Through deep spectroscopic investigations, we reveal that this strong interfacial interaction triggers an intramolecular proton transfer and electronic redistribution within the ANFs. More intriguingly, this supramolecular interaction drives a rare and critical structural phase transition within the inorganic network, transforming flexible six‐membered siloxane rings (SiO) 6 into rigid four‐membered rings (SiO) 4 . Macroscopically, this chemical interphase is integrated into a biomimetic skin‐core aerogel fiber. The bimodal chemical interactions—static anchoring and dynamic silanol‐mediated slippage—synergistically endow the hybrid with an ultrahigh modulus (1.15 GPa) and exceptional toughness (8.1 MJ m −3 ), while preserving intrinsic extreme‐temperature stability. This chemically driven dynamic phase‐reconfiguration mechanism establishes a universal theoretical framework for interphase engineering, offering profound insights for the precise construction of high‐performance multifunctional nanocomposites.</w:t>
      </w:r>
    </w:p>
    <w:p>
      <w:pPr>
        <w:spacing w:before="120" w:after="120"/>
      </w:pPr>
      <w:r>
        <w:rPr>
          <w:sz w:val="18"/>
        </w:rPr>
        <w:t>——————————————————————————————————————————————————————————————————————</w:t>
      </w:r>
    </w:p>
    <w:p>
      <w:pPr>
        <w:spacing w:before="160" w:after="40" w:line="240" w:lineRule="auto"/>
      </w:pPr>
      <w:r>
        <w:rPr>
          <w:b/>
        </w:rPr>
        <w:t xml:space="preserve">[840] </w:t>
      </w:r>
      <w:hyperlink r:id="rId1372">
        <w:r>
          <w:rPr>
            <w:color w:val="1155CC"/>
            <w:u w:val="single"/>
          </w:rPr>
          <w:t>基于二氢卟吩类小分子敏化剂的声触发原位疫苗用于全身性癌症治疗</w:t>
        </w:r>
      </w:hyperlink>
    </w:p>
    <w:p>
      <w:pPr>
        <w:spacing w:before="0" w:after="80"/>
      </w:pPr>
      <w:r>
        <w:rPr>
          <w:i/>
          <w:sz w:val="20"/>
        </w:rPr>
        <w:t>EN: Sono‐Triggered In Situ Vaccine via a Chlorin‐Based Small Molecule Sensitizer for Systemic Cancer Therapy</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372">
        <w:r>
          <w:rPr>
            <w:color w:val="1155CC"/>
            <w:u w:val="single"/>
          </w:rPr>
          <w:t>10.1002/anie.8129050</w:t>
        </w:r>
      </w:hyperlink>
    </w:p>
    <w:p>
      <w:pPr>
        <w:spacing w:before="0" w:after="120"/>
      </w:pPr>
      <w:r>
        <w:rPr>
          <w:b/>
        </w:rPr>
        <w:t xml:space="preserve">Notes: </w:t>
      </w:r>
      <w:r>
        <w:t>abstract_source=crossref</w:t>
      </w:r>
    </w:p>
    <w:p>
      <w:pPr>
        <w:spacing w:before="0" w:after="80" w:lineRule="auto" w:line="276"/>
      </w:pPr>
      <w:r>
        <w:rPr>
          <w:b/>
        </w:rPr>
        <w:t xml:space="preserve">摘要（ZH）: </w:t>
      </w:r>
      <w:r>
        <w:t>摘要：单分子介导的声动力疗法(SDT)通过在肿瘤内实现超声触发的细胞毒性与原位类疫苗效应的协同作用，为全身性抗肿瘤提供了一种有前景的策略。尽管基于卟啉类的光敏剂在光疗中已取得临床成功，但其在SDT中的应用因超声(US)触发的活性氧(ROS)生成不足而受阻，导致免疫原性细胞死亡(ICD)不佳和抗肿瘤免疫受损。为解决这一问题，我们基于天然产物衍生的骨架——程海焦脱镁叶绿酸-a(CHPpa)——设计了两种有机声敏剂。CHPpa-er通过引入对甲苯磺酰胺基团实现对内质网(ER)的特异性靶向。其类似物CHPpa-er-Asp则额外用天冬氨酸功能化以调控分子极性。值得注意的是，尽管两者仅相差一个药效团，它们在靶蛋白(KATP通道)结合和细胞内转运方面表现出截然不同的特性，凸显了合理分子设计的关键影响。作为先导候选物，CHPpa-er在US下引发精确的管腔内ROS爆发，诱导严重的ER应激和强效ICD。在两种临床前肿瘤模型中，CHPpa-er介导的SDT通过激发强大的全身抗肿瘤免疫，有效抑制了原发肿瘤生长和转移。本工作提出了一种单分子声敏剂策略，将SDT从局部治疗手段转变为全身性干预，为</w:t>
      </w:r>
    </w:p>
    <w:p>
      <w:pPr>
        <w:spacing w:before="0" w:after="200" w:lineRule="auto" w:line="276"/>
      </w:pPr>
      <w:r>
        <w:rPr>
          <w:b/>
        </w:rPr>
        <w:t xml:space="preserve">Abstract (EN): </w:t>
      </w:r>
      <w:r>
        <w:t>Unimolecule‐mediated sonodynamic therapy (SDT) offers a promising approach to combat tumors systemically by enabling synergistic sono‐triggered cytotoxicity and in situ vaccine‐like effects within tumors. Although chlorin‐based sensitizers have achieved clinical success in phototherapy, their translation to SDT has been impeded by inadequate ultrasound (US)‐triggered reactive oxygen species (ROS) generation, leading to suboptimal immunogenic cell death (ICD) and compromised antitumor immunity. To address this, we designed two organic sonosensitizers based on the natural product‐derived scaffold, Chenghai pyropheophorbide‐a (CHPpa). CHPpa‐er was constructed by appending a p ‐toluenesulfonamide group for specific endoplasmic reticulum (ER) targeting. Its analogue, CHPpa‐er‐Asp, was additionally functionalized with aspartic acid to modulate molecular polarity. Remarkably, despite differing by only one pharmacophore, the two compounds exhibited profoundly distinct profiles in target protein (K ATP channel) engagement and intracellular trafficking, highlighting the critical impact of rational molecular design. As the lead candidate, CHPpa‐er elicited precise, intraluminal ROS bursts under US, inducing severe ER stress and robust ICD. In two preclinical tumor models, CHPpa‐er‐mediated SDT effectively suppressed both primary tumor growth and metastasis by provoking potent systemic antitumor immunity. This work introduced a unimolecular sonosensitizer strategy that transformed SDT from a localized modality into a systemic intervention, offering a translatable platform for comprehensive cancer therapy.</w:t>
      </w:r>
    </w:p>
    <w:p>
      <w:pPr>
        <w:spacing w:before="120" w:after="120"/>
      </w:pPr>
      <w:r>
        <w:rPr>
          <w:sz w:val="18"/>
        </w:rPr>
        <w:t>——————————————————————————————————————————————————————————————————————</w:t>
      </w:r>
    </w:p>
    <w:p>
      <w:pPr>
        <w:spacing w:before="160" w:after="40" w:line="240" w:lineRule="auto"/>
      </w:pPr>
      <w:r>
        <w:rPr>
          <w:b/>
        </w:rPr>
        <w:t xml:space="preserve">[841] </w:t>
      </w:r>
      <w:hyperlink r:id="rId1537">
        <w:r>
          <w:rPr>
            <w:color w:val="1155CC"/>
            <w:u w:val="single"/>
          </w:rPr>
          <w:t>光学活性铁电体中的电可切换圆偏振光探测</w:t>
        </w:r>
      </w:hyperlink>
    </w:p>
    <w:p>
      <w:pPr>
        <w:spacing w:before="0" w:after="80"/>
      </w:pPr>
      <w:r>
        <w:rPr>
          <w:i/>
          <w:sz w:val="20"/>
        </w:rPr>
        <w:t>EN: Electrically Switchable Circularly Polarized Light Detection in Optically Active Ferroelectric</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37">
        <w:r>
          <w:rPr>
            <w:color w:val="1155CC"/>
            <w:u w:val="single"/>
          </w:rPr>
          <w:t>10.1002/anie.5199246</w:t>
        </w:r>
      </w:hyperlink>
    </w:p>
    <w:p>
      <w:pPr>
        <w:spacing w:before="0" w:after="120"/>
      </w:pPr>
      <w:r>
        <w:rPr>
          <w:b/>
        </w:rPr>
        <w:t xml:space="preserve">Notes: </w:t>
      </w:r>
      <w:r>
        <w:t>abstract_source=crossref</w:t>
      </w:r>
    </w:p>
    <w:p>
      <w:pPr>
        <w:spacing w:before="0" w:after="80" w:lineRule="auto" w:line="276"/>
      </w:pPr>
      <w:r>
        <w:rPr>
          <w:b/>
        </w:rPr>
        <w:t xml:space="preserve">摘要（ZH）: </w:t>
      </w:r>
      <w:r>
        <w:t>摘要：圆偏振光(CPL)探测是先进光子学与光电子技术的基础，然而CPL选择性的电可逆调控仍是一项关键挑战。光学活性铁电体因其在单一材料平台上集成了对称性赋予的旋光性、可切换的自发极化和体光伏效应(BPVE)，是应对这一挑战的独特选择。本文报道了一种光学活性杂化钙钛矿铁电体BnA2MA2Pb3Br10(1；BnA为3-丁烯基铵，MA为甲铵)，在其中成功实现了电可切换的CPL探测。借助1中的BPVE，该器件表现出高灵敏度的自供电CPL探测，各向异性因子高达0.62。更重要的是，铁电极化翻转可逆转CPL选择性，实现电可重构的CPL探测。本工作确立了光学活性铁电体作为电可重构自供电手性光电子器件可行平台的地位。</w:t>
      </w:r>
    </w:p>
    <w:p>
      <w:pPr>
        <w:spacing w:before="0" w:after="200" w:lineRule="auto" w:line="276"/>
      </w:pPr>
      <w:r>
        <w:rPr>
          <w:b/>
        </w:rPr>
        <w:t xml:space="preserve">Abstract (EN): </w:t>
      </w:r>
      <w:r>
        <w:t>Circularly polarized light (CPL) detection is fundamental to advanced photonic and optoelectronic technologies, yet electrically reversible control of CPL selectivity remains a critical challenge. Optically active ferroelectrics are uniquely suited to address this challenge because they integrate symmetry‐enabled optical activity, switchable spontaneous polarization, and the bulk photovoltaic effect (BPVE) within a single material platform. Herein, we report an optically active hybrid perovskite ferroelectric, BnA 2 MA 2 Pb 3 Br 10 ( 1 ; BnA is 3‐butenylammonium, MA is methylammonium), in which electrically switchable CPL detection is successfully achieved. Leveraging the BPVE in 1 , the device exhibits highly sensitive self‐powered CPL detection, with an anisotropy factor of up to 0.62. More importantly, ferroelectric polarization reversal reverses the CPL selectivity, enabling electrically reconfigurable CPL detection. This work establishes optically active ferroelectrics as a viable platform for electrically reconfigurable self‐powered chiroptoelectronic devices.</w:t>
      </w:r>
    </w:p>
    <w:p>
      <w:pPr>
        <w:spacing w:before="120" w:after="120"/>
      </w:pPr>
      <w:r>
        <w:rPr>
          <w:sz w:val="18"/>
        </w:rPr>
        <w:t>——————————————————————————————————————————————————————————————————————</w:t>
      </w:r>
    </w:p>
    <w:p>
      <w:pPr>
        <w:spacing w:before="160" w:after="40" w:line="240" w:lineRule="auto"/>
      </w:pPr>
      <w:r>
        <w:rPr>
          <w:b/>
        </w:rPr>
        <w:t xml:space="preserve">[842] </w:t>
      </w:r>
      <w:hyperlink r:id="rId1516">
        <w:r>
          <w:rPr>
            <w:color w:val="1155CC"/>
            <w:u w:val="single"/>
          </w:rPr>
          <w:t>通过PCET–HAT接力实现的烯烃自由基亚磺酰胺化</w:t>
        </w:r>
      </w:hyperlink>
    </w:p>
    <w:p>
      <w:pPr>
        <w:spacing w:before="0" w:after="80"/>
      </w:pPr>
      <w:r>
        <w:rPr>
          <w:i/>
          <w:sz w:val="20"/>
        </w:rPr>
        <w:t>EN: Radical Sulfinamidation of Alkenes Enabled by a PCET–HAT Relay</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16">
        <w:r>
          <w:rPr>
            <w:color w:val="1155CC"/>
            <w:u w:val="single"/>
          </w:rPr>
          <w:t>10.1002/anie.2451961</w:t>
        </w:r>
      </w:hyperlink>
    </w:p>
    <w:p>
      <w:pPr>
        <w:spacing w:before="0" w:after="120"/>
      </w:pPr>
      <w:r>
        <w:rPr>
          <w:b/>
        </w:rPr>
        <w:t xml:space="preserve">Notes: </w:t>
      </w:r>
      <w:r>
        <w:t>abstract_source=crossref</w:t>
      </w:r>
    </w:p>
    <w:p>
      <w:pPr>
        <w:spacing w:before="0" w:after="80" w:lineRule="auto" w:line="276"/>
      </w:pPr>
      <w:r>
        <w:rPr>
          <w:b/>
        </w:rPr>
        <w:t xml:space="preserve">摘要（ZH）: </w:t>
      </w:r>
      <w:r>
        <w:t>摘要：亚磺酰胺及相关硫(VI)结构单元在生物活性分子中广泛存在；然而，将它们直接安装到烯烃上传统上依赖Lewis酸或过渡金属介导的双电子途径，近期的进展则以光诱导单电子过程为主。本文报道了一种无金属、无光照的烯烃自由基亚磺酰胺化反应，该反应通过由质子耦合电子转移-氢原子转移(PCET–HAT)级联实现的自由基链机制进行，由痕量氧引发。该转化在操作简单的条件下进行，能够快速获得结构多样的亚磺酰胺，具有宽泛的底物范围和优异的官能团耐受性。通过复杂天然产物和药物分子的后期功能化展示了该策略的合成实用性。结合实验研究与密度泛函理论计算的机理研究表明，这是一个PCET引发的自由基链过程，其中HAT事件传递反应性以产生亚磺酰自由基，解释了反应的高效性与高选择性。本工作为烯烃亚磺酰胺化建立了一个机理上截然不同的平台，并凸显了PCET–HAT级联介导的自由基链过程在合成化学中的潜力。</w:t>
      </w:r>
    </w:p>
    <w:p>
      <w:pPr>
        <w:spacing w:before="0" w:after="200" w:lineRule="auto" w:line="276"/>
      </w:pPr>
      <w:r>
        <w:rPr>
          <w:b/>
        </w:rPr>
        <w:t xml:space="preserve">Abstract (EN): </w:t>
      </w:r>
      <w:r>
        <w:t>Sulfinamides and related sulfur(VI) motifs are widely represented in bioactive molecules; however, their direct installation onto alkenes has traditionally relied on Lewis acid‐ or transition metal‐mediated two‐electron pathways, with more recent advances dominated by photoinduced single‐electron processes. Here, we report a metal‐ and light‐free radical sulfinamidation of alkenes that proceeds through a radical chain mechanism enabled by a proton‐coupled electron transfer–hydrogen atom transfer (PCET–HAT) relay, initiated by trace amounts of oxygen. This transformation operates under operationally simple conditions, enabling rapid access to structurally diverse sulfinamides with broad substrate scope and excellent functional group tolerance. The synthetic utility of this strategy is demonstrated by the late‐stage functionalization of complex natural products and drug molecules. Mechanistic investigations combining experimental studies and density functional theory calculations reveal a PCET‐initiated radical chain process in which a HAT event relays reactivity to generate sulfinyl radicals, accounting for the high efficiency and selectivity of the reaction. This work establishes a mechanistically distinct platform for alkene sulfinamidation and highlights the potential of radical chain processes enabled by PCET–HAT relays in synthetic chemistry.</w:t>
      </w:r>
    </w:p>
    <w:p>
      <w:pPr>
        <w:spacing w:before="120" w:after="120"/>
      </w:pPr>
      <w:r>
        <w:rPr>
          <w:sz w:val="18"/>
        </w:rPr>
        <w:t>——————————————————————————————————————————————————————————————————————</w:t>
      </w:r>
    </w:p>
    <w:p>
      <w:pPr>
        <w:spacing w:before="160" w:after="40" w:line="240" w:lineRule="auto"/>
      </w:pPr>
      <w:r>
        <w:rPr>
          <w:b/>
        </w:rPr>
        <w:t xml:space="preserve">[843] </w:t>
      </w:r>
      <w:hyperlink r:id="rId1518">
        <w:r>
          <w:rPr>
            <w:color w:val="1155CC"/>
            <w:u w:val="single"/>
          </w:rPr>
          <w:t>间隔基长度作为多肽组装体自分类、活性生长与压电响应的分子线索</w:t>
        </w:r>
      </w:hyperlink>
    </w:p>
    <w:p>
      <w:pPr>
        <w:spacing w:before="0" w:after="80"/>
      </w:pPr>
      <w:r>
        <w:rPr>
          <w:i/>
          <w:sz w:val="20"/>
        </w:rPr>
        <w:t>EN: Spacer Length as a Molecular Cue for Self‐Sorting, Living Growth, and Piezoresponse in Peptide Assemblies</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18">
        <w:r>
          <w:rPr>
            <w:color w:val="1155CC"/>
            <w:u w:val="single"/>
          </w:rPr>
          <w:t>10.1002/anie.4984465</w:t>
        </w:r>
      </w:hyperlink>
    </w:p>
    <w:p>
      <w:pPr>
        <w:spacing w:before="0" w:after="120"/>
      </w:pPr>
      <w:r>
        <w:rPr>
          <w:b/>
        </w:rPr>
        <w:t xml:space="preserve">Notes: </w:t>
      </w:r>
      <w:r>
        <w:t>abstract_source=crossref</w:t>
      </w:r>
    </w:p>
    <w:p>
      <w:pPr>
        <w:spacing w:before="0" w:after="80" w:lineRule="auto" w:line="276"/>
      </w:pPr>
      <w:r>
        <w:rPr>
          <w:b/>
        </w:rPr>
        <w:t xml:space="preserve">摘要（ZH）: </w:t>
      </w:r>
      <w:r>
        <w:t>摘要 超分子聚合为构筑结构精确且功能复杂的材料提供了一条强有力的途径；然而，实现可控的多组分组装与涌现功能仍是一项根本性挑战。在本研究中，我们证明了双脲基元之间亚甲基间隔基长度的微小变化能够编码肽两亲分子的自组装行为。Cy3和Cy5标记的肽经历成核-延伸驱动的组装，形成具有间隔基依赖的二级结构的纳米纤维。FRET和超分辨显微成像表明，相同的间隔基促进随机共组装，而即使只有一个亚甲基的不匹配也会诱导高保真自分选。预制纤维几乎不发生单体交换，表明其为非平衡组装体。利用这一特性，种子超分子聚合可制得分散度低且结构域空间分辨清晰的嵌段共聚物。此外，间隔基长度及其奇偶性可调控偶极排列，从而实现依赖间隔基长度的压电响应。总之，这些发现展示了微妙的分子设计参数如何作为分子线索来编程多组分超分子聚合，为设计区室化功能生物材料和超分子生物电子系统提供了新机遇。</w:t>
      </w:r>
    </w:p>
    <w:p>
      <w:pPr>
        <w:spacing w:before="0" w:after="200" w:lineRule="auto" w:line="276"/>
      </w:pPr>
      <w:r>
        <w:rPr>
          <w:b/>
        </w:rPr>
        <w:t xml:space="preserve">Abstract (EN): </w:t>
      </w:r>
      <w:r>
        <w:t>Supramolecular polymerization offers a powerful route to structurally precise and functionally complex materials; however, achieving controlled multicomponent assembly and emergent functionality remains a fundamental challenge. In this study, we show that minimal variations in methylene spacer length between bisurea motifs encode the self‐assembly behavior of peptide amphiphiles. Cy3‐ and Cy5‐labeled peptides undergo nucleation‐elongation‐driven assembly into nanofibers with spacer‐dependent secondary structures. FRET and super‐resolution microscopy reveal that identical spacers promote random co‐assembly, whereas even a single methylene mismatch induces high‐fidelity self‐sorting. Pre‐formed fibers exhibit negligible monomer exchange, indicating nonequilibrium assemblies. Leveraging this, seeded supramolecular polymerization affords well‐defined block copolymers with low dispersity and spatially resolved domains. Furthermore, spacer length and odd‐even parity modulate dipolar alignment, enabling spacer length‐dependent piezoresponse. Collectively, these findings demonstrate how subtle molecular design parameters act as a molecular cue to program multicomponent supramolecular polymerization, offering new opportunities for designing compartmentalized, functional biomaterials and supramolecular bioelectronic systems.</w:t>
      </w:r>
    </w:p>
    <w:p>
      <w:pPr>
        <w:spacing w:before="120" w:after="120"/>
      </w:pPr>
      <w:r>
        <w:rPr>
          <w:sz w:val="18"/>
        </w:rPr>
        <w:t>——————————————————————————————————————————————————————————————————————</w:t>
      </w:r>
    </w:p>
    <w:p>
      <w:pPr>
        <w:spacing w:before="160" w:after="40" w:line="240" w:lineRule="auto"/>
      </w:pPr>
      <w:r>
        <w:rPr>
          <w:b/>
        </w:rPr>
        <w:t xml:space="preserve">[844] </w:t>
      </w:r>
      <w:hyperlink r:id="rId1522">
        <w:r>
          <w:rPr>
            <w:color w:val="1155CC"/>
            <w:u w:val="single"/>
          </w:rPr>
          <w:t>位点特异性分子工程重定向自由基路径实现甲烷选择性光催化偶联制C 2+烃</w:t>
        </w:r>
      </w:hyperlink>
    </w:p>
    <w:p>
      <w:pPr>
        <w:spacing w:before="0" w:after="80"/>
      </w:pPr>
      <w:r>
        <w:rPr>
          <w:i/>
          <w:sz w:val="20"/>
        </w:rPr>
        <w:t>EN: Site‐Specific Molecular Engineering Redirects Radical Pathways for Selective Photocatalytic Coupling of Methane to C 2+ Hydrocarbons</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22">
        <w:r>
          <w:rPr>
            <w:color w:val="1155CC"/>
            <w:u w:val="single"/>
          </w:rPr>
          <w:t>10.1002/anie.6847901</w:t>
        </w:r>
      </w:hyperlink>
    </w:p>
    <w:p>
      <w:pPr>
        <w:spacing w:before="0" w:after="120"/>
      </w:pPr>
      <w:r>
        <w:rPr>
          <w:b/>
        </w:rPr>
        <w:t xml:space="preserve">Notes: </w:t>
      </w:r>
      <w:r>
        <w:t>abstract_source=crossref</w:t>
      </w:r>
    </w:p>
    <w:p>
      <w:pPr>
        <w:spacing w:before="0" w:after="80" w:lineRule="auto" w:line="276"/>
      </w:pPr>
      <w:r>
        <w:rPr>
          <w:b/>
        </w:rPr>
        <w:t xml:space="preserve">摘要（ZH）: </w:t>
      </w:r>
      <w:r>
        <w:t>摘要 面向碳中和目标，光驱动CH4氧化偶联制多碳产物（POCM）因活性-选择性权衡而仍是一项严峻挑战，其根源在于缓慢的表面反应动力学和不可控的活性自由基反应。本文将烷基硫醇（C9SH）位点特异性地接枝到负载于平面TiO2上的Au位点上，构筑了具有共价金-硫醇盐相互作用的典型C9S-Auδ+/Au/TiO2体系。实验与理论相结合的分析表明，共价Au-硫醇盐相互作用可调制界面电子结构并使Au位的d带中心上移，从而增强*CH3吸附并降低C─C偶联能垒，进而抑制由·O2−驱动的过度氧化。此外，重构的C9S-Auδ+位点可作为快速电子抽取通道，从邻近Au纳米颗粒中抽取电子，并保持长寿命的光生空穴用于C─H活化。同时，烷基链充当“分子栅栏”，有效促进局部CH4富集并稳定*CH3中间体。优化后的C9S-Auδ+/Au/TiO2光催化剂对C2+产物表现出22.92 mmol gcat−1 h−1的优异产率和93.9%的选择性，位居POCM领域最先进的贵金属负载光催化剂之列。本研究确立了位点特异性分子工程作为调控界面电荷再分布和重定向自由基偶联路径的有效策略，使CH4转化为多碳产物</w:t>
      </w:r>
    </w:p>
    <w:p>
      <w:pPr>
        <w:spacing w:before="0" w:after="200" w:lineRule="auto" w:line="276"/>
      </w:pPr>
      <w:r>
        <w:rPr>
          <w:b/>
        </w:rPr>
        <w:t xml:space="preserve">Abstract (EN): </w:t>
      </w:r>
      <w:r>
        <w:t>Toward carbon neutrality, multi‐carbon synthesis from photo‐driven oxidative coupling of CH 4 (POCM) remains a formidable challenge due to the activity‐selectivity trade‐off, originating from sluggish surface reaction kinetics and uncontrolled reactive radical reactions. Herein, alkyl thiols (C 9 SH) were site‑specifically grafted onto Au sites supported on planar TiO 2 , forming the archetypal C 9 S‐Au δ+ /Au/TiO 2 system featuring covalent gold‐thiolate interplay. Combined experimental and theoretical analyses revealed that covalent Au‐thiolate interaction could modulate the interfacial electronic structure and upshift the d ‑band center of Au sites, thereby strengthening *CH 3 adsorption and lowering the C─C coupling barrier, thus suppressing the · O 2 − ‐driven overoxidation. Moreover, the reconstructed C 9 S‐Au δ+ sites acted as rapid electron extraction channels, drawing electrons from adjacent Au nanoparticles and preserving long‐lived photogenerated holes for C─H activation. Meanwhile, the alkyl chains served as “molecular fences”, effectively promoting local CH 4 enrichment and stabilizing *CH 3 intermediates. The optimized C 9 S‐Au δ+ /Au/TiO 2 photocatalyst exhibited an excellent yield of 22.92 mmol g cat −1 h −1 for C 2+ products with 93.9% selectivity, ranking it among the state‐of‐the‐art noble‐metal‐loaded photocatalysts for POCM. This work establishes site‐specific molecular engineering as an effective strategy to regulate interfacial charge redistribution and redirect radical coupling pathways, enabling CH 4 conversion to multi‐carbon products with enhanced activity and selectivity simultaneously.</w:t>
      </w:r>
    </w:p>
    <w:p>
      <w:pPr>
        <w:spacing w:before="120" w:after="120"/>
      </w:pPr>
      <w:r>
        <w:rPr>
          <w:sz w:val="18"/>
        </w:rPr>
        <w:t>——————————————————————————————————————————————————————————————————————</w:t>
      </w:r>
    </w:p>
    <w:p>
      <w:pPr>
        <w:spacing w:before="160" w:after="40" w:line="240" w:lineRule="auto"/>
      </w:pPr>
      <w:r>
        <w:rPr>
          <w:b/>
        </w:rPr>
        <w:t xml:space="preserve">[845] </w:t>
      </w:r>
      <w:hyperlink r:id="rId1524">
        <w:r>
          <w:rPr>
            <w:color w:val="1155CC"/>
            <w:u w:val="single"/>
          </w:rPr>
          <w:t>用于增强二次谐波产生的手性三角锥形卤化锗</w:t>
        </w:r>
      </w:hyperlink>
    </w:p>
    <w:p>
      <w:pPr>
        <w:spacing w:before="0" w:after="80"/>
      </w:pPr>
      <w:r>
        <w:rPr>
          <w:i/>
          <w:sz w:val="20"/>
        </w:rPr>
        <w:t>EN: Chiral Trigonal Pyramidal Germanium Halides for Enhanced Second Harmonic Generation</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24">
        <w:r>
          <w:rPr>
            <w:color w:val="1155CC"/>
            <w:u w:val="single"/>
          </w:rPr>
          <w:t>10.1002/anie.8413238</w:t>
        </w:r>
      </w:hyperlink>
    </w:p>
    <w:p>
      <w:pPr>
        <w:spacing w:before="0" w:after="120"/>
      </w:pPr>
      <w:r>
        <w:rPr>
          <w:b/>
        </w:rPr>
        <w:t xml:space="preserve">Notes: </w:t>
      </w:r>
      <w:r>
        <w:t>abstract_source=crossref</w:t>
      </w:r>
    </w:p>
    <w:p>
      <w:pPr>
        <w:spacing w:before="0" w:after="80" w:lineRule="auto" w:line="276"/>
      </w:pPr>
      <w:r>
        <w:rPr>
          <w:b/>
        </w:rPr>
        <w:t xml:space="preserve">摘要（ZH）: </w:t>
      </w:r>
      <w:r>
        <w:t>摘要 手性有机-无机杂化金属卤化物是二阶非线性光学（NLO）材料的极具前景的候选者。然而，其NLO性能从根本上受限于传统赝八面体配位固有的有限结构极化。在本工作中，我们证明了利用高极性的三配位三角锥克服八面体笼的热力学限制的可行性，实现从对称六配位向离散结构的转变，从而增强二次谐波产生（SHG）。通过引入具有大位阻的手性R/S-1,2,3,4-四氢-1-萘胺（R/S-THNA）阳离子以及Ge2+ 4s2孤对固有的立体化学活性，我们合成了手性锗卤化物(R/S-THNA)GeX3（X = Br, I）。晶体学与拓扑分析证实次级Ge···X相互作用被完全断裂，生成了孤立的[GeX3]−生色团。此外，在跃迁偶极矩计算的指导下，通过混合卤素策略构筑了(R-THNA)GeI1.75Br1.25。单晶SHG测量表明，(R-THNA)GeI1.75Br1.25表现出卓越的响应，分别是(R-THNA)GeI3和(R-THNA)GeBr3晶体的1.66倍和9.44倍。在125–150 µm粒径下，(R-THNA)GeI1.75Br1.25的标准Kurtz–Perry测量显示其粉末SHG效率为KH2PO4的3.06倍，在手性锗卤化物中具有很强竞争力。本工作确立了一种合理</w:t>
      </w:r>
    </w:p>
    <w:p>
      <w:pPr>
        <w:spacing w:before="0" w:after="200" w:lineRule="auto" w:line="276"/>
      </w:pPr>
      <w:r>
        <w:rPr>
          <w:b/>
        </w:rPr>
        <w:t xml:space="preserve">Abstract (EN): </w:t>
      </w:r>
      <w:r>
        <w:t>Chiral organic–inorganic hybrid metal halides are highly promising candidates for second‐order nonlinear optical (NLO) materials. However, their NLO performance is fundamentally restricted by the limited structural polarization inherent to traditional pseudo‐octahedral coordination. In this work, we demonstrate the feasibility of using highly polar tricoordinate trigonal pyramids to overcome the thermodynamic constraints of the octahedral cages, enabling a structural shift from symmetric hexacoordination to discrete structures, thus enhancing second harmonic generation (SHG). By introducing the massive steric hindrance of the chiral R/S ‐1,2,3,4‐tetrahydro‐1‐naphthylamine ( R/S ‐THNA) cation with the intrinsic stereochemical activity of the Ge 2+ 4 s 2 lone pair, we synthesized chiral germanium halides, ( R/S ‐THNA)GeX 3 (X = Br, I). Crystallographic and topological analyses confirm the complete cleavage of secondary Ge···X interactions, yielding isolated [GeX 3 ] − chromophores. Furthermore, guided by transition dipole moment calculations, ( R ‐THNA)GeI 1.75 Br 1.25 was constructed via a mixed‐halide strategy. Single‐crystal SHG measurements reveal that ( R ‐THNA)GeI 1.75 Br 1.25 achieves an exceptional response, being 1.66 and 9.44 times those of ( R ‐THNA)GeI 3 and ( R ‐THNA)GeBr 3 crystals, respectively. Standard Kurtz–Perry measurements of ( R ‐THNA)GeI 1.75 Br 1.25 at a 125–150 µm particle size reveal a powder SHG efficiency of 3.06 times that of KH 2 PO 4 , representing a highly competitive value in chiral germanium halides. This work establishes a rational paradigm for designing high‐performance NLO materials through precise coordination tailoring.</w:t>
      </w:r>
    </w:p>
    <w:p>
      <w:pPr>
        <w:spacing w:before="120" w:after="120"/>
      </w:pPr>
      <w:r>
        <w:rPr>
          <w:sz w:val="18"/>
        </w:rPr>
        <w:t>——————————————————————————————————————————————————————————————————————</w:t>
      </w:r>
    </w:p>
    <w:p>
      <w:pPr>
        <w:spacing w:before="160" w:after="40" w:line="240" w:lineRule="auto"/>
      </w:pPr>
      <w:r>
        <w:rPr>
          <w:b/>
        </w:rPr>
        <w:t xml:space="preserve">[846] </w:t>
      </w:r>
      <w:hyperlink r:id="rId1526">
        <w:r>
          <w:rPr>
            <w:color w:val="1155CC"/>
            <w:u w:val="single"/>
          </w:rPr>
          <w:t>通过催化配位诱导的不对称加成实现对环芳炔的去对称化氢酰氧基化</w:t>
        </w:r>
      </w:hyperlink>
    </w:p>
    <w:p>
      <w:pPr>
        <w:spacing w:before="0" w:after="80"/>
      </w:pPr>
      <w:r>
        <w:rPr>
          <w:i/>
          <w:sz w:val="20"/>
        </w:rPr>
        <w:t>EN: Desymmetric Hydroacyloxylation of Paracyclophyne by Catalytic Coordination‐Induced Asymmetric Addition</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26">
        <w:r>
          <w:rPr>
            <w:color w:val="1155CC"/>
            <w:u w:val="single"/>
          </w:rPr>
          <w:t>10.1002/anie.1803920</w:t>
        </w:r>
      </w:hyperlink>
    </w:p>
    <w:p>
      <w:pPr>
        <w:spacing w:before="0" w:after="120"/>
      </w:pPr>
      <w:r>
        <w:rPr>
          <w:b/>
        </w:rPr>
        <w:t xml:space="preserve">Notes: </w:t>
      </w:r>
      <w:r>
        <w:t>abstract_source=crossref</w:t>
      </w:r>
    </w:p>
    <w:p>
      <w:pPr>
        <w:spacing w:before="0" w:after="80" w:lineRule="auto" w:line="276"/>
      </w:pPr>
      <w:r>
        <w:rPr>
          <w:b/>
        </w:rPr>
        <w:t xml:space="preserve">摘要（ZH）: </w:t>
      </w:r>
      <w:r>
        <w:t>摘要 芳炔是高活性、瞬态且电中性的中间体。在不对称催化中对这些物种进行立体选择性操控仍是一项重大挑战。在本研究中，我们报道了一种对芳环炔中间体的新型催化铜(I)络合诱导的不对称加成模式。羧酸盐对芳环炔的直接加成是一种快速的释放张力反应，通常生成外消旋产物。在引入催化量的手性铜(I)配合物后，开发出一种前所未有的立体收敛性酰氧羟基化反应，以高产率和优异的对映选择性得到平面手性[2.2]对环蕃酯。所得加成产物可通过Fries重排或Friedel–Crafts反应轻松转化为多种官能化羟基-[2.2]对环蕃。这些是构建官能化平面手性[2.2]对环蕃（PCP）衍生物的宝贵合成砌块，而目前的制备仍严重依赖制备型HPLC或经典化学/动力学拆分方法。对照实验和DFT计算表明，铜(I)络合稳定了活性芳炔中间体，并通过六元环过渡态促进了随后的不对称亲核加成。</w:t>
      </w:r>
    </w:p>
    <w:p>
      <w:pPr>
        <w:spacing w:before="0" w:after="200" w:lineRule="auto" w:line="276"/>
      </w:pPr>
      <w:r>
        <w:rPr>
          <w:b/>
        </w:rPr>
        <w:t xml:space="preserve">Abstract (EN): </w:t>
      </w:r>
      <w:r>
        <w:t>Strained arynes are highly reactive, transient, and neutral intermediates. Stereoselective manipulation of these species in asymmetric catalysis remains a significant challenge. In this study, we reported a new catalytic copper(I) complexation induced asymmetric addition mode on paracyclophyne intermediate. The direct addition of carboxylates to paracyclophynes is a fast, strain‐releasing reaction that typically leads to racemic products. Upon the introduction of a catalytic amount of a chiral copper(I) complex, an unprecedented stereoconvergent hydroacyloxylation reaction was developed, affording planar chiral [2.2]paracyclophane esters in high yields with excellent enantioselectivity. The resulting addition products can be readily transformed into a variety of functionalized hydroxyl‐[2.2]paracyclophanes via Fries rearrangement or Friedel–Crafts reactions. These are valuable synthetic building blocks for the construction of functionalized planar chiral [2.2]paracyclophane (PCP) derivatives, which currently rely heavily on preparative HPLC or classical chemical/kinetic resolution methods. Control experiments and DFT calculations reveal that copper(I) complexation stabilizes the reactive aryne intermediate and promotes the subsequent asymmetric nucleophilic addition via a six‐membered ring transition state.</w:t>
      </w:r>
    </w:p>
    <w:p>
      <w:pPr>
        <w:spacing w:before="120" w:after="120"/>
      </w:pPr>
      <w:r>
        <w:rPr>
          <w:sz w:val="18"/>
        </w:rPr>
        <w:t>——————————————————————————————————————————————————————————————————————</w:t>
      </w:r>
    </w:p>
    <w:p>
      <w:pPr>
        <w:spacing w:before="160" w:after="40" w:line="240" w:lineRule="auto"/>
      </w:pPr>
      <w:r>
        <w:rPr>
          <w:b/>
        </w:rPr>
        <w:t xml:space="preserve">[847] </w:t>
      </w:r>
      <w:hyperlink r:id="rId1490">
        <w:r>
          <w:rPr>
            <w:color w:val="1155CC"/>
            <w:u w:val="single"/>
          </w:rPr>
          <w:t>通过去对称化还原胺化催化对映选择性合成上缘功能化的固有手性杯[4]芳烃</w:t>
        </w:r>
      </w:hyperlink>
    </w:p>
    <w:p>
      <w:pPr>
        <w:spacing w:before="0" w:after="80"/>
      </w:pPr>
      <w:r>
        <w:rPr>
          <w:i/>
          <w:sz w:val="20"/>
        </w:rPr>
        <w:t>EN: Catalytic Enantioselective Synthesis of Upper‐rim‐Functionalized Inherently Chiral Calix[4]arenes Through Desymmetrizing Reductive Amination</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490">
        <w:r>
          <w:rPr>
            <w:color w:val="1155CC"/>
            <w:u w:val="single"/>
          </w:rPr>
          <w:t>10.1002/anie.7517064</w:t>
        </w:r>
      </w:hyperlink>
    </w:p>
    <w:p>
      <w:pPr>
        <w:spacing w:before="0" w:after="120"/>
      </w:pPr>
      <w:r>
        <w:rPr>
          <w:b/>
        </w:rPr>
        <w:t xml:space="preserve">Notes: </w:t>
      </w:r>
      <w:r>
        <w:t>abstract_source=crossref</w:t>
      </w:r>
    </w:p>
    <w:p>
      <w:pPr>
        <w:spacing w:before="0" w:after="80" w:lineRule="auto" w:line="276"/>
      </w:pPr>
      <w:r>
        <w:rPr>
          <w:b/>
        </w:rPr>
        <w:t xml:space="preserve">摘要（ZH）: </w:t>
      </w:r>
      <w:r>
        <w:t>摘要 固有手性杯[4]芳烃（ICCs）是一类手性大环化合物，其手性源于取代基在刚性锥构象中的不对称分布。尽管这类体系的固有手性早已被认识，但这些结构引人入胜的框架的对映选择性合成，尤其是非间位型ICCs，仍待深入探索。在本工作中，我们报道了一种通过去对称化策略不对称合成ABCD型和ABCC型ICCs的通用方法。两类二氨基取代的前手性杯[4]芳烃通过手性磷酸催化与各种醛的还原胺化反应实现高效去对称化，可耐受广泛的上缘取代，以高对映选择性获得带有多种官能团的ABCD型和ABCC型ICCs。对照实验表明，该反应经由连续的对映选择性去对称化和动力学拆分进行，其中亚胺的还原被确定为决定对映选择性的步骤。我们还对ICCs产物进行了多种衍生化，包括三个涉及ICCs二聚化的代表性实例。此外，我们展示了将这些不对称合成与衍生化方法相结合，可实现ABCD型ICCs全部六种可能立体异构体的不对称合成。进一步地，将荧光基团引入这些固有手性框架，获得了具有良好光物理和手性光学性质的ICCs衍生物，进一步凸显了其潜力</w:t>
      </w:r>
    </w:p>
    <w:p>
      <w:pPr>
        <w:spacing w:before="0" w:after="200" w:lineRule="auto" w:line="276"/>
      </w:pPr>
      <w:r>
        <w:rPr>
          <w:b/>
        </w:rPr>
        <w:t xml:space="preserve">Abstract (EN): </w:t>
      </w:r>
      <w:r>
        <w:t>Inherently chiral calix[4]arenes (ICCs) are chiral macrocyclic compounds whose chirality arises from the asymmetric distribution of substituents in their rigid cone conformations. Although inherent chirality in these systems has long been recognized, the enantioselective synthesis of these structurally intriguing frameworks, especially non‐meta‐type ICCs, remains underexplored. In this work, we report a versatile method for the asymmetric synthesis of both ABCD‐ and ABCC‐type ICCs via an enantioselective desymmetrization strategy. Two classes of diamino‐substituted prochiral calix[4]arenes were efficiently desymmetrized through chiral phosphoric acid‐catalyzed reductive amination with various aldehydes, tolerating a broad range of upper‐rim substitutions and affording both ABCD‐ and ABCC‐type ICCs bearing diverse functional groups with high enantioselectivities. Control experiments suggest that the reaction proceeds via sequential enantioselective desymmetrization and kinetic resolution, with reduction of the imine identified as the enantiodetermining step. Various derivatizations of the ICC products were also performed, including three notable examples involving dimerization of ICCs. Moreover, we demonstrate that combining these asymmetric synthetic and derivatization methods could enable the asymmetric synthesis of all six possible stereoisomers of the ABCD‐type ICCs. Furthermore, incorporation of fluorophore groups into these inherently chiral frameworks furnished ICC derivatives with promising photophysical and chiroptical properties, further underscoring the potential of this methodology.</w:t>
      </w:r>
    </w:p>
    <w:p>
      <w:pPr>
        <w:spacing w:before="120" w:after="120"/>
      </w:pPr>
      <w:r>
        <w:rPr>
          <w:sz w:val="18"/>
        </w:rPr>
        <w:t>——————————————————————————————————————————————————————————————————————</w:t>
      </w:r>
    </w:p>
    <w:p>
      <w:pPr>
        <w:spacing w:before="160" w:after="40" w:line="240" w:lineRule="auto"/>
      </w:pPr>
      <w:r>
        <w:rPr>
          <w:b/>
        </w:rPr>
        <w:t xml:space="preserve">[848] </w:t>
      </w:r>
      <w:hyperlink r:id="rId1492">
        <w:r>
          <w:rPr>
            <w:color w:val="1155CC"/>
            <w:u w:val="single"/>
          </w:rPr>
          <w:t>具有巨大双折射的有机金属硫属化合物薄膜</w:t>
        </w:r>
      </w:hyperlink>
    </w:p>
    <w:p>
      <w:pPr>
        <w:spacing w:before="0" w:after="80"/>
      </w:pPr>
      <w:r>
        <w:rPr>
          <w:i/>
          <w:sz w:val="20"/>
        </w:rPr>
        <w:t>EN: Organic Metal Chalcogenide Films With Giant Birefringence</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492">
        <w:r>
          <w:rPr>
            <w:color w:val="1155CC"/>
            <w:u w:val="single"/>
          </w:rPr>
          <w:t>10.1002/anie.9163811</w:t>
        </w:r>
      </w:hyperlink>
    </w:p>
    <w:p>
      <w:pPr>
        <w:spacing w:before="0" w:after="120"/>
      </w:pPr>
      <w:r>
        <w:rPr>
          <w:b/>
        </w:rPr>
        <w:t xml:space="preserve">Notes: </w:t>
      </w:r>
      <w:r>
        <w:t>abstract_source=crossref</w:t>
      </w:r>
    </w:p>
    <w:p>
      <w:pPr>
        <w:spacing w:before="0" w:after="80" w:lineRule="auto" w:line="276"/>
      </w:pPr>
      <w:r>
        <w:rPr>
          <w:b/>
        </w:rPr>
        <w:t xml:space="preserve">摘要（ZH）: </w:t>
      </w:r>
      <w:r>
        <w:t>摘要 双折射薄膜因其优异的可加工性与无缝的衬底兼容性，成为集成光子系统的有力候选材料。然而，双折射薄膜通常仅能保持体块晶体性能的约20%，因此薄膜双折射值很少超过0.1。为解决这一局限，我们引入了一种二维范德华（2D-vDW）有机金属硫属化物（OMC）PbHBT（HBT = 4-巯基苯酚），其具有无机PbS与有机Ph-OH配体交替排列的“分子尺度超晶格”。PbHBT晶体在546 nm处双折射为0.39。通过经济高效的原位逐层（LBL）旋涂液相外延（LPE）方法，制备了纳米级厚度可控、高取向的PbHBT薄膜。该薄膜在546 nm处双折射为0.3，保持了体块晶体双折射的77%。重要的是，PbHBT薄膜在可见光谱区实现0.65、在近红外区实现0.43的双折射，是双折射薄膜迄今达到的最高值。这种优异的双折射性能源于PbHBT不同晶面电子云密度的各向异性以及成膜后晶粒取向的高度一致性。这项工作为具有大固有双折射和高保持率的薄膜双折射材料开辟了道路，弥合了体块与薄膜之间的性能差距。</w:t>
      </w:r>
    </w:p>
    <w:p>
      <w:pPr>
        <w:spacing w:before="0" w:after="200" w:lineRule="auto" w:line="276"/>
      </w:pPr>
      <w:r>
        <w:rPr>
          <w:b/>
        </w:rPr>
        <w:t xml:space="preserve">Abstract (EN): </w:t>
      </w:r>
      <w:r>
        <w:t>Birefringent films emerge as a compelling candidate for integrated photonic systems, gracefully balancing superior processability with seamless substrate compatibility. However, birefringent films typically retain only ∼20% of bulk crystal performance, which consequently limits film‐based birefringence to values rarely exceeding 0.1. To address this limitation, we introduce a two‐dimensional van der Waals (2D‐vDW) organic metal chalcogenide (OMC) PbHBT (HBT = 4‐mercaptophenol), featuring “molecular‐scale superlattices” of alternating inorganic PbS and organic Ph‐OH ligands. PbHBT crystal exhibits a birefringence of 0.39@546 nm. A nanoscale thickness‐controllable, highly oriented PbHBT film was prepared through an economical in situ layer‐by‐layer (LBL) spin‐coating liquid‐phase epitaxy (LPE) approach. The birefringence of the PbHBT film is 0.3 at 546 nm, maintaining 77% of the birefringence of its bulk crystal. Importantly, the PbHBT film achieves a birefringence of 0.65 in the visible spectrum and 0.43 in the near‐infrared, which are the highest notes ever achieved by a birefringent film. This excellent birefringence performance stems from the anisotropy of the electron cloud density of different crystal planes of the PbHBT and the high consistency of grain orientation after being fabricated into a film. This work opens avenues for thin‐film birefringent materials with large intrinsic birefringence and high retention, bridging the bulk‐film performance gap.</w:t>
      </w:r>
    </w:p>
    <w:p>
      <w:pPr>
        <w:spacing w:before="120" w:after="120"/>
      </w:pPr>
      <w:r>
        <w:rPr>
          <w:sz w:val="18"/>
        </w:rPr>
        <w:t>——————————————————————————————————————————————————————————————————————</w:t>
      </w:r>
    </w:p>
    <w:p>
      <w:pPr>
        <w:spacing w:before="160" w:after="40" w:line="240" w:lineRule="auto"/>
      </w:pPr>
      <w:r>
        <w:rPr>
          <w:b/>
        </w:rPr>
        <w:t xml:space="preserve">[849] </w:t>
      </w:r>
      <w:hyperlink r:id="rId1520">
        <w:r>
          <w:rPr>
            <w:color w:val="1155CC"/>
            <w:u w:val="single"/>
          </w:rPr>
          <w:t>变革性的掩蔽邻苯醌化学：从愈创木酚直接活化到木质素基胶粘剂</w:t>
        </w:r>
      </w:hyperlink>
    </w:p>
    <w:p>
      <w:pPr>
        <w:spacing w:before="0" w:after="80"/>
      </w:pPr>
      <w:r>
        <w:rPr>
          <w:i/>
          <w:sz w:val="20"/>
        </w:rPr>
        <w:t>EN: Transformative Masked Ortho‐Quinone Chemistry: From Direct Guaiacol Activation to Lignin‐Based Adhesives</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20">
        <w:r>
          <w:rPr>
            <w:color w:val="1155CC"/>
            <w:u w:val="single"/>
          </w:rPr>
          <w:t>10.1002/anie.5604332</w:t>
        </w:r>
      </w:hyperlink>
    </w:p>
    <w:p>
      <w:pPr>
        <w:spacing w:before="0" w:after="120"/>
      </w:pPr>
      <w:r>
        <w:rPr>
          <w:b/>
        </w:rPr>
        <w:t xml:space="preserve">Notes: </w:t>
      </w:r>
      <w:r>
        <w:t>abstract_source=crossref</w:t>
      </w:r>
    </w:p>
    <w:p>
      <w:pPr>
        <w:spacing w:before="0" w:after="80" w:lineRule="auto" w:line="276"/>
      </w:pPr>
      <w:r>
        <w:rPr>
          <w:b/>
        </w:rPr>
        <w:t xml:space="preserve">摘要（ZH）: </w:t>
      </w:r>
      <w:r>
        <w:t>摘要 愈创木酚结构单元（1-羟基-2-甲氧基苯）是可再生生物酚类原料中最丰富的结构基元之一，通过生物炼制增值可成为来自软木木质素的潜在工业级原料流。在此，我们引入了掩蔽邻醌（MoQs）的转化化学，生成高活性愈创木酚衍生物，以构筑硫醇-愈创木酚连接（TGC）聚合物。苯基碘(III)二乙酸酯（PIDA）可在室温下数分钟内将愈创木酚氧化为化学纯的MoQs，生成活化的三愈创木酚单体，随后与多硫醇发生硫醇-MoQ迈克尔型加聚。这种本体聚合得到TGC胶粘剂，其搭接剪切强度高达16.9 ± 0.9 MPa，达到专业应用水平。该稳健策略还可直接活化工业木质素，生成可固化的多MoQ预聚物，粘接铝材的搭接剪切强度为9.1 ± 0.7 MPa，使MoQs成为连接木质素与高性能材料的可持续平台化学。</w:t>
      </w:r>
    </w:p>
    <w:p>
      <w:pPr>
        <w:spacing w:before="0" w:after="200" w:lineRule="auto" w:line="276"/>
      </w:pPr>
      <w:r>
        <w:rPr>
          <w:b/>
        </w:rPr>
        <w:t xml:space="preserve">Abstract (EN): </w:t>
      </w:r>
      <w:r>
        <w:t>Guaiacol moieties (1‐hydroxy‐2‐methoxy‐benzenes) are among the most abundant structural motifs in renewable biophenolic feedstocks, representing a potential industrial‐scale stream from softwood lignin through biorefinery valorization. Here, the transformative chemistry of masked ortho‐quinones (MoQs) is introduced, yielding reactive guaiacol derivatives to enable thiol‐guaiacol connectivity (TGC) polymers. Phenyliodine(III)diacetate (PIDA) oxidizes guaiacols to chemically pure MoQs within minutes at room temperature, generating activated triguaiacol monomers that undergo thiol‐MoQ Michael‐type polyaddition with multithiols. This bulk polymerization leads to TGC‐adhesives, reaching professional performance lap‐shear strengths up to 16.9 ± 0.9 MPa. The robust strategy is extended to directly activate technical lignin, generating curable multi‐MoQ prepolymers which bond aluminum with lap‐shear strengths of 9.1 ± 0.7 MPa, positioning MoQs as a sustainable platform chemistry to bridge from lignin to high‐performance materials.</w:t>
      </w:r>
    </w:p>
    <w:p>
      <w:pPr>
        <w:spacing w:before="120" w:after="120"/>
      </w:pPr>
      <w:r>
        <w:rPr>
          <w:sz w:val="18"/>
        </w:rPr>
        <w:t>——————————————————————————————————————————————————————————————————————</w:t>
      </w:r>
    </w:p>
    <w:p>
      <w:pPr>
        <w:spacing w:before="160" w:after="40" w:line="240" w:lineRule="auto"/>
      </w:pPr>
      <w:r>
        <w:rPr>
          <w:b/>
        </w:rPr>
        <w:t xml:space="preserve">[850] </w:t>
      </w:r>
      <w:hyperlink r:id="rId1414">
        <w:r>
          <w:rPr>
            <w:color w:val="1155CC"/>
            <w:u w:val="single"/>
          </w:rPr>
          <w:t>用于机械变色光学与触觉感知的自修复且环境稳定的超分子液晶凝胶</w:t>
        </w:r>
      </w:hyperlink>
    </w:p>
    <w:p>
      <w:pPr>
        <w:spacing w:before="0" w:after="80"/>
      </w:pPr>
      <w:r>
        <w:rPr>
          <w:i/>
          <w:sz w:val="20"/>
        </w:rPr>
        <w:t>EN: Self‐Healing and Environmentally Stable Supramolecular Liquid Crystalline Gels for Mechanochromic Optics and Tactile Sensing</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1414">
        <w:r>
          <w:rPr>
            <w:color w:val="1155CC"/>
            <w:u w:val="single"/>
          </w:rPr>
          <w:t>10.1002/adma.74899</w:t>
        </w:r>
      </w:hyperlink>
    </w:p>
    <w:p>
      <w:pPr>
        <w:spacing w:before="0" w:after="120"/>
      </w:pPr>
      <w:r>
        <w:rPr>
          <w:b/>
        </w:rPr>
        <w:t xml:space="preserve">Notes: </w:t>
      </w:r>
      <w:r>
        <w:t>abstract_source=crossref</w:t>
      </w:r>
    </w:p>
    <w:p>
      <w:pPr>
        <w:spacing w:before="0" w:after="80" w:lineRule="auto" w:line="276"/>
      </w:pPr>
      <w:r>
        <w:rPr>
          <w:b/>
        </w:rPr>
        <w:t xml:space="preserve">摘要（ZH）: </w:t>
      </w:r>
      <w:r>
        <w:t>摘要 力致变色材料在防伪、信息加密和智能传感领域具有广阔的应用前景。然而，现有材料在实现宽变色范围、稳健的动态网络以及环境适应性方面长期面临挑战。本文通过液晶分子与丙烯酸酯共聚物之间偶极-π和π-π相互作用的协同效应，构建了三维动态交联网络。所得超分子液晶凝胶（SLCG）通过超分子相互作用的解离表现出宽范围的干涉色变化和优异的力学性能。同时，精心设计的动态网络赋予SLCG自恢复、可回收和自修复能力。SLCG还能有效屏蔽不利环境影响，使其在宽温度范围内和水下均保持稳定的力致变色性能。随后，SLCG可作为智能平台应用于信息加密、按需显示和可视化触觉传感系统。这项工作为高性能力致变色材料的开发及其在下一代智能应用中的集成铺平了道路。</w:t>
      </w:r>
    </w:p>
    <w:p>
      <w:pPr>
        <w:spacing w:before="0" w:after="200" w:lineRule="auto" w:line="276"/>
      </w:pPr>
      <w:r>
        <w:rPr>
          <w:b/>
        </w:rPr>
        <w:t xml:space="preserve">Abstract (EN): </w:t>
      </w:r>
      <w:r>
        <w:t>Mechanochromic materials hold great promise for applications in anti‐counterfeiting, information encryption, and intelligent sensing. However, existing materials face long‐term challenges in achieving a wide color‐changing range, a robust dynamic network, and environmental adaptability. Herein, we constructed a 3D dynamic cross‐linked network through the synergistic effect of dipole–π and π–π interactions between liquid crystal molecules and acrylate copolymers. The resulting supramolecular liquid crystalline gel (SLCG) exhibited a wide range of interference color changes and excellent mechanical properties through the dissociation of supramolecular interactions. Meanwhile, the well‐designed dynamic network endowed the SLCG with self‐recovery, recycling, and self‐healing abilities. The SLCG can also effectively shield against adverse environmental effects, enabling stable mechanochromic performance across a broad temperature range and underwater. Subsequently, the SLCG can serve as an intelligent platform for applications in information encryption, on‐demand display, and visualized tactile sensing systems. This work paves the way for the development of high‐performance mechanochromic materials and their integration into next‐generation intelligent applications.</w:t>
      </w:r>
    </w:p>
    <w:p>
      <w:pPr>
        <w:spacing w:before="120" w:after="120"/>
      </w:pPr>
      <w:r>
        <w:rPr>
          <w:sz w:val="18"/>
        </w:rPr>
        <w:t>——————————————————————————————————————————————————————————————————————</w:t>
      </w:r>
    </w:p>
    <w:p>
      <w:pPr>
        <w:spacing w:before="160" w:after="40" w:line="240" w:lineRule="auto"/>
      </w:pPr>
      <w:r>
        <w:rPr>
          <w:b/>
        </w:rPr>
        <w:t xml:space="preserve">[851] </w:t>
      </w:r>
      <w:hyperlink r:id="rId215">
        <w:r>
          <w:rPr>
            <w:color w:val="1155CC"/>
            <w:u w:val="single"/>
          </w:rPr>
          <w:t>柔性醚氧基共价有机框架的电子调控用于高效氧还原反应 (Adv. Mater. 49/2026)</w:t>
        </w:r>
      </w:hyperlink>
    </w:p>
    <w:p>
      <w:pPr>
        <w:spacing w:before="0" w:after="80"/>
      </w:pPr>
      <w:r>
        <w:rPr>
          <w:i/>
          <w:sz w:val="20"/>
        </w:rPr>
        <w:t>EN: Electronic Modulation of Flexible Ether Oxygen‐Based Covalent Organic Frameworks for Efficient Oxygen Reduction Reaction (Adv. Mater. 49/2026)</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215">
        <w:r>
          <w:rPr>
            <w:color w:val="1155CC"/>
            <w:u w:val="single"/>
          </w:rPr>
          <w:t>10.1002/adma.74795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[852] </w:t>
      </w:r>
      <w:hyperlink r:id="rId1416">
        <w:r>
          <w:rPr>
            <w:color w:val="1155CC"/>
            <w:u w:val="single"/>
          </w:rPr>
          <w:t>2D铁磁体Fe 3 GaTe 2中通过集体自旋织构转变运行的室温斯格明子突触 (Adv. Mater. 49/2026)</w:t>
        </w:r>
      </w:hyperlink>
    </w:p>
    <w:p>
      <w:pPr>
        <w:spacing w:before="0" w:after="80"/>
      </w:pPr>
      <w:r>
        <w:rPr>
          <w:i/>
          <w:sz w:val="20"/>
        </w:rPr>
        <w:t>EN: Room‐Temperature Skyrmionic Synapse in 2D Ferromagnet Fe 3 GaTe 2 Operating via Collective Spin Texture Transformation (Adv. Mater. 49/2026)</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1416">
        <w:r>
          <w:rPr>
            <w:color w:val="1155CC"/>
            <w:u w:val="single"/>
          </w:rPr>
          <w:t>10.1002/adma.74794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[853] </w:t>
      </w:r>
      <w:hyperlink r:id="rId1420">
        <w:r>
          <w:rPr>
            <w:color w:val="1155CC"/>
            <w:u w:val="single"/>
          </w:rPr>
          <w:t>针对间歇性缺氧与牙周炎所致认知障碍的机理驱动型纳米制剂 (Adv. Mater. 49/2026)</w:t>
        </w:r>
      </w:hyperlink>
    </w:p>
    <w:p>
      <w:pPr>
        <w:spacing w:before="0" w:after="80"/>
      </w:pPr>
      <w:r>
        <w:rPr>
          <w:i/>
          <w:sz w:val="20"/>
        </w:rPr>
        <w:t>EN: Mechanism‐Driven Nanoformulations for Cognitive Impairment Induced by Intermittent Hypoxia and Periodontitis (Adv. Mater. 49/2026)</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1420">
        <w:r>
          <w:rPr>
            <w:color w:val="1155CC"/>
            <w:u w:val="single"/>
          </w:rPr>
          <w:t>10.1002/adma.74796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[854] </w:t>
      </w:r>
      <w:hyperlink r:id="rId1432">
        <w:r>
          <w:rPr>
            <w:color w:val="1155CC"/>
            <w:u w:val="single"/>
          </w:rPr>
          <w:t>单分子与一维范德华磁体的纳米管封装：限域调控磁性</w:t>
        </w:r>
      </w:hyperlink>
    </w:p>
    <w:p>
      <w:pPr>
        <w:spacing w:before="0" w:after="80"/>
      </w:pPr>
      <w:r>
        <w:rPr>
          <w:i/>
          <w:sz w:val="20"/>
        </w:rPr>
        <w:t>EN: Nanotube Encapsulation of Single‐Molecule and 1D van der Waals Magnets: Confinement‐Tuned Magnetism</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1432">
        <w:r>
          <w:rPr>
            <w:color w:val="1155CC"/>
            <w:u w:val="single"/>
          </w:rPr>
          <w:t>10.1002/adma.74808</w:t>
        </w:r>
      </w:hyperlink>
    </w:p>
    <w:p>
      <w:pPr>
        <w:spacing w:before="0" w:after="120"/>
      </w:pPr>
      <w:r>
        <w:rPr>
          <w:b/>
        </w:rPr>
        <w:t xml:space="preserve">Notes: </w:t>
      </w:r>
      <w:r>
        <w:t>abstract_source=crossref</w:t>
      </w:r>
    </w:p>
    <w:p>
      <w:pPr>
        <w:spacing w:before="0" w:after="80" w:lineRule="auto" w:line="276"/>
      </w:pPr>
      <w:r>
        <w:rPr>
          <w:b/>
        </w:rPr>
        <w:t xml:space="preserve">摘要（ZH）: </w:t>
      </w:r>
      <w:r>
        <w:t>摘要 单分子磁体（SMMs）和低维范德华（vdW）磁体在量子技术、自旋电子学和数据存储方面具有广阔前景，但其在实际器件中的集成常常受到化学反应活性、聚集或加工过程中磁功能丧失的阻碍。将其封装于碳纳米管（CNTs）和氮化硼纳米管（BNNTs）中已成为一种多功能策略，可在原子尺度上保护、隔离、排列这些脆弱的磁性物种并实现其电子学寻址。本综述全面概述了封装磁性材料，重点聚焦两个相互关联的主题：分子磁体和一维（1D）vdW磁性异质结构。我们探讨了支配纳米管封装的基本原理，对比了金属/半导体性CNTs与绝缘BNNTs中截然不同的主-客体相互作用。基础研究表明，从Mn12醋酸盐和TbPc2到内嵌金属富勒烯以及金属有机DyCp3的SMMs在封装后仍保持其磁双稳态，限域效应有时还能延长弛豫时间并抑制量子隧穿。与此并行的进展使人们能够合成常规方法无法获得的真正1D vdW磁性材料，包括三卤化过渡金属链（CrX3、VX3）、二卤化链（CrX2）和复杂碲化物（VxTey），其磁性基态（如铁磁、反铁磁或自旋玻璃态）可通过纳米管直径和电荷转移进行调控。谱学特征o</w:t>
      </w:r>
    </w:p>
    <w:p>
      <w:pPr>
        <w:spacing w:before="0" w:after="200" w:lineRule="auto" w:line="276"/>
      </w:pPr>
      <w:r>
        <w:rPr>
          <w:b/>
        </w:rPr>
        <w:t xml:space="preserve">Abstract (EN): </w:t>
      </w:r>
      <w:r>
        <w:t>Single‐molecule magnets (SMMs) and low‐dimensional van der Waals (vdW) magnets are highly promising for quantum technologies, spintronics, and data storage, yet their integration into practical devices is frequently impeded by chemical reactivity, aggregation, or loss of magnetic function during processing. Encapsulation within carbon nanotubes (CNTs) and boron nitride nanotubes (BNNTs) has emerged as a versatile strategy to protect, isolate, align, and electronically address these fragile magnetic species at the atomic scale. This review provides a comprehensive overview of encapsulated magnetic materials, focusing on two interconnected themes: molecular magnets and one‐dimensional (1D vdW magnetic heterostructures. We examine the fundamental principles governing nanotube encapsulation, contrasting the distinct host‐guest interactions in metallic/semiconducting CNTs versus insulating BNNTs. Foundational studies demonstrate that SMMs from Mn 12 acetate and TbPc 2 to endohedral metallofullerenes and organometallic DyCp 3 retain their magnetic bistability upon encapsulation, with confinement sometimes enhancing relaxation times and suppressing quantum tunneling. Parallel advances have enabled the synthesis of truly 1D 1D vdW magnetic materials inaccessible by conventional means, including transition metal trihalide chains (CrX 3 , VX 3 ), dihalide chains (CrX 2 ), and complex tellurides (V x Te y ), whose magnetic ground states such as ferromagnetic, antiferromagnetic, or spin glass are tunable through nanotube diameter and charge transfer. Spectroscopic signatures of host‐guest interactions, magnetic properties, and emerging applications in spintronics, quantum information, and biomedical imaging are critically assessed. We conclude by identifying key challenges such as synthetic control, scalability, and device integration that must be overcome to realize the technological potential of these remarkable magnetic heterostructures.</w:t>
      </w:r>
    </w:p>
    <w:p>
      <w:pPr>
        <w:spacing w:before="120" w:after="120"/>
      </w:pPr>
      <w:r>
        <w:rPr>
          <w:sz w:val="18"/>
        </w:rPr>
        <w:t>——————————————————————————————————————————————————————————————————————</w:t>
      </w:r>
    </w:p>
    <w:p>
      <w:pPr>
        <w:spacing w:before="160" w:after="40" w:line="240" w:lineRule="auto"/>
      </w:pPr>
      <w:r>
        <w:rPr>
          <w:b/>
        </w:rPr>
        <w:t xml:space="preserve">[855] </w:t>
      </w:r>
      <w:hyperlink r:id="rId1422">
        <w:r>
          <w:rPr>
            <w:color w:val="1155CC"/>
            <w:u w:val="single"/>
          </w:rPr>
          <w:t>用于重塑骨质疏松性骨缺损感染再生微环境的多功能仿生特洛伊木马纳米系统</w:t>
        </w:r>
      </w:hyperlink>
    </w:p>
    <w:p>
      <w:pPr>
        <w:spacing w:before="0" w:after="80"/>
      </w:pPr>
      <w:r>
        <w:rPr>
          <w:i/>
          <w:sz w:val="20"/>
        </w:rPr>
        <w:t>EN: Multifunctional Biomimetic Trojan Horse Nanosystem for Remodeling Infected Regenerative Microenvironments in Osteoporotic Bone Defects</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1422">
        <w:r>
          <w:rPr>
            <w:color w:val="1155CC"/>
            <w:u w:val="single"/>
          </w:rPr>
          <w:t>10.1002/adma.74669</w:t>
        </w:r>
      </w:hyperlink>
    </w:p>
    <w:p>
      <w:pPr>
        <w:spacing w:before="0" w:after="120"/>
      </w:pPr>
      <w:r>
        <w:rPr>
          <w:b/>
        </w:rPr>
        <w:t xml:space="preserve">Notes: </w:t>
      </w:r>
      <w:r>
        <w:t>abstract_source=crossref</w:t>
      </w:r>
    </w:p>
    <w:p>
      <w:pPr>
        <w:spacing w:before="0" w:after="80" w:lineRule="auto" w:line="276"/>
      </w:pPr>
      <w:r>
        <w:rPr>
          <w:b/>
        </w:rPr>
        <w:t xml:space="preserve">摘要（ZH）: </w:t>
      </w:r>
      <w:r>
        <w:t>摘要 感染是骨质疏松性骨折最常见的并发症，其特点常为细菌耐药和细胞内感染，给骨质疏松性骨折的治疗带来重大挑战。在此，我们开发了一种基于羟基磷灰石纳米管（NT‐HA）的多功能仿生特洛伊木马纳米系统，用于微环境重塑。NT‐HA展现出双阶段抗菌肽（AMP）递送策略：表面吸附的AMP快速释放以清除胞外细菌，而NT‐HA通过内吞作用内化后释放包封的AMP，从而高效清除胞内细菌。在释放AMP后，NT‐HA可调节PI3K‐AKT信号级联反应，促进骨质疏松骨髓间充质干细胞（OBMSCs）的定向成骨分化。在体内感染性骨质疏松骨缺损修复中，该特洛伊木马纳米系统不仅通过清除细胞内感染和诱导OBMSCs成骨来增强骨再生，还能减少种植体周围骨丢失并增强骨强度，最终重塑再生微环境，实现最佳的骨缺损修复与功能重建。</w:t>
      </w:r>
    </w:p>
    <w:p>
      <w:pPr>
        <w:spacing w:before="0" w:after="200" w:lineRule="auto" w:line="276"/>
      </w:pPr>
      <w:r>
        <w:rPr>
          <w:b/>
        </w:rPr>
        <w:t xml:space="preserve">Abstract (EN): </w:t>
      </w:r>
      <w:r>
        <w:t>Infection is the most common complication of osteoporotic fractures, often characterized by bacterial resistance and intracellular infection, posing a major challenge in the treatment of osteoporotic fractures. Here, we developed a multifunctional biomimetic Trojan horse nanosystem based on hydroxyapatite nanotubes (NT‐HA) for microenvironment remodeling. The NT‐HA exhibits a dual‐stage antimicrobial peptide (AMP) delivery strategy, in which surface‐adsorbed AMPs are rapidly released to eliminate extracellular bacteria, while NT‐HA is internalized via endocytosis to release encapsulated AMPs for efficient intracellular bacterial clearance. After releasing AMPs, the NT‐HA can regulate the PI3K‐AKT signaling cascade, promoting the directed osteogenic differentiation of osteoporotic bone marrow mesenchymal stem cells (OBMSCs). In the repair of infected osteoporotic bone defects in vivo, this Trojan horse nanosystem not only enhances bone regeneration by eliminating cellular infections and inducing OBMSCs osteogenesis but also reduces peri‐implant bone loss and strengthens bone strength, ultimately remodeling the regenerative microenvironment to achieve optimal bone defect repair and functional reconstruction.</w:t>
      </w:r>
    </w:p>
    <w:p>
      <w:pPr>
        <w:spacing w:before="120" w:after="120"/>
      </w:pPr>
      <w:r>
        <w:rPr>
          <w:sz w:val="18"/>
        </w:rPr>
        <w:t>——————————————————————————————————————————————————————————————————————</w:t>
      </w:r>
    </w:p>
    <w:p>
      <w:pPr>
        <w:spacing w:before="160" w:after="40" w:line="240" w:lineRule="auto"/>
      </w:pPr>
      <w:r>
        <w:rPr>
          <w:b/>
        </w:rPr>
        <w:t xml:space="preserve">[856] </w:t>
      </w:r>
      <w:hyperlink r:id="rId1424">
        <w:r>
          <w:rPr>
            <w:color w:val="1155CC"/>
            <w:u w:val="single"/>
          </w:rPr>
          <w:t>以细胞响应性糖原纳米颗粒作为代谢电池实现的自喂养活性材料</w:t>
        </w:r>
      </w:hyperlink>
    </w:p>
    <w:p>
      <w:pPr>
        <w:spacing w:before="0" w:after="80"/>
      </w:pPr>
      <w:r>
        <w:rPr>
          <w:i/>
          <w:sz w:val="20"/>
        </w:rPr>
        <w:t>EN: Self‐Feeding Living Materials Enabled by Cell Responsive Glycogen Nanoparticles as Metabolic Batteries</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1424">
        <w:r>
          <w:rPr>
            <w:color w:val="1155CC"/>
            <w:u w:val="single"/>
          </w:rPr>
          <w:t>10.1002/adma.74812</w:t>
        </w:r>
      </w:hyperlink>
    </w:p>
    <w:p>
      <w:pPr>
        <w:spacing w:before="0" w:after="120"/>
      </w:pPr>
      <w:r>
        <w:rPr>
          <w:b/>
        </w:rPr>
        <w:t xml:space="preserve">Notes: </w:t>
      </w:r>
      <w:r>
        <w:t>abstract_source=crossref</w:t>
      </w:r>
    </w:p>
    <w:p>
      <w:pPr>
        <w:spacing w:before="0" w:after="80" w:lineRule="auto" w:line="276"/>
      </w:pPr>
      <w:r>
        <w:rPr>
          <w:b/>
        </w:rPr>
        <w:t xml:space="preserve">摘要（ZH）: </w:t>
      </w:r>
      <w:r>
        <w:t>{"translations":["摘要 将工程化活体材料放大至具有临床相关性的尺寸,受到氧气和营养物质扩散依赖性耗竭的限制,该耗竭会迅速诱发代谢衰竭。我们引入糖原作为一种营养性纳米颗粒,提供由细胞介导的自主营养释放,以支持极端代谢应激下的长期存活。我们证明,人间充质基质细胞在获得胞外糖原供给后,可在无氧和血清剥夺条件下存活数周。与长期持有的假设相反,hMSCs可分泌糖原降解酶,实现细胞密度控制的胞外糖原分解以及葡萄糖和代谢中间产物的持续释放,从而将糖原定位为一种前所未有的"代谢电池"。这一细胞响应过程可维持代谢活性、限制糖酵解性酸中毒,并增强促血管生成信号传导。为将这一机制转化为一种通用材料平台,我们设计了核壳型葡聚糖-酪胺微胶囊,可稳定包封糖原,同时允许酶和降解产物的扩散。将其整合到厘米级GelMA构建体中,这些微胶囊在无氧条件下维持hMSC的活力和功能至少1个月。在体内,载糖原植入物可促进深层细胞浸润、增强基质重塑、增加M2巨噬细胞极化,并协同加速血管化。这项工作确立了基于糖原的营养性纳米颗粒作为代谢电池的新颖概念,以赋予工程化组织自主自"]}</w:t>
      </w:r>
      <w:r>
        <w:t xml:space="preserve"> </w:t>
      </w:r>
      <w:r>
        <w:t>]}</w:t>
      </w:r>
    </w:p>
    <w:p>
      <w:pPr>
        <w:spacing w:before="0" w:after="200" w:lineRule="auto" w:line="276"/>
      </w:pPr>
      <w:r>
        <w:rPr>
          <w:b/>
        </w:rPr>
        <w:t xml:space="preserve">Abstract (EN): </w:t>
      </w:r>
      <w:r>
        <w:t>Scaling engineered living materials to clinically relevant dimensions is limited by diffusion‐dependent depletion of oxygen and nutrients, which rapidly induces metabolic failure. We introduce glycogen as a nutritional nanoparticle that provides cell‐mediated, autonomous nutrient release to support long‐term survival under extreme metabolic stress. We demonstrate that human mesenchymal stromal cells (hMSCs) survive for weeks in anoxia and serum deprivation when provided extracellular glycogen. Contrary to long‐held assumptions, hMSCs secrete glycogen‐degrading enzymes, enabling cell‐density‐controlled extracellular glycogenolysis and sustained release of glucose and metabolic intermediates, positioning glycogen as the first‐of‐its‐kind metabolic battery. This cell‐responsive process maintains metabolic activity, limits glycolytic acidosis, and enhances pro‐angiogenic signaling. To translate this mechanism into a versatile materials platform, we engineered core‐shell dextran‐tyramine microcapsules that stably encapsulate glycogen while permitting diffusion of enzymes and degradation products. Integrated into centimeter‐scale GelMA constructs, these microcapsules maintained hMSC viability and function for at least 1 month under anoxia. In vivo, glycogen‐loaded implants promote deep cellular infiltration, enhanced matrix remodeling, increased M2 macrophage polarization, and orchestrated accelerated vascularization. This work establishes the novel concept of glycogen‐based nutritional nanoparticles as metabolic batteries to endow engineered tissues with autonomous self‐feeding capacity, enabling scalable and functional living materials for regenerative medicine and related technologies.</w:t>
      </w:r>
    </w:p>
    <w:p>
      <w:pPr>
        <w:spacing w:before="120" w:after="120"/>
      </w:pPr>
      <w:r>
        <w:rPr>
          <w:sz w:val="18"/>
        </w:rPr>
        <w:t>——————————————————————————————————————————————————————————————————————</w:t>
      </w:r>
    </w:p>
    <w:p>
      <w:pPr>
        <w:spacing w:before="160" w:after="40" w:line="240" w:lineRule="auto"/>
      </w:pPr>
      <w:r>
        <w:rPr>
          <w:b/>
        </w:rPr>
        <w:t xml:space="preserve">[857] </w:t>
      </w:r>
      <w:hyperlink r:id="rId1147">
        <w:r>
          <w:rPr>
            <w:color w:val="1155CC"/>
            <w:u w:val="single"/>
          </w:rPr>
          <w:t>长期生物自旋读出实现单细胞水平解码免疫施加的应激</w:t>
        </w:r>
      </w:hyperlink>
    </w:p>
    <w:p>
      <w:pPr>
        <w:spacing w:before="0" w:after="80"/>
      </w:pPr>
      <w:r>
        <w:rPr>
          <w:i/>
          <w:sz w:val="20"/>
        </w:rPr>
        <w:t>EN: Long‐Term Bio‐Spin Readouts Enable Decoding Immune‐Imposed Stress at the Single‐Cell Level</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1147">
        <w:r>
          <w:rPr>
            <w:color w:val="1155CC"/>
            <w:u w:val="single"/>
          </w:rPr>
          <w:t>10.1002/adma.74885</w:t>
        </w:r>
      </w:hyperlink>
    </w:p>
    <w:p>
      <w:pPr>
        <w:spacing w:before="0" w:after="120"/>
      </w:pPr>
      <w:r>
        <w:rPr>
          <w:b/>
        </w:rPr>
        <w:t xml:space="preserve">Notes: </w:t>
      </w:r>
      <w:r>
        <w:t>abstract_source=crossref</w:t>
      </w:r>
    </w:p>
    <w:p>
      <w:pPr>
        <w:spacing w:before="0" w:after="80" w:lineRule="auto" w:line="276"/>
      </w:pPr>
      <w:r>
        <w:rPr>
          <w:b/>
        </w:rPr>
        <w:t xml:space="preserve">摘要（ZH）: </w:t>
      </w:r>
      <w:r>
        <w:t>摘要 电子自旋动力学是活细胞中一个极其重要但在很大程度上尚未被探索的状态参数，能够对与细胞应激反应相关的胞内顺磁环境提供稳定的敏感性。然而，由于缺乏连续且无损的读出手段，免疫诱导的胞内应激如何随时间演化以及如何与不同的单细胞命运相关联仍不清楚。在此，我们建立了一种基于含氮-空位中心纳米金刚石作为可遗传胞内自旋报告器的长期生物自旋读出方法，实现了对活细胞的连续自旋弛豫测量。通过在Hela和A549癌细胞与活化巨噬细胞共培养过程中，将群体水平的ROS相关顺磁应激分析与长期单细胞追踪相结合，我们识别出三种特征性的氧化应激轨迹模式——远端免疫应激、免疫逃逸和凋亡——它们独特的时间动力学无法仅通过终点检测来解析。纵向生物自旋测量表明，免疫压力不仅由瞬时氧化水平编码，还由胞内应激的时间累积与调控编码。经验性生物自旋转变范围为区分可恢复的应激反应与凋亡相关轨迹提供了操作性参考，而特征完成时间则捕捉了应激演化依赖于相互作用和细胞类型的动力学。总之，这项工作确立了用于解析免疫诱导应激历程及其相关性的生物自旋动力学方法</w:t>
      </w:r>
    </w:p>
    <w:p>
      <w:pPr>
        <w:spacing w:before="0" w:after="200" w:lineRule="auto" w:line="276"/>
      </w:pPr>
      <w:r>
        <w:rPr>
          <w:b/>
        </w:rPr>
        <w:t xml:space="preserve">Abstract (EN): </w:t>
      </w:r>
      <w:r>
        <w:t>Electronic spin dynamics represent a fundamentally important yet largely unexplored state parameter of living cells, offering stable sensitivity to intracellular paramagnetic environments associated with cellular stress responses. However, how immune‐imposed intracellular stress evolves over time and relates to divergent single‐cell outcomes remains unclear, owing to the lack of continuous and nonconsumptive readouts. Here, we establish a long‐term bio‐spin readout based on nanodiamonds hosting nitrogen‐vacancy centers as inheritable intracellular spin reporters, enabling continuous spin relaxometry in living cells. By integrating population‐level ROS‐associated paramagnetic stress profiling with long‐term single‐cell tracking in Hela and A549 cancer cells during coculture with activated macrophages, we identify three characteristic oxidative‐stress trajectory patterns—remote immune stress, immune evasion, and apoptosis—whose distinct temporal dynamics cannot be resolved by endpoint assays alone. Longitudinal bio‐spin measurements reveal that immune pressure is encoded not only by instantaneous oxidative levels but also by the temporal accumulation and regulation of intracellular stress. An empirical bio‐spin transition range provides an operational reference for distinguishing recoverable stress responses from apoptosis‐associated trajectories, while characteristic completion times capture the interaction‐ and cell‐type‐dependent kinetics of stress evolution. Together, this work establishes bio‐spin dynamics for resolving immune‐imposed stress histories and their associations with divergent cellular outcomes in living systems.</w:t>
      </w:r>
    </w:p>
    <w:p>
      <w:pPr>
        <w:spacing w:before="120" w:after="120"/>
      </w:pPr>
      <w:r>
        <w:rPr>
          <w:sz w:val="18"/>
        </w:rPr>
        <w:t>——————————————————————————————————————————————————————————————————————</w:t>
      </w:r>
    </w:p>
    <w:p>
      <w:pPr>
        <w:spacing w:before="160" w:after="40" w:line="240" w:lineRule="auto"/>
      </w:pPr>
      <w:r>
        <w:rPr>
          <w:b/>
        </w:rPr>
        <w:t xml:space="preserve">[858] </w:t>
      </w:r>
      <w:hyperlink r:id="rId1428">
        <w:r>
          <w:rPr>
            <w:color w:val="1155CC"/>
            <w:u w:val="single"/>
          </w:rPr>
          <w:t>晶格应变与内置电场在多相异质界面通过动态NiOOH介导协同促进尿素氧化</w:t>
        </w:r>
      </w:hyperlink>
    </w:p>
    <w:p>
      <w:pPr>
        <w:spacing w:before="0" w:after="80"/>
      </w:pPr>
      <w:r>
        <w:rPr>
          <w:i/>
          <w:sz w:val="20"/>
        </w:rPr>
        <w:t>EN: Lattice Strain and Built‐In Field Synergistically Boost Urea Oxidation via Dynamic NiOOH Mediation at Multiphase Heterointerfaces</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1428">
        <w:r>
          <w:rPr>
            <w:color w:val="1155CC"/>
            <w:u w:val="single"/>
          </w:rPr>
          <w:t>10.1002/adma.74790</w:t>
        </w:r>
      </w:hyperlink>
    </w:p>
    <w:p>
      <w:pPr>
        <w:spacing w:before="0" w:after="120"/>
      </w:pPr>
      <w:r>
        <w:rPr>
          <w:b/>
        </w:rPr>
        <w:t xml:space="preserve">Notes: </w:t>
      </w:r>
      <w:r>
        <w:t>abstract_source=crossref</w:t>
      </w:r>
    </w:p>
    <w:p>
      <w:pPr>
        <w:spacing w:before="0" w:after="80" w:lineRule="auto" w:line="276"/>
      </w:pPr>
      <w:r>
        <w:rPr>
          <w:b/>
        </w:rPr>
        <w:t xml:space="preserve">摘要（ZH）: </w:t>
      </w:r>
      <w:r>
        <w:t>摘要 镍基异质结电催化剂在尿素氧化反应（UOR）中的实际应用受到活性位点不足和多步反应动力学缓慢的阻碍。本文制备了一种硫掺杂木质素衍生碳包覆的Ni-NiO-MoO2微纳阵列（Ni-NiO-MoO2@SC）来解决这些问题。实验和理论结果表明，由于各组分的功函数和电子结构不同，多相异质界面自发产生内置电场，同时诱导晶格应变，二者协同优化了电子结构并加速了活性NiOOH物种的动态生成。原位电化学表征和密度泛函理论计算进一步证实，该工程化界面促进了尿素的吸附，有利于N─N偶联和C─N键断裂，加速了*COOH中间体的脱附，并避免了NiOOH的过度积累。因此，Ni-NiO-MoO2@SC展现出优异的UOR活性，在10/500 mA cm−2下的低电位分别为1.34/1.40 V。此外，硫掺杂碳包覆和微纳阵列结构赋予催化剂优异的耐腐蚀性和传质能力，在膜电极组件中实现了长期稳定性（500 mA cm−2、1.53 V下运行500 h）。这项工作为面向尿素电解及更广泛领域的高性能镍基电催化剂提供了一种通用的界面工程与包覆策略。</w:t>
      </w:r>
    </w:p>
    <w:p>
      <w:pPr>
        <w:spacing w:before="0" w:after="200" w:lineRule="auto" w:line="276"/>
      </w:pPr>
      <w:r>
        <w:rPr>
          <w:b/>
        </w:rPr>
        <w:t xml:space="preserve">Abstract (EN): </w:t>
      </w:r>
      <w:r>
        <w:t>The practical application of nickel‐based heterojunction electrocatalysts for the urea oxidation reaction (UOR) is impeded by insufficient active sites and sluggish multi‐step reaction kinetics. Herein, a sulfur‐doped lignin‐derived carbon encapsulated Ni‐NiO‐MoO 2 micro‐nano array (Ni‐NiO‐MoO 2 @SC) is fabricated to tackle these issues. Experimental and theoretical results demonstrate that the multiphase heterointerfaces spontaneously generate a built‐in electric field due to the distinct work function and electronic structure of each component, and simultaneously induce lattice strain, which synergistically optimizes the electronic structure and accelerates the dynamic formation of active NiOOH species. In‐situ electrochemical characterizations and density functional theory calculations further confirm that the engineered interface promotes urea adsorption, facilitates N─N coupling and C─N bond cleavage, expedites *COOH intermediate desorption, and avoids excessive accumulation of NiOOH. Consequently, Ni‐NiO‐MoO 2 @SC delivers superior UOR activity with low potentials of 1.34/1.40 V at 10/500 mA cm −2 , respectively. Moreover, the sulfur‐doped carbon encapsulation and micro‐nano array architecture endow the catalyst with excellent corrosion resistance and mass transport capability, realizing long‐term stability (500 mA cm −2 at 1.53 V for 500 h) in membrane electrode assemblies. This work provides a versatile interface engineering and encapsulation strategy for high‐performance nickel‐based electrocatalysts toward urea electrolysis and beyond.</w:t>
      </w:r>
    </w:p>
    <w:p>
      <w:pPr>
        <w:spacing w:before="120" w:after="120"/>
      </w:pPr>
      <w:r>
        <w:rPr>
          <w:sz w:val="18"/>
        </w:rPr>
        <w:t>——————————————————————————————————————————————————————————————————————</w:t>
      </w:r>
    </w:p>
    <w:p>
      <w:pPr>
        <w:spacing w:before="160" w:after="40" w:line="240" w:lineRule="auto"/>
      </w:pPr>
      <w:r>
        <w:rPr>
          <w:b/>
        </w:rPr>
        <w:t xml:space="preserve">[859] </w:t>
      </w:r>
      <w:hyperlink r:id="rId1549">
        <w:r>
          <w:rPr>
            <w:color w:val="1155CC"/>
            <w:u w:val="single"/>
          </w:rPr>
          <w:t>纺织摩擦电纳米发电机综述：从材料设计到自供电可穿戴能量系统</w:t>
        </w:r>
      </w:hyperlink>
    </w:p>
    <w:p>
      <w:pPr>
        <w:spacing w:before="0" w:after="80"/>
      </w:pPr>
      <w:r>
        <w:rPr>
          <w:i/>
          <w:sz w:val="20"/>
        </w:rPr>
        <w:t>EN: Review on Textile Triboelectric Nanogenerators: From Material Design to Self‐Powered Wearable Energy Systems</w:t>
      </w:r>
    </w:p>
    <w:p>
      <w:pPr>
        <w:spacing w:before="0" w:after="120"/>
      </w:pPr>
      <w:r>
        <w:rPr>
          <w:b/>
        </w:rPr>
        <w:t xml:space="preserve">Source: </w:t>
      </w:r>
      <w:r>
        <w:t>Advanced Energy Materials</w:t>
      </w:r>
      <w:r>
        <w:t xml:space="preserve">    </w:t>
      </w:r>
      <w:r>
        <w:rPr>
          <w:b/>
        </w:rPr>
        <w:t xml:space="preserve">Pub date: </w:t>
      </w:r>
      <w:r>
        <w:t>2026-09-01 00:00:00+00:00</w:t>
      </w:r>
      <w:r>
        <w:t xml:space="preserve">    </w:t>
      </w:r>
      <w:r>
        <w:rPr>
          <w:b/>
        </w:rPr>
        <w:t xml:space="preserve">DOI: </w:t>
      </w:r>
      <w:hyperlink r:id="rId1549">
        <w:r>
          <w:rPr>
            <w:color w:val="1155CC"/>
            <w:u w:val="single"/>
          </w:rPr>
          <w:t>10.1002/aenm.71524</w:t>
        </w:r>
      </w:hyperlink>
    </w:p>
    <w:p>
      <w:pPr>
        <w:spacing w:before="0" w:after="120"/>
      </w:pPr>
      <w:r>
        <w:rPr>
          <w:b/>
        </w:rPr>
        <w:t xml:space="preserve">Notes: </w:t>
      </w:r>
      <w:r>
        <w:t>abstract_source=crossref</w:t>
      </w:r>
    </w:p>
    <w:p>
      <w:pPr>
        <w:spacing w:before="0" w:after="80" w:lineRule="auto" w:line="276"/>
      </w:pPr>
      <w:r>
        <w:rPr>
          <w:b/>
        </w:rPr>
        <w:t xml:space="preserve">摘要（ZH）: </w:t>
      </w:r>
      <w:r>
        <w:t>摘要 可穿戴电子设备、智能纺织品和物联网（IoT）的快速发展增加了对可持续、自供能解决方案的需求。基于纺织物的摩擦电纳米发电机（T-TENGs）将高效的机械能收集与纺织物的柔韧性、透气性、可拉伸性、可洗涤性和可穿戴性相结合，已成为一种前景广阔的技术。本综述全面概述了T-TENGs的最新进展，涵盖了从基本机理到可穿戴应用的完整设计层级。讨论了交流型和新兴直流型TENGs的工作原理，包括接触起电、静电感应、静电击穿和摩擦伏特效应。系统综述了摩擦电材料工程、纤维和纱线设计以及纺织物结构（包括机织、针织、编织、刺绣、多层和3D结构）方面的最新进展，重点强调性能提升和可扩展性。总结了在生物力学传感、可穿戴医疗、人机交互、智能纺织品和自供能可穿戴系统方面的应用，突出了自供能传感与完全自主可穿戴平台之间的区别。最后，批判性分析了关键挑战，包括低电流输出、环境稳定性、可洗涤性、耐久性、规模化制造、性能标准化和商业化，并展望了迈向智能化、完全自主和商业化</w:t>
      </w:r>
    </w:p>
    <w:p>
      <w:pPr>
        <w:spacing w:before="0" w:after="200" w:lineRule="auto" w:line="276"/>
      </w:pPr>
      <w:r>
        <w:rPr>
          <w:b/>
        </w:rPr>
        <w:t xml:space="preserve">Abstract (EN): </w:t>
      </w:r>
      <w:r>
        <w:t>The rapid growth of wearable electronics, smart textiles, and the Internet of Things (IoT) has increased the demand for sustainable, self‐powered energy solutions. Textile‐based triboelectric nanogenerators (T‐TENGs) have emerged as a promising technology by combining efficient mechanical energy harvesting with the flexibility, breathability, stretchability, washability, and wearability of textiles. This review provides a comprehensive overview of recent advances in T‐TENGs, covering the complete design hierarchy from fundamental mechanisms to wearable applications. The operating principles of alternating‐current and emerging direct‐current TENGs, including contact electrification, electrostatic induction, electrostatic breakdown, and tribovoltaic effects, are discussed. Recent progress in triboelectric material engineering, fiber and yarn design, and textile architectures—including woven, knitted, braided, embroidered, multilayer, and 3D structures—is systematically reviewed with emphasis on performance enhancement and scalability. Applications in biomechanical sensing, wearable healthcare, human–machine interaction, smart textiles, and self‐powered wearable systems are summarized, highlighting the distinction between self‐powered sensing and fully autonomous wearable platforms. Finally, key challenges, including low current output, environmental stability, washability, durability, scalable manufacturing, performance standardization, and commercialization, are critically analyzed, and future research directions toward intelligent, fully autonomous, and commercially viable self‐powered wearable systems are outlined.</w:t>
      </w:r>
    </w:p>
    <w:p>
      <w:pPr>
        <w:spacing w:before="120" w:after="120"/>
      </w:pPr>
      <w:r>
        <w:rPr>
          <w:sz w:val="18"/>
        </w:rPr>
        <w:t>——————————————————————————————————————————————————————————————————————</w:t>
      </w:r>
    </w:p>
    <w:p>
      <w:pPr>
        <w:spacing w:before="160" w:after="40" w:line="240" w:lineRule="auto"/>
      </w:pPr>
      <w:r>
        <w:rPr>
          <w:b/>
        </w:rPr>
        <w:t xml:space="preserve">[860] </w:t>
      </w:r>
      <w:hyperlink r:id="rId1569">
        <w:r>
          <w:rPr>
            <w:color w:val="1155CC"/>
            <w:u w:val="single"/>
          </w:rPr>
          <w:t>单端截断的Au52和Au70量子棒:具有长径比主导光物理特性的高量子产率NIR-II发射体</w:t>
        </w:r>
      </w:hyperlink>
    </w:p>
    <w:p>
      <w:pPr>
        <w:spacing w:before="0" w:after="80"/>
      </w:pPr>
      <w:r>
        <w:rPr>
          <w:i/>
          <w:sz w:val="20"/>
        </w:rPr>
        <w:t>EN: One‐End‐Truncated Au 52 and Au 70 Quantum Rods: High‐Quantum‐Yield NIR‐II Emitters With Aspect‐Ratio‐Dominated Photophysics</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69">
        <w:r>
          <w:rPr>
            <w:color w:val="1155CC"/>
            <w:u w:val="single"/>
          </w:rPr>
          <w:t>10.1002/anie.1815171</w:t>
        </w:r>
      </w:hyperlink>
    </w:p>
    <w:p>
      <w:pPr>
        <w:spacing w:before="0" w:after="120"/>
      </w:pPr>
      <w:r>
        <w:rPr>
          <w:b/>
        </w:rPr>
        <w:t xml:space="preserve">Notes: </w:t>
      </w:r>
      <w:r>
        <w:t>abstract_source=crossref</w:t>
      </w:r>
    </w:p>
    <w:p>
      <w:pPr>
        <w:spacing w:before="0" w:after="80" w:lineRule="auto" w:line="276"/>
      </w:pPr>
      <w:r>
        <w:rPr>
          <w:b/>
        </w:rPr>
        <w:t xml:space="preserve">摘要（ZH）: </w:t>
      </w:r>
      <w:r>
        <w:t>摘要 精确控制NIR-II（1000–1700 nm）区域的吸收/发射对推进光子技术至关重要。原子级精确的金量子棒（QRs）为在原子层面精细调节NIR-II各向异性激子行为提供了结构明确的平台。在本研究中，我们报道了Au52(PET)38和Au70(PET)50（PET = 2-苯乙硫醇盐）作为具有单端截断内核拓扑的一类独特金量子棒分支的成员。Au52和Au70分别在1032和1275 nm处表现出NIR-II吸收，并分别在1100和1360 nm处表现出纳秒荧光。它们的高量子产率（Au52为20.9%，Au70为14.8%）以及高亮度（Au52为5.6 × 104 M−1 cm−1，Au70具有相近数量级）大大超过了大多数分子型NIR-II染料，凸显了其作为高效无机NIR-II荧光团的前景。对两个结构不同的金量子棒家族（包括单端截断棒和双尖棒）的对比分析表明，纵向吸收和发射峰值波长以及荧光线宽遵循共同的依赖纵横比的标度关系，暗示基态和激发态电子结构的长度依赖性调制。这些发现揭示了棒伸长与内核拓扑在决定NIR-II激子行为中的分层相互作用，并拓展了原子级精确量子棒的结构设计空间。</w:t>
      </w:r>
    </w:p>
    <w:p>
      <w:pPr>
        <w:spacing w:before="0" w:after="200" w:lineRule="auto" w:line="276"/>
      </w:pPr>
      <w:r>
        <w:rPr>
          <w:b/>
        </w:rPr>
        <w:t xml:space="preserve">Abstract (EN): </w:t>
      </w:r>
      <w:r>
        <w:t>Precise control over absorption/emission in NIR‐II (1000–1700 nm) is essential for advancing photonic technologies. Atomically precise gold quantum rods (QRs) provide a structurally well‐defined platform for fine‐tuning NIR‐II anisotropic excitonic behavior at the atomic level. In this study, we report Au 52 (PET) 38 and Au 70 (PET) 50 (PET = 2‐phenylethanethiolate) as members of a distinct branch of Au QRs with one‐end‐truncated kernel topology. The Au 52 and Au 70 exhibit NIR‐II absorption at 1032 and 1275 nm and nanosecond fluorescence at 1100 and 1360 nm, respectively. Their high quantum yields (20.9% for Au 52 and 14.8% for Au 70 ) together with high brightness (5.6 × 10 4 M −1 cm −1 for Au 52 and a similar order of magnitude for Au 70 ) substantially exceed those of most molecular NIR‐II dyes, highlighting their promise as efficient inorganic NIR‐II fluorophores. Comparative analysis across two structurally distinct Au QR families, including one‐end‐truncated and double‐pointed rods, reveals that the longitudinal absorption and emission peak wavelengths, as well as the fluorescence linewidths, follow a common aspect‐ratio‐dependent scaling relation, suggesting length‐dependent modulation of the ground‐ and excited‐state electronic structure. These findings uncover a hierarchical interplay between rod elongation and kernel topology in defining NIR‐II excitonic behavior and expand the structural design space of atomically precise QRs.</w:t>
      </w:r>
    </w:p>
    <w:p>
      <w:pPr>
        <w:spacing w:before="120" w:after="120"/>
      </w:pPr>
      <w:r>
        <w:rPr>
          <w:sz w:val="18"/>
        </w:rPr>
        <w:t>——————————————————————————————————————————————————————————————————————</w:t>
      </w:r>
    </w:p>
    <w:p>
      <w:pPr>
        <w:spacing w:before="160" w:after="40" w:line="240" w:lineRule="auto"/>
      </w:pPr>
      <w:r>
        <w:rPr>
          <w:b/>
        </w:rPr>
        <w:t xml:space="preserve">[861] </w:t>
      </w:r>
      <w:hyperlink r:id="rId250">
        <w:r>
          <w:rPr>
            <w:color w:val="1155CC"/>
            <w:u w:val="single"/>
          </w:rPr>
          <w:t>半导体晶体中的一维塑性</w:t>
        </w:r>
      </w:hyperlink>
    </w:p>
    <w:p>
      <w:pPr>
        <w:spacing w:before="0" w:after="80"/>
      </w:pPr>
      <w:r>
        <w:rPr>
          <w:i/>
          <w:sz w:val="20"/>
        </w:rPr>
        <w:t>EN: 1D Plasticity in Semiconductor Crystals</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250">
        <w:r>
          <w:rPr>
            <w:color w:val="1155CC"/>
            <w:u w:val="single"/>
          </w:rPr>
          <w:t>10.1002/adma.74898</w:t>
        </w:r>
      </w:hyperlink>
    </w:p>
    <w:p>
      <w:pPr>
        <w:spacing w:before="0" w:after="120"/>
      </w:pPr>
      <w:r>
        <w:rPr>
          <w:b/>
        </w:rPr>
        <w:t xml:space="preserve">Notes: </w:t>
      </w:r>
      <w:r>
        <w:t>abstract_source=crossref</w:t>
      </w:r>
    </w:p>
    <w:p>
      <w:pPr>
        <w:spacing w:before="0" w:after="80" w:lineRule="auto" w:line="276"/>
      </w:pPr>
      <w:r>
        <w:rPr>
          <w:b/>
        </w:rPr>
        <w:t xml:space="preserve">摘要（ZH）: </w:t>
      </w:r>
      <w:r>
        <w:t>摘要：近期在无机半导体中发现的优异塑性可分为两类：多晶体中的三维（3D）取向不敏感变形能力，以及层状晶体中的二维（2D）各向异性塑性。因此，人们高度期待一维（1D）塑性的存在，但尚未被发现。本工作报道了硒化锡（SnSe）半导体晶体中优异的1D塑性。在面内方向上，沿锯齿方向排列的样品（塑性）的弯曲应变可高达约22.7%，而沿扶手椅方向排列的样品（脆性）的弯曲应变仅为约1.4%。这种1D塑性归因于沿b轴的相干且更强的键拓扑结构，它允许多种变形机制，包括层段、层间滑移、桥接、晶格畸变和位错。这种键拓扑使得在同构的SnS和GeSe晶体中也观察到1D塑性。随后，利用具有1D塑性的材料成功开发了高性能的形状可适配热电发电机。本工作丰富了塑性图谱，从而为延性半导体的设计与发现提供了新方向。</w:t>
      </w:r>
    </w:p>
    <w:p>
      <w:pPr>
        <w:spacing w:before="0" w:after="200" w:lineRule="auto" w:line="276"/>
      </w:pPr>
      <w:r>
        <w:rPr>
          <w:b/>
        </w:rPr>
        <w:t xml:space="preserve">Abstract (EN): </w:t>
      </w:r>
      <w:r>
        <w:t>The exceptional plasticity recently found in inorganic semiconductors can be classified into two types: the three‐dimensional (3D) orientation‐insensitive deformability in polycrystals, and the two‐dimensional (2D) anisotropic case in layered crystals. It is thus highly anticipated that one‐dimensional (1D) plasticity should also exist but it has not been found yet. Here this work reports the excellent 1D plasticity in tin selenide (SnSe) semiconductor crystals. In in‐plane directions, the bending strain is as large as ∼22.7% for the zig‐zag‐aligned specimen (plasticity) while as small as ∼1.4% for the armchair‐aligned one (brittleness). Such 1D plasticity is ascribed to the coherent and stronger bond topology along b ‐axis that allows for multiple deformation mechanisms including layer segments, interlayer slip, bridging, lattice distortion, and dislocations. This bonding topology enables that the 1D plasticity is also observed in isostructural SnS and GeSe crystals. High‐performance shape‐conformable thermoelectric generators are then successfully developed using materials with 1D plasticity. This work enriches the diagram for plasticity and thus provides a new direction for the design and discovery of ductile semiconductors.</w:t>
      </w:r>
    </w:p>
    <w:p>
      <w:pPr>
        <w:spacing w:before="120" w:after="120"/>
      </w:pPr>
      <w:r>
        <w:rPr>
          <w:sz w:val="18"/>
        </w:rPr>
        <w:t>——————————————————————————————————————————————————————————————————————</w:t>
      </w:r>
    </w:p>
    <w:p>
      <w:pPr>
        <w:spacing w:before="160" w:after="40" w:line="240" w:lineRule="auto"/>
      </w:pPr>
      <w:r>
        <w:rPr>
          <w:b/>
        </w:rPr>
        <w:t xml:space="preserve">[862] </w:t>
      </w:r>
      <w:hyperlink r:id="rId1571">
        <w:r>
          <w:rPr>
            <w:color w:val="1155CC"/>
            <w:u w:val="single"/>
          </w:rPr>
          <w:t>聚集增强的光裂解用于时间分辨多色荧光加密和四进制光存储</w:t>
        </w:r>
      </w:hyperlink>
    </w:p>
    <w:p>
      <w:pPr>
        <w:spacing w:before="0" w:after="80"/>
      </w:pPr>
      <w:r>
        <w:rPr>
          <w:i/>
          <w:sz w:val="20"/>
        </w:rPr>
        <w:t>EN: Aggregation‐Enhanced Photocleavage for Time‐Resolved Multicolor Fluorescence Encryption and Quaternary Optical Storage</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71">
        <w:r>
          <w:rPr>
            <w:color w:val="1155CC"/>
            <w:u w:val="single"/>
          </w:rPr>
          <w:t>10.1002/anie.7006612</w:t>
        </w:r>
      </w:hyperlink>
    </w:p>
    <w:p>
      <w:pPr>
        <w:spacing w:before="0" w:after="120"/>
      </w:pPr>
      <w:r>
        <w:rPr>
          <w:b/>
        </w:rPr>
        <w:t xml:space="preserve">Notes: </w:t>
      </w:r>
      <w:r>
        <w:t>abstract_source=crossref</w:t>
      </w:r>
    </w:p>
    <w:p>
      <w:pPr>
        <w:spacing w:before="0" w:after="80" w:lineRule="auto" w:line="276"/>
      </w:pPr>
      <w:r>
        <w:rPr>
          <w:b/>
        </w:rPr>
        <w:t xml:space="preserve">摘要（ZH）: </w:t>
      </w:r>
      <w:r>
        <w:t>摘要：能够产生时间分辨多色光输出的动态荧光系统对于高级信息加密和光存储极具吸引力。然而，精确调控荧光演化动力学仍具挑战性，因为大多数已报道的系统要么表现出固有固定的光化学动力学，要么需要复杂的多组分组装。本文报道了一种聚集调控的光化学系统，其中光裂解动力学可通过依赖于聚集态的激发态工程进行连续编程。我们合理设计了一种含有可光裂解中心乙烯基桥的供体–受体发光体TPEMN。在光照射下，TPEMN经历显著的聚集增强的光氧化裂解过程，光反应动力学随聚集程度逐渐加快，并伴随着从橙色到蓝色的连续多重荧光演变。系统的实验和理论研究揭示，聚集抑制了激发态结构弛豫，延长了激发态寿命，促进了系间窜越并促进活性氧的生成，从而显著加快了光裂解动力学。这将传统的二元光响应转化为分辨良好的时间依赖性荧光状态，实现了带诱饵中间态的时间门控信息加密、具有“阅后即焚”功能的多级防伪以及高密度四进制光存储的演示。本工作建立了聚集调……</w:t>
      </w:r>
    </w:p>
    <w:p>
      <w:pPr>
        <w:spacing w:before="0" w:after="200" w:lineRule="auto" w:line="276"/>
      </w:pPr>
      <w:r>
        <w:rPr>
          <w:b/>
        </w:rPr>
        <w:t xml:space="preserve">Abstract (EN): </w:t>
      </w:r>
      <w:r>
        <w:t>Dynamic fluorescence systems capable of generating time‐resolved multicolor optical outputs are highly desirable for advanced information encryption and optical storage. However, precise regulation of fluorescence evolution kinetics remains challenging, as most reported systems either exhibit intrinsically fixed photochemical kinetics or require complex multicomponent assemblies. Herein, we report an aggregation‐regulated photochemical system in which the photocleavage kinetics can be continuously programmed through aggregation‐dependent excited‐state engineering. A donor–acceptor luminogen, TPEMN, with a photocleavable central vinyl bridge was rationally designed. Upon photoirradiation, TPEMN undergoes a pronounced aggregation‐enhanced photooxidative cleavage process in which photoreaction kinetics accelerate progressively with aggregation degree, accompanied by continuous multiple fluorescence evolutions from orange to blue. Systematic experimental and theoretical investigations reveal that aggregation suppresses excited‐state structural relaxation, prolongs excited‐state lifetime, facilitates intersystem crossing, and promotes reactive oxygen species generation, thereby markedly leading to accelerated photocleavage kinetics. This converts conventional binary photoresponses into well‐resolved time‐dependent fluorescence states, allowing demonstration of time‐gated information encryption with deceptive intermediates, multilevel anti‐counterfeiting with “burn‐after‐read” functionality, and high‐density quaternary optical storage. This work establishes aggregation‐regulated excited‐state engineering as a novel paradigm for manipulating photochemical reactivity, providing a conceptual framework for the development of high‐efficiency photoreactions, adaptive stimulus‐responsive materials, and dynamic information applications.</w:t>
      </w:r>
    </w:p>
    <w:p>
      <w:pPr>
        <w:spacing w:before="120" w:after="120"/>
      </w:pPr>
      <w:r>
        <w:rPr>
          <w:sz w:val="18"/>
        </w:rPr>
        <w:t>——————————————————————————————————————————————————————————————————————</w:t>
      </w:r>
    </w:p>
    <w:p>
      <w:pPr>
        <w:spacing w:before="160" w:after="40" w:line="240" w:lineRule="auto"/>
      </w:pPr>
      <w:r>
        <w:rPr>
          <w:b/>
        </w:rPr>
        <w:t xml:space="preserve">[863] </w:t>
      </w:r>
      <w:hyperlink r:id="rId1573">
        <w:r>
          <w:rPr>
            <w:color w:val="1155CC"/>
            <w:u w:val="single"/>
          </w:rPr>
          <w:t>利用蛋白质动力学实现Obafluorin类似物对苏氨酰-tRNA合成酶的选择性抑制</w:t>
        </w:r>
      </w:hyperlink>
    </w:p>
    <w:p>
      <w:pPr>
        <w:spacing w:before="0" w:after="80"/>
      </w:pPr>
      <w:r>
        <w:rPr>
          <w:i/>
          <w:sz w:val="20"/>
        </w:rPr>
        <w:t>EN: Leveraging Protein Dynamics for Selective Inhibition of Threonyl‐tRNA Synthetase by Obafluorin Analogs</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73">
        <w:r>
          <w:rPr>
            <w:color w:val="1155CC"/>
            <w:u w:val="single"/>
          </w:rPr>
          <w:t>10.1002/anie.5509036</w:t>
        </w:r>
      </w:hyperlink>
    </w:p>
    <w:p>
      <w:pPr>
        <w:spacing w:before="0" w:after="120"/>
      </w:pPr>
      <w:r>
        <w:rPr>
          <w:b/>
        </w:rPr>
        <w:t xml:space="preserve">Notes: </w:t>
      </w:r>
      <w:r>
        <w:t>abstract_source=crossref</w:t>
      </w:r>
    </w:p>
    <w:p>
      <w:pPr>
        <w:spacing w:before="0" w:after="80" w:lineRule="auto" w:line="276"/>
      </w:pPr>
      <w:r>
        <w:rPr>
          <w:b/>
        </w:rPr>
        <w:t xml:space="preserve">摘要（ZH）: </w:t>
      </w:r>
      <w:r>
        <w:t>摘要：抗生素耐药性的广泛出现 necessitates 开发具有独特作用机制的新型药物。Obafluorin（OB）是一种天然β-内酯类抗生素，是苏氨酰-tRNA合成酶（ThrRS）的共价抑制剂，但原核与真核ThrRS活性位点的高度保守性导致其选择性极低，阻碍了OB的治疗潜力。在此，我们报道了一种基于结构动力学的设计策略，将OB转化为选择性抗菌剂。由于相同的结合模式，OB对人源和细菌ThrRS的抑制效力几乎相当。OB的硝基苯基部分被提出作为一种“动力学传感器”，可区分敏感和耐药的ThrRS同源蛋白。在这一认识的指导下，我们通过合理修饰该部分设计了一系列OB类似物。其中，用对甲氧基苯基取代硝基苯基的OB-D4对细菌ThrRS相对于人ThrRS表现出241倍的选择性，同时安全性显著改善，细胞毒性极低。在小鼠皮肤感染模型中，OB-D4有效清除病原体，消除炎症并促进伤口愈合。总之，本工作建立了一种实现物种选择性的“动力学传感器”策略，将药物发现中的一大根本挑战——活性位点高度保守——转化为基于动力学差异的可利用机遇。</w:t>
      </w:r>
    </w:p>
    <w:p>
      <w:pPr>
        <w:spacing w:before="0" w:after="200" w:lineRule="auto" w:line="276"/>
      </w:pPr>
      <w:r>
        <w:rPr>
          <w:b/>
        </w:rPr>
        <w:t xml:space="preserve">Abstract (EN): </w:t>
      </w:r>
      <w:r>
        <w:t>The widespread emergence of antibiotic resistance necessitates the development of novel agents with unique mechanisms of action. Obafluorin (OB), a natural β‐lactone antibiotic, is a covalent inhibitor of threonyl‐tRNA synthetase (ThrRS), but the high conservation of the active site between prokaryote and eukaryote ThrRSs results in minimal selectivity, hindering the therapeutic potential of OB. Here, we report a structure dynamics‐based design strategy that transforms OB into a selective antibacterial agent. OB inhibits human and bacterial ThrRSs with nearly equal potency due to identical binding modes. The nitrophenyl moiety of OB is proposed as a ‘kinetic sensor’ that discriminates between sensitive and resistant ThrRS paralogs. Guided by this insight, we designed a series of OB analogs through rational modification of this moiety. Among them, OB‐D4 bearing a para ‐methoxyphenyl group in place of the nitrophenyl group, exhibited a 241‐fold selectivity for bacterial over human ThrRS, along with a markedly improved safety profile with minimal cytotoxicity. In a murine skin infection model, OB‐D4 effectively eradicated pathogens, resolving inflammation, and promoting wound healing. Together, this work establishes a ‘kinetic sensor’ strategy for achieving species selectivity, turning a fundamental challenge in drug discovery‐high active‐site conservation—into an exploitable opportunity based on dynamic differences.</w:t>
      </w:r>
    </w:p>
    <w:p>
      <w:pPr>
        <w:spacing w:before="120" w:after="120"/>
      </w:pPr>
      <w:r>
        <w:rPr>
          <w:sz w:val="18"/>
        </w:rPr>
        <w:t>——————————————————————————————————————————————————————————————————————</w:t>
      </w:r>
    </w:p>
    <w:p>
      <w:pPr>
        <w:spacing w:before="160" w:after="40" w:line="240" w:lineRule="auto"/>
      </w:pPr>
      <w:r>
        <w:rPr>
          <w:b/>
        </w:rPr>
        <w:t xml:space="preserve">[864] </w:t>
      </w:r>
      <w:hyperlink r:id="rId1617">
        <w:r>
          <w:rPr>
            <w:color w:val="1155CC"/>
            <w:u w:val="single"/>
          </w:rPr>
          <w:t>我阅读科学论文的四步工作流程（无需通读全文）</w:t>
        </w:r>
      </w:hyperlink>
    </w:p>
    <w:p>
      <w:pPr>
        <w:spacing w:before="0" w:after="80"/>
      </w:pPr>
      <w:r>
        <w:rPr>
          <w:i/>
          <w:sz w:val="20"/>
        </w:rPr>
        <w:t>EN: My four-step workflow for reading scientific papers (without trying to read them all)</w:t>
      </w:r>
    </w:p>
    <w:p>
      <w:pPr>
        <w:spacing w:before="0" w:after="120"/>
      </w:pPr>
      <w:r>
        <w:rPr>
          <w:b/>
        </w:rPr>
        <w:t xml:space="preserve">Source: </w:t>
      </w:r>
      <w:r>
        <w:t>Nature</w:t>
      </w:r>
      <w:r>
        <w:t xml:space="preserve">    </w:t>
      </w:r>
      <w:r>
        <w:rPr>
          <w:b/>
        </w:rPr>
        <w:t xml:space="preserve">Pub date: </w:t>
      </w:r>
      <w:r>
        <w:t>2026-09-01 00:00:00+00:00</w:t>
      </w:r>
      <w:r>
        <w:t xml:space="preserve">    </w:t>
      </w:r>
      <w:r>
        <w:rPr>
          <w:b/>
        </w:rPr>
        <w:t xml:space="preserve">DOI: </w:t>
      </w:r>
      <w:hyperlink r:id="rId1618">
        <w:r>
          <w:rPr>
            <w:color w:val="1155CC"/>
            <w:u w:val="single"/>
          </w:rPr>
          <w:t>10.1038/d41586-026-02119-x</w:t>
        </w:r>
      </w:hyperlink>
    </w:p>
    <w:p>
      <w:pPr>
        <w:spacing w:before="0" w:after="120"/>
      </w:pPr>
      <w:r>
        <w:rPr>
          <w:b/>
        </w:rPr>
        <w:t xml:space="preserve">Notes: </w:t>
      </w:r>
      <w:r>
        <w:t>abstract_source=rss_nature</w:t>
      </w:r>
    </w:p>
    <w:p>
      <w:pPr>
        <w:spacing w:before="0" w:after="80" w:lineRule="auto" w:line="276"/>
      </w:pPr>
      <w:r>
        <w:rPr>
          <w:b/>
        </w:rPr>
        <w:t xml:space="preserve">摘要（ZH）: </w:t>
      </w:r>
      <w:r>
        <w:t>在深入研读合适的论文之前，先发现、筛选和略读论文，帮助Shea Andrews保持对文献的跟进。</w:t>
      </w:r>
    </w:p>
    <w:p>
      <w:pPr>
        <w:spacing w:before="0" w:after="200" w:lineRule="auto" w:line="276"/>
      </w:pPr>
      <w:r>
        <w:rPr>
          <w:b/>
        </w:rPr>
        <w:t xml:space="preserve">Abstract (EN): </w:t>
      </w:r>
      <w:r>
        <w:t>Discovering, triaging and skimming papers before engaging deeply with the right ones has helped Shea Andrews to stay on top of the literature.</w:t>
      </w:r>
    </w:p>
    <w:p>
      <w:pPr>
        <w:spacing w:before="120" w:after="120"/>
      </w:pPr>
      <w:r>
        <w:rPr>
          <w:sz w:val="18"/>
        </w:rPr>
        <w:t>——————————————————————————————————————————————————————————————————————</w:t>
      </w:r>
    </w:p>
    <w:p>
      <w:pPr>
        <w:spacing w:before="160" w:after="40" w:line="240" w:lineRule="auto"/>
      </w:pPr>
      <w:r>
        <w:rPr>
          <w:b/>
        </w:rPr>
        <w:t xml:space="preserve">[865] </w:t>
      </w:r>
      <w:hyperlink r:id="rId1619">
        <w:r>
          <w:rPr>
            <w:color w:val="1155CC"/>
            <w:u w:val="single"/>
          </w:rPr>
          <w:t>加拿大招募数十位美国学者——其中包括多位科学明星</w:t>
        </w:r>
      </w:hyperlink>
    </w:p>
    <w:p>
      <w:pPr>
        <w:spacing w:before="0" w:after="80"/>
      </w:pPr>
      <w:r>
        <w:rPr>
          <w:i/>
          <w:sz w:val="20"/>
        </w:rPr>
        <w:t>EN: Canada recruits dozens of US scholars — including several science stars</w:t>
      </w:r>
    </w:p>
    <w:p>
      <w:pPr>
        <w:spacing w:before="0" w:after="120"/>
      </w:pPr>
      <w:r>
        <w:rPr>
          <w:b/>
        </w:rPr>
        <w:t xml:space="preserve">Source: </w:t>
      </w:r>
      <w:r>
        <w:t>Nature</w:t>
      </w:r>
      <w:r>
        <w:t xml:space="preserve">    </w:t>
      </w:r>
      <w:r>
        <w:rPr>
          <w:b/>
        </w:rPr>
        <w:t xml:space="preserve">Pub date: </w:t>
      </w:r>
      <w:r>
        <w:t>2026-09-01 00:00:00+00:00</w:t>
      </w:r>
      <w:r>
        <w:t xml:space="preserve">    </w:t>
      </w:r>
      <w:r>
        <w:rPr>
          <w:b/>
        </w:rPr>
        <w:t xml:space="preserve">DOI: </w:t>
      </w:r>
      <w:hyperlink r:id="rId1620">
        <w:r>
          <w:rPr>
            <w:color w:val="1155CC"/>
            <w:u w:val="single"/>
          </w:rPr>
          <w:t>10.1038/d41586-026-02743-7</w:t>
        </w:r>
      </w:hyperlink>
    </w:p>
    <w:p>
      <w:pPr>
        <w:spacing w:before="0" w:after="120"/>
      </w:pPr>
      <w:r>
        <w:rPr>
          <w:b/>
        </w:rPr>
        <w:t xml:space="preserve">Notes: </w:t>
      </w:r>
      <w:r>
        <w:t>abstract_source=rss_nature</w:t>
      </w:r>
    </w:p>
    <w:p>
      <w:pPr>
        <w:spacing w:before="0" w:after="80" w:lineRule="auto" w:line="276"/>
      </w:pPr>
      <w:r>
        <w:rPr>
          <w:b/>
        </w:rPr>
        <w:t xml:space="preserve">摘要（ZH）: </w:t>
      </w:r>
      <w:r>
        <w:t>美国经费的不确定性是几位研究人员前往加拿大的关键因素。观察人士预计将有更多人步其后尘。</w:t>
      </w:r>
    </w:p>
    <w:p>
      <w:pPr>
        <w:spacing w:before="0" w:after="200" w:lineRule="auto" w:line="276"/>
      </w:pPr>
      <w:r>
        <w:rPr>
          <w:b/>
        </w:rPr>
        <w:t xml:space="preserve">Abstract (EN): </w:t>
      </w:r>
      <w:r>
        <w:t>US funding uncertainty was a key factor for several of the researchers heading to Canada. Observers predict more will follow.</w:t>
      </w:r>
    </w:p>
    <w:p>
      <w:pPr>
        <w:spacing w:before="120" w:after="120"/>
      </w:pPr>
      <w:r>
        <w:rPr>
          <w:sz w:val="18"/>
        </w:rPr>
        <w:t>——————————————————————————————————————————————————————————————————————</w:t>
      </w:r>
    </w:p>
    <w:p>
      <w:pPr>
        <w:spacing w:before="160" w:after="40" w:line="240" w:lineRule="auto"/>
      </w:pPr>
      <w:r>
        <w:rPr>
          <w:b/>
        </w:rPr>
        <w:t xml:space="preserve">[866] </w:t>
      </w:r>
      <w:hyperlink r:id="rId1621">
        <w:r>
          <w:rPr>
            <w:color w:val="1155CC"/>
            <w:u w:val="single"/>
          </w:rPr>
          <w:t>平庸的新世界：人工智能是否让我们所有人思维趋同？</w:t>
        </w:r>
      </w:hyperlink>
    </w:p>
    <w:p>
      <w:pPr>
        <w:spacing w:before="0" w:after="80"/>
      </w:pPr>
      <w:r>
        <w:rPr>
          <w:i/>
          <w:sz w:val="20"/>
        </w:rPr>
        <w:t>EN: Bland new world: is AI making us all think the same?</w:t>
      </w:r>
    </w:p>
    <w:p>
      <w:pPr>
        <w:spacing w:before="0" w:after="120"/>
      </w:pPr>
      <w:r>
        <w:rPr>
          <w:b/>
        </w:rPr>
        <w:t xml:space="preserve">Source: </w:t>
      </w:r>
      <w:r>
        <w:t>Nature</w:t>
      </w:r>
      <w:r>
        <w:t xml:space="preserve">    </w:t>
      </w:r>
      <w:r>
        <w:rPr>
          <w:b/>
        </w:rPr>
        <w:t xml:space="preserve">Pub date: </w:t>
      </w:r>
      <w:r>
        <w:t>2026-09-01 00:00:00+00:00</w:t>
      </w:r>
      <w:r>
        <w:t xml:space="preserve">    </w:t>
      </w:r>
      <w:r>
        <w:rPr>
          <w:b/>
        </w:rPr>
        <w:t xml:space="preserve">DOI: </w:t>
      </w:r>
      <w:hyperlink r:id="rId1622">
        <w:r>
          <w:rPr>
            <w:color w:val="1155CC"/>
            <w:u w:val="single"/>
          </w:rPr>
          <w:t>10.1038/d41586-026-02682-3</w:t>
        </w:r>
      </w:hyperlink>
    </w:p>
    <w:p>
      <w:pPr>
        <w:spacing w:before="0" w:after="120"/>
      </w:pPr>
      <w:r>
        <w:rPr>
          <w:b/>
        </w:rPr>
        <w:t xml:space="preserve">Notes: </w:t>
      </w:r>
      <w:r>
        <w:t>abstract_source=nature_html</w:t>
      </w:r>
    </w:p>
    <w:p>
      <w:pPr>
        <w:spacing w:before="0" w:after="80" w:lineRule="auto" w:line="276"/>
      </w:pPr>
      <w:r>
        <w:rPr>
          <w:b/>
        </w:rPr>
        <w:t xml:space="preserve">摘要（ZH）: </w:t>
      </w:r>
      <w:r>
        <w:t>研究人员担心生成式AI正在使文化和认知同质化。</w:t>
      </w:r>
    </w:p>
    <w:p>
      <w:pPr>
        <w:spacing w:before="0" w:after="200" w:lineRule="auto" w:line="276"/>
      </w:pPr>
      <w:r>
        <w:rPr>
          <w:b/>
        </w:rPr>
        <w:t xml:space="preserve">Abstract (EN): </w:t>
      </w:r>
      <w:r>
        <w:t>Researchers worry that generative AI is homogenizing culture and cognition.</w:t>
      </w:r>
    </w:p>
    <w:p>
      <w:pPr>
        <w:spacing w:before="120" w:after="120"/>
      </w:pPr>
      <w:r>
        <w:rPr>
          <w:sz w:val="18"/>
        </w:rPr>
        <w:t>——————————————————————————————————————————————————————————————————————</w:t>
      </w:r>
    </w:p>
    <w:p>
      <w:pPr>
        <w:spacing w:before="160" w:after="40" w:line="240" w:lineRule="auto"/>
      </w:pPr>
      <w:r>
        <w:rPr>
          <w:b/>
        </w:rPr>
        <w:t xml:space="preserve">[867] </w:t>
      </w:r>
      <w:hyperlink r:id="rId1623">
        <w:r>
          <w:rPr>
            <w:color w:val="1155CC"/>
            <w:u w:val="single"/>
          </w:rPr>
          <w:t>呼吁大家庆祝自己的成就——从学位论文到终身教职</w:t>
        </w:r>
      </w:hyperlink>
    </w:p>
    <w:p>
      <w:pPr>
        <w:spacing w:before="0" w:after="80"/>
      </w:pPr>
      <w:r>
        <w:rPr>
          <w:i/>
          <w:sz w:val="20"/>
        </w:rPr>
        <w:t>EN: A call to celebrate your achievements — from dissertations to tenure</w:t>
      </w:r>
    </w:p>
    <w:p>
      <w:pPr>
        <w:spacing w:before="0" w:after="120"/>
      </w:pPr>
      <w:r>
        <w:rPr>
          <w:b/>
        </w:rPr>
        <w:t xml:space="preserve">Source: </w:t>
      </w:r>
      <w:r>
        <w:t>Nature</w:t>
      </w:r>
      <w:r>
        <w:t xml:space="preserve">    </w:t>
      </w:r>
      <w:r>
        <w:rPr>
          <w:b/>
        </w:rPr>
        <w:t xml:space="preserve">Pub date: </w:t>
      </w:r>
      <w:r>
        <w:t>2026-09-01 00:00:00+00:00</w:t>
      </w:r>
      <w:r>
        <w:t xml:space="preserve">    </w:t>
      </w:r>
      <w:r>
        <w:rPr>
          <w:b/>
        </w:rPr>
        <w:t xml:space="preserve">DOI: </w:t>
      </w:r>
      <w:hyperlink r:id="rId1624">
        <w:r>
          <w:rPr>
            <w:color w:val="1155CC"/>
            <w:u w:val="single"/>
          </w:rPr>
          <w:t>10.1038/d41586-026-02456-x</w:t>
        </w:r>
      </w:hyperlink>
    </w:p>
    <w:p>
      <w:pPr>
        <w:spacing w:before="0" w:after="120"/>
      </w:pPr>
      <w:r>
        <w:rPr>
          <w:b/>
        </w:rPr>
        <w:t xml:space="preserve">Notes: </w:t>
      </w:r>
      <w:r>
        <w:t>abstract_source=rss_nature</w:t>
      </w:r>
    </w:p>
    <w:p>
      <w:pPr>
        <w:spacing w:before="0" w:after="80" w:lineRule="auto" w:line="276"/>
      </w:pPr>
      <w:r>
        <w:rPr>
          <w:b/>
        </w:rPr>
        <w:t xml:space="preserve">摘要（ZH）: </w:t>
      </w:r>
      <w:r>
        <w:t>学术界的节奏很少放缓，因此研究人员应抽出时间庆祝重要的职业里程碑。</w:t>
      </w:r>
    </w:p>
    <w:p>
      <w:pPr>
        <w:spacing w:before="0" w:after="200" w:lineRule="auto" w:line="276"/>
      </w:pPr>
      <w:r>
        <w:rPr>
          <w:b/>
        </w:rPr>
        <w:t xml:space="preserve">Abstract (EN): </w:t>
      </w:r>
      <w:r>
        <w:t>The pace of academia rarely slows, so researchers should make time to celebrate major career milestones.</w:t>
      </w:r>
    </w:p>
    <w:p>
      <w:pPr>
        <w:spacing w:before="120" w:after="120"/>
      </w:pPr>
      <w:r>
        <w:rPr>
          <w:sz w:val="18"/>
        </w:rPr>
        <w:t>——————————————————————————————————————————————————————————————————————</w:t>
      </w:r>
    </w:p>
    <w:p>
      <w:pPr>
        <w:spacing w:before="160" w:after="40" w:line="240" w:lineRule="auto"/>
      </w:pPr>
      <w:r>
        <w:rPr>
          <w:b/>
        </w:rPr>
        <w:t xml:space="preserve">[868] </w:t>
      </w:r>
      <w:hyperlink r:id="rId1625">
        <w:r>
          <w:rPr>
            <w:color w:val="1155CC"/>
            <w:u w:val="single"/>
          </w:rPr>
          <w:t>人工智能时代的全球STEM教育</w:t>
        </w:r>
      </w:hyperlink>
    </w:p>
    <w:p>
      <w:pPr>
        <w:spacing w:before="0" w:after="80"/>
      </w:pPr>
      <w:r>
        <w:rPr>
          <w:i/>
          <w:sz w:val="20"/>
        </w:rPr>
        <w:t>EN: Global STEM Education in the AI Era</w:t>
      </w:r>
    </w:p>
    <w:p>
      <w:pPr>
        <w:spacing w:before="0" w:after="120"/>
      </w:pPr>
      <w:r>
        <w:rPr>
          <w:b/>
        </w:rPr>
        <w:t xml:space="preserve">Source: </w:t>
      </w:r>
      <w:r>
        <w:t>National Science Review Advance Access</w:t>
      </w:r>
      <w:r>
        <w:t xml:space="preserve">    </w:t>
      </w:r>
      <w:r>
        <w:rPr>
          <w:b/>
        </w:rPr>
        <w:t xml:space="preserve">Pub date: </w:t>
      </w:r>
      <w:r>
        <w:t>2026-09-01 00:00:00+00:00</w:t>
      </w:r>
      <w:r>
        <w:t xml:space="preserve">    </w:t>
      </w:r>
      <w:r>
        <w:rPr>
          <w:b/>
        </w:rPr>
        <w:t xml:space="preserve">DOI: </w:t>
      </w:r>
      <w:hyperlink r:id="rId1626">
        <w:r>
          <w:rPr>
            <w:color w:val="1155CC"/>
            <w:u w:val="single"/>
          </w:rPr>
          <w:t>10.1093/nsr/nwag564</w:t>
        </w:r>
      </w:hyperlink>
    </w:p>
    <w:p>
      <w:pPr>
        <w:spacing w:before="0" w:after="120"/>
      </w:pPr>
      <w:r>
        <w:rPr>
          <w:b/>
        </w:rPr>
        <w:t xml:space="preserve">Notes: </w:t>
      </w:r>
      <w:r>
        <w:t>abstract_source=crossref</w:t>
      </w:r>
    </w:p>
    <w:p>
      <w:pPr>
        <w:spacing w:before="0" w:after="80" w:lineRule="auto" w:line="276"/>
      </w:pPr>
      <w:r>
        <w:rPr>
          <w:b/>
        </w:rPr>
        <w:t xml:space="preserve">摘要（ZH）: </w:t>
      </w:r>
      <w:r>
        <w:t>人工智能的最新进展为STEM教育提供了变革性的机遇，但也可能对学生的大脑和思维产生负面影响。</w:t>
      </w:r>
    </w:p>
    <w:p>
      <w:pPr>
        <w:spacing w:before="0" w:after="200" w:lineRule="auto" w:line="276"/>
      </w:pPr>
      <w:r>
        <w:rPr>
          <w:b/>
        </w:rPr>
        <w:t xml:space="preserve">Abstract (EN): </w:t>
      </w:r>
      <w:r>
        <w:t>Recent AI advances offer transformative opportunities for STEM education, but also could have negative impacts on the students’ brains and minds.</w:t>
      </w:r>
    </w:p>
    <w:p>
      <w:pPr>
        <w:spacing w:before="120" w:after="120"/>
      </w:pPr>
      <w:r>
        <w:rPr>
          <w:sz w:val="18"/>
        </w:rPr>
        <w:t>——————————————————————————————————————————————————————————————————————</w:t>
      </w:r>
    </w:p>
    <w:p>
      <w:pPr>
        <w:spacing w:before="160" w:after="40" w:line="240" w:lineRule="auto"/>
      </w:pPr>
      <w:r>
        <w:rPr>
          <w:b/>
        </w:rPr>
        <w:t xml:space="preserve">[869] </w:t>
      </w:r>
      <w:hyperlink r:id="rId1627">
        <w:r>
          <w:rPr>
            <w:color w:val="1155CC"/>
            <w:u w:val="single"/>
          </w:rPr>
          <w:t>当AI参与科学写作时，谁应负责？</w:t>
        </w:r>
      </w:hyperlink>
    </w:p>
    <w:p>
      <w:pPr>
        <w:spacing w:before="0" w:after="80"/>
      </w:pPr>
      <w:r>
        <w:rPr>
          <w:i/>
          <w:sz w:val="20"/>
        </w:rPr>
        <w:t>EN: Who is responsible when AI helps to write science?</w:t>
      </w:r>
    </w:p>
    <w:p>
      <w:pPr>
        <w:spacing w:before="0" w:after="120"/>
      </w:pPr>
      <w:r>
        <w:rPr>
          <w:b/>
        </w:rPr>
        <w:t xml:space="preserve">Source: </w:t>
      </w:r>
      <w:r>
        <w:t>Nature</w:t>
      </w:r>
      <w:r>
        <w:t xml:space="preserve">    </w:t>
      </w:r>
      <w:r>
        <w:rPr>
          <w:b/>
        </w:rPr>
        <w:t xml:space="preserve">Pub date: </w:t>
      </w:r>
      <w:r>
        <w:t>2026-09-01 00:00:00+00:00</w:t>
      </w:r>
      <w:r>
        <w:t xml:space="preserve">    </w:t>
      </w:r>
      <w:r>
        <w:rPr>
          <w:b/>
        </w:rPr>
        <w:t xml:space="preserve">DOI: </w:t>
      </w:r>
      <w:hyperlink r:id="rId1628">
        <w:r>
          <w:rPr>
            <w:color w:val="1155CC"/>
            <w:u w:val="single"/>
          </w:rPr>
          <w:t>10.1038/d41586-026-02686-z</w:t>
        </w:r>
      </w:hyperlink>
    </w:p>
    <w:p>
      <w:pPr>
        <w:spacing w:before="0" w:after="120"/>
      </w:pPr>
      <w:r>
        <w:rPr>
          <w:b/>
        </w:rPr>
        <w:t xml:space="preserve">Notes: </w:t>
      </w:r>
      <w:r>
        <w:t>abstract_source=rss_nature</w:t>
      </w:r>
    </w:p>
    <w:p>
      <w:pPr>
        <w:spacing w:before="0" w:after="80" w:lineRule="auto" w:line="276"/>
      </w:pPr>
      <w:r>
        <w:rPr>
          <w:b/>
        </w:rPr>
        <w:t xml:space="preserve">摘要（ZH）: </w:t>
      </w:r>
      <w:r>
        <w:t>随着生成式AI融入研究与出版过程，更深层的挑战在于如何保持对学术工作的责任追究。</w:t>
      </w:r>
    </w:p>
    <w:p>
      <w:pPr>
        <w:spacing w:before="0" w:after="200" w:lineRule="auto" w:line="276"/>
      </w:pPr>
      <w:r>
        <w:rPr>
          <w:b/>
        </w:rPr>
        <w:t xml:space="preserve">Abstract (EN): </w:t>
      </w:r>
      <w:r>
        <w:t>As generative AI becomes embedded in research and publishing, the deeper challenge is preserving accountability for scholarly work.</w:t>
      </w:r>
    </w:p>
    <w:p>
      <w:pPr>
        <w:spacing w:before="120" w:after="120"/>
      </w:pPr>
      <w:r>
        <w:rPr>
          <w:sz w:val="18"/>
        </w:rPr>
        <w:t>——————————————————————————————————————————————————————————————————————</w:t>
      </w:r>
    </w:p>
    <w:p>
      <w:pPr>
        <w:spacing w:before="160" w:after="40" w:line="240" w:lineRule="auto"/>
      </w:pPr>
      <w:r>
        <w:rPr>
          <w:b/>
        </w:rPr>
        <w:t xml:space="preserve">[870] </w:t>
      </w:r>
      <w:hyperlink r:id="rId1629">
        <w:r>
          <w:rPr>
            <w:color w:val="1155CC"/>
            <w:u w:val="single"/>
          </w:rPr>
          <w:t>从特洛伊木马到防AI考试：教授们如何应对学生对AI的使用</w:t>
        </w:r>
      </w:hyperlink>
    </w:p>
    <w:p>
      <w:pPr>
        <w:spacing w:before="0" w:after="80"/>
      </w:pPr>
      <w:r>
        <w:rPr>
          <w:i/>
          <w:sz w:val="20"/>
        </w:rPr>
        <w:t>EN: From Trojan horses to AI-proof exams: how professors are tackling students’ AI use</w:t>
      </w:r>
    </w:p>
    <w:p>
      <w:pPr>
        <w:spacing w:before="0" w:after="120"/>
      </w:pPr>
      <w:r>
        <w:rPr>
          <w:b/>
        </w:rPr>
        <w:t xml:space="preserve">Source: </w:t>
      </w:r>
      <w:r>
        <w:t>Nature</w:t>
      </w:r>
      <w:r>
        <w:t xml:space="preserve">    </w:t>
      </w:r>
      <w:r>
        <w:rPr>
          <w:b/>
        </w:rPr>
        <w:t xml:space="preserve">Pub date: </w:t>
      </w:r>
      <w:r>
        <w:t>2026-09-01 00:00:00+00:00</w:t>
      </w:r>
      <w:r>
        <w:t xml:space="preserve">    </w:t>
      </w:r>
      <w:r>
        <w:rPr>
          <w:b/>
        </w:rPr>
        <w:t xml:space="preserve">DOI: </w:t>
      </w:r>
      <w:hyperlink r:id="rId1630">
        <w:r>
          <w:rPr>
            <w:color w:val="1155CC"/>
            <w:u w:val="single"/>
          </w:rPr>
          <w:t>10.1038/d41586-026-02370-2</w:t>
        </w:r>
      </w:hyperlink>
    </w:p>
    <w:p>
      <w:pPr>
        <w:spacing w:before="0" w:after="120"/>
      </w:pPr>
      <w:r>
        <w:rPr>
          <w:b/>
        </w:rPr>
        <w:t xml:space="preserve">Notes: </w:t>
      </w:r>
      <w:r>
        <w:t>abstract_source=rss_nature</w:t>
      </w:r>
    </w:p>
    <w:p>
      <w:pPr>
        <w:spacing w:before="0" w:after="80" w:lineRule="auto" w:line="276"/>
      </w:pPr>
      <w:r>
        <w:rPr>
          <w:b/>
        </w:rPr>
        <w:t xml:space="preserve">摘要（ZH）: </w:t>
      </w:r>
      <w:r>
        <w:t>世界各地的高校教师正在重新思考他们的评估方式——从设计人工智能工具无法通过考试，到在任务中暗中嵌入AI提示以抓到作弊的学生。</w:t>
      </w:r>
    </w:p>
    <w:p>
      <w:pPr>
        <w:spacing w:before="0" w:after="200" w:lineRule="auto" w:line="276"/>
      </w:pPr>
      <w:r>
        <w:rPr>
          <w:b/>
        </w:rPr>
        <w:t xml:space="preserve">Abstract (EN): </w:t>
      </w:r>
      <w:r>
        <w:t>Academics worldwide are rethinking their assessment approaches — from developing exams that artificial-intelligence tools can’t pass to sneaking hidden AI prompts into tasks to catch cheating students.</w:t>
      </w:r>
    </w:p>
    <w:p>
      <w:pPr>
        <w:spacing w:before="120" w:after="120"/>
      </w:pPr>
      <w:r>
        <w:rPr>
          <w:sz w:val="18"/>
        </w:rPr>
        <w:t>——————————————————————————————————————————————————————————————————————</w:t>
      </w:r>
    </w:p>
    <w:p>
      <w:pPr>
        <w:spacing w:before="160" w:after="40" w:line="240" w:lineRule="auto"/>
      </w:pPr>
      <w:r>
        <w:rPr>
          <w:b/>
        </w:rPr>
        <w:t xml:space="preserve">[871] </w:t>
      </w:r>
      <w:hyperlink r:id="rId1631">
        <w:r>
          <w:rPr>
            <w:color w:val="1155CC"/>
            <w:u w:val="single"/>
          </w:rPr>
          <w:t>印度制定雄心勃勃的计划吸引科学家回流——这会奏效吗？</w:t>
        </w:r>
      </w:hyperlink>
    </w:p>
    <w:p>
      <w:pPr>
        <w:spacing w:before="0" w:after="80"/>
      </w:pPr>
      <w:r>
        <w:rPr>
          <w:i/>
          <w:sz w:val="20"/>
        </w:rPr>
        <w:t>EN: India has an ambitious plan to lure scientists back — will it work?</w:t>
      </w:r>
    </w:p>
    <w:p>
      <w:pPr>
        <w:spacing w:before="0" w:after="120"/>
      </w:pPr>
      <w:r>
        <w:rPr>
          <w:b/>
        </w:rPr>
        <w:t xml:space="preserve">Source: </w:t>
      </w:r>
      <w:r>
        <w:t>Nature</w:t>
      </w:r>
      <w:r>
        <w:t xml:space="preserve">    </w:t>
      </w:r>
      <w:r>
        <w:rPr>
          <w:b/>
        </w:rPr>
        <w:t xml:space="preserve">Pub date: </w:t>
      </w:r>
      <w:r>
        <w:t>2026-09-01 00:00:00+00:00</w:t>
      </w:r>
      <w:r>
        <w:t xml:space="preserve">    </w:t>
      </w:r>
      <w:r>
        <w:rPr>
          <w:b/>
        </w:rPr>
        <w:t xml:space="preserve">DOI: </w:t>
      </w:r>
      <w:hyperlink r:id="rId1632">
        <w:r>
          <w:rPr>
            <w:color w:val="1155CC"/>
            <w:u w:val="single"/>
          </w:rPr>
          <w:t>10.1038/d41586-026-02636-9</w:t>
        </w:r>
      </w:hyperlink>
    </w:p>
    <w:p>
      <w:pPr>
        <w:spacing w:before="0" w:after="120"/>
      </w:pPr>
      <w:r>
        <w:rPr>
          <w:b/>
        </w:rPr>
        <w:t xml:space="preserve">Notes: </w:t>
      </w:r>
      <w:r>
        <w:t>abstract_source=rss_nature</w:t>
      </w:r>
    </w:p>
    <w:p>
      <w:pPr>
        <w:spacing w:before="0" w:after="80" w:lineRule="auto" w:line="276"/>
      </w:pPr>
      <w:r>
        <w:rPr>
          <w:b/>
        </w:rPr>
        <w:t xml:space="preserve">摘要（ZH）: </w:t>
      </w:r>
      <w:r>
        <w:t>一些科学家表示，吸引在海外工作的印度研究人员回国的各项计划并未提供长期的收入保障。</w:t>
      </w:r>
    </w:p>
    <w:p>
      <w:pPr>
        <w:spacing w:before="0" w:after="200" w:lineRule="auto" w:line="276"/>
      </w:pPr>
      <w:r>
        <w:rPr>
          <w:b/>
        </w:rPr>
        <w:t xml:space="preserve">Abstract (EN): </w:t>
      </w:r>
      <w:r>
        <w:t>Initiatives to attract Indian researchers who are working abroad do not offer long-term income security, some scientists say.</w:t>
      </w:r>
    </w:p>
    <w:p>
      <w:pPr>
        <w:spacing w:before="120" w:after="120"/>
      </w:pPr>
      <w:r>
        <w:rPr>
          <w:sz w:val="18"/>
        </w:rPr>
        <w:t>——————————————————————————————————————————————————————————————————————</w:t>
      </w:r>
    </w:p>
    <w:p>
      <w:pPr>
        <w:spacing w:before="160" w:after="40" w:line="240" w:lineRule="auto"/>
      </w:pPr>
      <w:r>
        <w:rPr>
          <w:b/>
        </w:rPr>
        <w:t xml:space="preserve">[872] </w:t>
      </w:r>
      <w:hyperlink r:id="rId1633">
        <w:r>
          <w:rPr>
            <w:color w:val="1155CC"/>
            <w:u w:val="single"/>
          </w:rPr>
          <w:t>对基因组中每个DNA字母进行突变显示出令人惊讶的效应——以及AI的局限性</w:t>
        </w:r>
      </w:hyperlink>
    </w:p>
    <w:p>
      <w:pPr>
        <w:spacing w:before="0" w:after="80"/>
      </w:pPr>
      <w:r>
        <w:rPr>
          <w:i/>
          <w:sz w:val="20"/>
        </w:rPr>
        <w:t>EN: Mutating every DNA letter of a genome shows surprising effects — and the limits of AI</w:t>
      </w:r>
    </w:p>
    <w:p>
      <w:pPr>
        <w:spacing w:before="0" w:after="120"/>
      </w:pPr>
      <w:r>
        <w:rPr>
          <w:b/>
        </w:rPr>
        <w:t xml:space="preserve">Source: </w:t>
      </w:r>
      <w:r>
        <w:t>Nature</w:t>
      </w:r>
      <w:r>
        <w:t xml:space="preserve">    </w:t>
      </w:r>
      <w:r>
        <w:rPr>
          <w:b/>
        </w:rPr>
        <w:t xml:space="preserve">Pub date: </w:t>
      </w:r>
      <w:r>
        <w:t>2026-09-01 00:00:00+00:00</w:t>
      </w:r>
      <w:r>
        <w:t xml:space="preserve">    </w:t>
      </w:r>
      <w:r>
        <w:rPr>
          <w:b/>
        </w:rPr>
        <w:t xml:space="preserve">DOI: </w:t>
      </w:r>
      <w:hyperlink r:id="rId1634">
        <w:r>
          <w:rPr>
            <w:color w:val="1155CC"/>
            <w:u w:val="single"/>
          </w:rPr>
          <w:t>10.1038/d41586-026-02609-y</w:t>
        </w:r>
      </w:hyperlink>
    </w:p>
    <w:p>
      <w:pPr>
        <w:spacing w:before="0" w:after="120"/>
      </w:pPr>
      <w:r>
        <w:rPr>
          <w:b/>
        </w:rPr>
        <w:t xml:space="preserve">Notes: </w:t>
      </w:r>
      <w:r>
        <w:t>abstract_source=rss_nature</w:t>
      </w:r>
    </w:p>
    <w:p>
      <w:pPr>
        <w:spacing w:before="0" w:after="80" w:lineRule="auto" w:line="276"/>
      </w:pPr>
      <w:r>
        <w:rPr>
          <w:b/>
        </w:rPr>
        <w:t xml:space="preserve">摘要（ZH）: </w:t>
      </w:r>
      <w:r>
        <w:t>顶级人工智能模型未能预测改写病毒整个DNA代码所带来的生物学后果。</w:t>
      </w:r>
    </w:p>
    <w:p>
      <w:pPr>
        <w:spacing w:before="0" w:after="200" w:lineRule="auto" w:line="276"/>
      </w:pPr>
      <w:r>
        <w:rPr>
          <w:b/>
        </w:rPr>
        <w:t xml:space="preserve">Abstract (EN): </w:t>
      </w:r>
      <w:r>
        <w:t>Top artificial-intelligence models failed to predict the biological consequences of rewriting a virus's entire DNA code.</w:t>
      </w:r>
    </w:p>
    <w:p>
      <w:pPr>
        <w:spacing w:before="120" w:after="120"/>
      </w:pPr>
      <w:r>
        <w:rPr>
          <w:sz w:val="18"/>
        </w:rPr>
        <w:t>——————————————————————————————————————————————————————————————————————</w:t>
      </w:r>
    </w:p>
    <w:p>
      <w:pPr>
        <w:spacing w:before="160" w:after="40" w:line="240" w:lineRule="auto"/>
      </w:pPr>
      <w:r>
        <w:rPr>
          <w:b/>
        </w:rPr>
        <w:t xml:space="preserve">[873] </w:t>
      </w:r>
      <w:hyperlink r:id="rId1635">
        <w:r>
          <w:rPr>
            <w:color w:val="1155CC"/>
            <w:u w:val="single"/>
          </w:rPr>
          <w:t>这是对暗物质的首次一瞥吗？数据点令物理学家兴奋不已</w:t>
        </w:r>
      </w:hyperlink>
    </w:p>
    <w:p>
      <w:pPr>
        <w:spacing w:before="0" w:after="80"/>
      </w:pPr>
      <w:r>
        <w:rPr>
          <w:i/>
          <w:sz w:val="20"/>
        </w:rPr>
        <w:t>EN: Is this the first glimpse of dark matter? Data point excites physicists</w:t>
      </w:r>
    </w:p>
    <w:p>
      <w:pPr>
        <w:spacing w:before="0" w:after="120"/>
      </w:pPr>
      <w:r>
        <w:rPr>
          <w:b/>
        </w:rPr>
        <w:t xml:space="preserve">Source: </w:t>
      </w:r>
      <w:r>
        <w:t>Nature</w:t>
      </w:r>
      <w:r>
        <w:t xml:space="preserve">    </w:t>
      </w:r>
      <w:r>
        <w:rPr>
          <w:b/>
        </w:rPr>
        <w:t xml:space="preserve">Pub date: </w:t>
      </w:r>
      <w:r>
        <w:t>2026-09-01 00:00:00+00:00</w:t>
      </w:r>
      <w:r>
        <w:t xml:space="preserve">    </w:t>
      </w:r>
      <w:r>
        <w:rPr>
          <w:b/>
        </w:rPr>
        <w:t xml:space="preserve">DOI: </w:t>
      </w:r>
      <w:hyperlink r:id="rId1636">
        <w:r>
          <w:rPr>
            <w:color w:val="1155CC"/>
            <w:u w:val="single"/>
          </w:rPr>
          <w:t>10.1038/d41586-026-01985-9</w:t>
        </w:r>
      </w:hyperlink>
    </w:p>
    <w:p>
      <w:pPr>
        <w:spacing w:before="0" w:after="120"/>
      </w:pPr>
      <w:r>
        <w:rPr>
          <w:b/>
        </w:rPr>
        <w:t xml:space="preserve">Notes: </w:t>
      </w:r>
      <w:r>
        <w:t>abstract_source=rss_nature</w:t>
      </w:r>
    </w:p>
    <w:p>
      <w:pPr>
        <w:spacing w:before="0" w:after="80" w:lineRule="auto" w:line="276"/>
      </w:pPr>
      <w:r>
        <w:rPr>
          <w:b/>
        </w:rPr>
        <w:t xml:space="preserve">摘要（ZH）: </w:t>
      </w:r>
      <w:r>
        <w:t>一项实验探测到类似于人们长期寻找的弱相互作用大质量粒子（WIMP）所产生的能量闪光。</w:t>
      </w:r>
    </w:p>
    <w:p>
      <w:pPr>
        <w:spacing w:before="0" w:after="200" w:lineRule="auto" w:line="276"/>
      </w:pPr>
      <w:r>
        <w:rPr>
          <w:b/>
        </w:rPr>
        <w:t xml:space="preserve">Abstract (EN): </w:t>
      </w:r>
      <w:r>
        <w:t>An experiment spots an energy flash similar to that of the long-sought weakly interacting massive particle, or WIMP.</w:t>
      </w:r>
    </w:p>
    <w:p>
      <w:pPr>
        <w:spacing w:before="120" w:after="120"/>
      </w:pPr>
      <w:r>
        <w:rPr>
          <w:sz w:val="18"/>
        </w:rPr>
        <w:t>——————————————————————————————————————————————————————————————————————</w:t>
      </w:r>
    </w:p>
    <w:p>
      <w:pPr>
        <w:spacing w:before="160" w:after="40" w:line="240" w:lineRule="auto"/>
      </w:pPr>
      <w:r>
        <w:rPr>
          <w:b/>
        </w:rPr>
        <w:t xml:space="preserve">[874] </w:t>
      </w:r>
      <w:hyperlink r:id="rId1637">
        <w:r>
          <w:rPr>
            <w:color w:val="1155CC"/>
            <w:u w:val="single"/>
          </w:rPr>
          <w:t>全球塑料条约必须考虑冲突导致的能源不安全</w:t>
        </w:r>
      </w:hyperlink>
    </w:p>
    <w:p>
      <w:pPr>
        <w:spacing w:before="0" w:after="80"/>
      </w:pPr>
      <w:r>
        <w:rPr>
          <w:i/>
          <w:sz w:val="20"/>
        </w:rPr>
        <w:t>EN: The global plastics treaty must account for conflict-driven energy insecurity</w:t>
      </w:r>
    </w:p>
    <w:p>
      <w:pPr>
        <w:spacing w:before="0" w:after="120"/>
      </w:pPr>
      <w:r>
        <w:rPr>
          <w:b/>
        </w:rPr>
        <w:t xml:space="preserve">Source: </w:t>
      </w:r>
      <w:r>
        <w:t>Nature</w:t>
      </w:r>
      <w:r>
        <w:t xml:space="preserve">    </w:t>
      </w:r>
      <w:r>
        <w:rPr>
          <w:b/>
        </w:rPr>
        <w:t xml:space="preserve">Pub date: </w:t>
      </w:r>
      <w:r>
        <w:t>2026-09-01 00:00:00+00:00</w:t>
      </w:r>
      <w:r>
        <w:t xml:space="preserve">    </w:t>
      </w:r>
      <w:r>
        <w:rPr>
          <w:b/>
        </w:rPr>
        <w:t xml:space="preserve">DOI: </w:t>
      </w:r>
      <w:hyperlink r:id="rId1638">
        <w:r>
          <w:rPr>
            <w:color w:val="1155CC"/>
            <w:u w:val="single"/>
          </w:rPr>
          <w:t>10.1038/d41586-026-02738-4</w:t>
        </w:r>
      </w:hyperlink>
    </w:p>
    <w:p>
      <w:pPr>
        <w:spacing w:before="0" w:after="120"/>
      </w:pPr>
      <w:r>
        <w:rPr>
          <w:b/>
        </w:rPr>
        <w:t xml:space="preserve">Notes: </w:t>
      </w:r>
      <w:r>
        <w:t>abstract_source=nature_html</w:t>
      </w:r>
    </w:p>
    <w:p>
      <w:pPr>
        <w:spacing w:before="0" w:after="80" w:lineRule="auto" w:line="276"/>
      </w:pPr>
      <w:r>
        <w:rPr>
          <w:b/>
        </w:rPr>
        <w:t xml:space="preserve">摘要（ZH）: </w:t>
      </w:r>
      <w:r>
        <w:t>致编辑的信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[875] </w:t>
      </w:r>
      <w:hyperlink r:id="rId1639">
        <w:r>
          <w:rPr>
            <w:color w:val="1155CC"/>
            <w:u w:val="single"/>
          </w:rPr>
          <w:t>当AI从事科学研究时，谁来为错误负责？</w:t>
        </w:r>
      </w:hyperlink>
    </w:p>
    <w:p>
      <w:pPr>
        <w:spacing w:before="0" w:after="80"/>
      </w:pPr>
      <w:r>
        <w:rPr>
          <w:i/>
          <w:sz w:val="20"/>
        </w:rPr>
        <w:t>EN: When AI does science, who is accountable for mistakes?</w:t>
      </w:r>
    </w:p>
    <w:p>
      <w:pPr>
        <w:spacing w:before="0" w:after="120"/>
      </w:pPr>
      <w:r>
        <w:rPr>
          <w:b/>
        </w:rPr>
        <w:t xml:space="preserve">Source: </w:t>
      </w:r>
      <w:r>
        <w:t>Nature</w:t>
      </w:r>
      <w:r>
        <w:t xml:space="preserve">    </w:t>
      </w:r>
      <w:r>
        <w:rPr>
          <w:b/>
        </w:rPr>
        <w:t xml:space="preserve">Pub date: </w:t>
      </w:r>
      <w:r>
        <w:t>2026-09-01 00:00:00+00:00</w:t>
      </w:r>
      <w:r>
        <w:t xml:space="preserve">    </w:t>
      </w:r>
      <w:r>
        <w:rPr>
          <w:b/>
        </w:rPr>
        <w:t xml:space="preserve">DOI: </w:t>
      </w:r>
      <w:hyperlink r:id="rId1640">
        <w:r>
          <w:rPr>
            <w:color w:val="1155CC"/>
            <w:u w:val="single"/>
          </w:rPr>
          <w:t>10.1038/d41586-026-02735-7</w:t>
        </w:r>
      </w:hyperlink>
    </w:p>
    <w:p>
      <w:pPr>
        <w:spacing w:before="0" w:after="120"/>
      </w:pPr>
      <w:r>
        <w:rPr>
          <w:b/>
        </w:rPr>
        <w:t xml:space="preserve">Notes: </w:t>
      </w:r>
      <w:r>
        <w:t>abstract_source=nature_html</w:t>
      </w:r>
    </w:p>
    <w:p>
      <w:pPr>
        <w:spacing w:before="0" w:after="80" w:lineRule="auto" w:line="276"/>
      </w:pPr>
      <w:r>
        <w:rPr>
          <w:b/>
        </w:rPr>
        <w:t xml:space="preserve">摘要（ZH）: </w:t>
      </w:r>
      <w:r>
        <w:t>致编辑的信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[876] </w:t>
      </w:r>
      <w:hyperlink r:id="rId1641">
        <w:r>
          <w:rPr>
            <w:color w:val="1155CC"/>
            <w:u w:val="single"/>
          </w:rPr>
          <w:t>中国针对新兴生物技术的监管创新</w:t>
        </w:r>
      </w:hyperlink>
    </w:p>
    <w:p>
      <w:pPr>
        <w:spacing w:before="0" w:after="80"/>
      </w:pPr>
      <w:r>
        <w:rPr>
          <w:i/>
          <w:sz w:val="20"/>
        </w:rPr>
        <w:t>EN: China’s regulatory innovation for new biomedical technologies</w:t>
      </w:r>
    </w:p>
    <w:p>
      <w:pPr>
        <w:spacing w:before="0" w:after="120"/>
      </w:pPr>
      <w:r>
        <w:rPr>
          <w:b/>
        </w:rPr>
        <w:t xml:space="preserve">Source: </w:t>
      </w:r>
      <w:r>
        <w:t>Nature</w:t>
      </w:r>
      <w:r>
        <w:t xml:space="preserve">    </w:t>
      </w:r>
      <w:r>
        <w:rPr>
          <w:b/>
        </w:rPr>
        <w:t xml:space="preserve">Pub date: </w:t>
      </w:r>
      <w:r>
        <w:t>2026-09-01 00:00:00+00:00</w:t>
      </w:r>
      <w:r>
        <w:t xml:space="preserve">    </w:t>
      </w:r>
      <w:r>
        <w:rPr>
          <w:b/>
        </w:rPr>
        <w:t xml:space="preserve">DOI: </w:t>
      </w:r>
      <w:hyperlink r:id="rId1642">
        <w:r>
          <w:rPr>
            <w:color w:val="1155CC"/>
            <w:u w:val="single"/>
          </w:rPr>
          <w:t>10.1038/d41586-026-02737-5</w:t>
        </w:r>
      </w:hyperlink>
    </w:p>
    <w:p>
      <w:pPr>
        <w:spacing w:before="0" w:after="120"/>
      </w:pPr>
      <w:r>
        <w:rPr>
          <w:b/>
        </w:rPr>
        <w:t xml:space="preserve">Notes: </w:t>
      </w:r>
      <w:r>
        <w:t>abstract_source=nature_html</w:t>
      </w:r>
    </w:p>
    <w:p>
      <w:pPr>
        <w:spacing w:before="0" w:after="80" w:lineRule="auto" w:line="276"/>
      </w:pPr>
      <w:r>
        <w:rPr>
          <w:b/>
        </w:rPr>
        <w:t xml:space="preserve">摘要（ZH）: </w:t>
      </w:r>
      <w:r>
        <w:t>致编辑的信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[877] </w:t>
      </w:r>
      <w:hyperlink r:id="rId1643">
        <w:r>
          <w:rPr>
            <w:color w:val="1155CC"/>
            <w:u w:val="single"/>
          </w:rPr>
          <w:t>这些温室气体来源长着猪蹄和猪鼻子</w:t>
        </w:r>
      </w:hyperlink>
    </w:p>
    <w:p>
      <w:pPr>
        <w:spacing w:before="0" w:after="80"/>
      </w:pPr>
      <w:r>
        <w:rPr>
          <w:i/>
          <w:sz w:val="20"/>
        </w:rPr>
        <w:t>EN: These greenhouse-gas sources have trotters and snouts</w:t>
      </w:r>
    </w:p>
    <w:p>
      <w:pPr>
        <w:spacing w:before="0" w:after="120"/>
      </w:pPr>
      <w:r>
        <w:rPr>
          <w:b/>
        </w:rPr>
        <w:t xml:space="preserve">Source: </w:t>
      </w:r>
      <w:r>
        <w:t>Nature</w:t>
      </w:r>
      <w:r>
        <w:t xml:space="preserve">    </w:t>
      </w:r>
      <w:r>
        <w:rPr>
          <w:b/>
        </w:rPr>
        <w:t xml:space="preserve">Pub date: </w:t>
      </w:r>
      <w:r>
        <w:t>2026-09-01 00:00:00+00:00</w:t>
      </w:r>
      <w:r>
        <w:t xml:space="preserve">    </w:t>
      </w:r>
      <w:r>
        <w:rPr>
          <w:b/>
        </w:rPr>
        <w:t xml:space="preserve">DOI: </w:t>
      </w:r>
      <w:hyperlink r:id="rId1644">
        <w:r>
          <w:rPr>
            <w:color w:val="1155CC"/>
            <w:u w:val="single"/>
          </w:rPr>
          <w:t>10.1038/d41586-026-02734-8</w:t>
        </w:r>
      </w:hyperlink>
    </w:p>
    <w:p>
      <w:pPr>
        <w:spacing w:before="0" w:after="120"/>
      </w:pPr>
      <w:r>
        <w:rPr>
          <w:b/>
        </w:rPr>
        <w:t xml:space="preserve">Notes: </w:t>
      </w:r>
      <w:r>
        <w:t>abstract_source=rss_nature</w:t>
      </w:r>
    </w:p>
    <w:p>
      <w:pPr>
        <w:spacing w:before="0" w:after="80" w:lineRule="auto" w:line="276"/>
      </w:pPr>
      <w:r>
        <w:rPr>
          <w:b/>
        </w:rPr>
        <w:t xml:space="preserve">摘要（ZH）: </w:t>
      </w:r>
      <w:r>
        <w:t>在全球变暖相关的排放方面，野猪扰动土壤地点的排放量更高。</w:t>
      </w:r>
    </w:p>
    <w:p>
      <w:pPr>
        <w:spacing w:before="0" w:after="200" w:lineRule="auto" w:line="276"/>
      </w:pPr>
      <w:r>
        <w:rPr>
          <w:b/>
        </w:rPr>
        <w:t xml:space="preserve">Abstract (EN): </w:t>
      </w:r>
      <w:r>
        <w:t>Emissions linked to global warming are higher at sites where feral pigs disturb the soil.</w:t>
      </w:r>
    </w:p>
    <w:p>
      <w:pPr>
        <w:spacing w:before="120" w:after="120"/>
      </w:pPr>
      <w:r>
        <w:rPr>
          <w:sz w:val="18"/>
        </w:rPr>
        <w:t>——————————————————————————————————————————————————————————————————————</w:t>
      </w:r>
    </w:p>
    <w:p>
      <w:pPr>
        <w:spacing w:before="160" w:after="40" w:line="240" w:lineRule="auto"/>
      </w:pPr>
      <w:r>
        <w:rPr>
          <w:b/>
        </w:rPr>
        <w:t xml:space="preserve">[878] </w:t>
      </w:r>
      <w:hyperlink r:id="rId1645">
        <w:r>
          <w:rPr>
            <w:color w:val="1155CC"/>
            <w:u w:val="single"/>
          </w:rPr>
          <w:t>彗星之魅</w:t>
        </w:r>
      </w:hyperlink>
    </w:p>
    <w:p>
      <w:pPr>
        <w:spacing w:before="0" w:after="80"/>
      </w:pPr>
      <w:r>
        <w:rPr>
          <w:i/>
          <w:sz w:val="20"/>
        </w:rPr>
        <w:t>EN: Charmed by comets</w:t>
      </w:r>
    </w:p>
    <w:p>
      <w:pPr>
        <w:spacing w:before="0" w:after="120"/>
      </w:pPr>
      <w:r>
        <w:rPr>
          <w:b/>
        </w:rPr>
        <w:t xml:space="preserve">Source: </w:t>
      </w:r>
      <w:r>
        <w:t>Nature</w:t>
      </w:r>
      <w:r>
        <w:t xml:space="preserve">    </w:t>
      </w:r>
      <w:r>
        <w:rPr>
          <w:b/>
        </w:rPr>
        <w:t xml:space="preserve">Pub date: </w:t>
      </w:r>
      <w:r>
        <w:t>2026-09-01 00:00:00+00:00</w:t>
      </w:r>
      <w:r>
        <w:t xml:space="preserve">    </w:t>
      </w:r>
      <w:r>
        <w:rPr>
          <w:b/>
        </w:rPr>
        <w:t xml:space="preserve">DOI: </w:t>
      </w:r>
      <w:hyperlink r:id="rId1646">
        <w:r>
          <w:rPr>
            <w:color w:val="1155CC"/>
            <w:u w:val="single"/>
          </w:rPr>
          <w:t>10.1038/d41586-026-02383-x</w:t>
        </w:r>
      </w:hyperlink>
    </w:p>
    <w:p>
      <w:pPr>
        <w:spacing w:before="0" w:after="120"/>
      </w:pPr>
      <w:r>
        <w:rPr>
          <w:b/>
        </w:rPr>
        <w:t xml:space="preserve">Notes: </w:t>
      </w:r>
      <w:r>
        <w:t>abstract_source=rss_nature</w:t>
      </w:r>
    </w:p>
    <w:p>
      <w:pPr>
        <w:spacing w:before="0" w:after="80" w:lineRule="auto" w:line="276"/>
      </w:pPr>
      <w:r>
        <w:rPr>
          <w:b/>
        </w:rPr>
        <w:t xml:space="preserve">摘要（ZH）: </w:t>
      </w:r>
      <w:r>
        <w:t>长期以来深深吸引人们想象力的天文学，以及对阳光和户外空气有益健康的赞颂，尽在本周《自然》档案精选中。</w:t>
      </w:r>
    </w:p>
    <w:p>
      <w:pPr>
        <w:spacing w:before="0" w:after="200" w:lineRule="auto" w:line="276"/>
      </w:pPr>
      <w:r>
        <w:rPr>
          <w:b/>
        </w:rPr>
        <w:t xml:space="preserve">Abstract (EN): </w:t>
      </w:r>
      <w:r>
        <w:t>Astronomy that has long gripped people’s imagination, and a celebration of the health benefits of sunshine and the open air in this week’s pick from the Nature archive.</w:t>
      </w:r>
    </w:p>
    <w:p>
      <w:pPr>
        <w:spacing w:before="120" w:after="120"/>
      </w:pPr>
      <w:r>
        <w:rPr>
          <w:sz w:val="18"/>
        </w:rPr>
        <w:t>——————————————————————————————————————————————————————————————————————</w:t>
      </w:r>
    </w:p>
    <w:p>
      <w:pPr>
        <w:spacing w:before="160" w:after="40" w:line="240" w:lineRule="auto"/>
      </w:pPr>
      <w:r>
        <w:rPr>
          <w:b/>
        </w:rPr>
        <w:t xml:space="preserve">[879] </w:t>
      </w:r>
      <w:hyperlink r:id="rId1647">
        <w:r>
          <w:rPr>
            <w:color w:val="1155CC"/>
            <w:u w:val="single"/>
          </w:rPr>
          <w:t>作者更正：麻醉状态下人类海马体的可塑性与语言</w:t>
        </w:r>
      </w:hyperlink>
    </w:p>
    <w:p>
      <w:pPr>
        <w:spacing w:before="0" w:after="80"/>
      </w:pPr>
      <w:r>
        <w:rPr>
          <w:i/>
          <w:sz w:val="20"/>
        </w:rPr>
        <w:t>EN: Author Correction: Plasticity and language in the anaesthetized human hippocampus</w:t>
      </w:r>
    </w:p>
    <w:p>
      <w:pPr>
        <w:spacing w:before="0" w:after="120"/>
      </w:pPr>
      <w:r>
        <w:rPr>
          <w:b/>
        </w:rPr>
        <w:t xml:space="preserve">Source: </w:t>
      </w:r>
      <w:r>
        <w:t>Nature</w:t>
      </w:r>
      <w:r>
        <w:t xml:space="preserve">    </w:t>
      </w:r>
      <w:r>
        <w:rPr>
          <w:b/>
        </w:rPr>
        <w:t xml:space="preserve">Pub date: </w:t>
      </w:r>
      <w:r>
        <w:t>2026-09-01 00:00:00+00:00</w:t>
      </w:r>
      <w:r>
        <w:t xml:space="preserve">    </w:t>
      </w:r>
      <w:r>
        <w:rPr>
          <w:b/>
        </w:rPr>
        <w:t xml:space="preserve">DOI: </w:t>
      </w:r>
      <w:hyperlink r:id="rId1648">
        <w:r>
          <w:rPr>
            <w:color w:val="1155CC"/>
            <w:u w:val="single"/>
          </w:rPr>
          <w:t>10.1038/s41586-026-11071-9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[880] </w:t>
      </w:r>
      <w:hyperlink r:id="rId1649">
        <w:r>
          <w:rPr>
            <w:color w:val="1155CC"/>
            <w:u w:val="single"/>
          </w:rPr>
          <w:t>通过可切换的自由基和有机金属分选实现可编程烯烃骨架构建</w:t>
        </w:r>
      </w:hyperlink>
    </w:p>
    <w:p>
      <w:pPr>
        <w:spacing w:before="0" w:after="80"/>
      </w:pPr>
      <w:r>
        <w:rPr>
          <w:i/>
          <w:sz w:val="20"/>
        </w:rPr>
        <w:t>EN: Programmable alkene skeleton construction via switchable radical and organometallic sorting</w:t>
      </w:r>
    </w:p>
    <w:p>
      <w:pPr>
        <w:spacing w:before="0" w:after="120"/>
      </w:pPr>
      <w:r>
        <w:rPr>
          <w:b/>
        </w:rPr>
        <w:t xml:space="preserve">Source: </w:t>
      </w:r>
      <w:r>
        <w:t>Nature Chemistry</w:t>
      </w:r>
      <w:r>
        <w:t xml:space="preserve">    </w:t>
      </w:r>
      <w:r>
        <w:rPr>
          <w:b/>
        </w:rPr>
        <w:t xml:space="preserve">Pub date: </w:t>
      </w:r>
      <w:r>
        <w:t>2026-09-01 00:00:00+00:00</w:t>
      </w:r>
      <w:r>
        <w:t xml:space="preserve">    </w:t>
      </w:r>
      <w:r>
        <w:rPr>
          <w:b/>
        </w:rPr>
        <w:t xml:space="preserve">DOI: </w:t>
      </w:r>
      <w:hyperlink r:id="rId1650">
        <w:r>
          <w:rPr>
            <w:color w:val="1155CC"/>
            <w:u w:val="single"/>
          </w:rPr>
          <w:t>10.1038/s41557-026-02242-2</w:t>
        </w:r>
      </w:hyperlink>
    </w:p>
    <w:p>
      <w:pPr>
        <w:spacing w:before="0" w:after="120"/>
      </w:pPr>
      <w:r>
        <w:rPr>
          <w:b/>
        </w:rPr>
        <w:t xml:space="preserve">Notes: </w:t>
      </w:r>
      <w:r>
        <w:t>abstract_source=pubmed</w:t>
      </w:r>
    </w:p>
    <w:p>
      <w:pPr>
        <w:spacing w:before="0" w:after="80" w:lineRule="auto" w:line="276"/>
      </w:pPr>
      <w:r>
        <w:rPr>
          <w:b/>
        </w:rPr>
        <w:t xml:space="preserve">摘要（ZH）: </w:t>
      </w:r>
      <w:r>
        <w:t>复杂烯烃骨架（包括区域异构体、立体异构体和共轭同系物）的可编程一步合成，鉴于这些结构特征对分子功能的深远影响，一直是合成化学的长期目标。传统方法通常依赖于预设计的底物或刚性的反应路径，这往往限制了结构多样性。本文报道了一种镍催化的炔烃、有机卤化物和二硼试剂的顺序偶联反应。该方法不仅在炔烃双官能化中同时实现了区域选择性和独特的立体选择性调控，生成罕见的1,2-反式和2,1-顺式烯烃，还通过两个炔烃的受控掺入完成了共轭同系物的构建，从而实现了两种共轭二烯产物的罕见发散合成。机理研究表明，配体的电子性质调控有机金属物种与自由基的生成，而各种自由基固有的金属结合能力进一步调节其反应性，共同决定产物选择性。</w:t>
      </w:r>
    </w:p>
    <w:p>
      <w:pPr>
        <w:spacing w:before="0" w:after="200" w:lineRule="auto" w:line="276"/>
      </w:pPr>
      <w:r>
        <w:rPr>
          <w:b/>
        </w:rPr>
        <w:t xml:space="preserve">Abstract (EN): </w:t>
      </w:r>
      <w:r>
        <w:t>The programmable synthesis of complex alkene skeletons, including regioisomers, stereoisomers and conjugated homologues in a single operation, is a long-standing goal in synthetic chemistry, given the profound influence of these structural features on molecular function. Traditional methods typically rely on predesigned substrates or rigid reaction pathways, which often restrict structural diversity. Here we report a nickel-catalysed sequential coupling of alkynes, organohalides and a diboron reagent. This method not only simultaneously achieves regioselective and unique stereoselective modulation in alkyne difunctionalization, affording uncommon 1,2-trans and 2,1-cis alkenes, but also accomplishes the construction of conjugated homologues via the controlled incorporation of two alkynes, thereby achieving the rare divergent synthesis of two conjugated diene products. Mechanistic studies reveal that the electronic properties of the ligands regulate the generation of organometallic species versus radicals, while the intrinsic metal-binding ability of the various radicals further modulates their reactivity, collectively governing product selectivity.</w:t>
      </w:r>
    </w:p>
    <w:p>
      <w:pPr>
        <w:spacing w:before="120" w:after="120"/>
      </w:pPr>
      <w:r>
        <w:rPr>
          <w:sz w:val="18"/>
        </w:rPr>
        <w:t>——————————————————————————————————————————————————————————————————————</w:t>
      </w:r>
    </w:p>
    <w:p>
      <w:pPr>
        <w:spacing w:before="160" w:after="40" w:line="240" w:lineRule="auto"/>
      </w:pPr>
      <w:r>
        <w:rPr>
          <w:b/>
        </w:rPr>
        <w:t xml:space="preserve">[881] </w:t>
      </w:r>
      <w:hyperlink r:id="rId1651">
        <w:r>
          <w:rPr>
            <w:color w:val="1155CC"/>
            <w:u w:val="single"/>
          </w:rPr>
          <w:t>欧洲应适应而非照搬中国的实践型博士学位</w:t>
        </w:r>
      </w:hyperlink>
    </w:p>
    <w:p>
      <w:pPr>
        <w:spacing w:before="0" w:after="80"/>
      </w:pPr>
      <w:r>
        <w:rPr>
          <w:i/>
          <w:sz w:val="20"/>
        </w:rPr>
        <w:t>EN: Europe should adapt, not copy, China’s practical PhD</w:t>
      </w:r>
    </w:p>
    <w:p>
      <w:pPr>
        <w:spacing w:before="0" w:after="120"/>
      </w:pPr>
      <w:r>
        <w:rPr>
          <w:b/>
        </w:rPr>
        <w:t xml:space="preserve">Source: </w:t>
      </w:r>
      <w:r>
        <w:t>Nature</w:t>
      </w:r>
      <w:r>
        <w:t xml:space="preserve">    </w:t>
      </w:r>
      <w:r>
        <w:rPr>
          <w:b/>
        </w:rPr>
        <w:t xml:space="preserve">Pub date: </w:t>
      </w:r>
      <w:r>
        <w:t>2026-09-01 00:00:00+00:00</w:t>
      </w:r>
      <w:r>
        <w:t xml:space="preserve">    </w:t>
      </w:r>
      <w:r>
        <w:rPr>
          <w:b/>
        </w:rPr>
        <w:t xml:space="preserve">DOI: </w:t>
      </w:r>
      <w:hyperlink r:id="rId1652">
        <w:r>
          <w:rPr>
            <w:color w:val="1155CC"/>
            <w:u w:val="single"/>
          </w:rPr>
          <w:t>10.1038/d41586-026-02736-6</w:t>
        </w:r>
      </w:hyperlink>
    </w:p>
    <w:p>
      <w:pPr>
        <w:spacing w:before="0" w:after="120"/>
      </w:pPr>
      <w:r>
        <w:rPr>
          <w:b/>
        </w:rPr>
        <w:t xml:space="preserve">Notes: </w:t>
      </w:r>
      <w:r>
        <w:t>abstract_source=nature_html</w:t>
      </w:r>
    </w:p>
    <w:p>
      <w:pPr>
        <w:spacing w:before="0" w:after="80" w:lineRule="auto" w:line="276"/>
      </w:pPr>
      <w:r>
        <w:rPr>
          <w:b/>
        </w:rPr>
        <w:t xml:space="preserve">摘要（ZH）: </w:t>
      </w:r>
      <w:r>
        <w:t>致编辑信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[882] </w:t>
      </w:r>
      <w:hyperlink r:id="rId1653">
        <w:r>
          <w:rPr>
            <w:color w:val="1155CC"/>
            <w:u w:val="single"/>
          </w:rPr>
          <w:t>实验室情商指南</w:t>
        </w:r>
      </w:hyperlink>
    </w:p>
    <w:p>
      <w:pPr>
        <w:spacing w:before="0" w:after="80"/>
      </w:pPr>
      <w:r>
        <w:rPr>
          <w:i/>
          <w:sz w:val="20"/>
        </w:rPr>
        <w:t>EN: A guide to emotional intelligence in the lab</w:t>
      </w:r>
    </w:p>
    <w:p>
      <w:pPr>
        <w:spacing w:before="0" w:after="120"/>
      </w:pPr>
      <w:r>
        <w:rPr>
          <w:b/>
        </w:rPr>
        <w:t xml:space="preserve">Source: </w:t>
      </w:r>
      <w:r>
        <w:t>Nature</w:t>
      </w:r>
      <w:r>
        <w:t xml:space="preserve">    </w:t>
      </w:r>
      <w:r>
        <w:rPr>
          <w:b/>
        </w:rPr>
        <w:t xml:space="preserve">Pub date: </w:t>
      </w:r>
      <w:r>
        <w:t>2026-09-01 00:00:00+00:00</w:t>
      </w:r>
      <w:r>
        <w:t xml:space="preserve">    </w:t>
      </w:r>
      <w:r>
        <w:rPr>
          <w:b/>
        </w:rPr>
        <w:t xml:space="preserve">DOI: </w:t>
      </w:r>
      <w:hyperlink r:id="rId1654">
        <w:r>
          <w:rPr>
            <w:color w:val="1155CC"/>
            <w:u w:val="single"/>
          </w:rPr>
          <w:t>10.1038/d41586-026-02342-6</w:t>
        </w:r>
      </w:hyperlink>
    </w:p>
    <w:p>
      <w:pPr>
        <w:spacing w:before="0" w:after="120"/>
      </w:pPr>
      <w:r>
        <w:rPr>
          <w:b/>
        </w:rPr>
        <w:t xml:space="preserve">Notes: </w:t>
      </w:r>
      <w:r>
        <w:t>abstract_source=rss_nature</w:t>
      </w:r>
    </w:p>
    <w:p>
      <w:pPr>
        <w:spacing w:before="0" w:after="80" w:lineRule="auto" w:line="276"/>
      </w:pPr>
      <w:r>
        <w:rPr>
          <w:b/>
        </w:rPr>
        <w:t xml:space="preserve">摘要（ZH）: </w:t>
      </w:r>
      <w:r>
        <w:t>组织心理学家表示，学会管理自己的情绪可以帮助你应对工作中的一些棘手局面。</w:t>
      </w:r>
    </w:p>
    <w:p>
      <w:pPr>
        <w:spacing w:before="0" w:after="200" w:lineRule="auto" w:line="276"/>
      </w:pPr>
      <w:r>
        <w:rPr>
          <w:b/>
        </w:rPr>
        <w:t xml:space="preserve">Abstract (EN): </w:t>
      </w:r>
      <w:r>
        <w:t>Learning how to manage your feelings can help you to tackle some tricky situations at work, say organizational psychologists.</w:t>
      </w:r>
    </w:p>
    <w:p>
      <w:pPr>
        <w:spacing w:before="120" w:after="120"/>
      </w:pPr>
      <w:r>
        <w:rPr>
          <w:sz w:val="18"/>
        </w:rPr>
        <w:t>——————————————————————————————————————————————————————————————————————</w:t>
      </w:r>
    </w:p>
    <w:p>
      <w:pPr>
        <w:spacing w:before="160" w:after="40" w:line="240" w:lineRule="auto"/>
      </w:pPr>
      <w:r>
        <w:rPr>
          <w:b/>
        </w:rPr>
        <w:t xml:space="preserve">[883] </w:t>
      </w:r>
      <w:hyperlink r:id="rId1655">
        <w:r>
          <w:rPr>
            <w:color w:val="1155CC"/>
            <w:u w:val="single"/>
          </w:rPr>
          <w:t>MDHNet：通过多尺度分解融合全局趋势与局部波动用于超短期风电功率预测</w:t>
        </w:r>
      </w:hyperlink>
    </w:p>
    <w:p>
      <w:pPr>
        <w:spacing w:before="0" w:after="80"/>
      </w:pPr>
      <w:r>
        <w:rPr>
          <w:i/>
          <w:sz w:val="20"/>
        </w:rPr>
        <w:t>EN: MDHNet: Fusing global trends and local fluctuations via multi-scale decomposition for ultra-short-term wind power forecasting</w:t>
      </w:r>
    </w:p>
    <w:p>
      <w:pPr>
        <w:spacing w:before="0" w:after="120"/>
      </w:pPr>
      <w:r>
        <w:rPr>
          <w:b/>
        </w:rPr>
        <w:t xml:space="preserve">Source: </w:t>
      </w:r>
      <w:r>
        <w:t>ScienceDirect Publication: Applied Energy</w:t>
      </w:r>
      <w:r>
        <w:t xml:space="preserve">    </w:t>
      </w:r>
      <w:r>
        <w:rPr>
          <w:b/>
        </w:rPr>
        <w:t xml:space="preserve">Pub date: </w:t>
      </w:r>
      <w:r>
        <w:t>2026-09-01 00:00:00+00:00</w:t>
      </w:r>
      <w:r>
        <w:t xml:space="preserve">    </w:t>
      </w:r>
      <w:r>
        <w:rPr>
          <w:b/>
        </w:rPr>
        <w:t xml:space="preserve">DOI: </w:t>
      </w:r>
      <w:hyperlink r:id="rId1656">
        <w:r>
          <w:rPr>
            <w:color w:val="1155CC"/>
            <w:u w:val="single"/>
          </w:rPr>
          <w:t>10.1016/j.apenergy.2026.128732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[884] </w:t>
      </w:r>
      <w:hyperlink r:id="rId1657">
        <w:r>
          <w:rPr>
            <w:color w:val="1155CC"/>
            <w:u w:val="single"/>
          </w:rPr>
          <w:t>基于熵与可解释人工智能的风险自适应MPC用于低碳综合能源系统调度</w:t>
        </w:r>
      </w:hyperlink>
    </w:p>
    <w:p>
      <w:pPr>
        <w:spacing w:before="0" w:after="80"/>
      </w:pPr>
      <w:r>
        <w:rPr>
          <w:i/>
          <w:sz w:val="20"/>
        </w:rPr>
        <w:t>EN: Entropy and explainable AI based risk adaptive MPC for low-carbon integrated energy system scheduling</w:t>
      </w:r>
    </w:p>
    <w:p>
      <w:pPr>
        <w:spacing w:before="0" w:after="120"/>
      </w:pPr>
      <w:r>
        <w:rPr>
          <w:b/>
        </w:rPr>
        <w:t xml:space="preserve">Source: </w:t>
      </w:r>
      <w:r>
        <w:t>ScienceDirect Publication: Applied Energy</w:t>
      </w:r>
      <w:r>
        <w:t xml:space="preserve">    </w:t>
      </w:r>
      <w:r>
        <w:rPr>
          <w:b/>
        </w:rPr>
        <w:t xml:space="preserve">Pub date: </w:t>
      </w:r>
      <w:r>
        <w:t>2026-09-01 00:00:00+00:00</w:t>
      </w:r>
      <w:r>
        <w:t xml:space="preserve">    </w:t>
      </w:r>
      <w:r>
        <w:rPr>
          <w:b/>
        </w:rPr>
        <w:t xml:space="preserve">DOI: </w:t>
      </w:r>
      <w:hyperlink r:id="rId1658">
        <w:r>
          <w:rPr>
            <w:color w:val="1155CC"/>
            <w:u w:val="single"/>
          </w:rPr>
          <w:t>10.1016/j.apenergy.2026.128729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[885] </w:t>
      </w:r>
      <w:hyperlink r:id="rId1370">
        <w:r>
          <w:rPr>
            <w:color w:val="1155CC"/>
            <w:u w:val="single"/>
          </w:rPr>
          <w:t>融合金属-有机与氢键有机网络的杂化单晶介孔框架</w:t>
        </w:r>
      </w:hyperlink>
    </w:p>
    <w:p>
      <w:pPr>
        <w:spacing w:before="0" w:after="80"/>
      </w:pPr>
      <w:r>
        <w:rPr>
          <w:i/>
          <w:sz w:val="20"/>
        </w:rPr>
        <w:t>EN: Hybrid Single‐Crystalline Mesoporous Frameworks Merging Metal–Organic and Hydrogen‐Bonded Organic Networks</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370">
        <w:r>
          <w:rPr>
            <w:color w:val="1155CC"/>
            <w:u w:val="single"/>
          </w:rPr>
          <w:t>10.1002/anie.8195696</w:t>
        </w:r>
      </w:hyperlink>
    </w:p>
    <w:p>
      <w:pPr>
        <w:spacing w:before="0" w:after="120"/>
      </w:pPr>
      <w:r>
        <w:rPr>
          <w:b/>
        </w:rPr>
        <w:t xml:space="preserve">Notes: </w:t>
      </w:r>
      <w:r>
        <w:t>abstract_source=crossref</w:t>
      </w:r>
    </w:p>
    <w:p>
      <w:pPr>
        <w:spacing w:before="0" w:after="80" w:lineRule="auto" w:line="276"/>
      </w:pPr>
      <w:r>
        <w:rPr>
          <w:b/>
        </w:rPr>
        <w:t xml:space="preserve">摘要（ZH）: </w:t>
      </w:r>
      <w:r>
        <w:t>摘要 介孔材料是一类重要的多孔材料；然而，系统性地合成融合金属-有机网络和氢键有机网络的杂化单晶介孔骨架仍是一项巨大挑战。本文报道了一种杂化融合网络策略，将超分子氢键有机网络与单晶介孔金属-有机骨架（MOF）集成，在不牺牲固有介孔率的情况下显著增强了结构稳健性。含吡啶羧酸连接体与含铁三核簇的组装形成了具有(6,6)-连接6²T44网络的M-PPB，其中相邻连接体之间的定向O─H⋯N氢键形成一维氢键网络。与不稳定的母体(4,6)-连接stp-MOF相比，M-PPB——融合了金属-有机网络和氢键有机网络——表现出增强的稳健性并实现了完全孔率，孔体积为1.58 cm³ g⁻¹。我们进一步采用等网状扩展策略合成了扩展的MOFs——M-PPPB——含有约4.2 nm的介孔，孔体积高达2.77 cm³ g⁻¹。凭借其超高孔率，M-PPPB在159 K和10 bar下甲烷吸附量达1.047 g g⁻¹，几乎是M-PPB的两倍，而其在77 K和100 bar下的氢吸附量则增加约50%。</w:t>
      </w:r>
    </w:p>
    <w:p>
      <w:pPr>
        <w:spacing w:before="0" w:after="200" w:lineRule="auto" w:line="276"/>
      </w:pPr>
      <w:r>
        <w:rPr>
          <w:b/>
        </w:rPr>
        <w:t xml:space="preserve">Abstract (EN): </w:t>
      </w:r>
      <w:r>
        <w:t>Mesoporous materials represent an important class of porous materials; however, it remains a great challenge to systematically synthesize hybrid single‐crystalline mesoporous frameworks merging metal–organic and hydrogen‐bonded organic networks. Herein, we report a hybrid merged‐net strategy that integrates a supramolecular hydrogen‐bonded organic network with a single‐crystalline mesoporous metal–organic framework (MOF), significantly enhancing structural robustness without sacrificing intrinsic mesoporosity. The assembly of pyridine‐containing carboxylate linkers and iron‐containing trinuclear clusters affords M‐PPB featuring the (6,6)‐connected 6 2 T44 net, in which directional O─H⋯N hydrogen bonds between adjacent linkers form a one‐dimensional hydrogen‐bonded network. In contrast to the unstable parent (4,6)‐connected stp ‐MOF, M‐PPB—merging metal–organic and hydrogen‐bonded organic networks—exhibits enhanced robustness and achieves full porosity, displaying a pore volume of 1.58 cm 3 g − 1 . We further apply an isoreticular expansion strategy to synthesize extended MOFs—M‐PPPB—containing mesopores of about 4.2 nm and exhibiting a pore volume of up to 2.77 cm 3 g − 1 . On account of its ultrahigh porosity, M‐PPPB exhibits a methane uptake of 1.047 g g − 1 at 159 K and 10 bar, nearly twice that of M‐PPB, while its hydrogen uptake at 77 K and 100 bar increases by about 50%.</w:t>
      </w:r>
    </w:p>
    <w:p>
      <w:pPr>
        <w:spacing w:before="120" w:after="120"/>
      </w:pPr>
      <w:r>
        <w:rPr>
          <w:sz w:val="18"/>
        </w:rPr>
        <w:t>——————————————————————————————————————————————————————————————————————</w:t>
      </w:r>
    </w:p>
    <w:p>
      <w:pPr>
        <w:spacing w:before="160" w:after="40" w:line="240" w:lineRule="auto"/>
      </w:pPr>
      <w:r>
        <w:rPr>
          <w:b/>
        </w:rPr>
        <w:t xml:space="preserve">[886] </w:t>
      </w:r>
      <w:hyperlink r:id="rId1577">
        <w:r>
          <w:rPr>
            <w:color w:val="1155CC"/>
            <w:u w:val="single"/>
          </w:rPr>
          <w:t>设计用于广谱硫醇三氟甲基化的多层光阳极</w:t>
        </w:r>
      </w:hyperlink>
    </w:p>
    <w:p>
      <w:pPr>
        <w:spacing w:before="0" w:after="80"/>
      </w:pPr>
      <w:r>
        <w:rPr>
          <w:i/>
          <w:sz w:val="20"/>
        </w:rPr>
        <w:t>EN: Designing Multilayered Photoanodes for Broad‐Scope Thiol Trifluoromethylation</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77">
        <w:r>
          <w:rPr>
            <w:color w:val="1155CC"/>
            <w:u w:val="single"/>
          </w:rPr>
          <w:t>10.1002/anie.2725970</w:t>
        </w:r>
      </w:hyperlink>
    </w:p>
    <w:p>
      <w:pPr>
        <w:spacing w:before="0" w:after="120"/>
      </w:pPr>
      <w:r>
        <w:rPr>
          <w:b/>
        </w:rPr>
        <w:t xml:space="preserve">Notes: </w:t>
      </w:r>
      <w:r>
        <w:t>abstract_source=crossref</w:t>
      </w:r>
    </w:p>
    <w:p>
      <w:pPr>
        <w:spacing w:before="0" w:after="80" w:lineRule="auto" w:line="276"/>
      </w:pPr>
      <w:r>
        <w:rPr>
          <w:b/>
        </w:rPr>
        <w:t xml:space="preserve">摘要（ZH）: </w:t>
      </w:r>
      <w:r>
        <w:t>摘要 自由基有机合成中的宽泛底物普适性常常受限于底物依赖的自由基生成与高活性自由基物种快速、非选择性反应性之间的动力学失配。在本研究中，我们报道了负载Co 2 P的氮化碳（CN）量子点作为WO 3薄膜的助催化剂，构建了一种多层光阳极，命名为Co 2 P@CN‐WO 3。在450 nm光照下，对甲基苯硫酚与三氟甲磺酰氯的模型反应生成4‐(三氟甲硫基)甲苯，转化率达95%，选择性为91%，总产率为86.5%。该光阳极在连续运行84小时后仍保持约80%的活性。该方案可 remarkably 适用于84种硫醇底物，其中16种具有挑战性底物的产率可通过调整光电催化（PEC）系统参数进一步优化。机理研究表明，CN层改善了底物与界面的接触，而Co 2 P作为催化活性位点促进硫中心自由基的生成和S─CF 3键的形成，从而促进该硫醇三氟甲基化反应。这项工作为实现PEC宽范围自由基转化提供了一种光电极设计策略。</w:t>
      </w:r>
    </w:p>
    <w:p>
      <w:pPr>
        <w:spacing w:before="0" w:after="200" w:lineRule="auto" w:line="276"/>
      </w:pPr>
      <w:r>
        <w:rPr>
          <w:b/>
        </w:rPr>
        <w:t xml:space="preserve">Abstract (EN): </w:t>
      </w:r>
      <w:r>
        <w:t>Broad substrate generality in radical organic synthesis is often limited by the kinetic mismatch between substrate‐dependent radical generation and the rapid, nonselective reactivity of highly active radical species. In this study, we report the development of Co 2 P‐loaded carbon nitride (CN) dots as a cocatalyst for WO 3 films, creating a multilayered photoanode designated as Co 2 P@CN‐WO 3 . Under 450 nm irradiation, the model reaction of p ‐methylthiophenol with trifluoromethanesulfonyl chloride resulted in 4‐(trifluoromethylthio)toluene, achieving a conversion of 95%, a selectivity of 91%, and an overall yield of 86.5%. The photoanode retained ca. 80% activity after 84 h of continuous operation. The protocol was remarkably applicable to 84 thiol substrates, and the yields of 16 challenging substrates can be further optimized by adjusting the parameters of the photoelectrocatalysis (PEC) system. Mechanistic studies reveal that the CN layer improves substrate–interface contact, whereas Co 2 P serves as a catalytically active site for sulfur‐centered radical generation and S─CF 3 bond formation, promoting this thiol trifluoromethylation. This work provides a photoelectrode design strategy for achieving broad‐scope radical transformations by PEC.</w:t>
      </w:r>
    </w:p>
    <w:p>
      <w:pPr>
        <w:spacing w:before="120" w:after="120"/>
      </w:pPr>
      <w:r>
        <w:rPr>
          <w:sz w:val="18"/>
        </w:rPr>
        <w:t>——————————————————————————————————————————————————————————————————————</w:t>
      </w:r>
    </w:p>
    <w:p>
      <w:pPr>
        <w:spacing w:before="160" w:after="40" w:line="240" w:lineRule="auto"/>
      </w:pPr>
      <w:r>
        <w:rPr>
          <w:b/>
        </w:rPr>
        <w:t xml:space="preserve">[887] </w:t>
      </w:r>
      <w:hyperlink r:id="rId1659">
        <w:r>
          <w:rPr>
            <w:color w:val="1155CC"/>
            <w:u w:val="single"/>
          </w:rPr>
          <w:t>六埃厚二维氧化镓的铁电性</w:t>
        </w:r>
      </w:hyperlink>
    </w:p>
    <w:p>
      <w:pPr>
        <w:spacing w:before="0" w:after="80"/>
      </w:pPr>
      <w:r>
        <w:rPr>
          <w:i/>
          <w:sz w:val="20"/>
        </w:rPr>
        <w:t>EN: Ferroelectricity in six-ångström-thick two-dimensional gallium oxide</w:t>
      </w:r>
    </w:p>
    <w:p>
      <w:pPr>
        <w:spacing w:before="0" w:after="120"/>
      </w:pPr>
      <w:r>
        <w:rPr>
          <w:b/>
        </w:rPr>
        <w:t xml:space="preserve">Source: </w:t>
      </w:r>
      <w:r>
        <w:t>Nature Electronics</w:t>
      </w:r>
      <w:r>
        <w:t xml:space="preserve">    </w:t>
      </w:r>
      <w:r>
        <w:rPr>
          <w:b/>
        </w:rPr>
        <w:t xml:space="preserve">Pub date: </w:t>
      </w:r>
      <w:r>
        <w:t>2026-09-01 00:00:00+00:00</w:t>
      </w:r>
      <w:r>
        <w:t xml:space="preserve">    </w:t>
      </w:r>
      <w:r>
        <w:rPr>
          <w:b/>
        </w:rPr>
        <w:t xml:space="preserve">DOI: </w:t>
      </w:r>
      <w:hyperlink r:id="rId1660">
        <w:r>
          <w:rPr>
            <w:color w:val="1155CC"/>
            <w:u w:val="single"/>
          </w:rPr>
          <w:t>10.1038/s41928-026-01694-1</w:t>
        </w:r>
      </w:hyperlink>
    </w:p>
    <w:p>
      <w:pPr>
        <w:spacing w:before="0" w:after="120"/>
      </w:pPr>
      <w:r>
        <w:rPr>
          <w:b/>
        </w:rPr>
        <w:t xml:space="preserve">Notes: </w:t>
      </w:r>
      <w:r>
        <w:t>abstract_source=rss_nature</w:t>
      </w:r>
    </w:p>
    <w:p>
      <w:pPr>
        <w:spacing w:before="0" w:after="80" w:lineRule="auto" w:line="276"/>
      </w:pPr>
      <w:r>
        <w:rPr>
          <w:b/>
        </w:rPr>
        <w:t xml:space="preserve">摘要（ZH）: </w:t>
      </w:r>
      <w:r>
        <w:t>当β-Ga2O3减薄至半单胞极限时，可发生应变诱导的相变，产生本征铁电性，其极化翻转电压为0.8 V，满足互补金属–氧化物–半导体技术的电压等比例缩减要求。</w:t>
      </w:r>
    </w:p>
    <w:p>
      <w:pPr>
        <w:spacing w:before="0" w:after="200" w:lineRule="auto" w:line="276"/>
      </w:pPr>
      <w:r>
        <w:rPr>
          <w:b/>
        </w:rPr>
        <w:t xml:space="preserve">Abstract (EN): </w:t>
      </w:r>
      <w:r>
        <w:t>When β-Ga2O3 is thinned to the half-unit-cell limit, it can undergo a strain-induced phase transition that leads to intrinsic ferroelectricity with a polarization switching voltage of 0.8 V, meeting the voltage-scaling requirements of complementary metal–oxide–semiconductor technology.</w:t>
      </w:r>
    </w:p>
    <w:p>
      <w:pPr>
        <w:spacing w:before="120" w:after="120"/>
      </w:pPr>
      <w:r>
        <w:rPr>
          <w:sz w:val="18"/>
        </w:rPr>
        <w:t>——————————————————————————————————————————————————————————————————————</w:t>
      </w:r>
    </w:p>
    <w:p>
      <w:pPr>
        <w:spacing w:before="160" w:after="40" w:line="240" w:lineRule="auto"/>
      </w:pPr>
      <w:r>
        <w:rPr>
          <w:b/>
        </w:rPr>
        <w:t xml:space="preserve">[888] </w:t>
      </w:r>
      <w:hyperlink r:id="rId1661">
        <w:r>
          <w:rPr>
            <w:color w:val="1155CC"/>
            <w:u w:val="single"/>
          </w:rPr>
          <w:t>渗透增强剂的临床转化</w:t>
        </w:r>
      </w:hyperlink>
    </w:p>
    <w:p>
      <w:pPr>
        <w:spacing w:before="0" w:after="80"/>
      </w:pPr>
      <w:r>
        <w:rPr>
          <w:i/>
          <w:sz w:val="20"/>
        </w:rPr>
        <w:t>EN: Clinical translation of permeation enhancers</w:t>
      </w:r>
    </w:p>
    <w:p>
      <w:pPr>
        <w:spacing w:before="0" w:after="120"/>
      </w:pPr>
      <w:r>
        <w:rPr>
          <w:b/>
        </w:rPr>
        <w:t xml:space="preserve">Source: </w:t>
      </w:r>
      <w:r>
        <w:t>Nature Reviews Materials</w:t>
      </w:r>
      <w:r>
        <w:t xml:space="preserve">    </w:t>
      </w:r>
      <w:r>
        <w:rPr>
          <w:b/>
        </w:rPr>
        <w:t xml:space="preserve">Pub date: </w:t>
      </w:r>
      <w:r>
        <w:t>2026-09-01 00:00:00+00:00</w:t>
      </w:r>
      <w:r>
        <w:t xml:space="preserve">    </w:t>
      </w:r>
      <w:r>
        <w:rPr>
          <w:b/>
        </w:rPr>
        <w:t xml:space="preserve">DOI: </w:t>
      </w:r>
      <w:hyperlink r:id="rId1662">
        <w:r>
          <w:rPr>
            <w:color w:val="1155CC"/>
            <w:u w:val="single"/>
          </w:rPr>
          <w:t>10.1038/s41578-026-00954-y</w:t>
        </w:r>
      </w:hyperlink>
    </w:p>
    <w:p>
      <w:pPr>
        <w:spacing w:before="0" w:after="120"/>
      </w:pPr>
      <w:r>
        <w:rPr>
          <w:b/>
        </w:rPr>
        <w:t xml:space="preserve">Notes: </w:t>
      </w:r>
      <w:r>
        <w:t>abstract_source=rss_nature</w:t>
      </w:r>
    </w:p>
    <w:p>
      <w:pPr>
        <w:spacing w:before="0" w:after="80" w:lineRule="auto" w:line="276"/>
      </w:pPr>
      <w:r>
        <w:rPr>
          <w:b/>
        </w:rPr>
        <w:t xml:space="preserve">摘要（ZH）: </w:t>
      </w:r>
      <w:r>
        <w:t>渗透增强剂正在改变克服治疗递送中生物屏障的策略。本视角批判性地评估了其机制、临床证据、转化挑战和监管考量，并概述了在不同递送途径中实现更广泛治疗应用的新兴机遇。</w:t>
      </w:r>
    </w:p>
    <w:p>
      <w:pPr>
        <w:spacing w:before="0" w:after="200" w:lineRule="auto" w:line="276"/>
      </w:pPr>
      <w:r>
        <w:rPr>
          <w:b/>
        </w:rPr>
        <w:t xml:space="preserve">Abstract (EN): </w:t>
      </w:r>
      <w:r>
        <w:t>Permeation enhancers are transforming strategies for overcoming biological barriers in therapeutic delivery. This Perspective critically evaluates their mechanisms, clinical evidence, translational challenges and regulatory considerations and outlines emerging opportunities to enable broader therapeutic application across diverse delivery routes.</w:t>
      </w:r>
    </w:p>
    <w:p>
      <w:pPr>
        <w:spacing w:before="120" w:after="120"/>
      </w:pPr>
      <w:r>
        <w:rPr>
          <w:sz w:val="18"/>
        </w:rPr>
        <w:t>——————————————————————————————————————————————————————————————————————</w:t>
      </w:r>
    </w:p>
    <w:p>
      <w:pPr>
        <w:spacing w:before="160" w:after="40" w:line="240" w:lineRule="auto"/>
      </w:pPr>
      <w:r>
        <w:rPr>
          <w:b/>
        </w:rPr>
        <w:t xml:space="preserve">[889] </w:t>
      </w:r>
      <w:hyperlink r:id="rId1663">
        <w:r>
          <w:rPr>
            <w:color w:val="1155CC"/>
            <w:u w:val="single"/>
          </w:rPr>
          <w:t>每日简报：下一代龙虾</w:t>
        </w:r>
      </w:hyperlink>
    </w:p>
    <w:p>
      <w:pPr>
        <w:spacing w:before="0" w:after="80"/>
      </w:pPr>
      <w:r>
        <w:rPr>
          <w:i/>
          <w:sz w:val="20"/>
        </w:rPr>
        <w:t>EN: Daily briefing: The next generation of lobsters</w:t>
      </w:r>
    </w:p>
    <w:p>
      <w:pPr>
        <w:spacing w:before="0" w:after="120"/>
      </w:pPr>
      <w:r>
        <w:rPr>
          <w:b/>
        </w:rPr>
        <w:t xml:space="preserve">Source: </w:t>
      </w:r>
      <w:r>
        <w:t>Nature</w:t>
      </w:r>
      <w:r>
        <w:t xml:space="preserve">    </w:t>
      </w:r>
      <w:r>
        <w:rPr>
          <w:b/>
        </w:rPr>
        <w:t xml:space="preserve">Pub date: </w:t>
      </w:r>
      <w:r>
        <w:t>2026-09-01 00:00:00+00:00</w:t>
      </w:r>
      <w:r>
        <w:t xml:space="preserve">    </w:t>
      </w:r>
      <w:r>
        <w:rPr>
          <w:b/>
        </w:rPr>
        <w:t xml:space="preserve">DOI: </w:t>
      </w:r>
      <w:hyperlink r:id="rId1664">
        <w:r>
          <w:rPr>
            <w:color w:val="1155CC"/>
            <w:u w:val="single"/>
          </w:rPr>
          <w:t>10.1038/d41586-026-02756-2</w:t>
        </w:r>
      </w:hyperlink>
    </w:p>
    <w:p>
      <w:pPr>
        <w:spacing w:before="0" w:after="120"/>
      </w:pPr>
      <w:r>
        <w:rPr>
          <w:b/>
        </w:rPr>
        <w:t xml:space="preserve">Notes: </w:t>
      </w:r>
      <w:r>
        <w:t>abstract_source=rss_nature</w:t>
      </w:r>
    </w:p>
    <w:p>
      <w:pPr>
        <w:spacing w:before="0" w:after="80" w:lineRule="auto" w:line="276"/>
      </w:pPr>
      <w:r>
        <w:rPr>
          <w:b/>
        </w:rPr>
        <w:t xml:space="preserve">摘要（ZH）: </w:t>
      </w:r>
      <w:r>
        <w:t>欣赏本月最佳科学图片。此外，时间守护者为何急于取消闰秒，以及Meta的法律和解是否会让学生们在社交媒体上更安全。</w:t>
      </w:r>
    </w:p>
    <w:p>
      <w:pPr>
        <w:spacing w:before="0" w:after="200" w:lineRule="auto" w:line="276"/>
      </w:pPr>
      <w:r>
        <w:rPr>
          <w:b/>
        </w:rPr>
        <w:t xml:space="preserve">Abstract (EN): </w:t>
      </w:r>
      <w:r>
        <w:t>Marvel at the month’s best science images. Plus, why timekeepers are rushing to get rid of the leap second and whether Meta’s legal settlement will make social media safer for kids.</w:t>
      </w:r>
    </w:p>
    <w:p>
      <w:pPr>
        <w:spacing w:before="120" w:after="120"/>
      </w:pPr>
      <w:r>
        <w:rPr>
          <w:sz w:val="18"/>
        </w:rPr>
        <w:t>——————————————————————————————————————————————————————————————————————</w:t>
      </w:r>
    </w:p>
    <w:p>
      <w:pPr>
        <w:spacing w:before="160" w:after="40" w:line="240" w:lineRule="auto"/>
      </w:pPr>
      <w:r>
        <w:rPr>
          <w:b/>
        </w:rPr>
        <w:t xml:space="preserve">[890] </w:t>
      </w:r>
      <w:hyperlink r:id="rId1665">
        <w:r>
          <w:rPr>
            <w:color w:val="1155CC"/>
            <w:u w:val="single"/>
          </w:rPr>
          <w:t>用于靶向RNA递送的脂质纳米颗粒系统级设计</w:t>
        </w:r>
      </w:hyperlink>
    </w:p>
    <w:p>
      <w:pPr>
        <w:spacing w:before="0" w:after="80"/>
      </w:pPr>
      <w:r>
        <w:rPr>
          <w:i/>
          <w:sz w:val="20"/>
        </w:rPr>
        <w:t>EN: System-level design of lipid nanoparticles for targeted RNA delivery</w:t>
      </w:r>
    </w:p>
    <w:p>
      <w:pPr>
        <w:spacing w:before="0" w:after="120"/>
      </w:pPr>
      <w:r>
        <w:rPr>
          <w:b/>
        </w:rPr>
        <w:t xml:space="preserve">Source: </w:t>
      </w:r>
      <w:r>
        <w:t>Nature Chemical Engineering</w:t>
      </w:r>
      <w:r>
        <w:t xml:space="preserve">    </w:t>
      </w:r>
      <w:r>
        <w:rPr>
          <w:b/>
        </w:rPr>
        <w:t xml:space="preserve">Pub date: </w:t>
      </w:r>
      <w:r>
        <w:t>2026-09-01 00:00:00+00:00</w:t>
      </w:r>
      <w:r>
        <w:t xml:space="preserve">    </w:t>
      </w:r>
      <w:r>
        <w:rPr>
          <w:b/>
        </w:rPr>
        <w:t xml:space="preserve">DOI: </w:t>
      </w:r>
      <w:hyperlink r:id="rId1666">
        <w:r>
          <w:rPr>
            <w:color w:val="1155CC"/>
            <w:u w:val="single"/>
          </w:rPr>
          <w:t>10.1038/s44286-026-00431-x</w:t>
        </w:r>
      </w:hyperlink>
    </w:p>
    <w:p>
      <w:pPr>
        <w:spacing w:before="0" w:after="120"/>
      </w:pPr>
      <w:r>
        <w:rPr>
          <w:b/>
        </w:rPr>
        <w:t xml:space="preserve">Notes: </w:t>
      </w:r>
      <w:r>
        <w:t>abstract_source=rss_nature</w:t>
      </w:r>
    </w:p>
    <w:p>
      <w:pPr>
        <w:spacing w:before="0" w:after="80" w:lineRule="auto" w:line="276"/>
      </w:pPr>
      <w:r>
        <w:rPr>
          <w:b/>
        </w:rPr>
        <w:t xml:space="preserve">摘要（ZH）: </w:t>
      </w:r>
      <w:r>
        <w:t>核酸和基因疗法有望彻底改变癌症、遗传疾病、神经系统疾病等多种疾病的治疗。本评论讨论了在设计用于核酸靶向递送的脂质纳米颗粒时应考虑的跨尺度关键生物学现象，以及用于研究这些现象的计算和高通量技术。</w:t>
      </w:r>
    </w:p>
    <w:p>
      <w:pPr>
        <w:spacing w:before="0" w:after="200" w:lineRule="auto" w:line="276"/>
      </w:pPr>
      <w:r>
        <w:rPr>
          <w:b/>
        </w:rPr>
        <w:t xml:space="preserve">Abstract (EN): </w:t>
      </w:r>
      <w:r>
        <w:t>Nucleic acid and gene therapies stand to revolutionize the treatment of cancers, genetic diseases, neurological disorders, and more. This Comment discusses critical biological phenomena across scales that should be considered when designing lipid nanoparticles for targeted delivery of nucleic acids, as well as computational and high-throughput technologies for studying these phenomena.</w:t>
      </w:r>
    </w:p>
    <w:p>
      <w:pPr>
        <w:spacing w:before="120" w:after="120"/>
      </w:pPr>
      <w:r>
        <w:rPr>
          <w:sz w:val="18"/>
        </w:rPr>
        <w:t>——————————————————————————————————————————————————————————————————————</w:t>
      </w:r>
    </w:p>
    <w:p>
      <w:pPr>
        <w:spacing w:before="160" w:after="40" w:line="240" w:lineRule="auto"/>
      </w:pPr>
      <w:r>
        <w:rPr>
          <w:b/>
        </w:rPr>
        <w:t xml:space="preserve">[891] </w:t>
      </w:r>
      <w:hyperlink r:id="rId1667">
        <w:r>
          <w:rPr>
            <w:color w:val="1155CC"/>
            <w:u w:val="single"/>
          </w:rPr>
          <w:t>纳米孔实现儿茶酚胺相关苯丙氨酸代谢的实时监测</w:t>
        </w:r>
      </w:hyperlink>
    </w:p>
    <w:p>
      <w:pPr>
        <w:spacing w:before="0" w:after="80"/>
      </w:pPr>
      <w:r>
        <w:rPr>
          <w:i/>
          <w:sz w:val="20"/>
        </w:rPr>
        <w:t>EN: Nanopore-enabled time-resolved monitoring of catecholamine-related phenylalanine metabolism</w:t>
      </w:r>
    </w:p>
    <w:p>
      <w:pPr>
        <w:spacing w:before="0" w:after="120"/>
      </w:pPr>
      <w:r>
        <w:rPr>
          <w:b/>
        </w:rPr>
        <w:t xml:space="preserve">Source: </w:t>
      </w:r>
      <w:r>
        <w:t>Nature Nanotechnology</w:t>
      </w:r>
      <w:r>
        <w:t xml:space="preserve">    </w:t>
      </w:r>
      <w:r>
        <w:rPr>
          <w:b/>
        </w:rPr>
        <w:t xml:space="preserve">Pub date: </w:t>
      </w:r>
      <w:r>
        <w:t>2026-09-01 00:00:00+00:00</w:t>
      </w:r>
      <w:r>
        <w:t xml:space="preserve">    </w:t>
      </w:r>
      <w:r>
        <w:rPr>
          <w:b/>
        </w:rPr>
        <w:t xml:space="preserve">DOI: </w:t>
      </w:r>
      <w:hyperlink r:id="rId1668">
        <w:r>
          <w:rPr>
            <w:color w:val="1155CC"/>
            <w:u w:val="single"/>
          </w:rPr>
          <w:t>10.1038/s41565-026-02273-3</w:t>
        </w:r>
      </w:hyperlink>
    </w:p>
    <w:p>
      <w:pPr>
        <w:spacing w:before="0" w:after="120"/>
      </w:pPr>
      <w:r>
        <w:rPr>
          <w:b/>
        </w:rPr>
        <w:t xml:space="preserve">Notes: </w:t>
      </w:r>
      <w:r>
        <w:t>abstract_source=pubmed</w:t>
      </w:r>
    </w:p>
    <w:p>
      <w:pPr>
        <w:spacing w:before="0" w:after="80" w:lineRule="auto" w:line="276"/>
      </w:pPr>
      <w:r>
        <w:rPr>
          <w:b/>
        </w:rPr>
        <w:t xml:space="preserve">摘要（ZH）: </w:t>
      </w:r>
      <w:r>
        <w:t>儿茶酚胺类物质，包括多巴胺、去甲肾上腺素（也称norepinephrine）和肾上腺素（也称epinephrine），是神经和内分泌功能的重要调节因子。尽管它们通过分支的苯丙氨酸代谢途径合成，但对控制其产生的酶学过程进行直接、动态的监测一直具有挑战性。在此，我们利用纯化的酶和辅因子在体外重构了从苯丙氨酸到肾上腺素的完整儿茶酚胺生物合成途径，并将该系统与基于纳米孔的单分子传感相结合。通过在单一纳米孔平台上整合两种正交的分子识别模式，我们实现了对整个途径中所有代谢中间体和终产物的高特异性检测。实时监测使我们能够在单分子分辨率下直接观察途径进程和调控扰动。利用该方法，我们表明6-甲基异硫氰酸酯会破坏儿茶酚胺的生物合成，为碘酪氨酸脱卤酶1（DEHAL1）缺乏如何损害儿茶酚胺生成提供了机制性见解。总之，这一整合的酶学与无标记纳米孔传感平台实现了对神经递质代谢和调控的时间分辨剖析，并为以单分子分辨率研究复杂生化途径提供了通用框架。</w:t>
      </w:r>
    </w:p>
    <w:p>
      <w:pPr>
        <w:spacing w:before="0" w:after="200" w:lineRule="auto" w:line="276"/>
      </w:pPr>
      <w:r>
        <w:rPr>
          <w:b/>
        </w:rPr>
        <w:t xml:space="preserve">Abstract (EN): </w:t>
      </w:r>
      <w:r>
        <w:t>Catecholamines, including dopamine, noradrenaline (also known as norepinephrine) and adrenaline (also known as epinephrine), are essential regulators of neural and endocrine function. Although they are synthesized through a branched phenylalanine metabolic pathway, direct and dynamic monitoring of the enzymatic processes governing their production has remained challenging. Here we reconstitute the complete catecholamine biosynthetic pathway from phenylalanine to adrenaline in vitro using purified enzymes and cofactors, and couple this system with nanopore-based single-molecule sensing. By integrating two orthogonal molecular recognition modalities within a single nanopore platform, we achieve highly specific detection of all metabolic intermediates and end products throughout the pathway. Real-time monitoring enables direct observation of pathway progression and regulatory perturbations at single-molecule resolution. Using this approach, we show that 6-methylisothiocyanate disrupts catecholamine biosynthesis, providing mechanistic insight into how iodotyrosine dehalogenase 1 (DEHAL1) deficiency may compromise catecholamine production. Together, this integrated enzymology and label-free nanopore sensing platform enables time-resolved dissection of neurotransmitter metabolism and regulation, and offers a general framework for studying complex biochemical pathways with single-molecule resolution.</w:t>
      </w:r>
    </w:p>
    <w:p>
      <w:pPr>
        <w:spacing w:before="120" w:after="120"/>
      </w:pPr>
      <w:r>
        <w:rPr>
          <w:sz w:val="18"/>
        </w:rPr>
        <w:t>——————————————————————————————————————————————————————————————————————</w:t>
      </w:r>
    </w:p>
    <w:p>
      <w:pPr>
        <w:spacing w:before="160" w:after="40" w:line="240" w:lineRule="auto"/>
      </w:pPr>
      <w:r>
        <w:rPr>
          <w:b/>
        </w:rPr>
        <w:t xml:space="preserve">[892] </w:t>
      </w:r>
      <w:hyperlink r:id="rId1669">
        <w:r>
          <w:rPr>
            <w:color w:val="1155CC"/>
            <w:u w:val="single"/>
          </w:rPr>
          <w:t>隐藏谷将钙钛矿光电子学推向新高</w:t>
        </w:r>
      </w:hyperlink>
    </w:p>
    <w:p>
      <w:pPr>
        <w:spacing w:before="0" w:after="80"/>
      </w:pPr>
      <w:r>
        <w:rPr>
          <w:i/>
          <w:sz w:val="20"/>
        </w:rPr>
        <w:t>EN: Hidden valleys spin perovskite optoelectronics up</w:t>
      </w:r>
    </w:p>
    <w:p>
      <w:pPr>
        <w:spacing w:before="0" w:after="120"/>
      </w:pPr>
      <w:r>
        <w:rPr>
          <w:b/>
        </w:rPr>
        <w:t xml:space="preserve">Source: </w:t>
      </w:r>
      <w:r>
        <w:t>Nature Nanotechnology</w:t>
      </w:r>
      <w:r>
        <w:t xml:space="preserve">    </w:t>
      </w:r>
      <w:r>
        <w:rPr>
          <w:b/>
        </w:rPr>
        <w:t xml:space="preserve">Pub date: </w:t>
      </w:r>
      <w:r>
        <w:t>2026-09-01 00:00:00+00:00</w:t>
      </w:r>
      <w:r>
        <w:t xml:space="preserve">    </w:t>
      </w:r>
      <w:r>
        <w:rPr>
          <w:b/>
        </w:rPr>
        <w:t xml:space="preserve">DOI: </w:t>
      </w:r>
      <w:hyperlink r:id="rId1670">
        <w:r>
          <w:rPr>
            <w:color w:val="1155CC"/>
            <w:u w:val="single"/>
          </w:rPr>
          <w:t>10.1038/s41565-026-02269-z</w:t>
        </w:r>
      </w:hyperlink>
    </w:p>
    <w:p>
      <w:pPr>
        <w:spacing w:before="0" w:after="120"/>
      </w:pPr>
      <w:r>
        <w:rPr>
          <w:b/>
        </w:rPr>
        <w:t xml:space="preserve">Notes: </w:t>
      </w:r>
      <w:r>
        <w:t>abstract_source=rss_nature</w:t>
      </w:r>
    </w:p>
    <w:p>
      <w:pPr>
        <w:spacing w:before="0" w:after="80" w:lineRule="auto" w:line="276"/>
      </w:pPr>
      <w:r>
        <w:rPr>
          <w:b/>
        </w:rPr>
        <w:t xml:space="preserve">摘要（ZH）: </w:t>
      </w:r>
      <w:r>
        <w:t>通过局部对称性破缺将连续自旋织构转化为离散的隐藏能谷，可在二维钙钛矿中实现长寿命的室温自旋调控。</w:t>
      </w:r>
    </w:p>
    <w:p>
      <w:pPr>
        <w:spacing w:before="0" w:after="200" w:lineRule="auto" w:line="276"/>
      </w:pPr>
      <w:r>
        <w:rPr>
          <w:b/>
        </w:rPr>
        <w:t xml:space="preserve">Abstract (EN): </w:t>
      </w:r>
      <w:r>
        <w:t>Converting continuous spin textures into discrete hidden valleys via local symmetry breaking unlocks long-lived, room-temperature spin control in two-dimensional perovskites.</w:t>
      </w:r>
    </w:p>
    <w:p>
      <w:pPr>
        <w:spacing w:before="120" w:after="120"/>
      </w:pPr>
      <w:r>
        <w:rPr>
          <w:sz w:val="18"/>
        </w:rPr>
        <w:t>——————————————————————————————————————————————————————————————————————</w:t>
      </w:r>
    </w:p>
    <w:p>
      <w:pPr>
        <w:spacing w:before="160" w:after="40" w:line="240" w:lineRule="auto"/>
      </w:pPr>
      <w:r>
        <w:rPr>
          <w:b/>
        </w:rPr>
        <w:t xml:space="preserve">[893] </w:t>
      </w:r>
      <w:hyperlink r:id="rId1671">
        <w:r>
          <w:rPr>
            <w:color w:val="1155CC"/>
            <w:u w:val="single"/>
          </w:rPr>
          <w:t>海草渔业揭示海洋保护的贫困维度</w:t>
        </w:r>
      </w:hyperlink>
    </w:p>
    <w:p>
      <w:pPr>
        <w:spacing w:before="0" w:after="80"/>
      </w:pPr>
      <w:r>
        <w:rPr>
          <w:i/>
          <w:sz w:val="20"/>
        </w:rPr>
        <w:t>EN: Seagrass fisheries expose the poverty dimensions of marine conservation</w:t>
      </w:r>
    </w:p>
    <w:p>
      <w:pPr>
        <w:spacing w:before="0" w:after="120"/>
      </w:pPr>
      <w:r>
        <w:rPr>
          <w:b/>
        </w:rPr>
        <w:t xml:space="preserve">Source: </w:t>
      </w:r>
      <w:r>
        <w:t>Nature Sustainability</w:t>
      </w:r>
      <w:r>
        <w:t xml:space="preserve">    </w:t>
      </w:r>
      <w:r>
        <w:rPr>
          <w:b/>
        </w:rPr>
        <w:t xml:space="preserve">Pub date: </w:t>
      </w:r>
      <w:r>
        <w:t>2026-09-01 00:00:00+00:00</w:t>
      </w:r>
      <w:r>
        <w:t xml:space="preserve">    </w:t>
      </w:r>
      <w:r>
        <w:rPr>
          <w:b/>
        </w:rPr>
        <w:t xml:space="preserve">DOI: </w:t>
      </w:r>
      <w:hyperlink r:id="rId1672">
        <w:r>
          <w:rPr>
            <w:color w:val="1155CC"/>
            <w:u w:val="single"/>
          </w:rPr>
          <w:t>10.1038/s41893-026-01932-6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活在贫困中的人们直接依赖当地生态系统获取食物和收入，但这一贫困–环境纽带的沿海维度仍知之甚少。我们利用来自156个印太地区社区的家庭社会经济数据，结合海草邻近人口估算，考察了与海草相关的捕鱼活动与家庭贫困状况。捕鱼家庭始终比非捕鱼家庭更贫困，依赖海草的家庭收入比其他捕鱼者低约23%。完全依赖海草的情况集中于低收入家庭，购买力调整后每日收入每增加1美元，完全依赖海草的可能性降低5.5%。在整个印太地区推算，这些模式表明至少有1,800万贫困人口可能在捕鱼时利用海草草甸，其中650万人将海草作为其唯一的捕鱼栖息地。这些结果揭示了一个数以百万计依赖海草的人群，凸显了开展以下管理的必要性：识别依赖者、保护合法获取权，以及应对损害生计安全的陆源威胁。</w:t>
      </w:r>
    </w:p>
    <w:p>
      <w:pPr>
        <w:spacing w:before="0" w:after="200" w:lineRule="auto" w:line="276"/>
      </w:pPr>
      <w:r>
        <w:rPr>
          <w:b/>
        </w:rPr>
        <w:t xml:space="preserve">Abstract (EN): </w:t>
      </w:r>
      <w:r>
        <w:t>People living in poverty depend directly on local ecosystems for food and income, yet the coastal dimension of this poverty–environment nexus remains poorly understood. We examine seagrass-associated fishing and household poverty using household socio-economic data from 156 Indo-Pacific communities, linked to estimates of seagrass-proximate populations. Fishing households were consistently poorer than non-fishers, and seagrass-dependent households earned ~23% less than other fishers. Complete seagrass dependence was concentrated among lower-income households, with each additional purchasing-power-adjusted dollar per day associated with a 5.5% lower likelihood of exclusive seagrass dependence. Scaled across the Indo-Pacific, these patterns suggest at least 18 million people in poverty may use seagrass meadows while fishing, including 6.5 million who depend on seagrass as their only fishing habitat. These results make visible a population of millions that depend on seagrass, underscoring the need for management that identifies dependents, protects legitimate access and addresses land-based threats that undermine livelihood security.</w:t>
      </w:r>
    </w:p>
    <w:p>
      <w:pPr>
        <w:spacing w:before="120" w:after="120"/>
      </w:pPr>
      <w:r>
        <w:rPr>
          <w:sz w:val="18"/>
        </w:rPr>
        <w:t>——————————————————————————————————————————————————————————————————————</w:t>
      </w:r>
    </w:p>
    <w:p>
      <w:pPr>
        <w:spacing w:before="160" w:after="40" w:line="240" w:lineRule="auto"/>
      </w:pPr>
      <w:r>
        <w:rPr>
          <w:b/>
        </w:rPr>
        <w:t xml:space="preserve">[894] </w:t>
      </w:r>
      <w:hyperlink r:id="rId1673">
        <w:r>
          <w:rPr>
            <w:color w:val="1155CC"/>
            <w:u w:val="single"/>
          </w:rPr>
          <w:t>静电-电磁耦合调节无线能量交互以实现干扰屏蔽</w:t>
        </w:r>
      </w:hyperlink>
    </w:p>
    <w:p>
      <w:pPr>
        <w:spacing w:before="0" w:after="80"/>
      </w:pPr>
      <w:r>
        <w:rPr>
          <w:i/>
          <w:sz w:val="20"/>
        </w:rPr>
        <w:t>EN: Electrostatic-electromagnetic coupling regulates wireless energy interaction for interference shielding</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203">
        <w:r>
          <w:rPr>
            <w:color w:val="1155CC"/>
            <w:u w:val="single"/>
          </w:rPr>
          <w:t>10.1016/j.matt.2026.103000</w:t>
        </w:r>
      </w:hyperlink>
    </w:p>
    <w:p>
      <w:pPr>
        <w:spacing w:before="0" w:after="120"/>
      </w:pPr>
      <w:r>
        <w:rPr>
          <w:b/>
        </w:rPr>
        <w:t xml:space="preserve">Notes: </w:t>
      </w:r>
      <w:r>
        <w:t>abstract_source=rss_cell</w:t>
      </w:r>
    </w:p>
    <w:p>
      <w:pPr>
        <w:spacing w:before="0" w:after="80" w:lineRule="auto" w:line="276"/>
      </w:pPr>
      <w:r>
        <w:rPr>
          <w:b/>
        </w:rPr>
        <w:t xml:space="preserve">摘要（ZH）: </w:t>
      </w:r>
      <w:r>
        <w:t>电子系统在动态环境中面临着自适应电磁兼容性的挑战。作者展示了一种由 TENG 驱动的 EMI 屏蔽系统，通过静电-电磁耦合与无线电磁能量相互作用。PDMS@MXene/PPy@CF 内由摩擦电产生的内置电场在电磁辐照下重塑了电荷限域和极化动力学，从而优化了 EMI 屏蔽性能。这项工作将电磁兼容性设计从被动防护推进到主动能量管理。</w:t>
      </w:r>
    </w:p>
    <w:p>
      <w:pPr>
        <w:spacing w:before="0" w:after="200" w:lineRule="auto" w:line="276"/>
      </w:pPr>
      <w:r>
        <w:rPr>
          <w:b/>
        </w:rPr>
        <w:t xml:space="preserve">Abstract (EN): </w:t>
      </w:r>
      <w:r>
        <w:t>Electronic systems are facing challenges of adaptive electromagnetic compatibility in dynamic environments. The authors demonstrate a TENG-enabled EMI shielding system that interacts with wireless electromagnetic energy by electrostatic-electromagnetic coupling. The triboelectrically generated built-in electric fields within PDMS@MXene/PPy@CF reshape the charge confinement and polarization dynamics under electromagnetic irradiation, optimizing the EMI shielding performance. This work advances electromagnetic compatibility design from passive protection to active energy management.</w:t>
      </w:r>
    </w:p>
    <w:p>
      <w:pPr>
        <w:spacing w:before="120" w:after="120"/>
      </w:pPr>
      <w:r>
        <w:rPr>
          <w:sz w:val="18"/>
        </w:rPr>
        <w:t>——————————————————————————————————————————————————————————————————————</w:t>
      </w:r>
    </w:p>
    <w:p>
      <w:pPr>
        <w:spacing w:before="160" w:after="40" w:line="240" w:lineRule="auto"/>
      </w:pPr>
      <w:r>
        <w:rPr>
          <w:b/>
        </w:rPr>
        <w:t xml:space="preserve">[895] </w:t>
      </w:r>
      <w:hyperlink r:id="rId1674">
        <w:r>
          <w:rPr>
            <w:color w:val="1155CC"/>
            <w:u w:val="single"/>
          </w:rPr>
          <w:t>基于高度有序聚丙烯酰胺水凝胶的高性能快速再生被动式人体降温</w:t>
        </w:r>
      </w:hyperlink>
    </w:p>
    <w:p>
      <w:pPr>
        <w:spacing w:before="0" w:after="80"/>
      </w:pPr>
      <w:r>
        <w:rPr>
          <w:i/>
          <w:sz w:val="20"/>
        </w:rPr>
        <w:t>EN: High-performance and fast-regenerative passive body cooling enabled by a highly ordered polyacrylamide hydrogel</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169">
        <w:r>
          <w:rPr>
            <w:color w:val="1155CC"/>
            <w:u w:val="single"/>
          </w:rPr>
          <w:t>10.1016/j.matt.2026.102999</w:t>
        </w:r>
      </w:hyperlink>
    </w:p>
    <w:p>
      <w:pPr>
        <w:spacing w:before="0" w:after="120"/>
      </w:pPr>
      <w:r>
        <w:rPr>
          <w:b/>
        </w:rPr>
        <w:t xml:space="preserve">Notes: </w:t>
      </w:r>
      <w:r>
        <w:t>abstract_source=rss_cell</w:t>
      </w:r>
    </w:p>
    <w:p>
      <w:pPr>
        <w:spacing w:before="0" w:after="80" w:lineRule="auto" w:line="276"/>
      </w:pPr>
      <w:r>
        <w:rPr>
          <w:b/>
        </w:rPr>
        <w:t xml:space="preserve">摘要（ZH）: </w:t>
      </w:r>
      <w:r>
        <w:t>高效、可再生且低成本的冷却材料对于热应激下的个人热管理极具吸引力，然而现有的冷却贴片往往存在冷却性能有限或可重复使用性差的问题。本文报道了一种理论指导的水凝胶冷却贴片，其具有垂直排列、低迂曲度的孔道，可实现高效的被动蒸发冷却和即时再生。这项工作为个人热管理提供了一种可持续、低成本的策略，并可能启发下一代快速再生型被动冷却器件。</w:t>
      </w:r>
    </w:p>
    <w:p>
      <w:pPr>
        <w:spacing w:before="0" w:after="200" w:lineRule="auto" w:line="276"/>
      </w:pPr>
      <w:r>
        <w:rPr>
          <w:b/>
        </w:rPr>
        <w:t xml:space="preserve">Abstract (EN): </w:t>
      </w:r>
      <w:r>
        <w:t>Efficient, regenerative, and low-cost cooling materials are highly desirable for personal thermal management under heat stress, yet existing cooling patches often suffer from limited cooling performance or poor reusability. Here, a theoretically guided hydrogel cooling patch with vertically aligned, low-tortuosity pores enables efficient passive evaporative cooling and instant regeneration. This work offers a sustainable, cost-effective strategy for personal thermal management and may inspire next-generation fast-regenerative passive cooling devices.</w:t>
      </w:r>
    </w:p>
    <w:p>
      <w:pPr>
        <w:spacing w:before="120" w:after="120"/>
      </w:pPr>
      <w:r>
        <w:rPr>
          <w:sz w:val="18"/>
        </w:rPr>
        <w:t>——————————————————————————————————————————————————————————————————————</w:t>
      </w:r>
    </w:p>
    <w:p>
      <w:pPr>
        <w:spacing w:before="160" w:after="40" w:line="240" w:lineRule="auto"/>
      </w:pPr>
      <w:r>
        <w:rPr>
          <w:b/>
        </w:rPr>
        <w:t xml:space="preserve">[896] </w:t>
      </w:r>
      <w:hyperlink r:id="rId1675">
        <w:r>
          <w:rPr>
            <w:color w:val="1155CC"/>
            <w:u w:val="single"/>
          </w:rPr>
          <w:t>大语言模型驱动的多算法演化用于网络约束机组组合模型降阶</w:t>
        </w:r>
      </w:hyperlink>
    </w:p>
    <w:p>
      <w:pPr>
        <w:spacing w:before="0" w:after="80"/>
      </w:pPr>
      <w:r>
        <w:rPr>
          <w:i/>
          <w:sz w:val="20"/>
        </w:rPr>
        <w:t>EN: Large-language-model-driven multiple algorithm evolution for network-constrained unit commitment model reduction</w:t>
      </w:r>
    </w:p>
    <w:p>
      <w:pPr>
        <w:spacing w:before="0" w:after="120"/>
      </w:pPr>
      <w:r>
        <w:rPr>
          <w:b/>
        </w:rPr>
        <w:t xml:space="preserve">Source: </w:t>
      </w:r>
      <w:r>
        <w:t>ScienceDirect Publication: Applied Energy</w:t>
      </w:r>
      <w:r>
        <w:t xml:space="preserve">    </w:t>
      </w:r>
      <w:r>
        <w:rPr>
          <w:b/>
        </w:rPr>
        <w:t xml:space="preserve">Pub date: </w:t>
      </w:r>
      <w:r>
        <w:t>2026-09-01 00:00:00+00:00</w:t>
      </w:r>
      <w:r>
        <w:t xml:space="preserve">    </w:t>
      </w:r>
      <w:r>
        <w:rPr>
          <w:b/>
        </w:rPr>
        <w:t xml:space="preserve">DOI: </w:t>
      </w:r>
      <w:hyperlink r:id="rId1676">
        <w:r>
          <w:rPr>
            <w:color w:val="1155CC"/>
            <w:u w:val="single"/>
          </w:rPr>
          <w:t>10.1016/j.apenergy.2026.128745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[897] </w:t>
      </w:r>
      <w:hyperlink r:id="rId1677">
        <w:r>
          <w:rPr>
            <w:color w:val="1155CC"/>
            <w:u w:val="single"/>
          </w:rPr>
          <w:t>嵌入电力市场运营的智能电表数据市场框架</w:t>
        </w:r>
      </w:hyperlink>
    </w:p>
    <w:p>
      <w:pPr>
        <w:spacing w:before="0" w:after="80"/>
      </w:pPr>
      <w:r>
        <w:rPr>
          <w:i/>
          <w:sz w:val="20"/>
        </w:rPr>
        <w:t>EN: A smart meter data market framework embedded in electricity market operations</w:t>
      </w:r>
    </w:p>
    <w:p>
      <w:pPr>
        <w:spacing w:before="0" w:after="120"/>
      </w:pPr>
      <w:r>
        <w:rPr>
          <w:b/>
        </w:rPr>
        <w:t xml:space="preserve">Source: </w:t>
      </w:r>
      <w:r>
        <w:t>ScienceDirect Publication: Applied Energy</w:t>
      </w:r>
      <w:r>
        <w:t xml:space="preserve">    </w:t>
      </w:r>
      <w:r>
        <w:rPr>
          <w:b/>
        </w:rPr>
        <w:t xml:space="preserve">Pub date: </w:t>
      </w:r>
      <w:r>
        <w:t>2026-09-01 00:00:00+00:00</w:t>
      </w:r>
      <w:r>
        <w:t xml:space="preserve">    </w:t>
      </w:r>
      <w:r>
        <w:rPr>
          <w:b/>
        </w:rPr>
        <w:t xml:space="preserve">DOI: </w:t>
      </w:r>
      <w:hyperlink r:id="rId1678">
        <w:r>
          <w:rPr>
            <w:color w:val="1155CC"/>
            <w:u w:val="single"/>
          </w:rPr>
          <w:t>10.1016/j.apenergy.2026.128726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[898] </w:t>
      </w:r>
      <w:hyperlink r:id="rId1575">
        <w:r>
          <w:rPr>
            <w:color w:val="1155CC"/>
            <w:u w:val="single"/>
          </w:rPr>
          <w:t>共组装镜像DNA纳米结构有效缓解急性肾损伤</w:t>
        </w:r>
      </w:hyperlink>
    </w:p>
    <w:p>
      <w:pPr>
        <w:spacing w:before="0" w:after="80"/>
      </w:pPr>
      <w:r>
        <w:rPr>
          <w:i/>
          <w:sz w:val="20"/>
        </w:rPr>
        <w:t>EN: Co‐Assembled Mirror‐Image DNA Nanostructure for Effective Alleviation of Acute Kidney Injury</w:t>
      </w:r>
    </w:p>
    <w:p>
      <w:pPr>
        <w:spacing w:before="0" w:after="120"/>
      </w:pPr>
      <w:r>
        <w:rPr>
          <w:b/>
        </w:rPr>
        <w:t xml:space="preserve">Source: </w:t>
      </w:r>
      <w:r>
        <w:t>Angewandte Chemie International Edition</w:t>
      </w:r>
      <w:r>
        <w:t xml:space="preserve">    </w:t>
      </w:r>
      <w:r>
        <w:rPr>
          <w:b/>
        </w:rPr>
        <w:t xml:space="preserve">Pub date: </w:t>
      </w:r>
      <w:r>
        <w:t>2026-09-01 00:00:00+00:00</w:t>
      </w:r>
      <w:r>
        <w:t xml:space="preserve">    </w:t>
      </w:r>
      <w:r>
        <w:rPr>
          <w:b/>
        </w:rPr>
        <w:t xml:space="preserve">DOI: </w:t>
      </w:r>
      <w:hyperlink r:id="rId1575">
        <w:r>
          <w:rPr>
            <w:color w:val="1155CC"/>
            <w:u w:val="single"/>
          </w:rPr>
          <w:t>10.1002/anie.4575346</w:t>
        </w:r>
      </w:hyperlink>
    </w:p>
    <w:p>
      <w:pPr>
        <w:spacing w:before="0" w:after="120"/>
      </w:pPr>
      <w:r>
        <w:rPr>
          <w:b/>
        </w:rPr>
        <w:t xml:space="preserve">Notes: </w:t>
      </w:r>
      <w:r>
        <w:t>abstract_source=crossref</w:t>
      </w:r>
    </w:p>
    <w:p>
      <w:pPr>
        <w:spacing w:before="0" w:after="80" w:lineRule="auto" w:line="276"/>
      </w:pPr>
      <w:r>
        <w:rPr>
          <w:b/>
        </w:rPr>
        <w:t xml:space="preserve">摘要（ZH）: </w:t>
      </w:r>
      <w:r>
        <w:t>摘要 急性肾损伤（AKI）治疗的高需求呼唤开发用于肾脏管理的新疗法。氧化应激与过度炎症相结合是 AKI 的主要病理机制。具体而言，补体成分 5a（C5a）加剧了氧化应激与炎症反应之间的恶性循环。本文中，我们开发了一种级联功能的镜像 DNA 纳米结构——L-DNA 四面体（LDT），用于依次阻断细胞外补体 C5a 以减轻炎症，并清除细胞内活性氧（ROS）以抑制氧化应激。通过 ROS 敏感连接子（硫缩酮，即 TK 键）将 C5a 中和型镜像适配体（LA）整合到 LDT 中，使其在炎症微环境中释放 LA 以阻断 C5a。与由 D-核酸构成的对应物相比，LA 偶联的 LDT（LDT-LA）表现出优先的肾脏摄取和增强的肾脏滞留，并在缺血-再灌注（I/R）、顺铂和甘油诱导的 AKI 小鼠模型中提供了有效治疗。同时，LDT-LA 具有优异的生物相容性，使其成为 AKI 治疗的有前景候选者。这种生物稳定的、级联功能的 LDT-LA 可通过与适当的功能基团偶联，作为治疗其他疾病的多功能平台。</w:t>
      </w:r>
    </w:p>
    <w:p>
      <w:pPr>
        <w:spacing w:before="0" w:after="200" w:lineRule="auto" w:line="276"/>
      </w:pPr>
      <w:r>
        <w:rPr>
          <w:b/>
        </w:rPr>
        <w:t xml:space="preserve">Abstract (EN): </w:t>
      </w:r>
      <w:r>
        <w:t>The high demand for acute kidney injury (AKI) therapy calls for the development of new therapeutics for renal management. Oxidative stress, coupled with excessive inflammation, is the main pathological mechanism for AKI. Specifically, complement component 5a (C5a) exacerbates the vicious cycle between oxidative stress and inflammatory responses. Herein, we developed a cascade‐functioning mirror‐image DNA nanostructure, L‐DNA tetrahedron (LDT), for sequentially blocking the extracellular complement C5a to alleviate inflammation and eliminating intracellular reactive oxygen species (ROS) to inhibit oxidative stress. A C5a‐neutralizing mirror‐image aptamer (LA) was incorporated into LDT via a ROS‐sensitive linker (thioketal, i.e., TK bond), which enabled the release of LA in the inflammatory microenvironment to block C5a. LA‐conjugated LDT (LDT‐LA) exhibited preferential renal uptake and enhanced renal retention compared with its counterpart made of D‐nucleic acids and provided effective treatment in ischemia‐reperfusion (I/R)‐, cisplatin‐, and glycerol‐induced AKI mouse models. Meanwhile, LDT‐LA exhibits excellent biocompatibility, making it a promising candidate for AKI therapy. The biostable, cascade‐functioning LDT‐LA could act as a multifunctional platform for the treatment of other diseases by conjugating with appropriate functional groups.</w:t>
      </w:r>
    </w:p>
    <w:p>
      <w:pPr>
        <w:spacing w:before="120" w:after="120"/>
      </w:pPr>
      <w:r>
        <w:rPr>
          <w:sz w:val="18"/>
        </w:rPr>
        <w:t>——————————————————————————————————————————————————————————————————————</w:t>
      </w:r>
    </w:p>
    <w:p>
      <w:pPr>
        <w:spacing w:before="160" w:after="40" w:line="240" w:lineRule="auto"/>
      </w:pPr>
      <w:r>
        <w:rPr>
          <w:b/>
        </w:rPr>
        <w:t xml:space="preserve">[899] </w:t>
      </w:r>
      <w:hyperlink r:id="rId1050">
        <w:r>
          <w:rPr>
            <w:color w:val="1155CC"/>
            <w:u w:val="single"/>
          </w:rPr>
          <w:t>基于高频电压注入的无传感器控制电流测量尺度误差分析与消除</w:t>
        </w:r>
      </w:hyperlink>
    </w:p>
    <w:p>
      <w:pPr>
        <w:spacing w:before="0" w:after="80"/>
      </w:pPr>
      <w:r>
        <w:rPr>
          <w:i/>
          <w:sz w:val="20"/>
        </w:rPr>
        <w:t>EN: Analysis and Elimination of Current Measurement Scaling Error for High-Frequency Voltage Injection-Based Sensorless Control</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050">
        <w:r>
          <w:rPr>
            <w:color w:val="1155CC"/>
            <w:u w:val="single"/>
          </w:rPr>
          <w:t>10.1109/tec.2026.3661923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[900] </w:t>
      </w:r>
      <w:hyperlink r:id="rId1460">
        <w:r>
          <w:rPr>
            <w:color w:val="1155CC"/>
            <w:u w:val="single"/>
          </w:rPr>
          <w:t>利用法布里-珀罗腔内嵌入反应性Pd吸收体的形貌编码比色氢气传感</w:t>
        </w:r>
      </w:hyperlink>
    </w:p>
    <w:p>
      <w:pPr>
        <w:spacing w:before="0" w:after="80"/>
      </w:pPr>
      <w:r>
        <w:rPr>
          <w:i/>
          <w:sz w:val="20"/>
        </w:rPr>
        <w:t>EN: Morphology‐Encoded Colorimetric Hydrogen Sensing Using Embedded Reactive Pd Absorbers in Fabry–Perot Cavities</w:t>
      </w:r>
    </w:p>
    <w:p>
      <w:pPr>
        <w:spacing w:before="0" w:after="120"/>
      </w:pPr>
      <w:r>
        <w:rPr>
          <w:b/>
        </w:rPr>
        <w:t xml:space="preserve">Source: </w:t>
      </w:r>
      <w:r>
        <w:t>Advanced Materials</w:t>
      </w:r>
      <w:r>
        <w:t xml:space="preserve">    </w:t>
      </w:r>
      <w:r>
        <w:rPr>
          <w:b/>
        </w:rPr>
        <w:t xml:space="preserve">Pub date: </w:t>
      </w:r>
      <w:r>
        <w:t>2026-09-01 00:00:00+00:00</w:t>
      </w:r>
      <w:r>
        <w:t xml:space="preserve">    </w:t>
      </w:r>
      <w:r>
        <w:rPr>
          <w:b/>
        </w:rPr>
        <w:t xml:space="preserve">DOI: </w:t>
      </w:r>
      <w:hyperlink r:id="rId1460">
        <w:r>
          <w:rPr>
            <w:color w:val="1155CC"/>
            <w:u w:val="single"/>
          </w:rPr>
          <w:t>10.1002/adma.74886</w:t>
        </w:r>
      </w:hyperlink>
    </w:p>
    <w:p>
      <w:pPr>
        <w:spacing w:before="0" w:after="120"/>
      </w:pPr>
      <w:r>
        <w:rPr>
          <w:b/>
        </w:rPr>
        <w:t xml:space="preserve">Notes: </w:t>
      </w:r>
      <w:r>
        <w:t>abstract_source=crossref</w:t>
      </w:r>
    </w:p>
    <w:p>
      <w:pPr>
        <w:spacing w:before="0" w:after="80" w:lineRule="auto" w:line="276"/>
      </w:pPr>
      <w:r>
        <w:rPr>
          <w:b/>
        </w:rPr>
        <w:t xml:space="preserve">摘要（ZH）: </w:t>
      </w:r>
      <w:r>
        <w:t>摘要 化学反应通过吸收、介电环境和界面润湿的局域变化提供了一种产生可见光学响应的强大策略。本文介绍了一种嵌入钯的Fabry–Perot腔作为反应活性光学平台，其中结构色由腔内吸收与反应诱导的介电扰动共同决定。将Pd置于介电间隔层中可形成一个空间可控的反应性吸收体，其相对于驻波场的垂直位置决定了腔内的波长选择性吸收。嵌入Pd层的形貌通过同时调制光学损耗和界面润湿，提供了一个额外的设计参数。在氧气存在下的氢气暴露过程中，Pd/聚合物界面处的催化水生成产生局域介电不均匀性和界面水滴，从而扰动光程长度并放大可见响应。因此，该腔体表现出显著的、依赖于形貌的颜色转变，这是仅通过介电层工程或Pd/PdH折射率变化无法实现的，从而能够在环境光下进行直接可视化氢气传感，并实现能够大面积图案化的柔性光学器件。这些发现为将局域化学转化为比色氢气传感机制的反应活性光学腔建立了设计框架。</w:t>
      </w:r>
    </w:p>
    <w:p>
      <w:pPr>
        <w:spacing w:before="0" w:after="200" w:lineRule="auto" w:line="276"/>
      </w:pPr>
      <w:r>
        <w:rPr>
          <w:b/>
        </w:rPr>
        <w:t xml:space="preserve">Abstract (EN): </w:t>
      </w:r>
      <w:r>
        <w:t>Chemical reactions offer a powerful strategy for generating visible optical responses through localized changes in absorption, dielectric environment, and interfacial wetting. A palladium (Pd)‐embedded Fabry–Perot cavity is introduced as a reaction‐active optical platform in which structural color is governed by intracavity absorption coupled with reaction‐induced dielectric perturbation. Positioning Pd within the dielectric spacer creates a spatially controllable reactive absorber whose vertical location relative to the standing‐wave field dictates wavelength‐selective absorption within the cavity. The morphology of the embedded Pd layer provides an additional design parameter by modulating both optical loss and interfacial wetting. Under hydrogen exposure in the presence of oxygen, catalytic water formation at the Pd/polymer interface generates localized dielectric heterogeneity and interfacial water droplets, thereby perturbing the optical path length and amplifying the visible response. As a result, the cavity exhibits pronounced, morphology‐dependent color transitions that are inaccessible through dielectric‐layer engineering or Pd/PdH refractive‐index changes alone, enabling direct visual hydrogen sensing under ambient light, as well as flexible optical devices capable of large‐area patterning. These findings establish a design framework for reaction‐active optical cavities that translate localized chemistry into a colorimetric hydrogen sensing mechanism.</w:t>
      </w:r>
    </w:p>
    <w:p>
      <w:pPr>
        <w:spacing w:before="120" w:after="120"/>
      </w:pPr>
      <w:r>
        <w:rPr>
          <w:sz w:val="18"/>
        </w:rPr>
        <w:t>——————————————————————————————————————————————————————————————————————</w:t>
      </w:r>
    </w:p>
    <w:p>
      <w:pPr>
        <w:spacing w:before="160" w:after="40" w:line="240" w:lineRule="auto"/>
      </w:pPr>
      <w:r>
        <w:rPr>
          <w:b/>
        </w:rPr>
        <w:t xml:space="preserve">[901] </w:t>
      </w:r>
      <w:hyperlink r:id="rId1334">
        <w:r>
          <w:rPr>
            <w:color w:val="1155CC"/>
            <w:u w:val="single"/>
          </w:rPr>
          <w:t>应对时变拓扑条件的自适应时空图学习使能短期电压稳定性评估</w:t>
        </w:r>
      </w:hyperlink>
    </w:p>
    <w:p>
      <w:pPr>
        <w:spacing w:before="0" w:after="80"/>
      </w:pPr>
      <w:r>
        <w:rPr>
          <w:i/>
          <w:sz w:val="20"/>
        </w:rPr>
        <w:t>EN: Adaptive Spatial-Temporal Graph Learning-Enabled Short-Term Voltage Stability Assessment Against Time-Varying Topological Conditions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34">
        <w:r>
          <w:rPr>
            <w:color w:val="1155CC"/>
            <w:u w:val="single"/>
          </w:rPr>
          <w:t>10.1109/tpwrs.2026.3685861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[902] </w:t>
      </w:r>
      <w:hyperlink r:id="rId1179">
        <w:r>
          <w:rPr>
            <w:color w:val="1155CC"/>
            <w:u w:val="single"/>
          </w:rPr>
          <w:t>潮流分析中的相移组用于改进电力系统建模</w:t>
        </w:r>
      </w:hyperlink>
    </w:p>
    <w:p>
      <w:pPr>
        <w:spacing w:before="0" w:after="80"/>
      </w:pPr>
      <w:r>
        <w:rPr>
          <w:i/>
          <w:sz w:val="20"/>
        </w:rPr>
        <w:t>EN: Phase Shift Groups in Power Flow Analysis for Improved Power Systems Modeling</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179">
        <w:r>
          <w:rPr>
            <w:color w:val="1155CC"/>
            <w:u w:val="single"/>
          </w:rPr>
          <w:t>10.1109/tpwrs.2026.3709542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[903] </w:t>
      </w:r>
      <w:hyperlink r:id="rId1145">
        <w:r>
          <w:rPr>
            <w:color w:val="1155CC"/>
            <w:u w:val="single"/>
          </w:rPr>
          <w:t>重新审视含构网型变流器的电力系统角度稳定性</w:t>
        </w:r>
      </w:hyperlink>
    </w:p>
    <w:p>
      <w:pPr>
        <w:spacing w:before="0" w:after="80"/>
      </w:pPr>
      <w:r>
        <w:rPr>
          <w:i/>
          <w:sz w:val="20"/>
        </w:rPr>
        <w:t>EN: Revisiting Angle Stability in Power Systems With Grid-Forming Power Converters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145">
        <w:r>
          <w:rPr>
            <w:color w:val="1155CC"/>
            <w:u w:val="single"/>
          </w:rPr>
          <w:t>10.1109/tpwrs.2026.3703616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[904] </w:t>
      </w:r>
      <w:hyperlink r:id="rId1434">
        <w:r>
          <w:rPr>
            <w:color w:val="1155CC"/>
            <w:u w:val="single"/>
          </w:rPr>
          <w:t>面向含可再生能源电力机组组合的多时间尺度学习优化方法</w:t>
        </w:r>
      </w:hyperlink>
    </w:p>
    <w:p>
      <w:pPr>
        <w:spacing w:before="0" w:after="80"/>
      </w:pPr>
      <w:r>
        <w:rPr>
          <w:i/>
          <w:sz w:val="20"/>
        </w:rPr>
        <w:t>EN: A Multi-Timescale Learn-to-Optimize Method for Unit Commitment With Renewable Power</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34">
        <w:r>
          <w:rPr>
            <w:color w:val="1155CC"/>
            <w:u w:val="single"/>
          </w:rPr>
          <w:t>10.1109/tpwrs.2026.3687255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[905] </w:t>
      </w:r>
      <w:hyperlink r:id="rId1149">
        <w:r>
          <w:rPr>
            <w:color w:val="1155CC"/>
            <w:u w:val="single"/>
          </w:rPr>
          <w:t>利用历史事件序列时空分析的极端天气诱发N-$k$ $k$预想事故早期预警</w:t>
        </w:r>
      </w:hyperlink>
    </w:p>
    <w:p>
      <w:pPr>
        <w:spacing w:before="0" w:after="80"/>
      </w:pPr>
      <w:r>
        <w:rPr>
          <w:i/>
          <w:sz w:val="20"/>
        </w:rPr>
        <w:t>EN: Early Warning of Extreme Weather-Induced N-$k$ Contingencies Leveraging Spatio-Temporal Analysis of Historical Event Sequences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149">
        <w:r>
          <w:rPr>
            <w:color w:val="1155CC"/>
            <w:u w:val="single"/>
          </w:rPr>
          <w:t>10.1109/tpwrs.2026.3673579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[906] </w:t>
      </w:r>
      <w:hyperlink r:id="rId1478">
        <w:r>
          <w:rPr>
            <w:color w:val="1155CC"/>
            <w:u w:val="single"/>
          </w:rPr>
          <w:t>构网型STATCOM对风电场系统的控制设计影响：弱电网集成与稳定效果</w:t>
        </w:r>
      </w:hyperlink>
    </w:p>
    <w:p>
      <w:pPr>
        <w:spacing w:before="0" w:after="80"/>
      </w:pPr>
      <w:r>
        <w:rPr>
          <w:i/>
          <w:sz w:val="20"/>
        </w:rPr>
        <w:t>EN: Control Design Impacts of Grid-Forming STATCOMs for Wind Farm Systems: Weak-Grid Integration and Stabilizing Effects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78">
        <w:r>
          <w:rPr>
            <w:color w:val="1155CC"/>
            <w:u w:val="single"/>
          </w:rPr>
          <w:t>10.1109/tpwrs.2026.3673937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[907] </w:t>
      </w:r>
      <w:hyperlink r:id="rId1476">
        <w:r>
          <w:rPr>
            <w:color w:val="1155CC"/>
            <w:u w:val="single"/>
          </w:rPr>
          <w:t>基于Itô矩优化的风电并网系统随机阻尼控制策略</w:t>
        </w:r>
      </w:hyperlink>
    </w:p>
    <w:p>
      <w:pPr>
        <w:spacing w:before="0" w:after="80"/>
      </w:pPr>
      <w:r>
        <w:rPr>
          <w:i/>
          <w:sz w:val="20"/>
        </w:rPr>
        <w:t>EN: Stochastic Damping Control Strategy for Wind Power Grid-Connected Systems Based on Itô-Moment Optimization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76">
        <w:r>
          <w:rPr>
            <w:color w:val="1155CC"/>
            <w:u w:val="single"/>
          </w:rPr>
          <w:t>10.1109/tpwrs.2026.3686398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[908] </w:t>
      </w:r>
      <w:hyperlink r:id="rId1430">
        <w:r>
          <w:rPr>
            <w:color w:val="1155CC"/>
            <w:u w:val="single"/>
          </w:rPr>
          <w:t>基于二阶导数和自相关的频率质量指标</w:t>
        </w:r>
      </w:hyperlink>
    </w:p>
    <w:p>
      <w:pPr>
        <w:spacing w:before="0" w:after="80"/>
      </w:pPr>
      <w:r>
        <w:rPr>
          <w:i/>
          <w:sz w:val="20"/>
        </w:rPr>
        <w:t>EN: Frequency Quality Metrics Based on Second-Order Derivative and Autocorrelation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30">
        <w:r>
          <w:rPr>
            <w:color w:val="1155CC"/>
            <w:u w:val="single"/>
          </w:rPr>
          <w:t>10.1109/tpwrs.2026.3707412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[909] </w:t>
      </w:r>
      <w:hyperlink r:id="rId1295">
        <w:r>
          <w:rPr>
            <w:color w:val="1155CC"/>
            <w:u w:val="single"/>
          </w:rPr>
          <w:t>电磁暂态-暂态稳定混合仿真的精度量化与改进</w:t>
        </w:r>
      </w:hyperlink>
    </w:p>
    <w:p>
      <w:pPr>
        <w:spacing w:before="0" w:after="80"/>
      </w:pPr>
      <w:r>
        <w:rPr>
          <w:i/>
          <w:sz w:val="20"/>
        </w:rPr>
        <w:t>EN: Quantifying and Improving the Accuracy of Electromagnetic Transient-Transient Stability Hybrid Simulation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95">
        <w:r>
          <w:rPr>
            <w:color w:val="1155CC"/>
            <w:u w:val="single"/>
          </w:rPr>
          <w:t>10.1109/tpwrs.2026.3683988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[910] </w:t>
      </w:r>
      <w:hyperlink r:id="rId1679">
        <w:r>
          <w:rPr>
            <w:color w:val="1155CC"/>
            <w:u w:val="single"/>
          </w:rPr>
          <w:t>空白页</w:t>
        </w:r>
      </w:hyperlink>
    </w:p>
    <w:p>
      <w:pPr>
        <w:spacing w:before="0" w:after="80"/>
      </w:pPr>
      <w:r>
        <w:rPr>
          <w:i/>
          <w:sz w:val="20"/>
        </w:rPr>
        <w:t>EN: Blank Page</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679">
        <w:r>
          <w:rPr>
            <w:color w:val="1155CC"/>
            <w:u w:val="single"/>
          </w:rPr>
          <w:t>10.1109/tpwrs.2026.3719538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[911] </w:t>
      </w:r>
      <w:hyperlink r:id="rId1558">
        <w:r>
          <w:rPr>
            <w:color w:val="1155CC"/>
            <w:u w:val="single"/>
          </w:rPr>
          <w:t>有源配电网通用静态等值模型的开发</w:t>
        </w:r>
      </w:hyperlink>
    </w:p>
    <w:p>
      <w:pPr>
        <w:spacing w:before="0" w:after="80"/>
      </w:pPr>
      <w:r>
        <w:rPr>
          <w:i/>
          <w:sz w:val="20"/>
        </w:rPr>
        <w:t>EN: Development of Generic Static Equivalent Models for Active Distribution Networks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558">
        <w:r>
          <w:rPr>
            <w:color w:val="1155CC"/>
            <w:u w:val="single"/>
          </w:rPr>
          <w:t>10.1109/tpwrs.2026.3671837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[912] </w:t>
      </w:r>
      <w:hyperlink r:id="rId1556">
        <w:r>
          <w:rPr>
            <w:color w:val="1155CC"/>
            <w:u w:val="single"/>
          </w:rPr>
          <w:t>面向不平衡配电网韧性提升的数字孪生集成安全深度强化学习</w:t>
        </w:r>
      </w:hyperlink>
    </w:p>
    <w:p>
      <w:pPr>
        <w:spacing w:before="0" w:after="80"/>
      </w:pPr>
      <w:r>
        <w:rPr>
          <w:i/>
          <w:sz w:val="20"/>
        </w:rPr>
        <w:t>EN: Digital Twin Integrated Safe Deep Reinforcement Learning for Resilience Enhancement of Unbalanced Distribution Grids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556">
        <w:r>
          <w:rPr>
            <w:color w:val="1155CC"/>
            <w:u w:val="single"/>
          </w:rPr>
          <w:t>10.1109/tpwrs.2026.3684449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[913] </w:t>
      </w:r>
      <w:hyperlink r:id="rId1554">
        <w:r>
          <w:rPr>
            <w:color w:val="1155CC"/>
            <w:u w:val="single"/>
          </w:rPr>
          <w:t>将多神经DAE专家集成到电力系统动态元件建模中用于EMTP类仿真</w:t>
        </w:r>
      </w:hyperlink>
    </w:p>
    <w:p>
      <w:pPr>
        <w:spacing w:before="0" w:after="80"/>
      </w:pPr>
      <w:r>
        <w:rPr>
          <w:i/>
          <w:sz w:val="20"/>
        </w:rPr>
        <w:t>EN: Integrating Multi-Neural DAE Experts Into Power System Dynamic Component Modeling for EMTP-Type Simulation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554">
        <w:r>
          <w:rPr>
            <w:color w:val="1155CC"/>
            <w:u w:val="single"/>
          </w:rPr>
          <w:t>10.1109/tpwrs.2026.3685924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[914] </w:t>
      </w:r>
      <w:hyperlink r:id="rId1560">
        <w:r>
          <w:rPr>
            <w:color w:val="1155CC"/>
            <w:u w:val="single"/>
          </w:rPr>
          <w:t>用于合成代表性潮流数据集的约束扩散模型</w:t>
        </w:r>
      </w:hyperlink>
    </w:p>
    <w:p>
      <w:pPr>
        <w:spacing w:before="0" w:after="80"/>
      </w:pPr>
      <w:r>
        <w:rPr>
          <w:i/>
          <w:sz w:val="20"/>
        </w:rPr>
        <w:t>EN: Constrained Diffusion Models for Synthesizing Representative Power Flow Datasets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560">
        <w:r>
          <w:rPr>
            <w:color w:val="1155CC"/>
            <w:u w:val="single"/>
          </w:rPr>
          <w:t>10.1109/tpwrs.2026.3684462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[915] </w:t>
      </w:r>
      <w:hyperlink r:id="rId1543">
        <w:r>
          <w:rPr>
            <w:color w:val="1155CC"/>
            <w:u w:val="single"/>
          </w:rPr>
          <w:t>一种新的自适应谐波相量估计算法及其硬件实现</w:t>
        </w:r>
      </w:hyperlink>
    </w:p>
    <w:p>
      <w:pPr>
        <w:spacing w:before="0" w:after="80"/>
      </w:pPr>
      <w:r>
        <w:rPr>
          <w:i/>
          <w:sz w:val="20"/>
        </w:rPr>
        <w:t>EN: A New Adaptive Harmonic Phasor Estimation Algorithm and Its Hardware Implementation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543">
        <w:r>
          <w:rPr>
            <w:color w:val="1155CC"/>
            <w:u w:val="single"/>
          </w:rPr>
          <w:t>10.1109/tpwrs.2026.3673731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[916] </w:t>
      </w:r>
      <w:hyperlink r:id="rId1552">
        <w:r>
          <w:rPr>
            <w:color w:val="1155CC"/>
            <w:u w:val="single"/>
          </w:rPr>
          <w:t>基于MMC-HVDC抑制过度短路电流：一种随机混合交直流输电扩展规划方法</w:t>
        </w:r>
      </w:hyperlink>
    </w:p>
    <w:p>
      <w:pPr>
        <w:spacing w:before="0" w:after="80"/>
      </w:pPr>
      <w:r>
        <w:rPr>
          <w:i/>
          <w:sz w:val="20"/>
        </w:rPr>
        <w:t>EN: Towards Excessive Short-Circuit Current Suppression via MMC-HVDC: A Stochastic Hybrid AC/DC Transmission Expansion Planning Approach</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552">
        <w:r>
          <w:rPr>
            <w:color w:val="1155CC"/>
            <w:u w:val="single"/>
          </w:rPr>
          <w:t>10.1109/tpwrs.2026.3698673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[917] </w:t>
      </w:r>
      <w:hyperlink r:id="rId1545">
        <w:r>
          <w:rPr>
            <w:color w:val="1155CC"/>
            <w:u w:val="single"/>
          </w:rPr>
          <w:t>面向辅助服务提供的DER概率灵活性聚合</w:t>
        </w:r>
      </w:hyperlink>
    </w:p>
    <w:p>
      <w:pPr>
        <w:spacing w:before="0" w:after="80"/>
      </w:pPr>
      <w:r>
        <w:rPr>
          <w:i/>
          <w:sz w:val="20"/>
        </w:rPr>
        <w:t>EN: Probabilistic Flexibility Aggregation of DERs for Ancillary Services Provision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545">
        <w:r>
          <w:rPr>
            <w:color w:val="1155CC"/>
            <w:u w:val="single"/>
          </w:rPr>
          <w:t>10.1109/tpwrs.2026.3671108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[918] </w:t>
      </w:r>
      <w:hyperlink r:id="rId1547">
        <w:r>
          <w:rPr>
            <w:color w:val="1155CC"/>
            <w:u w:val="single"/>
          </w:rPr>
          <w:t>基于探测的负荷建模与最优低层级信号设计</w:t>
        </w:r>
      </w:hyperlink>
    </w:p>
    <w:p>
      <w:pPr>
        <w:spacing w:before="0" w:after="80"/>
      </w:pPr>
      <w:r>
        <w:rPr>
          <w:i/>
          <w:sz w:val="20"/>
        </w:rPr>
        <w:t>EN: Probing-Based Load Modeling and Optimal Low-Level Signal Design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547">
        <w:r>
          <w:rPr>
            <w:color w:val="1155CC"/>
            <w:u w:val="single"/>
          </w:rPr>
          <w:t>10.1109/tpwrs.2026.3673414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[919] </w:t>
      </w:r>
      <w:hyperlink r:id="rId1480">
        <w:r>
          <w:rPr>
            <w:color w:val="1155CC"/>
            <w:u w:val="single"/>
          </w:rPr>
          <w:t>面向多区域异步互联电网的紧急感知与频率约束HVDC规划</w:t>
        </w:r>
      </w:hyperlink>
    </w:p>
    <w:p>
      <w:pPr>
        <w:spacing w:before="0" w:after="80"/>
      </w:pPr>
      <w:r>
        <w:rPr>
          <w:i/>
          <w:sz w:val="20"/>
        </w:rPr>
        <w:t>EN: Emergency-Aware and Frequency-Constrained HVDC Planning for a Multi-Area Asynchronously Interconnected Grid</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80">
        <w:r>
          <w:rPr>
            <w:color w:val="1155CC"/>
            <w:u w:val="single"/>
          </w:rPr>
          <w:t>10.1109/tpwrs.2026.3673335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[920] </w:t>
      </w:r>
      <w:hyperlink r:id="rId1293">
        <w:r>
          <w:rPr>
            <w:color w:val="1155CC"/>
            <w:u w:val="single"/>
          </w:rPr>
          <w:t>基于同伦算法和相关性修正的加权拟蒙特卡洛概率最优潮流计算</w:t>
        </w:r>
      </w:hyperlink>
    </w:p>
    <w:p>
      <w:pPr>
        <w:spacing w:before="0" w:after="80"/>
      </w:pPr>
      <w:r>
        <w:rPr>
          <w:i/>
          <w:sz w:val="20"/>
        </w:rPr>
        <w:t>EN: Probabilistic Optimal Power Flow Calculation Using Weighted Quasi-Monte Carlo Method Based on Homotopy Algorithm and Correlation Correction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93">
        <w:r>
          <w:rPr>
            <w:color w:val="1155CC"/>
            <w:u w:val="single"/>
          </w:rPr>
          <w:t>10.1109/tpwrs.2026.3674771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[921] </w:t>
      </w:r>
      <w:hyperlink r:id="rId1291">
        <w:r>
          <w:rPr>
            <w:color w:val="1155CC"/>
            <w:u w:val="single"/>
          </w:rPr>
          <w:t>使用基于映射的列与约束生成的鲁棒配电网重构</w:t>
        </w:r>
      </w:hyperlink>
    </w:p>
    <w:p>
      <w:pPr>
        <w:spacing w:before="0" w:after="80"/>
      </w:pPr>
      <w:r>
        <w:rPr>
          <w:i/>
          <w:sz w:val="20"/>
        </w:rPr>
        <w:t>EN: Robust Distribution Network Reconfiguration Using Mapping-Based Column-and-Constraint Generation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91">
        <w:r>
          <w:rPr>
            <w:color w:val="1155CC"/>
            <w:u w:val="single"/>
          </w:rPr>
          <w:t>10.1109/tpwrs.2026.3684672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[922] </w:t>
      </w:r>
      <w:hyperlink r:id="rId1247">
        <w:r>
          <w:rPr>
            <w:color w:val="1155CC"/>
            <w:u w:val="single"/>
          </w:rPr>
          <w:t>一种面向并网功率变换器的数据驱动最优控制架构</w:t>
        </w:r>
      </w:hyperlink>
    </w:p>
    <w:p>
      <w:pPr>
        <w:spacing w:before="0" w:after="80"/>
      </w:pPr>
      <w:r>
        <w:rPr>
          <w:i/>
          <w:sz w:val="20"/>
        </w:rPr>
        <w:t>EN: A Data-Driven Optimal Control Architecture for Grid-Connected Power Converters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47">
        <w:r>
          <w:rPr>
            <w:color w:val="1155CC"/>
            <w:u w:val="single"/>
          </w:rPr>
          <w:t>10.1109/tpwrs.2026.3684319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[923] </w:t>
      </w:r>
      <w:hyperlink r:id="rId1342">
        <w:r>
          <w:rPr>
            <w:color w:val="1155CC"/>
            <w:u w:val="single"/>
          </w:rPr>
          <w:t>一种通过伴随优化重构高效计算ACOPF中节点边际排放的算法</w:t>
        </w:r>
      </w:hyperlink>
    </w:p>
    <w:p>
      <w:pPr>
        <w:spacing w:before="0" w:after="80"/>
      </w:pPr>
      <w:r>
        <w:rPr>
          <w:i/>
          <w:sz w:val="20"/>
        </w:rPr>
        <w:t>EN: An Efficient Algorithm to Calculate Locational Marginal Emissions in ACOPF via Adjoint Optimization Reformulation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42">
        <w:r>
          <w:rPr>
            <w:color w:val="1155CC"/>
            <w:u w:val="single"/>
          </w:rPr>
          <w:t>10.1109/tpwrs.2026.3709533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[924] </w:t>
      </w:r>
      <w:hyperlink r:id="rId1346">
        <w:r>
          <w:rPr>
            <w:color w:val="1155CC"/>
            <w:u w:val="single"/>
          </w:rPr>
          <w:t>具有统计可行保证的动态备用容量优化：一种不确定性自适应鲁棒优化框架</w:t>
        </w:r>
      </w:hyperlink>
    </w:p>
    <w:p>
      <w:pPr>
        <w:spacing w:before="0" w:after="80"/>
      </w:pPr>
      <w:r>
        <w:rPr>
          <w:i/>
          <w:sz w:val="20"/>
        </w:rPr>
        <w:t>EN: Dynamic Reserve Sizing With Statistically Feasible Guarantees: An Uncertainty-Adaptive Robust Optimization Framework</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46">
        <w:r>
          <w:rPr>
            <w:color w:val="1155CC"/>
            <w:u w:val="single"/>
          </w:rPr>
          <w:t>10.1109/tpwrs.2026.3673265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[925] </w:t>
      </w:r>
      <w:hyperlink r:id="rId1209">
        <w:r>
          <w:rPr>
            <w:color w:val="1155CC"/>
            <w:u w:val="single"/>
          </w:rPr>
          <w:t>超低频振荡抑制中负阻尼水电机组的数据驱动辨识与协同参数优化</w:t>
        </w:r>
      </w:hyperlink>
    </w:p>
    <w:p>
      <w:pPr>
        <w:spacing w:before="0" w:after="80"/>
      </w:pPr>
      <w:r>
        <w:rPr>
          <w:i/>
          <w:sz w:val="20"/>
        </w:rPr>
        <w:t>EN: Data-Driven Identification and Cooperative Parameters Optimization for Negative Damping Hydropower Units in Ultra-Low Frequency Oscillation Suppression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09">
        <w:r>
          <w:rPr>
            <w:color w:val="1155CC"/>
            <w:u w:val="single"/>
          </w:rPr>
          <w:t>10.1109/tpwrs.2026.3685657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[926] </w:t>
      </w:r>
      <w:hyperlink r:id="rId1348">
        <w:r>
          <w:rPr>
            <w:color w:val="1155CC"/>
            <w:u w:val="single"/>
          </w:rPr>
          <w:t>考虑非线性耦合相互作用的多并联跟网型变流器系统稳定域边界</w:t>
        </w:r>
      </w:hyperlink>
    </w:p>
    <w:p>
      <w:pPr>
        <w:spacing w:before="0" w:after="80"/>
      </w:pPr>
      <w:r>
        <w:rPr>
          <w:i/>
          <w:sz w:val="20"/>
        </w:rPr>
        <w:t>EN: Stability Region Boundary of Multi-Parallel Grid-Following Converter Systems Considering Nonlinear Coupling Interactions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48">
        <w:r>
          <w:rPr>
            <w:color w:val="1155CC"/>
            <w:u w:val="single"/>
          </w:rPr>
          <w:t>10.1109/tpwrs.2026.3684552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[927] </w:t>
      </w:r>
      <w:hyperlink r:id="rId1350">
        <w:r>
          <w:rPr>
            <w:color w:val="1155CC"/>
            <w:u w:val="single"/>
          </w:rPr>
          <w:t>一种考虑节点频率与RoCoF的基于MPC的频率控制方法</w:t>
        </w:r>
      </w:hyperlink>
    </w:p>
    <w:p>
      <w:pPr>
        <w:spacing w:before="0" w:after="80"/>
      </w:pPr>
      <w:r>
        <w:rPr>
          <w:i/>
          <w:sz w:val="20"/>
        </w:rPr>
        <w:t>EN: An MPC-Based Frequency Control Method Considering Nodal Frequency and RoCoF</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50">
        <w:r>
          <w:rPr>
            <w:color w:val="1155CC"/>
            <w:u w:val="single"/>
          </w:rPr>
          <w:t>10.1109/tpwrs.2026.3685558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[928] </w:t>
      </w:r>
      <w:hyperlink r:id="rId1352">
        <w:r>
          <w:rPr>
            <w:color w:val="1155CC"/>
            <w:u w:val="single"/>
          </w:rPr>
          <w:t>大规模AI工作负荷引发的广域电力系统振荡</w:t>
        </w:r>
      </w:hyperlink>
    </w:p>
    <w:p>
      <w:pPr>
        <w:spacing w:before="0" w:after="80"/>
      </w:pPr>
      <w:r>
        <w:rPr>
          <w:i/>
          <w:sz w:val="20"/>
        </w:rPr>
        <w:t>EN: Wide-Area Power System Oscillations From Large-Scale AI Workloads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52">
        <w:r>
          <w:rPr>
            <w:color w:val="1155CC"/>
            <w:u w:val="single"/>
          </w:rPr>
          <w:t>10.1109/tpwrs.2026.3685506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[929] </w:t>
      </w:r>
      <w:hyperlink r:id="rId1354">
        <w:r>
          <w:rPr>
            <w:color w:val="1155CC"/>
            <w:u w:val="single"/>
          </w:rPr>
          <w:t>构网型PLL跟网可再生能源电站与同步调相机共址系统的主导暂态稳定性</w:t>
        </w:r>
      </w:hyperlink>
    </w:p>
    <w:p>
      <w:pPr>
        <w:spacing w:before="0" w:after="80"/>
      </w:pPr>
      <w:r>
        <w:rPr>
          <w:i/>
          <w:sz w:val="20"/>
        </w:rPr>
        <w:t>EN: Dominant Transient Stability of the Co-Located PLL-Based Grid-Following Renewable Plant and Synchronous Condenser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54">
        <w:r>
          <w:rPr>
            <w:color w:val="1155CC"/>
            <w:u w:val="single"/>
          </w:rPr>
          <w:t>10.1109/tpwrs.2026.3676300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[930] </w:t>
      </w:r>
      <w:hyperlink r:id="rId1356">
        <w:r>
          <w:rPr>
            <w:color w:val="1155CC"/>
            <w:u w:val="single"/>
          </w:rPr>
          <w:t>大规模电力系统同调辨识的数据驱动方法</w:t>
        </w:r>
      </w:hyperlink>
    </w:p>
    <w:p>
      <w:pPr>
        <w:spacing w:before="0" w:after="80"/>
      </w:pPr>
      <w:r>
        <w:rPr>
          <w:i/>
          <w:sz w:val="20"/>
        </w:rPr>
        <w:t>EN: A Data-Driven Approach for Coherency Identification in Large-Scale Power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56">
        <w:r>
          <w:rPr>
            <w:color w:val="1155CC"/>
            <w:u w:val="single"/>
          </w:rPr>
          <w:t>10.1109/tpwrs.2026.3703658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[931] </w:t>
      </w:r>
      <w:hyperlink r:id="rId1358">
        <w:r>
          <w:rPr>
            <w:color w:val="1155CC"/>
            <w:u w:val="single"/>
          </w:rPr>
          <w:t>电力系统的时变非线性参与因子</w:t>
        </w:r>
      </w:hyperlink>
    </w:p>
    <w:p>
      <w:pPr>
        <w:spacing w:before="0" w:after="80"/>
      </w:pPr>
      <w:r>
        <w:rPr>
          <w:i/>
          <w:sz w:val="20"/>
        </w:rPr>
        <w:t>EN: Time-Variant Nonlinear Participation Factors for Power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58">
        <w:r>
          <w:rPr>
            <w:color w:val="1155CC"/>
            <w:u w:val="single"/>
          </w:rPr>
          <w:t>10.1109/tpwrs.2026.3673329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[932] </w:t>
      </w:r>
      <w:hyperlink r:id="rId1360">
        <w:r>
          <w:rPr>
            <w:color w:val="1155CC"/>
            <w:u w:val="single"/>
          </w:rPr>
          <w:t>面向系统负荷裕度提升的大规模海上风电多保真动态线路额定值融合</w:t>
        </w:r>
      </w:hyperlink>
    </w:p>
    <w:p>
      <w:pPr>
        <w:spacing w:before="0" w:after="80"/>
      </w:pPr>
      <w:r>
        <w:rPr>
          <w:i/>
          <w:sz w:val="20"/>
        </w:rPr>
        <w:t>EN: Multi-Fidelity Dynamic Line Rating Fusion for System Load Margin Enhancement With Large-Scale Offshore Wind Generations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60">
        <w:r>
          <w:rPr>
            <w:color w:val="1155CC"/>
            <w:u w:val="single"/>
          </w:rPr>
          <w:t>10.1109/tpwrs.2026.3685097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[933] </w:t>
      </w:r>
      <w:hyperlink r:id="rId1362">
        <w:r>
          <w:rPr>
            <w:color w:val="1155CC"/>
            <w:u w:val="single"/>
          </w:rPr>
          <w:t>考虑限流模式的构网型VSC系统功率振荡特性分析</w:t>
        </w:r>
      </w:hyperlink>
    </w:p>
    <w:p>
      <w:pPr>
        <w:spacing w:before="0" w:after="80"/>
      </w:pPr>
      <w:r>
        <w:rPr>
          <w:i/>
          <w:sz w:val="20"/>
        </w:rPr>
        <w:t>EN: Analysis of Power Swing Characteristics of Grid-Forming VSC System Considering the Current Limitation Mode</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62">
        <w:r>
          <w:rPr>
            <w:color w:val="1155CC"/>
            <w:u w:val="single"/>
          </w:rPr>
          <w:t>10.1109/tpwrs.2026.3672709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[934] </w:t>
      </w:r>
      <w:hyperlink r:id="rId1364">
        <w:r>
          <w:rPr>
            <w:color w:val="1155CC"/>
            <w:u w:val="single"/>
          </w:rPr>
          <w:t>面向随机稳定性的频率控制：一种基于概率预测的高阶随机Koopman方法</w:t>
        </w:r>
      </w:hyperlink>
    </w:p>
    <w:p>
      <w:pPr>
        <w:spacing w:before="0" w:after="80"/>
      </w:pPr>
      <w:r>
        <w:rPr>
          <w:i/>
          <w:sz w:val="20"/>
        </w:rPr>
        <w:t>EN: Stochastic Stability Oriented Frequency Control: A Probabilistic Forecasting-Based High-Order Stochastic Koopman Approach</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64">
        <w:r>
          <w:rPr>
            <w:color w:val="1155CC"/>
            <w:u w:val="single"/>
          </w:rPr>
          <w:t>10.1109/tpwrs.2026.3674119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[935] </w:t>
      </w:r>
      <w:hyperlink r:id="rId1366">
        <w:r>
          <w:rPr>
            <w:color w:val="1155CC"/>
            <w:u w:val="single"/>
          </w:rPr>
          <w:t>面向高比例可再生能源电力系统运行随机优化的成本导向场景削减</w:t>
        </w:r>
      </w:hyperlink>
    </w:p>
    <w:p>
      <w:pPr>
        <w:spacing w:before="0" w:after="80"/>
      </w:pPr>
      <w:r>
        <w:rPr>
          <w:i/>
          <w:sz w:val="20"/>
        </w:rPr>
        <w:t>EN: Cost-Oriented Scenario Reduction for Stochastic Optimization of Power System Operation With High-Penetration Renewable Energy</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66">
        <w:r>
          <w:rPr>
            <w:color w:val="1155CC"/>
            <w:u w:val="single"/>
          </w:rPr>
          <w:t>10.1109/tpwrs.2026.3685717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[936] </w:t>
      </w:r>
      <w:hyperlink r:id="rId1233">
        <w:r>
          <w:rPr>
            <w:color w:val="1155CC"/>
            <w:u w:val="single"/>
          </w:rPr>
          <w:t>频率约束机组组合中机组专属响应的线性-指数衰减频率曲线</w:t>
        </w:r>
      </w:hyperlink>
    </w:p>
    <w:p>
      <w:pPr>
        <w:spacing w:before="0" w:after="80"/>
      </w:pPr>
      <w:r>
        <w:rPr>
          <w:i/>
          <w:sz w:val="20"/>
        </w:rPr>
        <w:t>EN: Linear-Exponential Decay Frequency Curve for Unit-Specific Response in Frequency-Constrained Unit Commitment</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33">
        <w:r>
          <w:rPr>
            <w:color w:val="1155CC"/>
            <w:u w:val="single"/>
          </w:rPr>
          <w:t>10.1109/tpwrs.2026.3685128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[937] </w:t>
      </w:r>
      <w:hyperlink r:id="rId1235">
        <w:r>
          <w:rPr>
            <w:color w:val="1155CC"/>
            <w:u w:val="single"/>
          </w:rPr>
          <w:t>基于特征子系统的电力电子主导型电力系统频率与电压强度分析</w:t>
        </w:r>
      </w:hyperlink>
    </w:p>
    <w:p>
      <w:pPr>
        <w:spacing w:before="0" w:after="80"/>
      </w:pPr>
      <w:r>
        <w:rPr>
          <w:i/>
          <w:sz w:val="20"/>
        </w:rPr>
        <w:t>EN: Analysis of Frequency and Voltage Strength in Power Electronics-Dominated Power Systems Based on Characteristic Subsystems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35">
        <w:r>
          <w:rPr>
            <w:color w:val="1155CC"/>
            <w:u w:val="single"/>
          </w:rPr>
          <w:t>10.1109/tpwrs.2026.3685613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[938] </w:t>
      </w:r>
      <w:hyperlink r:id="rId1237">
        <w:r>
          <w:rPr>
            <w:color w:val="1155CC"/>
            <w:u w:val="single"/>
          </w:rPr>
          <w:t>基于缩放相对图的电力电子主导型电网稳定性分析</w:t>
        </w:r>
      </w:hyperlink>
    </w:p>
    <w:p>
      <w:pPr>
        <w:spacing w:before="0" w:after="80"/>
      </w:pPr>
      <w:r>
        <w:rPr>
          <w:i/>
          <w:sz w:val="20"/>
        </w:rPr>
        <w:t>EN: Stability Analysis of Power-Electronics-Dominated Grids Using Scaled Relative Graphs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37">
        <w:r>
          <w:rPr>
            <w:color w:val="1155CC"/>
            <w:u w:val="single"/>
          </w:rPr>
          <w:t>10.1109/tpwrs.2026.3674752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[939] </w:t>
      </w:r>
      <w:hyperlink r:id="rId1239">
        <w:r>
          <w:rPr>
            <w:color w:val="1155CC"/>
            <w:u w:val="single"/>
          </w:rPr>
          <w:t>面向高比例可再生能源电力系统韧性运行的网络柔性安全服务</w:t>
        </w:r>
      </w:hyperlink>
    </w:p>
    <w:p>
      <w:pPr>
        <w:spacing w:before="0" w:after="80"/>
      </w:pPr>
      <w:r>
        <w:rPr>
          <w:i/>
          <w:sz w:val="20"/>
        </w:rPr>
        <w:t>EN: Cyber-Flexible Security Services for Resilient Operation of Renewable-Rich Power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39">
        <w:r>
          <w:rPr>
            <w:color w:val="1155CC"/>
            <w:u w:val="single"/>
          </w:rPr>
          <w:t>10.1109/tpwrs.2026.3684144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[940] </w:t>
      </w:r>
      <w:hyperlink r:id="rId1241">
        <w:r>
          <w:rPr>
            <w:color w:val="1155CC"/>
            <w:u w:val="single"/>
          </w:rPr>
          <w:t>基于Floquet理论参与因子的EMT模型边界确定</w:t>
        </w:r>
      </w:hyperlink>
    </w:p>
    <w:p>
      <w:pPr>
        <w:spacing w:before="0" w:after="80"/>
      </w:pPr>
      <w:r>
        <w:rPr>
          <w:i/>
          <w:sz w:val="20"/>
        </w:rPr>
        <w:t>EN: EMT Model Boundary Determination Using Floquet Theory-Based Participation Factors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41">
        <w:r>
          <w:rPr>
            <w:color w:val="1155CC"/>
            <w:u w:val="single"/>
          </w:rPr>
          <w:t>10.1109/tpwrs.2026.3674489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[941] </w:t>
      </w:r>
      <w:hyperlink r:id="rId1243">
        <w:r>
          <w:rPr>
            <w:color w:val="1155CC"/>
            <w:u w:val="single"/>
          </w:rPr>
          <w:t>基于拓扑的二进制整数线性规划用于电力系统优化量测布置</w:t>
        </w:r>
      </w:hyperlink>
    </w:p>
    <w:p>
      <w:pPr>
        <w:spacing w:before="0" w:after="80"/>
      </w:pPr>
      <w:r>
        <w:rPr>
          <w:i/>
          <w:sz w:val="20"/>
        </w:rPr>
        <w:t>EN: Topology-Based Binary Integer Linear Programming for Optimal Meter Placement in Power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243">
        <w:r>
          <w:rPr>
            <w:color w:val="1155CC"/>
            <w:u w:val="single"/>
          </w:rPr>
          <w:t>10.1109/tpwrs.2026.3674061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[942] </w:t>
      </w:r>
      <w:hyperlink r:id="rId1418">
        <w:r>
          <w:rPr>
            <w:color w:val="1155CC"/>
            <w:u w:val="single"/>
          </w:rPr>
          <w:t>一种利用动态状态估计的通信故障与网络攻击韧性广域失步预测方案</w:t>
        </w:r>
      </w:hyperlink>
    </w:p>
    <w:p>
      <w:pPr>
        <w:spacing w:before="0" w:after="80"/>
      </w:pPr>
      <w:r>
        <w:rPr>
          <w:i/>
          <w:sz w:val="20"/>
        </w:rPr>
        <w:t>EN: A Communication Failure and Cyber-Attack Resilient Wide-Area Out-of-Step Prediction Scheme Using Dynamic State Estimation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18">
        <w:r>
          <w:rPr>
            <w:color w:val="1155CC"/>
            <w:u w:val="single"/>
          </w:rPr>
          <w:t>10.1109/tpwrs.2026.3684825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[943] </w:t>
      </w:r>
      <w:hyperlink r:id="rId1151">
        <w:r>
          <w:rPr>
            <w:color w:val="1155CC"/>
            <w:u w:val="single"/>
          </w:rPr>
          <w:t>一种催化剂，两种几何构型：铱催化实现手性Z-和E-烯丙基化异色满酮的发散立体选择性合成</w:t>
        </w:r>
      </w:hyperlink>
    </w:p>
    <w:p>
      <w:pPr>
        <w:spacing w:before="0" w:after="80"/>
      </w:pPr>
      <w:r>
        <w:rPr>
          <w:i/>
          <w:sz w:val="20"/>
        </w:rPr>
        <w:t>EN: One catalyst, two geometries: Iridium catalysis enables stereodivergent synthesis of chiral Z- and E-allylated isochromanones</w:t>
      </w:r>
    </w:p>
    <w:p>
      <w:pPr>
        <w:spacing w:before="0" w:after="120"/>
      </w:pPr>
      <w:r>
        <w:rPr>
          <w:b/>
        </w:rPr>
        <w:t xml:space="preserve">Source: </w:t>
      </w:r>
      <w:r>
        <w:t>Chem</w:t>
      </w:r>
      <w:r>
        <w:t xml:space="preserve">    </w:t>
      </w:r>
      <w:r>
        <w:rPr>
          <w:b/>
        </w:rPr>
        <w:t xml:space="preserve">Pub date: </w:t>
      </w:r>
      <w:r>
        <w:t>2026-09-01 00:00:00+00:00</w:t>
      </w:r>
      <w:r>
        <w:t xml:space="preserve">    </w:t>
      </w:r>
      <w:r>
        <w:rPr>
          <w:b/>
        </w:rPr>
        <w:t xml:space="preserve">DOI: </w:t>
      </w:r>
      <w:hyperlink r:id="rId1151">
        <w:r>
          <w:rPr>
            <w:color w:val="1155CC"/>
            <w:u w:val="single"/>
          </w:rPr>
          <w:t>10.1016/j.chempr.2026.103218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[944] </w:t>
      </w:r>
      <w:hyperlink r:id="rId1388">
        <w:r>
          <w:rPr>
            <w:color w:val="1155CC"/>
            <w:u w:val="single"/>
          </w:rPr>
          <w:t>面向大规模电力系统规划的约束自适应强化学习</w:t>
        </w:r>
      </w:hyperlink>
    </w:p>
    <w:p>
      <w:pPr>
        <w:spacing w:before="0" w:after="80"/>
      </w:pPr>
      <w:r>
        <w:rPr>
          <w:i/>
          <w:sz w:val="20"/>
        </w:rPr>
        <w:t>EN: Constraint-Adaptive Reinforcement Learning for Large-Scale Power System Planning</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88">
        <w:r>
          <w:rPr>
            <w:color w:val="1155CC"/>
            <w:u w:val="single"/>
          </w:rPr>
          <w:t>10.1109/tpwrs.2026.3685010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[945] </w:t>
      </w:r>
      <w:hyperlink r:id="rId329">
        <w:r>
          <w:rPr>
            <w:color w:val="1155CC"/>
            <w:u w:val="single"/>
          </w:rPr>
          <w:t>多能源配电系统中电转气的规划框架</w:t>
        </w:r>
      </w:hyperlink>
    </w:p>
    <w:p>
      <w:pPr>
        <w:spacing w:before="0" w:after="80"/>
      </w:pPr>
      <w:r>
        <w:rPr>
          <w:i/>
          <w:sz w:val="20"/>
        </w:rPr>
        <w:t>EN: A Planning Framework for Power-to-Gas in Multi-Energy Distribution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329">
        <w:r>
          <w:rPr>
            <w:color w:val="1155CC"/>
            <w:u w:val="single"/>
          </w:rPr>
          <w:t>10.1109/tpwrs.2026.3675148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[946] </w:t>
      </w:r>
      <w:hyperlink r:id="rId1680">
        <w:r>
          <w:rPr>
            <w:color w:val="1155CC"/>
            <w:u w:val="single"/>
          </w:rPr>
          <w:t>用于自旋发光二极管的定制手性钙钛矿纳米晶</w:t>
        </w:r>
      </w:hyperlink>
    </w:p>
    <w:p>
      <w:pPr>
        <w:spacing w:before="0" w:after="80"/>
      </w:pPr>
      <w:r>
        <w:rPr>
          <w:i/>
          <w:sz w:val="20"/>
        </w:rPr>
        <w:t>EN: Tailoring chiral perovskite nanocrystals for spin light-emitting diodes</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680">
        <w:r>
          <w:rPr>
            <w:color w:val="1155CC"/>
            <w:u w:val="single"/>
          </w:rPr>
          <w:t>10.1016/j.matt.2026.102916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[947] </w:t>
      </w:r>
      <w:hyperlink r:id="rId1681">
        <w:r>
          <w:rPr>
            <w:color w:val="1155CC"/>
            <w:u w:val="single"/>
          </w:rPr>
          <w:t>有魅力的科学</w:t>
        </w:r>
      </w:hyperlink>
    </w:p>
    <w:p>
      <w:pPr>
        <w:spacing w:before="0" w:after="80"/>
      </w:pPr>
      <w:r>
        <w:rPr>
          <w:i/>
          <w:sz w:val="20"/>
        </w:rPr>
        <w:t>EN: Science with rizz</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681">
        <w:r>
          <w:rPr>
            <w:color w:val="1155CC"/>
            <w:u w:val="single"/>
          </w:rPr>
          <w:t>10.1016/j.matt.2026.102872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[948] </w:t>
      </w:r>
      <w:hyperlink r:id="rId1682">
        <w:r>
          <w:rPr>
            <w:color w:val="1155CC"/>
            <w:u w:val="single"/>
          </w:rPr>
          <w:t>吨级Ni纳米球通过尺寸调控的局域电场实现高电流密度乙二醇电氧化</w:t>
        </w:r>
      </w:hyperlink>
    </w:p>
    <w:p>
      <w:pPr>
        <w:spacing w:before="0" w:after="80"/>
      </w:pPr>
      <w:r>
        <w:rPr>
          <w:i/>
          <w:sz w:val="20"/>
        </w:rPr>
        <w:t>EN: Ton-scale Ni nanospheres with size-tuned local electric fields enable high-current-density ethylene glycol electrooxidation</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682">
        <w:r>
          <w:rPr>
            <w:color w:val="1155CC"/>
            <w:u w:val="single"/>
          </w:rPr>
          <w:t>10.1016/j.matt.2026.102997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[949] </w:t>
      </w:r>
      <w:hyperlink r:id="rId1683">
        <w:r>
          <w:rPr>
            <w:color w:val="1155CC"/>
            <w:u w:val="single"/>
          </w:rPr>
          <w:t>仿生催化：从化学限域到空间限域的微环境工程</w:t>
        </w:r>
      </w:hyperlink>
    </w:p>
    <w:p>
      <w:pPr>
        <w:spacing w:before="0" w:after="80"/>
      </w:pPr>
      <w:r>
        <w:rPr>
          <w:i/>
          <w:sz w:val="20"/>
        </w:rPr>
        <w:t>EN: Bioinspired catalysis: Engineering microenvironment from chemical to spatial confinement</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683">
        <w:r>
          <w:rPr>
            <w:color w:val="1155CC"/>
            <w:u w:val="single"/>
          </w:rPr>
          <w:t>10.1016/j.matt.2026.102907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[950] </w:t>
      </w:r>
      <w:hyperlink r:id="rId1684">
        <w:r>
          <w:rPr>
            <w:color w:val="1155CC"/>
            <w:u w:val="single"/>
          </w:rPr>
          <w:t>纤维级编程与机器学习实现超越材料极限的可调释放动力学</w:t>
        </w:r>
      </w:hyperlink>
    </w:p>
    <w:p>
      <w:pPr>
        <w:spacing w:before="0" w:after="80"/>
      </w:pPr>
      <w:r>
        <w:rPr>
          <w:i/>
          <w:sz w:val="20"/>
        </w:rPr>
        <w:t>EN: Filament-level programming and machine learning enable tunable release kinetics beyond material limits</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684">
        <w:r>
          <w:rPr>
            <w:color w:val="1155CC"/>
            <w:u w:val="single"/>
          </w:rPr>
          <w:t>10.1016/j.matt.2026.102912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[951] </w:t>
      </w:r>
      <w:hyperlink r:id="rId1122">
        <w:r>
          <w:rPr>
            <w:color w:val="1155CC"/>
            <w:u w:val="single"/>
          </w:rPr>
          <w:t>自旋玻璃与短程序之间的时间和空间分离</w:t>
        </w:r>
      </w:hyperlink>
    </w:p>
    <w:p>
      <w:pPr>
        <w:spacing w:before="0" w:after="80"/>
      </w:pPr>
      <w:r>
        <w:rPr>
          <w:i/>
          <w:sz w:val="20"/>
        </w:rPr>
        <w:t>EN: Temporal and spatial separations between spin glass and short-range order</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122">
        <w:r>
          <w:rPr>
            <w:color w:val="1155CC"/>
            <w:u w:val="single"/>
          </w:rPr>
          <w:t>10.1016/j.matt.2026.102829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[952] </w:t>
      </w:r>
      <w:hyperlink r:id="rId1685">
        <w:r>
          <w:rPr>
            <w:color w:val="1155CC"/>
            <w:u w:val="single"/>
          </w:rPr>
          <w:t>温度诱导剥离：一种通过低凝固点溶剂体积变化均匀剥离多层Ti3C2Tx的方法</w:t>
        </w:r>
      </w:hyperlink>
    </w:p>
    <w:p>
      <w:pPr>
        <w:spacing w:before="0" w:after="80"/>
      </w:pPr>
      <w:r>
        <w:rPr>
          <w:i/>
          <w:sz w:val="20"/>
        </w:rPr>
        <w:t>EN: Temperature-induced delamination: A method for uniformly delaminating multilayer Ti3C2Tx via volume changes in low-freezing-point solvents</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685">
        <w:r>
          <w:rPr>
            <w:color w:val="1155CC"/>
            <w:u w:val="single"/>
          </w:rPr>
          <w:t>10.1016/j.matt.2026.102865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[953] </w:t>
      </w:r>
      <w:hyperlink r:id="rId1171">
        <w:r>
          <w:rPr>
            <w:color w:val="1155CC"/>
            <w:u w:val="single"/>
          </w:rPr>
          <w:t>离子液体和电解质中通过动态相变的压电响应</w:t>
        </w:r>
      </w:hyperlink>
    </w:p>
    <w:p>
      <w:pPr>
        <w:spacing w:before="0" w:after="80"/>
      </w:pPr>
      <w:r>
        <w:rPr>
          <w:i/>
          <w:sz w:val="20"/>
        </w:rPr>
        <w:t>EN: Piezoelectric response in ionic liquids and electrolytes through dynamic phase transitions</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171">
        <w:r>
          <w:rPr>
            <w:color w:val="1155CC"/>
            <w:u w:val="single"/>
          </w:rPr>
          <w:t>10.1016/j.matt.2026.102917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[954] </w:t>
      </w:r>
      <w:hyperlink r:id="rId1686">
        <w:r>
          <w:rPr>
            <w:color w:val="1155CC"/>
            <w:u w:val="single"/>
          </w:rPr>
          <w:t>蜂窝网络形貌实现的超拉伸和机械鲁棒有机光电探测器</w:t>
        </w:r>
      </w:hyperlink>
    </w:p>
    <w:p>
      <w:pPr>
        <w:spacing w:before="0" w:after="80"/>
      </w:pPr>
      <w:r>
        <w:rPr>
          <w:i/>
          <w:sz w:val="20"/>
        </w:rPr>
        <w:t>EN: Ultra-stretchable and mechanically robust organic photodetectors enabled by a honeycomb network morphology</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686">
        <w:r>
          <w:rPr>
            <w:color w:val="1155CC"/>
            <w:u w:val="single"/>
          </w:rPr>
          <w:t>10.1016/j.matt.2026.102864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[955] </w:t>
      </w:r>
      <w:hyperlink r:id="rId1687">
        <w:r>
          <w:rPr>
            <w:color w:val="1155CC"/>
            <w:u w:val="single"/>
          </w:rPr>
          <w:t>掺入5f金属的二维clusterphene：通过连续平面载流子迁移实现高效光催化</w:t>
        </w:r>
      </w:hyperlink>
    </w:p>
    <w:p>
      <w:pPr>
        <w:spacing w:before="0" w:after="80"/>
      </w:pPr>
      <w:r>
        <w:rPr>
          <w:i/>
          <w:sz w:val="20"/>
        </w:rPr>
        <w:t>EN: 5f metal-incorporated 2D clusterphene: Enabling high-efficiency photocatalysis through continuous planar carrier migration</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687">
        <w:r>
          <w:rPr>
            <w:color w:val="1155CC"/>
            <w:u w:val="single"/>
          </w:rPr>
          <w:t>10.1016/j.matt.2026.102862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[956] </w:t>
      </w:r>
      <w:hyperlink r:id="rId1688">
        <w:r>
          <w:rPr>
            <w:color w:val="1155CC"/>
            <w:u w:val="single"/>
          </w:rPr>
          <w:t>将准透明陶瓷定制为激光驱动的光子发动机,用于公里级白光通信</w:t>
        </w:r>
      </w:hyperlink>
    </w:p>
    <w:p>
      <w:pPr>
        <w:spacing w:before="0" w:after="80"/>
      </w:pPr>
      <w:r>
        <w:rPr>
          <w:i/>
          <w:sz w:val="20"/>
        </w:rPr>
        <w:t>EN: Tailoring quasi-transparent ceramic as a laser-driven photonic engine for kilometer-level white light communication</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688">
        <w:r>
          <w:rPr>
            <w:color w:val="1155CC"/>
            <w:u w:val="single"/>
          </w:rPr>
          <w:t>10.1016/j.matt.2026.102822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[957] </w:t>
      </w:r>
      <w:hyperlink r:id="rId1173">
        <w:r>
          <w:rPr>
            <w:color w:val="1155CC"/>
            <w:u w:val="single"/>
          </w:rPr>
          <w:t>通过蒸发-辐射协同作用突破辐射制冷的功率上限</w:t>
        </w:r>
      </w:hyperlink>
    </w:p>
    <w:p>
      <w:pPr>
        <w:spacing w:before="0" w:after="80"/>
      </w:pPr>
      <w:r>
        <w:rPr>
          <w:i/>
          <w:sz w:val="20"/>
        </w:rPr>
        <w:t>EN: Breaking the power ceiling of radiative cooling through evaporative-radiative synergy</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173">
        <w:r>
          <w:rPr>
            <w:color w:val="1155CC"/>
            <w:u w:val="single"/>
          </w:rPr>
          <w:t>10.1016/j.matt.2026.102881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[958] </w:t>
      </w:r>
      <w:hyperlink r:id="rId1175">
        <w:r>
          <w:rPr>
            <w:color w:val="1155CC"/>
            <w:u w:val="single"/>
          </w:rPr>
          <w:t>面向无家可归群体可持续能源获取的自供电磁弹帐篷</w:t>
        </w:r>
      </w:hyperlink>
    </w:p>
    <w:p>
      <w:pPr>
        <w:spacing w:before="0" w:after="80"/>
      </w:pPr>
      <w:r>
        <w:rPr>
          <w:i/>
          <w:sz w:val="20"/>
        </w:rPr>
        <w:t>EN: Self-powered magnetoelastic tents for sustainable energy access in unhoused communities</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175">
        <w:r>
          <w:rPr>
            <w:color w:val="1155CC"/>
            <w:u w:val="single"/>
          </w:rPr>
          <w:t>10.1016/j.matt.2026.102954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[959] </w:t>
      </w:r>
      <w:hyperlink r:id="rId1689">
        <w:r>
          <w:rPr>
            <w:color w:val="1155CC"/>
            <w:u w:val="single"/>
          </w:rPr>
          <w:t>构象多重性效应:调控两性离子超分子聚合物的梯度有序结构</w:t>
        </w:r>
      </w:hyperlink>
    </w:p>
    <w:p>
      <w:pPr>
        <w:spacing w:before="0" w:after="80"/>
      </w:pPr>
      <w:r>
        <w:rPr>
          <w:i/>
          <w:sz w:val="20"/>
        </w:rPr>
        <w:t>EN: The conformational multiplicity effect: Dictating graded order in supramolecular zwitterionic polymers</w:t>
      </w:r>
    </w:p>
    <w:p>
      <w:pPr>
        <w:spacing w:before="0" w:after="120"/>
      </w:pPr>
      <w:r>
        <w:rPr>
          <w:b/>
        </w:rPr>
        <w:t xml:space="preserve">Source: </w:t>
      </w:r>
      <w:r>
        <w:t>Matter</w:t>
      </w:r>
      <w:r>
        <w:t xml:space="preserve">    </w:t>
      </w:r>
      <w:r>
        <w:rPr>
          <w:b/>
        </w:rPr>
        <w:t xml:space="preserve">Pub date: </w:t>
      </w:r>
      <w:r>
        <w:t>2026-09-01 00:00:00+00:00</w:t>
      </w:r>
      <w:r>
        <w:t xml:space="preserve">    </w:t>
      </w:r>
      <w:r>
        <w:rPr>
          <w:b/>
        </w:rPr>
        <w:t xml:space="preserve">DOI: </w:t>
      </w:r>
      <w:hyperlink r:id="rId1689">
        <w:r>
          <w:rPr>
            <w:color w:val="1155CC"/>
            <w:u w:val="single"/>
          </w:rPr>
          <w:t>10.1016/j.matt.2026.102910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[960] </w:t>
      </w:r>
      <w:hyperlink r:id="rId1392">
        <w:r>
          <w:rPr>
            <w:color w:val="1155CC"/>
            <w:u w:val="single"/>
          </w:rPr>
          <w:t>构网型装置的频率与电压无关稳定性条件</w:t>
        </w:r>
      </w:hyperlink>
    </w:p>
    <w:p>
      <w:pPr>
        <w:spacing w:before="0" w:after="80"/>
      </w:pPr>
      <w:r>
        <w:rPr>
          <w:i/>
          <w:sz w:val="20"/>
        </w:rPr>
        <w:t>EN: Frequency and Voltage Independent Stability Conditions for Grid-Forming Devices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92">
        <w:r>
          <w:rPr>
            <w:color w:val="1155CC"/>
            <w:u w:val="single"/>
          </w:rPr>
          <w:t>10.1109/tpwrs.2026.3703614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[961] </w:t>
      </w:r>
      <w:hyperlink r:id="rId1394">
        <w:r>
          <w:rPr>
            <w:color w:val="1155CC"/>
            <w:u w:val="single"/>
          </w:rPr>
          <w:t>四线制低压网络中的Volt-VAr-Watt优化:精确非线性模型与平滑近似</w:t>
        </w:r>
      </w:hyperlink>
    </w:p>
    <w:p>
      <w:pPr>
        <w:spacing w:before="0" w:after="80"/>
      </w:pPr>
      <w:r>
        <w:rPr>
          <w:i/>
          <w:sz w:val="20"/>
        </w:rPr>
        <w:t>EN: Volt-VAr-Watt Optimization in Four-Wire Low-Voltage Networks: Exact Nonlinear Models and Smooth Approximations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94">
        <w:r>
          <w:rPr>
            <w:color w:val="1155CC"/>
            <w:u w:val="single"/>
          </w:rPr>
          <w:t>10.1109/tpwrs.2026.3677246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[962] </w:t>
      </w:r>
      <w:hyperlink r:id="rId1406">
        <w:r>
          <w:rPr>
            <w:color w:val="1155CC"/>
            <w:u w:val="single"/>
          </w:rPr>
          <w:t>基于Sinkhorn距离的微电网分布式鲁棒优化调度:指数锥重构</w:t>
        </w:r>
      </w:hyperlink>
    </w:p>
    <w:p>
      <w:pPr>
        <w:spacing w:before="0" w:after="80"/>
      </w:pPr>
      <w:r>
        <w:rPr>
          <w:i/>
          <w:sz w:val="20"/>
        </w:rPr>
        <w:t>EN: Distributionally Robust Optimal Dispatch for Microgrids With Sinkhorn Distance: An Exponential Cone Reformulation</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06">
        <w:r>
          <w:rPr>
            <w:color w:val="1155CC"/>
            <w:u w:val="single"/>
          </w:rPr>
          <w:t>10.1109/tpwrs.2026.3684359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[963] </w:t>
      </w:r>
      <w:hyperlink r:id="rId1396">
        <w:r>
          <w:rPr>
            <w:color w:val="1155CC"/>
            <w:u w:val="single"/>
          </w:rPr>
          <w:t>面向可再生能源规划的数据驱动变多面体不确定集</w:t>
        </w:r>
      </w:hyperlink>
    </w:p>
    <w:p>
      <w:pPr>
        <w:spacing w:before="0" w:after="80"/>
      </w:pPr>
      <w:r>
        <w:rPr>
          <w:i/>
          <w:sz w:val="20"/>
        </w:rPr>
        <w:t>EN: Data-Driven Variable Polyhedral Uncertainty Set for Renewable Planning</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96">
        <w:r>
          <w:rPr>
            <w:color w:val="1155CC"/>
            <w:u w:val="single"/>
          </w:rPr>
          <w:t>10.1109/tpwrs.2026.3695710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[964] </w:t>
      </w:r>
      <w:hyperlink r:id="rId1398">
        <w:r>
          <w:rPr>
            <w:color w:val="1155CC"/>
            <w:u w:val="single"/>
          </w:rPr>
          <w:t>一种具有全局收敛性的轨迹统一状态估计方法：理论与方法</w:t>
        </w:r>
      </w:hyperlink>
    </w:p>
    <w:p>
      <w:pPr>
        <w:spacing w:before="0" w:after="80"/>
      </w:pPr>
      <w:r>
        <w:rPr>
          <w:i/>
          <w:sz w:val="20"/>
        </w:rPr>
        <w:t>EN: A Trajectory-Unified Method for State Estimation With Global Convergence Property: Theory and Method</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398">
        <w:r>
          <w:rPr>
            <w:color w:val="1155CC"/>
            <w:u w:val="single"/>
          </w:rPr>
          <w:t>10.1109/tpwrs.2026.3671475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[965] </w:t>
      </w:r>
      <w:hyperlink r:id="rId1438">
        <w:r>
          <w:rPr>
            <w:color w:val="1155CC"/>
            <w:u w:val="single"/>
          </w:rPr>
          <w:t>一种面向具有 N -1 安全约束的鲁棒前瞻经济调度的数据-模型混合驱动快速求解方法</w:t>
        </w:r>
      </w:hyperlink>
    </w:p>
    <w:p>
      <w:pPr>
        <w:spacing w:before="0" w:after="80"/>
      </w:pPr>
      <w:r>
        <w:rPr>
          <w:i/>
          <w:sz w:val="20"/>
        </w:rPr>
        <w:t>EN: A Hybrid Data-Model-Driven Fast-Solving Method for Robust Look-Ahead Economic Dispatch With N -1 Security Constraints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38">
        <w:r>
          <w:rPr>
            <w:color w:val="1155CC"/>
            <w:u w:val="single"/>
          </w:rPr>
          <w:t>10.1109/tpwrs.2026.3671262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[966] </w:t>
      </w:r>
      <w:hyperlink r:id="rId1440">
        <w:r>
          <w:rPr>
            <w:color w:val="1155CC"/>
            <w:u w:val="single"/>
          </w:rPr>
          <w:t>输入凸神经网络作为IBR主导电力系统稳定性约束优化中的代理模型</w:t>
        </w:r>
      </w:hyperlink>
    </w:p>
    <w:p>
      <w:pPr>
        <w:spacing w:before="0" w:after="80"/>
      </w:pPr>
      <w:r>
        <w:rPr>
          <w:i/>
          <w:sz w:val="20"/>
        </w:rPr>
        <w:t>EN: Input Convex Neural Network as a Surrogate in Stability-Constrained Optimization for IBR-Dominated Power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40">
        <w:r>
          <w:rPr>
            <w:color w:val="1155CC"/>
            <w:u w:val="single"/>
          </w:rPr>
          <w:t>10.1109/tpwrs.2026.3709567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[967] </w:t>
      </w:r>
      <w:hyperlink r:id="rId1442">
        <w:r>
          <w:rPr>
            <w:color w:val="1155CC"/>
            <w:u w:val="single"/>
          </w:rPr>
          <w:t>基于工作站GPU的轨迹敏感度张量多场景动态安全评估</w:t>
        </w:r>
      </w:hyperlink>
    </w:p>
    <w:p>
      <w:pPr>
        <w:spacing w:before="0" w:after="80"/>
      </w:pPr>
      <w:r>
        <w:rPr>
          <w:i/>
          <w:sz w:val="20"/>
        </w:rPr>
        <w:t>EN: Multi-Scenario Dynamic Security Assessment With Trajectory Sensitivity Tensors on Workstation GPUs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42">
        <w:r>
          <w:rPr>
            <w:color w:val="1155CC"/>
            <w:u w:val="single"/>
          </w:rPr>
          <w:t>10.1109/tpwrs.2026.3712184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[968] </w:t>
      </w:r>
      <w:hyperlink r:id="rId1412">
        <w:r>
          <w:rPr>
            <w:color w:val="1155CC"/>
            <w:u w:val="single"/>
          </w:rPr>
          <w:t>极端事件下电网基础设施时空风险的分析模型</w:t>
        </w:r>
      </w:hyperlink>
    </w:p>
    <w:p>
      <w:pPr>
        <w:spacing w:before="0" w:after="80"/>
      </w:pPr>
      <w:r>
        <w:rPr>
          <w:i/>
          <w:sz w:val="20"/>
        </w:rPr>
        <w:t>EN: An Analytical Model for Spatiotemporal Risk of Grid Infrastructure Under Extreme Events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12">
        <w:r>
          <w:rPr>
            <w:color w:val="1155CC"/>
            <w:u w:val="single"/>
          </w:rPr>
          <w:t>10.1109/tpwrs.2026.3695692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[969] </w:t>
      </w:r>
      <w:hyperlink r:id="rId1690">
        <w:r>
          <w:rPr>
            <w:color w:val="1155CC"/>
            <w:u w:val="single"/>
          </w:rPr>
          <w:t>氨基钾促进的α-芳基烯烃直接合成α-芳基腈</w:t>
        </w:r>
      </w:hyperlink>
    </w:p>
    <w:p>
      <w:pPr>
        <w:spacing w:before="0" w:after="80"/>
      </w:pPr>
      <w:r>
        <w:rPr>
          <w:i/>
          <w:sz w:val="20"/>
        </w:rPr>
        <w:t>EN: Potassium Amide-Promoted Direct Synthesis of α-Aryl Nitriles from α-Aryl Alkenes</w:t>
      </w:r>
    </w:p>
    <w:p>
      <w:pPr>
        <w:spacing w:before="0" w:after="120"/>
      </w:pPr>
      <w:r>
        <w:rPr>
          <w:b/>
        </w:rPr>
        <w:t xml:space="preserve">Source: </w:t>
      </w:r>
      <w:r>
        <w:t>Journal of the American Chemical Society</w:t>
      </w:r>
      <w:r>
        <w:t xml:space="preserve">    </w:t>
      </w:r>
      <w:r>
        <w:rPr>
          <w:b/>
        </w:rPr>
        <w:t xml:space="preserve">Pub date: </w:t>
      </w:r>
      <w:r>
        <w:t>2026-09-01 00:00:00+00:00</w:t>
      </w:r>
      <w:r>
        <w:t xml:space="preserve">    </w:t>
      </w:r>
      <w:r>
        <w:rPr>
          <w:b/>
        </w:rPr>
        <w:t xml:space="preserve">DOI: </w:t>
      </w:r>
      <w:hyperlink r:id="rId1690">
        <w:r>
          <w:rPr>
            <w:color w:val="1155CC"/>
            <w:u w:val="single"/>
          </w:rPr>
          <w:t>10.1021/jacs.6c14965</w:t>
        </w:r>
      </w:hyperlink>
    </w:p>
    <w:p>
      <w:pPr>
        <w:spacing w:before="0" w:after="120"/>
      </w:pPr>
      <w:r>
        <w:rPr>
          <w:b/>
        </w:rPr>
        <w:t xml:space="preserve">Notes: </w:t>
      </w:r>
      <w:r>
        <w:t>abstract_source=crossref</w:t>
      </w:r>
    </w:p>
    <w:p>
      <w:pPr>
        <w:spacing w:before="0" w:after="80" w:lineRule="auto" w:line="276"/>
      </w:pPr>
      <w:r>
        <w:rPr>
          <w:b/>
        </w:rPr>
        <w:t xml:space="preserve">摘要（ZH）: </w:t>
      </w:r>
      <w:r>
        <w:t>摘要 有机腈的合成仍然在很大程度上依赖通常涉及过渡金属催化剂或有毒氰化物试剂的方法，限制了其可持续性。本文报道了一种无氰化物、无过渡金属的化学循环策略，利用氨基钾作为反应介质，将α-芳基烯烃和氨转化为α-芳基腈。该反应最初通过形成α-芳基腈钾盐进行。随后用NH3处理钾盐可释放腈并再生KNH2，从而闭合化学循环。实验表征与计算结果的结合揭示了最初的亲核性氨基介导的反马氏加成，随后是K+促进的脱氢过程。两种协同效应稳定了关键的碳负离子中间体：碳负离子-苯基共轭以及K+的三齿配位。由于苯环、中心碳负离子和氰基之间更强的共轭，产物碳负离子在能量上比前驱体碳负离子更稳定，这构成了整个脱氢反应的热力学驱动力。这种原子经济性的方法重新定义了碱金属氨基化物作为可持续氮原子转移的多功能试剂。</w:t>
      </w:r>
    </w:p>
    <w:p>
      <w:pPr>
        <w:spacing w:before="0" w:after="200" w:lineRule="auto" w:line="276"/>
      </w:pPr>
      <w:r>
        <w:rPr>
          <w:b/>
        </w:rPr>
        <w:t xml:space="preserve">Abstract (EN): </w:t>
      </w:r>
      <w:r>
        <w:t>The synthesis of organic nitriles remains heavily dependent on methodologies that often involve transition-metal catalysts or toxic cyanide reagents, limiting their sustainability. Here, we report a cyanide- and transition-metal-free chemical looping strategy that converts α-aryl alkenes and ammonia (NH3) into α-aryl nitriles using potassium amide (KNH2) as a reaction mediator. The reaction initially proceeds via the formation of α-aryl nitrile potassium salts. Subsequent treatment of the potassium salts with NH3 liberates nitriles and regenerates KNH2, thereby closing the chemical loop. Combined experimental characterizations and computational results reveal an initial nucleophilic amide-mediated anti-Markovnikov addition followed by a K+-facilitated dehydrogenation process. Two synergistic effects stabilize the key carbanionic intermediates: carbanion-phenyl conjugation and tridentate coordination of K+. Owing to stronger conjugation among the phenyl rings, the central carbanion, and the cyano group, the product carbanion is energetically more stable than the precursor carbanion, which constitutes the thermodynamic driving force for the overall dehydrogenation. This atom-economical approach redefines alkali metal amides as versatile reagents for sustainable nitrogen-atom transfer.</w:t>
      </w:r>
    </w:p>
    <w:p>
      <w:pPr>
        <w:spacing w:before="120" w:after="120"/>
      </w:pPr>
      <w:r>
        <w:rPr>
          <w:sz w:val="18"/>
        </w:rPr>
        <w:t>——————————————————————————————————————————————————————————————————————</w:t>
      </w:r>
    </w:p>
    <w:p>
      <w:pPr>
        <w:spacing w:before="160" w:after="40" w:line="240" w:lineRule="auto"/>
      </w:pPr>
      <w:r>
        <w:rPr>
          <w:b/>
        </w:rPr>
        <w:t xml:space="preserve">[970] </w:t>
      </w:r>
      <w:hyperlink r:id="rId1691">
        <w:r>
          <w:rPr>
            <w:color w:val="1155CC"/>
            <w:u w:val="single"/>
          </w:rPr>
          <w:t>生物基茶多酚调控准二维钙钛矿维度实现高性能光存储</w:t>
        </w:r>
      </w:hyperlink>
    </w:p>
    <w:p>
      <w:pPr>
        <w:spacing w:before="0" w:after="80"/>
      </w:pPr>
      <w:r>
        <w:rPr>
          <w:i/>
          <w:sz w:val="20"/>
        </w:rPr>
        <w:t>EN: Bio-Based Tea Polyphenol Modulation of Quasi-2D Perovskite Dimensionality for High-Performance Photomemory</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1691">
        <w:r>
          <w:rPr>
            <w:color w:val="1155CC"/>
            <w:u w:val="single"/>
          </w:rPr>
          <w:t>10.1021/acsami.6c08410</w:t>
        </w:r>
      </w:hyperlink>
    </w:p>
    <w:p>
      <w:pPr>
        <w:spacing w:before="0" w:after="120"/>
      </w:pPr>
      <w:r>
        <w:rPr>
          <w:b/>
        </w:rPr>
        <w:t xml:space="preserve">Notes: </w:t>
      </w:r>
      <w:r>
        <w:t>abstract_source=crossref</w:t>
      </w:r>
    </w:p>
    <w:p>
      <w:pPr>
        <w:spacing w:before="0" w:after="80" w:lineRule="auto" w:line="276"/>
      </w:pPr>
      <w:r>
        <w:rPr>
          <w:b/>
        </w:rPr>
        <w:t xml:space="preserve">摘要（ZH）: </w:t>
      </w:r>
      <w:r>
        <w:t>摘要 光存储器的高速数据传输能力有望克服冯·诺依曼瓶颈，使其成为下一代技术发展的关键目标。随着对环境可持续性日益重视，生物基材料近年来因其丰富的官能团而备受关注，展现出极大的多功能性和应用潜力。本研究采用Ruddlesden-Popper（RP）相准二维钙钛矿和生物基材料作为非易失性光存储器的驻极体层，通过简单的制备工艺实现了高性能。结果表明，生物基材料的引入使器件具有高载流子迁移率（∼10−2 cm2/V·s）、高Ion/Ioff电流比（3.19 × 105）和宽存储窗口（∼35 V）。此外，即使经过多次循环，器件仍保持较强的光电流（∼10−5 A），长期保持测量（∼20,000 s）未发现明显的电流衰减。这些结果验证了生物基材料与Q-2D PVSK之间的协同作用显著增强了器件的存储特性和运行稳定性，展示了其在下一代非易失性光存储器应用中的巨大潜力。</w:t>
      </w:r>
    </w:p>
    <w:p>
      <w:pPr>
        <w:spacing w:before="0" w:after="200" w:lineRule="auto" w:line="276"/>
      </w:pPr>
      <w:r>
        <w:rPr>
          <w:b/>
        </w:rPr>
        <w:t xml:space="preserve">Abstract (EN): </w:t>
      </w:r>
      <w:r>
        <w:t>The high-speed data transmission capability of photomemory is expected to overcome the von Neumann bottleneck, making it a key target for next-generation technological development. With the growing emphasis on environmental sustainability, bio-based materials have attracted increasing attention in recent years due to their rich functional groups, which offer great versatility and application potential. This study employs Ruddlesden-Popper (RP)-phase quasi-2D perovskite (Q-2D PVSK) and bio-based material as the electret layer in non-volatile photomemory, achieving high performance through a simple fabrication process. The results show that the incorporation of bio-based materials leads to devices with high carrier mobility (∼10−2 cm2/V·s), a high Ion/Ioff current ratio (3.19 × 105), and a broad memory window (∼35 V). Moreover, even after multiple cycles, the device maintains a strong photocurrent (∼10−5 A), and long-term retention measurements (∼20,000 s) reveal no significant current degradation. These results validate that the synergistic interaction between bio-based material and Q-2D PVSK significantly enhances both the memory characteristics and the operational stability of the device, demonstrating their strong potential for next-generation nonvolatile photomemory applications.</w:t>
      </w:r>
    </w:p>
    <w:p>
      <w:pPr>
        <w:spacing w:before="120" w:after="120"/>
      </w:pPr>
      <w:r>
        <w:rPr>
          <w:sz w:val="18"/>
        </w:rPr>
        <w:t>——————————————————————————————————————————————————————————————————————</w:t>
      </w:r>
    </w:p>
    <w:p>
      <w:pPr>
        <w:spacing w:before="160" w:after="40" w:line="240" w:lineRule="auto"/>
      </w:pPr>
      <w:r>
        <w:rPr>
          <w:b/>
        </w:rPr>
        <w:t xml:space="preserve">[971] </w:t>
      </w:r>
      <w:hyperlink r:id="rId1324">
        <w:r>
          <w:rPr>
            <w:color w:val="1155CC"/>
            <w:u w:val="single"/>
          </w:rPr>
          <w:t>纤维状本征沸石Pickering界面催化剂</w:t>
        </w:r>
      </w:hyperlink>
    </w:p>
    <w:p>
      <w:pPr>
        <w:spacing w:before="0" w:after="80"/>
      </w:pPr>
      <w:r>
        <w:rPr>
          <w:i/>
          <w:sz w:val="20"/>
        </w:rPr>
        <w:t>EN: Fibrous Intrinsic Zeolitic Pickering Interfacial Catalysts</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1324">
        <w:r>
          <w:rPr>
            <w:color w:val="1155CC"/>
            <w:u w:val="single"/>
          </w:rPr>
          <w:t>10.1021/acsami.6c11264</w:t>
        </w:r>
      </w:hyperlink>
    </w:p>
    <w:p>
      <w:pPr>
        <w:spacing w:before="0" w:after="120"/>
      </w:pPr>
      <w:r>
        <w:rPr>
          <w:b/>
        </w:rPr>
        <w:t xml:space="preserve">Notes: </w:t>
      </w:r>
      <w:r>
        <w:t>abstract_source=crossref</w:t>
      </w:r>
    </w:p>
    <w:p>
      <w:pPr>
        <w:spacing w:before="0" w:after="80" w:lineRule="auto" w:line="276"/>
      </w:pPr>
      <w:r>
        <w:rPr>
          <w:b/>
        </w:rPr>
        <w:t xml:space="preserve">摘要（ZH）: </w:t>
      </w:r>
      <w:r>
        <w:t>{"translations":["摘要 此前，我们研究小组报道了利用具有内在双亲性、无需表面接枝的沸石制备稳定的Pickering乳液。然而，尽管乳化能力是内在的，催化活性位点（Pd金属纳米簇）仍是"外在的"。在本研究中，我们利用原始MTT沸石成功实现了内在乳化与内在催化。高各向异性（各向异性指数 = 23.2）和优异的分散性赋予该沸石良好的乳化性能，使未经修饰的沸石能够有效稳定Pickering乳液。值得注意的是，Brønsted酸位点天然存在于原始raw-MTT沸石中。因此，我们在同一沸石材料中成功实现了内在乳化与内在催化功能的集成，极大地简化了催化剂设计。我们构建了利用纤维状MTT沸石的Pickering界面催化体系用于环氧化物水合开环反应。该催化剂在20分钟内实现近定量的底物转化率（99.9%），转换频率（TOF）为70 h–1。此外，MTT沸石在连续五个反应循环中保持较高的催化活性和高回收效率。"]}</w:t>
      </w:r>
    </w:p>
    <w:p>
      <w:pPr>
        <w:spacing w:before="0" w:after="200" w:lineRule="auto" w:line="276"/>
      </w:pPr>
      <w:r>
        <w:rPr>
          <w:b/>
        </w:rPr>
        <w:t xml:space="preserve">Abstract (EN): </w:t>
      </w:r>
      <w:r>
        <w:t>Previously, our research group reported the preparation of stable Pickering emulsions using a zeolite with intrinsic amphiphilicity that required no surface grafting. Nevertheless, although the emulsification capability was intrinsic, the catalytic active sites (Pd metal nanoclusters) remained “extrinsic”. In the present study, we successfully achieved both intrinsic emulsification and intrinsic catalysis using pristine MTT zeolite. The high anisotropy (anisotropy index = 23.2) and excellent dispersibility endowed the zeolite with favorable emulsifying performance, enabling the unmodified zeolite to effectively stabilize Pickering emulsions. Remarkably, Brønsted acid sites are naturally present in pristine raw-MTT zeolite. Therefore, we successfully realized the integration of both intrinsic emulsification and intrinsic catalytic functionality within the same zeolitic material, greatly simplifying catalyst design. We constructed a Pickering interfacial catalytic system using fibrous MTT zeolite for epoxide hydration ring opening. The catalyst affords nearly quantitative substrate conversion (99.9%) within 20 min, along with a turnover frequency (TOF) of 70 h–1. Furthermore, the MTT zeolite preserves considerable catalytic activity and high recovery efficiency over five successive reaction cycles.</w:t>
      </w:r>
    </w:p>
    <w:p>
      <w:pPr>
        <w:spacing w:before="120" w:after="120"/>
      </w:pPr>
      <w:r>
        <w:rPr>
          <w:sz w:val="18"/>
        </w:rPr>
        <w:t>——————————————————————————————————————————————————————————————————————</w:t>
      </w:r>
    </w:p>
    <w:p>
      <w:pPr>
        <w:spacing w:before="160" w:after="40" w:line="240" w:lineRule="auto"/>
      </w:pPr>
      <w:r>
        <w:rPr>
          <w:b/>
        </w:rPr>
        <w:t xml:space="preserve">[972] </w:t>
      </w:r>
      <w:hyperlink r:id="rId1322">
        <w:r>
          <w:rPr>
            <w:color w:val="1155CC"/>
            <w:u w:val="single"/>
          </w:rPr>
          <w:t>基于高导电透明聚(苯并二呋喃二酮)电极的柔性红光量子点发光二极管</w:t>
        </w:r>
      </w:hyperlink>
    </w:p>
    <w:p>
      <w:pPr>
        <w:spacing w:before="0" w:after="80"/>
      </w:pPr>
      <w:r>
        <w:rPr>
          <w:i/>
          <w:sz w:val="20"/>
        </w:rPr>
        <w:t>EN: Flexible Red Quantum Dot Light-Emitting Diodes Enabled by a Highly Conductive and Transparent Poly(benzodifurandione) Electrode</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1322">
        <w:r>
          <w:rPr>
            <w:color w:val="1155CC"/>
            <w:u w:val="single"/>
          </w:rPr>
          <w:t>10.1021/acsami.6c10709</w:t>
        </w:r>
      </w:hyperlink>
    </w:p>
    <w:p>
      <w:pPr>
        <w:spacing w:before="0" w:after="120"/>
      </w:pPr>
      <w:r>
        <w:rPr>
          <w:b/>
        </w:rPr>
        <w:t xml:space="preserve">Notes: </w:t>
      </w:r>
      <w:r>
        <w:t>abstract_source=crossref</w:t>
      </w:r>
    </w:p>
    <w:p>
      <w:pPr>
        <w:spacing w:before="0" w:after="80" w:lineRule="auto" w:line="276"/>
      </w:pPr>
      <w:r>
        <w:rPr>
          <w:b/>
        </w:rPr>
        <w:t xml:space="preserve">摘要（ZH）: </w:t>
      </w:r>
      <w:r>
        <w:t>摘要 作为一种高导电聚合物,聚(苯并二呋喃二酮)(PBFDO)在柔性电极中展现出巨大潜力。然而,其与传统空穴传输层PEDOT:PSS的界面相容性较差,限制了器件性能,为实际应用带来了关键挑战。为解决这一问题,我们开发了一种由TrTPFB掺杂PF8Cz-TPA构成的新型油溶性空穴传输体系。TrTPFB的p型掺杂提升了PF8Cz-TPA的空穴传输能力和功函数匹配性,使其单层即可替代PEDOT:PSS/PF8Cz-TPA双层结构,从而提升器件性能并简化制备工艺。优化后的基于PBFDO的红光量子点发光二极管(QLED)表现出卓越的性能:1.9 V的低开启电压、39,603 cd m–2的最大亮度以及15.15 cd A–1的峰值电流效率。该峰值效率约为未掺杂器件(3.92 cd A–1)的四倍,并达到基于ITO器件性能的79%。基于PBFDO的器件展现出更优的运行稳定性,在120 h内亮度从19,000降至12,000 cd m–2,而基于ITO的器件则快速衰减,在仅45 h内从12,000降至5000 cd m–2。构筑在PEN衬底上的柔性QLED实现了10.96 cd A–1的电流效率,证实了其在柔性显示技术中的广阔前景。</w:t>
      </w:r>
    </w:p>
    <w:p>
      <w:pPr>
        <w:spacing w:before="0" w:after="200" w:lineRule="auto" w:line="276"/>
      </w:pPr>
      <w:r>
        <w:rPr>
          <w:b/>
        </w:rPr>
        <w:t xml:space="preserve">Abstract (EN): </w:t>
      </w:r>
      <w:r>
        <w:t>As a highly conductive polymer, poly(benzodifurandione) (PBFDO) shows great potential in flexible electrodes. Yet its poor interfacial compatibility with the traditional hole-transport layer PEDOT:PSS limits device performance, posing a key challenge for practical applications. To address this issue, we developed a novel oil-soluble hole-transport system comprising PF8Cz-TPA doped with TrTPFB. TrTPFB p-type doping boosts PF8Cz-TPA's hole transport and work-function matching, enabling its single layer to replace the PEDOT:PSS/PF8Cz-TPA bilayer, improving device performance and simplifying manufacturing. The optimized PBFDO-based red quantum dot light-emitting diode (QLED) delivers exceptional performance: a low turn-on voltage of 1.9 V, a maximum luminance of 39,603 cd m–2, and a peak current efficiency of 15.15 cd A–1. This peak efficiency is about four times that of undoped devices (3.92 cd A–1) and reaches 79% of the performance of ITO-based devices. PBFDO-based devices exhibited superior operational stability, with luminance dropping from 19,000 to 12,000 cd m–2 over 120 h, while ITO-based devices degraded rapidly, falling from 12,000 to 5000 cd m–2 in just 45 h. Flexible QLEDs built on PEN substrates deliver a current efficiency of 10.96 cd A–1, confirming their promising prospects in flexible display technologies.</w:t>
      </w:r>
    </w:p>
    <w:p>
      <w:pPr>
        <w:spacing w:before="120" w:after="120"/>
      </w:pPr>
      <w:r>
        <w:rPr>
          <w:sz w:val="18"/>
        </w:rPr>
        <w:t>——————————————————————————————————————————————————————————————————————</w:t>
      </w:r>
    </w:p>
    <w:p>
      <w:pPr>
        <w:spacing w:before="160" w:after="40" w:line="240" w:lineRule="auto"/>
      </w:pPr>
      <w:r>
        <w:rPr>
          <w:b/>
        </w:rPr>
        <w:t xml:space="preserve">[973] </w:t>
      </w:r>
      <w:hyperlink r:id="rId1320">
        <w:r>
          <w:rPr>
            <w:color w:val="1155CC"/>
            <w:u w:val="single"/>
          </w:rPr>
          <w:t>HfO2纳米晶增强柔性SiC纳米纤维膜：兼具优异循环弯曲耐久性与隔热性能</w:t>
        </w:r>
      </w:hyperlink>
    </w:p>
    <w:p>
      <w:pPr>
        <w:spacing w:before="0" w:after="80"/>
      </w:pPr>
      <w:r>
        <w:rPr>
          <w:i/>
          <w:sz w:val="20"/>
        </w:rPr>
        <w:t>EN: HfO2 Nanocrystal-Reinforced Flexible SiC Nanofibrous Membranes with Excellent Cyclic Bending Durability and Thermal Insulation</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1320">
        <w:r>
          <w:rPr>
            <w:color w:val="1155CC"/>
            <w:u w:val="single"/>
          </w:rPr>
          <w:t>10.1021/acsami.6c15100</w:t>
        </w:r>
      </w:hyperlink>
    </w:p>
    <w:p>
      <w:pPr>
        <w:spacing w:before="0" w:after="120"/>
      </w:pPr>
      <w:r>
        <w:rPr>
          <w:b/>
        </w:rPr>
        <w:t xml:space="preserve">Notes: </w:t>
      </w:r>
      <w:r>
        <w:t>abstract_source=crossref</w:t>
      </w:r>
    </w:p>
    <w:p>
      <w:pPr>
        <w:spacing w:before="0" w:after="80" w:lineRule="auto" w:line="276"/>
      </w:pPr>
      <w:r>
        <w:rPr>
          <w:b/>
        </w:rPr>
        <w:t xml:space="preserve">摘要（ZH）: </w:t>
      </w:r>
      <w:r>
        <w:t>摘要 通过将HfO2纳米晶 incorporated 到SiC基体中,采用聚合物前驱体陶瓷策略制备了柔性HfO2/SiC复合纳米纤维膜。优化后的膜展现出1.97 MPa的拉伸强度、约为自身重量3800倍的静载承载能力以及优异的循环弯曲耐久性,在180°反复弯曲下经1.6 × 10⁴次循环后ΔR/R0保持在3%以下。这些结果表明其在静态载荷和反复弯曲变形下均具有稳健的机械稳定性。同时,该膜实现了0.1513 W·m⁻¹·K⁻¹的低导热系数和约0.95的高红外发射率。在直接暴露于1200 °C火焰时,厚度为2.5 mm的膜背面温度仅为172.6 °C。在长时间热暴露下,测得的单位厚度温差可持续性为1.19 × 10⁵ °C·s·mm⁻¹,是传统陶瓷、纤维和气凝胶隔热材料的1.6倍。此外,分子动力学模拟进一步证实了HfO2的掺入具有增强效果。这些结果凸显了HfO2/SiC纳米纤维膜在极端环境下轻质热防护应用中的潜力。</w:t>
      </w:r>
    </w:p>
    <w:p>
      <w:pPr>
        <w:spacing w:before="0" w:after="200" w:lineRule="auto" w:line="276"/>
      </w:pPr>
      <w:r>
        <w:rPr>
          <w:b/>
        </w:rPr>
        <w:t xml:space="preserve">Abstract (EN): </w:t>
      </w:r>
      <w:r>
        <w:t>Flexible HfO2/SiC composite nanofibrous membranes were fabricated via a polymer-derived ceramic strategy by incorporating HfO2 nanocrystals into a SiC matrix. The optimized membrane exhibits a tensile strength of 1.97 MPa, a static load-bearing capability of approximately 3800 times its own weight, and excellent cyclic bending durability, maintaining ΔR/R0 below 3% after 1.6 × 104 cycles under 180° repeated bending. These results demonstrate its robust mechanical stability under both static loading and repeated bending deformation. Concurrently, the membrane achieves a low thermal conductivity of 0.1513 W·m−1·K−1 and a high infrared emissivity of ∼0.95. When subjected to direct exposure to a 1200 °C flame, a 2.5 mm-thick membrane exhibits a backside temperature of only 172.6 °C. The measured temperature-difference sustainability per unit thickness is 1.19 × 105 °C·s·mm−1 under prolonged thermal exposure, which is 1.6 times that of conventional ceramic, fibrous, and aerogel insulators. Moreover, molecular dynamics simulations provide further evidence that the incorporation of HfO2 has a reinforcing effect. These results highlight the potential of HfO2/SiC nanofibrous membranes for lightweight thermal protection applications under extreme environments.</w:t>
      </w:r>
    </w:p>
    <w:p>
      <w:pPr>
        <w:spacing w:before="120" w:after="120"/>
      </w:pPr>
      <w:r>
        <w:rPr>
          <w:sz w:val="18"/>
        </w:rPr>
        <w:t>——————————————————————————————————————————————————————————————————————</w:t>
      </w:r>
    </w:p>
    <w:p>
      <w:pPr>
        <w:spacing w:before="160" w:after="40" w:line="240" w:lineRule="auto"/>
      </w:pPr>
      <w:r>
        <w:rPr>
          <w:b/>
        </w:rPr>
        <w:t xml:space="preserve">[974] </w:t>
      </w:r>
      <w:hyperlink r:id="rId1318">
        <w:r>
          <w:rPr>
            <w:color w:val="1155CC"/>
            <w:u w:val="single"/>
          </w:rPr>
          <w:t>具有宽带偏振灵敏度的协同双机制自供电光电探测器用于多功能应用</w:t>
        </w:r>
      </w:hyperlink>
    </w:p>
    <w:p>
      <w:pPr>
        <w:spacing w:before="0" w:after="80"/>
      </w:pPr>
      <w:r>
        <w:rPr>
          <w:i/>
          <w:sz w:val="20"/>
        </w:rPr>
        <w:t>EN: Synergistic Dual-Mechanism Self-Powered Photodetector with Broadband Polarization Sensitivity for Multifunctional Applications</w:t>
      </w:r>
    </w:p>
    <w:p>
      <w:pPr>
        <w:spacing w:before="0" w:after="120"/>
      </w:pPr>
      <w:r>
        <w:rPr>
          <w:b/>
        </w:rPr>
        <w:t xml:space="preserve">Source: </w:t>
      </w:r>
      <w:r>
        <w:t>ACS Applied Materials &amp; Interfaces</w:t>
      </w:r>
      <w:r>
        <w:t xml:space="preserve">    </w:t>
      </w:r>
      <w:r>
        <w:rPr>
          <w:b/>
        </w:rPr>
        <w:t xml:space="preserve">Pub date: </w:t>
      </w:r>
      <w:r>
        <w:t>2026-09-01 00:00:00+00:00</w:t>
      </w:r>
      <w:r>
        <w:t xml:space="preserve">    </w:t>
      </w:r>
      <w:r>
        <w:rPr>
          <w:b/>
        </w:rPr>
        <w:t xml:space="preserve">DOI: </w:t>
      </w:r>
      <w:hyperlink r:id="rId1318">
        <w:r>
          <w:rPr>
            <w:color w:val="1155CC"/>
            <w:u w:val="single"/>
          </w:rPr>
          <w:t>10.1021/acsami.6c11587</w:t>
        </w:r>
      </w:hyperlink>
    </w:p>
    <w:p>
      <w:pPr>
        <w:spacing w:before="0" w:after="120"/>
      </w:pPr>
      <w:r>
        <w:rPr>
          <w:b/>
        </w:rPr>
        <w:t xml:space="preserve">Notes: </w:t>
      </w:r>
      <w:r>
        <w:t>abstract_source=crossref</w:t>
      </w:r>
    </w:p>
    <w:p>
      <w:pPr>
        <w:spacing w:before="0" w:after="80" w:lineRule="auto" w:line="276"/>
      </w:pPr>
      <w:r>
        <w:rPr>
          <w:b/>
        </w:rPr>
        <w:t xml:space="preserve">摘要（ZH）: </w:t>
      </w:r>
      <w:r>
        <w:t>摘要 二维（2D）光电探测器因其优异的柔性和集成性而成为光电子学的研究热点。然而，传统2D光电探测器通常依赖单一的光响应机制，关于协同多种物理机制以增强探测性能的研究仍然不足。本文展示了一种具有单侧耗尽n-n结的高性能自驱动Gr/InSe/MoS2范德华异质结光电探测器。通过合理集成石墨烯、InSe和MoS2，该器件借助光伏效应和光热电效应的双机制实现了显著的协同增强。得益于MoS2中由温度梯度诱导的热电场与n-n结内建电场方向一致，有效促进了光生载流子的高效分离，显著提升了光响应。在零偏压工作条件下，该器件表现出从355到1064 nm的宽波段光响应、在532 nm处650 mA W−1的峰值响应度、5.3 × 10−13 A的超低暗电流以及15.6 μs的快速上升时间。同时，该器件由于InSe的面内各向异性而表现出明显的偏振敏感性。该器件已成功应用于图像加密、偏振成像和近红外光通信，为设计先进的多功能自驱动光电探测器提供了一种有前景的策略。</w:t>
      </w:r>
    </w:p>
    <w:p>
      <w:pPr>
        <w:spacing w:before="0" w:after="200" w:lineRule="auto" w:line="276"/>
      </w:pPr>
      <w:r>
        <w:rPr>
          <w:b/>
        </w:rPr>
        <w:t xml:space="preserve">Abstract (EN): </w:t>
      </w:r>
      <w:r>
        <w:t>Two-dimensional (2D) photodetectors are a research focus in optoelectronics owing to their excellent flexibility and integration. However, conventional 2D photodetectors typically rely on a single photoresponse mechanism, and studies on synergizing multiple physical mechanisms to enhance detection performance remain insufficient. Herein, we demonstrate a high-performance self-powered Gr/InSe/MoS2 van der Waals heterojunction photodetector with a unilateral depletion n-n junction. By rationally integrating graphene, InSe, and MoS2, the device realizes remarkable synergistic enhancement by dual-mechanism of photovoltaic and photothermoelectric effects. Benefiting from the thermoelectric field induced by the temperature gradient in MoS2 aligns with the built-in field of the n-n junction, effectively promote efficient photocarrier separation and significantly improving the photoresponse. Under zero-bias operation, it exhibits a broadband photoresponse from 355 to 1064 nm, a peak responsivity of 650 mA W−1 at 532 nm, an ultralow dark current of 5.3 × 10−13 A, and a fast rise time of 15.6 μs. Meanwhile, the device displays distinct polarization sensitivity originating from the in-plane anisotropy of InSe. It is successfully applied to image encryption, polarization imaging, and near-infrared optical communication, providing a promising strategy for designing advanced multifunctional self-powered photodetectors.</w:t>
      </w:r>
    </w:p>
    <w:p>
      <w:pPr>
        <w:spacing w:before="120" w:after="120"/>
      </w:pPr>
      <w:r>
        <w:rPr>
          <w:sz w:val="18"/>
        </w:rPr>
        <w:t>——————————————————————————————————————————————————————————————————————</w:t>
      </w:r>
    </w:p>
    <w:p>
      <w:pPr>
        <w:spacing w:before="160" w:after="40" w:line="240" w:lineRule="auto"/>
      </w:pPr>
      <w:r>
        <w:rPr>
          <w:b/>
        </w:rPr>
        <w:t xml:space="preserve">[975] </w:t>
      </w:r>
      <w:hyperlink r:id="rId1436">
        <w:r>
          <w:rPr>
            <w:color w:val="1155CC"/>
            <w:u w:val="single"/>
          </w:rPr>
          <w:t>基于PMSG的风电系统低频振荡稳定运行域分析及自适应抑制策略</w:t>
        </w:r>
      </w:hyperlink>
    </w:p>
    <w:p>
      <w:pPr>
        <w:spacing w:before="0" w:after="80"/>
      </w:pPr>
      <w:r>
        <w:rPr>
          <w:i/>
          <w:sz w:val="20"/>
        </w:rPr>
        <w:t>EN: Analyzing of Stable Operating Regions and Adaptive Suppression Strategy for Low-Frequency Oscillations in PMSG-Based Wind Power Systems</w:t>
      </w:r>
    </w:p>
    <w:p>
      <w:pPr>
        <w:spacing w:before="0" w:after="120"/>
      </w:pPr>
      <w:r>
        <w:rPr>
          <w:b/>
        </w:rPr>
        <w:t xml:space="preserve">Source: </w:t>
      </w:r>
      <w:r>
        <w:t>IEEE Transactions on Power Systems</w:t>
      </w:r>
      <w:r>
        <w:t xml:space="preserve">    </w:t>
      </w:r>
      <w:r>
        <w:rPr>
          <w:b/>
        </w:rPr>
        <w:t xml:space="preserve">Pub date: </w:t>
      </w:r>
      <w:r>
        <w:t>2026-09-01 00:00:00+00:00</w:t>
      </w:r>
      <w:r>
        <w:t xml:space="preserve">    </w:t>
      </w:r>
      <w:r>
        <w:rPr>
          <w:b/>
        </w:rPr>
        <w:t xml:space="preserve">DOI: </w:t>
      </w:r>
      <w:hyperlink r:id="rId1436">
        <w:r>
          <w:rPr>
            <w:color w:val="1155CC"/>
            <w:u w:val="single"/>
          </w:rPr>
          <w:t>10.1109/tpwrs.2026.3676651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[976] </w:t>
      </w:r>
      <w:hyperlink r:id="rId1116">
        <w:r>
          <w:rPr>
            <w:color w:val="1155CC"/>
            <w:u w:val="single"/>
          </w:rPr>
          <w:t>无Crowbar不对称低电压穿越下无刷双馈感应发电机控制绕组电流的分析与计算</w:t>
        </w:r>
      </w:hyperlink>
    </w:p>
    <w:p>
      <w:pPr>
        <w:spacing w:before="0" w:after="80"/>
      </w:pPr>
      <w:r>
        <w:rPr>
          <w:i/>
          <w:sz w:val="20"/>
        </w:rPr>
        <w:t>EN: Analysis and Calculation of the Control Winding Current During Crowbarless Asymmetrical Low-Voltage Ride-Through for Brushless Doubly-Fed Induction Generators</w:t>
      </w:r>
    </w:p>
    <w:p>
      <w:pPr>
        <w:spacing w:before="0" w:after="120"/>
      </w:pPr>
      <w:r>
        <w:rPr>
          <w:b/>
        </w:rPr>
        <w:t xml:space="preserve">Source: </w:t>
      </w:r>
      <w:r>
        <w:t>IEEE Transactions on Energy Conversion</w:t>
      </w:r>
      <w:r>
        <w:t xml:space="preserve">    </w:t>
      </w:r>
      <w:r>
        <w:rPr>
          <w:b/>
        </w:rPr>
        <w:t xml:space="preserve">Pub date: </w:t>
      </w:r>
      <w:r>
        <w:t>2026-09-01 00:00:00+00:00</w:t>
      </w:r>
      <w:r>
        <w:t xml:space="preserve">    </w:t>
      </w:r>
      <w:r>
        <w:rPr>
          <w:b/>
        </w:rPr>
        <w:t xml:space="preserve">DOI: </w:t>
      </w:r>
      <w:hyperlink r:id="rId1116">
        <w:r>
          <w:rPr>
            <w:color w:val="1155CC"/>
            <w:u w:val="single"/>
          </w:rPr>
          <w:t>10.1109/tec.2026.3657650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[977] </w:t>
      </w:r>
      <w:hyperlink r:id="rId1692">
        <w:r>
          <w:rPr>
            <w:color w:val="1155CC"/>
            <w:u w:val="single"/>
          </w:rPr>
          <w:t>面向吸附式集水、界面蒸发和辐射制冷的孔工程3D打印材料</w:t>
        </w:r>
      </w:hyperlink>
    </w:p>
    <w:p>
      <w:pPr>
        <w:spacing w:before="0" w:after="80"/>
      </w:pPr>
      <w:r>
        <w:rPr>
          <w:i/>
          <w:sz w:val="20"/>
        </w:rPr>
        <w:t>EN: Toward Pore‐Engineered 3D‐Printed Materials for Sorption Water Harvesting, Interfacial Evaporation, and Radiative Cooling</w:t>
      </w:r>
    </w:p>
    <w:p>
      <w:pPr>
        <w:spacing w:before="0" w:after="120"/>
      </w:pPr>
      <w:r>
        <w:rPr>
          <w:b/>
        </w:rPr>
        <w:t xml:space="preserve">Source: </w:t>
      </w:r>
      <w:r>
        <w:t>Wiley: Advanced Materials: Table of Contents</w:t>
      </w:r>
      <w:r>
        <w:t xml:space="preserve">    </w:t>
      </w:r>
      <w:r>
        <w:rPr>
          <w:b/>
        </w:rPr>
        <w:t xml:space="preserve">Pub date: </w:t>
      </w:r>
      <w:r>
        <w:t>2026-09-01 06:13:49+00:00</w:t>
      </w:r>
      <w:r>
        <w:t xml:space="preserve">    </w:t>
      </w:r>
      <w:r>
        <w:rPr>
          <w:b/>
        </w:rPr>
        <w:t xml:space="preserve">DOI: </w:t>
      </w:r>
      <w:hyperlink r:id="rId1693">
        <w:r>
          <w:rPr>
            <w:color w:val="1155CC"/>
            <w:u w:val="single"/>
          </w:rPr>
          <w:t>10.1002/adma.74850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资源短缺加剧了人们对无源、基于吸附的大气集水（SAWH）、界面蒸发（IE）和辐射制冷（RC）技术的关注，这些技术在能量-水-空气交叉领域通过热质耦合传递运行。尽管这些方法常与分级多孔材料相关联，但其性能更从根本上取决于介观结构、界面设计和系统级集成，而非仅取决于本征纳米尺度孔隙率。增材制造（AM）为构建此类结构提供了一个多功能平台，可精确控制几何形状、连通性和功能梯度，同时还能通过后处理工艺在需要处引入额外孔隙。与现有主要关注材料体系或单一应用的综述不同，本综述建立了跨越SAWH、IE和RC的以制造和孔隙结构为中心的统一视角，强调AM加工如何调控传递行为和多功能性能。本综述聚焦于AM在为SAWH、IE和RC构建多孔和半多孔材料中的作用，特别关注诸如直写式打印（direct ink writing）等挤出基方法，它们具有广泛的材料兼容性和工艺灵活性。我们评估了这些应用最相关的3D打印技术，并讨论了其向实用化器件的集成。针对缺乏标准化、针对特定应用的评估方法这一问题，我们引入了一套全面的表</w:t>
      </w:r>
    </w:p>
    <w:p>
      <w:pPr>
        <w:spacing w:before="0" w:after="200" w:lineRule="auto" w:line="276"/>
      </w:pPr>
      <w:r>
        <w:rPr>
          <w:b/>
        </w:rPr>
        <w:t xml:space="preserve">Abstract (EN): </w:t>
      </w:r>
      <w:r>
        <w:t>Water scarcity has intensified interest in passive, sorption‐based atmospheric water harvesting (SAWH), interfacial evaporation (IE), and radiative cooling (RC) technologies that operate at the energy–water–air nexus through coupled heat and mass transfer. Although these approaches are frequently associated with hierarchical porous materials, their performance depends more fundamentally on mesoscale architecture, interfacial design, and system‐level integration than on intrinsic nanoscale porosity alone. Additive manufacturing (AM) offers a versatile platform for engineering such architectures, providing precise control over geometry, connectivity, and functional gradients, while also enabling post‐processing routes to introduce additional porosity where required. Unlike existing reviews that primarily focus on material systems or individual applications, this review establishes a unified manufacturing‐ and pore‐architecture‐centric perspective across SAWH, IE, and RC, emphasizing how AM processing governs transfer behavior and multifunctional performance. This review focuses on the role of AM in structuring porous and semi‐porous materials for SAWH, IE, and RC, with particular emphasis on extrusion‐based methods such as direct ink writing that offer broad material compatibility and process flexibility. We assess the most relevant 3D printing technologies for these applications and discuss their incorporation into operational devices. To address the absence of standardized, application‐specific evaluation methods, we introduce a comprehensive characterization framework linking printing resolution, architectural features, and functional performance, including sorption dynamics, thermal robustness, and multifunctional coupling. Finally, we discuss future opportunities for composite design, system‐level integration, and artificial‐intelligence‐assisted optimization to advance scalable water and thermal management solutions.</w:t>
      </w:r>
    </w:p>
    <w:p>
      <w:pPr>
        <w:spacing w:before="120" w:after="120"/>
      </w:pPr>
      <w:r>
        <w:rPr>
          <w:sz w:val="18"/>
        </w:rPr>
        <w:t>——————————————————————————————————————————————————————————————————————</w:t>
      </w:r>
    </w:p>
    <w:p>
      <w:pPr>
        <w:spacing w:before="160" w:after="40" w:line="240" w:lineRule="auto"/>
      </w:pPr>
      <w:r>
        <w:rPr>
          <w:b/>
        </w:rPr>
        <w:t xml:space="preserve">[978] </w:t>
      </w:r>
      <w:hyperlink r:id="rId1694">
        <w:r>
          <w:rPr>
            <w:color w:val="1155CC"/>
            <w:u w:val="single"/>
          </w:rPr>
          <w:t>低温钙钛矿结晶抑制界面热应力实现稳健高分辨率平板X射线成像</w:t>
        </w:r>
      </w:hyperlink>
    </w:p>
    <w:p>
      <w:pPr>
        <w:spacing w:before="0" w:after="80"/>
      </w:pPr>
      <w:r>
        <w:rPr>
          <w:i/>
          <w:sz w:val="20"/>
        </w:rPr>
        <w:t>EN: Low‐Temperature Perovskite Crystallization Suppresses Interfacial Thermal Stress for Robust and High‐Resolution Flat‐Panel X‐Ray Imaging</w:t>
      </w:r>
    </w:p>
    <w:p>
      <w:pPr>
        <w:spacing w:before="0" w:after="120"/>
      </w:pPr>
      <w:r>
        <w:rPr>
          <w:b/>
        </w:rPr>
        <w:t xml:space="preserve">Source: </w:t>
      </w:r>
      <w:r>
        <w:t>Wiley: Advanced Materials: Table of Contents</w:t>
      </w:r>
      <w:r>
        <w:t xml:space="preserve">    </w:t>
      </w:r>
      <w:r>
        <w:rPr>
          <w:b/>
        </w:rPr>
        <w:t xml:space="preserve">Pub date: </w:t>
      </w:r>
      <w:r>
        <w:t>2026-09-01 06:16:57+00:00</w:t>
      </w:r>
      <w:r>
        <w:t xml:space="preserve">    </w:t>
      </w:r>
      <w:r>
        <w:rPr>
          <w:b/>
        </w:rPr>
        <w:t xml:space="preserve">DOI: </w:t>
      </w:r>
      <w:hyperlink r:id="rId1695">
        <w:r>
          <w:rPr>
            <w:color w:val="1155CC"/>
            <w:u w:val="single"/>
          </w:rPr>
          <w:t>10.1002/adma.74876</w:t>
        </w:r>
      </w:hyperlink>
    </w:p>
    <w:p>
      <w:pPr>
        <w:spacing w:before="0" w:after="120"/>
      </w:pPr>
      <w:r>
        <w:rPr>
          <w:b/>
        </w:rPr>
        <w:t xml:space="preserve">Notes: </w:t>
      </w:r>
      <w:r>
        <w:t>abstract_source=pubmed</w:t>
      </w:r>
    </w:p>
    <w:p>
      <w:pPr>
        <w:spacing w:before="0" w:after="80" w:lineRule="auto" w:line="276"/>
      </w:pPr>
      <w:r>
        <w:rPr>
          <w:b/>
        </w:rPr>
        <w:t xml:space="preserve">摘要（ZH）: </w:t>
      </w:r>
      <w:r>
        <w:t>界面热应力是限制钙钛矿光电器件特别是X射线探测器性能的常见问题。这一挑战源于热力学不兼容性：传统的高温钙钛矿结晶在冷却过程中会引起严重的界面热应力，导致薄膜剥离和开裂。本文通过溶剂工程和中间相设计，首次实现了钙钛矿厚膜的低温柔性成型，从源头缓解了这一问题。这通过一种新型钙钛矿油墨配方实现，该配方含有高挥发性的2-甲氧基乙醇(2-ME)和单齿配位的1-环己基-2-吡咯烷酮(CHP)。这一组合产生了一种新中间相(CHP)2Pb3I6，它将成核与生长在很大程度上解耦，并将结晶温度从135°C降至75°C。这一降低以及润湿性的改善使界面热应力降低约75%，界面粘附强度翻倍。由此实现了钙钛矿厚膜与铟镓锌氧化物(IGZO)薄膜晶体管(TFT)背板的稳健集成。所得的平板成像仪在调制传递函数(MTF)达到0.2时具有4.73 lp mm-1(0.59 lp pix-1)的空间分辨率，优于商用非晶硒(α-Se)和以往的钙钛矿基成像仪。这项工作阐明了中间相调控的结晶热力学，并为在温度敏感衬底上集成单片钙钛矿光电器件开辟了道路。</w:t>
      </w:r>
    </w:p>
    <w:p>
      <w:pPr>
        <w:spacing w:before="0" w:after="200" w:lineRule="auto" w:line="276"/>
      </w:pPr>
      <w:r>
        <w:rPr>
          <w:b/>
        </w:rPr>
        <w:t xml:space="preserve">Abstract (EN): </w:t>
      </w:r>
      <w:r>
        <w:t>Interfacial thermal stress is a common issue limiting the performance of perovskite optoelectronics, particularly x-ray detectors. This challenge originates from thermomechanical incompatibility: conventional high-temperature perovskite crystallization induces severe interfacial thermal stress upon cooling, triggering film delamination and cracking. Herein, through solvent engineering and intermediate design, we demonstrate, for the first time, the low-temperature formation of perovskite thick films, mitigating this issue at its origin. This is achieved by a new perovskite ink formulation containing highly volatile 2-methoxyethanol (2-ME) and monodentate coordinating 1-cyclohexyl-2-pyrrolidone (CHP). This combination yields a new intermediate, (CHP)2Pb3I6, that largely decouples nucleation from growth and lowers the crystallization temperature from 135 to 75°C. This reduction, along with an improved wettability, decreases the interfacial thermal stress by ∼75% and doubles the interfacial adhesion strength. Consequently, robust integration of perovskite thick films with an indium-gallium-zinc-oxide (IGZO) thin-film transistor (TFT) backplane is achieved. The resulting flat-panel imager delivers a spatial resolution of 4.73 lp mm-1 (0.59 lp pix-1) when the modulation transfer function (MTF) reaches 0.2, outperforming commercial amorphous selenium (α-Se) and previous perovskite-based imagers. This work elucidates intermediate-regulated crystallization thermodynamics and opens avenue for integrating monolithic perovskite optoelectronics onto temperature‑sensitive substrates.</w:t>
      </w:r>
    </w:p>
    <w:p>
      <w:pPr>
        <w:spacing w:before="120" w:after="120"/>
      </w:pPr>
      <w:r>
        <w:rPr>
          <w:sz w:val="18"/>
        </w:rPr>
        <w:t>——————————————————————————————————————————————————————————————————————</w:t>
      </w:r>
    </w:p>
    <w:p>
      <w:pPr>
        <w:spacing w:before="160" w:after="40" w:line="240" w:lineRule="auto"/>
      </w:pPr>
      <w:r>
        <w:rPr>
          <w:b/>
        </w:rPr>
        <w:t xml:space="preserve">[979] </w:t>
      </w:r>
      <w:hyperlink r:id="rId1696">
        <w:r>
          <w:rPr>
            <w:color w:val="1155CC"/>
            <w:u w:val="single"/>
          </w:rPr>
          <w:t>从生长到性能：高性能器件用金刚石材料的前沿进展</w:t>
        </w:r>
      </w:hyperlink>
    </w:p>
    <w:p>
      <w:pPr>
        <w:spacing w:before="0" w:after="80"/>
      </w:pPr>
      <w:r>
        <w:rPr>
          <w:i/>
          <w:sz w:val="20"/>
        </w:rPr>
        <w:t>EN: From Growth to Performance: Emerging Frontiers in Diamond Materials for High‐Performance Devices</w:t>
      </w:r>
    </w:p>
    <w:p>
      <w:pPr>
        <w:spacing w:before="0" w:after="120"/>
      </w:pPr>
      <w:r>
        <w:rPr>
          <w:b/>
        </w:rPr>
        <w:t xml:space="preserve">Source: </w:t>
      </w:r>
      <w:r>
        <w:t>Wiley: Advanced Materials: Table of Contents</w:t>
      </w:r>
      <w:r>
        <w:t xml:space="preserve">    </w:t>
      </w:r>
      <w:r>
        <w:rPr>
          <w:b/>
        </w:rPr>
        <w:t xml:space="preserve">Pub date: </w:t>
      </w:r>
      <w:r>
        <w:t>2026-09-01 06:17:10+00:00</w:t>
      </w:r>
      <w:r>
        <w:t xml:space="preserve">    </w:t>
      </w:r>
      <w:r>
        <w:rPr>
          <w:b/>
        </w:rPr>
        <w:t xml:space="preserve">DOI: </w:t>
      </w:r>
      <w:hyperlink r:id="rId1697">
        <w:r>
          <w:rPr>
            <w:color w:val="1155CC"/>
            <w:u w:val="single"/>
          </w:rPr>
          <w:t>10.1002/adma.74765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刚石的超宽禁带、高载流子迁移率、极高热导率和化学稳健性使其成为下一代光电子、电子、光子和热管理技术的理想平台。化学气相沉积的快速进展正日益释放这一潜力，实现了精确的材料合成与集成。本综述采用“生长到性能”的视角来评估金刚石研究的新兴前沿。我们首先重点介绍金刚石合成方面的关键进展，包括大面积单晶和多晶金刚石生长、异质外延、低温沉积和先进掺杂策略。然后我们考察这些上游材料进展如何直接决定三大核心技术支柱的下游性能。在光电子和电子领域，这些材料突破催生了金刚石光电探测器、高压p–n二极管、肖特基势垒二极管以及基于p型和n型金刚石沟道的场效应晶体管。在光子学领域，纳米加工和异质集成的进展正在拓展金刚石在非线性光学、集成光子学和量子技术中的作用。在热管理领域，与宽禁带半导体集成的金刚石散热片，加上热计量学和声子输运建模的进展，可实现卓越的散热</w:t>
      </w:r>
    </w:p>
    <w:p>
      <w:pPr>
        <w:spacing w:before="0" w:after="200" w:lineRule="auto" w:line="276"/>
      </w:pPr>
      <w:r>
        <w:rPr>
          <w:b/>
        </w:rPr>
        <w:t xml:space="preserve">Abstract (EN): </w:t>
      </w:r>
      <w:r>
        <w:t>Diamond's ultra‐wide bandgap, high carrier mobility, extreme thermal conductivity, and chemical robustness make it a promising platform for next‐generation optoelectronic, electronic, photonic, and thermal technologies. This potential is increasingly unlocked by rapid advances in chemical vapor deposition, enabling precise material synthesis and integration. This review adopts a “growth‐to‐performance” perspective to evaluate emerging frontiers in diamond research. We first highlight critical progress in diamond synthesis, including large‐area single crystal and polycrystalline diamond growth, heteroepitaxy, low‐temperature deposition, and advanced doping strategies. We then examine how these upstream material advancements directly dictate downstream performance across three core technological pillars. In optoelectronics and electronics, these material breakthroughs enable diamond photodetectors, high‐voltage</w:t>
      </w:r>
      <w:r>
        <w:t xml:space="preserve"> </w:t>
      </w:r>
      <w:r>
        <w:t>p</w:t>
      </w:r>
      <w:r>
        <w:t xml:space="preserve"> </w:t>
      </w:r>
      <w:r>
        <w:t>–</w:t>
      </w:r>
      <w:r>
        <w:t xml:space="preserve"> </w:t>
      </w:r>
      <w:r>
        <w:t>n</w:t>
      </w:r>
      <w:r>
        <w:t xml:space="preserve"> </w:t>
      </w:r>
      <w:r>
        <w:t>diodes, Schottky barrier diodes, and field‐effect transistors based on both</w:t>
      </w:r>
      <w:r>
        <w:t xml:space="preserve"> </w:t>
      </w:r>
      <w:r>
        <w:t>p</w:t>
      </w:r>
      <w:r>
        <w:t xml:space="preserve"> </w:t>
      </w:r>
      <w:r>
        <w:t>‐ and</w:t>
      </w:r>
      <w:r>
        <w:t xml:space="preserve"> </w:t>
      </w:r>
      <w:r>
        <w:t>n</w:t>
      </w:r>
      <w:r>
        <w:t xml:space="preserve"> </w:t>
      </w:r>
      <w:r>
        <w:t>‐type diamond channels. In photonics, advances in nanofabrication and heterogeneous integration are expanding diamond's role in nonlinear optics, integrated photonics, and quantum technologies. In thermal management, diamond heat spreaders integrated with wide‐bandgap semiconductors, coupled with advances in thermal metrology and phonon‐transport modeling, enable superior heat dissipation and reliability. By connecting synthesis with emerging applications, this review outlines the critical pathways through which diamond is poised to play a transformative role in high‐performance technologies across electronics, photonics, and thermal management.</w:t>
      </w:r>
    </w:p>
    <w:p>
      <w:pPr>
        <w:spacing w:before="120" w:after="120"/>
      </w:pPr>
      <w:r>
        <w:rPr>
          <w:sz w:val="18"/>
        </w:rPr>
        <w:t>——————————————————————————————————————————————————————————————————————</w:t>
      </w:r>
    </w:p>
    <w:p>
      <w:pPr>
        <w:spacing w:before="160" w:after="40" w:line="240" w:lineRule="auto"/>
      </w:pPr>
      <w:r>
        <w:rPr>
          <w:b/>
        </w:rPr>
        <w:t xml:space="preserve">[980] </w:t>
      </w:r>
      <w:hyperlink r:id="rId1698">
        <w:r>
          <w:rPr>
            <w:color w:val="1155CC"/>
            <w:u w:val="single"/>
          </w:rPr>
          <w:t>aster胆固醇转运选择性非甾体抑制剂的设计与结构基础</w:t>
        </w:r>
      </w:hyperlink>
    </w:p>
    <w:p>
      <w:pPr>
        <w:spacing w:before="0" w:after="80"/>
      </w:pPr>
      <w:r>
        <w:rPr>
          <w:i/>
          <w:sz w:val="20"/>
        </w:rPr>
        <w:t>EN: Design and structural basis of selective nonsteroidal inhibitors of aster cholesterol trafficking</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1699">
        <w:r>
          <w:rPr>
            <w:color w:val="1155CC"/>
            <w:u w:val="single"/>
          </w:rPr>
          <w:t>10.1073/pnas.2617638123</w:t>
        </w:r>
      </w:hyperlink>
    </w:p>
    <w:p>
      <w:pPr>
        <w:spacing w:before="0" w:after="120"/>
      </w:pPr>
      <w:r>
        <w:rPr>
          <w:b/>
        </w:rPr>
        <w:t xml:space="preserve">Notes: </w:t>
      </w:r>
      <w:r>
        <w:t>abstract_source=crossref</w:t>
      </w:r>
    </w:p>
    <w:p>
      <w:pPr>
        <w:spacing w:before="0" w:after="80" w:lineRule="auto" w:line="276"/>
      </w:pPr>
      <w:r>
        <w:rPr>
          <w:b/>
        </w:rPr>
        <w:t xml:space="preserve">摘要（ZH）: </w:t>
      </w:r>
      <w:r>
        <w:t>Aster蛋白(Aster-A、-B和-C)对于将胆固醇从质膜(PM)转运至内质网(ER)至关重要。Aster在各组织中以细胞类型特异性的方式表达。鉴于胆固醇在全身的多样化作用，其全局性破坏会导致多种生理后果。我们此前鉴定了甾醇类似物(如AI-3d)，可抑制全部三种Aster蛋白。然而，其应用受限于毒性和脱靶效应。本文中，我们报道了非甾体类Aster抑制剂的研发，其在细胞和体内均具有活性，利用结合导向设计生成了具有亚型选择性亲和力的化合物。我们发现YKJ-124是一种低毒性、偏好Aster-A的抑制剂，可提高原代T细胞中质膜可及胆固醇的水平，并增强Th17细胞中的储存操纵性Ca2+内流，表型模拟Aster-A缺失。YKJ-300和YKJ-305选择性靶向Aster-C；共晶结构和点突变研究揭示了依赖Ser477的氢键(Aster-A/B中为Gly)，这是其特异性的基础。我们还探索了药理学抑制Aster-C的体内后果。YKJ-305处理小鼠可减弱禁食诱导的肝脏胆固醇转运和胆固醇酯形成，并伴随SREBP2通路的代偿性激活。最后，我们还鉴定了广谱抑制剂(YKJ-86)和双重Aster-A/C抑制剂(YKJ-262)，可在成纤维细胞和人肠道类器官中驱动质膜胆固醇积累。总之，这些化学探</w:t>
      </w:r>
    </w:p>
    <w:p>
      <w:pPr>
        <w:spacing w:before="0" w:after="200" w:lineRule="auto" w:line="276"/>
      </w:pPr>
      <w:r>
        <w:rPr>
          <w:b/>
        </w:rPr>
        <w:t xml:space="preserve">Abstract (EN): </w:t>
      </w:r>
      <w:r>
        <w:t>Aster proteins (Aster-A, -B, and -C) are crucial for transporting cholesterol from the plasma membrane (PM) to the endoplasmic reticulum (ER). Asters are expressed in a cell type–specific manner across tissues. Their global disruption leads to varied physiological outcomes given the diverse roles of cholesterol throughout the body. We previously identified sterol analogs, such AI-3d, that inhibit all three Aster proteins. However, their utility is limited by toxicity and off-target effects. Here, we report the development of nonsteroidal Aster inhibitors that are active in cells and in vivo, using binding-guided design to generate compounds with isoform-selective affinities. We found that YKJ-124 is a low-toxicity, Aster-A–preferring inhibitor that elevates PM-accessible cholesterol in primary T cells and potentiates store-operated Ca</w:t>
      </w:r>
      <w:r>
        <w:t xml:space="preserve"> </w:t>
      </w:r>
      <w:r>
        <w:t>2+</w:t>
      </w:r>
      <w:r>
        <w:t xml:space="preserve"> </w:t>
      </w:r>
      <w:r>
        <w:t>entry in Th17 cells, phenocopying Aster-A deficiency. YKJ-300 and YKJ-305 selectively target Aster-C; cocrystal structures and point mutation studies reveal a Ser477-dependent hydrogen bond (Gly in Aster-A/B) that underlies this specificity. We also explored the in vivo consequences of pharmacologic Aster-C inhibition. YKJ-305 treatment of mice blunted fasting-induced hepatic cholesterol transport and cholesterol ester formation, accompanied by compensatory activation of the SREBP2 pathway. Last, we also identify broader-spectrum inhibitors (YKJ-86) and dual Aster-A/C inhibitors (YKJ-262) that drive PM cholesterol accumulation in fibroblasts and human intestinal enteroids. Together, these chemical probes enable isoform-resolved manipulation of Aster-dependent cholesterol trafficking and provide a foundation for developing Aster-targeted therapies for cholesterol dysregulation.</w:t>
      </w:r>
    </w:p>
    <w:p>
      <w:pPr>
        <w:spacing w:before="120" w:after="120"/>
      </w:pPr>
      <w:r>
        <w:rPr>
          <w:sz w:val="18"/>
        </w:rPr>
        <w:t>——————————————————————————————————————————————————————————————————————</w:t>
      </w:r>
    </w:p>
    <w:p>
      <w:pPr>
        <w:spacing w:before="160" w:after="40" w:line="240" w:lineRule="auto"/>
      </w:pPr>
      <w:r>
        <w:rPr>
          <w:b/>
        </w:rPr>
        <w:t xml:space="preserve">[981] </w:t>
      </w:r>
      <w:hyperlink r:id="rId1700">
        <w:r>
          <w:rPr>
            <w:color w:val="1155CC"/>
            <w:u w:val="single"/>
          </w:rPr>
          <w:t>SLC15A4–TASL复合物对小鼠狼疮发生至关重要</w:t>
        </w:r>
      </w:hyperlink>
    </w:p>
    <w:p>
      <w:pPr>
        <w:spacing w:before="0" w:after="80"/>
      </w:pPr>
      <w:r>
        <w:rPr>
          <w:i/>
          <w:sz w:val="20"/>
        </w:rPr>
        <w:t>EN: The SLC15A4–TASL complex is essential for lupus development in mice</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1701">
        <w:r>
          <w:rPr>
            <w:color w:val="1155CC"/>
            <w:u w:val="single"/>
          </w:rPr>
          <w:t>10.1073/pnas.2618215123</w:t>
        </w:r>
      </w:hyperlink>
    </w:p>
    <w:p>
      <w:pPr>
        <w:spacing w:before="0" w:after="120"/>
      </w:pPr>
      <w:r>
        <w:rPr>
          <w:b/>
        </w:rPr>
        <w:t xml:space="preserve">Notes: </w:t>
      </w:r>
      <w:r>
        <w:t>abstract_source=crossref</w:t>
      </w:r>
    </w:p>
    <w:p>
      <w:pPr>
        <w:spacing w:before="0" w:after="80" w:lineRule="auto" w:line="276"/>
      </w:pPr>
      <w:r>
        <w:rPr>
          <w:b/>
        </w:rPr>
        <w:t xml:space="preserve">摘要（ZH）: </w:t>
      </w:r>
      <w:r>
        <w:t>内体溶酶体Toll样受体的核酸感应与系统性红斑狼疮(SLE)及相关自身免疫病密切相关。在TLR7、TLR8和TLR9下游，SLE相关的SLC15A4–TASL复合物选择性介导IRF5激活，而对NF-κB和MAPK通路并非必需。在此，我们表明SLC15A4–TASL信号轴在三种互补的遗传性SLE模型(代表不同病因)中对疾病发生和致病机制具有广泛的必要性。Tasl基因敲除(Tasl KO)及其同源基因Tasl2的敲除(Tasl DKO)分别改善或完全预防了Fas lpr功能缺失引起的自身免疫表现。此外，SLC15A4–TASL复合物缺失足以保护机体免受患者来源的Tlr7 Y264H功能获得性突变驱动的疾病，包括脾肿大、免疫激活和自身抗体形成，即便在NF-κB和MAPK应答功能正常的情况下亦然。最后，将Tasl DKO脾细胞转入淋巴细胞减少的Dnase1l3缺陷小鼠，证明保护作用可延伸至DNA驱动的自身免疫，其中TLR7和TLR9作用冗余，有力支持</w:t>
      </w:r>
    </w:p>
    <w:p>
      <w:pPr>
        <w:spacing w:before="0" w:after="200" w:lineRule="auto" w:line="276"/>
      </w:pPr>
      <w:r>
        <w:rPr>
          <w:b/>
        </w:rPr>
        <w:t xml:space="preserve">Abstract (EN): </w:t>
      </w:r>
      <w:r>
        <w:t>Nucleic acid sensing by endolysosomal Toll-like receptors is critically involved in systemic lupus erythematosus (SLE) and related autoimmune diseases. Downstream of TLR7, TLR8, and TLR9, the SLE-associated SLC15A4–TASL complex selectively mediates IRF5 activation, while being dispensable for NF-κB and MAPK pathways. Here, we show that the SLC15A4–TASL signaling axis is broadly required for disease development and pathogenesis across three complementary genetic SLE models, reflecting different etiologies. Genetic ablation of</w:t>
      </w:r>
      <w:r>
        <w:t xml:space="preserve"> </w:t>
      </w:r>
      <w:r>
        <w:t>Tasl</w:t>
      </w:r>
      <w:r>
        <w:t xml:space="preserve"> </w:t>
      </w:r>
      <w:r>
        <w:t>(</w:t>
      </w:r>
      <w:r>
        <w:t xml:space="preserve"> </w:t>
      </w:r>
      <w:r>
        <w:t>Tasl</w:t>
      </w:r>
      <w:r>
        <w:t xml:space="preserve"> </w:t>
      </w:r>
      <w:r>
        <w:t>KO</w:t>
      </w:r>
      <w:r>
        <w:t xml:space="preserve"> </w:t>
      </w:r>
      <w:r>
        <w:t>) and its paralogue</w:t>
      </w:r>
      <w:r>
        <w:t xml:space="preserve"> </w:t>
      </w:r>
      <w:r>
        <w:t>Tasl2</w:t>
      </w:r>
      <w:r>
        <w:t xml:space="preserve"> </w:t>
      </w:r>
      <w:r>
        <w:t>(</w:t>
      </w:r>
      <w:r>
        <w:t xml:space="preserve"> </w:t>
      </w:r>
      <w:r>
        <w:t>Tasl</w:t>
      </w:r>
      <w:r>
        <w:t xml:space="preserve"> </w:t>
      </w:r>
      <w:r>
        <w:t>DKO</w:t>
      </w:r>
      <w:r>
        <w:t xml:space="preserve"> </w:t>
      </w:r>
      <w:r>
        <w:t>) ameliorated or fully prevented autoimmune manifestations resulting from</w:t>
      </w:r>
      <w:r>
        <w:t xml:space="preserve"> </w:t>
      </w:r>
      <w:r>
        <w:t>Fas</w:t>
      </w:r>
      <w:r>
        <w:t xml:space="preserve"> </w:t>
      </w:r>
      <w:r>
        <w:t>lpr</w:t>
      </w:r>
      <w:r>
        <w:t xml:space="preserve"> </w:t>
      </w:r>
      <w:r>
        <w:t>loss of function, respectively. Furthermore, SLC15A4–TASL complex deficiency was sufficient to protect from disease, including splenomegaly, immune activation, and autoantibody formation, driven by the patient-derived</w:t>
      </w:r>
      <w:r>
        <w:t xml:space="preserve"> </w:t>
      </w:r>
      <w:r>
        <w:t>Tlr7</w:t>
      </w:r>
      <w:r>
        <w:t xml:space="preserve"> </w:t>
      </w:r>
      <w:r>
        <w:t>Y264H</w:t>
      </w:r>
      <w:r>
        <w:t xml:space="preserve"> </w:t>
      </w:r>
      <w:r>
        <w:t>gain-of-function mutation, even in the presence of functional NF-κB and MAPK responses. Last,</w:t>
      </w:r>
      <w:r>
        <w:t xml:space="preserve"> </w:t>
      </w:r>
      <w:r>
        <w:t>Tasl</w:t>
      </w:r>
      <w:r>
        <w:t xml:space="preserve"> </w:t>
      </w:r>
      <w:r>
        <w:t>DKO</w:t>
      </w:r>
      <w:r>
        <w:t xml:space="preserve"> </w:t>
      </w:r>
      <w:r>
        <w:t>splenocyte transfer into lymphopenic</w:t>
      </w:r>
      <w:r>
        <w:t xml:space="preserve"> </w:t>
      </w:r>
      <w:r>
        <w:t>Dnase1l3</w:t>
      </w:r>
      <w:r>
        <w:t xml:space="preserve"> </w:t>
      </w:r>
      <w:r>
        <w:t>-deficient mice demonstrated that protection extends to DNA-driven autoimmunity, in which TLR7 and TLR9 act redundantly, strongly supporting a B cell–intrinsic role. Notably, SLC15A4–TASL complex deficiency blunted the generation of pathogenic age-associated B cells in all three autoimmune models as well as in aged animals. Collectively, these data demonstrate the central role of the SLC15A4–TASL complex in SLE, supporting its potential as therapeutic target.</w:t>
      </w:r>
    </w:p>
    <w:p>
      <w:pPr>
        <w:spacing w:before="120" w:after="120"/>
      </w:pPr>
      <w:r>
        <w:rPr>
          <w:sz w:val="18"/>
        </w:rPr>
        <w:t>——————————————————————————————————————————————————————————————————————</w:t>
      </w:r>
    </w:p>
    <w:p>
      <w:pPr>
        <w:spacing w:before="160" w:after="40" w:line="240" w:lineRule="auto"/>
      </w:pPr>
      <w:r>
        <w:rPr>
          <w:b/>
        </w:rPr>
        <w:t xml:space="preserve">[982] </w:t>
      </w:r>
      <w:hyperlink r:id="rId1702">
        <w:r>
          <w:rPr>
            <w:color w:val="1155CC"/>
            <w:u w:val="single"/>
          </w:rPr>
          <w:t>一种依赖Hox的锚定机制介导核周边自噬相关基因的转录抑制</w:t>
        </w:r>
      </w:hyperlink>
    </w:p>
    <w:p>
      <w:pPr>
        <w:spacing w:before="0" w:after="80"/>
      </w:pPr>
      <w:r>
        <w:rPr>
          <w:i/>
          <w:sz w:val="20"/>
        </w:rPr>
        <w:t>EN: A Hox-dependent anchoring mechanism mediates transcriptional repression of autophagy-related genes at the nuclear periphery</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1703">
        <w:r>
          <w:rPr>
            <w:color w:val="1155CC"/>
            <w:u w:val="single"/>
          </w:rPr>
          <w:t>10.1073/pnas.2616645123</w:t>
        </w:r>
      </w:hyperlink>
    </w:p>
    <w:p>
      <w:pPr>
        <w:spacing w:before="0" w:after="120"/>
      </w:pPr>
      <w:r>
        <w:rPr>
          <w:b/>
        </w:rPr>
        <w:t xml:space="preserve">Notes: </w:t>
      </w:r>
      <w:r>
        <w:t>abstract_source=crossref</w:t>
      </w:r>
    </w:p>
    <w:p>
      <w:pPr>
        <w:spacing w:before="0" w:after="80" w:lineRule="auto" w:line="276"/>
      </w:pPr>
      <w:r>
        <w:rPr>
          <w:b/>
        </w:rPr>
        <w:t xml:space="preserve">摘要（ZH）: </w:t>
      </w:r>
      <w:r>
        <w:t>基因组在细胞核内的空间组织对基因调控至关重要，但转录因子(TF)协调这一过程的机制仍知之甚少。在此，我们发现果蝇Hox蛋白Ultrabithorax(Ubx)通过将自噬相关(atg)基因位点 tether 到核外周来抑制这些基因。这种抑制活性依赖于与核纤层蛋白组分Lamin-C(LamC)的相互作用。此外，我们发现Ubx的DNA结合能力对于其与核质中LamC的物理相互作用以及体内atg基因的抑制均起决定性作用。总之，我们的发现揭示了一种机制：Hox转录因子作为空间锚定物，将靶基因定位于富含LamC的核区室中，以确保高效的转录抑制。</w:t>
      </w:r>
    </w:p>
    <w:p>
      <w:pPr>
        <w:spacing w:before="0" w:after="200" w:lineRule="auto" w:line="276"/>
      </w:pPr>
      <w:r>
        <w:rPr>
          <w:b/>
        </w:rPr>
        <w:t xml:space="preserve">Abstract (EN): </w:t>
      </w:r>
      <w:r>
        <w:t>The spatial organization of the genome within the nucleus is critical for gene regulation, yet the mechanisms by which transcription factors (TFs) orchestrate this process remain poorly understood. Here, we demonstrate that the</w:t>
      </w:r>
      <w:r>
        <w:t xml:space="preserve"> </w:t>
      </w:r>
      <w:r>
        <w:t>Drosophila</w:t>
      </w:r>
      <w:r>
        <w:t xml:space="preserve"> </w:t>
      </w:r>
      <w:r>
        <w:t>Hox protein Ultrabithorax (Ubx) represses autophagy-related (</w:t>
      </w:r>
      <w:r>
        <w:t xml:space="preserve"> </w:t>
      </w:r>
      <w:r>
        <w:t>atg</w:t>
      </w:r>
      <w:r>
        <w:t xml:space="preserve"> </w:t>
      </w:r>
      <w:r>
        <w:t>) genes by tethering their loci to the nuclear periphery. This repressive activity relies on the interaction with the nuclear lamina component Lamin-C (LamC). Furthermore, we identify that DNA-binding of Ubx is determinant for both the physical interaction with nucleoplasmic LamC and the repression of</w:t>
      </w:r>
      <w:r>
        <w:t xml:space="preserve"> </w:t>
      </w:r>
      <w:r>
        <w:t>atg</w:t>
      </w:r>
      <w:r>
        <w:t xml:space="preserve"> </w:t>
      </w:r>
      <w:r>
        <w:t>genes in vivo. Together, our findings reveal a mechanism whereby a Hox TF functions as a spatial anchor, positioning target genes within a LamC-rich nuclear compartment to ensure efficient transcriptional repression.</w:t>
      </w:r>
    </w:p>
    <w:p>
      <w:pPr>
        <w:spacing w:before="120" w:after="120"/>
      </w:pPr>
      <w:r>
        <w:rPr>
          <w:sz w:val="18"/>
        </w:rPr>
        <w:t>——————————————————————————————————————————————————————————————————————</w:t>
      </w:r>
    </w:p>
    <w:p>
      <w:pPr>
        <w:spacing w:before="160" w:after="40" w:line="240" w:lineRule="auto"/>
      </w:pPr>
      <w:r>
        <w:rPr>
          <w:b/>
        </w:rPr>
        <w:t xml:space="preserve">[983] </w:t>
      </w:r>
      <w:hyperlink r:id="rId1704">
        <w:r>
          <w:rPr>
            <w:color w:val="1155CC"/>
            <w:u w:val="single"/>
          </w:rPr>
          <w:t>用于研究拓扑异构酶II介导DNA损伤的多物种TOP2过裂解突变体工具包</w:t>
        </w:r>
      </w:hyperlink>
    </w:p>
    <w:p>
      <w:pPr>
        <w:spacing w:before="0" w:after="80"/>
      </w:pPr>
      <w:r>
        <w:rPr>
          <w:i/>
          <w:sz w:val="20"/>
        </w:rPr>
        <w:t>EN: A multispecies toolkit of TOP2 hypercleavage mutants for studying topoisomerase II–mediated DNA damage</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1705">
        <w:r>
          <w:rPr>
            <w:color w:val="1155CC"/>
            <w:u w:val="single"/>
          </w:rPr>
          <w:t>10.1073/pnas.2616452123</w:t>
        </w:r>
      </w:hyperlink>
    </w:p>
    <w:p>
      <w:pPr>
        <w:spacing w:before="0" w:after="120"/>
      </w:pPr>
      <w:r>
        <w:rPr>
          <w:b/>
        </w:rPr>
        <w:t xml:space="preserve">Notes: </w:t>
      </w:r>
      <w:r>
        <w:t>abstract_source=crossref</w:t>
      </w:r>
    </w:p>
    <w:p>
      <w:pPr>
        <w:spacing w:before="0" w:after="80" w:lineRule="auto" w:line="276"/>
      </w:pPr>
      <w:r>
        <w:rPr>
          <w:b/>
        </w:rPr>
        <w:t xml:space="preserve">摘要（ZH）: </w:t>
      </w:r>
      <w:r>
        <w:t>DNA拓扑异构酶II(TOP2)产生瞬时的DNA双链断裂，这些断裂被抗生素和化疗药物捕获为TOP2-DNA共价复合物(TOP2cc)。在此，我们表征了研究细胞对TOP2cc应答的工具，利用酿酒酵母TOP2突变体(TOP2-F1025Y,R1128G)，该突变体能以较高频率产生自发性和抑制剂诱导的共价复合物。这种Top2-hc(即“超切割”)突变蛋白单独表达或与内源性Top2共表达时均抑制酵母细胞生长，且在DNA修复缺陷的遗传背景中和/或低剂量Top2毒剂mAMSA存在下，生长缺陷加剧。我们在人和小鼠的TOP2A和TOP2B中构建了类似突变，导致培养细胞中TOP2cc增加、对拓扑异构酶毒剂超敏、DNA损伤增加和细胞存活率下降。我们进一步建立了可诱导、组织特异性表达每种TOP2-hc亚型的基因敲入小鼠模型，显示了明显的机体毒性和DNA损伤应答的细胞标志物。为展示这些遗传工具的潜力，我们在酵母和培养的人细胞中进行了针对TOP2-hc敏感性的概念验证筛选。酵母筛选显示对同源重组的强烈需求，姐妹染色单体黏合和动粒功能的中等作用，以及对囊泡和液泡功能的依赖。人细胞的初步shRNA筛选揭示了共同的需求</w:t>
      </w:r>
    </w:p>
    <w:p>
      <w:pPr>
        <w:spacing w:before="0" w:after="200" w:lineRule="auto" w:line="276"/>
      </w:pPr>
      <w:r>
        <w:rPr>
          <w:b/>
        </w:rPr>
        <w:t xml:space="preserve">Abstract (EN): </w:t>
      </w:r>
      <w:r>
        <w:t>DNA topoisomerase II (TOP2) generates transient DNA double-strand breaks that are trapped as TOP2-DNA covalent complexes (TOP2cc) by antibiotic and chemotherapy drugs. Here, we characterize tools for study of cellular responses to TOP2cc, exploiting a</w:t>
      </w:r>
      <w:r>
        <w:t xml:space="preserve"> </w:t>
      </w:r>
      <w:r>
        <w:t>Saccharomyces cerevisiae</w:t>
      </w:r>
      <w:r>
        <w:t xml:space="preserve"> </w:t>
      </w:r>
      <w:r>
        <w:t>TOP2</w:t>
      </w:r>
      <w:r>
        <w:t xml:space="preserve"> </w:t>
      </w:r>
      <w:r>
        <w:t>mutant (</w:t>
      </w:r>
      <w:r>
        <w:t xml:space="preserve"> </w:t>
      </w:r>
      <w:r>
        <w:t>TOP2-F1025Y,R1128G</w:t>
      </w:r>
      <w:r>
        <w:t xml:space="preserve"> </w:t>
      </w:r>
      <w:r>
        <w:t>) that generates spontaneous and inhibitor-induced covalent complexes at elevated frequencies. This Top2-hc (for “hypercleavage”) mutant protein inhibits yeast cell growth when expressed alone or with endogenous Top2, and growth defects are exacerbated in DNA-repair-deficient genetic backgrounds and/or in the presence of low doses of the Top2 poison mAMSA. We generated analogous mutations in human and mouse TOP2A and TOP2B that gave increased TOP2cc, hypersensitization to topoisomerase poisons, increased DNA damage, and decreased cell survival in cultured cells. We further established knock-in mouse models with inducible, tissue-specific expression of each TOP2-hc isoform, demonstrating overt organismal toxicity and cellular markers of DNA damage responses. To illustrate the potential of these genetic tools, we carried out proof-of-principle screens in yeast and cultured human cells for sensitivity to TOP2-hc. The yeast screen revealed strong requirements for homologous recombination, moderate roles for sister chromatid cohesion and kinetochore function, and dependencies on vesicle and vacuolar functions. The pilot shRNA screen in human cells revealed shared requirements for resistance to expression of either TOP2A-hc or TOP2B-hc as well as examples of isoform specificity. These findings establish hypercleavage mutant proteins as effective tools for studying topoisomerase isoform-specific DNA damage and offer a foundation for exploring TOP2cc toxicity and tolerance in vivo.</w:t>
      </w:r>
    </w:p>
    <w:p>
      <w:pPr>
        <w:spacing w:before="120" w:after="120"/>
      </w:pPr>
      <w:r>
        <w:rPr>
          <w:sz w:val="18"/>
        </w:rPr>
        <w:t>——————————————————————————————————————————————————————————————————————</w:t>
      </w:r>
    </w:p>
    <w:p>
      <w:pPr>
        <w:spacing w:before="160" w:after="40" w:line="240" w:lineRule="auto"/>
      </w:pPr>
      <w:r>
        <w:rPr>
          <w:b/>
        </w:rPr>
        <w:t xml:space="preserve">[984] </w:t>
      </w:r>
      <w:hyperlink r:id="rId1706">
        <w:r>
          <w:rPr>
            <w:color w:val="1155CC"/>
            <w:u w:val="single"/>
          </w:rPr>
          <w:t>激素依赖性miRNA级联通汇聚于糖原磷酸化酶以调控蚜虫翅型可塑性</w:t>
        </w:r>
      </w:hyperlink>
    </w:p>
    <w:p>
      <w:pPr>
        <w:spacing w:before="0" w:after="80"/>
      </w:pPr>
      <w:r>
        <w:rPr>
          <w:i/>
          <w:sz w:val="20"/>
        </w:rPr>
        <w:t>EN: Hormone-dependent miRNA cascades converge on glycogen phosphorylase to regulate wing plasticity in aphids</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1707">
        <w:r>
          <w:rPr>
            <w:color w:val="1155CC"/>
            <w:u w:val="single"/>
          </w:rPr>
          <w:t>10.1073/pnas.2616112123</w:t>
        </w:r>
      </w:hyperlink>
    </w:p>
    <w:p>
      <w:pPr>
        <w:spacing w:before="0" w:after="120"/>
      </w:pPr>
      <w:r>
        <w:rPr>
          <w:b/>
        </w:rPr>
        <w:t xml:space="preserve">Notes: </w:t>
      </w:r>
      <w:r>
        <w:t>abstract_source=crossref</w:t>
      </w:r>
    </w:p>
    <w:p>
      <w:pPr>
        <w:spacing w:before="0" w:after="80" w:lineRule="auto" w:line="276"/>
      </w:pPr>
      <w:r>
        <w:rPr>
          <w:b/>
        </w:rPr>
        <w:t xml:space="preserve">摘要（ZH）: </w:t>
      </w:r>
      <w:r>
        <w:t>表型可塑性使生物能够适应不断变化的环境，然而环境线索如何产生替代表型在很大程度上仍不清楚。蚜虫翅可塑性为在分子水平上理解有翅与无翅型的诱导和决定提供了一个可操作的研究模型。在蚜虫中，保幼激素（JH）和胰岛素等内分泌信号以及miRNA已被认为参与调控翅可塑性，但这些调控层面之间是否存在机制性联系以及如何联系仍不清楚。在此，我们鉴定了两条激素响应的miRNA级联通路，它们汇聚于一个共同靶标——糖原磷酸化酶（GP），以调控翅可塑性的不同阶段。在高密度条件下，JH触发RRP44（外切体复合体外切核酸酶RRP44）介导的细胞质pre-miR-317耗竭，降低成熟miR-317水平并解除对GP的抑制，进而促进有翅后代产生。在翅发育过程中，胰岛素诱导转录因子Forkhead Fox D3，后者抑制miR-305，提高GP水平并促进翅的形成。因此，miR-317–GP轴控制翅二型性，而miR-305–GP轴调控随后的翅发育。功能实验证实</w:t>
      </w:r>
    </w:p>
    <w:p>
      <w:pPr>
        <w:spacing w:before="0" w:after="200" w:lineRule="auto" w:line="276"/>
      </w:pPr>
      <w:r>
        <w:rPr>
          <w:b/>
        </w:rPr>
        <w:t xml:space="preserve">Abstract (EN): </w:t>
      </w:r>
      <w:r>
        <w:t>Phenotypic plasticity enables organisms to adapt to changing environments, yet how environmental cues generate alternative phenotypes remains largely unclear. Aphid wing plasticity offers a tractable model for understanding at a molecular level how winged and wingless morphs are induced and determined. In aphids, endocrine signals such as juvenile hormone (JH) and insulin, together with miRNAs, have been implicated in regulating wing plasticity, but whether and how these regulatory layers are mechanistically connected remains unclear. Here, we identified two hormone-responsive miRNA cascades that converged on a common target,</w:t>
      </w:r>
      <w:r>
        <w:t xml:space="preserve"> </w:t>
      </w:r>
      <w:r>
        <w:t>glycogen phosphorylase</w:t>
      </w:r>
      <w:r>
        <w:t xml:space="preserve"> </w:t>
      </w:r>
      <w:r>
        <w:t>(</w:t>
      </w:r>
      <w:r>
        <w:t xml:space="preserve"> </w:t>
      </w:r>
      <w:r>
        <w:t>GP</w:t>
      </w:r>
      <w:r>
        <w:t xml:space="preserve"> </w:t>
      </w:r>
      <w:r>
        <w:t>), to regulate distinct phases of wing plasticity. Under high density, JH triggers</w:t>
      </w:r>
      <w:r>
        <w:t xml:space="preserve"> </w:t>
      </w:r>
      <w:r>
        <w:t>RRP44</w:t>
      </w:r>
      <w:r>
        <w:t xml:space="preserve"> </w:t>
      </w:r>
      <w:r>
        <w:t>(exosome complex exonuclease</w:t>
      </w:r>
      <w:r>
        <w:t xml:space="preserve"> </w:t>
      </w:r>
      <w:r>
        <w:t>RRP44</w:t>
      </w:r>
      <w:r>
        <w:t xml:space="preserve"> </w:t>
      </w:r>
      <w:r>
        <w:t>)-mediated depletion of cytoplasmic pre-miR-317, reducing mature miR-317 and relieving</w:t>
      </w:r>
      <w:r>
        <w:t xml:space="preserve"> </w:t>
      </w:r>
      <w:r>
        <w:t>GP</w:t>
      </w:r>
      <w:r>
        <w:t xml:space="preserve"> </w:t>
      </w:r>
      <w:r>
        <w:t>repression, which in turn promotes winged offspring production. During wing development, insulin induces transcription factor</w:t>
      </w:r>
      <w:r>
        <w:t xml:space="preserve"> </w:t>
      </w:r>
      <w:r>
        <w:t>Forkhead Fox D3</w:t>
      </w:r>
      <w:r>
        <w:t xml:space="preserve"> </w:t>
      </w:r>
      <w:r>
        <w:t>, which represses miR-305, elevates</w:t>
      </w:r>
      <w:r>
        <w:t xml:space="preserve"> </w:t>
      </w:r>
      <w:r>
        <w:t>GP</w:t>
      </w:r>
      <w:r>
        <w:t xml:space="preserve"> </w:t>
      </w:r>
      <w:r>
        <w:t>, and promotes wing formation. Thus, the miR-317–</w:t>
      </w:r>
      <w:r>
        <w:t xml:space="preserve"> </w:t>
      </w:r>
      <w:r>
        <w:t>GP</w:t>
      </w:r>
      <w:r>
        <w:t xml:space="preserve"> </w:t>
      </w:r>
      <w:r>
        <w:t>axis governs wing dimorphism, whereas the miR-305–</w:t>
      </w:r>
      <w:r>
        <w:t xml:space="preserve"> </w:t>
      </w:r>
      <w:r>
        <w:t>GP</w:t>
      </w:r>
      <w:r>
        <w:t xml:space="preserve"> </w:t>
      </w:r>
      <w:r>
        <w:t>axis controls subsequent wing development. Functional assays confirmed that miR-317 and miR-305 both target</w:t>
      </w:r>
      <w:r>
        <w:t xml:space="preserve"> </w:t>
      </w:r>
      <w:r>
        <w:t>GP</w:t>
      </w:r>
      <w:r>
        <w:t xml:space="preserve"> </w:t>
      </w:r>
      <w:r>
        <w:t>but operate at different stages. Manipulation of miR-317 or JH treatment altered winged offspring production without causing detectable wing malformations, consistent with their role in wing dimorphism rather than wing development.</w:t>
      </w:r>
      <w:r>
        <w:t xml:space="preserve"> </w:t>
      </w:r>
      <w:r>
        <w:t>GP</w:t>
      </w:r>
      <w:r>
        <w:t xml:space="preserve"> </w:t>
      </w:r>
      <w:r>
        <w:t>knockdown impaired glycogen breakdown and lowered ATP levels, and the resulting wing defects suggest a metabolic requirement for wing development. Together, these findings define a miRNA network that couples population density and hormonal signaling to wing plasticity via</w:t>
      </w:r>
      <w:r>
        <w:t xml:space="preserve"> </w:t>
      </w:r>
      <w:r>
        <w:t>GP</w:t>
      </w:r>
      <w:r>
        <w:t xml:space="preserve"> </w:t>
      </w:r>
      <w:r>
        <w:t>-mediated energy control.</w:t>
      </w:r>
    </w:p>
    <w:p>
      <w:pPr>
        <w:spacing w:before="120" w:after="120"/>
      </w:pPr>
      <w:r>
        <w:rPr>
          <w:sz w:val="18"/>
        </w:rPr>
        <w:t>——————————————————————————————————————————————————————————————————————</w:t>
      </w:r>
    </w:p>
    <w:p>
      <w:pPr>
        <w:spacing w:before="160" w:after="40" w:line="240" w:lineRule="auto"/>
      </w:pPr>
      <w:r>
        <w:rPr>
          <w:b/>
        </w:rPr>
        <w:t xml:space="preserve">[985] </w:t>
      </w:r>
      <w:hyperlink r:id="rId1708">
        <w:r>
          <w:rPr>
            <w:color w:val="1155CC"/>
            <w:u w:val="single"/>
          </w:rPr>
          <w:t>基于EMIT高光谱辐射测量与深度学习的甲烷点源全球监测</w:t>
        </w:r>
      </w:hyperlink>
    </w:p>
    <w:p>
      <w:pPr>
        <w:spacing w:before="0" w:after="80"/>
      </w:pPr>
      <w:r>
        <w:rPr>
          <w:i/>
          <w:sz w:val="20"/>
        </w:rPr>
        <w:t>EN: Global monitoring of methane point sources using deep learning on hyperspectral radiance measurements from EMIT</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1709">
        <w:r>
          <w:rPr>
            <w:color w:val="1155CC"/>
            <w:u w:val="single"/>
          </w:rPr>
          <w:t>10.1073/pnas.2612145123</w:t>
        </w:r>
      </w:hyperlink>
    </w:p>
    <w:p>
      <w:pPr>
        <w:spacing w:before="0" w:after="120"/>
      </w:pPr>
      <w:r>
        <w:rPr>
          <w:b/>
        </w:rPr>
        <w:t xml:space="preserve">Notes: </w:t>
      </w:r>
      <w:r>
        <w:t>abstract_source=crossref</w:t>
      </w:r>
    </w:p>
    <w:p>
      <w:pPr>
        <w:spacing w:before="0" w:after="80" w:lineRule="auto" w:line="276"/>
      </w:pPr>
      <w:r>
        <w:rPr>
          <w:b/>
        </w:rPr>
        <w:t xml:space="preserve">摘要（ZH）: </w:t>
      </w:r>
      <w:r>
        <w:t>人为甲烷（CH4）点源是近期气候强迫、安全隐患和系统效率低下的关键驱动因素。天基成像光谱法是一种在全球范围内识别排放的新兴工具，但现有方法很大程度上依赖人工羽流识别。在此，我们提出了甲烷分析与羽流定位地球表面矿物粉尘源调查（MAPL-EMIT）模型，这是一个端到端视觉transformer框架，利用EMIT仪器的完整辐亮度谱，联合反演场景内所有像素的甲烷增量。该方法将光谱信息与空间背景相结合，显著降低了检测限。MAPL-EMIT同时支持增量定量、羽流勾绘和源定位，甚至可用于重叠羽流。该模型基于注入全球EMIT辐亮度数据中的360万个基于物理的合成羽流进行训练。合成评估证实了该模型以高召回率和精确度识别羽流的能力，并能够捕获相比现有匹配滤波方法更弱的羽流。在真实世界基准上，MAPL-EMIT在包含1,084个EMIT数据块的测试集中捕获了84%的已知人工标注的NASA EMIT-L2B羽流复合体，同时捕获的合理羽流数量约为人类分析者的1.5倍。与同期机载数据、顶级排放垃圾填埋场和控制释放实验的进一步比对验证了该模型识别此前未被捕获的羽流的能力</w:t>
      </w:r>
    </w:p>
    <w:p>
      <w:pPr>
        <w:spacing w:before="0" w:after="200" w:lineRule="auto" w:line="276"/>
      </w:pPr>
      <w:r>
        <w:rPr>
          <w:b/>
        </w:rPr>
        <w:t xml:space="preserve">Abstract (EN): </w:t>
      </w:r>
      <w:r>
        <w:t>Anthropogenic methane (CH</w:t>
      </w:r>
      <w:r>
        <w:rPr>
          <w:vertAlign w:val="subscript"/>
        </w:rPr>
        <w:t>4</w:t>
      </w:r>
      <w:r>
        <w:t>) point sources are critical drivers of near-term climate forcing, safety hazards, and system-inefficiencies. Space-based imaging spectroscopy is an emerging tool for identifying emissions globally, but existing approaches largely rely on manual plume identification. Here, we present the Methane Analysis and Plume Localization with Earth Surface Mineral Dust Source Investigation (MAPL-EMIT) model, an end-to-end vision transformer framework that leverages the complete radiance spectrum from the EMIT instrument to jointly retrieve methane enhancements across all pixels within a scene. This approach brings together spectral information with spatial context to significantly lower detection limits. MAPL-EMIT simultaneously supports enhancement quantification, plume delineation, and source localization, even for overlapping plumes. The model was trained on 3.6 million physics-based synthetic plumes injected into global EMIT radiance data. Synthetic evaluation confirms the model’s ability to identify plumes with high recall and precision and to capture weaker plumes relative to existing matched-filter approaches. On real-world benchmarks, MAPL-EMIT captures 84% of known hand-annotated NASA EMIT-L2B plume complexes across a test set of 1,084 EMIT granules, while capturing roughly 1.5 times as many plausible plumes compared to human analysts. Further verification against coincident airborne data, top-emitting landfills, and controlled release experiments confirms the model’s ability to identify previously uncaptured sources. By incorporating model-generated metrics such as spectral fit scores and estimated noise levels, the framework can limit false-positives. Overall, MAPL-EMIT enables high-throughput implementation on the full EMIT data catalog, shifting methane monitoring to a rapid, scalable paradigm for global plume mapping at the facility scale.</w:t>
      </w:r>
    </w:p>
    <w:p>
      <w:pPr>
        <w:spacing w:before="120" w:after="120"/>
      </w:pPr>
      <w:r>
        <w:rPr>
          <w:sz w:val="18"/>
        </w:rPr>
        <w:t>——————————————————————————————————————————————————————————————————————</w:t>
      </w:r>
    </w:p>
    <w:p>
      <w:pPr>
        <w:spacing w:before="160" w:after="40" w:line="240" w:lineRule="auto"/>
      </w:pPr>
      <w:r>
        <w:rPr>
          <w:b/>
        </w:rPr>
        <w:t xml:space="preserve">[986] </w:t>
      </w:r>
      <w:hyperlink r:id="rId1710">
        <w:r>
          <w:rPr>
            <w:color w:val="1155CC"/>
            <w:u w:val="single"/>
          </w:rPr>
          <w:t>脑相关性状的遗传结构受强选择性约束塑造</w:t>
        </w:r>
      </w:hyperlink>
    </w:p>
    <w:p>
      <w:pPr>
        <w:spacing w:before="0" w:after="80"/>
      </w:pPr>
      <w:r>
        <w:rPr>
          <w:i/>
          <w:sz w:val="20"/>
        </w:rPr>
        <w:t>EN: Genetic architectures of brain-related traits are shaped by strong selective constraints</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1711">
        <w:r>
          <w:rPr>
            <w:color w:val="1155CC"/>
            <w:u w:val="single"/>
          </w:rPr>
          <w:t>10.1073/pnas.2609814123</w:t>
        </w:r>
      </w:hyperlink>
    </w:p>
    <w:p>
      <w:pPr>
        <w:spacing w:before="0" w:after="120"/>
      </w:pPr>
      <w:r>
        <w:rPr>
          <w:b/>
        </w:rPr>
        <w:t xml:space="preserve">Notes: </w:t>
      </w:r>
      <w:r>
        <w:t>abstract_source=crossref</w:t>
      </w:r>
    </w:p>
    <w:p>
      <w:pPr>
        <w:spacing w:before="0" w:after="80" w:lineRule="auto" w:line="276"/>
      </w:pPr>
      <w:r>
        <w:rPr>
          <w:b/>
        </w:rPr>
        <w:t xml:space="preserve">摘要（ZH）: </w:t>
      </w:r>
      <w:r>
        <w:t>全基因组关联研究（GWAS）已为精神疾病鉴定出数百个显著位点，然而与具有相似命中数量的其他人类复杂性状相比，这些关联的强度仍然较弱。这种模式反映的是统计伪象还是真实的生物学差异——如果是后者，其 underlying 机制是什么——仍不清楚。除精神疾病外，我们发现其他在中枢神经系统（CNS）中具有功能富集的性状，无论是二分类的还是定量的，也具有相似的遗传架构，表现为GWAS命中位点统计学显著性有限且等位基因频率通常较高。在比较二分类与定量性状的架构时，我们对各自研究中的统计功效进行了校正。经此校正后，我们拟合了一个架构演化模型，表明CNS富集性状具有较大的突变目标大小，其贡献变异和基因所经历的选择强于其他性状。我们的发现揭示了复杂性状间的异质性，并为更有效捕获与适合度相关过程的性状提供了洞见。更广泛地，我们的结果表明复杂性状的遗传架构受到介导这些性状的组织的塑造。</w:t>
      </w:r>
    </w:p>
    <w:p>
      <w:pPr>
        <w:spacing w:before="0" w:after="200" w:lineRule="auto" w:line="276"/>
      </w:pPr>
      <w:r>
        <w:rPr>
          <w:b/>
        </w:rPr>
        <w:t xml:space="preserve">Abstract (EN): </w:t>
      </w:r>
      <w:r>
        <w:t>Genome-wide association studies (GWAS) have identified hundreds of significant loci for psychiatric disorders, yet the strength of these associations remains modest compared to other human complex traits with similar numbers of hits. Whether this pattern reflects statistical artifacts or real biological differences—and, if the latter, what underlies it—remains unclear. In addition to psychiatric disorders, we find that other traits with functional enrichment in the central nervous system (CNS), whether binary or quantitative, also share similar genetic architectures, characterized by GWAS hits of limited statistical significance and generally higher allele frequencies. In comparing the architecture of binary and quantitative traits, we adjust for statistical power in their respective studies. After this adjustment, we fit an evolutionary model of architecture and show that CNS-enriched traits have large mutational target sizes, with contributing variants and genes experiencing stronger selection than those for other traits. Our findings reveal heterogeneity among complex traits and provide insights into traits that more effectively capture fitness-relevant processes. More broadly, our results suggest that the genetic architectures of complex traits are shaped by the tissues through which these traits are mediated.</w:t>
      </w:r>
    </w:p>
    <w:p>
      <w:pPr>
        <w:spacing w:before="120" w:after="120"/>
      </w:pPr>
      <w:r>
        <w:rPr>
          <w:sz w:val="18"/>
        </w:rPr>
        <w:t>——————————————————————————————————————————————————————————————————————</w:t>
      </w:r>
    </w:p>
    <w:p>
      <w:pPr>
        <w:spacing w:before="160" w:after="40" w:line="240" w:lineRule="auto"/>
      </w:pPr>
      <w:r>
        <w:rPr>
          <w:b/>
        </w:rPr>
        <w:t xml:space="preserve">[987] </w:t>
      </w:r>
      <w:hyperlink r:id="rId1712">
        <w:r>
          <w:rPr>
            <w:color w:val="1155CC"/>
            <w:u w:val="single"/>
          </w:rPr>
          <w:t>AML1-ETO劫持NAT10的远端增强子以重编程谷胱甘肽代谢并维持白血病干细胞干性</w:t>
        </w:r>
      </w:hyperlink>
    </w:p>
    <w:p>
      <w:pPr>
        <w:spacing w:before="0" w:after="80"/>
      </w:pPr>
      <w:r>
        <w:rPr>
          <w:i/>
          <w:sz w:val="20"/>
        </w:rPr>
        <w:t>EN: AML1-ETO hijacks a distal enhancer of NAT10 to reprogram glutathione metabolism and sustain leukemia stem cell stemness</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1713">
        <w:r>
          <w:rPr>
            <w:color w:val="1155CC"/>
            <w:u w:val="single"/>
          </w:rPr>
          <w:t>10.1073/pnas.2608310123</w:t>
        </w:r>
      </w:hyperlink>
    </w:p>
    <w:p>
      <w:pPr>
        <w:spacing w:before="0" w:after="120"/>
      </w:pPr>
      <w:r>
        <w:rPr>
          <w:b/>
        </w:rPr>
        <w:t xml:space="preserve">Notes: </w:t>
      </w:r>
      <w:r>
        <w:t>abstract_source=crossref</w:t>
      </w:r>
    </w:p>
    <w:p>
      <w:pPr>
        <w:spacing w:before="0" w:after="80" w:lineRule="auto" w:line="276"/>
      </w:pPr>
      <w:r>
        <w:rPr>
          <w:b/>
        </w:rPr>
        <w:t xml:space="preserve">摘要（ZH）: </w:t>
      </w:r>
      <w:r>
        <w:t>染色体易位产生致癌融合蛋白如AML1-ETO，其主要以基因启动子为占据位点，在白血病干细胞（LSC）中诱导转录重编程，从而驱动t(8;21)急性髓系白血病（AML）的发病。然而，AML1-ETO是否被招募到其他调控DNA元件以协调致癌基因表达程序尚未得到充分阐明。在此，我们绘制了原代t(8;21) AML CD34+细胞和t(8;21) AML细胞系中的AML1-ETO及H3K27ac CUT&amp;Tag图谱，揭示了AML1-ETO在RNA N4-乙酰胞苷（ac4C）书写酶N-乙酰转移酶10（NAT10）的一个远端增强子上的结合，从而驱动其转录激活。NAT10的基因敲除或药理学抑制限制了原代t(8;21) AML CD34+细胞以及逆转录病毒AML1-ETO9a驱动的t(8;21) AML小鼠模型中LSC的存活和自我更新，确立NAT10为一个潜在的治疗脆弱点。在机制上，NAT10被招募到谷胱甘肽S-转移酶omega 2（GSTO2）mRNA上催化ac4C修饰，从而增强转录本稳定性并重编程谷胱甘肽代谢，这一点通过ac4C谱分析、RNA免疫沉淀（RIP）以及基于dCas13b-NAT10的分析得到证实。在原代t(8;21) AML CD34+细胞中沉默GSTO2可降低细胞内还原型谷胱甘肽（GSH）水平并损害LSC存活和自我更新，而GSTO2过表达</w:t>
      </w:r>
    </w:p>
    <w:p>
      <w:pPr>
        <w:spacing w:before="0" w:after="200" w:lineRule="auto" w:line="276"/>
      </w:pPr>
      <w:r>
        <w:rPr>
          <w:b/>
        </w:rPr>
        <w:t xml:space="preserve">Abstract (EN): </w:t>
      </w:r>
      <w:r>
        <w:t>Chromosomal translocations produce oncogenic fusion proteins such as AML1-ETO, which predominantly occupy gene promoters to induce transcriptional reprogramming in leukemia stem cells (LSCs), consequently driving the pathogenesis of t(8;21) acute myeloid leukemia (AML). However, whether AML1-ETO is recruited to additional regulatory DNA elements to orchestrate oncogenic gene expression programs has not been fully addressed. Here, we define AML1-ETO and H3K27ac CUT&amp;amp;Tag landscapes in primary t(8;21) AML CD34</w:t>
      </w:r>
      <w:r>
        <w:t xml:space="preserve"> </w:t>
      </w:r>
      <w:r>
        <w:t>+</w:t>
      </w:r>
      <w:r>
        <w:t xml:space="preserve"> </w:t>
      </w:r>
      <w:r>
        <w:t>cells and t(8;21) AML cell lines, revealing AML1-ETO binding at a distal enhancer of the RNA N4-acetylcytidine (ac4C) writer N-acetyltransferase 10 (NAT10), thereby driving its transcriptional activation. Genetic ablation or pharmacological inhibition of NAT10 restricted the survival and self-renewal of LSCs in primary t(8;21) AML CD34</w:t>
      </w:r>
      <w:r>
        <w:t xml:space="preserve"> </w:t>
      </w:r>
      <w:r>
        <w:t>+</w:t>
      </w:r>
      <w:r>
        <w:t xml:space="preserve"> </w:t>
      </w:r>
      <w:r>
        <w:t>cells, as well as in a retroviral AML1-ETO9a-driven t(8;21) AML mouse model, establishing NAT10 as a potential therapeutic vulnerability. Mechanistically, NAT10 is recruited to glutathione S-transferase omega 2 (GSTO2) mRNA to catalyze ac4C modification, thereby enhancing transcript stability and reprogramming glutathione metabolism, as demonstrated by ac4C profiling, RNA immunoprecipitation (RIP), and dCas13b-NAT10-based analyses. Silencing of GSTO2 in primary t(8;21) AML CD34</w:t>
      </w:r>
      <w:r>
        <w:t xml:space="preserve"> </w:t>
      </w:r>
      <w:r>
        <w:t>+</w:t>
      </w:r>
      <w:r>
        <w:t xml:space="preserve"> </w:t>
      </w:r>
      <w:r>
        <w:t>cells decreased intracellular reduced glutathione (GSH) levels and compromised LSC survival and self-renewal, whereas GSTO2 overexpression or GSH supplementation largely rescued LSC maintenance following NAT10 loss. Collectively, these findings enrich and extend the understanding of AML1-ETO regulatory programs by linking distal enhancer activity to a NAT10–GSTO2 ac4C–GSH axis that integrates epigenomic, posttranscriptional, and metabolic reprogramming to sustain LSC stemness, highlighting this circuit as a potential therapeutic vulnerability in t(8;21) AML.</w:t>
      </w:r>
    </w:p>
    <w:p>
      <w:pPr>
        <w:spacing w:before="120" w:after="120"/>
      </w:pPr>
      <w:r>
        <w:rPr>
          <w:sz w:val="18"/>
        </w:rPr>
        <w:t>——————————————————————————————————————————————————————————————————————</w:t>
      </w:r>
    </w:p>
    <w:p>
      <w:pPr>
        <w:spacing w:before="160" w:after="40" w:line="240" w:lineRule="auto"/>
      </w:pPr>
      <w:r>
        <w:rPr>
          <w:b/>
        </w:rPr>
        <w:t xml:space="preserve">[988] </w:t>
      </w:r>
      <w:hyperlink r:id="rId1714">
        <w:r>
          <w:rPr>
            <w:color w:val="1155CC"/>
            <w:u w:val="single"/>
          </w:rPr>
          <w:t>单个胞外聚糖将AMPA受体门控与突触可塑性及记忆持久性联系起来</w:t>
        </w:r>
      </w:hyperlink>
    </w:p>
    <w:p>
      <w:pPr>
        <w:spacing w:before="0" w:after="80"/>
      </w:pPr>
      <w:r>
        <w:rPr>
          <w:i/>
          <w:sz w:val="20"/>
        </w:rPr>
        <w:t>EN: A single extracellular glycan links AMPA receptor gating to synaptic plasticity and memory persistence</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1715">
        <w:r>
          <w:rPr>
            <w:color w:val="1155CC"/>
            <w:u w:val="single"/>
          </w:rPr>
          <w:t>10.1073/pnas.2607934123</w:t>
        </w:r>
      </w:hyperlink>
    </w:p>
    <w:p>
      <w:pPr>
        <w:spacing w:before="0" w:after="120"/>
      </w:pPr>
      <w:r>
        <w:rPr>
          <w:b/>
        </w:rPr>
        <w:t xml:space="preserve">Notes: </w:t>
      </w:r>
      <w:r>
        <w:t>abstract_source=crossref</w:t>
      </w:r>
    </w:p>
    <w:p>
      <w:pPr>
        <w:spacing w:before="0" w:after="80" w:lineRule="auto" w:line="276"/>
      </w:pPr>
      <w:r>
        <w:rPr>
          <w:b/>
        </w:rPr>
        <w:t xml:space="preserve">摘要（ZH）: </w:t>
      </w:r>
      <w:r>
        <w:t>持续性突触可塑性对记忆至关重要，但其稳定机制仍不完全清楚。AMPA型谷氨酸受体（AMPAR）介导大脑中大部分快速兴奋性传递，但胞外翻译后修饰如何在体内调控其功能动态仍不清楚。在此，我们鉴定了AMPAR GluA1亚基Asn401位点的单个内源性N-连接聚糖，它是连接受体门控、膜微区组织和记忆持久性的调节因子。该聚糖的缺失显著降低了AMPAR脱敏并促进复敏。生化和成像分析表明，缺失N401聚糖的GluA1通过增强的神经节苷脂结合优先分配到富含神经节苷脂的脂筏微区中，从而破坏活性依赖的受体转运并促进过度的受体内吞。利用GluA1 N401Q敲入小鼠，我们表明该聚糖的缺失选择性损害海马长时程增强的维持并损害情境和空间记忆的持久性，而学习获得基本不受影响。值得注意的是，该位点在哺乳动物大脑中呈现部分占据，表明其作为突触稳定性的内源性可调约束发挥作用。总之，这些发现确立了位点特异性糖基化作为一种将AMPAR门控与膜区隔化相协调的机制，以在体内控制持续性突触可塑性和记忆。</w:t>
      </w:r>
    </w:p>
    <w:p>
      <w:pPr>
        <w:spacing w:before="0" w:after="200" w:lineRule="auto" w:line="276"/>
      </w:pPr>
      <w:r>
        <w:rPr>
          <w:b/>
        </w:rPr>
        <w:t xml:space="preserve">Abstract (EN): </w:t>
      </w:r>
      <w:r>
        <w:t>Persistent synaptic plasticity is essential for memory, yet its stabilizing mechanisms remain incompletely understood. AMPA-type glutamate receptors (AMPARs) mediate most fast excitatory transmission in the brain, but how extracellular posttranslational modifications regulate their functional dynamics in vivo remains unclear. Here, we identify a single endogenous N-linked glycan at Asn401 of the AMPAR GluA1 subunit as a regulator that links receptor gating, membrane microdomain organization, and memory persistence. Loss of this glycan markedly reduced AMPAR desensitization and promoted resensitization. Biochemical and imaging analyses showed that GluA1 lacking the N401 glycan preferentially partitions into ganglioside-rich lipid raft microdomains through enhanced ganglioside binding, thereby disrupting activity-dependent receptor trafficking and promoting excessive receptor internalization. Using GluA1 N401Q knock-in mice, we show that loss of this glycan selectively impairs hippocampal long-term potentiation maintenance and compromises contextual and spatial memory persistence, while leaving learning acquisition largely intact. Notably, this site exhibits partial occupancy in the mammalian brain, indicating that it functions as an endogenous tunable constraint on synaptic stability. Together, these findings establish site-specific glycosylation as a mechanism that coordinates AMPAR gating with membrane compartmentalization to control persistent synaptic plasticity and memory in vivo.</w:t>
      </w:r>
    </w:p>
    <w:p>
      <w:pPr>
        <w:spacing w:before="120" w:after="120"/>
      </w:pPr>
      <w:r>
        <w:rPr>
          <w:sz w:val="18"/>
        </w:rPr>
        <w:t>——————————————————————————————————————————————————————————————————————</w:t>
      </w:r>
    </w:p>
    <w:p>
      <w:pPr>
        <w:spacing w:before="160" w:after="40" w:line="240" w:lineRule="auto"/>
      </w:pPr>
      <w:r>
        <w:rPr>
          <w:b/>
        </w:rPr>
        <w:t xml:space="preserve">[989] </w:t>
      </w:r>
      <w:hyperlink r:id="rId1716">
        <w:r>
          <w:rPr>
            <w:color w:val="1155CC"/>
            <w:u w:val="single"/>
          </w:rPr>
          <w:t>卫星、飞机和地面观测联合捕捉大规模瞬态甲烷释放</w:t>
        </w:r>
      </w:hyperlink>
    </w:p>
    <w:p>
      <w:pPr>
        <w:spacing w:before="0" w:after="80"/>
      </w:pPr>
      <w:r>
        <w:rPr>
          <w:i/>
          <w:sz w:val="20"/>
        </w:rPr>
        <w:t>EN: Coordinated satellite, aircraft, and ground-based observations of a large transient methane release</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1717">
        <w:r>
          <w:rPr>
            <w:color w:val="1155CC"/>
            <w:u w:val="single"/>
          </w:rPr>
          <w:t>10.1073/pnas.2603595123</w:t>
        </w:r>
      </w:hyperlink>
    </w:p>
    <w:p>
      <w:pPr>
        <w:spacing w:before="0" w:after="120"/>
      </w:pPr>
      <w:r>
        <w:rPr>
          <w:b/>
        </w:rPr>
        <w:t xml:space="preserve">Notes: </w:t>
      </w:r>
      <w:r>
        <w:t>abstract_source=crossref</w:t>
      </w:r>
    </w:p>
    <w:p>
      <w:pPr>
        <w:spacing w:before="0" w:after="80" w:lineRule="auto" w:line="276"/>
      </w:pPr>
      <w:r>
        <w:rPr>
          <w:b/>
        </w:rPr>
        <w:t xml:space="preserve">摘要（ZH）: </w:t>
      </w:r>
      <w:r>
        <w:t>我们展示了特大型甲烷释放（VLMR）实验的结果，该实验评估了来自静止环境业务卫星（GOES）先进基线成像仪（ABI）以及多种具有高点源检测阈值的低轨卫星仪器的甲烷反演。该实验协调了九颗卫星、一架飞机和一辆基于卡车的移动实验室对美国一条天然气管道放空的观测。我们使用GOES-16、-18和-19 ABI（重访时间为10分钟至7秒）来量化释放量及相关不确定性。在平均至5分钟的30秒中尺度扫描模式下实现了7%的最佳甲烷反演精度，得到的甲烷羽流检测阈值为每m s−1风速15至30 t h−1。GOES探测到两个释放点在42至63分钟内总计370 ± 30 t的排放。各测量平台之间的源速率和质量估算总体一致，但探测到的总释放质量比运营商基于管道体积和压力报告的值低约25%。这一差异可能反映了低于卫星检测阈值的后期排放，并表明卫星对大型瞬时释放总排放量估算可能存在偏低偏差。如VLMR这样的协调野外实验可以通过提供验证特大型甲烷点源观测的框架，补充现有的控制释放卫星评估项目。</w:t>
      </w:r>
    </w:p>
    <w:p>
      <w:pPr>
        <w:spacing w:before="0" w:after="200" w:lineRule="auto" w:line="276"/>
      </w:pPr>
      <w:r>
        <w:rPr>
          <w:b/>
        </w:rPr>
        <w:t xml:space="preserve">Abstract (EN): </w:t>
      </w:r>
      <w:r>
        <w:t>We present the results of a Very Large Methane Release (VLMR) experiment evaluating methane retrievals from the Geostationary Operational Environmental Satellites (GOES) Advanced Baseline Imagers (ABIs) and multiple low-Earth-orbit satellite instruments with high point-source detection thresholds. The experiment coordinated observations of a US gas pipeline blowdown with nine satellites, an aircraft, and a truck-based mobile laboratory. We used the GOES-16, -18, and -19 ABIs with revisits every 10 min to 7 s to quantify release magnitude and associated uncertainty. Best methane retrieval precision of 7% was achieved in the 30-s mesoscale scan modes averaged to 5 min, yielding an estimated methane plume detection threshold of 15 to 30 t h</w:t>
      </w:r>
      <w:r>
        <w:t xml:space="preserve"> </w:t>
      </w:r>
      <w:r>
        <w:t>−1</w:t>
      </w:r>
      <w:r>
        <w:t xml:space="preserve"> </w:t>
      </w:r>
      <w:r>
        <w:t>per m s</w:t>
      </w:r>
      <w:r>
        <w:t xml:space="preserve"> </w:t>
      </w:r>
      <w:r>
        <w:t>−1</w:t>
      </w:r>
      <w:r>
        <w:t xml:space="preserve"> </w:t>
      </w:r>
      <w:r>
        <w:t>of wind. GOES detected total emissions of 370 ± 30 t over 42 to 63 min from two release points. Source rate and mass estimates are broadly consistent across measurement platforms, but the total detected release mass is ~25% lower than that reported by the operator based on pipeline volume and pressure. This discrepancy may reflect late-stage emissions below satellite detection thresholds and indicates a potential low bias in satellite estimates of total emissions from large transient releases. Coordinated field experiments such as VLMR can complement existing controlled-release satellite evaluation programs by providing a framework to validate observations of very large methane point sources.</w:t>
      </w:r>
    </w:p>
    <w:p>
      <w:pPr>
        <w:spacing w:before="120" w:after="120"/>
      </w:pPr>
      <w:r>
        <w:rPr>
          <w:sz w:val="18"/>
        </w:rPr>
        <w:t>——————————————————————————————————————————————————————————————————————</w:t>
      </w:r>
    </w:p>
    <w:p>
      <w:pPr>
        <w:spacing w:before="160" w:after="40" w:line="240" w:lineRule="auto"/>
      </w:pPr>
      <w:r>
        <w:rPr>
          <w:b/>
        </w:rPr>
        <w:t xml:space="preserve">[990] </w:t>
      </w:r>
      <w:hyperlink r:id="rId1718">
        <w:r>
          <w:rPr>
            <w:color w:val="1155CC"/>
            <w:u w:val="single"/>
          </w:rPr>
          <w:t>YTHDF1介导的m6A RNA调控通过KLF11–HIF1α控制心肌细胞重塑</w:t>
        </w:r>
      </w:hyperlink>
    </w:p>
    <w:p>
      <w:pPr>
        <w:spacing w:before="0" w:after="80"/>
      </w:pPr>
      <w:r>
        <w:rPr>
          <w:i/>
          <w:sz w:val="20"/>
        </w:rPr>
        <w:t>EN: YTHDF1-mediated m6A RNA regulation controls cardiomyocyte remodeling through KLF11–HIF1α</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1719">
        <w:r>
          <w:rPr>
            <w:color w:val="1155CC"/>
            <w:u w:val="single"/>
          </w:rPr>
          <w:t>10.1073/pnas.2603028123</w:t>
        </w:r>
      </w:hyperlink>
    </w:p>
    <w:p>
      <w:pPr>
        <w:spacing w:before="0" w:after="120"/>
      </w:pPr>
      <w:r>
        <w:rPr>
          <w:b/>
        </w:rPr>
        <w:t xml:space="preserve">Notes: </w:t>
      </w:r>
      <w:r>
        <w:t>abstract_source=crossref</w:t>
      </w:r>
    </w:p>
    <w:p>
      <w:pPr>
        <w:spacing w:before="0" w:after="80" w:lineRule="auto" w:line="276"/>
      </w:pPr>
      <w:r>
        <w:rPr>
          <w:b/>
        </w:rPr>
        <w:t xml:space="preserve">摘要（ZH）: </w:t>
      </w:r>
      <w:r>
        <w:t>心血管疾病仍然是全球死亡的主要原因。虽然心脏肥大最初作为对压力的代偿性适应，但生理性和病理性肥大由不同的机制调控并导致截然不同的结局。然而，心肌细胞如何差异性地响应不同刺激仍不完全清楚。本研究表明，YTHDF1介导的RNA m</w:t>
      </w:r>
      <w:r>
        <w:rPr>
          <w:vertAlign w:val="subscript"/>
        </w:rPr>
        <w:t>6</w:t>
      </w:r>
      <w:r>
        <w:t>A调控调节不同应激条件下心肌细胞的代谢适应，并在此背景下将肥大反应导向不同的重塑结局。心肌细胞特异性YTHDF1缺失导致游泳运动后适应不良性心脏重塑，并在体内压力超负荷刺激下进一步加重病理性心脏重塑。在体外，YTHDF1作为开关，以RNA m</w:t>
      </w:r>
      <w:r>
        <w:rPr>
          <w:vertAlign w:val="subscript"/>
        </w:rPr>
        <w:t>6</w:t>
      </w:r>
      <w:r>
        <w:t>A依赖的方式调控心肌细胞肥大的类型。在机制上，YTHDF1–KLF11–HIF1α轴参与心肌细胞肥大过程中的代谢适应。心脏特异性过表达YTHDF1可减轻病理性心脏重塑。总之，我们的发现揭示了一条此前未被认识的YTHDF1–KLF11–HIF1α调控通路，将m</w:t>
      </w:r>
      <w:r>
        <w:rPr>
          <w:vertAlign w:val="subscript"/>
        </w:rPr>
        <w:t>6</w:t>
      </w:r>
      <w:r>
        <w:t>A RNA识别与心肌细胞重塑联系起来。这些发现为m</w:t>
      </w:r>
      <w:r>
        <w:rPr>
          <w:vertAlign w:val="subscript"/>
        </w:rPr>
        <w:t>6</w:t>
      </w:r>
      <w:r>
        <w:t>A依赖的信号如何协调应激响应性心脏适应提供了宝贵见解，并确立了YT</w:t>
      </w:r>
    </w:p>
    <w:p>
      <w:pPr>
        <w:spacing w:before="0" w:after="200" w:lineRule="auto" w:line="276"/>
      </w:pPr>
      <w:r>
        <w:rPr>
          <w:b/>
        </w:rPr>
        <w:t xml:space="preserve">Abstract (EN): </w:t>
      </w:r>
      <w:r>
        <w:t>Cardiovascular disease remains the leading cause of mortality globally. Although cardiac hypertrophy initially serves as a compensatory adaptation to stress, physiological and pathological hypertrophy are governed by distinct mechanisms and lead to divergent outcomes. However, how cardiomyocytes differentially respond to diverse stimuli remains incompletely understood. Here, we demonstrate that YTHDF1-mediated RNA m</w:t>
      </w:r>
      <w:r>
        <w:rPr>
          <w:vertAlign w:val="subscript"/>
        </w:rPr>
        <w:t>6</w:t>
      </w:r>
      <w:r>
        <w:t>A regulation modulates cardiomyocyte metabolic adaptation under different stress conditions and, in this context, directs hypertrophic response toward distinct remodeling outcomes. Cardiomyocyte-specific YTHDF1 deficiency leads to maladaptive cardiac remodeling in response to swimming exercise and additionally exacerbates pathological cardiac remodeling under pressure overload stimulation in vivo. In vitro, YTHDF1 functions as a switch to regulate the type of cardiomyocyte hypertrophy in an RNA m</w:t>
      </w:r>
      <w:r>
        <w:rPr>
          <w:vertAlign w:val="subscript"/>
        </w:rPr>
        <w:t>6</w:t>
      </w:r>
      <w:r>
        <w:t>A-dependent manner. Mechanistically, the YTHDF1–KLF11–HIF1α axis contributes to metabolic adaptation during cardiomyocyte hypertrophy. Cardiac-specific overexpression of YTHDF1 alleviates pathological cardiac remodeling. Together, our findings reveal a previously unrecognized YTHDF1–KLF11–HIF1α regulatory pathway linking m</w:t>
      </w:r>
      <w:r>
        <w:rPr>
          <w:vertAlign w:val="subscript"/>
        </w:rPr>
        <w:t>6</w:t>
      </w:r>
      <w:r>
        <w:t>A RNA recognition to cardiomyocyte remodeling. These findings provide valuable insight into how m</w:t>
      </w:r>
      <w:r>
        <w:rPr>
          <w:vertAlign w:val="subscript"/>
        </w:rPr>
        <w:t>6</w:t>
      </w:r>
      <w:r>
        <w:t>A-dependent signaling coordinates stress-responsive cardiac adaptation and establish YTHDF1 as an important regulator of cardiomyocyte remodeling.</w:t>
      </w:r>
    </w:p>
    <w:p>
      <w:pPr>
        <w:spacing w:before="120" w:after="120"/>
      </w:pPr>
      <w:r>
        <w:rPr>
          <w:sz w:val="18"/>
        </w:rPr>
        <w:t>——————————————————————————————————————————————————————————————————————</w:t>
      </w:r>
    </w:p>
    <w:p>
      <w:pPr>
        <w:spacing w:before="160" w:after="40" w:line="240" w:lineRule="auto"/>
      </w:pPr>
      <w:r>
        <w:rPr>
          <w:b/>
        </w:rPr>
        <w:t xml:space="preserve">[991] </w:t>
      </w:r>
      <w:hyperlink r:id="rId1720">
        <w:r>
          <w:rPr>
            <w:color w:val="1155CC"/>
            <w:u w:val="single"/>
          </w:rPr>
          <w:t>升高的CO2增强PT11依赖的共生磷酸盐吸收以重编程水稻根系养分获取</w:t>
        </w:r>
      </w:hyperlink>
    </w:p>
    <w:p>
      <w:pPr>
        <w:spacing w:before="0" w:after="80"/>
      </w:pPr>
      <w:r>
        <w:rPr>
          <w:i/>
          <w:sz w:val="20"/>
        </w:rPr>
        <w:t>EN: Elevated CO2 reinforces PT11-dependent symbiotic phosphate uptake to reprogram root nutrient acquisition in rice</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1721">
        <w:r>
          <w:rPr>
            <w:color w:val="1155CC"/>
            <w:u w:val="single"/>
          </w:rPr>
          <w:t>10.1073/pnas.2606406123</w:t>
        </w:r>
      </w:hyperlink>
    </w:p>
    <w:p>
      <w:pPr>
        <w:spacing w:before="0" w:after="120"/>
      </w:pPr>
      <w:r>
        <w:rPr>
          <w:b/>
        </w:rPr>
        <w:t xml:space="preserve">Notes: </w:t>
      </w:r>
      <w:r>
        <w:t>abstract_source=crossref</w:t>
      </w:r>
    </w:p>
    <w:p>
      <w:pPr>
        <w:spacing w:before="0" w:after="80" w:lineRule="auto" w:line="276"/>
      </w:pPr>
      <w:r>
        <w:rPr>
          <w:b/>
        </w:rPr>
        <w:t xml:space="preserve">摘要（ZH）: </w:t>
      </w:r>
      <w:r>
        <w:t>植物通过根部直接吸收或通过与丛枝菌根（AM）真菌共生来获取无机磷酸盐（Pi），并且当共生建立时，直接吸收途径会被下调。随着大气CO</w:t>
      </w:r>
      <w:r>
        <w:rPr>
          <w:vertAlign w:val="subscript"/>
        </w:rPr>
        <w:t>2</w:t>
      </w:r>
      <w:r>
        <w:t>浓度升高，理解碳可用性的增加如何改变植物的营养获取策略至关重要，这对作物产量和碳封存均有影响。本研究在主要谷类作物水稻中研究了CO</w:t>
      </w:r>
      <w:r>
        <w:rPr>
          <w:vertAlign w:val="subscript"/>
        </w:rPr>
        <w:t>2</w:t>
      </w:r>
      <w:r>
        <w:t>浓度升高、土壤Pi可用性与AM共生之间的相互作用。CO</w:t>
      </w:r>
      <w:r>
        <w:rPr>
          <w:vertAlign w:val="subscript"/>
        </w:rPr>
        <w:t>2</w:t>
      </w:r>
      <w:r>
        <w:t>浓度升高促进了菌根定殖、磷吸收和作物生物量。我们利用共生Pi转运缺陷的水稻</w:t>
      </w:r>
      <w:r>
        <w:t xml:space="preserve"> </w:t>
      </w:r>
      <w:r>
        <w:t>pt11</w:t>
      </w:r>
      <w:r>
        <w:t xml:space="preserve"> </w:t>
      </w:r>
      <w:r>
        <w:t>突变体，结合分根法和放射性示踪方法，证明直接Pi吸收途径的抑制在被定殖的根中局部发生，并且需要功能性的共生Pi转运。同样，根系构型的变化——尤其是细侧根发育的减少——也是局部调控的结果，依赖于PT11下游的过程。转录组分析将共生Pi转运确定为直接营养吸收抑制和菌根转录程序进程的调控检查点。总之，这些发现表明在水稻中，CO</w:t>
      </w:r>
      <w:r>
        <w:rPr>
          <w:vertAlign w:val="subscript"/>
        </w:rPr>
        <w:t>2</w:t>
      </w:r>
      <w:r>
        <w:t>浓度升高并非通过激活can</w:t>
      </w:r>
    </w:p>
    <w:p>
      <w:pPr>
        <w:spacing w:before="0" w:after="200" w:lineRule="auto" w:line="276"/>
      </w:pPr>
      <w:r>
        <w:rPr>
          <w:b/>
        </w:rPr>
        <w:t xml:space="preserve">Abstract (EN): </w:t>
      </w:r>
      <w:r>
        <w:t>Plants acquire inorganic phosphate (Pi) either directly through their roots or through symbiosis with arbuscular mycorrhizal (AM) fungi, and the direct uptake pathway is downregulated when the symbiosis establishes. As atmospheric CO</w:t>
      </w:r>
      <w:r>
        <w:rPr>
          <w:vertAlign w:val="subscript"/>
        </w:rPr>
        <w:t>2</w:t>
      </w:r>
      <w:r>
        <w:t>concentrations rise, it is critical to understand how increased carbon availability alters plant nutrient acquisition strategies, with implications for crop productivity and carbon sequestration alike. Here, we investigated the interaction between elevated CO</w:t>
      </w:r>
      <w:r>
        <w:rPr>
          <w:vertAlign w:val="subscript"/>
        </w:rPr>
        <w:t>2</w:t>
      </w:r>
      <w:r>
        <w:t>, soil Pi availability, and AM symbiosis in the major cereal crop rice. Elevated CO</w:t>
      </w:r>
      <w:r>
        <w:rPr>
          <w:vertAlign w:val="subscript"/>
        </w:rPr>
        <w:t>2</w:t>
      </w:r>
      <w:r>
        <w:t>enhanced mycorrhizal colonization, phosphorus uptake, and crop biomass. We employed the rice</w:t>
      </w:r>
      <w:r>
        <w:t xml:space="preserve"> </w:t>
      </w:r>
      <w:r>
        <w:t>pt11</w:t>
      </w:r>
      <w:r>
        <w:t xml:space="preserve"> </w:t>
      </w:r>
      <w:r>
        <w:t>mutant, which is defective in symbiotic Pi transport, in combination with split-root and radiotracer approaches to demonstrate that suppression of the direct Pi uptake pathways occurs locally in colonized roots, requiring functional symbiotic Pi transport. Likewise, changes in root architecture—notably reduced fine lateral root development—occur with local regulation dependent on processes downstream of PT11. Transcriptomic analyses identify symbiotic Pi transport as a regulatory checkpoint of the suppression of direct nutrient uptake and the progression of the mycorrhizal transcriptional program. Together, these findings reveal that in rice, rising CO</w:t>
      </w:r>
      <w:r>
        <w:rPr>
          <w:vertAlign w:val="subscript"/>
        </w:rPr>
        <w:t>2</w:t>
      </w:r>
      <w:r>
        <w:t>enhances AM symbiosis not necessarily by activating canonical symbiosis signaling pathways, but rather by reinforcing symbiotic Pi uptake through enhanced carbon availability, thereby reshaping root nutrient acquisition. This work provides a mechanistic framework for integrating plant–microbe interactions into strategies aimed at sustaining crop productivity and managing carbon in a high-CO</w:t>
      </w:r>
      <w:r>
        <w:rPr>
          <w:vertAlign w:val="subscript"/>
        </w:rPr>
        <w:t>2</w:t>
      </w:r>
      <w:r>
        <w:t>world.</w:t>
      </w:r>
    </w:p>
    <w:p>
      <w:pPr>
        <w:spacing w:before="120" w:after="120"/>
      </w:pPr>
      <w:r>
        <w:rPr>
          <w:sz w:val="18"/>
        </w:rPr>
        <w:t>——————————————————————————————————————————————————————————————————————</w:t>
      </w:r>
    </w:p>
    <w:p>
      <w:pPr>
        <w:spacing w:before="160" w:after="40" w:line="240" w:lineRule="auto"/>
      </w:pPr>
      <w:r>
        <w:rPr>
          <w:b/>
        </w:rPr>
        <w:t xml:space="preserve">[992] </w:t>
      </w:r>
      <w:hyperlink r:id="rId1722">
        <w:r>
          <w:rPr>
            <w:color w:val="1155CC"/>
            <w:u w:val="single"/>
          </w:rPr>
          <w:t>肌动蛋白解聚因子（ADF）的兼职功能：通过与WRKY转录因子相互作用并塑造转录组进行核内免疫调控</w:t>
        </w:r>
      </w:hyperlink>
    </w:p>
    <w:p>
      <w:pPr>
        <w:spacing w:before="0" w:after="80"/>
      </w:pPr>
      <w:r>
        <w:rPr>
          <w:i/>
          <w:sz w:val="20"/>
        </w:rPr>
        <w:t>EN: Actin depolymerization factor (ADF) moonlighting: Nuclear immune regulation by interacting with WRKY transcription factors and shaping the transcriptome</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1723">
        <w:r>
          <w:rPr>
            <w:color w:val="1155CC"/>
            <w:u w:val="single"/>
          </w:rPr>
          <w:t>10.1073/pnas.2530072123</w:t>
        </w:r>
      </w:hyperlink>
    </w:p>
    <w:p>
      <w:pPr>
        <w:spacing w:before="0" w:after="120"/>
      </w:pPr>
      <w:r>
        <w:rPr>
          <w:b/>
        </w:rPr>
        <w:t xml:space="preserve">Notes: </w:t>
      </w:r>
      <w:r>
        <w:t>abstract_source=crossref</w:t>
      </w:r>
    </w:p>
    <w:p>
      <w:pPr>
        <w:spacing w:before="0" w:after="80" w:lineRule="auto" w:line="276"/>
      </w:pPr>
      <w:r>
        <w:rPr>
          <w:b/>
        </w:rPr>
        <w:t xml:space="preserve">摘要（ZH）: </w:t>
      </w:r>
      <w:r>
        <w:t>肌动蛋白细胞骨架的重塑是植物免疫的关键过程，对免疫调控分子和细胞器的运输、激活和稳定至关重要。在此过程中，肌动蛋白解聚因子（ADFs）通过切断和解聚肌动蛋白微丝发挥关键作用。然而，最新证据表明，除了经典的胞质作用外，ADFs可能在细胞核内具有非经典的免疫功能，这一现象无法用传统的ADF–肌动蛋白动力学机制模型充分解释。本研究表明，拟南芥</w:t>
      </w:r>
      <w:r>
        <w:t xml:space="preserve"> </w:t>
      </w:r>
      <w:r>
        <w:t>Arabidopsis</w:t>
      </w:r>
      <w:r>
        <w:t xml:space="preserve"> </w:t>
      </w:r>
      <w:r>
        <w:t>ADFs在细胞核中表现出兼性功能，它们与转录机器相互作用，在静息状态和免疫反应期间调节转录组。我们发现ADF2/3/4在抵御毒性和无毒</w:t>
      </w:r>
      <w:r>
        <w:t xml:space="preserve"> </w:t>
      </w:r>
      <w:r>
        <w:t>Pseudomonas syringae</w:t>
      </w:r>
      <w:r>
        <w:t xml:space="preserve"> </w:t>
      </w:r>
      <w:r>
        <w:t>方面具有冗余功能。值得注意的是，主要是细胞核中的——而非胞质中的——ADFs对防御</w:t>
      </w:r>
      <w:r>
        <w:t xml:space="preserve"> </w:t>
      </w:r>
      <w:r>
        <w:t>P. syringae</w:t>
      </w:r>
      <w:r>
        <w:t xml:space="preserve"> </w:t>
      </w:r>
      <w:r>
        <w:t>和介导促免疫转录起主要贡献。在机制上，我们证明细胞核ADFs与转录因子、组蛋白复合物以及转录机器的其他组分相互作用。具体而言，ADF2/3/4可以与WRKY转录因子（如WRKY22/29/48）形成复合物，从而直接调控WRKY活性以塑造促免疫转录组。总之，我们的研究表明ADFs兼性作为转录的直接调控因子</w:t>
      </w:r>
    </w:p>
    <w:p>
      <w:pPr>
        <w:spacing w:before="0" w:after="200" w:lineRule="auto" w:line="276"/>
      </w:pPr>
      <w:r>
        <w:rPr>
          <w:b/>
        </w:rPr>
        <w:t xml:space="preserve">Abstract (EN): </w:t>
      </w:r>
      <w:r>
        <w:t>Remodeling of the actin cytoskeleton is a critical process for plant immunity, essential for the transport, activation, and stabilization of immune-regulatory molecules and organelles. In this process, actin depolymerization factors (ADFs) function as key players through severing and depolymerizing actin microfilaments. However, recent evidence suggests that ADFs may possess noncanonical immune functions inside the nucleus, in addition to the canonical cytosolic role, a phenomenon not adequately explained by the traditional mechanistic model of ADF–actin dynamics. In this study, we demonstrate that</w:t>
      </w:r>
      <w:r>
        <w:t xml:space="preserve"> </w:t>
      </w:r>
      <w:r>
        <w:t>Arabidopsis</w:t>
      </w:r>
      <w:r>
        <w:t xml:space="preserve"> </w:t>
      </w:r>
      <w:r>
        <w:t>ADFs exhibit a moonlighting function in the nucleus, where they interact with transcriptional machinery to regulate the transcriptome during both the resting state and the immune responses. We show that ADF2/3/4 have redundant functions in defense against virulent and avirulent</w:t>
      </w:r>
      <w:r>
        <w:t xml:space="preserve"> </w:t>
      </w:r>
      <w:r>
        <w:t>Pseudomonas syringae</w:t>
      </w:r>
      <w:r>
        <w:t xml:space="preserve"> </w:t>
      </w:r>
      <w:r>
        <w:t>. Notably, it is nuclear—rather than cytosolic—ADFs that majorly contribute to defense against</w:t>
      </w:r>
      <w:r>
        <w:t xml:space="preserve"> </w:t>
      </w:r>
      <w:r>
        <w:t>P. syringae</w:t>
      </w:r>
      <w:r>
        <w:t xml:space="preserve"> </w:t>
      </w:r>
      <w:r>
        <w:t>and mediate proimmune transcription. Mechanistically, we demonstrate that nuclear ADFs interact with transcription factors, histone complexes, and other components of the transcriptional machinery. Specifically, ADF2/3/4 can form a complex with WRKY transcription factors, such as WRKY22/29/48, thereby directly regulating WRKY activity to shape the proimmune transcriptome. In summary, our study reveals that ADFs moonlight as direct regulators of transcription factors, mediating a broad range of nuclear-cytoplasmic regulation in plant immunity and potentially other biological processes.</w:t>
      </w:r>
    </w:p>
    <w:p>
      <w:pPr>
        <w:spacing w:before="120" w:after="120"/>
      </w:pPr>
      <w:r>
        <w:rPr>
          <w:sz w:val="18"/>
        </w:rPr>
        <w:t>——————————————————————————————————————————————————————————————————————</w:t>
      </w:r>
    </w:p>
    <w:p>
      <w:pPr>
        <w:spacing w:before="160" w:after="40" w:line="240" w:lineRule="auto"/>
      </w:pPr>
      <w:r>
        <w:rPr>
          <w:b/>
        </w:rPr>
        <w:t xml:space="preserve">[993] </w:t>
      </w:r>
      <w:hyperlink r:id="rId1724">
        <w:r>
          <w:rPr>
            <w:color w:val="1155CC"/>
            <w:u w:val="single"/>
          </w:rPr>
          <w:t>Rbp-Jκ通过染色质景观重塑控制NK细胞晚期成熟与迁移</w:t>
        </w:r>
      </w:hyperlink>
    </w:p>
    <w:p>
      <w:pPr>
        <w:spacing w:before="0" w:after="80"/>
      </w:pPr>
      <w:r>
        <w:rPr>
          <w:i/>
          <w:sz w:val="20"/>
        </w:rPr>
        <w:t>EN: Rbp-Jκ controls NK cell late maturation and migration via chromatin landscape remodeling</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1725">
        <w:r>
          <w:rPr>
            <w:color w:val="1155CC"/>
            <w:u w:val="single"/>
          </w:rPr>
          <w:t>10.1073/pnas.2525481123</w:t>
        </w:r>
      </w:hyperlink>
    </w:p>
    <w:p>
      <w:pPr>
        <w:spacing w:before="0" w:after="120"/>
      </w:pPr>
      <w:r>
        <w:rPr>
          <w:b/>
        </w:rPr>
        <w:t xml:space="preserve">Notes: </w:t>
      </w:r>
      <w:r>
        <w:t>abstract_source=crossref</w:t>
      </w:r>
    </w:p>
    <w:p>
      <w:pPr>
        <w:spacing w:before="0" w:after="80" w:lineRule="auto" w:line="276"/>
      </w:pPr>
      <w:r>
        <w:rPr>
          <w:b/>
        </w:rPr>
        <w:t xml:space="preserve">摘要（ZH）: </w:t>
      </w:r>
      <w:r>
        <w:t>转录调控因子Rbp-Jκ是Notch信号通路中的关键分子开关；然而，其在自然杀伤（NK）细胞成熟和迁移中的细胞内在作用仍不完全清楚。本研究表明，NK细胞特异性敲除Rbp-Jκ（</w:t>
      </w:r>
      <w:r>
        <w:t xml:space="preserve"> </w:t>
      </w:r>
      <w:r>
        <w:t>Ncr1</w:t>
      </w:r>
      <w:r>
        <w:t xml:space="preserve"> </w:t>
      </w:r>
      <w:r>
        <w:t>iCre</w:t>
      </w:r>
      <w:r>
        <w:t xml:space="preserve"> </w:t>
      </w:r>
      <w:r>
        <w:t>×</w:t>
      </w:r>
      <w:r>
        <w:t xml:space="preserve"> </w:t>
      </w:r>
      <w:r>
        <w:t>Rbp-Jκ</w:t>
      </w:r>
      <w:r>
        <w:t xml:space="preserve"> </w:t>
      </w:r>
      <w:r>
        <w:t>fl/fl</w:t>
      </w:r>
      <w:r>
        <w:t xml:space="preserve"> </w:t>
      </w:r>
      <w:r>
        <w:t>，Rbp-Jκ</w:t>
      </w:r>
      <w:r>
        <w:t xml:space="preserve"> </w:t>
      </w:r>
      <w:r>
        <w:t>ΔNK</w:t>
      </w:r>
      <w:r>
        <w:t xml:space="preserve"> </w:t>
      </w:r>
      <w:r>
        <w:t>）损害NK细胞的终末成熟和迁移，表现为NK细胞在骨髓中滞留增加、循环NK细胞数量减少以及迁移介质（CD62L、S1pr5和Cx3cr1）表达降低。尽管表现出活化表型，Rbp-Jκ缺陷的NK细胞由于组织动员受损，在体内无法控制B16F10肺转移。多组学分析（scRNA-seq/scATAC-seq、bulk ATAC-seq和CUT&amp;amp;Tag）揭示，Rbp-Jκ在NK细胞中协调染色质重塑，抑制与NK细胞激活和细胞毒性相关基因的表达，同时促进核糖体和氧化磷酸化相关基因的表达。值得注意的是，Rbp-Jκ直接结合Kruppel样因子2（Klf2）的启动子，Rbp-Jκ的缺失降低了Klf2的mRNA和蛋白水平。Klf2过表达可挽救Rbp-Jκ缺陷NK细胞中CD62L和CX3CR1表达的降低。ChIP–qPCR证实了Rbp-Jκ与Klf2在共享基因组位点上的共占据。总之</w:t>
      </w:r>
    </w:p>
    <w:p>
      <w:pPr>
        <w:spacing w:before="0" w:after="200" w:lineRule="auto" w:line="276"/>
      </w:pPr>
      <w:r>
        <w:rPr>
          <w:b/>
        </w:rPr>
        <w:t xml:space="preserve">Abstract (EN): </w:t>
      </w:r>
      <w:r>
        <w:t>The transcriptional regulator Rbp-Jκ is a pivotal molecular switch in Notch signaling; however, its cell-intrinsic role in natural killer (NK) cell maturation and migration remains incompletely understood. Here, we demonstrate that NK cell-specific deletion of Rbp-Jκ (</w:t>
      </w:r>
      <w:r>
        <w:t xml:space="preserve"> </w:t>
      </w:r>
      <w:r>
        <w:t>Ncr1</w:t>
      </w:r>
      <w:r>
        <w:t xml:space="preserve"> </w:t>
      </w:r>
      <w:r>
        <w:t>iCre</w:t>
      </w:r>
      <w:r>
        <w:t xml:space="preserve"> </w:t>
      </w:r>
      <w:r>
        <w:t>×</w:t>
      </w:r>
      <w:r>
        <w:t xml:space="preserve"> </w:t>
      </w:r>
      <w:r>
        <w:t>Rbp-Jκ</w:t>
      </w:r>
      <w:r>
        <w:t xml:space="preserve"> </w:t>
      </w:r>
      <w:r>
        <w:t>fl/fl</w:t>
      </w:r>
      <w:r>
        <w:t xml:space="preserve"> </w:t>
      </w:r>
      <w:r>
        <w:t>, Rbp-Jκ</w:t>
      </w:r>
      <w:r>
        <w:t xml:space="preserve"> </w:t>
      </w:r>
      <w:r>
        <w:t>ΔNK</w:t>
      </w:r>
      <w:r>
        <w:t xml:space="preserve"> </w:t>
      </w:r>
      <w:r>
        <w:t>) impairs NK cell terminal maturation and migration, as evidenced by increased retention of NK cells in bone marrow, a reduced number of circulating NK cells and decreased expression of migration mediators (CD62L, S1pr5, and Cx3cr1). Despite exhibiting an activated phenotype, Rbp-Jκ-deficient NK cells fail to control B16F10 lung metastases in vivo because of impaired tissue mobilization. Multiomics (scRNA-seq/scATAC-seq, bulk ATAC-seq, and CUT&amp;amp;Tag) reveal that Rbp-Jκ orchestrates chromatin remodeling in NK cells, suppressing the expression of genes related to NK cell activation and cytotoxicity while promoting the expression of genes involved in ribosome and oxidative phosphorylation. Notably, Rbp-Jκ directly binds to the Kruppel-like factor 2 (Klf2) promoter, and loss of Rbp-Jκ reduces both the mRNA and protein levels of Klf2. Klf2 overexpression rescues the decreased expression of CD62L and CX3CR1 in Rbp-Jκ-deficient NK cells. The cooccupancy of Rbp-Jκ and Klf2 at shared genomic loci is confirmed by ChIP–qPCR. In summary, our study reveals that Rbp-Jκ acts as a master regulator of NK cell terminal maturation and tissue homing via chromatin reprogramming, with Klf2 acting as its critical downstream transcription factor.</w:t>
      </w:r>
    </w:p>
    <w:p>
      <w:pPr>
        <w:spacing w:before="120" w:after="120"/>
      </w:pPr>
      <w:r>
        <w:rPr>
          <w:sz w:val="18"/>
        </w:rPr>
        <w:t>——————————————————————————————————————————————————————————————————————</w:t>
      </w:r>
    </w:p>
    <w:p>
      <w:pPr>
        <w:spacing w:before="160" w:after="40" w:line="240" w:lineRule="auto"/>
      </w:pPr>
      <w:r>
        <w:rPr>
          <w:b/>
        </w:rPr>
        <w:t xml:space="preserve">[994] </w:t>
      </w:r>
      <w:hyperlink r:id="rId1726">
        <w:r>
          <w:rPr>
            <w:color w:val="1155CC"/>
            <w:u w:val="single"/>
          </w:rPr>
          <w:t>本期概览</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1727">
        <w:r>
          <w:rPr>
            <w:color w:val="1155CC"/>
            <w:u w:val="single"/>
          </w:rPr>
          <w:t>10.1073/iti3526123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[995] </w:t>
      </w:r>
      <w:hyperlink r:id="rId1728">
        <w:r>
          <w:rPr>
            <w:color w:val="1155CC"/>
            <w:u w:val="single"/>
          </w:rPr>
          <w:t>泛醌在细胞色素bc1氧化位点和还原位点的差异结合</w:t>
        </w:r>
      </w:hyperlink>
    </w:p>
    <w:p>
      <w:pPr>
        <w:spacing w:before="0" w:after="80"/>
      </w:pPr>
      <w:r>
        <w:rPr>
          <w:i/>
          <w:sz w:val="20"/>
        </w:rPr>
        <w:t>EN: Distinct ubiquinone binding at the oxidation and reduction sites of cytochrome bc1</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1729">
        <w:r>
          <w:rPr>
            <w:color w:val="1155CC"/>
            <w:u w:val="single"/>
          </w:rPr>
          <w:t>10.1073/pnas.2618242123</w:t>
        </w:r>
      </w:hyperlink>
    </w:p>
    <w:p>
      <w:pPr>
        <w:spacing w:before="0" w:after="120"/>
      </w:pPr>
      <w:r>
        <w:rPr>
          <w:b/>
        </w:rPr>
        <w:t xml:space="preserve">Notes: </w:t>
      </w:r>
      <w:r>
        <w:t>abstract_source=crossref</w:t>
      </w:r>
    </w:p>
    <w:p>
      <w:pPr>
        <w:spacing w:before="0" w:after="80" w:lineRule="auto" w:line="276"/>
      </w:pPr>
      <w:r>
        <w:rPr>
          <w:b/>
        </w:rPr>
        <w:t xml:space="preserve">摘要（ZH）: </w:t>
      </w:r>
      <w:r>
        <w:t>细胞色素bc</w:t>
      </w:r>
      <w:r>
        <w:rPr>
          <w:vertAlign w:val="subscript"/>
        </w:rPr>
        <w:t>1</w:t>
      </w:r>
      <w:r>
        <w:t>是一种广泛存在的能量保守酶，其功能需要两个醌结合位点的协调活性（Q</w:t>
      </w:r>
      <w:r>
        <w:t xml:space="preserve"> </w:t>
      </w:r>
      <w:r>
        <w:t>o</w:t>
      </w:r>
      <w:r>
        <w:t xml:space="preserve"> </w:t>
      </w:r>
      <w:r>
        <w:t>催化泛醌的氧化，Q</w:t>
      </w:r>
      <w:r>
        <w:t xml:space="preserve"> </w:t>
      </w:r>
      <w:r>
        <w:t>i</w:t>
      </w:r>
      <w:r>
        <w:t xml:space="preserve"> </w:t>
      </w:r>
      <w:r>
        <w:t>催化泛醌的还原）。Q</w:t>
      </w:r>
      <w:r>
        <w:t xml:space="preserve"> </w:t>
      </w:r>
      <w:r>
        <w:t>o</w:t>
      </w:r>
      <w:r>
        <w:t xml:space="preserve"> </w:t>
      </w:r>
      <w:r>
        <w:t>而非Q</w:t>
      </w:r>
      <w:r>
        <w:t xml:space="preserve"> </w:t>
      </w:r>
      <w:r>
        <w:t>i</w:t>
      </w:r>
      <w:r>
        <w:t xml:space="preserve"> </w:t>
      </w:r>
      <w:r>
        <w:t>的运作涉及铁硫蛋白头部结构域（ISP-HD）的大尺度运动。各位点如何容纳醌分子以实现高效催化仍不清楚。本文中，我们展示了含有天然泛醌分子的细菌细胞色素bc</w:t>
      </w:r>
      <w:r>
        <w:rPr>
          <w:vertAlign w:val="subscript"/>
        </w:rPr>
        <w:t>1</w:t>
      </w:r>
      <w:r>
        <w:t>在多种状态下的高分辨率冷冻电镜结构。这些结构显示，只有当ISP-HD与细胞色素b相互作用时，醌头部基团才在Q</w:t>
      </w:r>
      <w:r>
        <w:t xml:space="preserve"> </w:t>
      </w:r>
      <w:r>
        <w:t>o</w:t>
      </w:r>
      <w:r>
        <w:t xml:space="preserve"> </w:t>
      </w:r>
      <w:r>
        <w:t>中占据具有催化能力的位置。当ISP-HD不与该亚基相互作用时，醌存在于疏水凹槽中，但其头部基团由于空间位阻无法到达催化腔。在此状态下，醌头部基团的位置明显未被固定。相比之下，所有结构均显示Q</w:t>
      </w:r>
      <w:r>
        <w:t xml:space="preserve"> </w:t>
      </w:r>
      <w:r>
        <w:t>i</w:t>
      </w:r>
      <w:r>
        <w:t xml:space="preserve"> </w:t>
      </w:r>
      <w:r>
        <w:t>处于相同状态，其醌头部基团分辨率良好且具有催化能力，但其尾部未被固定。Q</w:t>
      </w:r>
      <w:r>
        <w:t xml:space="preserve"> </w:t>
      </w:r>
      <w:r>
        <w:t>o</w:t>
      </w:r>
      <w:r>
        <w:t xml:space="preserve"> </w:t>
      </w:r>
      <w:r>
        <w:t>和Q</w:t>
      </w:r>
      <w:r>
        <w:t xml:space="preserve"> </w:t>
      </w:r>
      <w:r>
        <w:t>i</w:t>
      </w:r>
      <w:r>
        <w:t xml:space="preserve"> </w:t>
      </w:r>
      <w:r>
        <w:t>这些截然不同的泛醌结合模式</w:t>
      </w:r>
    </w:p>
    <w:p>
      <w:pPr>
        <w:spacing w:before="0" w:after="200" w:lineRule="auto" w:line="276"/>
      </w:pPr>
      <w:r>
        <w:rPr>
          <w:b/>
        </w:rPr>
        <w:t xml:space="preserve">Abstract (EN): </w:t>
      </w:r>
      <w:r>
        <w:t>The function of cytochrome bc</w:t>
      </w:r>
      <w:r>
        <w:rPr>
          <w:vertAlign w:val="subscript"/>
        </w:rPr>
        <w:t>1</w:t>
      </w:r>
      <w:r>
        <w:t>, a widespread energy-conserving enzyme, requires the coordinated activity of two quinone-binding sites (Q</w:t>
      </w:r>
      <w:r>
        <w:t xml:space="preserve"> </w:t>
      </w:r>
      <w:r>
        <w:t>o</w:t>
      </w:r>
      <w:r>
        <w:t xml:space="preserve"> </w:t>
      </w:r>
      <w:r>
        <w:t>catalyzing oxidation of ubiquinol and Q</w:t>
      </w:r>
      <w:r>
        <w:t xml:space="preserve"> </w:t>
      </w:r>
      <w:r>
        <w:t>i</w:t>
      </w:r>
      <w:r>
        <w:t xml:space="preserve"> </w:t>
      </w:r>
      <w:r>
        <w:t>catalyzing reduction of ubiquinone). The operation of Q</w:t>
      </w:r>
      <w:r>
        <w:t xml:space="preserve"> </w:t>
      </w:r>
      <w:r>
        <w:t>o</w:t>
      </w:r>
      <w:r>
        <w:t xml:space="preserve"> </w:t>
      </w:r>
      <w:r>
        <w:t>, but not Q</w:t>
      </w:r>
      <w:r>
        <w:t xml:space="preserve"> </w:t>
      </w:r>
      <w:r>
        <w:t>i</w:t>
      </w:r>
      <w:r>
        <w:t xml:space="preserve"> </w:t>
      </w:r>
      <w:r>
        <w:t>, involves large-scale movement of the head domain of iron-sulfur protein (ISP-HD). How the respective sites accommodate quinone molecules for efficient catalysis remains elusive. Here, we present high-resolution cryoelectron microscopy structures of bacterial cytochrome bc</w:t>
      </w:r>
      <w:r>
        <w:rPr>
          <w:vertAlign w:val="subscript"/>
        </w:rPr>
        <w:t>1</w:t>
      </w:r>
      <w:r>
        <w:t>with native ubiquinone molecules in various states. They show that the quinone headgroup occupies a catalytically competent position in Q</w:t>
      </w:r>
      <w:r>
        <w:t xml:space="preserve"> </w:t>
      </w:r>
      <w:r>
        <w:t>o</w:t>
      </w:r>
      <w:r>
        <w:t xml:space="preserve"> </w:t>
      </w:r>
      <w:r>
        <w:t>only when the ISP-HD interacts with cytochrome b. When the ISP-HD does not interact with this subunit, quinone is present in the hydrophobic groove, however its headgroup is prevented from reaching the catalytic cavity by steric hindrance. In this state, the position of quinone headgroup is clearly not fixed. In contrast, all structures show Q</w:t>
      </w:r>
      <w:r>
        <w:t xml:space="preserve"> </w:t>
      </w:r>
      <w:r>
        <w:t>i</w:t>
      </w:r>
      <w:r>
        <w:t xml:space="preserve"> </w:t>
      </w:r>
      <w:r>
        <w:t>in the same state with a well-resolved and catalytically competent quinone headgroup, but with its tail not fixed. These distinctly different ubiquinone binding modes for Q</w:t>
      </w:r>
      <w:r>
        <w:t xml:space="preserve"> </w:t>
      </w:r>
      <w:r>
        <w:t>o</w:t>
      </w:r>
      <w:r>
        <w:t xml:space="preserve"> </w:t>
      </w:r>
      <w:r>
        <w:t>and Q</w:t>
      </w:r>
      <w:r>
        <w:t xml:space="preserve"> </w:t>
      </w:r>
      <w:r>
        <w:t>i</w:t>
      </w:r>
      <w:r>
        <w:t xml:space="preserve"> </w:t>
      </w:r>
      <w:r>
        <w:t>secure the smooth operation of cytochrome bc</w:t>
      </w:r>
      <w:r>
        <w:rPr>
          <w:vertAlign w:val="subscript"/>
        </w:rPr>
        <w:t>1</w:t>
      </w:r>
      <w:r>
        <w:t>.</w:t>
      </w:r>
    </w:p>
    <w:p>
      <w:pPr>
        <w:spacing w:before="120" w:after="120"/>
      </w:pPr>
      <w:r>
        <w:rPr>
          <w:sz w:val="18"/>
        </w:rPr>
        <w:t>——————————————————————————————————————————————————————————————————————</w:t>
      </w:r>
    </w:p>
    <w:p>
      <w:pPr>
        <w:spacing w:before="160" w:after="40" w:line="240" w:lineRule="auto"/>
      </w:pPr>
      <w:r>
        <w:rPr>
          <w:b/>
        </w:rPr>
        <w:t xml:space="preserve">[996] </w:t>
      </w:r>
      <w:hyperlink r:id="rId1730">
        <w:r>
          <w:rPr>
            <w:color w:val="1155CC"/>
            <w:u w:val="single"/>
          </w:rPr>
          <w:t>肾脏CLC氯离子通道的门控机制及亚型特异性抑制</w:t>
        </w:r>
      </w:hyperlink>
    </w:p>
    <w:p>
      <w:pPr>
        <w:spacing w:before="0" w:after="80"/>
      </w:pPr>
      <w:r>
        <w:rPr>
          <w:i/>
          <w:sz w:val="20"/>
        </w:rPr>
        <w:t>EN: Mechanism of gating and isoform-specific inhibition in renal CLC chloride channels</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1731">
        <w:r>
          <w:rPr>
            <w:color w:val="1155CC"/>
            <w:u w:val="single"/>
          </w:rPr>
          <w:t>10.1073/pnas.2605886123</w:t>
        </w:r>
      </w:hyperlink>
    </w:p>
    <w:p>
      <w:pPr>
        <w:spacing w:before="0" w:after="120"/>
      </w:pPr>
      <w:r>
        <w:rPr>
          <w:b/>
        </w:rPr>
        <w:t xml:space="preserve">Notes: </w:t>
      </w:r>
      <w:r>
        <w:t>abstract_source=crossref</w:t>
      </w:r>
    </w:p>
    <w:p>
      <w:pPr>
        <w:spacing w:before="0" w:after="80" w:lineRule="auto" w:line="276"/>
      </w:pPr>
      <w:r>
        <w:rPr>
          <w:b/>
        </w:rPr>
        <w:t xml:space="preserve">摘要（ZH）: </w:t>
      </w:r>
      <w:r>
        <w:t>低钠血症是一种以水分过度潴留和高发病率率为特征的常见疾病，这促使人们将氯离子通道 CLC-Ka 作为治疗靶点加以关注。在不影响密切相关的 CLC-Kb 的情况下选择性抑制 CLC-Ka，对于预防严重副作用至关重要。然而，开发亚型选择性抑制剂一直颇具挑战性，因为大多数小分子无法区分 CLC-Ka 与 CLC-Kb，而少数已知例外中选择性的基础仍不清楚。小分子 BIM1 相对于 CLC-Kb 更倾向于抑制 CLC-Ka，为剖析亚型特异性药理学提供了机会。为研究这一机制，我们测定了 BIM1 及其相关的非选择性类似物 BIM15 与一个经工程改造以匹配人源 CLC-Ka 结合口袋的 CLC-K 变体结合时的冷冻电镜结构。结构与计算分析表明，抑制作用和亚型选择性由与一个保守赖氨酸的相互作用锚定，周围结合位点残基通过微妙地调节局部静电环境来促进或不利于这些接触。这些分析还鉴定出一个动态的胞外环，该环间歇性地遮挡通往抑制剂结合位点和孔道的共同通路。结合的 BIM15 比 BIM1 更广泛地与该门控环相互作用，提示环相互作用的差异有助于抑制剂选择性，这一预测已通过突变实验得到验证。由于环动力学阻塞孔道，我们考察了倾向于促进开放 的 Ca</w:t>
      </w:r>
      <w:r>
        <w:t xml:space="preserve"> </w:t>
      </w:r>
      <w:r>
        <w:t>2+</w:t>
      </w:r>
      <w:r>
        <w:t xml:space="preserve"> </w:t>
      </w:r>
      <w:r>
        <w:t>的结构影响，</w:t>
      </w:r>
    </w:p>
    <w:p>
      <w:pPr>
        <w:spacing w:before="0" w:after="200" w:lineRule="auto" w:line="276"/>
      </w:pPr>
      <w:r>
        <w:rPr>
          <w:b/>
        </w:rPr>
        <w:t xml:space="preserve">Abstract (EN): </w:t>
      </w:r>
      <w:r>
        <w:t>Hyponatremia is a prevalent disorder marked by excess water retention and substantial morbidity, motivating interest in the chloride channel CLC-Ka as a therapeutic target. Selectively inhibiting CLC-Ka without affecting the closely related CLC-Kb is essential for preventing serious side effects. However, developing isoform-selective inhibitors has been challenging because most small molecules do not distinguish between CLC-Ka and CLC-Kb, and the basis for selectivity in the few known exceptions remains unclear. The small molecule BIM1 preferentially inhibits CLC-Ka over CLC-Kb, providing an opportunity to dissect isoform-specific pharmacology. To investigate this mechanism, we determined cryo-EM structures of BIM1 and BIM15, a related nonselective analog, bound to a CLC-K variant engineered to match the human CLC-Ka binding pocket. Structural and computational analyses reveal that inhibition and isoform selectivity are anchored by interactions with a conserved lysine, with surrounding binding-site residues subtly tuning the local electrostatic environment to promote or disfavor these contacts. These analyses further identify a dynamic extracellular loop that intermittently occludes the shared pathway accessing the inhibitor-binding site and pore. Bound BIM15 engages this gating loop more extensively than BIM1, suggesting that differential loop engagement contributes to inhibitor selectivity, a prediction validated by mutagenesis. Because loop dynamics block the pore, we examined the structural impact of Ca</w:t>
      </w:r>
      <w:r>
        <w:t xml:space="preserve"> </w:t>
      </w:r>
      <w:r>
        <w:t>2+</w:t>
      </w:r>
      <w:r>
        <w:t xml:space="preserve"> </w:t>
      </w:r>
      <w:r>
        <w:t>, which favors opening, and found the gating loop ordered and withdrawn from the pathway. Together, these findings define how binding-site microenvironments and gating-loop dynamics shape isoform-specific inhibition and pore access in CLC-K channels.</w:t>
      </w:r>
    </w:p>
    <w:p>
      <w:pPr>
        <w:spacing w:before="120" w:after="120"/>
      </w:pPr>
      <w:r>
        <w:rPr>
          <w:sz w:val="18"/>
        </w:rPr>
        <w:t>——————————————————————————————————————————————————————————————————————</w:t>
      </w:r>
    </w:p>
    <w:p>
      <w:pPr>
        <w:spacing w:before="160" w:after="40" w:line="240" w:lineRule="auto"/>
      </w:pPr>
      <w:r>
        <w:rPr>
          <w:b/>
        </w:rPr>
        <w:t xml:space="preserve">[997] </w:t>
      </w:r>
      <w:hyperlink r:id="rId1732">
        <w:r>
          <w:rPr>
            <w:color w:val="1155CC"/>
            <w:u w:val="single"/>
          </w:rPr>
          <w:t>在相关无序体系中实验操控水波散射</w:t>
        </w:r>
      </w:hyperlink>
    </w:p>
    <w:p>
      <w:pPr>
        <w:spacing w:before="0" w:after="80"/>
      </w:pPr>
      <w:r>
        <w:rPr>
          <w:i/>
          <w:sz w:val="20"/>
        </w:rPr>
        <w:t>EN: Experimentally controlling scattering of water waves in correlated disorder</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1733">
        <w:r>
          <w:rPr>
            <w:color w:val="1155CC"/>
            <w:u w:val="single"/>
          </w:rPr>
          <w:t>10.1073/pnas.2605721123</w:t>
        </w:r>
      </w:hyperlink>
    </w:p>
    <w:p>
      <w:pPr>
        <w:spacing w:before="0" w:after="120"/>
      </w:pPr>
      <w:r>
        <w:rPr>
          <w:b/>
        </w:rPr>
        <w:t xml:space="preserve">Notes: </w:t>
      </w:r>
      <w:r>
        <w:t>abstract_source=crossref</w:t>
      </w:r>
    </w:p>
    <w:p>
      <w:pPr>
        <w:spacing w:before="0" w:after="80" w:lineRule="auto" w:line="276"/>
      </w:pPr>
      <w:r>
        <w:rPr>
          <w:b/>
        </w:rPr>
        <w:t xml:space="preserve">摘要（ZH）: </w:t>
      </w:r>
      <w:r>
        <w:t>复杂介质中的波传播是横跨光学、声学、力学和凝聚态物理学的普适性问题。虽然无序通常引起强散射，但近期理论预测，一类特殊的相关无序（称为隐身超均匀性）可抑制长波长处的散射，使材料尽管在结构上仍是无序的且远离简单均匀化区间，却表现出透明性。然而，在这一介质内该显著输运机制的实验证据仍然有限。在此，我们报告了对由超均匀相关诱导的散射与非散射波输运之间转变的直接、空间分辨的实验观测。我们以水波为模型平台，对波场在二维无序结构中传播时的振幅和相位进行成像。这使我们能够提取定量的输运可观测量，包括消光长度、统计涨落和能量流模式，并直接确定超均匀透明区域的边界。我们的结果为隐身超均匀无序所预测的输运机制提供了定量实验验证，并表明相关无序为在波物理学各领域的真实体系中控制波传播提供了一条有力且实用的途径。</w:t>
      </w:r>
    </w:p>
    <w:p>
      <w:pPr>
        <w:spacing w:before="0" w:after="200" w:lineRule="auto" w:line="276"/>
      </w:pPr>
      <w:r>
        <w:rPr>
          <w:b/>
        </w:rPr>
        <w:t xml:space="preserve">Abstract (EN): </w:t>
      </w:r>
      <w:r>
        <w:t>Wave propagation in complex media is a universal problem spanning optics, acoustics, mechanics, and condensed matter physics. While disorder usually causes strong scattering, recent theory predicts that a special class of correlated disorder, known as stealthy hyperuniformity, can suppress scattering at long wavelengths, making a material transparent despite remaining structurally disordered and far from a simple homogenization regime. Experimental evidence of this remarkable transport regime within a medium has, however, remained limited. Here we report a direct, spatially resolved experimental observation of a transition between scattering and nonscattering wave transport induced by hyperuniform correlations. Using water waves as a model platform, we image both the amplitude and phase of the wavefield as it propagates through a two-dimensional disordered structure. This enables us to extract quantitative transport observables, including extinction lengths, statistical fluctuations, and energy-flow patterns, and to directly identify the boundary of the hyperuniform transparency regime. Our results provide a quantitative experimental validation of the transport regimes predicted for stealthy hyperuniform disorder and demonstrate that correlated disorder offers a powerful and practical route to control wave propagation in realistic systems across wave physics.</w:t>
      </w:r>
    </w:p>
    <w:p>
      <w:pPr>
        <w:spacing w:before="120" w:after="120"/>
      </w:pPr>
      <w:r>
        <w:rPr>
          <w:sz w:val="18"/>
        </w:rPr>
        <w:t>——————————————————————————————————————————————————————————————————————</w:t>
      </w:r>
    </w:p>
    <w:p>
      <w:pPr>
        <w:spacing w:before="160" w:after="40" w:line="240" w:lineRule="auto"/>
      </w:pPr>
      <w:r>
        <w:rPr>
          <w:b/>
        </w:rPr>
        <w:t xml:space="preserve">[998] </w:t>
      </w:r>
      <w:hyperlink r:id="rId1734">
        <w:r>
          <w:rPr>
            <w:color w:val="1155CC"/>
            <w:u w:val="single"/>
          </w:rPr>
          <w:t>PVN催产素与加压素系统的比较图谱揭示性别保守的输入–输出连接</w:t>
        </w:r>
      </w:hyperlink>
    </w:p>
    <w:p>
      <w:pPr>
        <w:spacing w:before="0" w:after="80"/>
      </w:pPr>
      <w:r>
        <w:rPr>
          <w:i/>
          <w:sz w:val="20"/>
        </w:rPr>
        <w:t>EN: Comparative atlas of PVN oxytocin and vasopressin systems reveals sex-conserved input–output wiring</w:t>
      </w:r>
    </w:p>
    <w:p>
      <w:pPr>
        <w:spacing w:before="0" w:after="120"/>
      </w:pPr>
      <w:r>
        <w:rPr>
          <w:b/>
        </w:rPr>
        <w:t xml:space="preserve">Source: </w:t>
      </w:r>
      <w:r>
        <w:t>Proceedings of the National Academy of Sciences: Keyword search for query</w:t>
      </w:r>
      <w:r>
        <w:t xml:space="preserve">    </w:t>
      </w:r>
      <w:r>
        <w:rPr>
          <w:b/>
        </w:rPr>
        <w:t xml:space="preserve">Pub date: </w:t>
      </w:r>
      <w:r>
        <w:t>2026-09-01 07:00:00+00:00</w:t>
      </w:r>
      <w:r>
        <w:t xml:space="preserve">    </w:t>
      </w:r>
      <w:r>
        <w:rPr>
          <w:b/>
        </w:rPr>
        <w:t xml:space="preserve">DOI: </w:t>
      </w:r>
      <w:hyperlink r:id="rId1735">
        <w:r>
          <w:rPr>
            <w:color w:val="1155CC"/>
            <w:u w:val="single"/>
          </w:rPr>
          <w:t>10.1073/pnas.2536750123</w:t>
        </w:r>
      </w:hyperlink>
    </w:p>
    <w:p>
      <w:pPr>
        <w:spacing w:before="0" w:after="120"/>
      </w:pPr>
      <w:r>
        <w:rPr>
          <w:b/>
        </w:rPr>
        <w:t xml:space="preserve">Notes: </w:t>
      </w:r>
      <w:r>
        <w:t>abstract_source=crossref</w:t>
      </w:r>
    </w:p>
    <w:p>
      <w:pPr>
        <w:spacing w:before="0" w:after="80" w:lineRule="auto" w:line="276"/>
      </w:pPr>
      <w:r>
        <w:rPr>
          <w:b/>
        </w:rPr>
        <w:t xml:space="preserve">摘要（ZH）: </w:t>
      </w:r>
      <w:r>
        <w:t>催产素和加压素是具有多效性且结构相似的神经肽，它们在社会行为和稳态功能调节中的作用已被充分确立。两种神经肽均支持性别二态性行为，从催产素介导的哺乳和子宫收缩，到加压素介导的雄性典型领地攻击行为。催产素和加压素回路是否具有相似的输入–输出结构尚未被考察。同样，催产素和加压素中枢回路内是否存在性别差异也仍不清楚。为弥补这些空白，我们为小鼠下丘脑室旁核催产素和加压素系统生成了定量的顺行投射图和逆行输入图。我们观察到，催产素能神经元和加压素能神经元保持相似的突触输入结构，下丘脑区域输入在很大程度上共享，而在丘脑和苍白球传入中存在一定差异。相比之下，催产素神经元与加压素神经元的轴突投射模式表现出显著差异，前者更密集地支配广泛的端脑和后脑区域。跨性别比较显示，无论是催产素还是加压素系统，其突触输入和输出均无显著差异。平均而言，为室旁核（PVN）催产素或加压素神经元提供突触输入的脑区往往是平衡的，即它们也接收来自相应脑区的投射输出。总之，我们的数据构成了对 PVN 催产素和加压素输</w:t>
      </w:r>
    </w:p>
    <w:p>
      <w:pPr>
        <w:spacing w:before="0" w:after="200" w:lineRule="auto" w:line="276"/>
      </w:pPr>
      <w:r>
        <w:rPr>
          <w:b/>
        </w:rPr>
        <w:t xml:space="preserve">Abstract (EN): </w:t>
      </w:r>
      <w:r>
        <w:t>Oxytocin and vasopressin are pleiotropic, structurally similar neuropeptides with well-established roles in the regulation of social behavior and homeostatic functions. Both neuropeptides support sexually dimorphic behaviors, ranging from lactation and uterine contractions for oxytocin to male-typical territorial aggression for vasopressin. Whether oxytocin and vasopressin circuits share similar input–output architecture has not been examined. Similarly, it remains unknown whether sex differences exist within the oxytocin and vasopressin central circuits. To close these gaps, we generated quantitative anterograde projection and retrograde input maps for the paraventricular hypothalamic oxytocin and vasopressin systems in mice. We observed that oxytocinergic and vasopressinergic neurons retain similar synaptic input architecture, with largely shared hypothalamic area inputs and some divergence across thalamic and pallidal afferents. In contrast, axonal projection patterns showed substantial differences between oxytocin and vasopressin neurons, with the former more densely innervating a broad range of forebrain and hindbrain regions. Comparisons across sex revealed no significant differences in synaptic inputs and outputs, for either the oxytocin or vasopressin systems. On average, brain regions that provided synaptic inputs to the paraventricular nucleus (PVN) oxytocin or vasopressin neurons tended to be balanced, in that they also received projection outputs from the respective brain area. Together, our data represent a comparative study of PVN oxytocin and vasopressin input–output architecture, highlighting a prominent recurrent organizational motif in both systems and their broadly sex-conserved organization at the macroscale level.</w:t>
      </w:r>
    </w:p>
    <w:p>
      <w:pPr>
        <w:spacing w:before="120" w:after="120"/>
      </w:pPr>
      <w:r>
        <w:rPr>
          <w:sz w:val="18"/>
        </w:rPr>
        <w:t>——————————————————————————————————————————————————————————————————————</w:t>
      </w:r>
    </w:p>
    <w:p>
      <w:pPr>
        <w:spacing w:before="160" w:after="40" w:line="240" w:lineRule="auto"/>
      </w:pPr>
      <w:r>
        <w:rPr>
          <w:b/>
        </w:rPr>
        <w:t xml:space="preserve">[999] </w:t>
      </w:r>
      <w:hyperlink r:id="rId1736">
        <w:r>
          <w:rPr>
            <w:color w:val="1155CC"/>
            <w:u w:val="single"/>
          </w:rPr>
          <w:t>光探测交变磁磁振子的量子几何</w:t>
        </w:r>
      </w:hyperlink>
    </w:p>
    <w:p>
      <w:pPr>
        <w:spacing w:before="0" w:after="80"/>
      </w:pPr>
      <w:r>
        <w:rPr>
          <w:i/>
          <w:sz w:val="20"/>
        </w:rPr>
        <w:t>EN: Quantum Geometry of Altermagnetic Magnons Probed by Light</w:t>
      </w:r>
    </w:p>
    <w:p>
      <w:pPr>
        <w:spacing w:before="0" w:after="120"/>
      </w:pPr>
      <w:r>
        <w:rPr>
          <w:b/>
        </w:rPr>
        <w:t xml:space="preserve">Source: </w:t>
      </w:r>
      <w:r>
        <w:t>Recent Articles in Phys. Rev. Lett.</w:t>
      </w:r>
      <w:r>
        <w:t xml:space="preserve">    </w:t>
      </w:r>
      <w:r>
        <w:rPr>
          <w:b/>
        </w:rPr>
        <w:t xml:space="preserve">Pub date: </w:t>
      </w:r>
      <w:r>
        <w:t>2026-09-01 10:00:00+00:00</w:t>
      </w:r>
      <w:r>
        <w:t xml:space="preserve">    </w:t>
      </w:r>
      <w:r>
        <w:rPr>
          <w:b/>
        </w:rPr>
        <w:t xml:space="preserve">DOI: </w:t>
      </w:r>
      <w:hyperlink r:id="rId1737">
        <w:r>
          <w:rPr>
            <w:color w:val="1155CC"/>
            <w:u w:val="single"/>
          </w:rPr>
          <w:t>10.1103/12cl-b9jj</w:t>
        </w:r>
      </w:hyperlink>
    </w:p>
    <w:p>
      <w:pPr>
        <w:spacing w:before="0" w:after="120"/>
      </w:pPr>
      <w:r>
        <w:rPr>
          <w:b/>
        </w:rPr>
        <w:t xml:space="preserve">Notes: </w:t>
      </w:r>
      <w:r>
        <w:t>abstract_source=rss_description</w:t>
      </w:r>
    </w:p>
    <w:p>
      <w:pPr>
        <w:spacing w:before="0" w:after="80" w:lineRule="auto" w:line="276"/>
      </w:pPr>
      <w:r>
        <w:rPr>
          <w:b/>
        </w:rPr>
        <w:t xml:space="preserve">摘要（ZH）: </w:t>
      </w:r>
      <w:r>
        <w:t>作者：Rundong Yuan、Wojciech J. Jankowski、Ka Shen 和 Robert-Jan Slager具有动量依赖手性的磁振子是交变磁体的关键标志。我们发现双圆偏振光是手性交变磁性磁振子的决定性光学探针，可选择性地探测由磁振子手性交替所诱导的量子几何。我们表明，在 $d$ 波交变磁体中…[Phys. Rev. Lett. 137, 106901] 发布于 2026年9月1日 星期二</w:t>
      </w:r>
    </w:p>
    <w:p>
      <w:pPr>
        <w:spacing w:before="0" w:after="200" w:lineRule="auto" w:line="276"/>
      </w:pPr>
      <w:r>
        <w:rPr>
          <w:b/>
        </w:rPr>
        <w:t xml:space="preserve">Abstract (EN): </w:t>
      </w:r>
      <w:r>
        <w:t>Author(s): Rundong Yuan, Wojciech J. Jankowski, Ka Shen, and Robert-Jan SlagerMagnons with momentum-dependent chirality are a key signature of altermagnets. We identify bicircular light as a smoking-gun optical probe for chiral altermagnetic magnons, selectively targeting their quantum geometry induced by an alternation of magnonic chirality. We show that in $d$-wave altermag…[Phys. Rev. Lett. 137, 106901] Published Tue Sep 01, 2026</w:t>
      </w:r>
    </w:p>
    <w:p>
      <w:pPr>
        <w:spacing w:before="120" w:after="120"/>
      </w:pPr>
      <w:r>
        <w:rPr>
          <w:sz w:val="18"/>
        </w:rPr>
        <w:t>——————————————————————————————————————————————————————————————————————</w:t>
      </w:r>
    </w:p>
    <w:p>
      <w:pPr>
        <w:spacing w:before="160" w:after="40" w:line="240" w:lineRule="auto"/>
      </w:pPr>
      <w:r>
        <w:rPr>
          <w:b/>
        </w:rPr>
        <w:t xml:space="preserve">[1000] </w:t>
      </w:r>
      <w:hyperlink r:id="rId1738">
        <w:r>
          <w:rPr>
            <w:color w:val="1155CC"/>
            <w:u w:val="single"/>
          </w:rPr>
          <w:t>相互作用电子的轨道磁化与磁化率</w:t>
        </w:r>
      </w:hyperlink>
    </w:p>
    <w:p>
      <w:pPr>
        <w:spacing w:before="0" w:after="80"/>
      </w:pPr>
      <w:r>
        <w:rPr>
          <w:i/>
          <w:sz w:val="20"/>
        </w:rPr>
        <w:t>EN: Orbital Magnetization and Magnetic Susceptibility of Interacting Electrons</w:t>
      </w:r>
    </w:p>
    <w:p>
      <w:pPr>
        <w:spacing w:before="0" w:after="120"/>
      </w:pPr>
      <w:r>
        <w:rPr>
          <w:b/>
        </w:rPr>
        <w:t xml:space="preserve">Source: </w:t>
      </w:r>
      <w:r>
        <w:t>Recent Articles in Phys. Rev. Lett.</w:t>
      </w:r>
      <w:r>
        <w:t xml:space="preserve">    </w:t>
      </w:r>
      <w:r>
        <w:rPr>
          <w:b/>
        </w:rPr>
        <w:t xml:space="preserve">Pub date: </w:t>
      </w:r>
      <w:r>
        <w:t>2026-09-01 10:00:00+00:00</w:t>
      </w:r>
      <w:r>
        <w:t xml:space="preserve">    </w:t>
      </w:r>
      <w:r>
        <w:rPr>
          <w:b/>
        </w:rPr>
        <w:t xml:space="preserve">DOI: </w:t>
      </w:r>
      <w:hyperlink r:id="rId1739">
        <w:r>
          <w:rPr>
            <w:color w:val="1155CC"/>
            <w:u w:val="single"/>
          </w:rPr>
          <w:t>10.1103/9l9c-mp3t</w:t>
        </w:r>
      </w:hyperlink>
    </w:p>
    <w:p>
      <w:pPr>
        <w:spacing w:before="0" w:after="120"/>
      </w:pPr>
      <w:r>
        <w:rPr>
          <w:b/>
        </w:rPr>
        <w:t xml:space="preserve">Notes: </w:t>
      </w:r>
      <w:r>
        <w:t>abstract_source=rss_description</w:t>
      </w:r>
    </w:p>
    <w:p>
      <w:pPr>
        <w:spacing w:before="0" w:after="80" w:lineRule="auto" w:line="276"/>
      </w:pPr>
      <w:r>
        <w:rPr>
          <w:b/>
        </w:rPr>
        <w:t xml:space="preserve">摘要（ZH）: </w:t>
      </w:r>
      <w:r>
        <w:t>作者：Jian Kang、Minxuan Wang 和 Oskar Vafek在自洽 Hartree-Fock 近似下，相互作用电子的轨道磁化形式与非相互作用情形类似，而轨道磁化率则获得一个额外的依赖于相互作用的项。[Phys. Rev. Lett. 137, 106703] 发布于 2026年9月1日 星期二</w:t>
      </w:r>
    </w:p>
    <w:p>
      <w:pPr>
        <w:spacing w:before="0" w:after="200" w:lineRule="auto" w:line="276"/>
      </w:pPr>
      <w:r>
        <w:rPr>
          <w:b/>
        </w:rPr>
        <w:t xml:space="preserve">Abstract (EN): </w:t>
      </w:r>
      <w:r>
        <w:t>Author(s): Jian Kang, Minxuan Wang, and Oskar VafekWithin the self-consistent Hartree-Fock approximation, the orbital magnetization for interacting electrons takes a form similar to the noninteracting case, while the orbital magnetic susceptibility acquires an additional interaction-dependent term.[Phys. Rev. Lett. 137, 106703] Published Tue Sep 01, 2026</w:t>
      </w:r>
    </w:p>
    <w:p>
      <w:pPr>
        <w:spacing w:before="120" w:after="120"/>
      </w:pPr>
      <w:r>
        <w:rPr>
          <w:sz w:val="18"/>
        </w:rPr>
        <w:t>——————————————————————————————————————————————————————————————————————</w:t>
      </w:r>
    </w:p>
    <w:p>
      <w:pPr>
        <w:spacing w:before="160" w:after="40" w:line="240" w:lineRule="auto"/>
      </w:pPr>
      <w:r>
        <w:rPr>
          <w:b/>
        </w:rPr>
        <w:t xml:space="preserve">[1001] </w:t>
      </w:r>
      <w:hyperlink r:id="rId1740">
        <w:r>
          <w:rPr>
            <w:color w:val="1155CC"/>
            <w:u w:val="single"/>
          </w:rPr>
          <w:t>费米能级降低驱动空位介导的位错运动</w:t>
        </w:r>
      </w:hyperlink>
    </w:p>
    <w:p>
      <w:pPr>
        <w:spacing w:before="0" w:after="80"/>
      </w:pPr>
      <w:r>
        <w:rPr>
          <w:i/>
          <w:sz w:val="20"/>
        </w:rPr>
        <w:t>EN: Fermi-Level Reduction Drives Vacancy-Mediated Dislocation Motion</w:t>
      </w:r>
    </w:p>
    <w:p>
      <w:pPr>
        <w:spacing w:before="0" w:after="120"/>
      </w:pPr>
      <w:r>
        <w:rPr>
          <w:b/>
        </w:rPr>
        <w:t xml:space="preserve">Source: </w:t>
      </w:r>
      <w:r>
        <w:t>Recent Articles in Phys. Rev. Lett.</w:t>
      </w:r>
      <w:r>
        <w:t xml:space="preserve">    </w:t>
      </w:r>
      <w:r>
        <w:rPr>
          <w:b/>
        </w:rPr>
        <w:t xml:space="preserve">Pub date: </w:t>
      </w:r>
      <w:r>
        <w:t>2026-09-01 10:00:00+00:00</w:t>
      </w:r>
      <w:r>
        <w:t xml:space="preserve">    </w:t>
      </w:r>
      <w:r>
        <w:rPr>
          <w:b/>
        </w:rPr>
        <w:t xml:space="preserve">DOI: </w:t>
      </w:r>
      <w:hyperlink r:id="rId1741">
        <w:r>
          <w:rPr>
            <w:color w:val="1155CC"/>
            <w:u w:val="single"/>
          </w:rPr>
          <w:t>10.1103/23ns-6ttl</w:t>
        </w:r>
      </w:hyperlink>
    </w:p>
    <w:p>
      <w:pPr>
        <w:spacing w:before="0" w:after="120"/>
      </w:pPr>
      <w:r>
        <w:rPr>
          <w:b/>
        </w:rPr>
        <w:t xml:space="preserve">Notes: </w:t>
      </w:r>
      <w:r>
        <w:t>abstract_source=rss_description</w:t>
      </w:r>
    </w:p>
    <w:p>
      <w:pPr>
        <w:spacing w:before="0" w:after="80" w:lineRule="auto" w:line="276"/>
      </w:pPr>
      <w:r>
        <w:rPr>
          <w:b/>
        </w:rPr>
        <w:t xml:space="preserve">摘要（ZH）: </w:t>
      </w:r>
      <w:r>
        <w:t>作者：Zhi-Qiao Li、Wen-Tao Zhang、Jing-Jing Chen、Lu-Hua Wang、Xu-Jun Su 和 Ke Xu位错运动作为调控固体晶体微结构的基本现象，显著影响材料性能。通常，位错运动因力学因素的存在而被激活。但对于非金属，诸如电子刺激等非力学因素…[Phys. Rev. Lett. 137, 106101] 发布于 2026年9月1日 星期二</w:t>
      </w:r>
    </w:p>
    <w:p>
      <w:pPr>
        <w:spacing w:before="0" w:after="200" w:lineRule="auto" w:line="276"/>
      </w:pPr>
      <w:r>
        <w:rPr>
          <w:b/>
        </w:rPr>
        <w:t xml:space="preserve">Abstract (EN): </w:t>
      </w:r>
      <w:r>
        <w:t>Author(s): Zhi-Qiao Li, Wen-Tao Zhang, Jing-Jing Chen, Lu-Hua Wang, Xu-Jun Su, and Ke XuDislocation motion, as a fundamental phenomenon modulating the microstructures of solid crystals, substantially affects material properties. Normally, dislocation motion is activated due to the presence of mechanical factors. But for nonmetals, nonmechanical factors like electronic stimulus have inc…[Phys. Rev. Lett. 137, 106101] Published Tue Sep 01, 2026</w:t>
      </w:r>
    </w:p>
    <w:p>
      <w:pPr>
        <w:spacing w:before="120" w:after="120"/>
      </w:pPr>
      <w:r>
        <w:rPr>
          <w:sz w:val="18"/>
        </w:rPr>
        <w:t>——————————————————————————————————————————————————————————————————————</w:t>
      </w:r>
    </w:p>
    <w:p>
      <w:pPr>
        <w:spacing w:before="160" w:after="40" w:line="240" w:lineRule="auto"/>
      </w:pPr>
      <w:r>
        <w:rPr>
          <w:b/>
        </w:rPr>
        <w:t xml:space="preserve">[1002] </w:t>
      </w:r>
      <w:hyperlink r:id="rId1742">
        <w:r>
          <w:rPr>
            <w:color w:val="1155CC"/>
            <w:u w:val="single"/>
          </w:rPr>
          <w:t>非轴对称环形等离子体中气球模的拓扑阻滞</w:t>
        </w:r>
      </w:hyperlink>
    </w:p>
    <w:p>
      <w:pPr>
        <w:spacing w:before="0" w:after="80"/>
      </w:pPr>
      <w:r>
        <w:rPr>
          <w:i/>
          <w:sz w:val="20"/>
        </w:rPr>
        <w:t>EN: Topological Arrest of Ballooning Modes in Nonaxisymmetric Toroidal Plasmas</w:t>
      </w:r>
    </w:p>
    <w:p>
      <w:pPr>
        <w:spacing w:before="0" w:after="120"/>
      </w:pPr>
      <w:r>
        <w:rPr>
          <w:b/>
        </w:rPr>
        <w:t xml:space="preserve">Source: </w:t>
      </w:r>
      <w:r>
        <w:t>Recent Articles in Phys. Rev. Lett.</w:t>
      </w:r>
      <w:r>
        <w:t xml:space="preserve">    </w:t>
      </w:r>
      <w:r>
        <w:rPr>
          <w:b/>
        </w:rPr>
        <w:t xml:space="preserve">Pub date: </w:t>
      </w:r>
      <w:r>
        <w:t>2026-09-01 10:00:00+00:00</w:t>
      </w:r>
      <w:r>
        <w:t xml:space="preserve">    </w:t>
      </w:r>
      <w:r>
        <w:rPr>
          <w:b/>
        </w:rPr>
        <w:t xml:space="preserve">DOI: </w:t>
      </w:r>
      <w:hyperlink r:id="rId1743">
        <w:r>
          <w:rPr>
            <w:color w:val="1155CC"/>
            <w:u w:val="single"/>
          </w:rPr>
          <w:t>10.1103/6m2z-wlmb</w:t>
        </w:r>
      </w:hyperlink>
    </w:p>
    <w:p>
      <w:pPr>
        <w:spacing w:before="0" w:after="120"/>
      </w:pPr>
      <w:r>
        <w:rPr>
          <w:b/>
        </w:rPr>
        <w:t xml:space="preserve">Notes: </w:t>
      </w:r>
      <w:r>
        <w:t>abstract_source=rss_description</w:t>
      </w:r>
    </w:p>
    <w:p>
      <w:pPr>
        <w:spacing w:before="0" w:after="80" w:lineRule="auto" w:line="276"/>
      </w:pPr>
      <w:r>
        <w:rPr>
          <w:b/>
        </w:rPr>
        <w:t xml:space="preserve">摘要（ZH）: </w:t>
      </w:r>
      <w:r>
        <w:t>作者：Amitava Bhattacharjee 磁约束等离子体的非线性稳定性不仅由局部线性增长决定，其本质上是磁通面的连通性质，由拓扑渗流阈值决定。[Phys. Rev. Lett. 137, 105101] 发布于2026年9月1日星期二</w:t>
      </w:r>
    </w:p>
    <w:p>
      <w:pPr>
        <w:spacing w:before="0" w:after="200" w:lineRule="auto" w:line="276"/>
      </w:pPr>
      <w:r>
        <w:rPr>
          <w:b/>
        </w:rPr>
        <w:t xml:space="preserve">Abstract (EN): </w:t>
      </w:r>
      <w:r>
        <w:t>Author(s): Amitava BhattacharjeeNonlinear stability in magnetically confined plasmas is governed not only by local linear growth, but is fundamentally a connectivity property of the flux surface, governed by a topological percolation threshold.[Phys. Rev. Lett. 137, 105101] Published Tue Sep 01, 2026</w:t>
      </w:r>
    </w:p>
    <w:p>
      <w:pPr>
        <w:spacing w:before="120" w:after="120"/>
      </w:pPr>
      <w:r>
        <w:rPr>
          <w:sz w:val="18"/>
        </w:rPr>
        <w:t>——————————————————————————————————————————————————————————————————————</w:t>
      </w:r>
    </w:p>
    <w:p>
      <w:pPr>
        <w:spacing w:before="160" w:after="40" w:line="240" w:lineRule="auto"/>
      </w:pPr>
      <w:r>
        <w:rPr>
          <w:b/>
        </w:rPr>
        <w:t xml:space="preserve">[1003] </w:t>
      </w:r>
      <w:hyperlink r:id="rId1744">
        <w:r>
          <w:rPr>
            <w:color w:val="1155CC"/>
            <w:u w:val="single"/>
          </w:rPr>
          <w:t>各向同性手性超材料中的自旋1外尔点</w:t>
        </w:r>
      </w:hyperlink>
    </w:p>
    <w:p>
      <w:pPr>
        <w:spacing w:before="0" w:after="80"/>
      </w:pPr>
      <w:r>
        <w:rPr>
          <w:i/>
          <w:sz w:val="20"/>
        </w:rPr>
        <w:t>EN: Spin-1 Weyl Points in Isotropic Chiral Metamaterials</w:t>
      </w:r>
    </w:p>
    <w:p>
      <w:pPr>
        <w:spacing w:before="0" w:after="120"/>
      </w:pPr>
      <w:r>
        <w:rPr>
          <w:b/>
        </w:rPr>
        <w:t xml:space="preserve">Source: </w:t>
      </w:r>
      <w:r>
        <w:t>Recent Articles in Phys. Rev. Lett.</w:t>
      </w:r>
      <w:r>
        <w:t xml:space="preserve">    </w:t>
      </w:r>
      <w:r>
        <w:rPr>
          <w:b/>
        </w:rPr>
        <w:t xml:space="preserve">Pub date: </w:t>
      </w:r>
      <w:r>
        <w:t>2026-09-01 10:00:00+00:00</w:t>
      </w:r>
      <w:r>
        <w:t xml:space="preserve">    </w:t>
      </w:r>
      <w:r>
        <w:rPr>
          <w:b/>
        </w:rPr>
        <w:t xml:space="preserve">DOI: </w:t>
      </w:r>
      <w:hyperlink r:id="rId1745">
        <w:r>
          <w:rPr>
            <w:color w:val="1155CC"/>
            <w:u w:val="single"/>
          </w:rPr>
          <w:t>10.1103/7ty7-d15f</w:t>
        </w:r>
      </w:hyperlink>
    </w:p>
    <w:p>
      <w:pPr>
        <w:spacing w:before="0" w:after="120"/>
      </w:pPr>
      <w:r>
        <w:rPr>
          <w:b/>
        </w:rPr>
        <w:t xml:space="preserve">Notes: </w:t>
      </w:r>
      <w:r>
        <w:t>abstract_source=rss_description</w:t>
      </w:r>
    </w:p>
    <w:p>
      <w:pPr>
        <w:spacing w:before="0" w:after="80" w:lineRule="auto" w:line="276"/>
      </w:pPr>
      <w:r>
        <w:rPr>
          <w:b/>
        </w:rPr>
        <w:t xml:space="preserve">摘要（ZH）: </w:t>
      </w:r>
      <w:r>
        <w:t>作者：Ekin Gunes Ozaktas 和 Shanhui Fan 我们证明，具有破缺反演对称性的各向同性介质可以表现出荷为2的自旋1 Weyl点。这类点由SO(3)旋转对称性（各向同性）保护。我们在三种不同体系中研究了此类点：均匀手征Lorentz介质、周期性手征超材料……[Phys. Rev. Lett. 137, 103801] 发布于2026年9月1日星期二</w:t>
      </w:r>
    </w:p>
    <w:p>
      <w:pPr>
        <w:spacing w:before="0" w:after="200" w:lineRule="auto" w:line="276"/>
      </w:pPr>
      <w:r>
        <w:rPr>
          <w:b/>
        </w:rPr>
        <w:t xml:space="preserve">Abstract (EN): </w:t>
      </w:r>
      <w:r>
        <w:t>Author(s): Ekin Gunes Ozaktas and Shanhui FanWe show that an isotropic medium with broken inversion symmetry can exhibit spin-1 Weyl points with a charge of 2. Such points are protected by SO(3) rotational symmetry (isotropy). We study such points in three different systems: a homogeneous chiral Lorentz medium, a periodic chiral metamaterial w…[Phys. Rev. Lett. 137, 103801] Published Tue Sep 01, 2026</w:t>
      </w:r>
    </w:p>
    <w:p>
      <w:pPr>
        <w:spacing w:before="120" w:after="120"/>
      </w:pPr>
      <w:r>
        <w:rPr>
          <w:sz w:val="18"/>
        </w:rPr>
        <w:t>——————————————————————————————————————————————————————————————————————</w:t>
      </w:r>
    </w:p>
    <w:p>
      <w:pPr>
        <w:spacing w:before="160" w:after="40" w:line="240" w:lineRule="auto"/>
      </w:pPr>
      <w:r>
        <w:rPr>
          <w:b/>
        </w:rPr>
        <w:t xml:space="preserve">[1004] </w:t>
      </w:r>
      <w:hyperlink r:id="rId1746">
        <w:r>
          <w:rPr>
            <w:color w:val="1155CC"/>
            <w:u w:val="single"/>
          </w:rPr>
          <w:t>多体笼禁：Fock空间平带导致的无序玻璃态与多体Rabi振荡</w:t>
        </w:r>
      </w:hyperlink>
    </w:p>
    <w:p>
      <w:pPr>
        <w:spacing w:before="0" w:after="80"/>
      </w:pPr>
      <w:r>
        <w:rPr>
          <w:i/>
          <w:sz w:val="20"/>
        </w:rPr>
        <w:t>EN: Many-Body Cages: Disorder-Free Glassiness from Flat Bands in Fock Space and Many-Body Rabi Oscillations</w:t>
      </w:r>
    </w:p>
    <w:p>
      <w:pPr>
        <w:spacing w:before="0" w:after="120"/>
      </w:pPr>
      <w:r>
        <w:rPr>
          <w:b/>
        </w:rPr>
        <w:t xml:space="preserve">Source: </w:t>
      </w:r>
      <w:r>
        <w:t>Recent Articles in Phys. Rev. Lett.</w:t>
      </w:r>
      <w:r>
        <w:t xml:space="preserve">    </w:t>
      </w:r>
      <w:r>
        <w:rPr>
          <w:b/>
        </w:rPr>
        <w:t xml:space="preserve">Pub date: </w:t>
      </w:r>
      <w:r>
        <w:t>2026-09-01 10:00:00+00:00</w:t>
      </w:r>
      <w:r>
        <w:t xml:space="preserve">    </w:t>
      </w:r>
      <w:r>
        <w:rPr>
          <w:b/>
        </w:rPr>
        <w:t xml:space="preserve">DOI: </w:t>
      </w:r>
      <w:hyperlink r:id="rId1747">
        <w:r>
          <w:rPr>
            <w:color w:val="1155CC"/>
            <w:u w:val="single"/>
          </w:rPr>
          <w:t>10.1103/gmw6-x94c</w:t>
        </w:r>
      </w:hyperlink>
    </w:p>
    <w:p>
      <w:pPr>
        <w:spacing w:before="0" w:after="120"/>
      </w:pPr>
      <w:r>
        <w:rPr>
          <w:b/>
        </w:rPr>
        <w:t xml:space="preserve">Notes: </w:t>
      </w:r>
      <w:r>
        <w:t>abstract_source=rss_description</w:t>
      </w:r>
    </w:p>
    <w:p>
      <w:pPr>
        <w:spacing w:before="0" w:after="80" w:lineRule="auto" w:line="276"/>
      </w:pPr>
      <w:r>
        <w:rPr>
          <w:b/>
        </w:rPr>
        <w:t xml:space="preserve">摘要（ZH）: </w:t>
      </w:r>
      <w:r>
        <w:t>作者：Tom Ben-Ami、Markus Heyl 和 Roderich Moessner 我们提出多体囚禁作为量子物质中非热行为的一种新机制。我们将多体囚禁定义为通过量子干涉在多体态图的子图上局域化的本征态。这些多体囚禁可导致平带的形成……[Phys. Rev. Lett. 137, 100401] 发布于2026年9月1日星期二</w:t>
      </w:r>
    </w:p>
    <w:p>
      <w:pPr>
        <w:spacing w:before="0" w:after="200" w:lineRule="auto" w:line="276"/>
      </w:pPr>
      <w:r>
        <w:rPr>
          <w:b/>
        </w:rPr>
        <w:t xml:space="preserve">Abstract (EN): </w:t>
      </w:r>
      <w:r>
        <w:t>Author(s): Tom Ben-Ami, Markus Heyl, and Roderich MoessnerWe introduce many-body caging as a novel mechanism for nonthermal behavior in quantum matter. We define many-body cages as eigenstates that, through quantum interference, become localized on a subgraph of the many-body state graph. These many-body cages can lead to the formation of flat bands in the…[Phys. Rev. Lett. 137, 100401] Published Tue Sep 01, 2026</w:t>
      </w:r>
    </w:p>
    <w:p>
      <w:pPr>
        <w:spacing w:before="120" w:after="120"/>
      </w:pPr>
      <w:r>
        <w:rPr>
          <w:sz w:val="18"/>
        </w:rPr>
        <w:t>——————————————————————————————————————————————————————————————————————</w:t>
      </w:r>
    </w:p>
    <w:p>
      <w:pPr>
        <w:spacing w:before="160" w:after="40" w:line="240" w:lineRule="auto"/>
      </w:pPr>
      <w:r>
        <w:rPr>
          <w:b/>
        </w:rPr>
        <w:t xml:space="preserve">[1005] </w:t>
      </w:r>
      <w:hyperlink r:id="rId1748">
        <w:r>
          <w:rPr>
            <w:color w:val="1155CC"/>
            <w:u w:val="single"/>
          </w:rPr>
          <w:t>黑洞内部临界现象的涌现</w:t>
        </w:r>
      </w:hyperlink>
    </w:p>
    <w:p>
      <w:pPr>
        <w:spacing w:before="0" w:after="80"/>
      </w:pPr>
      <w:r>
        <w:rPr>
          <w:i/>
          <w:sz w:val="20"/>
        </w:rPr>
        <w:t>EN: Emergence of Critical Phenomena from the Black Hole Interior</w:t>
      </w:r>
    </w:p>
    <w:p>
      <w:pPr>
        <w:spacing w:before="0" w:after="120"/>
      </w:pPr>
      <w:r>
        <w:rPr>
          <w:b/>
        </w:rPr>
        <w:t xml:space="preserve">Source: </w:t>
      </w:r>
      <w:r>
        <w:t>Recent Articles in Phys. Rev. Lett.</w:t>
      </w:r>
      <w:r>
        <w:t xml:space="preserve">    </w:t>
      </w:r>
      <w:r>
        <w:rPr>
          <w:b/>
        </w:rPr>
        <w:t xml:space="preserve">Pub date: </w:t>
      </w:r>
      <w:r>
        <w:t>2026-09-01 10:00:00+00:00</w:t>
      </w:r>
      <w:r>
        <w:t xml:space="preserve">    </w:t>
      </w:r>
      <w:r>
        <w:rPr>
          <w:b/>
        </w:rPr>
        <w:t xml:space="preserve">DOI: </w:t>
      </w:r>
      <w:hyperlink r:id="rId1749">
        <w:r>
          <w:rPr>
            <w:color w:val="1155CC"/>
            <w:u w:val="single"/>
          </w:rPr>
          <w:t>10.1103/b4bf-by6m</w:t>
        </w:r>
      </w:hyperlink>
    </w:p>
    <w:p>
      <w:pPr>
        <w:spacing w:before="0" w:after="120"/>
      </w:pPr>
      <w:r>
        <w:rPr>
          <w:b/>
        </w:rPr>
        <w:t xml:space="preserve">Notes: </w:t>
      </w:r>
      <w:r>
        <w:t>abstract_source=rss_description</w:t>
      </w:r>
    </w:p>
    <w:p>
      <w:pPr>
        <w:spacing w:before="0" w:after="80" w:lineRule="auto" w:line="276"/>
      </w:pPr>
      <w:r>
        <w:rPr>
          <w:b/>
        </w:rPr>
        <w:t xml:space="preserve">摘要（ZH）: </w:t>
      </w:r>
      <w:r>
        <w:t>作者：Caiying Shao、Jun-Qi Guo、Yu Tian 和 Hongbao Zhang 在Einstein-Maxwell-实标量模型中，对球对称带电黑洞内部 $r=0$ 奇点的出现进行了数值研究。当标量场达到临界强度时，$r=0$ 奇点在因果菱形的顶端于黑洞内部出现。通过……[Phys. Rev. Lett. 137, 101401] 发布于2026年9月1日星期二</w:t>
      </w:r>
    </w:p>
    <w:p>
      <w:pPr>
        <w:spacing w:before="0" w:after="200" w:lineRule="auto" w:line="276"/>
      </w:pPr>
      <w:r>
        <w:rPr>
          <w:b/>
        </w:rPr>
        <w:t xml:space="preserve">Abstract (EN): </w:t>
      </w:r>
      <w:r>
        <w:t>Author(s): Caiying Shao, Jun-Qi Guo, Yu Tian, and Hongbao ZhangThe emergence of the $r=0$ singularity inside a spherically symmetric charged black hole is studied numerically within the Einstein-Maxwell-real scalar model. When the scalar field reaches a critical strength, the $r=0$ singularity emerges inside the black hole at the tip of the causal diamond. By v…[Phys. Rev. Lett. 137, 101401] Published Tue Sep 01, 2026</w:t>
      </w:r>
    </w:p>
    <w:p>
      <w:pPr>
        <w:spacing w:before="120" w:after="120"/>
      </w:pPr>
      <w:r>
        <w:rPr>
          <w:sz w:val="18"/>
        </w:rPr>
        <w:t>——————————————————————————————————————————————————————————————————————</w:t>
      </w:r>
    </w:p>
    <w:p>
      <w:pPr>
        <w:spacing w:before="160" w:after="40" w:line="240" w:lineRule="auto"/>
      </w:pPr>
      <w:r>
        <w:rPr>
          <w:b/>
        </w:rPr>
        <w:t xml:space="preserve">[1006] </w:t>
      </w:r>
      <w:hyperlink r:id="rId1750">
        <w:r>
          <w:rPr>
            <w:color w:val="1155CC"/>
            <w:u w:val="single"/>
          </w:rPr>
          <w:t>腔-磁振子系统中超越稳态极限的取向量子磁力测量</w:t>
        </w:r>
      </w:hyperlink>
    </w:p>
    <w:p>
      <w:pPr>
        <w:spacing w:before="0" w:after="80"/>
      </w:pPr>
      <w:r>
        <w:rPr>
          <w:i/>
          <w:sz w:val="20"/>
        </w:rPr>
        <w:t>EN: Quantum Magnetometry with Orientation beyond Steady-State Limits in Cavity-Magnon Systems</w:t>
      </w:r>
    </w:p>
    <w:p>
      <w:pPr>
        <w:spacing w:before="0" w:after="120"/>
      </w:pPr>
      <w:r>
        <w:rPr>
          <w:b/>
        </w:rPr>
        <w:t xml:space="preserve">Source: </w:t>
      </w:r>
      <w:r>
        <w:t>Recent Articles in Phys. Rev. Lett.</w:t>
      </w:r>
      <w:r>
        <w:t xml:space="preserve">    </w:t>
      </w:r>
      <w:r>
        <w:rPr>
          <w:b/>
        </w:rPr>
        <w:t xml:space="preserve">Pub date: </w:t>
      </w:r>
      <w:r>
        <w:t>2026-09-01 10:00:00+00:00</w:t>
      </w:r>
      <w:r>
        <w:t xml:space="preserve">    </w:t>
      </w:r>
      <w:r>
        <w:rPr>
          <w:b/>
        </w:rPr>
        <w:t xml:space="preserve">DOI: </w:t>
      </w:r>
      <w:hyperlink r:id="rId1751">
        <w:r>
          <w:rPr>
            <w:color w:val="1155CC"/>
            <w:u w:val="single"/>
          </w:rPr>
          <w:t>10.1103/z982-mv6k</w:t>
        </w:r>
      </w:hyperlink>
    </w:p>
    <w:p>
      <w:pPr>
        <w:spacing w:before="0" w:after="120"/>
      </w:pPr>
      <w:r>
        <w:rPr>
          <w:b/>
        </w:rPr>
        <w:t xml:space="preserve">Notes: </w:t>
      </w:r>
      <w:r>
        <w:t>abstract_source=rss_description</w:t>
      </w:r>
    </w:p>
    <w:p>
      <w:pPr>
        <w:spacing w:before="0" w:after="80" w:lineRule="auto" w:line="276"/>
      </w:pPr>
      <w:r>
        <w:rPr>
          <w:b/>
        </w:rPr>
        <w:t xml:space="preserve">摘要（ZH）: </w:t>
      </w:r>
      <w:r>
        <w:t>作者：Zheng Liu、Ding-hui Xu、Yi-jia Yang、Yu-qiang Liu 和 Chang-shui Yu 我们提出了一种基于腔-磁振子系统的瞬态矢量量子磁测量方案。通过利用从 reservoir 工程压缩稳态初始化的有限时间动力学，我们的方案保留了残余压缩诱导的正交噪声降低，从而抑制了瞬态附加噪声……[Phys. Rev. Lett. 137, 103602] 发布于2026年9月1日星期二</w:t>
      </w:r>
    </w:p>
    <w:p>
      <w:pPr>
        <w:spacing w:before="0" w:after="200" w:lineRule="auto" w:line="276"/>
      </w:pPr>
      <w:r>
        <w:rPr>
          <w:b/>
        </w:rPr>
        <w:t xml:space="preserve">Abstract (EN): </w:t>
      </w:r>
      <w:r>
        <w:t>Author(s): Zheng Liu, Ding-hui Xu, Yi-jia Yang, Yu-qiang Liu, and Chang-shui YuWe propose a transient vector quantum magnetometry protocol based on cavity-magnon systems. By exploiting finite-time dynamics initialized from a reservoir-engineered squeezed steady state, our scheme retains residual squeezing-induced quadrature noise reduction, which suppresses transient added noi…[Phys. Rev. Lett. 137, 103602] Published Tue Sep 01, 2026</w:t>
      </w:r>
    </w:p>
    <w:p>
      <w:pPr>
        <w:spacing w:before="120" w:after="120"/>
      </w:pPr>
      <w:r>
        <w:rPr>
          <w:sz w:val="18"/>
        </w:rPr>
        <w:t>——————————————————————————————————————————————————————————————————————</w:t>
      </w:r>
    </w:p>
    <w:p>
      <w:pPr>
        <w:spacing w:before="160" w:after="40" w:line="240" w:lineRule="auto"/>
      </w:pPr>
      <w:r>
        <w:rPr>
          <w:b/>
        </w:rPr>
        <w:t xml:space="preserve">[1007] </w:t>
      </w:r>
      <w:hyperlink r:id="rId1752">
        <w:r>
          <w:rPr>
            <w:color w:val="1155CC"/>
            <w:u w:val="single"/>
          </w:rPr>
          <w:t>集体泵浦超辐射中超越绝热极限的临界量子计量</w:t>
        </w:r>
      </w:hyperlink>
    </w:p>
    <w:p>
      <w:pPr>
        <w:spacing w:before="0" w:after="80"/>
      </w:pPr>
      <w:r>
        <w:rPr>
          <w:i/>
          <w:sz w:val="20"/>
        </w:rPr>
        <w:t>EN: Critical Quantum Metrology beyond Adiabaticity in Collectively Pumped Superradiance</w:t>
      </w:r>
    </w:p>
    <w:p>
      <w:pPr>
        <w:spacing w:before="0" w:after="120"/>
      </w:pPr>
      <w:r>
        <w:rPr>
          <w:b/>
        </w:rPr>
        <w:t xml:space="preserve">Source: </w:t>
      </w:r>
      <w:r>
        <w:t>Recent Articles in Phys. Rev. Lett.</w:t>
      </w:r>
      <w:r>
        <w:t xml:space="preserve">    </w:t>
      </w:r>
      <w:r>
        <w:rPr>
          <w:b/>
        </w:rPr>
        <w:t xml:space="preserve">Pub date: </w:t>
      </w:r>
      <w:r>
        <w:t>2026-09-01 10:00:00+00:00</w:t>
      </w:r>
      <w:r>
        <w:t xml:space="preserve">    </w:t>
      </w:r>
      <w:r>
        <w:rPr>
          <w:b/>
        </w:rPr>
        <w:t xml:space="preserve">DOI: </w:t>
      </w:r>
      <w:hyperlink r:id="rId1753">
        <w:r>
          <w:rPr>
            <w:color w:val="1155CC"/>
            <w:u w:val="single"/>
          </w:rPr>
          <w:t>10.1103/rp9s-tgp7</w:t>
        </w:r>
      </w:hyperlink>
    </w:p>
    <w:p>
      <w:pPr>
        <w:spacing w:before="0" w:after="120"/>
      </w:pPr>
      <w:r>
        <w:rPr>
          <w:b/>
        </w:rPr>
        <w:t xml:space="preserve">Notes: </w:t>
      </w:r>
      <w:r>
        <w:t>abstract_source=rss_description</w:t>
      </w:r>
    </w:p>
    <w:p>
      <w:pPr>
        <w:spacing w:before="0" w:after="80" w:lineRule="auto" w:line="276"/>
      </w:pPr>
      <w:r>
        <w:rPr>
          <w:b/>
        </w:rPr>
        <w:t xml:space="preserve">摘要（ZH）: </w:t>
      </w:r>
      <w:r>
        <w:t>作者：Yoav Shimshi 和 Ephraim Shahmoon 临界计量学依赖于系统在相变附近对参数变化的高敏感性，以高精度提取信息。此类方法通常需要在绝热条件下工作，这意味着由于临界慢化而需要很长的制备时间。相反，我们提出……[Phys. Rev. Lett. 137, 103601] 发布于2026年9月1日星期二</w:t>
      </w:r>
    </w:p>
    <w:p>
      <w:pPr>
        <w:spacing w:before="0" w:after="200" w:lineRule="auto" w:line="276"/>
      </w:pPr>
      <w:r>
        <w:rPr>
          <w:b/>
        </w:rPr>
        <w:t xml:space="preserve">Abstract (EN): </w:t>
      </w:r>
      <w:r>
        <w:t>Author(s): Yoav Shimshi and Ephraim ShahmoonCritical metrology relies on the high sensitivity of systems to parameter changes near a phase transition to extract information with high precision. Such methods usually require working under adiabatic conditions, which implies long preparation times due to critical slowing down. Here instead we de…[Phys. Rev. Lett. 137, 103601] Published Tue Sep 01, 2026</w:t>
      </w:r>
    </w:p>
    <w:p>
      <w:pPr>
        <w:spacing w:before="120" w:after="120"/>
      </w:pPr>
      <w:r>
        <w:rPr>
          <w:sz w:val="18"/>
        </w:rPr>
        <w:t>——————————————————————————————————————————————————————————————————————</w:t>
      </w:r>
    </w:p>
    <w:p>
      <w:pPr>
        <w:spacing w:before="160" w:after="40" w:line="240" w:lineRule="auto"/>
      </w:pPr>
      <w:r>
        <w:rPr>
          <w:b/>
        </w:rPr>
        <w:t xml:space="preserve">[1008] </w:t>
      </w:r>
      <w:hyperlink r:id="rId1754">
        <w:r>
          <w:rPr>
            <w:color w:val="1155CC"/>
            <w:u w:val="single"/>
          </w:rPr>
          <w:t>双中子晕核的高斯刻画</w:t>
        </w:r>
      </w:hyperlink>
    </w:p>
    <w:p>
      <w:pPr>
        <w:spacing w:before="0" w:after="80"/>
      </w:pPr>
      <w:r>
        <w:rPr>
          <w:i/>
          <w:sz w:val="20"/>
        </w:rPr>
        <w:t>EN: Gaussian characterization of two-neutron halo nuclei</w:t>
      </w:r>
    </w:p>
    <w:p>
      <w:pPr>
        <w:spacing w:before="0" w:after="120"/>
      </w:pPr>
      <w:r>
        <w:rPr>
          <w:b/>
        </w:rPr>
        <w:t xml:space="preserve">Source: </w:t>
      </w:r>
      <w:r>
        <w:t>Recent Articles in Phys. Rev. C</w:t>
      </w:r>
      <w:r>
        <w:t xml:space="preserve">    </w:t>
      </w:r>
      <w:r>
        <w:rPr>
          <w:b/>
        </w:rPr>
        <w:t xml:space="preserve">Pub date: </w:t>
      </w:r>
      <w:r>
        <w:t>2026-09-01 10:00:00+00:00</w:t>
      </w:r>
      <w:r>
        <w:t xml:space="preserve">    </w:t>
      </w:r>
      <w:r>
        <w:rPr>
          <w:b/>
        </w:rPr>
        <w:t xml:space="preserve">DOI: </w:t>
      </w:r>
      <w:hyperlink r:id="rId1755">
        <w:r>
          <w:rPr>
            <w:color w:val="1155CC"/>
            <w:u w:val="single"/>
          </w:rPr>
          <w:t>10.1103/h64p-z766</w:t>
        </w:r>
      </w:hyperlink>
    </w:p>
    <w:p>
      <w:pPr>
        <w:spacing w:before="0" w:after="120"/>
      </w:pPr>
      <w:r>
        <w:rPr>
          <w:b/>
        </w:rPr>
        <w:t xml:space="preserve">Notes: </w:t>
      </w:r>
      <w:r>
        <w:t>abstract_source=rss_description</w:t>
      </w:r>
    </w:p>
    <w:p>
      <w:pPr>
        <w:spacing w:before="0" w:after="80" w:lineRule="auto" w:line="276"/>
      </w:pPr>
      <w:r>
        <w:rPr>
          <w:b/>
        </w:rPr>
        <w:t xml:space="preserve">摘要（ZH）: </w:t>
      </w:r>
      <w:r>
        <w:t>作者：A. Deltuva、M. Gattobigio、D. Jurčiukonis 和 A. Kievsky 晕核子-核芯系统按定义是一种浅束缚态原子核。核子（在大多数情况下为中子）与形成核芯的其他核子松散地束缚在一起。因此，该系统位于普适窗口之内；晕核子很可能远离其余核子……[Phys. Rev. C 114, 034001] 发布于 2026年9月1日（星期二）</w:t>
      </w:r>
    </w:p>
    <w:p>
      <w:pPr>
        <w:spacing w:before="0" w:after="200" w:lineRule="auto" w:line="276"/>
      </w:pPr>
      <w:r>
        <w:rPr>
          <w:b/>
        </w:rPr>
        <w:t xml:space="preserve">Abstract (EN): </w:t>
      </w:r>
      <w:r>
        <w:t>Author(s): A. Deltuva, M. Gattobigio, D. Jurčiukonis, and A. KievskyThe halo nucleon-core system is, by definition, a shallow state nucleus. The nucleon, in most cases a neutron, is loosely bound to the other nucleons forming the core. Accordingly, the system is located inside the universal window; the halo nucleon most likely resides far from the rest of the nucleo…[Phys. Rev. C 114, 034001] Published Tue Sep 01, 2026</w:t>
      </w:r>
    </w:p>
    <w:p>
      <w:pPr>
        <w:spacing w:before="120" w:after="120"/>
      </w:pPr>
      <w:r>
        <w:rPr>
          <w:sz w:val="18"/>
        </w:rPr>
        <w:t>——————————————————————————————————————————————————————————————————————</w:t>
      </w:r>
    </w:p>
    <w:p>
      <w:pPr>
        <w:spacing w:before="160" w:after="40" w:line="240" w:lineRule="auto"/>
      </w:pPr>
      <w:r>
        <w:rPr>
          <w:b/>
        </w:rPr>
        <w:t xml:space="preserve">[1009] </w:t>
      </w:r>
      <w:hyperlink r:id="rId1756">
        <w:r>
          <w:rPr>
            <w:color w:val="1155CC"/>
            <w:u w:val="single"/>
          </w:rPr>
          <w:t>通过比较质子和中子跃迁矩阵元观测价核子数对形变核${0}_{gs}^{+}→{2}_{1}^{+}$跃迁的影响</w:t>
        </w:r>
      </w:hyperlink>
    </w:p>
    <w:p>
      <w:pPr>
        <w:spacing w:before="0" w:after="80"/>
      </w:pPr>
      <w:r>
        <w:rPr>
          <w:i/>
          <w:sz w:val="20"/>
        </w:rPr>
        <w:t>EN: Observing the effects of numbers of valence nucleons on ${0}_{gs}^{+}→{2}_{1}^{+}$ transitions in deformed nuclei by comparing proton and neutron transition matrix elements</w:t>
      </w:r>
    </w:p>
    <w:p>
      <w:pPr>
        <w:spacing w:before="0" w:after="120"/>
      </w:pPr>
      <w:r>
        <w:rPr>
          <w:b/>
        </w:rPr>
        <w:t xml:space="preserve">Source: </w:t>
      </w:r>
      <w:r>
        <w:t>Recent Articles in Phys. Rev. C</w:t>
      </w:r>
      <w:r>
        <w:t xml:space="preserve">    </w:t>
      </w:r>
      <w:r>
        <w:rPr>
          <w:b/>
        </w:rPr>
        <w:t xml:space="preserve">Pub date: </w:t>
      </w:r>
      <w:r>
        <w:t>2026-09-01 10:00:00+00:00</w:t>
      </w:r>
      <w:r>
        <w:t xml:space="preserve">    </w:t>
      </w:r>
      <w:r>
        <w:rPr>
          <w:b/>
        </w:rPr>
        <w:t xml:space="preserve">DOI: </w:t>
      </w:r>
      <w:hyperlink r:id="rId1757">
        <w:r>
          <w:rPr>
            <w:color w:val="1155CC"/>
            <w:u w:val="single"/>
          </w:rPr>
          <w:t>10.1103/q4ws-71zc</w:t>
        </w:r>
      </w:hyperlink>
    </w:p>
    <w:p>
      <w:pPr>
        <w:spacing w:before="0" w:after="120"/>
      </w:pPr>
      <w:r>
        <w:rPr>
          <w:b/>
        </w:rPr>
        <w:t xml:space="preserve">Notes: </w:t>
      </w:r>
      <w:r>
        <w:t>abstract_source=rss_description</w:t>
      </w:r>
    </w:p>
    <w:p>
      <w:pPr>
        <w:spacing w:before="0" w:after="80" w:lineRule="auto" w:line="276"/>
      </w:pPr>
      <w:r>
        <w:rPr>
          <w:b/>
        </w:rPr>
        <w:t xml:space="preserve">摘要（ZH）: </w:t>
      </w:r>
      <w:r>
        <w:t>作者：P. D. Cottle、L. A. Riley、A. Gade、K. W. Kemper 和 M. Spieker 我们研究了 48 个 $N&gt;20$ 的偶偶稳定核素中 ${0}_{gs}^{+}→{2}_{1}^{+}$ 跃迁的中子和质子跃迁矩阵元之比 ${M}_{n}/{M}_{p}$，这些核素的电磁矩阵元由 Pritychenko 等人汇编，并且具有高质量的非弹性 p……[Phys. Rev. C 114, 034301] 发布于 2026年9月1日（星期二）</w:t>
      </w:r>
    </w:p>
    <w:p>
      <w:pPr>
        <w:spacing w:before="0" w:after="200" w:lineRule="auto" w:line="276"/>
      </w:pPr>
      <w:r>
        <w:rPr>
          <w:b/>
        </w:rPr>
        <w:t xml:space="preserve">Abstract (EN): </w:t>
      </w:r>
      <w:r>
        <w:t>Author(s): P. D. Cottle, L. A. Riley, A. Gade, K. W. Kemper, and M. SpiekerWe examined the ratios of neutron and proton transition matrix elements, ${M}_{n}/{M}_{p}$, for the ${0}_{gs}^{+}→{2}_{1}^{+}$ transitions in 48 even-even stable nuclei with $N&gt;20$ for which electromagnetic matrix elements were compiled by Pritychenko et al. and for which high-quality inelastic p…[Phys. Rev. C 114, 034301] Published Tue Sep 01, 2026</w:t>
      </w:r>
    </w:p>
    <w:p>
      <w:pPr>
        <w:spacing w:before="120" w:after="120"/>
      </w:pPr>
      <w:r>
        <w:rPr>
          <w:sz w:val="18"/>
        </w:rPr>
        <w:t>——————————————————————————————————————————————————————————————————————</w:t>
      </w:r>
    </w:p>
    <w:p>
      <w:pPr>
        <w:spacing w:before="160" w:after="40" w:line="240" w:lineRule="auto"/>
      </w:pPr>
      <w:r>
        <w:rPr>
          <w:b/>
        </w:rPr>
        <w:t xml:space="preserve">[1010] </w:t>
      </w:r>
      <w:hyperlink r:id="rId1758">
        <w:r>
          <w:rPr>
            <w:color w:val="1155CC"/>
            <w:u w:val="single"/>
          </w:rPr>
          <w:t>东亚人群血液eQTL荟萃分析凸显了复杂性状遗传学研究中血统匹配eQTL资源的重要性</w:t>
        </w:r>
      </w:hyperlink>
    </w:p>
    <w:p>
      <w:pPr>
        <w:spacing w:before="0" w:after="80"/>
      </w:pPr>
      <w:r>
        <w:rPr>
          <w:i/>
          <w:sz w:val="20"/>
        </w:rPr>
        <w:t>EN: An East Asian blood eQTL meta-analysis highlights ancestry-matched eQTL resources for complex-trait genetics</w:t>
      </w:r>
    </w:p>
    <w:p>
      <w:pPr>
        <w:spacing w:before="0" w:after="120"/>
      </w:pPr>
      <w:r>
        <w:rPr>
          <w:b/>
        </w:rPr>
        <w:t xml:space="preserve">Source: </w:t>
      </w:r>
      <w:r>
        <w:t>National Science Review Advance Access</w:t>
      </w:r>
      <w:r>
        <w:t xml:space="preserve">    </w:t>
      </w:r>
      <w:r>
        <w:rPr>
          <w:b/>
        </w:rPr>
        <w:t xml:space="preserve">Pub date: </w:t>
      </w:r>
      <w:r>
        <w:t>2026-09-02 00:00:00+00:00</w:t>
      </w:r>
      <w:r>
        <w:t xml:space="preserve">    </w:t>
      </w:r>
      <w:r>
        <w:rPr>
          <w:b/>
        </w:rPr>
        <w:t xml:space="preserve">DOI: </w:t>
      </w:r>
      <w:hyperlink r:id="rId1759">
        <w:r>
          <w:rPr>
            <w:color w:val="1155CC"/>
            <w:u w:val="single"/>
          </w:rPr>
          <w:t>10.1093/nsr/nwag566</w:t>
        </w:r>
      </w:hyperlink>
    </w:p>
    <w:p>
      <w:pPr>
        <w:spacing w:before="0" w:after="120"/>
      </w:pPr>
      <w:r>
        <w:rPr>
          <w:b/>
        </w:rPr>
        <w:t xml:space="preserve">Notes: </w:t>
      </w:r>
      <w:r>
        <w:t>abstract_source=rss_oup</w:t>
      </w:r>
    </w:p>
    <w:p>
      <w:pPr>
        <w:spacing w:before="0" w:after="80" w:lineRule="auto" w:line="276"/>
      </w:pPr>
      <w:r>
        <w:rPr>
          <w:b/>
        </w:rPr>
        <w:t xml:space="preserve">摘要（ZH）: </w:t>
      </w:r>
      <w:r>
        <w:t>表达数量性状位点（eQTL）将遗传变异与基因调控和复杂性状联系起来，然而东亚人群的大规模血液eQTL资源仍然有限。我们定位了顺式</w:t>
      </w:r>
    </w:p>
    <w:p>
      <w:pPr>
        <w:spacing w:before="0" w:after="200" w:lineRule="auto" w:line="276"/>
      </w:pPr>
      <w:r>
        <w:rPr>
          <w:b/>
        </w:rPr>
        <w:t xml:space="preserve">Abstract (EN): </w:t>
      </w:r>
      <w:r>
        <w:t>Expression quantitative trait loci (eQTLs) link genetic variation to gene regulation and complex traits, yet population-scale blood eQTL resources remain limited in East Asian populations. We mapped cis</w:t>
      </w:r>
    </w:p>
    <w:p>
      <w:pPr>
        <w:spacing w:before="120" w:after="120"/>
      </w:pPr>
      <w:r>
        <w:rPr>
          <w:sz w:val="18"/>
        </w:rPr>
        <w:t>——————————————————————————————————————————————————————————————————————</w:t>
      </w:r>
    </w:p>
    <w:p>
      <w:pPr>
        <w:spacing w:before="160" w:after="40" w:line="240" w:lineRule="auto"/>
      </w:pPr>
      <w:r>
        <w:rPr>
          <w:b/>
        </w:rPr>
        <w:t xml:space="preserve">[1011] </w:t>
      </w:r>
      <w:hyperlink r:id="rId1760">
        <w:r>
          <w:rPr>
            <w:color w:val="1155CC"/>
            <w:u w:val="single"/>
          </w:rPr>
          <w:t>筑起玛雅金字塔：通过原位硫化构建多氧硫代钼酸盐以增强抗肿瘤治疗</w:t>
        </w:r>
      </w:hyperlink>
    </w:p>
    <w:p>
      <w:pPr>
        <w:spacing w:before="0" w:after="80"/>
      </w:pPr>
      <w:r>
        <w:rPr>
          <w:i/>
          <w:sz w:val="20"/>
        </w:rPr>
        <w:t>EN: Raising the Mayan Pyramids: Construction of Polyoxothiomolybdates via In Situ Sulfurization for Enhanced Antitumor Therapy</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761">
        <w:r>
          <w:rPr>
            <w:color w:val="1155CC"/>
            <w:u w:val="single"/>
          </w:rPr>
          <w:t>10.1002/anie.1190782</w:t>
        </w:r>
      </w:hyperlink>
    </w:p>
    <w:p>
      <w:pPr>
        <w:spacing w:before="0" w:after="120"/>
      </w:pPr>
      <w:r>
        <w:rPr>
          <w:b/>
        </w:rPr>
        <w:t xml:space="preserve">Notes: </w:t>
      </w:r>
      <w:r>
        <w:t>abstract_source=crossref</w:t>
      </w:r>
    </w:p>
    <w:p>
      <w:pPr>
        <w:spacing w:before="0" w:after="80" w:lineRule="auto" w:line="276"/>
      </w:pPr>
      <w:r>
        <w:rPr>
          <w:b/>
        </w:rPr>
        <w:t xml:space="preserve">摘要（ZH）: </w:t>
      </w:r>
      <w:r>
        <w:t>摘要 原子级硫化技术的进步正引领材料工程从粗放调控走向精准编辑。以多氧硫代金属酸盐（POTMs）为代表，现有的硫化方法仍然有限且不环保，严重制约了其结构多样性和功能应用。在本研究中，我们开发了一种原位硫化方法，以一种独特且环保的方式构建了Mo基POTMs（POTMos）。前所未有的构筑模块的出现催生了两种具有单个或融合玛雅金字塔框架的POTMos。借助硫引入带来的结构调控和生物相容性增强，Mo-57-氧硫多阴离子（Mo 57）表现出强大的抗肿瘤功效。结合实验与理论分析表明，Mo 57可通过两条协同途径破坏细胞呼吸链：NADH的催化氧化和NAD + 的静电吸附。这种双重干扰引发了线粒体功能障碍，进而抑制肿瘤增殖。</w:t>
      </w:r>
    </w:p>
    <w:p>
      <w:pPr>
        <w:spacing w:before="0" w:after="200" w:lineRule="auto" w:line="276"/>
      </w:pPr>
      <w:r>
        <w:rPr>
          <w:b/>
        </w:rPr>
        <w:t xml:space="preserve">Abstract (EN): </w:t>
      </w:r>
      <w:r>
        <w:t>The advancement of atomic‐level sulfurization technology is ushering materials engineering from coarse regulation toward precise editing. As represented by polyoxothiometalates (POTMs), the available sulfurization methods remain limited and nongreen, imposing severe constraints on their structural diversity and functional applications. In this study, an in situ sulfurization approach was developed to construct the Mo‐based POTMs (POTMos) in a distinct and eco‐friendly manner. The emergence of unprecedented building blocks gave birth to two POTMos featuring single or fused Mayan‐pyramidal frameworks. Enabled by the structural modulation and enhanced biocompatibility via sulfur incorporation, the Mo‐57‐oxothio polyanion ( Mo 57 ) demonstrated potent antitumor efficacy. Combined experimental and theoretical analyses revealed that Mo 57 could disrupt the cell respiratory chain via two synergistic routes: catalytic oxidation of NADH and electrostatic adsorption of NAD + . Such dual interference triggered mitochondrial dysfunction and a consequent inhibition of tumor proliferation.</w:t>
      </w:r>
    </w:p>
    <w:p>
      <w:pPr>
        <w:spacing w:before="120" w:after="120"/>
      </w:pPr>
      <w:r>
        <w:rPr>
          <w:sz w:val="18"/>
        </w:rPr>
        <w:t>——————————————————————————————————————————————————————————————————————</w:t>
      </w:r>
    </w:p>
    <w:p>
      <w:pPr>
        <w:spacing w:before="160" w:after="40" w:line="240" w:lineRule="auto"/>
      </w:pPr>
      <w:r>
        <w:rPr>
          <w:b/>
        </w:rPr>
        <w:t xml:space="preserve">[1012] </w:t>
      </w:r>
      <w:hyperlink r:id="rId1762">
        <w:r>
          <w:rPr>
            <w:color w:val="1155CC"/>
            <w:u w:val="single"/>
          </w:rPr>
          <w:t>无中生有：用于生物成像的咪唑衍生物近红外余辉发光框架</w:t>
        </w:r>
      </w:hyperlink>
    </w:p>
    <w:p>
      <w:pPr>
        <w:spacing w:before="0" w:after="80"/>
      </w:pPr>
      <w:r>
        <w:rPr>
          <w:i/>
          <w:sz w:val="20"/>
        </w:rPr>
        <w:t>EN: Created Ex Nihilo: A Near‐Infrared Afterglow Luminescent Framework of Imidazole Derivatives for Bioimaging</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763">
        <w:r>
          <w:rPr>
            <w:color w:val="1155CC"/>
            <w:u w:val="single"/>
          </w:rPr>
          <w:t>10.1002/anie.9929915</w:t>
        </w:r>
      </w:hyperlink>
    </w:p>
    <w:p>
      <w:pPr>
        <w:spacing w:before="0" w:after="120"/>
      </w:pPr>
      <w:r>
        <w:rPr>
          <w:b/>
        </w:rPr>
        <w:t xml:space="preserve">Notes: </w:t>
      </w:r>
      <w:r>
        <w:t>abstract_source=crossref</w:t>
      </w:r>
    </w:p>
    <w:p>
      <w:pPr>
        <w:spacing w:before="0" w:after="80" w:lineRule="auto" w:line="276"/>
      </w:pPr>
      <w:r>
        <w:rPr>
          <w:b/>
        </w:rPr>
        <w:t xml:space="preserve">摘要（ZH）: </w:t>
      </w:r>
      <w:r>
        <w:t>摘要 余辉发光探针受到以下限制：（i）缺乏新型余辉骨架；（ii）依赖初始外部光激活；以及（iii）聚集导致淬灭。在此，我们首次证明通式为Ir(C^N) 2 (N^N) + PF 6 − 且含咪唑基N^N配体的Ir(III)配合物在活性氧和氮物种（RONS）存在下或在超声（US）辐照下表现出明亮的余辉发光。一系列Ir(III)配合物（Ir-1–Ir-4）基于实验数据和理论计算确立了一种新的余辉发光机制。该机制的关键特征是咪唑配体的─N═C─N─H单元与各种RONS的反应。通过喹啉基-三苯胺C^N配体对发光框架进行修饰后，Ir-4被赋予了聚集诱导发光（AIE）特性以及增强的近红外余辉发光。在两亲性聚合物辅助下组装成水溶性纳米颗粒（NPs）后，Ir-4@R NPs在体外和体内均展现出优异的余辉发光成像和有效的声动力治疗。这些Ir(III)配合物是基于易得且通用的咪唑配体的余辉发光分子骨架的首批实例，突破了现有余辉发光分子结构的限制。</w:t>
      </w:r>
    </w:p>
    <w:p>
      <w:pPr>
        <w:spacing w:before="0" w:after="200" w:lineRule="auto" w:line="276"/>
      </w:pPr>
      <w:r>
        <w:rPr>
          <w:b/>
        </w:rPr>
        <w:t xml:space="preserve">Abstract (EN): </w:t>
      </w:r>
      <w:r>
        <w:t>Afterglow luminescence probes are limited by (i) a lack of new afterglow scaffolds; (ii) a dependence on initial external light activation, and (iii) aggregation‐caused quenching. Herein, we demonstrate for the first time that Ir(III) complexes of general formula Ir(C^N) 2 (N^N) + PF 6 − with an imidazole‐based N^N ligand exhibit bright afterglow luminescence in the presence of reactive oxygen and nitrogen species (RONS) or under ultrasound (US) irradiation. A series of Ir(III) complexes (Ir‐1–Ir‐4) establish a new afterglow luminescence mechanism based on experimental data and theoretical calculations. The key feature of the present mechanism is the reaction of the ─N═C─N─H unit of the imidazole ligands with various RONS. After modification of the luminescent framework by quinolyl‐triphenylamine C^N ligands, Ir‐4 is endowed with aggregation induced emission (AIE) properties and with enhanced near‐infrared afterglow luminescence. When assembled into water‐soluble nanoparticles (NPs) with the aid of an amphiphilic polymer, Ir‐4@R NPs demonstrated excellent afterglow luminescence imaging and effective sonodynamic therapy in vitro and in vivo. These Ir(III) complexes represent the first examples of an afterglow luminescent molecular framework based on readily available and versatile imidazole ligands, breaking through the existing limitation of molecular structures with afterglow luminescence.</w:t>
      </w:r>
    </w:p>
    <w:p>
      <w:pPr>
        <w:spacing w:before="120" w:after="120"/>
      </w:pPr>
      <w:r>
        <w:rPr>
          <w:sz w:val="18"/>
        </w:rPr>
        <w:t>——————————————————————————————————————————————————————————————————————</w:t>
      </w:r>
    </w:p>
    <w:p>
      <w:pPr>
        <w:spacing w:before="160" w:after="40" w:line="240" w:lineRule="auto"/>
      </w:pPr>
      <w:r>
        <w:rPr>
          <w:b/>
        </w:rPr>
        <w:t xml:space="preserve">[1013] </w:t>
      </w:r>
      <w:hyperlink r:id="rId1764">
        <w:r>
          <w:rPr>
            <w:color w:val="1155CC"/>
            <w:u w:val="single"/>
          </w:rPr>
          <w:t>部分与整体：场依赖的太赫兹电子顺磁共振光谱探测铁(II)自旋交叉中依赖于晶格的电子结构</w:t>
        </w:r>
      </w:hyperlink>
    </w:p>
    <w:p>
      <w:pPr>
        <w:spacing w:before="0" w:after="80"/>
      </w:pPr>
      <w:r>
        <w:rPr>
          <w:i/>
          <w:sz w:val="20"/>
        </w:rPr>
        <w:t>EN: The Part and the Whole: Field‐Dependent THz‐EPR Spectroscopy Probes Lattice‐Dependent Electronic Structure in Iron(II) Spin Crossover</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765">
        <w:r>
          <w:rPr>
            <w:color w:val="1155CC"/>
            <w:u w:val="single"/>
          </w:rPr>
          <w:t>10.1002/anie.4674308</w:t>
        </w:r>
      </w:hyperlink>
    </w:p>
    <w:p>
      <w:pPr>
        <w:spacing w:before="0" w:after="120"/>
      </w:pPr>
      <w:r>
        <w:rPr>
          <w:b/>
        </w:rPr>
        <w:t xml:space="preserve">Notes: </w:t>
      </w:r>
      <w:r>
        <w:t>abstract_source=crossref</w:t>
      </w:r>
    </w:p>
    <w:p>
      <w:pPr>
        <w:spacing w:before="0" w:after="80" w:lineRule="auto" w:line="276"/>
      </w:pPr>
      <w:r>
        <w:rPr>
          <w:b/>
        </w:rPr>
        <w:t xml:space="preserve">摘要（ZH）: </w:t>
      </w:r>
      <w:r>
        <w:t>摘要 频域傅里叶变换（FD-FT）THz-EPR波谱学可直接探测铁(II)自旋交叉（SCO）配合物中被动力学捕获的高自旋（HS）态。利用温度诱导激发自旋态捕获（TIESST），尽管基态为抗磁性低自旋（LS）态，仍可探测HS态的低温电子结构。场依赖波谱可分辨HS基态流形的分裂，并为自旋-声子耦合提供证据，该耦合由基于从头算的避免交叉哈密顿量描述。THz-EPR还可定量残余HS分数（）并揭示依赖于周围自旋态基质的磁跃迁位移。这些结果表明，在HS/LS混合态中，HS中心经历不同的局部晶格环境，并为实验上探究自旋态分布对SCO过程的影响提供了途径。由此可区分协同开关情景，包括畴形成和交替的HS/LS排列。因此，场依赖THz-EPR波谱学可直接探测SCO材料中依赖于晶格的效应。</w:t>
      </w:r>
    </w:p>
    <w:p>
      <w:pPr>
        <w:spacing w:before="0" w:after="200" w:lineRule="auto" w:line="276"/>
      </w:pPr>
      <w:r>
        <w:rPr>
          <w:b/>
        </w:rPr>
        <w:t xml:space="preserve">Abstract (EN): </w:t>
      </w:r>
      <w:r>
        <w:t>Frequency‐domain Fourier‐transform (FD‐FT) THz‐EPR spectroscopy provides direct access to kinetically trapped high‐spin ( HS ) states in iron(II) spin crossover (SCO) complexes. Using temperature‐induced excited spin‐state trapping (TIESST), the low‐temperature electronic structure of the HS state is accessed despite a diamagnetic low‐spin ( LS ) ground state. Field‐dependent spectra resolve the splitting of the HS ground‐state manifold and provide evidence for spin–phonon coupling, described by an avoided‐crossings Hamiltonian supported by ab initio calculations. THz‐EPR further quantifies the remaining HS fraction () and reveals shifts of magnetic transitions that depend on the surrounding spin‐state matrix. These results show that HS centers experience distinct local lattice environments in mixed HS / LS states and provide experimental access to the influence of spin‐state distribution on SCO processes. Cooperative switching scenarios, including domain formation and alternating HS / LS arrangements, can thus be distinguished. Field‐dependent THz‐EPR spectroscopy therefore provides direct access to lattice‐dependent effects in SCO materials.</w:t>
      </w:r>
    </w:p>
    <w:p>
      <w:pPr>
        <w:spacing w:before="120" w:after="120"/>
      </w:pPr>
      <w:r>
        <w:rPr>
          <w:sz w:val="18"/>
        </w:rPr>
        <w:t>——————————————————————————————————————————————————————————————————————</w:t>
      </w:r>
    </w:p>
    <w:p>
      <w:pPr>
        <w:spacing w:before="160" w:after="40" w:line="240" w:lineRule="auto"/>
      </w:pPr>
      <w:r>
        <w:rPr>
          <w:b/>
        </w:rPr>
        <w:t xml:space="preserve">[1014] </w:t>
      </w:r>
      <w:hyperlink r:id="rId1766">
        <w:r>
          <w:rPr>
            <w:color w:val="1155CC"/>
            <w:u w:val="single"/>
          </w:rPr>
          <w:t>三氟乙酸酯介导的小鼠动脉粥样硬化减轻</w:t>
        </w:r>
      </w:hyperlink>
    </w:p>
    <w:p>
      <w:pPr>
        <w:spacing w:before="0" w:after="80"/>
      </w:pPr>
      <w:r>
        <w:rPr>
          <w:i/>
          <w:sz w:val="20"/>
        </w:rPr>
        <w:t>EN: Trifluoroacetate mediated reduction of atherosclerosis in mice</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三氟乙酸（TFA）在无数合成生物活性肽和少数FDA批准的治疗药物中一直被认为是无害的抗衡离子。在此我们表明，TFA实际上是具有生物活性的，它可诱导过氧化物酶体增殖，并在三种小鼠品系（野生型C57BL/6 J、Ldlr−/−和Apoe−/−）以及培养的肝细胞中引起显著的代谢效应。在高脂饮食诱导的Ldlr−/−动脉粥样硬化小鼠模型中，TFA降低了血浆LDL胆固醇和甘油三酯水平以及动脉粥样硬化病变的发展。这些生理效应在TFA单独使用时，或TFA作为多种短的、不相关的合成肽序列的抗衡离子存在时均可观察到。多条机制的证据支持TFA通过结合过氧化物酶体增殖物激活受体（PPAR）-α来诱导过氧化物酶体增殖。这些发现表明，需要评估TFA对使用合成肽的一些研究中观察到的表型效应的贡献，并且如果这些效应延伸至人类，则提示TFA潜在的治疗应用以及广泛的环境TFA暴露对健康的更广泛影响。</w:t>
      </w:r>
    </w:p>
    <w:p>
      <w:pPr>
        <w:spacing w:before="0" w:after="200" w:lineRule="auto" w:line="276"/>
      </w:pPr>
      <w:r>
        <w:rPr>
          <w:b/>
        </w:rPr>
        <w:t xml:space="preserve">Abstract (EN): </w:t>
      </w:r>
      <w:r>
        <w:t>Trifluoroacetate (TFA) has been assumed to be an innocuous counterion in countless synthetic bioactive peptides and a few FDA-approved therapeutics. Here we show that TFA is in fact bioactive, inducing peroxisome proliferation and causing significant metabolic effects in three strains of mice (wild-type C57BL/6 J, Ldlr−/−, and Apoe−/−) and cultured liver cells. In a high-fat diet induced Ldlr−/− mouse model of atherosclerosis, TFA reduced the levels of plasma LDL cholesterol, triglycerides, and the development of atherosclerotic lesions. These physiological effects were observed with TFA alone, or with TFA present as a counterion of a variety of short, unrelated synthetic peptide sequences. Multiple lines of mechanistic evidence supported that TFA acts by binding to peroxisome proliferator activated receptor (PPAR)-α to induce peroxisome proliferation. These findings indicate the need to assess the contribution of TFA to phenotypic effects observed in some studies using synthetic peptides and, if these effects extend to humans, suggest potential therapeutic applications as well as broader health implications of widespread environmental TFA exposure.</w:t>
      </w:r>
    </w:p>
    <w:p>
      <w:pPr>
        <w:spacing w:before="120" w:after="120"/>
      </w:pPr>
      <w:r>
        <w:rPr>
          <w:sz w:val="18"/>
        </w:rPr>
        <w:t>——————————————————————————————————————————————————————————————————————</w:t>
      </w:r>
    </w:p>
    <w:p>
      <w:pPr>
        <w:spacing w:before="160" w:after="40" w:line="240" w:lineRule="auto"/>
      </w:pPr>
      <w:r>
        <w:rPr>
          <w:b/>
        </w:rPr>
        <w:t xml:space="preserve">[1015] </w:t>
      </w:r>
      <w:hyperlink r:id="rId1767">
        <w:r>
          <w:rPr>
            <w:color w:val="1155CC"/>
            <w:u w:val="single"/>
          </w:rPr>
          <w:t>与大脑主要功能网络内部及跨网络连接性相关的常见等位基因</w:t>
        </w:r>
      </w:hyperlink>
    </w:p>
    <w:p>
      <w:pPr>
        <w:spacing w:before="0" w:after="80"/>
      </w:pPr>
      <w:r>
        <w:rPr>
          <w:i/>
          <w:sz w:val="20"/>
        </w:rPr>
        <w:t>EN: Common alleles associated with connectivity within and across the brain’s main functional networks</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以往针对大脑连接性的GWAS一直受限于如何最好地表征该表型复杂性的难题。在此，我们报告了一种多变量GWAS方法的结果，该方法可更好地表征这种复杂性，同时提高统计功效。该策略将显著信号的检测增加到114个独立SNP，指向315个候选基因。我们的结果显示，与不同脑网络功能连接相关的遗传构成存在大量重叠，但也鉴定出网络特异性信号，提示认知网络与感觉运动网络之间可能存在遗传分层。我们还发现功能连接与神经精神疾病风险之间存在大量遗传重叠，提示对神经元通讯重要的基因组区域富含神经精神疾病风险SNP。本文的工作拓展了我们对大脑连接性常见等位基因架构的理解，并为功能基因组学研究提供了新靶点。</w:t>
      </w:r>
    </w:p>
    <w:p>
      <w:pPr>
        <w:spacing w:before="0" w:after="200" w:lineRule="auto" w:line="276"/>
      </w:pPr>
      <w:r>
        <w:rPr>
          <w:b/>
        </w:rPr>
        <w:t xml:space="preserve">Abstract (EN): </w:t>
      </w:r>
      <w:r>
        <w:t>Previous GWAS of brain’s connectivity have been challenged by the difficulty of best representing the complexity of this phenotype. Here we report the results from a multivariate GWAS approach that allows for a better representation of this complexity, while boosting statistical power. This strategy notably increases the detection of significant signals to 114 independent SNPs, pointing at 315 candidate genes. Our results show a large overlap of the genetic makeup associated with functional connectivity across brain networks but also identify network specific signals, suggesting a potential genetic stratification between cognitive and sensory-motor networks. We also identify a large genetic overlap between functional connectivity and risk for neuropsychiatric disorders, suggesting that regions of the genome important for neuronal communication are enriched for neuropsychiatric risk SNPs. The work presented here expands our understanding of the common allele architecture of brain connectivity, as well as provides novel targets to functional genomics research.</w:t>
      </w:r>
    </w:p>
    <w:p>
      <w:pPr>
        <w:spacing w:before="120" w:after="120"/>
      </w:pPr>
      <w:r>
        <w:rPr>
          <w:sz w:val="18"/>
        </w:rPr>
        <w:t>——————————————————————————————————————————————————————————————————————</w:t>
      </w:r>
    </w:p>
    <w:p>
      <w:pPr>
        <w:spacing w:before="160" w:after="40" w:line="240" w:lineRule="auto"/>
      </w:pPr>
      <w:r>
        <w:rPr>
          <w:b/>
        </w:rPr>
        <w:t xml:space="preserve">[1016] </w:t>
      </w:r>
      <w:hyperlink r:id="rId1768">
        <w:r>
          <w:rPr>
            <w:color w:val="1155CC"/>
            <w:u w:val="single"/>
          </w:rPr>
          <w:t>DNA连接酶IIIα在核小体中切口连接的分子基础</w:t>
        </w:r>
      </w:hyperlink>
    </w:p>
    <w:p>
      <w:pPr>
        <w:spacing w:before="0" w:after="80"/>
      </w:pPr>
      <w:r>
        <w:rPr>
          <w:i/>
          <w:sz w:val="20"/>
        </w:rPr>
        <w:t>EN: Molecular basis of nick ligation in the nucleosome by DNA Ligase IIIα</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基因组DNA通过称为核小体核心颗粒的基本重复单元包装成染色质。染色质化的基因组DNA持续暴露于导致DNA损伤的内源性和外源性应激，必须修复以维持基因组稳定性。单链断裂（SSBs）是一种常见的DNA损伤形式，由氧化诱导的糖-磷酸骨架解体产生，或在碱基切除修复过程中作为修复中间体产生。DNA连接酶IIIα（LigIIIα）是在单链断裂修复（SSBR）和碱基切除修复（BER）终末步骤中负责修复可连接SSBs的主要酶之一。迄今为止，LigIIIα如何在染色质中处理切口的机制性描述仍然未知。在此，我们结合生化实验、分子动力学模拟和低温电子显微镜，阐明了LigIIIα在核小体中进行切口连接的分子基础，为基于染色质的SSBR/BER终末步骤提供了基础性见解。</w:t>
      </w:r>
    </w:p>
    <w:p>
      <w:pPr>
        <w:spacing w:before="0" w:after="200" w:lineRule="auto" w:line="276"/>
      </w:pPr>
      <w:r>
        <w:rPr>
          <w:b/>
        </w:rPr>
        <w:t xml:space="preserve">Abstract (EN): </w:t>
      </w:r>
      <w:r>
        <w:t>Genomic DNA is packaged into chromatin through a fundamental repeating unit known as the nucleosome core particle. Chromatinized genomic DNA is constantly exposed to endogenous and exogenous stresses that result in DNA damage, which must be repaired to maintain genome stability. Single-strand breaks (SSBs) are a prevalent form of DNA damage that arise via the oxidation-induced disintegration of the sugar-phosphate backbone or as repair intermediates during base excision repair. DNA ligase IIIα (LigIIIα) is one of the primary enzymes responsible for repairing ligatable SSBs during the terminal step of single-strand break repair (SSBR) and base excision repair (BER). To date, a mechanistic description of how LigIIIα processes nicks within chromatin remains elusive. Here, we use a combination of biochemical assays, molecular dynamics simulations, and cryogenic electron microscopy to define the molecular basis of nick ligation in the nucleosome by LigIIIα, providing foundational insight into the terminal step of chromatin-based SSBR/BER.</w:t>
      </w:r>
    </w:p>
    <w:p>
      <w:pPr>
        <w:spacing w:before="120" w:after="120"/>
      </w:pPr>
      <w:r>
        <w:rPr>
          <w:sz w:val="18"/>
        </w:rPr>
        <w:t>——————————————————————————————————————————————————————————————————————</w:t>
      </w:r>
    </w:p>
    <w:p>
      <w:pPr>
        <w:spacing w:before="160" w:after="40" w:line="240" w:lineRule="auto"/>
      </w:pPr>
      <w:r>
        <w:rPr>
          <w:b/>
        </w:rPr>
        <w:t xml:space="preserve">[1017] </w:t>
      </w:r>
      <w:hyperlink r:id="rId1769">
        <w:r>
          <w:rPr>
            <w:color w:val="1155CC"/>
            <w:u w:val="single"/>
          </w:rPr>
          <w:t>由具有可调刚性的聚合物受体实现的热稳定性有机光电探测器</w:t>
        </w:r>
      </w:hyperlink>
    </w:p>
    <w:p>
      <w:pPr>
        <w:spacing w:before="0" w:after="80"/>
      </w:pPr>
      <w:r>
        <w:rPr>
          <w:i/>
          <w:sz w:val="20"/>
        </w:rPr>
        <w:t>EN: Thermally Robust Organic Photodetectors Enabled by Polymer Acceptors with Tunable Rigidity</w:t>
      </w:r>
    </w:p>
    <w:p>
      <w:pPr>
        <w:spacing w:before="0" w:after="120"/>
      </w:pPr>
      <w:r>
        <w:rPr>
          <w:b/>
        </w:rPr>
        <w:t xml:space="preserve">Source: </w:t>
      </w:r>
      <w:r>
        <w:t>ACS Energy Letters: Latest Articles (ACS Publications)</w:t>
      </w:r>
      <w:r>
        <w:t xml:space="preserve">    </w:t>
      </w:r>
      <w:r>
        <w:rPr>
          <w:b/>
        </w:rPr>
        <w:t xml:space="preserve">Pub date: </w:t>
      </w:r>
      <w:r>
        <w:t>2026-09-02 00:00:00+00:00</w:t>
      </w:r>
      <w:r>
        <w:t xml:space="preserve">    </w:t>
      </w:r>
      <w:r>
        <w:rPr>
          <w:b/>
        </w:rPr>
        <w:t xml:space="preserve">DOI: </w:t>
      </w:r>
      <w:hyperlink r:id="rId1770">
        <w:r>
          <w:rPr>
            <w:color w:val="1155CC"/>
            <w:u w:val="single"/>
          </w:rPr>
          <w:t>10.1021/acsenergylett.6c01868</w:t>
        </w:r>
      </w:hyperlink>
    </w:p>
    <w:p>
      <w:pPr>
        <w:spacing w:before="0" w:after="120"/>
      </w:pPr>
      <w:r>
        <w:rPr>
          <w:b/>
        </w:rPr>
        <w:t xml:space="preserve">Notes: </w:t>
      </w:r>
      <w:r>
        <w:t>abstract_source=crossref</w:t>
      </w:r>
    </w:p>
    <w:p>
      <w:pPr>
        <w:spacing w:before="0" w:after="80" w:lineRule="auto" w:line="276"/>
      </w:pPr>
      <w:r>
        <w:rPr>
          <w:b/>
        </w:rPr>
        <w:t xml:space="preserve">摘要（ZH）: </w:t>
      </w:r>
      <w:r>
        <w:t>摘要 有机光电探测器（OPDs）已成为下一代光电应用的有力候选者。然而，其低热稳定性阻碍了广泛应用。本研究通过考察采用三种聚合物受体：PF5-Y5、PYTS-C2和PY2TS-C2与PBDB-T聚合物给体配对的OPDs的性能来解决这一问题。这些器件表现出显著改善的抗热应力能力。在150 °C退火1小时后，基于PF5-Y5的OPDs可保持低于1 × 10–6 A/cm2的暗电流密度（Jd）和高于50%的外量子效率（EQE），从而实现1.7 × 1011 Jones的比探测率。详细分析表明，基于PF5-Y5的OPDs中EQE的下降归因于电子迁移率的降低，而PY2TS-C2和Y6体系中Jd的增加则归因于聚集和相分离的增强以及C60和电极的扩散。这些结果突出了聚合物受体在增强热鲁棒性方面的优势，并为开发热稳定的OPDs提供了设计策略。</w:t>
      </w:r>
    </w:p>
    <w:p>
      <w:pPr>
        <w:spacing w:before="0" w:after="200" w:lineRule="auto" w:line="276"/>
      </w:pPr>
      <w:r>
        <w:rPr>
          <w:b/>
        </w:rPr>
        <w:t xml:space="preserve">Abstract (EN): </w:t>
      </w:r>
      <w:r>
        <w:t>Organic photodetectors (OPDs) have emerged as promising candidates for next-generation optoelectronic applications. However, their widespread adoption is hindered by the low thermal stability. This study addresses this issue by investigating the performance of OPDs employing three polymer acceptors: PF5-Y5, PYTS-C2, and PY2TS-C2 paired with the PBDB-T polymer donor. These devices demonstrate significantly improved resistance to thermal stress. After annealing at 150 °C for 1 h, the PF5-Y5-based OPDs can maintain a dark current density (Jd) below 1 × 10–6 A/cm2 and an external quantum efficiency (EQE) above 50%, leading to a specific detectivity of 1.7 × 1011 Jones. Detailed analysis reveals that the EQE drop in the PF5-Y5-based OPDs is due to decreased electron mobility, and Jd increases in the PY2TS-C2 and Y6 systems are attributed to enhanced aggregation and phase separation and C60 and electrode diffusion. These results highlight the advantages of polymer acceptors in enhancing thermal robustness and provide design strategies for developing thermally stable OPDs.</w:t>
      </w:r>
    </w:p>
    <w:p>
      <w:pPr>
        <w:spacing w:before="120" w:after="120"/>
      </w:pPr>
      <w:r>
        <w:rPr>
          <w:sz w:val="18"/>
        </w:rPr>
        <w:t>——————————————————————————————————————————————————————————————————————</w:t>
      </w:r>
    </w:p>
    <w:p>
      <w:pPr>
        <w:spacing w:before="160" w:after="40" w:line="240" w:lineRule="auto"/>
      </w:pPr>
      <w:r>
        <w:rPr>
          <w:b/>
        </w:rPr>
        <w:t xml:space="preserve">[1018] </w:t>
      </w:r>
      <w:hyperlink r:id="rId1771">
        <w:r>
          <w:rPr>
            <w:color w:val="1155CC"/>
            <w:u w:val="single"/>
          </w:rPr>
          <w:t>网络化反应–扩散系统中局域振荡图案出现的另一种机制</w:t>
        </w:r>
      </w:hyperlink>
    </w:p>
    <w:p>
      <w:pPr>
        <w:spacing w:before="0" w:after="80"/>
      </w:pPr>
      <w:r>
        <w:rPr>
          <w:i/>
          <w:sz w:val="20"/>
        </w:rPr>
        <w:t>EN: An alternate mechanism for the emergence of localized oscillatory patterns in networked reaction–diffusion systems</w:t>
      </w:r>
    </w:p>
    <w:p>
      <w:pPr>
        <w:spacing w:before="0" w:after="120"/>
      </w:pPr>
      <w:r>
        <w:rPr>
          <w:b/>
        </w:rPr>
        <w:t xml:space="preserve">Source: </w:t>
      </w:r>
      <w:r>
        <w:t>National Science Review Advance Access</w:t>
      </w:r>
      <w:r>
        <w:t xml:space="preserve">    </w:t>
      </w:r>
      <w:r>
        <w:rPr>
          <w:b/>
        </w:rPr>
        <w:t xml:space="preserve">Pub date: </w:t>
      </w:r>
      <w:r>
        <w:t>2026-09-02 00:00:00+00:00</w:t>
      </w:r>
      <w:r>
        <w:t xml:space="preserve">    </w:t>
      </w:r>
      <w:r>
        <w:rPr>
          <w:b/>
        </w:rPr>
        <w:t xml:space="preserve">DOI: </w:t>
      </w:r>
      <w:hyperlink r:id="rId1772">
        <w:r>
          <w:rPr>
            <w:color w:val="1155CC"/>
            <w:u w:val="single"/>
          </w:rPr>
          <w:t>10.1093/nsr/nwag523</w:t>
        </w:r>
      </w:hyperlink>
    </w:p>
    <w:p>
      <w:pPr>
        <w:spacing w:before="0" w:after="120"/>
      </w:pPr>
      <w:r>
        <w:rPr>
          <w:b/>
        </w:rPr>
        <w:t xml:space="preserve">Notes: </w:t>
      </w:r>
      <w:r>
        <w:t>abstract_source=rss_oup</w:t>
      </w:r>
    </w:p>
    <w:p>
      <w:pPr>
        <w:spacing w:before="0" w:after="80" w:lineRule="auto" w:line="276"/>
      </w:pPr>
      <w:r>
        <w:rPr>
          <w:b/>
        </w:rPr>
        <w:t xml:space="preserve">摘要（ZH）: </w:t>
      </w:r>
      <w:r>
        <w:t>局限于有限空间域或网络节点子集的局域振荡模式已在皮层神经元、集合群落生态系统和化学实验中被观察到。此前研究表明，无向网络反应–扩散系统中的波分岔（振荡图灵不稳定性）可以诱导这种局域振荡。本文提出了它们涌现的一种替代机制，即作用于亚临界图灵分支上的Hopf型不稳定性。与波分岔不同，该机制不需要至少三个组分之间的相互作用。我们进一步在无向Barabási–Albert、Erdős–Rényi和Watts–Strogatz网络中的Brusselator和FitzHugh-Nagumo模型中证明了其鲁棒性。这项工作扩展了此类模式在网络系统中的普适性，并为控制复杂系统中的集体动力学现象提供了理论基础。</w:t>
      </w:r>
    </w:p>
    <w:p>
      <w:pPr>
        <w:spacing w:before="0" w:after="200" w:lineRule="auto" w:line="276"/>
      </w:pPr>
      <w:r>
        <w:rPr>
          <w:b/>
        </w:rPr>
        <w:t xml:space="preserve">Abstract (EN): </w:t>
      </w:r>
      <w:r>
        <w:t>Localized oscillatory patterns, confined to finite spatial domains or subsets of nodes in a network, have been observed in cortical neurons, metacommunity ecosystems, and chemical experiments. Previous studies have shown that wave bifurcations (oscillatory Turing instabilities) in undirected networked reaction–diffusion systems can induce such localized oscillations. Here, we propose an alternative mechanism for their emergence, namely Hopf-type instabilities acting on a subcritical Turing branch. Unlike wave bifurcations, this mechanism does not require interactions amongst at least three components. We further demonstrate its robustness in both the Brusselator and FitzHugh-Nagumo models in undirected Barabási–Albert, Erdős–Rényi, and Watts–Strogatz networks. This work extends the universality of such patterns in networked systems and provides a theoretical foundation for the control of collective dynamical phenomena in complex systems.</w:t>
      </w:r>
    </w:p>
    <w:p>
      <w:pPr>
        <w:spacing w:before="120" w:after="120"/>
      </w:pPr>
      <w:r>
        <w:rPr>
          <w:sz w:val="18"/>
        </w:rPr>
        <w:t>——————————————————————————————————————————————————————————————————————</w:t>
      </w:r>
    </w:p>
    <w:p>
      <w:pPr>
        <w:spacing w:before="160" w:after="40" w:line="240" w:lineRule="auto"/>
      </w:pPr>
      <w:r>
        <w:rPr>
          <w:b/>
        </w:rPr>
        <w:t xml:space="preserve">[1019] </w:t>
      </w:r>
      <w:hyperlink r:id="rId1773">
        <w:r>
          <w:rPr>
            <w:color w:val="1155CC"/>
            <w:u w:val="single"/>
          </w:rPr>
          <w:t>三重态还是电荷分离态？区分SWCNT/MoS2异质结中长寿命光生电子态</w:t>
        </w:r>
      </w:hyperlink>
    </w:p>
    <w:p>
      <w:pPr>
        <w:spacing w:before="0" w:after="80"/>
      </w:pPr>
      <w:r>
        <w:rPr>
          <w:i/>
          <w:sz w:val="20"/>
        </w:rPr>
        <w:t>EN: Triplet or Charge-Separated State? Distinguishing Long-Lived, Photogenerated Electronic States in SWCNT/MoS2 Heterojunctions</w:t>
      </w:r>
    </w:p>
    <w:p>
      <w:pPr>
        <w:spacing w:before="0" w:after="120"/>
      </w:pPr>
      <w:r>
        <w:rPr>
          <w:b/>
        </w:rPr>
        <w:t xml:space="preserve">Source: </w:t>
      </w:r>
      <w:r>
        <w:t>ACS Energy Letters: Latest Articles (ACS Publications)</w:t>
      </w:r>
      <w:r>
        <w:t xml:space="preserve">    </w:t>
      </w:r>
      <w:r>
        <w:rPr>
          <w:b/>
        </w:rPr>
        <w:t xml:space="preserve">Pub date: </w:t>
      </w:r>
      <w:r>
        <w:t>2026-09-02 00:00:00+00:00</w:t>
      </w:r>
      <w:r>
        <w:t xml:space="preserve">    </w:t>
      </w:r>
      <w:r>
        <w:rPr>
          <w:b/>
        </w:rPr>
        <w:t xml:space="preserve">DOI: </w:t>
      </w:r>
      <w:hyperlink r:id="rId1774">
        <w:r>
          <w:rPr>
            <w:color w:val="1155CC"/>
            <w:u w:val="single"/>
          </w:rPr>
          <w:t>10.1021/acsenergylett.6c01923</w:t>
        </w:r>
      </w:hyperlink>
    </w:p>
    <w:p>
      <w:pPr>
        <w:spacing w:before="0" w:after="120"/>
      </w:pPr>
      <w:r>
        <w:rPr>
          <w:b/>
        </w:rPr>
        <w:t xml:space="preserve">Notes: </w:t>
      </w:r>
      <w:r>
        <w:t>abstract_source=crossref</w:t>
      </w:r>
    </w:p>
    <w:p>
      <w:pPr>
        <w:spacing w:before="0" w:after="80" w:lineRule="auto" w:line="276"/>
      </w:pPr>
      <w:r>
        <w:rPr>
          <w:b/>
        </w:rPr>
        <w:t xml:space="preserve">摘要（ZH）: </w:t>
      </w:r>
      <w:r>
        <w:t>摘要 单壁碳纳米管（SWCNTs）及其与多种材料的界面是下一代能量收集与转换器件的 promising 平台。然而，识别电子态激发态光谱的挑战是评估其在这些应用中潜力的一大障碍。在此，我们利用光致吸收检测磁共振（PADMR）光谱技术，对（6,5）SWCNT/MoS2异质结的近红外（NIR）光致吸收光谱给出了明确指认。通过驱动弱磁偶极耦合的电荷分离态与SWCNT局域三重态的可区分磁共振跃迁，表明相对第一激子漂白发生红移的NIR诱导吸收峰仅对应于分离电荷。三重态激发态吸收则被指认在更高能量处。界面电荷分离态和三重态的特征在双层结构中比在纯纳米管中更强，揭示了跨SWCNT/MoS2界面的电荷复合机制在SWCNT上形成自旋极化的三重态。</w:t>
      </w:r>
    </w:p>
    <w:p>
      <w:pPr>
        <w:spacing w:before="0" w:after="200" w:lineRule="auto" w:line="276"/>
      </w:pPr>
      <w:r>
        <w:rPr>
          <w:b/>
        </w:rPr>
        <w:t xml:space="preserve">Abstract (EN): </w:t>
      </w:r>
      <w:r>
        <w:t>Single-walled carbon nanotubes (SWCNTs) and their interfaces with an array of materials are promising platforms for next-generation energy-harvesting and conversion devices. Yet the challenge of identifying the excited-state optical spectra of electronic states is a barrier to evaluating their potential for those applications. Here, we use photoinduced absorption-detected magnetic resonance (PADMR) spectroscopy to provide unambiguous assignments in the near-infrared (NIR) photoinduced absorption spectrum of (6,5) SWCNT/MoS2 heterojunctions. Driving the distinguishable magnetic resonance transitions of weakly magnetic dipole-coupled charge separated states versus SWCNT-localized triplets shows that the NIR-induced absorption peak that is bathochromically shifted from the first exciton bleach corresponds solely to separated charges. Triplet excited-state absorption is assigned at higher energy. Signatures for the interfacial charge-separated state and triplet states are stronger in the bilayer than in the neat nanotubes, revealing a charge recombination mechanism across the SWCNT/MoS2 interface that forms spin-polarized triplet states on the SWCNTs.</w:t>
      </w:r>
    </w:p>
    <w:p>
      <w:pPr>
        <w:spacing w:before="120" w:after="120"/>
      </w:pPr>
      <w:r>
        <w:rPr>
          <w:sz w:val="18"/>
        </w:rPr>
        <w:t>——————————————————————————————————————————————————————————————————————</w:t>
      </w:r>
    </w:p>
    <w:p>
      <w:pPr>
        <w:spacing w:before="160" w:after="40" w:line="240" w:lineRule="auto"/>
      </w:pPr>
      <w:r>
        <w:rPr>
          <w:b/>
        </w:rPr>
        <w:t xml:space="preserve">[1020] </w:t>
      </w:r>
      <w:hyperlink r:id="rId1775">
        <w:r>
          <w:rPr>
            <w:color w:val="1155CC"/>
            <w:u w:val="single"/>
          </w:rPr>
          <w:t>金属离子与蛋白质聚集：解析蛋白质病中的分子相互作用及诊疗前景</w:t>
        </w:r>
      </w:hyperlink>
    </w:p>
    <w:p>
      <w:pPr>
        <w:spacing w:before="0" w:after="80"/>
      </w:pPr>
      <w:r>
        <w:rPr>
          <w:i/>
          <w:sz w:val="20"/>
        </w:rPr>
        <w:t>EN: Metal Ions and Protein Aggregation: Unraveling Molecular Interactions and Theranostic Prospects in Proteinopathies</w:t>
      </w:r>
    </w:p>
    <w:p>
      <w:pPr>
        <w:spacing w:before="0" w:after="120"/>
      </w:pPr>
      <w:r>
        <w:rPr>
          <w:b/>
        </w:rPr>
        <w:t xml:space="preserve">Source: </w:t>
      </w:r>
      <w:r>
        <w:t>Chemical Reviews: Latest Articles (ACS Publications)</w:t>
      </w:r>
      <w:r>
        <w:t xml:space="preserve">    </w:t>
      </w:r>
      <w:r>
        <w:rPr>
          <w:b/>
        </w:rPr>
        <w:t xml:space="preserve">Pub date: </w:t>
      </w:r>
      <w:r>
        <w:t>2026-09-02 00:00:00+00:00</w:t>
      </w:r>
      <w:r>
        <w:t xml:space="preserve">    </w:t>
      </w:r>
      <w:r>
        <w:rPr>
          <w:b/>
        </w:rPr>
        <w:t xml:space="preserve">DOI: </w:t>
      </w:r>
      <w:hyperlink r:id="rId1776">
        <w:r>
          <w:rPr>
            <w:color w:val="1155CC"/>
            <w:u w:val="single"/>
          </w:rPr>
          <w:t>10.1021/acs.chemrev.5c00420</w:t>
        </w:r>
      </w:hyperlink>
    </w:p>
    <w:p>
      <w:pPr>
        <w:spacing w:before="0" w:after="120"/>
      </w:pPr>
      <w:r>
        <w:rPr>
          <w:b/>
        </w:rPr>
        <w:t xml:space="preserve">Notes: </w:t>
      </w:r>
      <w:r>
        <w:t>abstract_source=crossref</w:t>
      </w:r>
    </w:p>
    <w:p>
      <w:pPr>
        <w:spacing w:before="0" w:after="80" w:lineRule="auto" w:line="276"/>
      </w:pPr>
      <w:r>
        <w:rPr>
          <w:b/>
        </w:rPr>
        <w:t xml:space="preserve">摘要（ZH）: </w:t>
      </w:r>
      <w:r>
        <w:t>摘要 蛋白质聚集是与多种人类疾病（称为蛋白质病）相关的病理过程，包括神经退行性疾病和代谢性疾病，如阿尔茨海默病、帕金森病、II型糖尿病、肌萎缩侧索硬化症和亨廷顿病。在这些疾病中，特定蛋白质发生错误折叠并积累形成不溶性聚集体，破坏正常的细胞功能并促进疾病进展。许多研究已经探究了聚集途径背后的分子机制、聚集体（如寡聚中间体和原纤维）的结构及其细胞毒性。研究还考察了金属、脂质、其他淀粉样蛋白和小分子等辅因子的影响。近期研究日益强调铜（Cu）、锌（Zn）、铁（Fe）和锰（Mn）等金属离子在淀粉样聚集和毒性中的关键作用。金属离子转运、结合或氧化还原活性的改变已被证实与多种淀粉样相关疾病的发生和进展有关。这些金属离子可直接与淀粉样蛋白相互作用，影响其结构构象、聚集动力学以及形成毒性寡聚体的倾向。本综述旨在加深我们对细胞内金属离子调控及其功能障碍如何促进有害蛋白质积累的理解，这是蛋白质病的关键因素之一。通过研究金属离子与关键淀粉样蛋白之间的相互作用——包括β淀粉样蛋白（Aβ）、α-</w:t>
      </w:r>
    </w:p>
    <w:p>
      <w:pPr>
        <w:spacing w:before="0" w:after="200" w:lineRule="auto" w:line="276"/>
      </w:pPr>
      <w:r>
        <w:rPr>
          <w:b/>
        </w:rPr>
        <w:t xml:space="preserve">Abstract (EN): </w:t>
      </w:r>
      <w:r>
        <w:t>Protein aggregation is a pathological process associated with several human diseases termed proteinopathies, including neurodegenerative and metabolic disorders such as Alzheimer’s disease, Parkinson’s disease, type II diabetes, amyotrophic lateral sclerosis, and Huntington’s disease. In these conditions, specific proteins misfold and accumulate into insoluble aggregates, disrupting normal cellular function and contributing to disease progression. Many studies have investigated the molecular mechanisms that underlie the aggregation pathways, the structure of aggregates, such as oligomeric intermediates and fibrils, and their cellular toxicity. Studies have also investigated the effects of cofactors like metals, lipids, other amyloid proteins, and small molecules. Recent research has increasingly emphasized the critical roles of metal ions such as copper (Cu), zinc (Zn), iron (Fe), and manganese (Mn) in amyloid aggregation and toxicity. Alterations in metal ion transport, binding, or redox activity have been linked to the onset and progression of several amyloid-associated diseases. These metal ions can interact directly with amyloidogenic proteins, influencing their structural conformation, aggregation kinetics, and propensity to form toxic oligomers. This review aims to advance our understanding of how the regulation of metal ions within cells and their dysfunction contribute to the accumulation of harmful proteins, which is a key factor in proteinopathies. By examining the interactions between metal ions and key amyloidogenic proteins─including amyloid-β (Aβ), α-synuclein, tau, superoxide dismutase 1 (SOD1), human islet amyloid polypeptide (hIAPP), and insulin─we highlight both common and unique pathways through which metal ions influence protein aggregation. Additionally, this review explores the impact of metal ions on protein clearance mechanisms, such as autophagy and the ubiquitin–proteasome system, as well as emerging theranostic strategies. These include metal chelation therapies, metal-based imaging agents, and multifunctional compounds designed to restore metal balance while preventing aggregation and toxicity. By integrating biochemical, cellular, and therapeutic insights, this review contributes to a deeper understanding of the metallobiology of proteinopathies and supports the development of novel diagnostic and treatment approaches targeting metal–protein interactions.</w:t>
      </w:r>
    </w:p>
    <w:p>
      <w:pPr>
        <w:spacing w:before="120" w:after="120"/>
      </w:pPr>
      <w:r>
        <w:rPr>
          <w:sz w:val="18"/>
        </w:rPr>
        <w:t>——————————————————————————————————————————————————————————————————————</w:t>
      </w:r>
    </w:p>
    <w:p>
      <w:pPr>
        <w:spacing w:before="160" w:after="40" w:line="240" w:lineRule="auto"/>
      </w:pPr>
      <w:r>
        <w:rPr>
          <w:b/>
        </w:rPr>
        <w:t xml:space="preserve">[1021] </w:t>
      </w:r>
      <w:hyperlink r:id="rId1777">
        <w:r>
          <w:rPr>
            <w:color w:val="1155CC"/>
            <w:u w:val="single"/>
          </w:rPr>
          <w:t>海洋：具有边界的关键地球系统调节器</w:t>
        </w:r>
      </w:hyperlink>
    </w:p>
    <w:p>
      <w:pPr>
        <w:spacing w:before="0" w:after="80"/>
      </w:pPr>
      <w:r>
        <w:rPr>
          <w:i/>
          <w:sz w:val="20"/>
        </w:rPr>
        <w:t>EN: The Ocean: A Key Earth System Regulator with Boundaries</w:t>
      </w:r>
    </w:p>
    <w:p>
      <w:pPr>
        <w:spacing w:before="0" w:after="120"/>
      </w:pPr>
      <w:r>
        <w:rPr>
          <w:b/>
        </w:rPr>
        <w:t xml:space="preserve">Source: </w:t>
      </w:r>
      <w:r>
        <w:t>National Science Review Advance Access</w:t>
      </w:r>
      <w:r>
        <w:t xml:space="preserve">    </w:t>
      </w:r>
      <w:r>
        <w:rPr>
          <w:b/>
        </w:rPr>
        <w:t xml:space="preserve">Pub date: </w:t>
      </w:r>
      <w:r>
        <w:t>2026-09-02 00:00:00+00:00</w:t>
      </w:r>
      <w:r>
        <w:t xml:space="preserve">    </w:t>
      </w:r>
      <w:r>
        <w:rPr>
          <w:b/>
        </w:rPr>
        <w:t xml:space="preserve">DOI: </w:t>
      </w:r>
      <w:hyperlink r:id="rId1778">
        <w:r>
          <w:rPr>
            <w:color w:val="1155CC"/>
            <w:u w:val="single"/>
          </w:rPr>
          <w:t>10.1093/nsr/nwag551</w:t>
        </w:r>
      </w:hyperlink>
    </w:p>
    <w:p>
      <w:pPr>
        <w:spacing w:before="0" w:after="120"/>
      </w:pPr>
      <w:r>
        <w:rPr>
          <w:b/>
        </w:rPr>
        <w:t xml:space="preserve">Notes: </w:t>
      </w:r>
      <w:r>
        <w:t>abstract_source=crossref</w:t>
      </w:r>
    </w:p>
    <w:p>
      <w:pPr>
        <w:spacing w:before="0" w:after="80" w:lineRule="auto" w:line="276"/>
      </w:pPr>
      <w:r>
        <w:rPr>
          <w:b/>
        </w:rPr>
        <w:t xml:space="preserve">摘要（ZH）: </w:t>
      </w:r>
      <w:r>
        <w:t>海洋通过调节地球气候并缓冲人为压力的影响，在地球系统中发挥着至关重要的稳定作用——然而在此过程中，海洋自身也正经历着深刻的变化。本视角文章概述了海洋在地球系统中的作用，并讨论了将更多海洋过程纳入行星边界框架的理由。</w:t>
      </w:r>
    </w:p>
    <w:p>
      <w:pPr>
        <w:spacing w:before="0" w:after="200" w:lineRule="auto" w:line="276"/>
      </w:pPr>
      <w:r>
        <w:rPr>
          <w:b/>
        </w:rPr>
        <w:t xml:space="preserve">Abstract (EN): </w:t>
      </w:r>
      <w:r>
        <w:t>By regulating Earth’s climate and buffering the impacts of anthropogenic pressures, the ocean plays a crucial stabilizing role in the Earth system – yet, in doing so, it is itself undergoing profound changes. This Perspective outlines the role of the ocean in the Earth system and discusses arguments for incorporating additional ocean processes into the Planetary Boundaries framework.</w:t>
      </w:r>
    </w:p>
    <w:p>
      <w:pPr>
        <w:spacing w:before="120" w:after="120"/>
      </w:pPr>
      <w:r>
        <w:rPr>
          <w:sz w:val="18"/>
        </w:rPr>
        <w:t>——————————————————————————————————————————————————————————————————————</w:t>
      </w:r>
    </w:p>
    <w:p>
      <w:pPr>
        <w:spacing w:before="160" w:after="40" w:line="240" w:lineRule="auto"/>
      </w:pPr>
      <w:r>
        <w:rPr>
          <w:b/>
        </w:rPr>
        <w:t xml:space="preserve">[1022] </w:t>
      </w:r>
      <w:hyperlink r:id="rId1779">
        <w:r>
          <w:rPr>
            <w:color w:val="1155CC"/>
            <w:u w:val="single"/>
          </w:rPr>
          <w:t>苝二酰亚胺二聚体中螺旋与超分子手性的匹配：对其（手性）光学性质的影响</w:t>
        </w:r>
      </w:hyperlink>
    </w:p>
    <w:p>
      <w:pPr>
        <w:spacing w:before="0" w:after="80"/>
      </w:pPr>
      <w:r>
        <w:rPr>
          <w:i/>
          <w:sz w:val="20"/>
        </w:rPr>
        <w:t>EN: Matching Helical and Supramolecular Chirality in a Perylene Diimide Dimer: Impact on (Chir)Optical Properties</w:t>
      </w:r>
    </w:p>
    <w:p>
      <w:pPr>
        <w:spacing w:before="0" w:after="120"/>
      </w:pPr>
      <w:r>
        <w:rPr>
          <w:b/>
        </w:rPr>
        <w:t xml:space="preserve">Source: </w:t>
      </w:r>
      <w:r>
        <w:t>Journal of the American Chemical Society: Latest Articles (ACS Publications)</w:t>
      </w:r>
      <w:r>
        <w:t xml:space="preserve">    </w:t>
      </w:r>
      <w:r>
        <w:rPr>
          <w:b/>
        </w:rPr>
        <w:t xml:space="preserve">Pub date: </w:t>
      </w:r>
      <w:r>
        <w:t>2026-09-02 00:00:00+00:00</w:t>
      </w:r>
      <w:r>
        <w:t xml:space="preserve">    </w:t>
      </w:r>
      <w:r>
        <w:rPr>
          <w:b/>
        </w:rPr>
        <w:t xml:space="preserve">DOI: </w:t>
      </w:r>
      <w:hyperlink r:id="rId1780">
        <w:r>
          <w:rPr>
            <w:color w:val="1155CC"/>
            <w:u w:val="single"/>
          </w:rPr>
          <w:t>10.1021/jacs.6c11478</w:t>
        </w:r>
      </w:hyperlink>
    </w:p>
    <w:p>
      <w:pPr>
        <w:spacing w:before="0" w:after="120"/>
      </w:pPr>
      <w:r>
        <w:rPr>
          <w:b/>
        </w:rPr>
        <w:t xml:space="preserve">Notes: </w:t>
      </w:r>
      <w:r>
        <w:t>abstract_source=crossref</w:t>
      </w:r>
    </w:p>
    <w:p>
      <w:pPr>
        <w:spacing w:before="0" w:after="80" w:lineRule="auto" w:line="276"/>
      </w:pPr>
      <w:r>
        <w:rPr>
          <w:b/>
        </w:rPr>
        <w:t xml:space="preserve">摘要（ZH）: </w:t>
      </w:r>
      <w:r>
        <w:t>摘要 理解有机材料中不同形式手性之间的相互作用对于调控和优化其（手性）光学性质至关重要。人们对诸如湾位取代苝二酰亚胺（PDIs）等手性生色团的兴趣日益增长，因为它们具有固有螺旋手性（M/P），在更高层次的组织结构中还能产生超分子手性（Ms/Ps）。螺旋手性与超分子手性之间的关系决定了生色团间耦合、旋转强度，进而影响圆二色（CD）和圆偏振发光（CPL）光谱。本文报道了首例螺旋手性与超分子手性相匹配（例如PP–Ps）的PDI二聚体。与理论一致，这种手性协同效应有助于增强CD和具有高CPL亮度的宽带CPL，这些性质对于下一代手性传感器和显示器的光学滤光具有重要价值。</w:t>
      </w:r>
    </w:p>
    <w:p>
      <w:pPr>
        <w:spacing w:before="0" w:after="200" w:lineRule="auto" w:line="276"/>
      </w:pPr>
      <w:r>
        <w:rPr>
          <w:b/>
        </w:rPr>
        <w:t xml:space="preserve">Abstract (EN): </w:t>
      </w:r>
      <w:r>
        <w:t>Understanding the interplay between different forms of chirality in organic materials is critical for tuning and optimizing their (chir)optical properties. There is a growing interest in chiral chromophores such as bay-substituted perylene diimides (PDIs) due to their intrinsic helicity (M/P) which, at a higher level of organization, can also generate supramolecular chirality (Ms/Ps). The relationship between helical and supramolecular chirality governs interchromophore coupling, rotatory strengths, and subsequently circular dichroism (CD) and circularly polarized luminescence (CPL) spectra. Herein, we report the first PDI dimers that match helical and supramolecular chirality, e.g., PP–Ps. In agreement with theory, this chiral synergy contributes to enhanced CD and broadband CPL with high CPL brightness, properties of significant value for optical filtering in next-generation chiral sensors and displays.</w:t>
      </w:r>
    </w:p>
    <w:p>
      <w:pPr>
        <w:spacing w:before="120" w:after="120"/>
      </w:pPr>
      <w:r>
        <w:rPr>
          <w:sz w:val="18"/>
        </w:rPr>
        <w:t>——————————————————————————————————————————————————————————————————————</w:t>
      </w:r>
    </w:p>
    <w:p>
      <w:pPr>
        <w:spacing w:before="160" w:after="40" w:line="240" w:lineRule="auto"/>
      </w:pPr>
      <w:r>
        <w:rPr>
          <w:b/>
        </w:rPr>
        <w:t xml:space="preserve">[1023] </w:t>
      </w:r>
      <w:hyperlink r:id="rId1781">
        <w:r>
          <w:rPr>
            <w:color w:val="1155CC"/>
            <w:u w:val="single"/>
          </w:rPr>
          <w:t>因果驱动的轻量级在线学习器：面向非平稳风速的概念漂移自适应概率预测</w:t>
        </w:r>
      </w:hyperlink>
    </w:p>
    <w:p>
      <w:pPr>
        <w:spacing w:before="0" w:after="80"/>
      </w:pPr>
      <w:r>
        <w:rPr>
          <w:i/>
          <w:sz w:val="20"/>
        </w:rPr>
        <w:t>EN: Causal-driven lightweight online learner: concept drift-adaptive probabilistic forecasting for non-stationary wind speed</w:t>
      </w:r>
    </w:p>
    <w:p>
      <w:pPr>
        <w:spacing w:before="0" w:after="120"/>
      </w:pPr>
      <w:r>
        <w:rPr>
          <w:b/>
        </w:rPr>
        <w:t xml:space="preserve">Source: </w:t>
      </w:r>
      <w:r>
        <w:t>ScienceDirect Publication: Applied Energy</w:t>
      </w:r>
      <w:r>
        <w:t xml:space="preserve">    </w:t>
      </w:r>
      <w:r>
        <w:rPr>
          <w:b/>
        </w:rPr>
        <w:t xml:space="preserve">Pub date: </w:t>
      </w:r>
      <w:r>
        <w:t>2026-09-02 00:00:00+00:00</w:t>
      </w:r>
      <w:r>
        <w:t xml:space="preserve">    </w:t>
      </w:r>
      <w:r>
        <w:rPr>
          <w:b/>
        </w:rPr>
        <w:t xml:space="preserve">DOI: </w:t>
      </w:r>
      <w:hyperlink r:id="rId1782">
        <w:r>
          <w:rPr>
            <w:color w:val="1155CC"/>
            <w:u w:val="single"/>
          </w:rPr>
          <w:t>10.1016/j.apenergy.2026.128754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[1024] </w:t>
      </w:r>
      <w:hyperlink r:id="rId1783">
        <w:r>
          <w:rPr>
            <w:color w:val="1155CC"/>
            <w:u w:val="single"/>
          </w:rPr>
          <w:t>利用共享自动驾驶电动汽车缓解弃风问题的阶段式优化框架</w:t>
        </w:r>
      </w:hyperlink>
    </w:p>
    <w:p>
      <w:pPr>
        <w:spacing w:before="0" w:after="80"/>
      </w:pPr>
      <w:r>
        <w:rPr>
          <w:i/>
          <w:sz w:val="20"/>
        </w:rPr>
        <w:t>EN: A stage-based optimization framework for wind curtailment mitigation using shared autonomous electric vehicles</w:t>
      </w:r>
    </w:p>
    <w:p>
      <w:pPr>
        <w:spacing w:before="0" w:after="120"/>
      </w:pPr>
      <w:r>
        <w:rPr>
          <w:b/>
        </w:rPr>
        <w:t xml:space="preserve">Source: </w:t>
      </w:r>
      <w:r>
        <w:t>ScienceDirect Publication: Applied Energy</w:t>
      </w:r>
      <w:r>
        <w:t xml:space="preserve">    </w:t>
      </w:r>
      <w:r>
        <w:rPr>
          <w:b/>
        </w:rPr>
        <w:t xml:space="preserve">Pub date: </w:t>
      </w:r>
      <w:r>
        <w:t>2026-09-02 00:00:00+00:00</w:t>
      </w:r>
      <w:r>
        <w:t xml:space="preserve">    </w:t>
      </w:r>
      <w:r>
        <w:rPr>
          <w:b/>
        </w:rPr>
        <w:t xml:space="preserve">DOI: </w:t>
      </w:r>
      <w:hyperlink r:id="rId1784">
        <w:r>
          <w:rPr>
            <w:color w:val="1155CC"/>
            <w:u w:val="single"/>
          </w:rPr>
          <w:t>10.1016/j.apenergy.2026.128769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[1025] </w:t>
      </w:r>
      <w:hyperlink r:id="rId1785">
        <w:r>
          <w:rPr>
            <w:color w:val="1155CC"/>
            <w:u w:val="single"/>
          </w:rPr>
          <w:t>自组装共聚物包裹单个内皮细胞诱导内源性ECM沉积与血管再生</w:t>
        </w:r>
      </w:hyperlink>
    </w:p>
    <w:p>
      <w:pPr>
        <w:spacing w:before="0" w:after="80"/>
      </w:pPr>
      <w:r>
        <w:rPr>
          <w:i/>
          <w:sz w:val="20"/>
        </w:rPr>
        <w:t>EN: Self‐Assembling Copolymers Encapsulating Single Endothelial Cells Induce Endogenous ECM Deposition and Vascular Regeneration</w:t>
      </w:r>
    </w:p>
    <w:p>
      <w:pPr>
        <w:spacing w:before="0" w:after="120"/>
      </w:pPr>
      <w:r>
        <w:rPr>
          <w:b/>
        </w:rPr>
        <w:t xml:space="preserve">Source: </w:t>
      </w:r>
      <w:r>
        <w:t>Advanced Materials</w:t>
      </w:r>
      <w:r>
        <w:t xml:space="preserve">    </w:t>
      </w:r>
      <w:r>
        <w:rPr>
          <w:b/>
        </w:rPr>
        <w:t xml:space="preserve">Pub date: </w:t>
      </w:r>
      <w:r>
        <w:t>2026-09-02 00:00:00+00:00</w:t>
      </w:r>
      <w:r>
        <w:t xml:space="preserve">    </w:t>
      </w:r>
      <w:r>
        <w:rPr>
          <w:b/>
        </w:rPr>
        <w:t xml:space="preserve">DOI: </w:t>
      </w:r>
      <w:hyperlink r:id="rId1786">
        <w:r>
          <w:rPr>
            <w:color w:val="1155CC"/>
            <w:u w:val="single"/>
          </w:rPr>
          <w:t>10.1002/adma.74874</w:t>
        </w:r>
      </w:hyperlink>
    </w:p>
    <w:p>
      <w:pPr>
        <w:spacing w:before="0" w:after="120"/>
      </w:pPr>
      <w:r>
        <w:rPr>
          <w:b/>
        </w:rPr>
        <w:t xml:space="preserve">Notes: </w:t>
      </w:r>
      <w:r>
        <w:t>abstract_source=crossref</w:t>
      </w:r>
    </w:p>
    <w:p>
      <w:pPr>
        <w:spacing w:before="0" w:after="80" w:lineRule="auto" w:line="276"/>
      </w:pPr>
      <w:r>
        <w:rPr>
          <w:b/>
        </w:rPr>
        <w:t xml:space="preserve">摘要（ZH）: </w:t>
      </w:r>
      <w:r>
        <w:t>摘要 细胞疗法结合仿生聚合物工程为心血管再生提供了一种有前景的策略。将单个细胞分区包裹在水凝胶中可构建三维（3D）微环境，从而增强细胞疗法的生物响应性和治疗功效。本研究开发了一种非微流控的单细胞封装策略，采用刺激响应性两亲性共聚物明胶-聚癸二酸甘油酯-甲基丙烯酸酯（GPM）。在室温下与细胞共孵育时，GPM 通过配体-受体介导的相互作用自组装形成单细胞囊泡，在每个细胞周围构建纳米级基质，封装效率接近 100%。生物活性基团、动态力学性能和基质金属蛋白酶介导的可降解性使细胞-基质之间产生双向相互作用。因此，封装单个内皮细胞的 GPM 囊泡（GPM/EC 囊泡）的 3D 培养促进了线状细胞外基质（ECM）的沉积，有利于细胞迁移并作为血管样网络形成的导向支架。为增强体内分布和免疫保护，GPM/重编程内皮细胞囊泡被组装成可注射微球，命名为 mGPM-rEC。注射入小鼠后肢缺血模型后，mGPM-rEC 展现出稳健的细胞存活和肌肉内迁移能力，并伴随致密 ECM 的沉积。该 ECM 作为生长因子和信号分子的储库，募集宿主脉管系统促进新血管生成，并提供结构和机械支</w:t>
      </w:r>
    </w:p>
    <w:p>
      <w:pPr>
        <w:spacing w:before="0" w:after="200" w:lineRule="auto" w:line="276"/>
      </w:pPr>
      <w:r>
        <w:rPr>
          <w:b/>
        </w:rPr>
        <w:t xml:space="preserve">Abstract (EN): </w:t>
      </w:r>
      <w:r>
        <w:t>Cell therapy combined with biomimetic polymer engineering offers a promising strategy for cardiovascular regeneration. Compartmentalizing single cells in hydrogels creates three‐dimensional (3D) micro‐niches that enhance bio‐responsiveness and the therapeutic efficacy of cell therapy. A non‐microfluidic strategy for single‐cell encapsulation using a stimuli‐responsive amphiphilic copolymer, gelatin‐poly(glycerol sebacate)‐methacrylate (GPM) is developed. When incubated with cells at room temperature, GPM self‐assembled into single‐cell vesicles via ligand–receptor–mediated interactions, creating a nanoscale matrix around each cell with near 100% encapsulation efficiency. The presence of bioactive moieties, dynamic mechanical properties, and matrix metalloproteinase mediated degradability enabled reciprocal, cell‐matrix interactions. Consequently, 3D cultures of GPM vesicles encapsulating single endothelial cell (GPM/EC vesicles) promoted deposition of thread‐like extracellular matrix (ECM), which facilitated cell migration and served as a guidance scaffold for vessel‐like network formation. For enhanced in vivo distribution and immunoprotection, GPM/reprogrammed EC vesicles were assembled into injectable microspheres, termed mGPM‐rEC. Upon injection into a mouse hindlimb ischemia model, mGPM‐rEC demonstrated robust cell survival and intramuscular migration with the deposition of dense ECM. This ECM functioned as a reservoir for growth factors and signaling molecules, recruiting host vasculature to promote neovascularization and providing structural and mechanical support for implanted cells to form de novo blood vessels.</w:t>
      </w:r>
    </w:p>
    <w:p>
      <w:pPr>
        <w:spacing w:before="120" w:after="120"/>
      </w:pPr>
      <w:r>
        <w:rPr>
          <w:sz w:val="18"/>
        </w:rPr>
        <w:t>——————————————————————————————————————————————————————————————————————</w:t>
      </w:r>
    </w:p>
    <w:p>
      <w:pPr>
        <w:spacing w:before="160" w:after="40" w:line="240" w:lineRule="auto"/>
      </w:pPr>
      <w:r>
        <w:rPr>
          <w:b/>
        </w:rPr>
        <w:t xml:space="preserve">[1026] </w:t>
      </w:r>
      <w:hyperlink r:id="rId1787">
        <w:r>
          <w:rPr>
            <w:color w:val="1155CC"/>
            <w:u w:val="single"/>
          </w:rPr>
          <w:t>Mo掺杂NiFe-LLDH驱动生物质糠醛高效电氧化制马来酸</w:t>
        </w:r>
      </w:hyperlink>
    </w:p>
    <w:p>
      <w:pPr>
        <w:spacing w:before="0" w:after="80"/>
      </w:pPr>
      <w:r>
        <w:rPr>
          <w:i/>
          <w:sz w:val="20"/>
        </w:rPr>
        <w:t>EN: Mo-doped NiFe-LDH drives efficient electrooxidation of biomass-derived furfurals to maleic acid</w:t>
      </w:r>
    </w:p>
    <w:p>
      <w:pPr>
        <w:spacing w:before="0" w:after="120"/>
      </w:pPr>
      <w:r>
        <w:rPr>
          <w:b/>
        </w:rPr>
        <w:t xml:space="preserve">Source: </w:t>
      </w:r>
      <w:r>
        <w:t>National Science Review Advance Access</w:t>
      </w:r>
      <w:r>
        <w:t xml:space="preserve">    </w:t>
      </w:r>
      <w:r>
        <w:rPr>
          <w:b/>
        </w:rPr>
        <w:t xml:space="preserve">Pub date: </w:t>
      </w:r>
      <w:r>
        <w:t>2026-09-02 00:00:00+00:00</w:t>
      </w:r>
      <w:r>
        <w:t xml:space="preserve">    </w:t>
      </w:r>
      <w:r>
        <w:rPr>
          <w:b/>
        </w:rPr>
        <w:t xml:space="preserve">DOI: </w:t>
      </w:r>
      <w:hyperlink r:id="rId1788">
        <w:r>
          <w:rPr>
            <w:color w:val="1155CC"/>
            <w:u w:val="single"/>
          </w:rPr>
          <w:t>10.1093/nsr/nwag559</w:t>
        </w:r>
      </w:hyperlink>
    </w:p>
    <w:p>
      <w:pPr>
        <w:spacing w:before="0" w:after="120"/>
      </w:pPr>
      <w:r>
        <w:rPr>
          <w:b/>
        </w:rPr>
        <w:t xml:space="preserve">Notes: </w:t>
      </w:r>
      <w:r>
        <w:t>abstract_source=rss_oup</w:t>
      </w:r>
    </w:p>
    <w:p>
      <w:pPr>
        <w:spacing w:before="0" w:after="80" w:lineRule="auto" w:line="276"/>
      </w:pPr>
      <w:r>
        <w:rPr>
          <w:b/>
        </w:rPr>
        <w:t xml:space="preserve">摘要（ZH）: </w:t>
      </w:r>
      <w:r>
        <w:t>利用可再生电力将生物质衍生化合物转化为二元羧酸是替代化石基工艺的一种途径，但在温和条件下实现高选择性和高活性仍是一项重大挑战。本文报道了 Mo 掺杂的 NiFe 层状双氢氧化物（NiFeMox</w:t>
      </w:r>
    </w:p>
    <w:p>
      <w:pPr>
        <w:spacing w:before="0" w:after="200" w:lineRule="auto" w:line="276"/>
      </w:pPr>
      <w:r>
        <w:rPr>
          <w:b/>
        </w:rPr>
        <w:t xml:space="preserve">Abstract (EN): </w:t>
      </w:r>
      <w:r>
        <w:t>The renewable electricity-driven conversion of biomass-derived compounds into dicarboxylic acids represents an alternative to fossil-based processes, but achieving high selectivity and activity under mild conditions remains a significant challenge. Herein, we report Mo-doped NiFe-layered double hydroxide (NiFeMox</w:t>
      </w:r>
    </w:p>
    <w:p>
      <w:pPr>
        <w:spacing w:before="120" w:after="120"/>
      </w:pPr>
      <w:r>
        <w:rPr>
          <w:sz w:val="18"/>
        </w:rPr>
        <w:t>——————————————————————————————————————————————————————————————————————</w:t>
      </w:r>
    </w:p>
    <w:p>
      <w:pPr>
        <w:spacing w:before="160" w:after="40" w:line="240" w:lineRule="auto"/>
      </w:pPr>
      <w:r>
        <w:rPr>
          <w:b/>
        </w:rPr>
        <w:t xml:space="preserve">[1027] </w:t>
      </w:r>
      <w:hyperlink r:id="rId1789">
        <w:r>
          <w:rPr>
            <w:color w:val="1155CC"/>
            <w:u w:val="single"/>
          </w:rPr>
          <w:t>WSe₂–NiPS₃磁性范德华异质结构中光谱可编程的自旋极化光电流</w:t>
        </w:r>
      </w:hyperlink>
    </w:p>
    <w:p>
      <w:pPr>
        <w:spacing w:before="0" w:after="80"/>
      </w:pPr>
      <w:r>
        <w:rPr>
          <w:i/>
          <w:sz w:val="20"/>
        </w:rPr>
        <w:t>EN: Spectrally Programmable Spin‐Polarized Photocurrents in WSe 2 –NiPS 3 Magnetic van der Waals Heterostructures</w:t>
      </w:r>
    </w:p>
    <w:p>
      <w:pPr>
        <w:spacing w:before="0" w:after="120"/>
      </w:pPr>
      <w:r>
        <w:rPr>
          <w:b/>
        </w:rPr>
        <w:t xml:space="preserve">Source: </w:t>
      </w:r>
      <w:r>
        <w:t>Advanced Materials</w:t>
      </w:r>
      <w:r>
        <w:t xml:space="preserve">    </w:t>
      </w:r>
      <w:r>
        <w:rPr>
          <w:b/>
        </w:rPr>
        <w:t xml:space="preserve">Pub date: </w:t>
      </w:r>
      <w:r>
        <w:t>2026-09-02 00:00:00+00:00</w:t>
      </w:r>
      <w:r>
        <w:t xml:space="preserve">    </w:t>
      </w:r>
      <w:r>
        <w:rPr>
          <w:b/>
        </w:rPr>
        <w:t xml:space="preserve">DOI: </w:t>
      </w:r>
      <w:hyperlink r:id="rId1790">
        <w:r>
          <w:rPr>
            <w:color w:val="1155CC"/>
            <w:u w:val="single"/>
          </w:rPr>
          <w:t>10.1002/adma.74889</w:t>
        </w:r>
      </w:hyperlink>
    </w:p>
    <w:p>
      <w:pPr>
        <w:spacing w:before="0" w:after="120"/>
      </w:pPr>
      <w:r>
        <w:rPr>
          <w:b/>
        </w:rPr>
        <w:t xml:space="preserve">Notes: </w:t>
      </w:r>
      <w:r>
        <w:t>abstract_source=crossref</w:t>
      </w:r>
    </w:p>
    <w:p>
      <w:pPr>
        <w:spacing w:before="0" w:after="80" w:lineRule="auto" w:line="276"/>
      </w:pPr>
      <w:r>
        <w:rPr>
          <w:b/>
        </w:rPr>
        <w:t xml:space="preserve">摘要（ZH）: </w:t>
      </w:r>
      <w:r>
        <w:t>摘要 在半导体中高效产生和控制自旋极化电流仍是自旋电子学面临的核心挑战，尤其由于阻抗失配以及对磁场或铁磁接触的依赖。在此，我们介绍了一种基于范德华（vdW）异质结构的频谱可编程自旋输运材料平台，该结构将反铁磁半导体 NiPS 3 与 WSe 2 相结合。在 p–n 二极管结构中，圆偏振激发产生显著的光电导共振，其自旋极化在奈尔温度附近达到 80%，并在室温下保持在约 30%。值得注意的是，特定的光谱波段在磁相变过程中保持其极化符号不变，证明了稳健的、受频谱保护的自旋极化电流产生。极化分辨光电流测量揭示了占主导的圆偏振注入电流机制，证实了自旋极化载流子输运。第一性原理计算表明，外加电场可诱导界面杂化和自旋-层锁定，产生局域对称性破缺并增强光吸收，同时保持全局时间反演对称性。这些结果确立了激发的频谱调谐作为自旋输运的新调控手段，使自旋电流产生无需磁场或偏振切换。我们的研究结果表明，磁性 vdW 异质结构可作为光自旋电子学功能和频谱可编程自旋电子器件的多功能平台。</w:t>
      </w:r>
    </w:p>
    <w:p>
      <w:pPr>
        <w:spacing w:before="0" w:after="200" w:lineRule="auto" w:line="276"/>
      </w:pPr>
      <w:r>
        <w:rPr>
          <w:b/>
        </w:rPr>
        <w:t xml:space="preserve">Abstract (EN): </w:t>
      </w:r>
      <w:r>
        <w:t>Efficient generation and control of spin‐polarized currents in semiconductors remain central challenges for spin‐based electronics, particularly due to impedance mismatch and the reliance on magnetic fields or ferromagnetic contacts. Here, we introduce a materials platform for spectrally programmable spin transport based on a van der Waals (vdW) heterostructure combining the antiferromagnetic semiconductor NiPS 3 with WSe 2 . In a p–n diode architecture, circularly polarized excitation produces pronounced photoconductive resonances with spin‐polarization reaching 80% near the Néel temperature and persisting at ≈30% at room temperature. Remarkably, selected spectral bands retain their polarization sign across the magnetic phase transition, evidencing robust, spectrally protected spin‐polarized current generation. Polarization‐resolved photogalvanic measurements reveal a dominant circular injection‐current mechanism, confirming spin‐polarized carrier transport. First‐principles calculations show that an applied electric field induces interfacial hybridization and spin‐layer locking, giving rise to localized symmetry breaking and enhanced optical absorption while preserving global time‐reversal symmetry. These results establish spectral tuning of excitation as a new control knob for spin transport, enabling spin‐current generation without magnetic fields or polarization switching. Our findings position magnetic vdW heterostructures as a versatile platform for opto‐spintronic functionality and spectrally programmable spintronic devices.</w:t>
      </w:r>
    </w:p>
    <w:p>
      <w:pPr>
        <w:spacing w:before="120" w:after="120"/>
      </w:pPr>
      <w:r>
        <w:rPr>
          <w:sz w:val="18"/>
        </w:rPr>
        <w:t>——————————————————————————————————————————————————————————————————————</w:t>
      </w:r>
    </w:p>
    <w:p>
      <w:pPr>
        <w:spacing w:before="160" w:after="40" w:line="240" w:lineRule="auto"/>
      </w:pPr>
      <w:r>
        <w:rPr>
          <w:b/>
        </w:rPr>
        <w:t xml:space="preserve">[1028] </w:t>
      </w:r>
      <w:hyperlink r:id="rId1791">
        <w:r>
          <w:rPr>
            <w:color w:val="1155CC"/>
            <w:u w:val="single"/>
          </w:rPr>
          <w:t>空间协同双限域实现水下稳定室温磷光水凝胶</w:t>
        </w:r>
      </w:hyperlink>
    </w:p>
    <w:p>
      <w:pPr>
        <w:spacing w:before="0" w:after="80"/>
      </w:pPr>
      <w:r>
        <w:rPr>
          <w:i/>
          <w:sz w:val="20"/>
        </w:rPr>
        <w:t>EN: Spatially Synergistic Dual‐Confinement Enables Underwater‐Stable Room‐Temperature Phosphorescent Hydrogels</w:t>
      </w:r>
    </w:p>
    <w:p>
      <w:pPr>
        <w:spacing w:before="0" w:after="120"/>
      </w:pPr>
      <w:r>
        <w:rPr>
          <w:b/>
        </w:rPr>
        <w:t xml:space="preserve">Source: </w:t>
      </w:r>
      <w:r>
        <w:t>Advanced Materials</w:t>
      </w:r>
      <w:r>
        <w:t xml:space="preserve">    </w:t>
      </w:r>
      <w:r>
        <w:rPr>
          <w:b/>
        </w:rPr>
        <w:t xml:space="preserve">Pub date: </w:t>
      </w:r>
      <w:r>
        <w:t>2026-09-02 00:00:00+00:00</w:t>
      </w:r>
      <w:r>
        <w:t xml:space="preserve">    </w:t>
      </w:r>
      <w:r>
        <w:rPr>
          <w:b/>
        </w:rPr>
        <w:t xml:space="preserve">DOI: </w:t>
      </w:r>
      <w:hyperlink r:id="rId1792">
        <w:r>
          <w:rPr>
            <w:color w:val="1155CC"/>
            <w:u w:val="single"/>
          </w:rPr>
          <w:t>10.1002/adma.74914</w:t>
        </w:r>
      </w:hyperlink>
    </w:p>
    <w:p>
      <w:pPr>
        <w:spacing w:before="0" w:after="120"/>
      </w:pPr>
      <w:r>
        <w:rPr>
          <w:b/>
        </w:rPr>
        <w:t xml:space="preserve">Notes: </w:t>
      </w:r>
      <w:r>
        <w:t>abstract_source=crossref</w:t>
      </w:r>
    </w:p>
    <w:p>
      <w:pPr>
        <w:spacing w:before="0" w:after="80" w:lineRule="auto" w:line="276"/>
      </w:pPr>
      <w:r>
        <w:rPr>
          <w:b/>
        </w:rPr>
        <w:t xml:space="preserve">摘要（ZH）: </w:t>
      </w:r>
      <w:r>
        <w:t>摘要 有机室温磷光（RTP）水凝胶作为用于光电子和生物医学应用的柔性发光材料颇具吸引力，但其富水和机械柔软的特性使得难以构建既能抑制非辐射衰变、又能抵抗外部猝灭并保持结构稳健性的微环境。在此，我们报道了一种两亲性聚合物链驱动的原位固化策略，可在 PVA 水凝胶基质内均匀生成刚性发光环氧微球。结合退火–再溶胀诱导的基质致密化，该过程构建了空间协同的双重限域体系，其中内部环氧畴固定磷光体，而外部致密的 PVA 网络有助于阻碍水和氧的侵入。所得水凝胶表现出可调的多色 RTP，超长磷光寿命高达 4342 ms，日光下可见的余辉亮度为 87.9 cd m −2 ，时间门控延迟发射量子产率为 55.49%，拉伸强度超过 10 MPa。值得注意的是，水凝胶在水中浸泡 170 天后仍保持 3172 ms 的磷光寿命。这项工作确立了空间协同双重限域作为联合优化软质发光水凝胶的磷光效率、机械稳健性和长期水下稳定性的有效途径。</w:t>
      </w:r>
    </w:p>
    <w:p>
      <w:pPr>
        <w:spacing w:before="0" w:after="200" w:lineRule="auto" w:line="276"/>
      </w:pPr>
      <w:r>
        <w:rPr>
          <w:b/>
        </w:rPr>
        <w:t xml:space="preserve">Abstract (EN): </w:t>
      </w:r>
      <w:r>
        <w:t>Organic room‐temperature phosphorescent (RTP) hydrogels are attractive as flexible luminescent materials for optoelectronic and biomedical applications, but their water‐rich and mechanically compliant nature makes it difficult to create microenvironments that simultaneously suppress nonradiative decay, resist external quenching, and maintain structural robustness. Here, we report an amphiphilic polymer chain‐driven in situ curing strategy that generates rigid luminescent epoxy microspheres uniformly within a PVA hydrogel matrix. Combined with annealing–reswelling‐induced matrix densification, this process creates a spatially synergistic dual‐confinement system, in which the inner epoxy domains immobilize phosphors while the outer dense PVA network helps impede the ingress of water and oxygen. The resulting hydrogels exhibit tunable multicolor RTP, an ultralong phosphorescence lifetime of up to 4342 ms, a daylight‐visible afterglow luminance of 87.9 cd m −2 , a time‐gated delayed‐emission quantum yield of 55.49%, and a tensile strength exceeding 10 MPa. Notably, the hydrogels retain a phosphorescence lifetime of 3172 ms after 170 days of water immersion. This work identifies spatially synergistic dual confinement as an effective route to jointly optimize phosphorescence efficiency, mechanical robustness, and long‐term underwater stability in soft luminescent hydrogels.</w:t>
      </w:r>
    </w:p>
    <w:p>
      <w:pPr>
        <w:spacing w:before="120" w:after="120"/>
      </w:pPr>
      <w:r>
        <w:rPr>
          <w:sz w:val="18"/>
        </w:rPr>
        <w:t>——————————————————————————————————————————————————————————————————————</w:t>
      </w:r>
    </w:p>
    <w:p>
      <w:pPr>
        <w:spacing w:before="160" w:after="40" w:line="240" w:lineRule="auto"/>
      </w:pPr>
      <w:r>
        <w:rPr>
          <w:b/>
        </w:rPr>
        <w:t xml:space="preserve">[1029] </w:t>
      </w:r>
      <w:hyperlink r:id="rId1793">
        <w:r>
          <w:rPr>
            <w:color w:val="1155CC"/>
            <w:u w:val="single"/>
          </w:rPr>
          <w:t>钛中间隙氧构型的演化与调控——综述</w:t>
        </w:r>
      </w:hyperlink>
    </w:p>
    <w:p>
      <w:pPr>
        <w:spacing w:before="0" w:after="80"/>
      </w:pPr>
      <w:r>
        <w:rPr>
          <w:i/>
          <w:sz w:val="20"/>
        </w:rPr>
        <w:t>EN: Evolution and Manipulation of Interstitial Oxygen Configuration in Titanium—A Review</w:t>
      </w:r>
    </w:p>
    <w:p>
      <w:pPr>
        <w:spacing w:before="0" w:after="120"/>
      </w:pPr>
      <w:r>
        <w:rPr>
          <w:b/>
        </w:rPr>
        <w:t xml:space="preserve">Source: </w:t>
      </w:r>
      <w:r>
        <w:t>Advanced Materials</w:t>
      </w:r>
      <w:r>
        <w:t xml:space="preserve">    </w:t>
      </w:r>
      <w:r>
        <w:rPr>
          <w:b/>
        </w:rPr>
        <w:t xml:space="preserve">Pub date: </w:t>
      </w:r>
      <w:r>
        <w:t>2026-09-02 00:00:00+00:00</w:t>
      </w:r>
      <w:r>
        <w:t xml:space="preserve">    </w:t>
      </w:r>
      <w:r>
        <w:rPr>
          <w:b/>
        </w:rPr>
        <w:t xml:space="preserve">DOI: </w:t>
      </w:r>
      <w:hyperlink r:id="rId1794">
        <w:r>
          <w:rPr>
            <w:color w:val="1155CC"/>
            <w:u w:val="single"/>
          </w:rPr>
          <w:t>10.1002/adma.74602</w:t>
        </w:r>
      </w:hyperlink>
    </w:p>
    <w:p>
      <w:pPr>
        <w:spacing w:before="0" w:after="120"/>
      </w:pPr>
      <w:r>
        <w:rPr>
          <w:b/>
        </w:rPr>
        <w:t xml:space="preserve">Notes: </w:t>
      </w:r>
      <w:r>
        <w:t>abstract_source=crossref</w:t>
      </w:r>
    </w:p>
    <w:p>
      <w:pPr>
        <w:spacing w:before="0" w:after="80" w:lineRule="auto" w:line="276"/>
      </w:pPr>
      <w:r>
        <w:rPr>
          <w:b/>
        </w:rPr>
        <w:t xml:space="preserve">摘要（ZH）: </w:t>
      </w:r>
      <w:r>
        <w:t>摘要 氧一直被视为钛合金中的有害杂质，因为它会引发脆化并损害延展性。然而，近来的研究进展彻底改变了这一认知，揭示出氧是一种强大的微结构设计师，能够调控相变和变形机制，从而实现强度–延展性的协同组合。本综述系统总结了氧在各种相中的关键作用，包括 α、β、α′、α″、ω 和面心立方（FCC）相。进一步分析了潜在的强化机制和氧脆机制，涵盖强化理论模型、界面偏聚行为和氧 Shuffle 机制。这些机制性认识对于理解位错组态演化、孪生行为和相变动力学至关重要。为了利用氧的强化潜力同时减轻其不利影响，提出了潜在的创新策略，包括成分、微结构和工艺设计方法，涵盖从原子尺度到微观尺度。通过整合多尺度计算模拟、先进的原位表征以及控制氧摄取的挑战，这项工作为具有卓越力学性能的下一代含氧钛合金的智能化设计提供了全面框架。</w:t>
      </w:r>
    </w:p>
    <w:p>
      <w:pPr>
        <w:spacing w:before="0" w:after="200" w:lineRule="auto" w:line="276"/>
      </w:pPr>
      <w:r>
        <w:rPr>
          <w:b/>
        </w:rPr>
        <w:t xml:space="preserve">Abstract (EN): </w:t>
      </w:r>
      <w:r>
        <w:t>Oxygen has been regarded as a detrimental impurity in titanium alloys, as it triggers embrittlement and compromises ductility. Recent research advancements, however, have revolutionized this perception, revealing oxygen as a powerful microstructural architect capable of mediating phase transformations and deformation mechanisms to achieve strength–ductility combinations. This review systematically summarizes the pivotal roles of oxygen across various phases, including α, β, α′, α″, ω, and face‐centered cubic (FCC) phases. The underlying strengthening mechanisms and the oxygen embrittlement mechanisms were further analyzed, covering the strengthening theoretical models, interfacial segregation behaviors, and oxygen shuffling mechanism. These mechanistic insights are essential for understanding the evolution of dislocation configurations, twinning behaviors, and phase transformation dynamics. To harness oxygen's strengthening potential while mitigating its adverse effects, potential innovative strategies, including compositional, microstructural, and process design approaches, are proposed, which span from the atom‐scale to the micro‐scale. By integrating multiscale computational simulations, advanced in situ characterization, and the challenge of controlling oxygen uptake, this work provides a comprehensive framework for the intelligent design of next‐generation oxygen‐containing titanium alloys with exceptional mechanical properties.</w:t>
      </w:r>
    </w:p>
    <w:p>
      <w:pPr>
        <w:spacing w:before="120" w:after="120"/>
      </w:pPr>
      <w:r>
        <w:rPr>
          <w:sz w:val="18"/>
        </w:rPr>
        <w:t>——————————————————————————————————————————————————————————————————————</w:t>
      </w:r>
    </w:p>
    <w:p>
      <w:pPr>
        <w:spacing w:before="160" w:after="40" w:line="240" w:lineRule="auto"/>
      </w:pPr>
      <w:r>
        <w:rPr>
          <w:b/>
        </w:rPr>
        <w:t xml:space="preserve">[1030] </w:t>
      </w:r>
      <w:hyperlink r:id="rId1795">
        <w:r>
          <w:rPr>
            <w:color w:val="1155CC"/>
            <w:u w:val="single"/>
          </w:rPr>
          <w:t>用于高性能集成电路的混合维度1D/2D三元CMOS</w:t>
        </w:r>
      </w:hyperlink>
    </w:p>
    <w:p>
      <w:pPr>
        <w:spacing w:before="0" w:after="80"/>
      </w:pPr>
      <w:r>
        <w:rPr>
          <w:i/>
          <w:sz w:val="20"/>
        </w:rPr>
        <w:t>EN: Mixed‐Dimensional 1D/2D Ternary CMOS for High‐Performance Integrated Circuits</w:t>
      </w:r>
    </w:p>
    <w:p>
      <w:pPr>
        <w:spacing w:before="0" w:after="120"/>
      </w:pPr>
      <w:r>
        <w:rPr>
          <w:b/>
        </w:rPr>
        <w:t xml:space="preserve">Source: </w:t>
      </w:r>
      <w:r>
        <w:t>Advanced Materials</w:t>
      </w:r>
      <w:r>
        <w:t xml:space="preserve">    </w:t>
      </w:r>
      <w:r>
        <w:rPr>
          <w:b/>
        </w:rPr>
        <w:t xml:space="preserve">Pub date: </w:t>
      </w:r>
      <w:r>
        <w:t>2026-09-02 00:00:00+00:00</w:t>
      </w:r>
      <w:r>
        <w:t xml:space="preserve">    </w:t>
      </w:r>
      <w:r>
        <w:rPr>
          <w:b/>
        </w:rPr>
        <w:t xml:space="preserve">DOI: </w:t>
      </w:r>
      <w:hyperlink r:id="rId1796">
        <w:r>
          <w:rPr>
            <w:color w:val="1155CC"/>
            <w:u w:val="single"/>
          </w:rPr>
          <w:t>10.1002/adma.74880</w:t>
        </w:r>
      </w:hyperlink>
    </w:p>
    <w:p>
      <w:pPr>
        <w:spacing w:before="0" w:after="120"/>
      </w:pPr>
      <w:r>
        <w:rPr>
          <w:b/>
        </w:rPr>
        <w:t xml:space="preserve">Notes: </w:t>
      </w:r>
      <w:r>
        <w:t>abstract_source=crossref</w:t>
      </w:r>
    </w:p>
    <w:p>
      <w:pPr>
        <w:spacing w:before="0" w:after="80" w:lineRule="auto" w:line="276"/>
      </w:pPr>
      <w:r>
        <w:rPr>
          <w:b/>
        </w:rPr>
        <w:t xml:space="preserve">摘要（ZH）: </w:t>
      </w:r>
      <w:r>
        <w:t>摘要 三值逻辑为突破二值 CMOS 的限制、实现更高的信息密度和更低的功耗提供了途径，但由于缺乏高性能三值晶体管和可扩展的电路技术，其进展一直受限。在此，我们报道了一种混合维度三值 CMOS（T-CMOS）平台，该平台在硅后道工序（backend-of-line）中单片集成定向排列的碳纳米管（CNTs）和单层 MoS 2 。所得 CNT-MoS 2 异质结晶体管在输出电流和负微分跨导方面比以往的三值器件性能提升了一个数量级以上，实现了具有大噪声容限的稳健三电平开关。通过将 CNT p-FET 和 MoS 2 n-FET 共同制备为异质结器件，我们实现了与 CMOS 兼容的标准、正和负三值反相器，以及 NMIN 和 NMAX 逻辑门。还演示了功能完整的三值 2-to-9 译码器，这是迄今为止最复杂的低维三值电路。动态测量和校准仿真证实了 T-CMOS 架构的可扩展性、级联能力和稳健性，为超越二值极限的大规模三值集成电路提供了可行途径。</w:t>
      </w:r>
    </w:p>
    <w:p>
      <w:pPr>
        <w:spacing w:before="0" w:after="200" w:lineRule="auto" w:line="276"/>
      </w:pPr>
      <w:r>
        <w:rPr>
          <w:b/>
        </w:rPr>
        <w:t xml:space="preserve">Abstract (EN): </w:t>
      </w:r>
      <w:r>
        <w:t>Ternary logic offers a path to higher information density and lower power consumption beyond the limits of binary CMOS, yet its progress has been limited by the absence of high‐performance ternary transistors and scalable circuit technologies. Here we report a mixed‐dimensional ternary CMOS (T‐CMOS) platform that monolithically integrates aligned carbon nanotubes (CNTs) and monolayer MoS 2 within silicon backend‐of‐line processes. The resulting CNT‐MoS 2 heterojunction transistors exhibit more than an order‐of‐magnitude performance improvement in output current and negative differential transconductance over previous ternary devices, enabling robust three‐level switching with large noise margins. By co‐fabricating CNT p‐FETs and MoS 2 n‐FETs into heterojunction devices, we realize CMOS‐compatible standard, positive and negative ternary inverters, as well as NMIN and NMAX logic gates. A fully functional ternary 2‐to‐9 decoder, the most complex low‐dimensional ternary circuit to date, is also demonstrated. Dynamic measurements and calibrated simulations confirm the scalability, cascade capability, and robustness of the T‐CMOS architecture, providing a viable pathway toward large‐scale ternary integrated circuits beyond binary limits.</w:t>
      </w:r>
    </w:p>
    <w:p>
      <w:pPr>
        <w:spacing w:before="120" w:after="120"/>
      </w:pPr>
      <w:r>
        <w:rPr>
          <w:sz w:val="18"/>
        </w:rPr>
        <w:t>——————————————————————————————————————————————————————————————————————</w:t>
      </w:r>
    </w:p>
    <w:p>
      <w:pPr>
        <w:spacing w:before="160" w:after="40" w:line="240" w:lineRule="auto"/>
      </w:pPr>
      <w:r>
        <w:rPr>
          <w:b/>
        </w:rPr>
        <w:t xml:space="preserve">[1031] </w:t>
      </w:r>
      <w:hyperlink r:id="rId1797">
        <w:r>
          <w:rPr>
            <w:color w:val="1155CC"/>
            <w:u w:val="single"/>
          </w:rPr>
          <w:t>用于增强能量转换的场调控摩擦纳米发电机</w:t>
        </w:r>
      </w:hyperlink>
    </w:p>
    <w:p>
      <w:pPr>
        <w:spacing w:before="0" w:after="80"/>
      </w:pPr>
      <w:r>
        <w:rPr>
          <w:i/>
          <w:sz w:val="20"/>
        </w:rPr>
        <w:t>EN: Field‐Regulated Triboelectric Nanogenerators for Enhanced Energy Conversion</w:t>
      </w:r>
    </w:p>
    <w:p>
      <w:pPr>
        <w:spacing w:before="0" w:after="120"/>
      </w:pPr>
      <w:r>
        <w:rPr>
          <w:b/>
        </w:rPr>
        <w:t xml:space="preserve">Source: </w:t>
      </w:r>
      <w:r>
        <w:t>Advanced Energy Materials</w:t>
      </w:r>
      <w:r>
        <w:t xml:space="preserve">    </w:t>
      </w:r>
      <w:r>
        <w:rPr>
          <w:b/>
        </w:rPr>
        <w:t xml:space="preserve">Pub date: </w:t>
      </w:r>
      <w:r>
        <w:t>2026-09-02 00:00:00+00:00</w:t>
      </w:r>
      <w:r>
        <w:t xml:space="preserve">    </w:t>
      </w:r>
      <w:r>
        <w:rPr>
          <w:b/>
        </w:rPr>
        <w:t xml:space="preserve">DOI: </w:t>
      </w:r>
      <w:hyperlink r:id="rId1798">
        <w:r>
          <w:rPr>
            <w:color w:val="1155CC"/>
            <w:u w:val="single"/>
          </w:rPr>
          <w:t>10.1002/aenm.71464</w:t>
        </w:r>
      </w:hyperlink>
    </w:p>
    <w:p>
      <w:pPr>
        <w:spacing w:before="0" w:after="120"/>
      </w:pPr>
      <w:r>
        <w:rPr>
          <w:b/>
        </w:rPr>
        <w:t xml:space="preserve">Notes: </w:t>
      </w:r>
      <w:r>
        <w:t>abstract_source=crossref</w:t>
      </w:r>
    </w:p>
    <w:p>
      <w:pPr>
        <w:spacing w:before="0" w:after="80" w:lineRule="auto" w:line="276"/>
      </w:pPr>
      <w:r>
        <w:rPr>
          <w:b/>
        </w:rPr>
        <w:t xml:space="preserve">摘要（ZH）: </w:t>
      </w:r>
      <w:r>
        <w:t>摘要 摩擦电纳米发电机（TENGs）为分布式机械能收集和自供电传感提供了一个多功能平台。然而，其实际应用仍受到表面电荷密度不足、高输出阻抗、阻抗失配以及环境不稳定性的限制，尤其是在低频和低强度机械激励条件下。为了超越纯机械驱动的接触起电，近年来人们将光场、热场、磁场和电场引入TENG系统，以调控界面电荷的产生、分离、传输和保持。与那些聚焦于彼此独立的能量收集单元的简单结构集成或输出叠加的综述不同，本综述聚焦于机理性的外场耦合，并采用场助电荷调制作为分析多场耦合TENGs的统一框架。从麦克斯韦位移电流出发，讨论了传统TENGs的基本工作机理及其决定输出性能的关键参数。随后重点阐述了涉及局域表面等离激元共振、光生载流子、热电效应与热激发效应、磁性纳米材料、磁辅助结构、电荷注入和电荷泵送的耦合机制。最后，讨论了统一理论建模、场响应材料、系统级集成、功率管理和长期可靠性方面当前的挑战与未来的机遇。通过关联外场耦</w:t>
      </w:r>
    </w:p>
    <w:p>
      <w:pPr>
        <w:spacing w:before="0" w:after="200" w:lineRule="auto" w:line="276"/>
      </w:pPr>
      <w:r>
        <w:rPr>
          <w:b/>
        </w:rPr>
        <w:t xml:space="preserve">Abstract (EN): </w:t>
      </w:r>
      <w:r>
        <w:t>Triboelectric nanogenerators (TENGs) provide a versatile platform for distributed mechanical energy harvesting and self‐powered sensing. However, their practical deployment remains constrained by insufficient surface charge density, high output impedance, impedance mismatch, and environmental instability, particularly under low‐frequency and low‐intensity mechanical excitation. To move beyond purely mechanically driven contact electrification, optical, thermal, magnetic, and electric fields have recently been introduced into TENG systems to regulate interfacial charge generation, separation, transport, and retention. Unlike reviews centered on the simple structural integration or output superposition of otherwise independent energy‐harvesting units, this review focuses on mechanistic external‐field coupling and adopts field‐assisted charge modulation as a unifying framework for analyzing multifield‐coupled TENGs. Starting from Maxwell's displacement current, the fundamental working mechanism of conventional TENGs and the key parameters governing their output performance are discussed. Coupling mechanisms involving localized surface plasmon resonance, photon‐generated carriers, pyroelectric effects and heat‐excitation effects, magnetic nanomaterials, magnetically assisted structures, charge injection, and charge pumping are then highlighted. Finally, current challenges and future opportunities in unified theoretical modeling, field‐responsive materials, system‐level integration, power management, and long‐term reliability are discussed. By linking external‐field coupling mechanisms with materials design and device architecture, this review provides guidance for developing high‐output, adaptive, and multifunctional self‐powered systems.</w:t>
      </w:r>
    </w:p>
    <w:p>
      <w:pPr>
        <w:spacing w:before="120" w:after="120"/>
      </w:pPr>
      <w:r>
        <w:rPr>
          <w:sz w:val="18"/>
        </w:rPr>
        <w:t>——————————————————————————————————————————————————————————————————————</w:t>
      </w:r>
    </w:p>
    <w:p>
      <w:pPr>
        <w:spacing w:before="160" w:after="40" w:line="240" w:lineRule="auto"/>
      </w:pPr>
      <w:r>
        <w:rPr>
          <w:b/>
        </w:rPr>
        <w:t xml:space="preserve">[1032] </w:t>
      </w:r>
      <w:hyperlink r:id="rId1799">
        <w:r>
          <w:rPr>
            <w:color w:val="1155CC"/>
            <w:u w:val="single"/>
          </w:rPr>
          <w:t>超越并深入双电层内部：水系电催化中的分子级阳离子效应</w:t>
        </w:r>
      </w:hyperlink>
    </w:p>
    <w:p>
      <w:pPr>
        <w:spacing w:before="0" w:after="80"/>
      </w:pPr>
      <w:r>
        <w:rPr>
          <w:i/>
          <w:sz w:val="20"/>
        </w:rPr>
        <w:t>EN: Beyond and Inside the Electrical Double Layer: Molecular‐Level Cation Effects in Aqueous Electrocatalysis</w:t>
      </w:r>
    </w:p>
    <w:p>
      <w:pPr>
        <w:spacing w:before="0" w:after="120"/>
      </w:pPr>
      <w:r>
        <w:rPr>
          <w:b/>
        </w:rPr>
        <w:t xml:space="preserve">Source: </w:t>
      </w:r>
      <w:r>
        <w:t>Advanced Materials</w:t>
      </w:r>
      <w:r>
        <w:t xml:space="preserve">    </w:t>
      </w:r>
      <w:r>
        <w:rPr>
          <w:b/>
        </w:rPr>
        <w:t xml:space="preserve">Pub date: </w:t>
      </w:r>
      <w:r>
        <w:t>2026-09-02 00:00:00+00:00</w:t>
      </w:r>
      <w:r>
        <w:t xml:space="preserve">    </w:t>
      </w:r>
      <w:r>
        <w:rPr>
          <w:b/>
        </w:rPr>
        <w:t xml:space="preserve">DOI: </w:t>
      </w:r>
      <w:hyperlink r:id="rId1800">
        <w:r>
          <w:rPr>
            <w:color w:val="1155CC"/>
            <w:u w:val="single"/>
          </w:rPr>
          <w:t>10.1002/adma.74864</w:t>
        </w:r>
      </w:hyperlink>
    </w:p>
    <w:p>
      <w:pPr>
        <w:spacing w:before="0" w:after="120"/>
      </w:pPr>
      <w:r>
        <w:rPr>
          <w:b/>
        </w:rPr>
        <w:t xml:space="preserve">Notes: </w:t>
      </w:r>
      <w:r>
        <w:t>abstract_source=crossref</w:t>
      </w:r>
    </w:p>
    <w:p>
      <w:pPr>
        <w:spacing w:before="0" w:after="80" w:lineRule="auto" w:line="276"/>
      </w:pPr>
      <w:r>
        <w:rPr>
          <w:b/>
        </w:rPr>
        <w:t xml:space="preserve">摘要（ZH）: </w:t>
      </w:r>
      <w:r>
        <w:t>摘要 电催化反应发生在动态的、离子调控的电化学界面上，而非静态的电极边界。在析氢/氢氧化和CO 2还原等电催化过程中，其工作电位低于电极的零电荷电位，此时电解质阳离子并非仅仅是旁观者，而是决定反应行为的活性参与者。它们的尺寸、电荷密度、溶剂化结构以及其在双电层（EDL）内的空间排布决定了界面能量学、过渡态以及反应活性与选择性，从而产生显著的、依赖于体系的阳离子效应。此外，阳离子积累会动态改变界面电场、重组水结构并改变局部pH，从而以高度非线性的方式耦合静电学、溶剂化和传质过程。这些相互交织的效应使机理解释变得复杂，并导致实验与理论研究之间持续存在的争论和看似矛盾的结论。在此，我们综述了当前对电化学界面阳离子效应的认识，重点介绍了原位和工况（operando）研究所揭示的挑战经典EDL模型的新兴界面分子结构，指出了关键的未决争论，并展望了迈向阳离子-界面-反应性关系的定量、分子水平描述的路径。</w:t>
      </w:r>
    </w:p>
    <w:p>
      <w:pPr>
        <w:spacing w:before="0" w:after="200" w:lineRule="auto" w:line="276"/>
      </w:pPr>
      <w:r>
        <w:rPr>
          <w:b/>
        </w:rPr>
        <w:t xml:space="preserve">Abstract (EN): </w:t>
      </w:r>
      <w:r>
        <w:t>Electrocatalytic reactions occur at a dynamic, ion‐regulated electrochemical interface, rather than at a static electrode boundary. In electrocatalytic processes such as hydrogen evolution/oxidation and CO 2 reduction, which operate at potentials below the electrode's potential of zero charge, electrolyte cations are not mere spectators but active participants that shape reaction behavior. Their size, charge density, solvation structure, and spatial organization within the electric double layer (EDL) govern interfacial energetics, transition states, and reaction activity and selectivity, giving rise to pronounced, system‐dependent cation effects. Furthermore, cation accumulation dynamically modifies the interfacial electric field, reorganizes water structure, and alters local pH, thereby coupling electrostatics, solvation, and mass transport in a highly nonlinear manner. These intertwined effects complicate mechanistic interpretation and have contributed to ongoing debates and seemingly contradictory conclusions across experimental and theoretical studies. Here, we synthesize the current understanding of cation effects at electrochemical interfaces, highlight emerging interfacial molecular structures revealed by in situ and operando studies that challenge classical EDL models, identify key unresolved debates, and outline pathways toward a quantitative, molecular‐level description of cation–interface–reactivity relationships.</w:t>
      </w:r>
    </w:p>
    <w:p>
      <w:pPr>
        <w:spacing w:before="120" w:after="120"/>
      </w:pPr>
      <w:r>
        <w:rPr>
          <w:sz w:val="18"/>
        </w:rPr>
        <w:t>——————————————————————————————————————————————————————————————————————</w:t>
      </w:r>
    </w:p>
    <w:p>
      <w:pPr>
        <w:spacing w:before="160" w:after="40" w:line="240" w:lineRule="auto"/>
      </w:pPr>
      <w:r>
        <w:rPr>
          <w:b/>
        </w:rPr>
        <w:t xml:space="preserve">[1033] </w:t>
      </w:r>
      <w:hyperlink r:id="rId1801">
        <w:r>
          <w:rPr>
            <w:color w:val="1155CC"/>
            <w:u w:val="single"/>
          </w:rPr>
          <w:t>通过定向非共价相互作用构建取向有序的有机金属链</w:t>
        </w:r>
      </w:hyperlink>
    </w:p>
    <w:p>
      <w:pPr>
        <w:spacing w:before="0" w:after="80"/>
      </w:pPr>
      <w:r>
        <w:rPr>
          <w:i/>
          <w:sz w:val="20"/>
        </w:rPr>
        <w:t>EN: Construction of Orientationally Ordered Organometallic Chains by Directional Noncovalent Interactions</w:t>
      </w:r>
    </w:p>
    <w:p>
      <w:pPr>
        <w:spacing w:before="0" w:after="120"/>
      </w:pPr>
      <w:r>
        <w:rPr>
          <w:b/>
        </w:rPr>
        <w:t xml:space="preserve">Source: </w:t>
      </w:r>
      <w:r>
        <w:t>Journal of the American Chemical Society: Latest Articles (ACS Publications)</w:t>
      </w:r>
      <w:r>
        <w:t xml:space="preserve">    </w:t>
      </w:r>
      <w:r>
        <w:rPr>
          <w:b/>
        </w:rPr>
        <w:t xml:space="preserve">Pub date: </w:t>
      </w:r>
      <w:r>
        <w:t>2026-09-02 00:00:00+00:00</w:t>
      </w:r>
      <w:r>
        <w:t xml:space="preserve">    </w:t>
      </w:r>
      <w:r>
        <w:rPr>
          <w:b/>
        </w:rPr>
        <w:t xml:space="preserve">DOI: </w:t>
      </w:r>
      <w:hyperlink r:id="rId1802">
        <w:r>
          <w:rPr>
            <w:color w:val="1155CC"/>
            <w:u w:val="single"/>
          </w:rPr>
          <w:t>10.1021/jacs.5c21999</w:t>
        </w:r>
      </w:hyperlink>
    </w:p>
    <w:p>
      <w:pPr>
        <w:spacing w:before="0" w:after="120"/>
      </w:pPr>
      <w:r>
        <w:rPr>
          <w:b/>
        </w:rPr>
        <w:t xml:space="preserve">Notes: </w:t>
      </w:r>
      <w:r>
        <w:t>abstract_source=crossref</w:t>
      </w:r>
    </w:p>
    <w:p>
      <w:pPr>
        <w:spacing w:before="0" w:after="80" w:lineRule="auto" w:line="276"/>
      </w:pPr>
      <w:r>
        <w:rPr>
          <w:b/>
        </w:rPr>
        <w:t xml:space="preserve">摘要（ZH）: </w:t>
      </w:r>
      <w:r>
        <w:t>摘要 在表面合成过程中实现取向控制仍是一项重大挑战，因为传统方法主要依赖空间位阻效应或基底模板化，往往缺乏化学通用性。本文证明，方向性非共价相互作用可通过分子识别调控分级反应路径，从而实现取向有序表面纳米结构的形成。以Ag(111)上的4,7-二溴苯并[c][1,2,5]噻二唑（2Br-BTD）为模型体系，我们结合扫描隧道显微镜、键分辨非接触原子力显微镜和密度泛函理论计算，揭示了一条顺序反应路径，涉及自组装单体、顺式有机金属二聚体、反式共价二聚体，并最终形成交替有机金属链。研究发现，协同的S···N硫族键在整个过程中关键性地且选择性地稳定顺式有机金属节点，驱动初始二聚体的形成和随后的有序链合成。采用4,7-二溴苯并[c][1,2,5]硒二唑（2Br-BSe）和5,8-二溴喹喔啉（2Br-Qx）进行的化学匹配对照实验进一步证明，分别可通过增强的Se···N硫族键和C–H···N氢键实现类似的取向选择性。相比之下，缺乏此类方向性相互作用基元的无杂原子类似物1,4-二溴萘（2Br-Nap）则未表现出这种选择性。这些结果确立了方向性非共价相互作用作为引导表面反应的有效手段，</w:t>
      </w:r>
    </w:p>
    <w:p>
      <w:pPr>
        <w:spacing w:before="0" w:after="200" w:lineRule="auto" w:line="276"/>
      </w:pPr>
      <w:r>
        <w:rPr>
          <w:b/>
        </w:rPr>
        <w:t xml:space="preserve">Abstract (EN): </w:t>
      </w:r>
      <w:r>
        <w:t>Achieving orientational control during on-surface synthesis remains a major challenge because conventional approaches mainly rely on steric effects or substrate templating, which often lack chemical versatility. Here, we demonstrate that directional noncovalent interactions can regulate hierarchical reaction pathways through molecular recognition, enabling the formation of orientationally ordered surface nanostructures. Using 4,7-dibromobenzo[c][1,2,5]thiadiazole (2Br-BTD) on Ag(111) as a model system, we combine scanning tunneling microscopy, bond-resolved noncontact atomic force microscopy, and density functional theory calculations to reveal a sequential reaction pathway involving self-assembled monomers, cis-organometallic dimers, trans-covalent dimers, and ultimately alternating organometallic chains. Cooperative S···N chalcogen bonding is found to critically and selectively stabilize the cis-organometallic nodes throughout this process, driving both initial dimer formation and subsequent ordered chain synthesis. Chemically matched control experiments with 4,7-dibromobenzo[c][1,2,5]selenadiazole (2Br-BSe) and 5,8-dibromoquinoxaline (2Br-Qx) further demonstrate that analogous orientational selectivity can be achieved through strengthened Se···N chalcogen bonding and C–H···N hydrogen bonding, respectively. By contrast, the heteroatom-free analogue 1,4-dibromonaphthalene (2Br-Nap), which lacks such directional interaction motifs, exhibits no such selectivity. These results establish directional noncovalent interactions as an effective means of steering surface reaction pathways, offering new insights into the rational design of orientationally ordered low-dimensional nanostructures.</w:t>
      </w:r>
    </w:p>
    <w:p>
      <w:pPr>
        <w:spacing w:before="120" w:after="120"/>
      </w:pPr>
      <w:r>
        <w:rPr>
          <w:sz w:val="18"/>
        </w:rPr>
        <w:t>——————————————————————————————————————————————————————————————————————</w:t>
      </w:r>
    </w:p>
    <w:p>
      <w:pPr>
        <w:spacing w:before="160" w:after="40" w:line="240" w:lineRule="auto"/>
      </w:pPr>
      <w:r>
        <w:rPr>
          <w:b/>
        </w:rPr>
        <w:t xml:space="preserve">[1034] </w:t>
      </w:r>
      <w:hyperlink r:id="rId1803">
        <w:r>
          <w:rPr>
            <w:color w:val="1155CC"/>
            <w:u w:val="single"/>
          </w:rPr>
          <w:t>分子单层精度的可编程有机准超晶格用于增强光电导响应</w:t>
        </w:r>
      </w:hyperlink>
    </w:p>
    <w:p>
      <w:pPr>
        <w:spacing w:before="0" w:after="80"/>
      </w:pPr>
      <w:r>
        <w:rPr>
          <w:i/>
          <w:sz w:val="20"/>
        </w:rPr>
        <w:t>EN: Programmable Organic Quasi-Superlattices with Molecular-Monolayer Precision for Enhanced Photoconductive Response</w:t>
      </w:r>
    </w:p>
    <w:p>
      <w:pPr>
        <w:spacing w:before="0" w:after="120"/>
      </w:pPr>
      <w:r>
        <w:rPr>
          <w:b/>
        </w:rPr>
        <w:t xml:space="preserve">Source: </w:t>
      </w:r>
      <w:r>
        <w:t>Journal of the American Chemical Society: Latest Articles (ACS Publications)</w:t>
      </w:r>
      <w:r>
        <w:t xml:space="preserve">    </w:t>
      </w:r>
      <w:r>
        <w:rPr>
          <w:b/>
        </w:rPr>
        <w:t xml:space="preserve">Pub date: </w:t>
      </w:r>
      <w:r>
        <w:t>2026-09-02 00:00:00+00:00</w:t>
      </w:r>
      <w:r>
        <w:t xml:space="preserve">    </w:t>
      </w:r>
      <w:r>
        <w:rPr>
          <w:b/>
        </w:rPr>
        <w:t xml:space="preserve">DOI: </w:t>
      </w:r>
      <w:hyperlink r:id="rId1804">
        <w:r>
          <w:rPr>
            <w:color w:val="1155CC"/>
            <w:u w:val="single"/>
          </w:rPr>
          <w:t>10.1021/jacs.6c10274</w:t>
        </w:r>
      </w:hyperlink>
    </w:p>
    <w:p>
      <w:pPr>
        <w:spacing w:before="0" w:after="120"/>
      </w:pPr>
      <w:r>
        <w:rPr>
          <w:b/>
        </w:rPr>
        <w:t xml:space="preserve">Notes: </w:t>
      </w:r>
      <w:r>
        <w:t>abstract_source=crossref</w:t>
      </w:r>
    </w:p>
    <w:p>
      <w:pPr>
        <w:spacing w:before="0" w:after="80" w:lineRule="auto" w:line="276"/>
      </w:pPr>
      <w:r>
        <w:rPr>
          <w:b/>
        </w:rPr>
        <w:t xml:space="preserve">摘要（ZH）: </w:t>
      </w:r>
      <w:r>
        <w:t>摘要 以单层精度构筑范德华有机异质结构为调控分子体系中的电荷输运和光–物质相互作用提供了一条强有力的途径。然而，由于普遍存在的层间互扩散以及缺乏普遍适用的高精度沉积策略，确定性的多层组装仍具挑战。本文通过将气–水界面单层组装与顺序转移堆叠相结合，引入了可编程的有机准超晶格，使聚合物半导体能够以分子层精度组织成周期性结构。通过系统调节周期数、周期内组分以及隧穿间隔层的厚度，这些准超晶格表现出显著增强的光电导性能，在白光照射下信噪比高达2 × 106，同时暗电流密度低至10–10–10–11 A cm–2量级。针对近红外检测（900 nm）优化的超晶格在超低光照（21 μW cm–2）下实现了2.06 × 1012 Jones的探测率和小于0.2 s的光响应时间。这些发现确立了可编程分子组织作为一种通用策略，可通过有机多层结构的可控组装从庞大的化学空间中获取新兴光电功能。</w:t>
      </w:r>
    </w:p>
    <w:p>
      <w:pPr>
        <w:spacing w:before="0" w:after="200" w:lineRule="auto" w:line="276"/>
      </w:pPr>
      <w:r>
        <w:rPr>
          <w:b/>
        </w:rPr>
        <w:t xml:space="preserve">Abstract (EN): </w:t>
      </w:r>
      <w:r>
        <w:t>Engineering van der Waals organic heterostructures with monolayer precision offers a powerful route to modulate charge transport and light–matter interactions in molecular systems. However, deterministic multilayer assembly remains challenging due to pervasive interlayer interdiffusion and the lack of generally applicable high-precision deposition strategies. Here, we introduce programmable organic quasi-superlattices enabled by the integration of air–water interfacial monolayer assembly with sequential transfer stacking, allowing polymeric semiconductors to be organized into periodic architectures with molecular-layer precision. By systematically tuning the number of periods, the intraperiod composition, and the thickness of the tunneling spacers, these quasi-superlattices exhibit markedly enhanced photoconductive performance, achieving signal-to-noise ratios of up to 2 × 106 under white-light illumination together with an ultralow dark current density on the order of 10–10–10–11 A cm–2. Superlattices optimized for near-infrared detection (900 nm) achieve a detectivity of 2.06 × 1012 Jones and a photoresponse time of less than 0.2 s under ultralow illumination (21 μW cm–2). These findings establish programmable molecular organization as a general strategy for accessing emergent optoelectronic functionality from vast chemical spaces via the controlled assembly of organic multilayer architectures.</w:t>
      </w:r>
    </w:p>
    <w:p>
      <w:pPr>
        <w:spacing w:before="120" w:after="120"/>
      </w:pPr>
      <w:r>
        <w:rPr>
          <w:sz w:val="18"/>
        </w:rPr>
        <w:t>——————————————————————————————————————————————————————————————————————</w:t>
      </w:r>
    </w:p>
    <w:p>
      <w:pPr>
        <w:spacing w:before="160" w:after="40" w:line="240" w:lineRule="auto"/>
      </w:pPr>
      <w:r>
        <w:rPr>
          <w:b/>
        </w:rPr>
        <w:t xml:space="preserve">[1035] </w:t>
      </w:r>
      <w:hyperlink r:id="rId1805">
        <w:r>
          <w:rPr>
            <w:color w:val="1155CC"/>
            <w:u w:val="single"/>
          </w:rPr>
          <w:t>超分子组装体中的级联能量转移实现放大且光开关的圆偏振发光</w:t>
        </w:r>
      </w:hyperlink>
    </w:p>
    <w:p>
      <w:pPr>
        <w:spacing w:before="0" w:after="80"/>
      </w:pPr>
      <w:r>
        <w:rPr>
          <w:i/>
          <w:sz w:val="20"/>
        </w:rPr>
        <w:t>EN: Cascaded Energy Transfer in Supramolecular Assemblies Enables Amplified and Photoswitchable Circularly Polarized Luminescence</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06">
        <w:r>
          <w:rPr>
            <w:color w:val="1155CC"/>
            <w:u w:val="single"/>
          </w:rPr>
          <w:t>10.1002/anie.1803367</w:t>
        </w:r>
      </w:hyperlink>
    </w:p>
    <w:p>
      <w:pPr>
        <w:spacing w:before="0" w:after="120"/>
      </w:pPr>
      <w:r>
        <w:rPr>
          <w:b/>
        </w:rPr>
        <w:t xml:space="preserve">Notes: </w:t>
      </w:r>
      <w:r>
        <w:t>abstract_source=crossref</w:t>
      </w:r>
    </w:p>
    <w:p>
      <w:pPr>
        <w:spacing w:before="0" w:after="80" w:lineRule="auto" w:line="276"/>
      </w:pPr>
      <w:r>
        <w:rPr>
          <w:b/>
        </w:rPr>
        <w:t xml:space="preserve">摘要（ZH）: </w:t>
      </w:r>
      <w:r>
        <w:t>摘要 光响应圆偏振发光（CPL）材料在光学信息处理和防伪领域前景广阔。然而，在单一体系中将高发光不对称因子（g lum）与高对比度可逆开关联用仍是一项重大挑战。在本研究中，我们提出了一种将分层次手性放大与光门控级联 Förster 共振能量转移（FRET）相结合的超分子 CPL 纳米平台。TPE 功能化手性柱[5]芳烃（TPEP5）与聚合物客体之间的选择性主客体识别形成具有放大手性的发射性超分子聚合物。与无中继染料 4,7-二(2-噻吩基)-苯并[2,1,3]噻二唑（DBT）的受限共组装实现了从 TPEP5 到 DBT 的高效 FRET，并伴随手性转移，产生 |g lum| 值提升至 10 − 2 的红移 CPL。最终，二芳基乙烯（DAE）被引入作为最终的光响应“门控”：紫外光照射诱导 DAE 环化，激活 FRET 通路并猝灭 CPL；随后的可见光照射则逆转该过程，完全恢复发射和 CPL 活性。这种正交设计在多次开关循环中保持了手性支架的结构完整性，实现了稳健、抗疲劳且保持架构的 CPL 开/关控制。因此，我们的策略为具有内置安全功能的智能手性光子材料提供了可推广的蓝图。</w:t>
      </w:r>
    </w:p>
    <w:p>
      <w:pPr>
        <w:spacing w:before="0" w:after="200" w:lineRule="auto" w:line="276"/>
      </w:pPr>
      <w:r>
        <w:rPr>
          <w:b/>
        </w:rPr>
        <w:t xml:space="preserve">Abstract (EN): </w:t>
      </w:r>
      <w:r>
        <w:t>Photoresponsive circularly polarized luminescence (CPL) materials are promising for optical information processing and anti‐counterfeiting. However, integrating high luminescence dissymmetry factor ( g lum ) with high‐contrast reversible switching within a single system remains a significant challenge. In this study, we present a supramolecular CPL nanoplatform that combines hierarchical chirality amplification with light‐gated cascaded Förster resonance energy transfer (FRET). Selective host–guest recognition between a TPE‐functionalized chiral pillar[5]arene ( TPEP5 ) and a polymeric guest forms emissive supramolecular polymers with amplified chirality. Confined co‐assembly with the achiral relay dye 4,7‐di(2‐thienyl)‐benzo[2,1,3]thiadiazole (DBT) enables efficient FRET from TPEP5 to DBT, accompanied by concomitant chirality transfer, generating red‐shifted CPL with enhanced | g lum | values of 10 − 2 . Eventually, diarylethene (DAE) is incorporated as a final photoresponsive “gatekeeper”: UV irradiation induces DAE ring closure, activating FRET pathway and quenching CPL; subsequent visible‐light irradiation reverses the process, fully restoring emission and CPL activity. This orthogonal design preserves the structural integrity of the chiral scaffold over repeated switching cycles, achieving robust, fatigue‐resistant, and architecture‐preserving CPL on/off control. Therefore, our strategy provides a generalizable blueprint for intelligent chiral photonic materials with built‐in security functionality.</w:t>
      </w:r>
    </w:p>
    <w:p>
      <w:pPr>
        <w:spacing w:before="120" w:after="120"/>
      </w:pPr>
      <w:r>
        <w:rPr>
          <w:sz w:val="18"/>
        </w:rPr>
        <w:t>——————————————————————————————————————————————————————————————————————</w:t>
      </w:r>
    </w:p>
    <w:p>
      <w:pPr>
        <w:spacing w:before="160" w:after="40" w:line="240" w:lineRule="auto"/>
      </w:pPr>
      <w:r>
        <w:rPr>
          <w:b/>
        </w:rPr>
        <w:t xml:space="preserve">[1036] </w:t>
      </w:r>
      <w:hyperlink r:id="rId1807">
        <w:r>
          <w:rPr>
            <w:color w:val="1155CC"/>
            <w:u w:val="single"/>
          </w:rPr>
          <w:t>有机可激活余辉成像探针：从分子设计到生物医学转化</w:t>
        </w:r>
      </w:hyperlink>
    </w:p>
    <w:p>
      <w:pPr>
        <w:spacing w:before="0" w:after="80"/>
      </w:pPr>
      <w:r>
        <w:rPr>
          <w:i/>
          <w:sz w:val="20"/>
        </w:rPr>
        <w:t>EN: Organic Activatable Afterglow Imaging Probes: From Molecular Design to Biomedical Translation</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08">
        <w:r>
          <w:rPr>
            <w:color w:val="1155CC"/>
            <w:u w:val="single"/>
          </w:rPr>
          <w:t>10.1002/anie.1799326</w:t>
        </w:r>
      </w:hyperlink>
    </w:p>
    <w:p>
      <w:pPr>
        <w:spacing w:before="0" w:after="120"/>
      </w:pPr>
      <w:r>
        <w:rPr>
          <w:b/>
        </w:rPr>
        <w:t xml:space="preserve">Notes: </w:t>
      </w:r>
      <w:r>
        <w:t>abstract_source=crossref</w:t>
      </w:r>
    </w:p>
    <w:p>
      <w:pPr>
        <w:spacing w:before="0" w:after="80" w:lineRule="auto" w:line="276"/>
      </w:pPr>
      <w:r>
        <w:rPr>
          <w:b/>
        </w:rPr>
        <w:t xml:space="preserve">摘要（ZH）: </w:t>
      </w:r>
      <w:r>
        <w:t>摘要 有机可激活余辉探针已发展为一类独特的光学成像工具。它们使信号发射与外部照射在时间上分离，从而实现高对比度成像。我们综述了有机可激活余辉探针设计的最新进展，特别关注其激发机制、性能调控和激活策略，包括能量转移、分子内调控和单线态氧（1 O 2）介导的过程。文中还讨论了各种外部能量源（包括光、超声和 X 射线）在诱导余辉发射中的作用。我们进一步重点介绍了用于检测生物活性小分子、酶和微环境信号的代表性探针设计，并探讨了这些系统如何将分子激活事件转化为余辉信号。本综述强调生物医学应用，特别是肿瘤相关成像、免疫细胞动态可视化以及肝脏和心血管系统的疾病相关成像。文中阐述了这些可激活余辉探针在手术导航和治疗监测中的作用。讨论还涉及该领域尚存的挑战，包括如何调控探针性能、在复杂生物环境中提高选择性，以及在确保转化安全性的同时增强深层组织成像能力。</w:t>
      </w:r>
    </w:p>
    <w:p>
      <w:pPr>
        <w:spacing w:before="0" w:after="200" w:lineRule="auto" w:line="276"/>
      </w:pPr>
      <w:r>
        <w:rPr>
          <w:b/>
        </w:rPr>
        <w:t xml:space="preserve">Abstract (EN): </w:t>
      </w:r>
      <w:r>
        <w:t>Organic activatable afterglow probes have developed into a distinct class of optical imaging tools. They allow for a temporal separation between signal emission and external irradiation, thereby enabling high‐contrast imaging. We have summarized the latest advances in the design of organic activated afterglow probes, with a particular focus on their excitation mechanisms, performance modulation, and activation strategies, including energy transfer, intramolecular regulation, and singlet oxygen( 1 O 2 )‐mediated processes. The roles of various external energy sources, including light, ultrasound, and X‐rays, in inducing afterglow emission are also discussed. We further highlight representative probe designs for detecting bioactive small molecules, enzymes, and microenvironment signals, and explore how these systems translate molecular activation events into afterglow signals. This review emphasizes biomedical applications, particularly tumor‐related imaging, visualization of immune cell dynamics, and disease‐related imaging of the liver and cardiovascular system. The role of these activated afterglow probes in surgical navigation and treatment monitoring is elucidated. The discussion also addresses remaining challenges in this field, including how to modulate probe performance, improve selectivity in complex biological environments, and enhance deep tissue imaging capabilities while ensuring translational safety.</w:t>
      </w:r>
    </w:p>
    <w:p>
      <w:pPr>
        <w:spacing w:before="120" w:after="120"/>
      </w:pPr>
      <w:r>
        <w:rPr>
          <w:sz w:val="18"/>
        </w:rPr>
        <w:t>——————————————————————————————————————————————————————————————————————</w:t>
      </w:r>
    </w:p>
    <w:p>
      <w:pPr>
        <w:spacing w:before="160" w:after="40" w:line="240" w:lineRule="auto"/>
      </w:pPr>
      <w:r>
        <w:rPr>
          <w:b/>
        </w:rPr>
        <w:t xml:space="preserve">[1037] </w:t>
      </w:r>
      <w:hyperlink r:id="rId1809">
        <w:r>
          <w:rPr>
            <w:color w:val="1155CC"/>
            <w:u w:val="single"/>
          </w:rPr>
          <w:t>利用人工智能推动可持续能源转型：技术、应用与未来前景的系统性综述</w:t>
        </w:r>
      </w:hyperlink>
    </w:p>
    <w:p>
      <w:pPr>
        <w:spacing w:before="0" w:after="80"/>
      </w:pPr>
      <w:r>
        <w:rPr>
          <w:i/>
          <w:sz w:val="20"/>
        </w:rPr>
        <w:t>EN: Leveraging AI for the sustainable energy transition: a systematic review of techniques, applications, and future prospects</w:t>
      </w:r>
    </w:p>
    <w:p>
      <w:pPr>
        <w:spacing w:before="0" w:after="120"/>
      </w:pPr>
      <w:r>
        <w:rPr>
          <w:b/>
        </w:rPr>
        <w:t xml:space="preserve">Source: </w:t>
      </w:r>
      <w:r>
        <w:t>ScienceDirect Publication: Applied Energy</w:t>
      </w:r>
      <w:r>
        <w:t xml:space="preserve">    </w:t>
      </w:r>
      <w:r>
        <w:rPr>
          <w:b/>
        </w:rPr>
        <w:t xml:space="preserve">Pub date: </w:t>
      </w:r>
      <w:r>
        <w:t>2026-09-02 00:00:00+00:00</w:t>
      </w:r>
      <w:r>
        <w:t xml:space="preserve">    </w:t>
      </w:r>
      <w:r>
        <w:rPr>
          <w:b/>
        </w:rPr>
        <w:t xml:space="preserve">DOI: </w:t>
      </w:r>
      <w:hyperlink r:id="rId1810">
        <w:r>
          <w:rPr>
            <w:color w:val="1155CC"/>
            <w:u w:val="single"/>
          </w:rPr>
          <w:t>10.1016/j.apenergy.2026.128756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[1038] </w:t>
      </w:r>
      <w:hyperlink r:id="rId1811">
        <w:r>
          <w:rPr>
            <w:color w:val="1155CC"/>
            <w:u w:val="single"/>
          </w:rPr>
          <w:t>地理邻近性约束下能源社区形成的法规感知组合优化</w:t>
        </w:r>
      </w:hyperlink>
    </w:p>
    <w:p>
      <w:pPr>
        <w:spacing w:before="0" w:after="80"/>
      </w:pPr>
      <w:r>
        <w:rPr>
          <w:i/>
          <w:sz w:val="20"/>
        </w:rPr>
        <w:t>EN: Regulation-aware combinatorial optimization of energy community formation under geographic proximity constraints</w:t>
      </w:r>
    </w:p>
    <w:p>
      <w:pPr>
        <w:spacing w:before="0" w:after="120"/>
      </w:pPr>
      <w:r>
        <w:rPr>
          <w:b/>
        </w:rPr>
        <w:t xml:space="preserve">Source: </w:t>
      </w:r>
      <w:r>
        <w:t>ScienceDirect Publication: Applied Energy</w:t>
      </w:r>
      <w:r>
        <w:t xml:space="preserve">    </w:t>
      </w:r>
      <w:r>
        <w:rPr>
          <w:b/>
        </w:rPr>
        <w:t xml:space="preserve">Pub date: </w:t>
      </w:r>
      <w:r>
        <w:t>2026-09-02 00:00:00+00:00</w:t>
      </w:r>
      <w:r>
        <w:t xml:space="preserve">    </w:t>
      </w:r>
      <w:r>
        <w:rPr>
          <w:b/>
        </w:rPr>
        <w:t xml:space="preserve">DOI: </w:t>
      </w:r>
      <w:hyperlink r:id="rId1812">
        <w:r>
          <w:rPr>
            <w:color w:val="1155CC"/>
            <w:u w:val="single"/>
          </w:rPr>
          <w:t>10.1016/j.apenergy.2026.128776</w:t>
        </w:r>
      </w:hyperlink>
    </w:p>
    <w:p>
      <w:pPr>
        <w:spacing w:before="0" w:after="120"/>
      </w:pPr>
      <w:r>
        <w:rPr>
          <w:b/>
        </w:rPr>
        <w:t xml:space="preserve">Notes: </w:t>
      </w:r>
      <w:r>
        <w:t>abstract_source=openalex</w:t>
      </w:r>
    </w:p>
    <w:p>
      <w:pPr>
        <w:spacing w:before="0" w:after="80" w:lineRule="auto" w:line="276"/>
      </w:pPr>
      <w:r>
        <w:rPr>
          <w:b/>
        </w:rPr>
        <w:t xml:space="preserve">摘要（ZH）: </w:t>
      </w:r>
      <w:r>
        <w:t>可再生能源社区（RECs）通过允许地理上邻近的家庭共享本地产生的可再生能源，实现集体自消耗。虽然大多数现有研究优化的是预定义社区的运行，但如何将一组家庭划分为多个符合法规的社区这一前置问题仍未被充分探索。本文将 REC 的形成形式化为一个运行前的组合设计问题：在源自欧洲各国监管规则的严格基于直径的邻近性约束下对家庭进行划分。在该可行空间内，我们最小化社区年度能量平衡的二次不平衡——一个自消耗潜力的结构性代理指标，等价于对社区平衡的方差最小化——并证明其收紧了年度总自消耗的理论上界。该问题通过从 3-Partition 问题的归约被证明是 NP 难的。我们提出了一种结合严格可行性修复和局部文化基因精炼的混合粒子群优化（PSO）框架。在西班牙穆尔西亚两个城市区域的住宅数据（𝑁 = 200，𝑁 = 151 户家庭；其中 130 个来自 FlexCHESS 欧洲项目）上，在西班牙法规 2 km 距离上限（Real Decreto-ley 29/2021）下进行的实验表明，相较随机和地理基线二次不平衡降低 86–93%，相较贪心局部搜索降低 7–9%（Wilcoxon 𝑝 &lt; 0.004，10 次独立运行）。在独立生成的 PVGIS 校准剖面（年度平衡为事后推导，剔除</w:t>
      </w:r>
    </w:p>
    <w:p>
      <w:pPr>
        <w:spacing w:before="0" w:after="200" w:lineRule="auto" w:line="276"/>
      </w:pPr>
      <w:r>
        <w:rPr>
          <w:b/>
        </w:rPr>
        <w:t xml:space="preserve">Abstract (EN): </w:t>
      </w:r>
      <w:r>
        <w:t>Renewable Energy Communities (RECs) enable collective self-consumption by allowing geographically proximate households to share locally generated renewable energy. While most existing studies optimize the operation of a pre-defined community, the prior problem of how to partition a set of households into multiple regulation-compliant communities remains underexplored. This paper formalizes REC formation as a pre-operational combinatorial design problem: households are partitioned under a strict diameter-based proximity constraint derived from European national regulatory rules. Within this feasible space, we minimize the quadratic imbalance of yearly community energy balances, a structural proxy for self-consumption potential equivalent to variance minimization over community balances, and prove it tightens the theoretical upper bound of annual aggregate self-consumption. The problem is shown to be NP-hard via reduction from 3- Partition . A hybrid particle swarm optimization (PSO) framework with strict feasibility repair and local memetic refinement is proposed. Experiments on residential data from two urban zones of Murcia, Spain ( 𝑁 = 2 0 0 , 𝑁 = 1 5 1 households; 130 profiles from the FlexCHESS European project) under the Spanish regulatory distance cap of 2 km (Real Decreto-ley 29/2021) demonstrate 86–93% reduction in quadratic imbalance over random and geographic baselines, and 7–9% over greedy local search (Wilcoxon 𝑝 &lt; 0 . 0 0 4 , 10 independent runs). Hourly validation on independently generated PVGIS-calibrated profiles (annual balances derived a posteriori , eliminating reconstruction circularity) reveals a strong negative correlation between annual imbalance and hourly self-consumption ( 𝜌 = − 0 . 4 2 , 𝑝 &lt; 1 0 − 5 , 𝜌 2 ≈ 0 . 1 8 ), supporting the annual proxy as a useful pre-operational structural criterion. Ablation studies confirm robustness to PSO hyperparameters, and climate sensitivity analysis shows PSO dominance across irradiance levels from 1000 to 1900 kWh/kWp. Beyond solution quality, the proposed framework is intended as a pre-operational planning and screening tool that can assist municipalities, community organizers, and Distribution System Operators in identifying promising community configurations before undertaking detailed network-constrained or operational studies.</w:t>
      </w:r>
    </w:p>
    <w:p>
      <w:pPr>
        <w:spacing w:before="120" w:after="120"/>
      </w:pPr>
      <w:r>
        <w:rPr>
          <w:sz w:val="18"/>
        </w:rPr>
        <w:t>——————————————————————————————————————————————————————————————————————</w:t>
      </w:r>
    </w:p>
    <w:p>
      <w:pPr>
        <w:spacing w:before="160" w:after="40" w:line="240" w:lineRule="auto"/>
      </w:pPr>
      <w:r>
        <w:rPr>
          <w:b/>
        </w:rPr>
        <w:t xml:space="preserve">[1039] </w:t>
      </w:r>
      <w:hyperlink r:id="rId1813">
        <w:r>
          <w:rPr>
            <w:color w:val="1155CC"/>
            <w:u w:val="single"/>
          </w:rPr>
          <w:t>基于物理门控与双流解耦的综合能源系统多能负荷预测</w:t>
        </w:r>
      </w:hyperlink>
    </w:p>
    <w:p>
      <w:pPr>
        <w:spacing w:before="0" w:after="80"/>
      </w:pPr>
      <w:r>
        <w:rPr>
          <w:i/>
          <w:sz w:val="20"/>
        </w:rPr>
        <w:t>EN: Multi-energy load forecasting for integrated energy systems based on physical-gated and dual-stream decoupling</w:t>
      </w:r>
    </w:p>
    <w:p>
      <w:pPr>
        <w:spacing w:before="0" w:after="120"/>
      </w:pPr>
      <w:r>
        <w:rPr>
          <w:b/>
        </w:rPr>
        <w:t xml:space="preserve">Source: </w:t>
      </w:r>
      <w:r>
        <w:t>ScienceDirect Publication: Applied Energy</w:t>
      </w:r>
      <w:r>
        <w:t xml:space="preserve">    </w:t>
      </w:r>
      <w:r>
        <w:rPr>
          <w:b/>
        </w:rPr>
        <w:t xml:space="preserve">Pub date: </w:t>
      </w:r>
      <w:r>
        <w:t>2026-09-02 00:00:00+00:00</w:t>
      </w:r>
      <w:r>
        <w:t xml:space="preserve">    </w:t>
      </w:r>
      <w:r>
        <w:rPr>
          <w:b/>
        </w:rPr>
        <w:t xml:space="preserve">DOI: </w:t>
      </w:r>
      <w:hyperlink r:id="rId1814">
        <w:r>
          <w:rPr>
            <w:color w:val="1155CC"/>
            <w:u w:val="single"/>
          </w:rPr>
          <w:t>10.1016/j.apenergy.2026.128764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[1040] </w:t>
      </w:r>
      <w:hyperlink r:id="rId1815">
        <w:r>
          <w:rPr>
            <w:color w:val="1155CC"/>
            <w:u w:val="single"/>
          </w:rPr>
          <w:t>人工智能辅助皮肤病学中的人类判断</w:t>
        </w:r>
      </w:hyperlink>
    </w:p>
    <w:p>
      <w:pPr>
        <w:spacing w:before="0" w:after="80"/>
      </w:pPr>
      <w:r>
        <w:rPr>
          <w:i/>
          <w:sz w:val="20"/>
        </w:rPr>
        <w:t>EN: Human judgment in AI-assisted dermatology</w:t>
      </w:r>
    </w:p>
    <w:p>
      <w:pPr>
        <w:spacing w:before="0" w:after="120"/>
      </w:pPr>
      <w:r>
        <w:rPr>
          <w:b/>
        </w:rPr>
        <w:t xml:space="preserve">Source: </w:t>
      </w:r>
      <w:r>
        <w:t>Nature Sensors</w:t>
      </w:r>
      <w:r>
        <w:t xml:space="preserve">    </w:t>
      </w:r>
      <w:r>
        <w:rPr>
          <w:b/>
        </w:rPr>
        <w:t xml:space="preserve">Pub date: </w:t>
      </w:r>
      <w:r>
        <w:t>2026-09-02 00:00:00+00:00</w:t>
      </w:r>
      <w:r>
        <w:t xml:space="preserve">    </w:t>
      </w:r>
      <w:r>
        <w:rPr>
          <w:b/>
        </w:rPr>
        <w:t xml:space="preserve">DOI: </w:t>
      </w:r>
      <w:hyperlink r:id="rId1816">
        <w:r>
          <w:rPr>
            <w:color w:val="1155CC"/>
            <w:u w:val="single"/>
          </w:rPr>
          <w:t>10.1038/s44460-026-00136-x</w:t>
        </w:r>
      </w:hyperlink>
    </w:p>
    <w:p>
      <w:pPr>
        <w:spacing w:before="0" w:after="120"/>
      </w:pPr>
      <w:r>
        <w:rPr>
          <w:b/>
        </w:rPr>
        <w:t xml:space="preserve">Notes: </w:t>
      </w:r>
      <w:r>
        <w:t>abstract_source=rss_nature</w:t>
      </w:r>
    </w:p>
    <w:p>
      <w:pPr>
        <w:spacing w:before="0" w:after="80" w:lineRule="auto" w:line="276"/>
      </w:pPr>
      <w:r>
        <w:rPr>
          <w:b/>
        </w:rPr>
        <w:t xml:space="preserve">摘要（ZH）: </w:t>
      </w:r>
      <w:r>
        <w:t>AI 辅助皮肤病学中的人类判断</w:t>
      </w:r>
    </w:p>
    <w:p>
      <w:pPr>
        <w:spacing w:before="0" w:after="200" w:lineRule="auto" w:line="276"/>
      </w:pPr>
      <w:r>
        <w:rPr>
          <w:b/>
        </w:rPr>
        <w:t xml:space="preserve">Abstract (EN): </w:t>
      </w:r>
      <w:r>
        <w:t>Human judgment in AI-assisted dermatology</w:t>
      </w:r>
    </w:p>
    <w:p>
      <w:pPr>
        <w:spacing w:before="120" w:after="120"/>
      </w:pPr>
      <w:r>
        <w:rPr>
          <w:sz w:val="18"/>
        </w:rPr>
        <w:t>——————————————————————————————————————————————————————————————————————</w:t>
      </w:r>
    </w:p>
    <w:p>
      <w:pPr>
        <w:spacing w:before="160" w:after="40" w:line="240" w:lineRule="auto"/>
      </w:pPr>
      <w:r>
        <w:rPr>
          <w:b/>
        </w:rPr>
        <w:t xml:space="preserve">[1041] </w:t>
      </w:r>
      <w:hyperlink r:id="rId1817">
        <w:r>
          <w:rPr>
            <w:color w:val="1155CC"/>
            <w:u w:val="single"/>
          </w:rPr>
          <w:t>星载感知揭示地球气候薄弱环节</w:t>
        </w:r>
      </w:hyperlink>
    </w:p>
    <w:p>
      <w:pPr>
        <w:spacing w:before="0" w:after="80"/>
      </w:pPr>
      <w:r>
        <w:rPr>
          <w:i/>
          <w:sz w:val="20"/>
        </w:rPr>
        <w:t>EN: Spaceborne sensing exposes Earth’s climate weak spots</w:t>
      </w:r>
    </w:p>
    <w:p>
      <w:pPr>
        <w:spacing w:before="0" w:after="120"/>
      </w:pPr>
      <w:r>
        <w:rPr>
          <w:b/>
        </w:rPr>
        <w:t xml:space="preserve">Source: </w:t>
      </w:r>
      <w:r>
        <w:t>Nature Sensors</w:t>
      </w:r>
      <w:r>
        <w:t xml:space="preserve">    </w:t>
      </w:r>
      <w:r>
        <w:rPr>
          <w:b/>
        </w:rPr>
        <w:t xml:space="preserve">Pub date: </w:t>
      </w:r>
      <w:r>
        <w:t>2026-09-02 00:00:00+00:00</w:t>
      </w:r>
      <w:r>
        <w:t xml:space="preserve">    </w:t>
      </w:r>
      <w:r>
        <w:rPr>
          <w:b/>
        </w:rPr>
        <w:t xml:space="preserve">DOI: </w:t>
      </w:r>
      <w:hyperlink r:id="rId1818">
        <w:r>
          <w:rPr>
            <w:color w:val="1155CC"/>
            <w:u w:val="single"/>
          </w:rPr>
          <w:t>10.1038/s44460-026-00141-0</w:t>
        </w:r>
      </w:hyperlink>
    </w:p>
    <w:p>
      <w:pPr>
        <w:spacing w:before="0" w:after="120"/>
      </w:pPr>
      <w:r>
        <w:rPr>
          <w:b/>
        </w:rPr>
        <w:t xml:space="preserve">Notes: </w:t>
      </w:r>
      <w:r>
        <w:t>abstract_source=rss_nature</w:t>
      </w:r>
    </w:p>
    <w:p>
      <w:pPr>
        <w:spacing w:before="0" w:after="80" w:lineRule="auto" w:line="276"/>
      </w:pPr>
      <w:r>
        <w:rPr>
          <w:b/>
        </w:rPr>
        <w:t xml:space="preserve">摘要（ZH）: </w:t>
      </w:r>
      <w:r>
        <w:t>星载遥感揭示地球气候的薄弱环节</w:t>
      </w:r>
    </w:p>
    <w:p>
      <w:pPr>
        <w:spacing w:before="0" w:after="200" w:lineRule="auto" w:line="276"/>
      </w:pPr>
      <w:r>
        <w:rPr>
          <w:b/>
        </w:rPr>
        <w:t xml:space="preserve">Abstract (EN): </w:t>
      </w:r>
      <w:r>
        <w:t>Spaceborne sensing exposes Earth’s climate weak spots</w:t>
      </w:r>
    </w:p>
    <w:p>
      <w:pPr>
        <w:spacing w:before="120" w:after="120"/>
      </w:pPr>
      <w:r>
        <w:rPr>
          <w:sz w:val="18"/>
        </w:rPr>
        <w:t>——————————————————————————————————————————————————————————————————————</w:t>
      </w:r>
    </w:p>
    <w:p>
      <w:pPr>
        <w:spacing w:before="160" w:after="40" w:line="240" w:lineRule="auto"/>
      </w:pPr>
      <w:r>
        <w:rPr>
          <w:b/>
        </w:rPr>
        <w:t xml:space="preserve">[1042] </w:t>
      </w:r>
      <w:hyperlink r:id="rId1819">
        <w:r>
          <w:rPr>
            <w:color w:val="1155CC"/>
            <w:u w:val="single"/>
          </w:rPr>
          <w:t>利用空间轨道相互作用实现多中心有机硫催化</w:t>
        </w:r>
      </w:hyperlink>
    </w:p>
    <w:p>
      <w:pPr>
        <w:spacing w:before="0" w:after="80"/>
      </w:pPr>
      <w:r>
        <w:rPr>
          <w:i/>
          <w:sz w:val="20"/>
        </w:rPr>
        <w:t>EN: Harnessing through-space orbital interactions for multicentred organosulfur catalysis</w:t>
      </w:r>
    </w:p>
    <w:p>
      <w:pPr>
        <w:spacing w:before="0" w:after="120"/>
      </w:pPr>
      <w:r>
        <w:rPr>
          <w:b/>
        </w:rPr>
        <w:t xml:space="preserve">Source: </w:t>
      </w:r>
      <w:r>
        <w:t>Nature Catalysis</w:t>
      </w:r>
      <w:r>
        <w:t xml:space="preserve">    </w:t>
      </w:r>
      <w:r>
        <w:rPr>
          <w:b/>
        </w:rPr>
        <w:t xml:space="preserve">Pub date: </w:t>
      </w:r>
      <w:r>
        <w:t>2026-09-02 00:00:00+00:00</w:t>
      </w:r>
      <w:r>
        <w:t xml:space="preserve">    </w:t>
      </w:r>
      <w:r>
        <w:rPr>
          <w:b/>
        </w:rPr>
        <w:t xml:space="preserve">DOI: </w:t>
      </w:r>
      <w:hyperlink r:id="rId1820">
        <w:r>
          <w:rPr>
            <w:color w:val="1155CC"/>
            <w:u w:val="single"/>
          </w:rPr>
          <w:t>10.1038/s41929-026-01602-y</w:t>
        </w:r>
      </w:hyperlink>
    </w:p>
    <w:p>
      <w:pPr>
        <w:spacing w:before="0" w:after="120"/>
      </w:pPr>
      <w:r>
        <w:rPr>
          <w:b/>
        </w:rPr>
        <w:t xml:space="preserve">Notes: </w:t>
      </w:r>
      <w:r>
        <w:t>abstract_source=rss_nature</w:t>
      </w:r>
    </w:p>
    <w:p>
      <w:pPr>
        <w:spacing w:before="0" w:after="80" w:lineRule="auto" w:line="276"/>
      </w:pPr>
      <w:r>
        <w:rPr>
          <w:b/>
        </w:rPr>
        <w:t xml:space="preserve">摘要（ZH）: </w:t>
      </w:r>
      <w:r>
        <w:t>几何畸变是在p区元素中调控前沿分子轨道和化学反应性的主流方法。本文作者展示了一种螺环结构，利用硫原子之间的空间轨道相互作用来构建具有更高能量的最高占据分子轨道。</w:t>
      </w:r>
    </w:p>
    <w:p>
      <w:pPr>
        <w:spacing w:before="0" w:after="200" w:lineRule="auto" w:line="276"/>
      </w:pPr>
      <w:r>
        <w:rPr>
          <w:b/>
        </w:rPr>
        <w:t xml:space="preserve">Abstract (EN): </w:t>
      </w:r>
      <w:r>
        <w:t>Geometric distortions are the prevailing approaches for engineering frontier molecular orbitals and chemical reactivity in p-block elements. Here the authors show a spirocyclic structure that exploits through-space orbital interactions in sulfur atoms to engineer highest-occupied molecular orbitals with elevated energies.</w:t>
      </w:r>
    </w:p>
    <w:p>
      <w:pPr>
        <w:spacing w:before="120" w:after="120"/>
      </w:pPr>
      <w:r>
        <w:rPr>
          <w:sz w:val="18"/>
        </w:rPr>
        <w:t>——————————————————————————————————————————————————————————————————————</w:t>
      </w:r>
    </w:p>
    <w:p>
      <w:pPr>
        <w:spacing w:before="160" w:after="40" w:line="240" w:lineRule="auto"/>
      </w:pPr>
      <w:r>
        <w:rPr>
          <w:b/>
        </w:rPr>
        <w:t xml:space="preserve">[1043] </w:t>
      </w:r>
      <w:hyperlink r:id="rId1776">
        <w:r>
          <w:rPr>
            <w:color w:val="1155CC"/>
            <w:u w:val="single"/>
          </w:rPr>
          <w:t>金属离子与蛋白质聚集：解析蛋白病中的分子相互作用与诊疗前景</w:t>
        </w:r>
      </w:hyperlink>
    </w:p>
    <w:p>
      <w:pPr>
        <w:spacing w:before="0" w:after="80"/>
      </w:pPr>
      <w:r>
        <w:rPr>
          <w:i/>
          <w:sz w:val="20"/>
        </w:rPr>
        <w:t>EN: Metal Ions and Protein Aggregation: Unraveling Molecular Interactions and Theranostic Prospects in Proteinopathies</w:t>
      </w:r>
    </w:p>
    <w:p>
      <w:pPr>
        <w:spacing w:before="0" w:after="120"/>
      </w:pPr>
      <w:r>
        <w:rPr>
          <w:b/>
        </w:rPr>
        <w:t xml:space="preserve">Source: </w:t>
      </w:r>
      <w:r>
        <w:t>Chemical Reviews</w:t>
      </w:r>
      <w:r>
        <w:t xml:space="preserve">    </w:t>
      </w:r>
      <w:r>
        <w:rPr>
          <w:b/>
        </w:rPr>
        <w:t xml:space="preserve">Pub date: </w:t>
      </w:r>
      <w:r>
        <w:t>2026-09-02 00:00:00+00:00</w:t>
      </w:r>
      <w:r>
        <w:t xml:space="preserve">    </w:t>
      </w:r>
      <w:r>
        <w:rPr>
          <w:b/>
        </w:rPr>
        <w:t xml:space="preserve">DOI: </w:t>
      </w:r>
      <w:hyperlink r:id="rId1776">
        <w:r>
          <w:rPr>
            <w:color w:val="1155CC"/>
            <w:u w:val="single"/>
          </w:rPr>
          <w:t>10.1021/acs.chemrev.5c00420</w:t>
        </w:r>
      </w:hyperlink>
    </w:p>
    <w:p>
      <w:pPr>
        <w:spacing w:before="0" w:after="120"/>
      </w:pPr>
      <w:r>
        <w:rPr>
          <w:b/>
        </w:rPr>
        <w:t xml:space="preserve">Notes: </w:t>
      </w:r>
      <w:r>
        <w:t>abstract_source=crossref</w:t>
      </w:r>
    </w:p>
    <w:p>
      <w:pPr>
        <w:spacing w:before="0" w:after="80" w:lineRule="auto" w:line="276"/>
      </w:pPr>
      <w:r>
        <w:rPr>
          <w:b/>
        </w:rPr>
        <w:t xml:space="preserve">摘要（ZH）: </w:t>
      </w:r>
      <w:r>
        <w:t>摘要 蛋白质聚集是与多种人类疾病（称为蛋白质病）相关的病理过程，包括神经退行性疾病和代谢性疾病，如阿尔茨海默病、帕金森病、II型糖尿病、肌萎缩侧索硬化症和亨廷顿病。在这些疾病中，特定蛋白质发生错误折叠并积累形成不溶性聚集体，破坏正常细胞功能并促进疾病进展。许多研究已经探讨了聚集途径背后的分子机制、聚集体（如寡聚中间体和纤维）的结构及其细胞毒性。研究还考察了金属、脂质、其他淀粉样蛋白和小分子等辅因子的影响。近期研究日益强调金属离子（如铜（Cu）、锌（Zn）、铁（Fe）和锰（Mn））在淀粉样聚集和毒性中的关键作用。金属离子转运、结合或氧化还原活性的改变与多种淀粉样相关疾病的发生和发展相关。这些金属离子可直接与淀粉样蛋白相互作用，影响其结构构象、聚集动力学以及形成毒性寡聚体的倾向。本综述旨在加深我们对细胞内金属离子调控及其功能障碍如何促进有害蛋白质积累的理解，而有害蛋白质积累是蛋白质病的关键因素。通过考察金属离子与关键淀粉样蛋白（包括淀粉样-β（Aβ）、α-</w:t>
      </w:r>
    </w:p>
    <w:p>
      <w:pPr>
        <w:spacing w:before="0" w:after="200" w:lineRule="auto" w:line="276"/>
      </w:pPr>
      <w:r>
        <w:rPr>
          <w:b/>
        </w:rPr>
        <w:t xml:space="preserve">Abstract (EN): </w:t>
      </w:r>
      <w:r>
        <w:t>Protein aggregation is a pathological process associated with several human diseases termed proteinopathies, including neurodegenerative and metabolic disorders such as Alzheimer’s disease, Parkinson’s disease, type II diabetes, amyotrophic lateral sclerosis, and Huntington’s disease. In these conditions, specific proteins misfold and accumulate into insoluble aggregates, disrupting normal cellular function and contributing to disease progression. Many studies have investigated the molecular mechanisms that underlie the aggregation pathways, the structure of aggregates, such as oligomeric intermediates and fibrils, and their cellular toxicity. Studies have also investigated the effects of cofactors like metals, lipids, other amyloid proteins, and small molecules. Recent research has increasingly emphasized the critical roles of metal ions such as copper (Cu), zinc (Zn), iron (Fe), and manganese (Mn) in amyloid aggregation and toxicity. Alterations in metal ion transport, binding, or redox activity have been linked to the onset and progression of several amyloid-associated diseases. These metal ions can interact directly with amyloidogenic proteins, influencing their structural conformation, aggregation kinetics, and propensity to form toxic oligomers. This review aims to advance our understanding of how the regulation of metal ions within cells and their dysfunction contribute to the accumulation of harmful proteins, which is a key factor in proteinopathies. By examining the interactions between metal ions and key amyloidogenic proteins─including amyloid-β (Aβ), α-synuclein, tau, superoxide dismutase 1 (SOD1), human islet amyloid polypeptide (hIAPP), and insulin─we highlight both common and unique pathways through which metal ions influence protein aggregation. Additionally, this review explores the impact of metal ions on protein clearance mechanisms, such as autophagy and the ubiquitin–proteasome system, as well as emerging theranostic strategies. These include metal chelation therapies, metal-based imaging agents, and multifunctional compounds designed to restore metal balance while preventing aggregation and toxicity. By integrating biochemical, cellular, and therapeutic insights, this review contributes to a deeper understanding of the metallobiology of proteinopathies and supports the development of novel diagnostic and treatment approaches targeting metal–protein interactions.</w:t>
      </w:r>
    </w:p>
    <w:p>
      <w:pPr>
        <w:spacing w:before="120" w:after="120"/>
      </w:pPr>
      <w:r>
        <w:rPr>
          <w:sz w:val="18"/>
        </w:rPr>
        <w:t>——————————————————————————————————————————————————————————————————————</w:t>
      </w:r>
    </w:p>
    <w:p>
      <w:pPr>
        <w:spacing w:before="160" w:after="40" w:line="240" w:lineRule="auto"/>
      </w:pPr>
      <w:r>
        <w:rPr>
          <w:b/>
        </w:rPr>
        <w:t xml:space="preserve">[1044] </w:t>
      </w:r>
      <w:hyperlink r:id="rId1821">
        <w:r>
          <w:rPr>
            <w:color w:val="1155CC"/>
            <w:u w:val="single"/>
          </w:rPr>
          <w:t>2025年能源与燃料专业人士成就亮点：通过变革性材料与领导力推进能源创新</w:t>
        </w:r>
      </w:hyperlink>
    </w:p>
    <w:p>
      <w:pPr>
        <w:spacing w:before="0" w:after="80"/>
      </w:pPr>
      <w:r>
        <w:rPr>
          <w:i/>
          <w:sz w:val="20"/>
        </w:rPr>
        <w:t>EN: 2025 Highlights of Achievements by Energy and Fuels Professionals: Advancing Energy Innovation through Transformative Materials and Leadership</w:t>
      </w:r>
    </w:p>
    <w:p>
      <w:pPr>
        <w:spacing w:before="0" w:after="120"/>
      </w:pPr>
      <w:r>
        <w:rPr>
          <w:b/>
        </w:rPr>
        <w:t xml:space="preserve">Source: </w:t>
      </w:r>
      <w:r>
        <w:t>ACS Energy Letters</w:t>
      </w:r>
      <w:r>
        <w:t xml:space="preserve">    </w:t>
      </w:r>
      <w:r>
        <w:rPr>
          <w:b/>
        </w:rPr>
        <w:t xml:space="preserve">Pub date: </w:t>
      </w:r>
      <w:r>
        <w:t>2026-09-02 00:00:00+00:00</w:t>
      </w:r>
      <w:r>
        <w:t xml:space="preserve">    </w:t>
      </w:r>
      <w:r>
        <w:rPr>
          <w:b/>
        </w:rPr>
        <w:t xml:space="preserve">DOI: </w:t>
      </w:r>
      <w:hyperlink r:id="rId1821">
        <w:r>
          <w:rPr>
            <w:color w:val="1155CC"/>
            <w:u w:val="single"/>
          </w:rPr>
          <w:t>10.1021/acsenergylett.6c01682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[1045] </w:t>
      </w:r>
      <w:hyperlink r:id="rId1774">
        <w:r>
          <w:rPr>
            <w:color w:val="1155CC"/>
            <w:u w:val="single"/>
          </w:rPr>
          <w:t>三重态还是电荷分离态？区分SWCNT/MoS2异质结中长寿命光生电子态</w:t>
        </w:r>
      </w:hyperlink>
    </w:p>
    <w:p>
      <w:pPr>
        <w:spacing w:before="0" w:after="80"/>
      </w:pPr>
      <w:r>
        <w:rPr>
          <w:i/>
          <w:sz w:val="20"/>
        </w:rPr>
        <w:t>EN: Triplet or Charge-Separated State? Distinguishing Long-Lived, Photogenerated Electronic States in SWCNT/MoS2 Heterojunctions</w:t>
      </w:r>
    </w:p>
    <w:p>
      <w:pPr>
        <w:spacing w:before="0" w:after="120"/>
      </w:pPr>
      <w:r>
        <w:rPr>
          <w:b/>
        </w:rPr>
        <w:t xml:space="preserve">Source: </w:t>
      </w:r>
      <w:r>
        <w:t>ACS Energy Letters</w:t>
      </w:r>
      <w:r>
        <w:t xml:space="preserve">    </w:t>
      </w:r>
      <w:r>
        <w:rPr>
          <w:b/>
        </w:rPr>
        <w:t xml:space="preserve">Pub date: </w:t>
      </w:r>
      <w:r>
        <w:t>2026-09-02 00:00:00+00:00</w:t>
      </w:r>
      <w:r>
        <w:t xml:space="preserve">    </w:t>
      </w:r>
      <w:r>
        <w:rPr>
          <w:b/>
        </w:rPr>
        <w:t xml:space="preserve">DOI: </w:t>
      </w:r>
      <w:hyperlink r:id="rId1774">
        <w:r>
          <w:rPr>
            <w:color w:val="1155CC"/>
            <w:u w:val="single"/>
          </w:rPr>
          <w:t>10.1021/acsenergylett.6c01923</w:t>
        </w:r>
      </w:hyperlink>
    </w:p>
    <w:p>
      <w:pPr>
        <w:spacing w:before="0" w:after="120"/>
      </w:pPr>
      <w:r>
        <w:rPr>
          <w:b/>
        </w:rPr>
        <w:t xml:space="preserve">Notes: </w:t>
      </w:r>
      <w:r>
        <w:t>abstract_source=crossref</w:t>
      </w:r>
    </w:p>
    <w:p>
      <w:pPr>
        <w:spacing w:before="0" w:after="80" w:lineRule="auto" w:line="276"/>
      </w:pPr>
      <w:r>
        <w:rPr>
          <w:b/>
        </w:rPr>
        <w:t xml:space="preserve">摘要（ZH）: </w:t>
      </w:r>
      <w:r>
        <w:t>摘要 单壁碳纳米管（SWCNTs）及其与多种材料的界面是下一代能量收集与转换器件的有前景平台。然而，确定电子态激发态光谱的挑战是评估其在这些应用中潜力的障碍。本文利用光诱导吸收检测磁共振（PADMR）光谱，对（6,5）SWCNT/MoS2异质结的近红外（NIR）光诱导吸收光谱进行了明确归属。通过驱动弱磁偶极耦合的电荷分离态与SWCNT局域三重态的可区分磁共振跃迁，表明相对于第一激子漂白发生红移的NIR诱导吸收峰仅对应于分离电荷。三重激发态吸收归属在更高能量处。界面电荷分离态和三重态的信号在双层结构中比在纯纳米管中更强，揭示了SWCNT/MoS2界面上形成SWCNT自旋极化三重态的电荷复合机制。</w:t>
      </w:r>
    </w:p>
    <w:p>
      <w:pPr>
        <w:spacing w:before="0" w:after="200" w:lineRule="auto" w:line="276"/>
      </w:pPr>
      <w:r>
        <w:rPr>
          <w:b/>
        </w:rPr>
        <w:t xml:space="preserve">Abstract (EN): </w:t>
      </w:r>
      <w:r>
        <w:t>Single-walled carbon nanotubes (SWCNTs) and their interfaces with an array of materials are promising platforms for next-generation energy-harvesting and conversion devices. Yet the challenge of identifying the excited-state optical spectra of electronic states is a barrier to evaluating their potential for those applications. Here, we use photoinduced absorption-detected magnetic resonance (PADMR) spectroscopy to provide unambiguous assignments in the near-infrared (NIR) photoinduced absorption spectrum of (6,5) SWCNT/MoS2 heterojunctions. Driving the distinguishable magnetic resonance transitions of weakly magnetic dipole-coupled charge separated states versus SWCNT-localized triplets shows that the NIR-induced absorption peak that is bathochromically shifted from the first exciton bleach corresponds solely to separated charges. Triplet excited-state absorption is assigned at higher energy. Signatures for the interfacial charge-separated state and triplet states are stronger in the bilayer than in the neat nanotubes, revealing a charge recombination mechanism across the SWCNT/MoS2 interface that forms spin-polarized triplet states on the SWCNTs.</w:t>
      </w:r>
    </w:p>
    <w:p>
      <w:pPr>
        <w:spacing w:before="120" w:after="120"/>
      </w:pPr>
      <w:r>
        <w:rPr>
          <w:sz w:val="18"/>
        </w:rPr>
        <w:t>——————————————————————————————————————————————————————————————————————</w:t>
      </w:r>
    </w:p>
    <w:p>
      <w:pPr>
        <w:spacing w:before="160" w:after="40" w:line="240" w:lineRule="auto"/>
      </w:pPr>
      <w:r>
        <w:rPr>
          <w:b/>
        </w:rPr>
        <w:t xml:space="preserve">[1046] </w:t>
      </w:r>
      <w:hyperlink r:id="rId1822">
        <w:r>
          <w:rPr>
            <w:color w:val="1155CC"/>
            <w:u w:val="single"/>
          </w:rPr>
          <w:t>药物衍生的四氢吡嗪用于哌嗪类药物的后期α-和β-官能化</w:t>
        </w:r>
      </w:hyperlink>
    </w:p>
    <w:p>
      <w:pPr>
        <w:spacing w:before="0" w:after="80"/>
      </w:pPr>
      <w:r>
        <w:rPr>
          <w:i/>
          <w:sz w:val="20"/>
        </w:rPr>
        <w:t>EN: Drug‐Derived Tetrahydropyrazines for Late‐Stage α ‐ and β ‐Functionalization of Piperazine‐Based Pharmaceuticals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23">
        <w:r>
          <w:rPr>
            <w:color w:val="1155CC"/>
            <w:u w:val="single"/>
          </w:rPr>
          <w:t>10.1002/anie.6711809</w:t>
        </w:r>
      </w:hyperlink>
    </w:p>
    <w:p>
      <w:pPr>
        <w:spacing w:before="0" w:after="120"/>
      </w:pPr>
      <w:r>
        <w:rPr>
          <w:b/>
        </w:rPr>
        <w:t xml:space="preserve">Notes: </w:t>
      </w:r>
      <w:r>
        <w:t>abstract_source=crossref</w:t>
      </w:r>
    </w:p>
    <w:p>
      <w:pPr>
        <w:spacing w:before="0" w:after="80" w:lineRule="auto" w:line="276"/>
      </w:pPr>
      <w:r>
        <w:rPr>
          <w:b/>
        </w:rPr>
        <w:t xml:space="preserve">摘要（ZH）: </w:t>
      </w:r>
      <w:r>
        <w:t>摘要 哌嗪是药物中最常见的饱和氮杂环之一，但对α-和β-取代哌嗪类似物的后期阶段获取仍然具有挑战性。本文报道了一种黄素光催化平台，可将含有哌嗪的复杂药物转化为持久的四氢吡嗪中间体，这些中间体可作为下游功能化的多功能分支点。在蓝光照射下，四乙酸核黄素（RFTA）在温和条件下促进N-烷基、N-芳基和N-杂芳基哌嗪的顺序α-和β-C─H键断裂，并具有对多种官能团的耐受性。所得的药物衍生四氢吡嗪可以被分离，或直接串联进行与亲电试剂和亲核试剂的反应，实现环丙基-、三氟甲基-、羰基-、酰胺-和氰基-取代哌嗪类似物的后期获取。通过将C─H氧化与后续的成键构建解耦，这种两阶段策略实现了原本与黄素介导氧化不兼容的转化。该方法的应用通过快速制备多种哌嗪类药物类似物以及erastin的初步构效关系（SAR）研究得到证明，研究揭示哌嗪核心取代和立体化学可显著影响细胞活性。Stern–Volmer淬灭实验、循环伏安法以及光照射下形成的中间体表征为反应机理提供了见解。这项工作建立了d</w:t>
      </w:r>
    </w:p>
    <w:p>
      <w:pPr>
        <w:spacing w:before="0" w:after="200" w:lineRule="auto" w:line="276"/>
      </w:pPr>
      <w:r>
        <w:rPr>
          <w:b/>
        </w:rPr>
        <w:t xml:space="preserve">Abstract (EN): </w:t>
      </w:r>
      <w:r>
        <w:t>Piperazine is one of the most prevalent saturated nitrogen heterocycles in pharmaceuticals, yet late‐stage access to α ‐ and β ‐substituted piperazine analogues remains challenging. Here, we report a flavin‐photocatalyzed platform that converts complex piperazine‐containing drugs into persistent tetrahydropyrazine intermediates that serve as versatile branch points for downstream functionalization. Under blue‐light irradiation, riboflavin tetraacetate (RFTA) promotes sequential α ‐ and β ‐C─H bond cleavage of N ‐alkyl, N ‐aryl, and N ‐heteroaryl piperazines under mild conditions and with tolerance of diverse functional groups. The resulting drug‐derived tetrahydropyrazines can be isolated or directly telescoped into reactions with electrophiles and nucleophiles, enabling late‐stage access to cyclopropyl‐, trifluoromethyl‐, carbonyl‐, amide‐, and cyano‐substituted piperazine analogues. By decoupling C─H oxidation from subsequent bond construction, this two‐stage strategy enables transformations that would otherwise be incompatible with flavin‐mediated oxidation. The utility of this approach is demonstrated through the rapid preparation of diverse analogues of piperazine‐based pharmaceuticals and a preliminary structure–activity relationship (SAR) study of erastin, which reveals that piperazine‐core substitution and stereochemistry can substantially influence cellular activity. Stern–Volmer quenching experiments, cyclic voltammetry, and characterization of intermediates formed under photoirradiation provide insight into the reaction mechanism. This work establishes drug‐derived tetrahydropyrazines as practical late‐stage intermediates for expanding medicinally relevant chemical space around piperazine‐containing drug leads.</w:t>
      </w:r>
    </w:p>
    <w:p>
      <w:pPr>
        <w:spacing w:before="120" w:after="120"/>
      </w:pPr>
      <w:r>
        <w:rPr>
          <w:sz w:val="18"/>
        </w:rPr>
        <w:t>——————————————————————————————————————————————————————————————————————</w:t>
      </w:r>
    </w:p>
    <w:p>
      <w:pPr>
        <w:spacing w:before="160" w:after="40" w:line="240" w:lineRule="auto"/>
      </w:pPr>
      <w:r>
        <w:rPr>
          <w:b/>
        </w:rPr>
        <w:t xml:space="preserve">[1047] </w:t>
      </w:r>
      <w:hyperlink r:id="rId1824">
        <w:r>
          <w:rPr>
            <w:color w:val="1155CC"/>
            <w:u w:val="single"/>
          </w:rPr>
          <w:t>用于胸主动脉夹层HClO可激活成像及抗氧化/抗炎治疗的自放大AIE探针</w:t>
        </w:r>
      </w:hyperlink>
    </w:p>
    <w:p>
      <w:pPr>
        <w:spacing w:before="0" w:after="80"/>
      </w:pPr>
      <w:r>
        <w:rPr>
          <w:i/>
          <w:sz w:val="20"/>
        </w:rPr>
        <w:t>EN: Self‐Amplifying AIE Probe for HClO‐Activatable Imaging and Antioxidative/Anti‐Inflammatory Therapy of Thoracic Aortic Dissection</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25">
        <w:r>
          <w:rPr>
            <w:color w:val="1155CC"/>
            <w:u w:val="single"/>
          </w:rPr>
          <w:t>10.1002/anie.3622603</w:t>
        </w:r>
      </w:hyperlink>
    </w:p>
    <w:p>
      <w:pPr>
        <w:spacing w:before="0" w:after="120"/>
      </w:pPr>
      <w:r>
        <w:rPr>
          <w:b/>
        </w:rPr>
        <w:t xml:space="preserve">Notes: </w:t>
      </w:r>
      <w:r>
        <w:t>abstract_source=crossref</w:t>
      </w:r>
    </w:p>
    <w:p>
      <w:pPr>
        <w:spacing w:before="0" w:after="80" w:lineRule="auto" w:line="276"/>
      </w:pPr>
      <w:r>
        <w:rPr>
          <w:b/>
        </w:rPr>
        <w:t xml:space="preserve">摘要（ZH）: </w:t>
      </w:r>
      <w:r>
        <w:t>摘要 胸主动脉夹层（TAD）是一种致死率极高的心血管疾病，但由于成像对比度差和特异性不足，其准确诊断和有效治疗仍具挑战性。利用TAD中过表达的活性氧（ROS），我们报道了一种可被次氯酸（HClO）激活的分子探针DT-PZ。它可在单一化学实体上实现两阶段自放大荧光成像（先化学激活后物理聚集）以及不依赖光照的治疗。该探针最初通过光诱导电子转移（PET）表现出荧光猝灭。两条途径可通过化学激活打开荧光：(1) HClO的氧化阻断PET并开启发射；(2) 光触发的HClO自由基生成（通过氯离子或髓过氧化物酶）激活邻近探针，产生自放大荧光。在病灶部位积累后，聚集诱导发光效应引起的物理聚集进一步放大荧光信号。这种两阶段荧光放大机制可在体内2分钟内实现TAD可视化。在治疗方面，吩噻嗪在无光照期间清除过量ROS，下调NF-κB/P65信号通路，上调eNOS和P-Akt的表达，保护内皮稳态，从而将小鼠存活率从50%提高至90%。总之，DT-PZ将自放大荧光成像与不依赖光照的抗氧化/抗炎治疗相结合，在管理深部疾病方面具有巨大前景</w:t>
      </w:r>
    </w:p>
    <w:p>
      <w:pPr>
        <w:spacing w:before="0" w:after="200" w:lineRule="auto" w:line="276"/>
      </w:pPr>
      <w:r>
        <w:rPr>
          <w:b/>
        </w:rPr>
        <w:t xml:space="preserve">Abstract (EN): </w:t>
      </w:r>
      <w:r>
        <w:t>Thoracic aortic dissection (TAD) is a highly lethal cardiovascular disease, yet its accurate diagnosis and effective treatment remain challenging due to poor imaging contrast and insufficient specificity. Leveraging the overexpressed reactive oxygen species (ROS) in TAD, we reported a hypochlorous acid (HClO)‐activatable molecular probe DT‐PZ. It enables two‐stage self‐amplifying fluorescence imaging (chemical activation and then physical aggregation) and light‐independent therapy on a single chemical entity. The probe initially exhibits quenched fluorescence via photoinduced electron transfer (PET). Two pathways can turn on the fluorescence via chemical activation: (1) oxidation by HClO blocks PET and turns on the emission; (2) photo‐triggered radicals generation of HClO (via chloride ions or myeloperoxidase) to activate neighboring probes, creating self‐amplifying fluorescence. Upon accumulation at the lesion site, the physical aggregation caused by the aggregation‐induced emission effect further amplifies the fluorescence signals. This two‐stage fluorescence amplification mechanism enables TAD visualization within 2 min in vivo. For therapy, the phenothiazine scavenges excess ROS during non‐illuminated periods, down‐regulates the NF‐κB/P65 signal pathway, and up‐regulates eNOS and P‐Akt expressions, protecting endothelial homeostasis and then improving murine survival from 50% to 90%. Collectively, DT‐PZ synergizes self‐amplifying fluorescence imaging with light‐independent antioxidation/anti‐inflammatory therapy, holding great promise for managing deep‐seated cardiovascular diseases.</w:t>
      </w:r>
    </w:p>
    <w:p>
      <w:pPr>
        <w:spacing w:before="120" w:after="120"/>
      </w:pPr>
      <w:r>
        <w:rPr>
          <w:sz w:val="18"/>
        </w:rPr>
        <w:t>——————————————————————————————————————————————————————————————————————</w:t>
      </w:r>
    </w:p>
    <w:p>
      <w:pPr>
        <w:spacing w:before="160" w:after="40" w:line="240" w:lineRule="auto"/>
      </w:pPr>
      <w:r>
        <w:rPr>
          <w:b/>
        </w:rPr>
        <w:t xml:space="preserve">[1048] </w:t>
      </w:r>
      <w:hyperlink r:id="rId1826">
        <w:r>
          <w:rPr>
            <w:color w:val="1155CC"/>
            <w:u w:val="single"/>
          </w:rPr>
          <w:t>电动汽车充电站布局优化与充电调度的结合</w:t>
        </w:r>
      </w:hyperlink>
    </w:p>
    <w:p>
      <w:pPr>
        <w:spacing w:before="0" w:after="80"/>
      </w:pPr>
      <w:r>
        <w:rPr>
          <w:i/>
          <w:sz w:val="20"/>
        </w:rPr>
        <w:t>EN: Combining the optimization of electric vehicle charging station placement and charge scheduling</w:t>
      </w:r>
    </w:p>
    <w:p>
      <w:pPr>
        <w:spacing w:before="0" w:after="120"/>
      </w:pPr>
      <w:r>
        <w:rPr>
          <w:b/>
        </w:rPr>
        <w:t xml:space="preserve">Source: </w:t>
      </w:r>
      <w:r>
        <w:t>ScienceDirect Publication: Applied Energy</w:t>
      </w:r>
      <w:r>
        <w:t xml:space="preserve">    </w:t>
      </w:r>
      <w:r>
        <w:rPr>
          <w:b/>
        </w:rPr>
        <w:t xml:space="preserve">Pub date: </w:t>
      </w:r>
      <w:r>
        <w:t>2026-09-02 00:00:00+00:00</w:t>
      </w:r>
      <w:r>
        <w:t xml:space="preserve">    </w:t>
      </w:r>
      <w:r>
        <w:rPr>
          <w:b/>
        </w:rPr>
        <w:t xml:space="preserve">DOI: </w:t>
      </w:r>
      <w:hyperlink r:id="rId1827">
        <w:r>
          <w:rPr>
            <w:color w:val="1155CC"/>
            <w:u w:val="single"/>
          </w:rPr>
          <w:t>10.1016/j.apenergy.2026.128638</w:t>
        </w:r>
      </w:hyperlink>
    </w:p>
    <w:p>
      <w:pPr>
        <w:spacing w:before="0" w:after="120"/>
      </w:pPr>
      <w:r>
        <w:rPr>
          <w:b/>
        </w:rPr>
        <w:t xml:space="preserve">Notes: </w:t>
      </w:r>
      <w:r>
        <w:t>abstract_source=openalex</w:t>
      </w:r>
    </w:p>
    <w:p>
      <w:pPr>
        <w:spacing w:before="0" w:after="80" w:lineRule="auto" w:line="276"/>
      </w:pPr>
      <w:r>
        <w:rPr>
          <w:b/>
        </w:rPr>
        <w:t xml:space="preserve">摘要（ZH）: </w:t>
      </w:r>
      <w:r>
        <w:t>太阳能和风能等可再生能源可减少温室气体排放，但会引入价格波动，这对纯电动汽车（BEV）的充电基础设施整合构成挑战。以往的方法主要针对工业应用，如机场地面车辆、城市公交车或具有集中控制和可预测模式的公用事业车队，而本研究提出了首个针对私人乘用车的综合框架，其分散、异质的使用方式带来更大的建模挑战。本研究提出了一种新颖的框架，整合了充电站选址（CSP）和电动汽车充电调度（EVCSP），以在此类波动下最小化系统成本。该框架首先在第1步中使用MiD（德国出行情况）调查、提供时间细节的活动数据库以及用于驻留时间充电机会的OpenStreetMap地图，为数百辆私人汽车生成覆盖全年35,040个15分钟间隔的合成出行画像。第2步使用ParFuM能源市场模型推导15分钟间隔的电价。第3步将集成的CSP-EVCSP表述为混合整数线性规划（MILP），并通过三阶段混合方法解决计算复杂性：(i) 贪婪-拉格朗日集合覆盖问题（SCP）选择覆盖所有画像的最少充电站位置；(ii) 充电水平启发式方法通过迭代成本调整和基于紧急性的分配来强制执行荷电状态可行性和容量限制；(iii) 简化的EVCSP（位置固定）优化价格响应的充</w:t>
      </w:r>
    </w:p>
    <w:p>
      <w:pPr>
        <w:spacing w:before="0" w:after="200" w:lineRule="auto" w:line="276"/>
      </w:pPr>
      <w:r>
        <w:rPr>
          <w:b/>
        </w:rPr>
        <w:t xml:space="preserve">Abstract (EN): </w:t>
      </w:r>
      <w:r>
        <w:t>Renewable energy sources like solar and wind reduce greenhouse gas emissions but introduce price volatility that challenges charging infrastructure integration for battery electric vehicles (BEV). While prior approaches have primarily targeted industrial applications, such as airport ground vehicles, urban buses, or utility fleets with centralised control and predictable patterns, this study presents the first comprehensive framework for private passenger cars, whose decentralised, heterogeneous usage poses far greater modelling challenges. This study presents a novel framework integrating Charging Station Placement (CSP) and Electric Vehicle Charge Scheduling (EVCSP) to minimize system costs under such volatility. The framework begins with Step 1 generating synthetic mobility profiles for hundreds of private cars across 35,040 quarter-hourly intervals yearly, by using MiD (Mobility in Germany) surveys, activity databases for temporal detail, and OpenStreetMap mapping for dwell-time charging opportunities. Step 2 derives quarter-hourly electricity prices using the ParFuM energy market model. Step 3 formulates the integrated CSP-EVCSP as a mixed-integer linear programme (MILP) and addresses computational complexity via a three-stage hybrid approach: (i) a greedy-Lagrangian Set Covering Problem (SCP) selects minimal station locations covering all profiles; (ii) a charge-level heuristic enforces state-of-charge feasibility and capacity limits through iterative cost adjustments and urgency-based allocation; (iii) a reduced EVCSP—with fixed locations—optimizes price-responsive schedules. A case study for the city of Essen demonstrates its applicability, revealing cost savings from operational-spatial integration versus uncontrolled or coverage-only baselines. Case 1 optimizes placement and scheduling; Case 2 optimizes placement only; Case 3 benchmarks full-coverage optimal operation under 2030 prices.</w:t>
      </w:r>
    </w:p>
    <w:p>
      <w:pPr>
        <w:spacing w:before="120" w:after="120"/>
      </w:pPr>
      <w:r>
        <w:rPr>
          <w:sz w:val="18"/>
        </w:rPr>
        <w:t>——————————————————————————————————————————————————————————————————————</w:t>
      </w:r>
    </w:p>
    <w:p>
      <w:pPr>
        <w:spacing w:before="160" w:after="40" w:line="240" w:lineRule="auto"/>
      </w:pPr>
      <w:r>
        <w:rPr>
          <w:b/>
        </w:rPr>
        <w:t xml:space="preserve">[1049] </w:t>
      </w:r>
      <w:hyperlink r:id="rId1828">
        <w:r>
          <w:rPr>
            <w:color w:val="1155CC"/>
            <w:u w:val="single"/>
          </w:rPr>
          <w:t>用于分布式光伏有功功率灵活性实时量化的分层隐私感知学习框架</w:t>
        </w:r>
      </w:hyperlink>
    </w:p>
    <w:p>
      <w:pPr>
        <w:spacing w:before="0" w:after="80"/>
      </w:pPr>
      <w:r>
        <w:rPr>
          <w:i/>
          <w:sz w:val="20"/>
        </w:rPr>
        <w:t>EN: A hierarchical privacy-aware learning framework for real-time quantification of distributed PV active power flexibility</w:t>
      </w:r>
    </w:p>
    <w:p>
      <w:pPr>
        <w:spacing w:before="0" w:after="120"/>
      </w:pPr>
      <w:r>
        <w:rPr>
          <w:b/>
        </w:rPr>
        <w:t xml:space="preserve">Source: </w:t>
      </w:r>
      <w:r>
        <w:t>ScienceDirect Publication: Applied Energy</w:t>
      </w:r>
      <w:r>
        <w:t xml:space="preserve">    </w:t>
      </w:r>
      <w:r>
        <w:rPr>
          <w:b/>
        </w:rPr>
        <w:t xml:space="preserve">Pub date: </w:t>
      </w:r>
      <w:r>
        <w:t>2026-09-02 00:00:00+00:00</w:t>
      </w:r>
      <w:r>
        <w:t xml:space="preserve">    </w:t>
      </w:r>
      <w:r>
        <w:rPr>
          <w:b/>
        </w:rPr>
        <w:t xml:space="preserve">DOI: </w:t>
      </w:r>
      <w:hyperlink r:id="rId1829">
        <w:r>
          <w:rPr>
            <w:color w:val="1155CC"/>
            <w:u w:val="single"/>
          </w:rPr>
          <w:t>10.1016/j.apenergy.2026.128625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[1050] </w:t>
      </w:r>
      <w:hyperlink r:id="rId1830">
        <w:r>
          <w:rPr>
            <w:color w:val="1155CC"/>
            <w:u w:val="single"/>
          </w:rPr>
          <w:t>能效信贷政策的权变性效果：地缘政治风险、数字经济发展与企业绿色创新</w:t>
        </w:r>
      </w:hyperlink>
    </w:p>
    <w:p>
      <w:pPr>
        <w:spacing w:before="0" w:after="80"/>
      </w:pPr>
      <w:r>
        <w:rPr>
          <w:i/>
          <w:sz w:val="20"/>
        </w:rPr>
        <w:t>EN: The contingent effectiveness of energy-efficiency credit policy: Geopolitical risk, digital economy development, and firm green innovation</w:t>
      </w:r>
    </w:p>
    <w:p>
      <w:pPr>
        <w:spacing w:before="0" w:after="120"/>
      </w:pPr>
      <w:r>
        <w:rPr>
          <w:b/>
        </w:rPr>
        <w:t xml:space="preserve">Source: </w:t>
      </w:r>
      <w:r>
        <w:t>ScienceDirect Publication: Energy Policy</w:t>
      </w:r>
      <w:r>
        <w:t xml:space="preserve">    </w:t>
      </w:r>
      <w:r>
        <w:rPr>
          <w:b/>
        </w:rPr>
        <w:t xml:space="preserve">Pub date: </w:t>
      </w:r>
      <w:r>
        <w:t>2026-09-02 00:00:00+00:00</w:t>
      </w:r>
      <w:r>
        <w:t xml:space="preserve">    </w:t>
      </w:r>
      <w:r>
        <w:rPr>
          <w:b/>
        </w:rPr>
        <w:t xml:space="preserve">DOI: </w:t>
      </w:r>
      <w:hyperlink r:id="rId1831">
        <w:r>
          <w:rPr>
            <w:color w:val="1155CC"/>
            <w:u w:val="single"/>
          </w:rPr>
          <w:t>10.1016/j.enpol.2026.115591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[1051] </w:t>
      </w:r>
      <w:hyperlink r:id="rId1832">
        <w:r>
          <w:rPr>
            <w:color w:val="1155CC"/>
            <w:u w:val="single"/>
          </w:rPr>
          <w:t>Peccei-Quinn对称性下单圈质子衰变</w:t>
        </w:r>
      </w:hyperlink>
    </w:p>
    <w:p>
      <w:pPr>
        <w:spacing w:before="0" w:after="80"/>
      </w:pPr>
      <w:r>
        <w:rPr>
          <w:i/>
          <w:sz w:val="20"/>
        </w:rPr>
        <w:t>EN: One-loop proton decay from Peccei-Quinn symmetry</w:t>
      </w:r>
    </w:p>
    <w:p>
      <w:pPr>
        <w:spacing w:before="0" w:after="120"/>
      </w:pPr>
      <w:r>
        <w:rPr>
          <w:b/>
        </w:rPr>
        <w:t xml:space="preserve">Source: </w:t>
      </w:r>
      <w:r>
        <w:t>ScienceDirect Publication: Physics Letters B</w:t>
      </w:r>
      <w:r>
        <w:t xml:space="preserve">    </w:t>
      </w:r>
      <w:r>
        <w:rPr>
          <w:b/>
        </w:rPr>
        <w:t xml:space="preserve">Pub date: </w:t>
      </w:r>
      <w:r>
        <w:t>2026-09-02 00:00:00+00:00</w:t>
      </w:r>
      <w:r>
        <w:t xml:space="preserve">    </w:t>
      </w:r>
      <w:r>
        <w:rPr>
          <w:b/>
        </w:rPr>
        <w:t xml:space="preserve">DOI: </w:t>
      </w:r>
      <w:hyperlink r:id="rId1833">
        <w:r>
          <w:rPr>
            <w:color w:val="1155CC"/>
            <w:u w:val="single"/>
          </w:rPr>
          <w:t>10.1016/j.physletb.2026.140918</w:t>
        </w:r>
      </w:hyperlink>
    </w:p>
    <w:p>
      <w:pPr>
        <w:spacing w:before="0" w:after="120"/>
      </w:pPr>
      <w:r>
        <w:rPr>
          <w:b/>
        </w:rPr>
        <w:t xml:space="preserve">Notes: </w:t>
      </w:r>
      <w:r>
        <w:t>abstract_source=rss_description</w:t>
      </w:r>
    </w:p>
    <w:p>
      <w:pPr>
        <w:spacing w:before="0" w:after="80" w:lineRule="auto" w:line="276"/>
      </w:pPr>
      <w:r>
        <w:rPr>
          <w:b/>
        </w:rPr>
        <w:t xml:space="preserve">摘要（ZH）: </w:t>
      </w:r>
      <w:r>
        <w:t>出版日期：2026年9月2日在线发表来源：Physics Letters B作者：H.B. Câmara</w:t>
      </w:r>
    </w:p>
    <w:p>
      <w:pPr>
        <w:spacing w:before="0" w:after="200" w:lineRule="auto" w:line="276"/>
      </w:pPr>
      <w:r>
        <w:rPr>
          <w:b/>
        </w:rPr>
        <w:t xml:space="preserve">Abstract (EN): </w:t>
      </w:r>
      <w:r>
        <w:t>Publication date: Available online 2 September 2026Source: Physics Letters BAuthor(s): H.B. Câmara</w:t>
      </w:r>
    </w:p>
    <w:p>
      <w:pPr>
        <w:spacing w:before="120" w:after="120"/>
      </w:pPr>
      <w:r>
        <w:rPr>
          <w:sz w:val="18"/>
        </w:rPr>
        <w:t>——————————————————————————————————————————————————————————————————————</w:t>
      </w:r>
    </w:p>
    <w:p>
      <w:pPr>
        <w:spacing w:before="160" w:after="40" w:line="240" w:lineRule="auto"/>
      </w:pPr>
      <w:r>
        <w:rPr>
          <w:b/>
        </w:rPr>
        <w:t xml:space="preserve">[1052] </w:t>
      </w:r>
      <w:hyperlink r:id="rId1834">
        <w:r>
          <w:rPr>
            <w:color w:val="1155CC"/>
            <w:u w:val="single"/>
          </w:rPr>
          <w:t>行级实验室数据中心空气温度场的综合测量与热性能研究</w:t>
        </w:r>
      </w:hyperlink>
    </w:p>
    <w:p>
      <w:pPr>
        <w:spacing w:before="0" w:after="80"/>
      </w:pPr>
      <w:r>
        <w:rPr>
          <w:i/>
          <w:sz w:val="20"/>
        </w:rPr>
        <w:t>EN: A comprehensive measurement of air temperature field and thermal performance study of a row-level laboratory data center</w:t>
      </w:r>
    </w:p>
    <w:p>
      <w:pPr>
        <w:spacing w:before="0" w:after="120"/>
      </w:pPr>
      <w:r>
        <w:rPr>
          <w:b/>
        </w:rPr>
        <w:t xml:space="preserve">Source: </w:t>
      </w:r>
      <w:r>
        <w:t>ScienceDirect Publication: Applied Energy</w:t>
      </w:r>
      <w:r>
        <w:t xml:space="preserve">    </w:t>
      </w:r>
      <w:r>
        <w:rPr>
          <w:b/>
        </w:rPr>
        <w:t xml:space="preserve">Pub date: </w:t>
      </w:r>
      <w:r>
        <w:t>2026-09-02 00:00:00+00:00</w:t>
      </w:r>
      <w:r>
        <w:t xml:space="preserve">    </w:t>
      </w:r>
      <w:r>
        <w:rPr>
          <w:b/>
        </w:rPr>
        <w:t xml:space="preserve">DOI: </w:t>
      </w:r>
      <w:hyperlink r:id="rId1835">
        <w:r>
          <w:rPr>
            <w:color w:val="1155CC"/>
            <w:u w:val="single"/>
          </w:rPr>
          <w:t>10.1016/j.apenergy.2026.128782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[1053] </w:t>
      </w:r>
      <w:hyperlink r:id="rId1836">
        <w:r>
          <w:rPr>
            <w:color w:val="1155CC"/>
            <w:u w:val="single"/>
          </w:rPr>
          <w:t>基于数据驱动可信分布鲁棒优化的Nash讨价还价–Stackelberg–变分博弈框架用于含共享储能的社区综合能源系统</w:t>
        </w:r>
      </w:hyperlink>
    </w:p>
    <w:p>
      <w:pPr>
        <w:spacing w:before="0" w:after="80"/>
      </w:pPr>
      <w:r>
        <w:rPr>
          <w:i/>
          <w:sz w:val="20"/>
        </w:rPr>
        <w:t>EN: A Nash Bargaining–Stackelberg–Variational game framework enabled by data-driven credible distributionally robust optimization for community integrated energy systems with shared energy storage</w:t>
      </w:r>
    </w:p>
    <w:p>
      <w:pPr>
        <w:spacing w:before="0" w:after="120"/>
      </w:pPr>
      <w:r>
        <w:rPr>
          <w:b/>
        </w:rPr>
        <w:t xml:space="preserve">Source: </w:t>
      </w:r>
      <w:r>
        <w:t>ScienceDirect Publication: Applied Energy</w:t>
      </w:r>
      <w:r>
        <w:t xml:space="preserve">    </w:t>
      </w:r>
      <w:r>
        <w:rPr>
          <w:b/>
        </w:rPr>
        <w:t xml:space="preserve">Pub date: </w:t>
      </w:r>
      <w:r>
        <w:t>2026-09-02 00:00:00+00:00</w:t>
      </w:r>
      <w:r>
        <w:t xml:space="preserve">    </w:t>
      </w:r>
      <w:r>
        <w:rPr>
          <w:b/>
        </w:rPr>
        <w:t xml:space="preserve">DOI: </w:t>
      </w:r>
      <w:hyperlink r:id="rId1837">
        <w:r>
          <w:rPr>
            <w:color w:val="1155CC"/>
            <w:u w:val="single"/>
          </w:rPr>
          <w:t>10.1016/j.apenergy.2026.128741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[1054] </w:t>
      </w:r>
      <w:hyperlink r:id="rId1838">
        <w:r>
          <w:rPr>
            <w:color w:val="1155CC"/>
            <w:u w:val="single"/>
          </w:rPr>
          <w:t>用于癌症治疗的原位多肽组装</w:t>
        </w:r>
      </w:hyperlink>
    </w:p>
    <w:p>
      <w:pPr>
        <w:spacing w:before="0" w:after="80"/>
      </w:pPr>
      <w:r>
        <w:rPr>
          <w:i/>
          <w:sz w:val="20"/>
        </w:rPr>
        <w:t>EN: In Situ Peptide Assembly for Cancer Therapy</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39">
        <w:r>
          <w:rPr>
            <w:color w:val="1155CC"/>
            <w:u w:val="single"/>
          </w:rPr>
          <w:t>10.1002/anie.2719299</w:t>
        </w:r>
      </w:hyperlink>
    </w:p>
    <w:p>
      <w:pPr>
        <w:spacing w:before="0" w:after="120"/>
      </w:pPr>
      <w:r>
        <w:rPr>
          <w:b/>
        </w:rPr>
        <w:t xml:space="preserve">Notes: </w:t>
      </w:r>
      <w:r>
        <w:t>abstract_source=crossref</w:t>
      </w:r>
    </w:p>
    <w:p>
      <w:pPr>
        <w:spacing w:before="0" w:after="80" w:lineRule="auto" w:line="276"/>
      </w:pPr>
      <w:r>
        <w:rPr>
          <w:b/>
        </w:rPr>
        <w:t xml:space="preserve">摘要（ZH）: </w:t>
      </w:r>
      <w:r>
        <w:t>摘要 肽因其生物相容性和功能多样性（如肿瘤靶向和细胞穿透能力）而成为有前景的抗癌药物。然而，其临床应用常因稳定性差和快速清除而受限。为克服这些缺点，已开发出肽组装策略。早期方法采用预组装肽纳米材料，但这些方法在循环和肿瘤渗透方面面临挑战。近年来，原位肽组装日益受到关注。该策略涉及给予分子肽-药物前体，其在肿瘤微环境中经刺激响应激活后在局部形成纳米结构。该过程利用聚集诱导滞留（AIR）效应，增强药物在肿瘤部位的富集和滞留。此外，这些原位形成的纳米组装体可破坏细胞内稳态并诱导细胞凋亡，放大治疗效果。本综述系统阐述了原位肽组装的机制，对触发该过程的多种刺激进行了分类，并全面总结了其在癌症治疗中的应用。最后，讨论了这一发展领域当前的挑战与前景。</w:t>
      </w:r>
    </w:p>
    <w:p>
      <w:pPr>
        <w:spacing w:before="0" w:after="200" w:lineRule="auto" w:line="276"/>
      </w:pPr>
      <w:r>
        <w:rPr>
          <w:b/>
        </w:rPr>
        <w:t xml:space="preserve">Abstract (EN): </w:t>
      </w:r>
      <w:r>
        <w:t>Peptides have emerged as promising anticancer agents due to their biocompatibility and functional versatility, such as tumor targeting and cell penetrating capabilities. However, their clinical application is often limited by poor stability and rapid clearance. To overcome these drawbacks, peptide assembly strategies have been developed. Early approaches utilized preassembled peptide nanomaterials, but these approaches faced challenges in circulation and tumor penetration. Recently, in situ peptide assembly has gained increasing attention. This strategy involves administering molecular peptide‐drug precursors that undergo stimulus‐responsive activation in the tumor microenvironment to form nanostructures locally. This process utilizes an aggregation‐induced retention (AIR) effect for enhanced drug enrichment and retention at the tumor site. Furthermore, these in situ‐formed nanoassemblies can disrupt intracellular homeostasis and induce apoptosis, amplifying therapeutic outcomes. This review systematically elaborates on the mechanisms of in situ peptide assembly, classifies the diverse stimuli triggering this process, and comprehensively summarizes its applications in cancer therapy. Finally, current challenges and prospects in this advancing field are discussed.</w:t>
      </w:r>
    </w:p>
    <w:p>
      <w:pPr>
        <w:spacing w:before="120" w:after="120"/>
      </w:pPr>
      <w:r>
        <w:rPr>
          <w:sz w:val="18"/>
        </w:rPr>
        <w:t>——————————————————————————————————————————————————————————————————————</w:t>
      </w:r>
    </w:p>
    <w:p>
      <w:pPr>
        <w:spacing w:before="160" w:after="40" w:line="240" w:lineRule="auto"/>
      </w:pPr>
      <w:r>
        <w:rPr>
          <w:b/>
        </w:rPr>
        <w:t xml:space="preserve">[1055] </w:t>
      </w:r>
      <w:hyperlink r:id="rId1840">
        <w:r>
          <w:rPr>
            <w:color w:val="1155CC"/>
            <w:u w:val="single"/>
          </w:rPr>
          <w:t>聚脯氨酸：一种具有独特性质的合成多肽</w:t>
        </w:r>
      </w:hyperlink>
    </w:p>
    <w:p>
      <w:pPr>
        <w:spacing w:before="0" w:after="80"/>
      </w:pPr>
      <w:r>
        <w:rPr>
          <w:i/>
          <w:sz w:val="20"/>
        </w:rPr>
        <w:t>EN: Polyproline: A Synthetic Polypeptide With Unique Properties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41">
        <w:r>
          <w:rPr>
            <w:color w:val="1155CC"/>
            <w:u w:val="single"/>
          </w:rPr>
          <w:t>10.1002/anie.5624080</w:t>
        </w:r>
      </w:hyperlink>
    </w:p>
    <w:p>
      <w:pPr>
        <w:spacing w:before="0" w:after="120"/>
      </w:pPr>
      <w:r>
        <w:rPr>
          <w:b/>
        </w:rPr>
        <w:t xml:space="preserve">Notes: </w:t>
      </w:r>
      <w:r>
        <w:t>abstract_source=crossref</w:t>
      </w:r>
    </w:p>
    <w:p>
      <w:pPr>
        <w:spacing w:before="0" w:after="80" w:lineRule="auto" w:line="276"/>
      </w:pPr>
      <w:r>
        <w:rPr>
          <w:b/>
        </w:rPr>
        <w:t xml:space="preserve">摘要（ZH）: </w:t>
      </w:r>
      <w:r>
        <w:t>摘要 聚脯氨酸是一种独特的多肽，其特点在于异常的构象刚性和理化行为。本小综述针对其合成与表征中的长期挑战，重点介绍了脯氨酸N-羧基环内酸酐（NCA）开环聚合的最新进展，实现了结构明确的聚脯氨酸的可控、规模化制备。这些进展为先进材料中的多样化应用打开了大门，包括利用由构象转变引起的内在热响应行为的体系，该行为导致具有明显滞后的低临界溶解温度（LCST）型相分离。新兴应用涵盖智能3D打印水凝胶、纳米颗粒、膜活性材料以及聚脯氨酸基偶联物，其中聚脯氨酸可作为聚乙二醇（PEG）的生物相容性替代品。总体而言，这些进展使聚脯氨酸成为生物材料领域的一个有前景的平台，具有增强稳定性、降低免疫原性和扩展功能多样性等优势。</w:t>
      </w:r>
    </w:p>
    <w:p>
      <w:pPr>
        <w:spacing w:before="0" w:after="200" w:lineRule="auto" w:line="276"/>
      </w:pPr>
      <w:r>
        <w:rPr>
          <w:b/>
        </w:rPr>
        <w:t xml:space="preserve">Abstract (EN): </w:t>
      </w:r>
      <w:r>
        <w:t>Polyproline is a unique polypeptide defined by its unusual conformational rigidity and physicochemical behavior. Addressing long‐standing challenges in its synthesis and characterization, this mini‐review highlights recent advances in the ring‐opening polymerization of proline N ‐carboxyanhydride (NCA), enabling the controlled and scalable preparation of well‐defined polyproline architectures. These developments have unlocked diverse applications in advanced materials, including systems that exploit intrinsic thermoresponsive behavior arising from conformational transitions, leading to Lower Critical Solution Temperature (LCST)‐type phase separation with pronounced hysteresis. Emerging applications span smart 3D printed hydrogels, nanoparticles, membrane‐active materials, and polyproline‐based conjugates, where polyproline serves as a biocompatible alternative to poly(ethylene glycol) (PEG). Collectively, these advances position polyproline as a promising platform in biomaterials, offering benefits such as enhanced stability, reduced immunogenicity, and expanded functional versatility.</w:t>
      </w:r>
    </w:p>
    <w:p>
      <w:pPr>
        <w:spacing w:before="120" w:after="120"/>
      </w:pPr>
      <w:r>
        <w:rPr>
          <w:sz w:val="18"/>
        </w:rPr>
        <w:t>——————————————————————————————————————————————————————————————————————</w:t>
      </w:r>
    </w:p>
    <w:p>
      <w:pPr>
        <w:spacing w:before="160" w:after="40" w:line="240" w:lineRule="auto"/>
      </w:pPr>
      <w:r>
        <w:rPr>
          <w:b/>
        </w:rPr>
        <w:t xml:space="preserve">[1056] </w:t>
      </w:r>
      <w:hyperlink r:id="rId1842">
        <w:r>
          <w:rPr>
            <w:color w:val="1155CC"/>
            <w:u w:val="single"/>
          </w:rPr>
          <w:t>非晶态NiFeB合金的缺陷工程用于KA油选择性转化为己二酸</w:t>
        </w:r>
      </w:hyperlink>
    </w:p>
    <w:p>
      <w:pPr>
        <w:spacing w:before="0" w:after="80"/>
      </w:pPr>
      <w:r>
        <w:rPr>
          <w:i/>
          <w:sz w:val="20"/>
        </w:rPr>
        <w:t>EN: Defect Engineering on Amorphous NiFeB Alloys for the Selective Conversion of KA Oil Into Adipic Acid</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371">
        <w:r>
          <w:rPr>
            <w:color w:val="1155CC"/>
            <w:u w:val="single"/>
          </w:rPr>
          <w:t>10.1002/anie.3494903</w:t>
        </w:r>
      </w:hyperlink>
    </w:p>
    <w:p>
      <w:pPr>
        <w:spacing w:before="0" w:after="120"/>
      </w:pPr>
      <w:r>
        <w:rPr>
          <w:b/>
        </w:rPr>
        <w:t xml:space="preserve">Notes: </w:t>
      </w:r>
      <w:r>
        <w:t>abstract_source=crossref</w:t>
      </w:r>
    </w:p>
    <w:p>
      <w:pPr>
        <w:spacing w:before="0" w:after="80" w:lineRule="auto" w:line="276"/>
      </w:pPr>
      <w:r>
        <w:rPr>
          <w:b/>
        </w:rPr>
        <w:t xml:space="preserve">摘要（ZH）: </w:t>
      </w:r>
      <w:r>
        <w:t>摘要 开发高性能电催化剂以实现KA油（环己醇和环己酮的混合物）高效转化为己二酸具有重要意义。本文合成了一系列Ni基催化剂，包括NiM（M = Fe、Cr和Mn）层状双氢氧化物（LDHs）、NiMB LDHs以及非晶态NiMB合金，用于KA油转化。在所有样品中，Ni4Fe1B合金表现出最高的ECSA归一化电流密度581.5 mA cm−2，以及在1.6 V下52.7%的己二酸选择性。这种优异的催化性能归因于硼掺杂引入的丰富缺陷，导致镍位点的电子结构修饰以及对KA油和中间体的优化吸附。Operando电化学X射线吸收精细结构分析结合Operando拉曼光谱表明，Ni4Fe1B合金对KA油的氧化涉及Ni2+向更高价态的转变，表明可能存在间接氧化途径。相比之下，Ni4Fe1B和Ni4Fe1 LDHs中Ni2+的价态保持不变，表明可能存在直接氧化机制。理论计算表明，Ni4Fe1B合金对环己醇和环己酮分子表现出强吸附，且速控步骤能垒较低（0.76 eV），与实验结果一致。</w:t>
      </w:r>
    </w:p>
    <w:p>
      <w:pPr>
        <w:spacing w:before="0" w:after="200" w:lineRule="auto" w:line="276"/>
      </w:pPr>
      <w:r>
        <w:rPr>
          <w:b/>
        </w:rPr>
        <w:t xml:space="preserve">Abstract (EN): </w:t>
      </w:r>
      <w:r>
        <w:t>Developing high‐performance electrocatalysts for the efficient conversion of KA oil (a mixture of cyclohexanol and cyclohexanone) to adipic acid holds great significance. Herein, a series of Ni‐based catalysts, including NiM (M = Fe, Cr, and Mn) layered double hydroxides (LDHs), NiMB LDHs and amorphous NiMB alloys, were synthesized for KA oil conversion. Among the samples, Ni 4 Fe 1 B alloy exhibited the highest ECSA‐normalized current density of 581.5 mA cm −2 and adipic acid selectivity of 52.7% at 1.6 V. Such superior catalytic performance is attributed to the abundant defects induced by boron incorporation, leading to modified electronic structures of nickel sites and optimized adsorption toward KA oil and intermediates. Operando electrochemical x‐ray absorption fine structure analyses, combined with operando Raman spectra, suggested that the oxidation of KA oil by Ni 4 Fe 1 B alloy involved the transformation of Ni 2+ into higher valence states, indicative of a possible indirect oxidation pathway. In contrast, the valence state of Ni 2+ in the Ni 4 Fe 1 B and Ni 4 Fe 1 LDHs remained unchanged, suggesting a possible direct oxidation mechanism. Theoretical calculations revealed that the Ni 4 Fe 1 B alloy exhibited strong adsorption toward cyclohexanol and cyclohexanone molecules and a low energy barrier (0.76 eV) for the rate‐determining step, consistent with the experimental results.</w:t>
      </w:r>
    </w:p>
    <w:p>
      <w:pPr>
        <w:spacing w:before="120" w:after="120"/>
      </w:pPr>
      <w:r>
        <w:rPr>
          <w:sz w:val="18"/>
        </w:rPr>
        <w:t>——————————————————————————————————————————————————————————————————————</w:t>
      </w:r>
    </w:p>
    <w:p>
      <w:pPr>
        <w:spacing w:before="160" w:after="40" w:line="240" w:lineRule="auto"/>
      </w:pPr>
      <w:r>
        <w:rPr>
          <w:b/>
        </w:rPr>
        <w:t xml:space="preserve">[1057] </w:t>
      </w:r>
      <w:hyperlink r:id="rId1843">
        <w:r>
          <w:rPr>
            <w:color w:val="1155CC"/>
            <w:u w:val="single"/>
          </w:rPr>
          <w:t>基质激活的适配体传感器用于人体血清分析</w:t>
        </w:r>
      </w:hyperlink>
    </w:p>
    <w:p>
      <w:pPr>
        <w:spacing w:before="0" w:after="80"/>
      </w:pPr>
      <w:r>
        <w:rPr>
          <w:i/>
          <w:sz w:val="20"/>
        </w:rPr>
        <w:t>EN: Matrix‐Activated Aptamer Sensors for Human Serum Analysis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44">
        <w:r>
          <w:rPr>
            <w:color w:val="1155CC"/>
            <w:u w:val="single"/>
          </w:rPr>
          <w:t>10.1002/anie.3409471</w:t>
        </w:r>
      </w:hyperlink>
    </w:p>
    <w:p>
      <w:pPr>
        <w:spacing w:before="0" w:after="120"/>
      </w:pPr>
      <w:r>
        <w:rPr>
          <w:b/>
        </w:rPr>
        <w:t xml:space="preserve">Notes: </w:t>
      </w:r>
      <w:r>
        <w:t>abstract_source=crossref</w:t>
      </w:r>
    </w:p>
    <w:p>
      <w:pPr>
        <w:spacing w:before="0" w:after="80" w:lineRule="auto" w:line="276"/>
      </w:pPr>
      <w:r>
        <w:rPr>
          <w:b/>
        </w:rPr>
        <w:t xml:space="preserve">摘要（ZH）: </w:t>
      </w:r>
      <w:r>
        <w:t>摘要 由于操作简便，溶液相荧光传感器在基于适配体的检测工具中占据重要地位。然而，当暴露于逐渐增加的血液液体（如人血清）中时，其性能常常受到损害，这限制了其在临床环境中的应用潜力。在此，我们介绍了一种在该生物介质中表现优异的传感平台，利用基质中含量最丰富的蛋白质，即白蛋白和免疫球蛋白G，作为荧光团标记适配体的内源性激活剂。在无目标物存在时，这些血清蛋白在原位与适配体探针发生非特异性组装。当目标物结合后，适配体-蛋白复合物被破坏，使平衡向未与生物聚合物结合的探针方向移动。荧光各向异性读数揭示了该体系对小分子目标物的响应能力，提供了在一系列高血清水平（25%–90%）范围内均能产生增强且一致响应的独特能力。由于传感器的性能可能对样品间血清差异敏感，因此采用标准加入校准方法以确保可靠的定量分析。总体而言，所提出的策略解决了显著的血清引起的干扰，并在生物学挑战性条件下保持了检测功能，从而为将均相适配体传感扩展至临床相关血液基质建立了实用框架。</w:t>
      </w:r>
    </w:p>
    <w:p>
      <w:pPr>
        <w:spacing w:before="0" w:after="200" w:lineRule="auto" w:line="276"/>
      </w:pPr>
      <w:r>
        <w:rPr>
          <w:b/>
        </w:rPr>
        <w:t xml:space="preserve">Abstract (EN): </w:t>
      </w:r>
      <w:r>
        <w:t>Owing to their ease of operation, solution‐phase fluorescent sensors hold a crucial position among aptamer‐based detection tools. However, their performance is regularly compromised when exposed to increasing levels of blood fluids, such as human serum, which limits their potential in clinical settings. Here, we introduce a sensing platform that behaves advantageously within this biological medium, leveraging the most abundant proteins in the matrix, namely albumin and immunoglobulin G, as endogenous activators of fluorophore‐labeled aptamers. In the absence of a target, these serum proteins non‐specifically assemble with the aptamer probe in situ. Upon target binding, the aptamer‐protein complexes are disrupted, shifting the equilibria toward the probe unbound to biopolymers. The fluorescence anisotropy readout reveals the system's reactivity to small‐molecule targets, offering the unique ability to provide both enhanced and consistent responses across a range of high serum levels (25%–90%). As the sensor's performance may be sensitive to inter‐sample serum variations, a standard addition calibration approach is used to ensure reliable quantitative analyses. Overall, the proposed strategy addresses substantial serum‐induced perturbations and preserves assay functionality under biologically challenging conditions, thereby establishing a practical framework for extending homogeneous aptamer‐based sensing to clinically relevant blood matrices.</w:t>
      </w:r>
    </w:p>
    <w:p>
      <w:pPr>
        <w:spacing w:before="120" w:after="120"/>
      </w:pPr>
      <w:r>
        <w:rPr>
          <w:sz w:val="18"/>
        </w:rPr>
        <w:t>——————————————————————————————————————————————————————————————————————</w:t>
      </w:r>
    </w:p>
    <w:p>
      <w:pPr>
        <w:spacing w:before="160" w:after="40" w:line="240" w:lineRule="auto"/>
      </w:pPr>
      <w:r>
        <w:rPr>
          <w:b/>
        </w:rPr>
        <w:t xml:space="preserve">[1058] </w:t>
      </w:r>
      <w:hyperlink r:id="rId1845">
        <w:r>
          <w:rPr>
            <w:color w:val="1155CC"/>
            <w:u w:val="single"/>
          </w:rPr>
          <w:t>分子内镍催化还原偶联：四氢异喹啉及相关杂环化合物的对映选择性合成</w:t>
        </w:r>
      </w:hyperlink>
    </w:p>
    <w:p>
      <w:pPr>
        <w:spacing w:before="0" w:after="80"/>
      </w:pPr>
      <w:r>
        <w:rPr>
          <w:i/>
          <w:sz w:val="20"/>
        </w:rPr>
        <w:t>EN: Intramolecular Nickel‐Catalyzed Reductive Coupling: Enantioselective Synthesis of Tetrahydroisoquinolines and Related Heterocycles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46">
        <w:r>
          <w:rPr>
            <w:color w:val="1155CC"/>
            <w:u w:val="single"/>
          </w:rPr>
          <w:t>10.1002/anie.6219487</w:t>
        </w:r>
      </w:hyperlink>
    </w:p>
    <w:p>
      <w:pPr>
        <w:spacing w:before="0" w:after="120"/>
      </w:pPr>
      <w:r>
        <w:rPr>
          <w:b/>
        </w:rPr>
        <w:t xml:space="preserve">Notes: </w:t>
      </w:r>
      <w:r>
        <w:t>abstract_source=crossref</w:t>
      </w:r>
    </w:p>
    <w:p>
      <w:pPr>
        <w:spacing w:before="0" w:after="80" w:lineRule="auto" w:line="276"/>
      </w:pPr>
      <w:r>
        <w:rPr>
          <w:b/>
        </w:rPr>
        <w:t xml:space="preserve">摘要（ZH）: </w:t>
      </w:r>
      <w:r>
        <w:t>摘要 P ‐手性膦配体AntPhos被发现是镍催化带有系链醛基的5-氨基取代2,4-二烯酸酯分子内还原偶联反应的首选配体。这种构建杂环化合物的方法在文献中鲜有先例；除其他外，它可便捷地获得含有anti 构型氨基醇结构单元的羟基化四氢异喹啉衍生物，而这类化合物难以通过其他方法以光学活性形式制备。这些化合物适用于多种下游官能化，例如将系列中的一个代表性成员快速转化为氟化杂环砌块，以及以两种不同取代形式转化为具有强细胞毒性的菲并喹诺里西定生物碱的核心区域。结合晶体学数据的详细NMR研究使得对主要生成的活性氧杂镍环中间体中烯丙基镍亚单元的键合模式进行了表征。此外，还获得了与理解该金属催化C─C键形成立体化学过程相关的构象方面的认识，该过程导致在vic 氨基醇亚单元上生成两个立体中心。</w:t>
      </w:r>
    </w:p>
    <w:p>
      <w:pPr>
        <w:spacing w:before="0" w:after="200" w:lineRule="auto" w:line="276"/>
      </w:pPr>
      <w:r>
        <w:rPr>
          <w:b/>
        </w:rPr>
        <w:t xml:space="preserve">Abstract (EN): </w:t>
      </w:r>
      <w:r>
        <w:t>The P ‐chiral phosphine AntPhos was found to be the ligand of choice for nickel‐catalyzed intramolecular reductive coupling reactions of 5‐amino substituted 2,4‐dienoates bearing a tethered aldehyde. This approach to heterocyclic compounds has little precedent in the literature; it provides, inter alia, ready access to hydroxylated tetrahydroisoquinoline derivatives comprising an anti ‐configured amino alcohol motif, which are difficult to make in optically active form otherwise. These compounds qualify for diverse downstream functionalization as exemplified by the swift elaboration of a representative member of the series into a fluorinated heterocyclic building block as well as into the core region of potently cytotoxic phenanthroquinolizidine alkaloids in two differently substituted formats. Detailed NMR studies in combination with crystallographic data allowed the reactive oxanickelacycle intermediates primarily formed to be characterized with regard to the bonding mode of the allylnickel subunit that they comprise. Moreover, insights into conformational aspects pertinent to the understanding of the stereochemical course of this metal‐catalyzed C─C‐bond formation were gained, which leads to the generation of two stereogenic centers at the vic ‐amino alcohol subunit.</w:t>
      </w:r>
    </w:p>
    <w:p>
      <w:pPr>
        <w:spacing w:before="120" w:after="120"/>
      </w:pPr>
      <w:r>
        <w:rPr>
          <w:sz w:val="18"/>
        </w:rPr>
        <w:t>——————————————————————————————————————————————————————————————————————</w:t>
      </w:r>
    </w:p>
    <w:p>
      <w:pPr>
        <w:spacing w:before="160" w:after="40" w:line="240" w:lineRule="auto"/>
      </w:pPr>
      <w:r>
        <w:rPr>
          <w:b/>
        </w:rPr>
        <w:t xml:space="preserve">[1059] </w:t>
      </w:r>
      <w:hyperlink r:id="rId1847">
        <w:r>
          <w:rPr>
            <w:color w:val="1155CC"/>
            <w:u w:val="single"/>
          </w:rPr>
          <w:t>二维共价有机框架作为稳健的n型有机混合离子-电子导体用于电化学晶体管</w:t>
        </w:r>
      </w:hyperlink>
    </w:p>
    <w:p>
      <w:pPr>
        <w:spacing w:before="0" w:after="80"/>
      </w:pPr>
      <w:r>
        <w:rPr>
          <w:i/>
          <w:sz w:val="20"/>
        </w:rPr>
        <w:t>EN: 2D Covalent Organic Frameworks as Robust n‐Type Organic Mixed Ionic‐Electronic Conductors for Electrochemical Transistors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48">
        <w:r>
          <w:rPr>
            <w:color w:val="1155CC"/>
            <w:u w:val="single"/>
          </w:rPr>
          <w:t>10.1002/anie.5032409</w:t>
        </w:r>
      </w:hyperlink>
    </w:p>
    <w:p>
      <w:pPr>
        <w:spacing w:before="0" w:after="120"/>
      </w:pPr>
      <w:r>
        <w:rPr>
          <w:b/>
        </w:rPr>
        <w:t xml:space="preserve">Notes: </w:t>
      </w:r>
      <w:r>
        <w:t>abstract_source=crossref</w:t>
      </w:r>
    </w:p>
    <w:p>
      <w:pPr>
        <w:spacing w:before="0" w:after="80" w:lineRule="auto" w:line="276"/>
      </w:pPr>
      <w:r>
        <w:rPr>
          <w:b/>
        </w:rPr>
        <w:t xml:space="preserve">摘要（ZH）: </w:t>
      </w:r>
      <w:r>
        <w:t>摘要 有机混合离子-电子导体（OMIECs）凭借其独特的电化学调制以及离子与电子之间的耦合，在生物电子学、逻辑电路和可穿戴器件中展现出引人瞩目的效率。然而，OMIECs 通常是线性聚合物，其在电化学掺杂过程中过度的结构溶胀和形貌无序导致了低性能和不稳定性。在此，我们报道了作为新型 OMIECs 的 n 型二维共价有机框架（2D COFs）（BTID-BFDO COF 和 BTDD-BFDO COF）。刚性 π 共轭骨架既充当电荷传输通道，又充当离子-电子耦合平面，而纳米通道则作为快速离子传输的方向性导管。与线性对应物相比，基于 2D OMIECs 的 OECTs 表现出理想的阈值电压（开关电流比（10^3））和高稳定性（连续运行期间调制电流保持率为 91.3%）(</w:t>
      </w:r>
    </w:p>
    <w:p>
      <w:pPr>
        <w:spacing w:before="0" w:after="200" w:lineRule="auto" w:line="276"/>
      </w:pPr>
      <w:r>
        <w:rPr>
          <w:b/>
        </w:rPr>
        <w:t xml:space="preserve">Abstract (EN): </w:t>
      </w:r>
      <w:r>
        <w:t>Organic mixed ionic‐electronic conductors (OMIECs) with exclusive electrochemical modulation and coupling between ions and electrons have exhibited intriguing efficiencies in bioelectronics, logic circuits, and wearable devices. However, OMIECs are typically linear polymers whose excessive structural swelling and morphological disorder during electrochemical doping led to low performance and instability. Here, we report n‐type 2D covalent organic frameworks (2D COFs) as novel OMIECs (BTID‐BFDO COF and BTDD‐BFDO COF). The rigid π‐conjugated scaffold functions as both a charge transport pathway and an ion‐electron coupling plane, whilst the nanochannels serve as directional conduits for rapid ion transport. 2D OMIECs‐based OECTs exhibit favorable threshold voltages (on /I off ratios (10 3 ) and high stability (modulation current retention rate of 91.3% during continuous operation) compared with the linear counterpart (</w:t>
      </w:r>
    </w:p>
    <w:p>
      <w:pPr>
        <w:spacing w:before="120" w:after="120"/>
      </w:pPr>
      <w:r>
        <w:rPr>
          <w:sz w:val="18"/>
        </w:rPr>
        <w:t>——————————————————————————————————————————————————————————————————————</w:t>
      </w:r>
    </w:p>
    <w:p>
      <w:pPr>
        <w:spacing w:before="160" w:after="40" w:line="240" w:lineRule="auto"/>
      </w:pPr>
      <w:r>
        <w:rPr>
          <w:b/>
        </w:rPr>
        <w:t xml:space="preserve">[1060] </w:t>
      </w:r>
      <w:hyperlink r:id="rId1849">
        <w:r>
          <w:rPr>
            <w:color w:val="1155CC"/>
            <w:u w:val="single"/>
          </w:rPr>
          <w:t>电化学钴/钒接力催化：烯烃的马氏对映选择性加氢氧官能化反应</w:t>
        </w:r>
      </w:hyperlink>
    </w:p>
    <w:p>
      <w:pPr>
        <w:spacing w:before="0" w:after="80"/>
      </w:pPr>
      <w:r>
        <w:rPr>
          <w:i/>
          <w:sz w:val="20"/>
        </w:rPr>
        <w:t>EN: Electrochemical Cobalt/Vanadium Relay Catalysis: Enantioselective Markovnikov Hydrooxygenation of Alkenes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50">
        <w:r>
          <w:rPr>
            <w:color w:val="1155CC"/>
            <w:u w:val="single"/>
          </w:rPr>
          <w:t>10.1002/anie.1324586</w:t>
        </w:r>
      </w:hyperlink>
    </w:p>
    <w:p>
      <w:pPr>
        <w:spacing w:before="0" w:after="120"/>
      </w:pPr>
      <w:r>
        <w:rPr>
          <w:b/>
        </w:rPr>
        <w:t xml:space="preserve">Notes: </w:t>
      </w:r>
      <w:r>
        <w:t>abstract_source=crossref</w:t>
      </w:r>
    </w:p>
    <w:p>
      <w:pPr>
        <w:spacing w:before="0" w:after="80" w:lineRule="auto" w:line="276"/>
      </w:pPr>
      <w:r>
        <w:rPr>
          <w:b/>
        </w:rPr>
        <w:t xml:space="preserve">摘要（ZH）: </w:t>
      </w:r>
      <w:r>
        <w:t>摘要 烯烃的直接对映选择性分子间 Markovnikov 羟氧基化仍然是一项基础性挑战，因为它需要同时控制区域选择性、立体化学和反应活性。在此，我们报道了一种电化学钴/钒接力催化策略，通过在两个不同的催化事件中解耦区域选择性和立体化学控制来克服这些限制。钴氢化物通过金属-氢原子转移选择性作用于烯烃，生成 Markovnikov 烷基自由基，而钒催化剂则介导随后的决定立体化学的双分子均裂取代（S H 2），以高对映选择性形成 C─O 键。对钴和钒氧化还原态的电化学调制实现了温和条件下的高效催化接力，抑制了过度氧化路径并免除了对化学计量化学氧化剂的需求。该方法可获得范围广泛的对映富集醇及其衍生物，具有高官能团耐受性和可扩展性，为药物相关骨架提供了简捷的合成途径。更广泛地说，所展示的钒催化不对称成键与电化学控制的相容性，为通过自由基中间体进行立体选择性 C─O 键构建建立了一个通用框架。</w:t>
      </w:r>
    </w:p>
    <w:p>
      <w:pPr>
        <w:spacing w:before="0" w:after="200" w:lineRule="auto" w:line="276"/>
      </w:pPr>
      <w:r>
        <w:rPr>
          <w:b/>
        </w:rPr>
        <w:t xml:space="preserve">Abstract (EN): </w:t>
      </w:r>
      <w:r>
        <w:t>The direct enantioselective intermolecular Markovnikov hydrooxygenation of alkenes remains a fundamental challenge, as it requires simultaneous control over regioselectivity, stereochemistry, and reactivity. Here we report an electrochemical cobalt/vanadium relay catalytic strategy that overcomes these constraints by decoupling regio‐ and stereochemical control across two distinct catalytic events. A cobalt hydride selectively engages alkenes through metal–hydride hydrogen atom transfer to generate a Markovnikov alkyl radical, while a vanadium catalyst mediates a subsequent stereodetermining bimolecular homolytic substitution (S H 2) to form the C─O bond with high enantioselectivity. Electrochemical modulation of the cobalt and vanadium redox states enables efficient catalytic relay under mild conditions, suppressing overoxidation pathways and eliminating the need for stoichiometric chemical oxidants. This approach provides access to a broad range of enantioenriched alcohols and derivatives with high functional group tolerance and scalability, offering streamlined access to pharmaceutically relevant scaffolds. More broadly, the demonstrated compatibility of vanadium‐catalyzed asymmetric bond formation with electrochemical control establishes a general framework for stereoselective C─O bond construction via radical intermediates.</w:t>
      </w:r>
    </w:p>
    <w:p>
      <w:pPr>
        <w:spacing w:before="120" w:after="120"/>
      </w:pPr>
      <w:r>
        <w:rPr>
          <w:sz w:val="18"/>
        </w:rPr>
        <w:t>——————————————————————————————————————————————————————————————————————</w:t>
      </w:r>
    </w:p>
    <w:p>
      <w:pPr>
        <w:spacing w:before="160" w:after="40" w:line="240" w:lineRule="auto"/>
      </w:pPr>
      <w:r>
        <w:rPr>
          <w:b/>
        </w:rPr>
        <w:t xml:space="preserve">[1061] </w:t>
      </w:r>
      <w:hyperlink r:id="rId1851">
        <w:r>
          <w:rPr>
            <w:color w:val="1155CC"/>
            <w:u w:val="single"/>
          </w:rPr>
          <w:t>用于高通量重构神经回路的条形码狂犬病原位连接组学</w:t>
        </w:r>
      </w:hyperlink>
    </w:p>
    <w:p>
      <w:pPr>
        <w:spacing w:before="0" w:after="80"/>
      </w:pPr>
      <w:r>
        <w:rPr>
          <w:i/>
          <w:sz w:val="20"/>
        </w:rPr>
        <w:t>EN: Barcoded Rabies In Situ Connectomics for high-throughput reconstruction of neural circuits</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对神经元网络如何执行神经计算进行机制性理解需要了解其潜在的突触连接。然而，目前的突触连接重建方法极为费力，且通常仅限于映射邻近神经元之间的连接。在此，我们开发了条形码狂犬病原位连接组学（BRISC），该技术利用携带随机分子条形码的狂犬病病毒，可并行映射数百个神经元的局部和长程单突触输入。为确保大多数突触后起始神经元被独特的条形码序列标记，我们构建了具有足够多样性的狂犬病病毒库以标记 &gt;1000 个神经元，并通过限制起始神经元的密度来控制条形码在起始神经元之间传递的概率。我们将 BRISC 应用于映射小鼠初级视觉皮层中单个神经元的输入。我们在原位读取狂犬病感染神经元中病毒条形码的表达，从而保留空间信息。随后，我们在起始神经元和突触前神经元之间匹配条形码序列，映射了 385 个神经元的输入并鉴定了 7,814 个推定的突触连接，揭示了分层和细胞类型特异性的局部连接规则以及长程输入的拓扑组织。这些结果表明 BRISC 能够同时解析数百个神经元的突触连接，从而以前所未有的规模实现神经回路的重建。</w:t>
      </w:r>
    </w:p>
    <w:p>
      <w:pPr>
        <w:spacing w:before="0" w:after="200" w:lineRule="auto" w:line="276"/>
      </w:pPr>
      <w:r>
        <w:rPr>
          <w:b/>
        </w:rPr>
        <w:t xml:space="preserve">Abstract (EN): </w:t>
      </w:r>
      <w:r>
        <w:t>Mechanistic understanding of how networks of neurons carry out neural computations requires knowledge of their underlying synaptic connectivity. However, current methods for reconstructing synaptic connections are extremely laborious and typically limited to mapping connections between nearby neurons. Here we developed Barcoded Rabies In Situ Connectomics (BRISC), which uses rabies viruses carrying random molecular barcodes to map both local and long-range monosynaptic inputs of hundreds of neurons in parallel. To ensure that the majority of post-synaptic starter neurons are uniquely labeled with distinct barcode sequences, we generated libraries of rabies viruses with sufficient diversity to label &gt;1000 neurons and controlled the probability of barcode transmission between starter neurons by limiting their density. We applied BRISC to map inputs of single neurons in the mouse primary visual cortex. We read out the expression of viral barcodes in rabies-infected neurons in situ, preserving spatial information. We then matched barcode sequences between starter and presynaptic neurons, mapping the inputs of 385 neurons and identifying 7,814 putative synaptic connections, revealing layer- and cell-type-specific local connectivity rules and topographic organization of long-range inputs. These results show that BRISC can simultaneously resolve the synaptic connectivity of hundreds of neurons, enabling reconstruction of neural circuits at an unprecedented scale.</w:t>
      </w:r>
    </w:p>
    <w:p>
      <w:pPr>
        <w:spacing w:before="120" w:after="120"/>
      </w:pPr>
      <w:r>
        <w:rPr>
          <w:sz w:val="18"/>
        </w:rPr>
        <w:t>——————————————————————————————————————————————————————————————————————</w:t>
      </w:r>
    </w:p>
    <w:p>
      <w:pPr>
        <w:spacing w:before="160" w:after="40" w:line="240" w:lineRule="auto"/>
      </w:pPr>
      <w:r>
        <w:rPr>
          <w:b/>
        </w:rPr>
        <w:t xml:space="preserve">[1062] </w:t>
      </w:r>
      <w:hyperlink r:id="rId1770">
        <w:r>
          <w:rPr>
            <w:color w:val="1155CC"/>
            <w:u w:val="single"/>
          </w:rPr>
          <w:t>通过具有可调刚性的聚合物受体实现热稳定的有机光电探测器</w:t>
        </w:r>
      </w:hyperlink>
    </w:p>
    <w:p>
      <w:pPr>
        <w:spacing w:before="0" w:after="80"/>
      </w:pPr>
      <w:r>
        <w:rPr>
          <w:i/>
          <w:sz w:val="20"/>
        </w:rPr>
        <w:t>EN: Thermally Robust Organic Photodetectors Enabled by Polymer Acceptors with Tunable Rigidity</w:t>
      </w:r>
    </w:p>
    <w:p>
      <w:pPr>
        <w:spacing w:before="0" w:after="120"/>
      </w:pPr>
      <w:r>
        <w:rPr>
          <w:b/>
        </w:rPr>
        <w:t xml:space="preserve">Source: </w:t>
      </w:r>
      <w:r>
        <w:t>ACS Energy Letters</w:t>
      </w:r>
      <w:r>
        <w:t xml:space="preserve">    </w:t>
      </w:r>
      <w:r>
        <w:rPr>
          <w:b/>
        </w:rPr>
        <w:t xml:space="preserve">Pub date: </w:t>
      </w:r>
      <w:r>
        <w:t>2026-09-02 00:00:00+00:00</w:t>
      </w:r>
      <w:r>
        <w:t xml:space="preserve">    </w:t>
      </w:r>
      <w:r>
        <w:rPr>
          <w:b/>
        </w:rPr>
        <w:t xml:space="preserve">DOI: </w:t>
      </w:r>
      <w:hyperlink r:id="rId1770">
        <w:r>
          <w:rPr>
            <w:color w:val="1155CC"/>
            <w:u w:val="single"/>
          </w:rPr>
          <w:t>10.1021/acsenergylett.6c01868</w:t>
        </w:r>
      </w:hyperlink>
    </w:p>
    <w:p>
      <w:pPr>
        <w:spacing w:before="0" w:after="120"/>
      </w:pPr>
      <w:r>
        <w:rPr>
          <w:b/>
        </w:rPr>
        <w:t xml:space="preserve">Notes: </w:t>
      </w:r>
      <w:r>
        <w:t>abstract_source=crossref</w:t>
      </w:r>
    </w:p>
    <w:p>
      <w:pPr>
        <w:spacing w:before="0" w:after="80" w:lineRule="auto" w:line="276"/>
      </w:pPr>
      <w:r>
        <w:rPr>
          <w:b/>
        </w:rPr>
        <w:t xml:space="preserve">摘要（ZH）: </w:t>
      </w:r>
      <w:r>
        <w:t>摘要 有机光电探测器（OPDs）已成为下一代光电应用的有前途的候选者。然而，其低热稳定性阻碍了广泛应用。本研究通过考察采用三种聚合物受体（PF5-Y5、PYTS-C2 和 PY2TS-C2，与聚合物给体 PBDB-T 配对）的 OPDs 的性能来解决这一问题。这些器件表现出显著提高的抗热应力能力。在 150 °C 退火 1 小时后，基于 PF5-Y5 的 OPDs 可保持低于 1 × 10–6 A/cm2 的暗电流密度（Jd）和高于 50% 的外量子效率（EQE），比探测率达 1.7 × 1011 Jones。详细分析表明，基于 PF5-Y5 的 OPDs 中 EQE 的下降源于电子迁移率的降低，而 PY2TS-C2 和 Y6 体系中 Jd 的增加则归因于聚集和相分离的增强以及 C60 和电极的扩散。这些结果凸显了聚合物受体在增强热稳健性方面的优势，并为开发热稳定的 OPDs 提供了设计策略。</w:t>
      </w:r>
    </w:p>
    <w:p>
      <w:pPr>
        <w:spacing w:before="0" w:after="200" w:lineRule="auto" w:line="276"/>
      </w:pPr>
      <w:r>
        <w:rPr>
          <w:b/>
        </w:rPr>
        <w:t xml:space="preserve">Abstract (EN): </w:t>
      </w:r>
      <w:r>
        <w:t>Organic photodetectors (OPDs) have emerged as promising candidates for next-generation optoelectronic applications. However, their widespread adoption is hindered by the low thermal stability. This study addresses this issue by investigating the performance of OPDs employing three polymer acceptors: PF5-Y5, PYTS-C2, and PY2TS-C2 paired with the PBDB-T polymer donor. These devices demonstrate significantly improved resistance to thermal stress. After annealing at 150 °C for 1 h, the PF5-Y5-based OPDs can maintain a dark current density (Jd) below 1 × 10–6 A/cm2 and an external quantum efficiency (EQE) above 50%, leading to a specific detectivity of 1.7 × 1011 Jones. Detailed analysis reveals that the EQE drop in the PF5-Y5-based OPDs is due to decreased electron mobility, and Jd increases in the PY2TS-C2 and Y6 systems are attributed to enhanced aggregation and phase separation and C60 and electrode diffusion. These results highlight the advantages of polymer acceptors in enhancing thermal robustness and provide design strategies for developing thermally stable OPDs.</w:t>
      </w:r>
    </w:p>
    <w:p>
      <w:pPr>
        <w:spacing w:before="120" w:after="120"/>
      </w:pPr>
      <w:r>
        <w:rPr>
          <w:sz w:val="18"/>
        </w:rPr>
        <w:t>——————————————————————————————————————————————————————————————————————</w:t>
      </w:r>
    </w:p>
    <w:p>
      <w:pPr>
        <w:spacing w:before="160" w:after="40" w:line="240" w:lineRule="auto"/>
      </w:pPr>
      <w:r>
        <w:rPr>
          <w:b/>
        </w:rPr>
        <w:t xml:space="preserve">[1063] </w:t>
      </w:r>
      <w:hyperlink r:id="rId1852">
        <w:r>
          <w:rPr>
            <w:color w:val="1155CC"/>
            <w:u w:val="single"/>
          </w:rPr>
          <w:t>Kerr-Bertotti-Robinson黑洞的最内稳定圆轨道及其旋进：精确解</w:t>
        </w:r>
      </w:hyperlink>
    </w:p>
    <w:p>
      <w:pPr>
        <w:spacing w:before="0" w:after="80"/>
      </w:pPr>
      <w:r>
        <w:rPr>
          <w:i/>
          <w:sz w:val="20"/>
        </w:rPr>
        <w:t>EN: Innermost stable circular orbit of Kerr-Bertotti-Robinson black holes and inspirals from it: Exact solutions</w:t>
      </w:r>
    </w:p>
    <w:p>
      <w:pPr>
        <w:spacing w:before="0" w:after="120"/>
      </w:pPr>
      <w:r>
        <w:rPr>
          <w:b/>
        </w:rPr>
        <w:t xml:space="preserve">Source: </w:t>
      </w:r>
      <w:r>
        <w:t>ScienceDirect Publication: Physics Letters B</w:t>
      </w:r>
      <w:r>
        <w:t xml:space="preserve">    </w:t>
      </w:r>
      <w:r>
        <w:rPr>
          <w:b/>
        </w:rPr>
        <w:t xml:space="preserve">Pub date: </w:t>
      </w:r>
      <w:r>
        <w:t>2026-09-02 00:00:00+00:00</w:t>
      </w:r>
      <w:r>
        <w:t xml:space="preserve">    </w:t>
      </w:r>
      <w:r>
        <w:rPr>
          <w:b/>
        </w:rPr>
        <w:t xml:space="preserve">DOI: </w:t>
      </w:r>
      <w:hyperlink r:id="rId1853">
        <w:r>
          <w:rPr>
            <w:color w:val="1155CC"/>
            <w:u w:val="single"/>
          </w:rPr>
          <w:t>10.1016/j.physletb.2026.140913</w:t>
        </w:r>
      </w:hyperlink>
    </w:p>
    <w:p>
      <w:pPr>
        <w:spacing w:before="0" w:after="120"/>
      </w:pPr>
      <w:r>
        <w:rPr>
          <w:b/>
        </w:rPr>
        <w:t xml:space="preserve">Notes: </w:t>
      </w:r>
      <w:r>
        <w:t>abstract_source=rss_description</w:t>
      </w:r>
    </w:p>
    <w:p>
      <w:pPr>
        <w:spacing w:before="0" w:after="80" w:lineRule="auto" w:line="276"/>
      </w:pPr>
      <w:r>
        <w:rPr>
          <w:b/>
        </w:rPr>
        <w:t xml:space="preserve">摘要（ZH）: </w:t>
      </w:r>
      <w:r>
        <w:t>出版日期：2026年9月2日在线发表来源：Physics Letters B作者：Tower Wang</w:t>
      </w:r>
    </w:p>
    <w:p>
      <w:pPr>
        <w:spacing w:before="0" w:after="200" w:lineRule="auto" w:line="276"/>
      </w:pPr>
      <w:r>
        <w:rPr>
          <w:b/>
        </w:rPr>
        <w:t xml:space="preserve">Abstract (EN): </w:t>
      </w:r>
      <w:r>
        <w:t>Publication date: Available online 2 September 2026Source: Physics Letters BAuthor(s): Tower Wang</w:t>
      </w:r>
    </w:p>
    <w:p>
      <w:pPr>
        <w:spacing w:before="120" w:after="120"/>
      </w:pPr>
      <w:r>
        <w:rPr>
          <w:sz w:val="18"/>
        </w:rPr>
        <w:t>——————————————————————————————————————————————————————————————————————</w:t>
      </w:r>
    </w:p>
    <w:p>
      <w:pPr>
        <w:spacing w:before="160" w:after="40" w:line="240" w:lineRule="auto"/>
      </w:pPr>
      <w:r>
        <w:rPr>
          <w:b/>
        </w:rPr>
        <w:t xml:space="preserve">[1064] </w:t>
      </w:r>
      <w:hyperlink r:id="rId1854">
        <w:r>
          <w:rPr>
            <w:color w:val="1155CC"/>
            <w:u w:val="single"/>
          </w:rPr>
          <w:t>EMRI系统中拓扑等价但辐射特性不同的轨道</w:t>
        </w:r>
      </w:hyperlink>
    </w:p>
    <w:p>
      <w:pPr>
        <w:spacing w:before="0" w:after="80"/>
      </w:pPr>
      <w:r>
        <w:rPr>
          <w:i/>
          <w:sz w:val="20"/>
        </w:rPr>
        <w:t>EN: Topologically equivalent yet radiatively distinct orbits in EMRI system</w:t>
      </w:r>
    </w:p>
    <w:p>
      <w:pPr>
        <w:spacing w:before="0" w:after="120"/>
      </w:pPr>
      <w:r>
        <w:rPr>
          <w:b/>
        </w:rPr>
        <w:t xml:space="preserve">Source: </w:t>
      </w:r>
      <w:r>
        <w:t>ScienceDirect Publication: Physics Letters B</w:t>
      </w:r>
      <w:r>
        <w:t xml:space="preserve">    </w:t>
      </w:r>
      <w:r>
        <w:rPr>
          <w:b/>
        </w:rPr>
        <w:t xml:space="preserve">Pub date: </w:t>
      </w:r>
      <w:r>
        <w:t>2026-09-02 00:00:00+00:00</w:t>
      </w:r>
      <w:r>
        <w:t xml:space="preserve">    </w:t>
      </w:r>
      <w:r>
        <w:rPr>
          <w:b/>
        </w:rPr>
        <w:t xml:space="preserve">DOI: </w:t>
      </w:r>
      <w:hyperlink r:id="rId1855">
        <w:r>
          <w:rPr>
            <w:color w:val="1155CC"/>
            <w:u w:val="single"/>
          </w:rPr>
          <w:t>10.1016/j.physletb.2026.140924</w:t>
        </w:r>
      </w:hyperlink>
    </w:p>
    <w:p>
      <w:pPr>
        <w:spacing w:before="0" w:after="120"/>
      </w:pPr>
      <w:r>
        <w:rPr>
          <w:b/>
        </w:rPr>
        <w:t xml:space="preserve">Notes: </w:t>
      </w:r>
      <w:r>
        <w:t>abstract_source=rss_description</w:t>
      </w:r>
    </w:p>
    <w:p>
      <w:pPr>
        <w:spacing w:before="0" w:after="80" w:lineRule="auto" w:line="276"/>
      </w:pPr>
      <w:r>
        <w:rPr>
          <w:b/>
        </w:rPr>
        <w:t xml:space="preserve">摘要（ZH）: </w:t>
      </w:r>
      <w:r>
        <w:t>出版日期：2026年9月2日在线发表 来源：Physics Letters B 作者：Chao-Hui Wang, Shao-Wen Wei, Tao Zhu, Yu-Xiao Liu</w:t>
      </w:r>
    </w:p>
    <w:p>
      <w:pPr>
        <w:spacing w:before="0" w:after="200" w:lineRule="auto" w:line="276"/>
      </w:pPr>
      <w:r>
        <w:rPr>
          <w:b/>
        </w:rPr>
        <w:t xml:space="preserve">Abstract (EN): </w:t>
      </w:r>
      <w:r>
        <w:t>Publication date: Available online 2 September 2026Source: Physics Letters BAuthor(s): Chao-Hui Wang, Shao-Wen Wei, Tao Zhu, Yu-Xiao Liu</w:t>
      </w:r>
    </w:p>
    <w:p>
      <w:pPr>
        <w:spacing w:before="120" w:after="120"/>
      </w:pPr>
      <w:r>
        <w:rPr>
          <w:sz w:val="18"/>
        </w:rPr>
        <w:t>——————————————————————————————————————————————————————————————————————</w:t>
      </w:r>
    </w:p>
    <w:p>
      <w:pPr>
        <w:spacing w:before="160" w:after="40" w:line="240" w:lineRule="auto"/>
      </w:pPr>
      <w:r>
        <w:rPr>
          <w:b/>
        </w:rPr>
        <w:t xml:space="preserve">[1065] </w:t>
      </w:r>
      <w:hyperlink r:id="rId1856">
        <w:r>
          <w:rPr>
            <w:color w:val="1155CC"/>
            <w:u w:val="single"/>
          </w:rPr>
          <w:t>A=4核与超核的神经网络激发态</w:t>
        </w:r>
      </w:hyperlink>
    </w:p>
    <w:p>
      <w:pPr>
        <w:spacing w:before="0" w:after="80"/>
      </w:pPr>
      <w:r>
        <w:rPr>
          <w:i/>
          <w:sz w:val="20"/>
        </w:rPr>
        <w:t>EN: Neural-network excited states of A=4 nuclei and hypernuclei</w:t>
      </w:r>
    </w:p>
    <w:p>
      <w:pPr>
        <w:spacing w:before="0" w:after="120"/>
      </w:pPr>
      <w:r>
        <w:rPr>
          <w:b/>
        </w:rPr>
        <w:t xml:space="preserve">Source: </w:t>
      </w:r>
      <w:r>
        <w:t>ScienceDirect Publication: Physics Letters B</w:t>
      </w:r>
      <w:r>
        <w:t xml:space="preserve">    </w:t>
      </w:r>
      <w:r>
        <w:rPr>
          <w:b/>
        </w:rPr>
        <w:t xml:space="preserve">Pub date: </w:t>
      </w:r>
      <w:r>
        <w:t>2026-09-02 00:00:00+00:00</w:t>
      </w:r>
      <w:r>
        <w:t xml:space="preserve">    </w:t>
      </w:r>
      <w:r>
        <w:rPr>
          <w:b/>
        </w:rPr>
        <w:t xml:space="preserve">DOI: </w:t>
      </w:r>
      <w:hyperlink r:id="rId1857">
        <w:r>
          <w:rPr>
            <w:color w:val="1155CC"/>
            <w:u w:val="single"/>
          </w:rPr>
          <w:t>10.1016/j.physletb.2026.140911</w:t>
        </w:r>
      </w:hyperlink>
    </w:p>
    <w:p>
      <w:pPr>
        <w:spacing w:before="0" w:after="120"/>
      </w:pPr>
      <w:r>
        <w:rPr>
          <w:b/>
        </w:rPr>
        <w:t xml:space="preserve">Notes: </w:t>
      </w:r>
      <w:r>
        <w:t>abstract_source=rss_description</w:t>
      </w:r>
    </w:p>
    <w:p>
      <w:pPr>
        <w:spacing w:before="0" w:after="80" w:lineRule="auto" w:line="276"/>
      </w:pPr>
      <w:r>
        <w:rPr>
          <w:b/>
        </w:rPr>
        <w:t xml:space="preserve">摘要（ZH）: </w:t>
      </w:r>
      <w:r>
        <w:t>出版日期：2026年9月2日在线发表 来源：Physics Letters B 作者：Zi-Xiao Zhang, Yi-Long Yang, Xiao-Lu Qian, Wan-Bing He, Peng-Wei Zhao, Bing-Nan Lu, Yu-Gang Ma</w:t>
      </w:r>
    </w:p>
    <w:p>
      <w:pPr>
        <w:spacing w:before="0" w:after="200" w:lineRule="auto" w:line="276"/>
      </w:pPr>
      <w:r>
        <w:rPr>
          <w:b/>
        </w:rPr>
        <w:t xml:space="preserve">Abstract (EN): </w:t>
      </w:r>
      <w:r>
        <w:t>Publication date: Available online 2 September 2026Source: Physics Letters BAuthor(s): Zi-Xiao Zhang, Yi-Long Yang, Xiao-Lu Qian, Wan-Bing He, Peng-Wei Zhao, Bing-Nan Lu, Yu-Gang Ma</w:t>
      </w:r>
    </w:p>
    <w:p>
      <w:pPr>
        <w:spacing w:before="120" w:after="120"/>
      </w:pPr>
      <w:r>
        <w:rPr>
          <w:sz w:val="18"/>
        </w:rPr>
        <w:t>——————————————————————————————————————————————————————————————————————</w:t>
      </w:r>
    </w:p>
    <w:p>
      <w:pPr>
        <w:spacing w:before="160" w:after="40" w:line="240" w:lineRule="auto"/>
      </w:pPr>
      <w:r>
        <w:rPr>
          <w:b/>
        </w:rPr>
        <w:t xml:space="preserve">[1066] </w:t>
      </w:r>
      <w:hyperlink r:id="rId1858">
        <w:r>
          <w:rPr>
            <w:color w:val="1155CC"/>
            <w:u w:val="single"/>
          </w:rPr>
          <w:t>YM-216391的生物合成揭示了一种双功能α-酮戊二酸依赖性酶在RiPPs中催化羟基化和差向异构化</w:t>
        </w:r>
      </w:hyperlink>
    </w:p>
    <w:p>
      <w:pPr>
        <w:spacing w:before="0" w:after="80"/>
      </w:pPr>
      <w:r>
        <w:rPr>
          <w:i/>
          <w:sz w:val="20"/>
        </w:rPr>
        <w:t>EN: Biosynthesis of YM-216391 Unveils a Bifunctional α-Ketoglutarate-Dependent Enzyme Catalyzes Hydroxylation and Epimerization in RiPPs</w:t>
      </w:r>
    </w:p>
    <w:p>
      <w:pPr>
        <w:spacing w:before="0" w:after="120"/>
      </w:pPr>
      <w:r>
        <w:rPr>
          <w:b/>
        </w:rPr>
        <w:t xml:space="preserve">Source: </w:t>
      </w:r>
      <w:r>
        <w:t>Journal of the American Chemical Society: Latest Articles (ACS Publications)</w:t>
      </w:r>
      <w:r>
        <w:t xml:space="preserve">    </w:t>
      </w:r>
      <w:r>
        <w:rPr>
          <w:b/>
        </w:rPr>
        <w:t xml:space="preserve">Pub date: </w:t>
      </w:r>
      <w:r>
        <w:t>2026-09-02 00:00:00+00:00</w:t>
      </w:r>
      <w:r>
        <w:t xml:space="preserve">    </w:t>
      </w:r>
      <w:r>
        <w:rPr>
          <w:b/>
        </w:rPr>
        <w:t xml:space="preserve">DOI: </w:t>
      </w:r>
      <w:hyperlink r:id="rId1859">
        <w:r>
          <w:rPr>
            <w:color w:val="1155CC"/>
            <w:u w:val="single"/>
          </w:rPr>
          <w:t>10.1021/jacs.6c11815</w:t>
        </w:r>
      </w:hyperlink>
    </w:p>
    <w:p>
      <w:pPr>
        <w:spacing w:before="0" w:after="120"/>
      </w:pPr>
      <w:r>
        <w:rPr>
          <w:b/>
        </w:rPr>
        <w:t xml:space="preserve">Notes: </w:t>
      </w:r>
      <w:r>
        <w:t>abstract_source=crossref</w:t>
      </w:r>
    </w:p>
    <w:p>
      <w:pPr>
        <w:spacing w:before="0" w:after="80" w:lineRule="auto" w:line="276"/>
      </w:pPr>
      <w:r>
        <w:rPr>
          <w:b/>
        </w:rPr>
        <w:t xml:space="preserve">摘要（ZH）: </w:t>
      </w:r>
      <w:r>
        <w:t>摘要 非血红素铁/α-酮戊二酸依赖性双加氧酶（Fe/αKGD）可催化多种氧化转化，包括羟基化、去饱和化和环扩反应。尽管这些反应已被充分确立，但Fe/αKGD催化的差向异构化仍然罕见，且尚未在核糖体合成并经翻译后修饰的肽类（RiPPs）中得到表征。本文报道了RiPP修饰酶YmI，一种双功能Fe/αKGD，可在前体肽YmA上催化Phe19的Cβ羟基化和Ile20的Cα差向异构化，从而促进YM-216391的形成。该羟基化反应生成(2S,3R)-β-羟基苯丙氨酸，其类似l-苏氨酸的立体化学促进了后续不寻常的5-苯基噁唑基团的形成。底物谱分析揭示了引导肽对催化活性的依赖性。结构和分子对接研究为底物结合和活性位点结构提供了见解。氘标记实验表明，YmI通过直接夺取Cα-氢催化Ile的差向异构化，生成Cα自由基，随后被酶内不可交换氢源重新质子化。这些结果揭示了一种前所未有的机制和新颖的双功能性，显著拓展了αKG依赖性酶在RiPP生物合成中的反应版图。</w:t>
      </w:r>
    </w:p>
    <w:p>
      <w:pPr>
        <w:spacing w:before="0" w:after="200" w:lineRule="auto" w:line="276"/>
      </w:pPr>
      <w:r>
        <w:rPr>
          <w:b/>
        </w:rPr>
        <w:t xml:space="preserve">Abstract (EN): </w:t>
      </w:r>
      <w:r>
        <w:t>Nonheme iron/α-ketoglutarate-dependent dioxygenases (Fe/αKGDs) catalyze diverse oxidative transformations, including hydroxylation, desaturation, and ring expansion. Although these reactions are well established, Fe/αKGD-catalyzed epimerization remains rare and has not been characterized in ribosomally synthesized and post-translationally modified peptides (RiPPs). Here, we report the RiPP-modifying enzyme YmI, a bifunctional Fe/αKGD that catalyzes Cβ-hydroxylation of Phe19 and Cα-epimerization of Ile20 on the precursor peptide YmA toward the formation of YM-216391. The hydroxylation generates (2S,3R)-β-hydroxyphenylalanine, whose l-threonine-like stereochemistry facilitates subsequent formation of an unusual 5-phenyloxazole moiety. Substrate profiling analyses reveal leader peptide dependence for catalytic activity. Structural and docking studies provide insights into the substrate binding and active site architecture. Deuterium labeling demonstrates that YmI catalyzes Ile epimerization by directly abstracting the Cα-hydrogen, generating a Cα radical that is subsequently reprotonated by a nonexchangeable hydrogen source within the enzyme. These results unveil an unprecedented mechanism and novel bifunctionality, markedly expanding the reaction landscape for αKG-dependent enzymes in RiPP biosynthesis.</w:t>
      </w:r>
    </w:p>
    <w:p>
      <w:pPr>
        <w:spacing w:before="120" w:after="120"/>
      </w:pPr>
      <w:r>
        <w:rPr>
          <w:sz w:val="18"/>
        </w:rPr>
        <w:t>——————————————————————————————————————————————————————————————————————</w:t>
      </w:r>
    </w:p>
    <w:p>
      <w:pPr>
        <w:spacing w:before="160" w:after="40" w:line="240" w:lineRule="auto"/>
      </w:pPr>
      <w:r>
        <w:rPr>
          <w:b/>
        </w:rPr>
        <w:t xml:space="preserve">[1067] </w:t>
      </w:r>
      <w:hyperlink r:id="rId1860">
        <w:r>
          <w:rPr>
            <w:color w:val="1155CC"/>
            <w:u w:val="single"/>
          </w:rPr>
          <w:t>AbSynth：一个世纪的合成记录作为分析有机化学战略逻辑的机器可读资源</w:t>
        </w:r>
      </w:hyperlink>
    </w:p>
    <w:p>
      <w:pPr>
        <w:spacing w:before="0" w:after="80"/>
      </w:pPr>
      <w:r>
        <w:rPr>
          <w:i/>
          <w:sz w:val="20"/>
        </w:rPr>
        <w:t>EN: AbSynth: A Century of Total Syntheses as a Machine-Readable Resource for Analyzing Strategic Logic in Organic Chemistry</w:t>
      </w:r>
    </w:p>
    <w:p>
      <w:pPr>
        <w:spacing w:before="0" w:after="120"/>
      </w:pPr>
      <w:r>
        <w:rPr>
          <w:b/>
        </w:rPr>
        <w:t xml:space="preserve">Source: </w:t>
      </w:r>
      <w:r>
        <w:t>Journal of the American Chemical Society: Latest Articles (ACS Publications)</w:t>
      </w:r>
      <w:r>
        <w:t xml:space="preserve">    </w:t>
      </w:r>
      <w:r>
        <w:rPr>
          <w:b/>
        </w:rPr>
        <w:t xml:space="preserve">Pub date: </w:t>
      </w:r>
      <w:r>
        <w:t>2026-09-02 00:00:00+00:00</w:t>
      </w:r>
      <w:r>
        <w:t xml:space="preserve">    </w:t>
      </w:r>
      <w:r>
        <w:rPr>
          <w:b/>
        </w:rPr>
        <w:t xml:space="preserve">DOI: </w:t>
      </w:r>
      <w:hyperlink r:id="rId1861">
        <w:r>
          <w:rPr>
            <w:color w:val="1155CC"/>
            <w:u w:val="single"/>
          </w:rPr>
          <w:t>10.1021/jacs.6c08434</w:t>
        </w:r>
      </w:hyperlink>
    </w:p>
    <w:p>
      <w:pPr>
        <w:spacing w:before="0" w:after="120"/>
      </w:pPr>
      <w:r>
        <w:rPr>
          <w:b/>
        </w:rPr>
        <w:t xml:space="preserve">Notes: </w:t>
      </w:r>
      <w:r>
        <w:t>abstract_source=crossref</w:t>
      </w:r>
    </w:p>
    <w:p>
      <w:pPr>
        <w:spacing w:before="0" w:after="80" w:lineRule="auto" w:line="276"/>
      </w:pPr>
      <w:r>
        <w:rPr>
          <w:b/>
        </w:rPr>
        <w:t xml:space="preserve">摘要（ZH）: </w:t>
      </w:r>
      <w:r>
        <w:t>摘要 面向复杂且立体化学丰富的目标分子设计合成路线仍然是有机化学中最具挑战性的难题之一。为了探究此类工作背后的策略逻辑，我们整理并数字化了3000多个经典全合成案例，包含近60000个独立步骤，现以AbSynth合集的形式免费开放。对该数据集的分析表明，合成规划不能简化为纯粹的局部、逐步决策：已知的复杂性度量和评分函数无法沿合成轨迹单调变化，而传统的键切断启发式方法仅偶尔适用，且缺乏自动化所需的特异性。相反，我们的研究表明，近一半的步骤对应于结构上无产出——但在策略上至关重要——的骨架复杂性平台期。要跨越这些平台期，逆合成算法必须采用多步推理而非增量评分。我们识别出若干此类多步启发式规则，包括可容忍的非骨架切断长度以及官能团在路线中的“寿命”，并预期AbSynth将成为发掘合成设计中更多趋势的资源。通过提供跨越一个世纪、机器可读的完整路线数据集，这项工作为推动化学AI迈向人类专家级规划的复杂性奠定了基础。</w:t>
      </w:r>
    </w:p>
    <w:p>
      <w:pPr>
        <w:spacing w:before="0" w:after="200" w:lineRule="auto" w:line="276"/>
      </w:pPr>
      <w:r>
        <w:rPr>
          <w:b/>
        </w:rPr>
        <w:t xml:space="preserve">Abstract (EN): </w:t>
      </w:r>
      <w:r>
        <w:t>The design of synthetic routes to complex, stereochemically rich targets remains one of the most demanding challenges in organic chemistry. To interrogate the strategic logic underlying such efforts, we curated and digitized over 3,000 classical total syntheses comprising close to 60,000 individual steps, now freely available as the AbSynth collection. Analyses across this data set reveal that synthesis planning cannot be reduced to purely local, one-step-at-a-time decision-making: known complexity metrics and scoring functions fail to vary monotonically along synthetic trajectories, and conventional bond-disconnection heuristics apply only sporadically and lack the specificity required for automation. Instead, our study shows that nearly half of all steps correspond to structurally unproductive – yet strategically essential – plateaus of skeletal complexity. Navigating these plateaus requires retrosynthetic algorithms to embrace multistep reasoning rather than incremental scoring. We identify several such multistep heuristics, including tolerable lengths of nonskeletal disconnections and the “longevity” of functional groups across routes, and anticipate that AbSynth will serve as a resource for uncovering additional trends in synthesis design. By providing a century-spanning, machine-readable data set of complete routes, this work offers a foundation for advancing chemical AI toward the complexity of human expert planning.</w:t>
      </w:r>
    </w:p>
    <w:p>
      <w:pPr>
        <w:spacing w:before="120" w:after="120"/>
      </w:pPr>
      <w:r>
        <w:rPr>
          <w:sz w:val="18"/>
        </w:rPr>
        <w:t>——————————————————————————————————————————————————————————————————————</w:t>
      </w:r>
    </w:p>
    <w:p>
      <w:pPr>
        <w:spacing w:before="160" w:after="40" w:line="240" w:lineRule="auto"/>
      </w:pPr>
      <w:r>
        <w:rPr>
          <w:b/>
        </w:rPr>
        <w:t xml:space="preserve">[1068] </w:t>
      </w:r>
      <w:hyperlink r:id="rId1862">
        <w:r>
          <w:rPr>
            <w:color w:val="1155CC"/>
            <w:u w:val="single"/>
          </w:rPr>
          <w:t>手性4′-甲基-α-(l)-苏糖呋喃糖基核酸：合成、结构、结合亲和力、核酸酶抗性及聚合酶识别</w:t>
        </w:r>
      </w:hyperlink>
    </w:p>
    <w:p>
      <w:pPr>
        <w:spacing w:before="0" w:after="80"/>
      </w:pPr>
      <w:r>
        <w:rPr>
          <w:i/>
          <w:sz w:val="20"/>
        </w:rPr>
        <w:t>EN: Chiral-4′-Methyl-α-( l )-Threofuranosyl Nucleic Acids: Synthesis, Structure, Binding Affinity, Nuclease Resistance, and Polymerase Recognition</w:t>
      </w:r>
    </w:p>
    <w:p>
      <w:pPr>
        <w:spacing w:before="0" w:after="120"/>
      </w:pPr>
      <w:r>
        <w:rPr>
          <w:b/>
        </w:rPr>
        <w:t xml:space="preserve">Source: </w:t>
      </w:r>
      <w:r>
        <w:t>Journal of the American Chemical Society: Latest Articles (ACS Publications)</w:t>
      </w:r>
      <w:r>
        <w:t xml:space="preserve">    </w:t>
      </w:r>
      <w:r>
        <w:rPr>
          <w:b/>
        </w:rPr>
        <w:t xml:space="preserve">Pub date: </w:t>
      </w:r>
      <w:r>
        <w:t>2026-09-02 00:00:00+00:00</w:t>
      </w:r>
      <w:r>
        <w:t xml:space="preserve">    </w:t>
      </w:r>
      <w:r>
        <w:rPr>
          <w:b/>
        </w:rPr>
        <w:t xml:space="preserve">DOI: </w:t>
      </w:r>
      <w:hyperlink r:id="rId1863">
        <w:r>
          <w:rPr>
            <w:color w:val="1155CC"/>
            <w:u w:val="single"/>
          </w:rPr>
          <w:t>10.1021/jacs.6c07051</w:t>
        </w:r>
      </w:hyperlink>
    </w:p>
    <w:p>
      <w:pPr>
        <w:spacing w:before="0" w:after="120"/>
      </w:pPr>
      <w:r>
        <w:rPr>
          <w:b/>
        </w:rPr>
        <w:t xml:space="preserve">Notes: </w:t>
      </w:r>
      <w:r>
        <w:t>abstract_source=crossref</w:t>
      </w:r>
    </w:p>
    <w:p>
      <w:pPr>
        <w:spacing w:before="0" w:after="80" w:lineRule="auto" w:line="276"/>
      </w:pPr>
      <w:r>
        <w:rPr>
          <w:b/>
        </w:rPr>
        <w:t xml:space="preserve">摘要（ZH）: </w:t>
      </w:r>
      <w:r>
        <w:t>摘要 α-(l)-(3′–2′)-苏糖呋喃糖基核酸（TNA）可与DNA和RNA交叉配对，且不会被核酸酶降解，因此在基于核酸的诊断和治疗中具有应用潜力。本文描述了15种手性4′-(R)-和15种手性(S)-甲基-α-(l)-苏糖呋喃糖基核酸（4′-Me-TNA）单体构建块的合成及其在寡核苷酸中的掺入。对含有4′-Me-TNA修饰的RNA的晶体学研究揭示了甲基取代基对糖褶皱和双链构象的影响。生物稳定性研究表明，脱氧寡核苷酸末端的4′-Me-TNA修饰可赋予与未甲基化TNA相当的核酸酶消化抗性，明显优于更常规的2′-核糖和2′-脱氧修饰。相对于未修饰的RNA对照双链，单个4′-(R)-Me-TNA核苷酸的掺入根据碱基的不同使原本全RNA的12聚体双链稳定性降低6.5至12 °C；(S)异构体的去稳定作用小于(R)异构体。计算模型被用于合理解释高水平的核酸酶抗性和热去稳定化现象。工程化TNA聚合酶对4′-Me-TNA三磷酸盐的识别能力很差，因此天然聚合酶识别4′-Me-TNA三磷酸盐的可能性也不大。这些特性共同支持对4′-Me-TNA在基于核酸的疗法中进行评估。</w:t>
      </w:r>
    </w:p>
    <w:p>
      <w:pPr>
        <w:spacing w:before="0" w:after="200" w:lineRule="auto" w:line="276"/>
      </w:pPr>
      <w:r>
        <w:rPr>
          <w:b/>
        </w:rPr>
        <w:t xml:space="preserve">Abstract (EN): </w:t>
      </w:r>
      <w:r>
        <w:t>α-(l)-(3′–2′)-Threofuranosyl nucleic acid (TNA) cross-pairs with DNA and RNA and is not degraded by nucleases and thus has potential for use in diagnostics and therapeutics based on nucleic acids. Here, we describe the synthesis of 15 building blocks of chiral 4′-(R)- and 15 building blocks of chiral (S)-methyl-α-(l)-threofuranosyl nucleic acid (4′-Me-TNA) monomers and their incorporation into oligonucleotides. Crystallographic studies of RNAs containing 4′-Me-TNA modifications revealed the impact of the methyl substituent on the sugar pucker and duplex conformation. Biostability studies showed that a terminal 4′-Me-TNA modification on a deoxyoligonucleotide imparted resistance to nuclease digestion equivalent to unmethylated TNA, which is markedly superior to that of more conventional 2′-ribo and 2′-deoxy modifications. A single nucleotide incorporation of the 4′-(R)-Me-TNA destabilized an otherwise all-RNA 12-mer duplex by 6.5 to 12 °C, depending on the base, relative to the unmodified RNA control duplex; the (S) isomer was less destabilizing than the (R) isomer. Computational models were used to rationalize the high levels of nuclease resistance and the thermal destabilization. The 4′-Me-TNA triphosphates are poorly recognized by an engineered TNA polymerase making it unlikely that the 4′-Me-TNA triphosphates will be recognized by natural polymerases. Together, these properties warrant the evaluation of 4′-Me-TNA in nucleic acid-based therapeutics.</w:t>
      </w:r>
    </w:p>
    <w:p>
      <w:pPr>
        <w:spacing w:before="120" w:after="120"/>
      </w:pPr>
      <w:r>
        <w:rPr>
          <w:sz w:val="18"/>
        </w:rPr>
        <w:t>——————————————————————————————————————————————————————————————————————</w:t>
      </w:r>
    </w:p>
    <w:p>
      <w:pPr>
        <w:spacing w:before="160" w:after="40" w:line="240" w:lineRule="auto"/>
      </w:pPr>
      <w:r>
        <w:rPr>
          <w:b/>
        </w:rPr>
        <w:t xml:space="preserve">[1069] </w:t>
      </w:r>
      <w:hyperlink r:id="rId1864">
        <w:r>
          <w:rPr>
            <w:color w:val="1155CC"/>
            <w:u w:val="single"/>
          </w:rPr>
          <w:t>原子级薄CrCl3中局域配体场激子的活化迁移</w:t>
        </w:r>
      </w:hyperlink>
    </w:p>
    <w:p>
      <w:pPr>
        <w:spacing w:before="0" w:after="80"/>
      </w:pPr>
      <w:r>
        <w:rPr>
          <w:i/>
          <w:sz w:val="20"/>
        </w:rPr>
        <w:t>EN: Activated Migration of Localized Ligand-Field Excitons in Atomically Thin CrCl3</w:t>
      </w:r>
    </w:p>
    <w:p>
      <w:pPr>
        <w:spacing w:before="0" w:after="120"/>
      </w:pPr>
      <w:r>
        <w:rPr>
          <w:b/>
        </w:rPr>
        <w:t xml:space="preserve">Source: </w:t>
      </w:r>
      <w:r>
        <w:t>Journal of the American Chemical Society: Latest Articles (ACS Publications)</w:t>
      </w:r>
      <w:r>
        <w:t xml:space="preserve">    </w:t>
      </w:r>
      <w:r>
        <w:rPr>
          <w:b/>
        </w:rPr>
        <w:t xml:space="preserve">Pub date: </w:t>
      </w:r>
      <w:r>
        <w:t>2026-09-02 00:00:00+00:00</w:t>
      </w:r>
      <w:r>
        <w:t xml:space="preserve">    </w:t>
      </w:r>
      <w:r>
        <w:rPr>
          <w:b/>
        </w:rPr>
        <w:t xml:space="preserve">DOI: </w:t>
      </w:r>
      <w:hyperlink r:id="rId1865">
        <w:r>
          <w:rPr>
            <w:color w:val="1155CC"/>
            <w:u w:val="single"/>
          </w:rPr>
          <w:t>10.1021/jacs.6c12269</w:t>
        </w:r>
      </w:hyperlink>
    </w:p>
    <w:p>
      <w:pPr>
        <w:spacing w:before="0" w:after="120"/>
      </w:pPr>
      <w:r>
        <w:rPr>
          <w:b/>
        </w:rPr>
        <w:t xml:space="preserve">Notes: </w:t>
      </w:r>
      <w:r>
        <w:t>abstract_source=crossref</w:t>
      </w:r>
    </w:p>
    <w:p>
      <w:pPr>
        <w:spacing w:before="0" w:after="80" w:lineRule="auto" w:line="276"/>
      </w:pPr>
      <w:r>
        <w:rPr>
          <w:b/>
        </w:rPr>
        <w:t xml:space="preserve">摘要（ZH）: </w:t>
      </w:r>
      <w:r>
        <w:t>摘要 具有致密堆积原子的二维晶体展现出一系列新兴性质，尤其是丰富多样的激子行为。厚度可调且具有有限表面复合位点的层状三卤化铬为理解限制在八面体配体场中的激子如何在纳米尺度上迁移提供了理想体系，而这一尺度超出了传统传输探针的能力范围。在本工作中，我们证明 CrCl3 中源自 Cr3+ 的光致发光在光谱上与厚度无关，但其弛豫动力学对厚度和温度高度敏感，从而表明存在显著的激活迁移。扩散耦合表面复合模型给出该配体场激子的有效面外扩散系数为 4.5 × 10–6 cm2/s，扩散活化能为 130 meV。定量的 Förster 分析得到与实验值相当的扩散系数，支持长程偶极能量转移作为层间激子迁移的合理机制。该活化能与由光学 Stokes 位移独立估算的重组能相当，表明激子输运与局域晶格弛豫相耦合。此外，我们表明通过可控的表面反应或封装来增强或抑制表面复合，可以系统地调控弛豫动力学。这项工作不仅揭示了局域配体场激子的纳米尺度输运，还建立了一种适用的光谱传输探针</w:t>
      </w:r>
    </w:p>
    <w:p>
      <w:pPr>
        <w:spacing w:before="0" w:after="200" w:lineRule="auto" w:line="276"/>
      </w:pPr>
      <w:r>
        <w:rPr>
          <w:b/>
        </w:rPr>
        <w:t xml:space="preserve">Abstract (EN): </w:t>
      </w:r>
      <w:r>
        <w:t>Two-dimensional crystals with densely packed atoms exhibit a range of emerging properties, particularly a wide variety of excitonic behaviors. Thickness-variable layered chromium trihalides with finite surface recombination sites provide an ideal system for understanding how excitons confined in octahedral ligand fields migrate on nanometer length scales, a regime that defies conventional transport probes. In this work, we demonstrate that Cr3+-derived photoluminescence in CrCl3 is spectrally independent of thickness, but its relaxation dynamics are strongly sensitive to thickness and temperature, thereby indicating significant activated migration. A diffusion-coupled surface recombination model reveals an effective out-of-plane diffusion coefficient of 4.5 × 10–6 cm2/s for the ligand-field excitons and a diffusion activation energy of 130 meV. A quantitative Forster analysis yields a diffusion coefficient comparable to the experimental value, supporting long-range dipolar energy transfer as a plausible mechanism for interlayer exciton migration. The activation energy is comparable to the reorganization energy independently estimated from optical Stokes shifts, suggesting that exciton transport is coupled to local lattice relaxation. Furthermore, we show that the relaxation dynamics can be systematically tuned by either enhancing or suppressing surface recombination through controlled surface reactions or encapsulation. This work not only reveals the nanoscopic transport of localized ligand-field excitons but also establishes a spectroscopic transport probe applicable to various 2D materials.</w:t>
      </w:r>
    </w:p>
    <w:p>
      <w:pPr>
        <w:spacing w:before="120" w:after="120"/>
      </w:pPr>
      <w:r>
        <w:rPr>
          <w:sz w:val="18"/>
        </w:rPr>
        <w:t>——————————————————————————————————————————————————————————————————————</w:t>
      </w:r>
    </w:p>
    <w:p>
      <w:pPr>
        <w:spacing w:before="160" w:after="40" w:line="240" w:lineRule="auto"/>
      </w:pPr>
      <w:r>
        <w:rPr>
          <w:b/>
        </w:rPr>
        <w:t xml:space="preserve">[1070] </w:t>
      </w:r>
      <w:hyperlink r:id="rId1866">
        <w:r>
          <w:rPr>
            <w:color w:val="1155CC"/>
            <w:u w:val="single"/>
          </w:rPr>
          <w:t>水微滴中全氟辛酸脱氟与铬(VI)还原的界面耦合</w:t>
        </w:r>
      </w:hyperlink>
    </w:p>
    <w:p>
      <w:pPr>
        <w:spacing w:before="0" w:after="80"/>
      </w:pPr>
      <w:r>
        <w:rPr>
          <w:i/>
          <w:sz w:val="20"/>
        </w:rPr>
        <w:t>EN: Interfacial Coupling of Perfluorooctanoic Acid Defluorination with Chromium(VI) Reduction in Aqueous Microdroplets</w:t>
      </w:r>
    </w:p>
    <w:p>
      <w:pPr>
        <w:spacing w:before="0" w:after="120"/>
      </w:pPr>
      <w:r>
        <w:rPr>
          <w:b/>
        </w:rPr>
        <w:t xml:space="preserve">Source: </w:t>
      </w:r>
      <w:r>
        <w:t>Journal of the American Chemical Society: Latest Articles (ACS Publications)</w:t>
      </w:r>
      <w:r>
        <w:t xml:space="preserve">    </w:t>
      </w:r>
      <w:r>
        <w:rPr>
          <w:b/>
        </w:rPr>
        <w:t xml:space="preserve">Pub date: </w:t>
      </w:r>
      <w:r>
        <w:t>2026-09-02 00:00:00+00:00</w:t>
      </w:r>
      <w:r>
        <w:t xml:space="preserve">    </w:t>
      </w:r>
      <w:r>
        <w:rPr>
          <w:b/>
        </w:rPr>
        <w:t xml:space="preserve">DOI: </w:t>
      </w:r>
      <w:hyperlink r:id="rId1867">
        <w:r>
          <w:rPr>
            <w:color w:val="1155CC"/>
            <w:u w:val="single"/>
          </w:rPr>
          <w:t>10.1021/jacs.6c13880</w:t>
        </w:r>
      </w:hyperlink>
    </w:p>
    <w:p>
      <w:pPr>
        <w:spacing w:before="0" w:after="120"/>
      </w:pPr>
      <w:r>
        <w:rPr>
          <w:b/>
        </w:rPr>
        <w:t xml:space="preserve">Notes: </w:t>
      </w:r>
      <w:r>
        <w:t>abstract_source=crossref</w:t>
      </w:r>
    </w:p>
    <w:p>
      <w:pPr>
        <w:spacing w:before="0" w:after="80" w:lineRule="auto" w:line="276"/>
      </w:pPr>
      <w:r>
        <w:rPr>
          <w:b/>
        </w:rPr>
        <w:t xml:space="preserve">摘要（ZH）: </w:t>
      </w:r>
      <w:r>
        <w:t>摘要 全氟和多氟烷基物质（PFAS）与六价铬（Cr(VI)）在工业废水中频繁共存，但二者截然相反的氧化还原需求使同时修复变得复杂。本文表明，水微滴可将这一表观不相容性转化为协同的界面反应性。在空气–水界面处，全氟辛酸（PFOA）与Cr(VI)在环境条件下发生相互促进的转化。Cr(VI)使PFOA的脱氟率提高约63%，而PFOA使Cr(VI)的还原率提高约41%。机理分析揭示了一个氧耦联的界面氧化还原网络，其中O2来源的过氧化物、H2O2的周转以及Cr介导的自由基生成维持了活性中间体的通量。分子动力学模拟和密度泛函理论计算表明，PFOA自发富集于界面并重组离子环境，促进K+介导的Cr(VI)共定位。这一结合在电子结构上激活了靠近头基的C–F键，并与界面限域效应共同作用，将α-C–F断裂能垒从2.80 eV降至1.39 eV。综上，这些发现揭示了微滴界面如何在空间和电子层面协调有机氟键的断裂与金属还原，为复杂污染物混合物的协同修复提供了框架。</w:t>
      </w:r>
    </w:p>
    <w:p>
      <w:pPr>
        <w:spacing w:before="0" w:after="200" w:lineRule="auto" w:line="276"/>
      </w:pPr>
      <w:r>
        <w:rPr>
          <w:b/>
        </w:rPr>
        <w:t xml:space="preserve">Abstract (EN): </w:t>
      </w:r>
      <w:r>
        <w:t>Per- and polyfluoroalkyl substances (PFAS) and hexavalent chromium (Cr(VI)) frequently coexist in industrial waters, but their contrasting redox requirements complicate simultaneous remediation. Here we show that aqueous microdroplets transform this apparent incompatibility into cooperative interfacial reactivity. At the air–water interface, perfluorooctanoic acid (PFOA) and Cr(VI) undergo mutually promoted transformation under ambient conditions. Cr(VI) increases PFOA defluorination by approximately 63%, whereas PFOA enhances Cr(VI) reduction by approximately 41%. Mechanistic analyses identify an oxygen-coupled interfacial redox network in which O2-derived peroxides, H2O2 turnover and Cr-mediated radical generation maintain the flux of reactive intermediates. Molecular dynamics simulations and density functional theory calculations indicate that PFOA spontaneously enriches at the interface and reorganizes the ionic environment to promote K+-mediated co-localization of Cr(VI). This association electronically activates the headgroup-proximal C–F bond and, together with interfacial confinement, reduces the α-C–F cleavage barrier from 2.80 to 1.39 eV. Together, these findings reveal how microdroplet interfaces spatially and electronically coordinate organofluorine bond cleavage with metal reduction, providing a framework for cooperative remediation of complex contaminant mixtures.</w:t>
      </w:r>
    </w:p>
    <w:p>
      <w:pPr>
        <w:spacing w:before="120" w:after="120"/>
      </w:pPr>
      <w:r>
        <w:rPr>
          <w:sz w:val="18"/>
        </w:rPr>
        <w:t>——————————————————————————————————————————————————————————————————————</w:t>
      </w:r>
    </w:p>
    <w:p>
      <w:pPr>
        <w:spacing w:before="160" w:after="40" w:line="240" w:lineRule="auto"/>
      </w:pPr>
      <w:r>
        <w:rPr>
          <w:b/>
        </w:rPr>
        <w:t xml:space="preserve">[1071] </w:t>
      </w:r>
      <w:hyperlink r:id="rId1868">
        <w:r>
          <w:rPr>
            <w:color w:val="1155CC"/>
            <w:u w:val="single"/>
          </w:rPr>
          <w:t>利用中子散射追踪蛋白质的完整热学图景</w:t>
        </w:r>
      </w:hyperlink>
    </w:p>
    <w:p>
      <w:pPr>
        <w:spacing w:before="0" w:after="80"/>
      </w:pPr>
      <w:r>
        <w:rPr>
          <w:i/>
          <w:sz w:val="20"/>
        </w:rPr>
        <w:t>EN: Following the Complete Thermal Landscape of a Protein by Neutron Scattering</w:t>
      </w:r>
    </w:p>
    <w:p>
      <w:pPr>
        <w:spacing w:before="0" w:after="120"/>
      </w:pPr>
      <w:r>
        <w:rPr>
          <w:b/>
        </w:rPr>
        <w:t xml:space="preserve">Source: </w:t>
      </w:r>
      <w:r>
        <w:t>Journal of the American Chemical Society: Latest Articles (ACS Publications)</w:t>
      </w:r>
      <w:r>
        <w:t xml:space="preserve">    </w:t>
      </w:r>
      <w:r>
        <w:rPr>
          <w:b/>
        </w:rPr>
        <w:t xml:space="preserve">Pub date: </w:t>
      </w:r>
      <w:r>
        <w:t>2026-09-02 00:00:00+00:00</w:t>
      </w:r>
      <w:r>
        <w:t xml:space="preserve">    </w:t>
      </w:r>
      <w:r>
        <w:rPr>
          <w:b/>
        </w:rPr>
        <w:t xml:space="preserve">DOI: </w:t>
      </w:r>
      <w:hyperlink r:id="rId1869">
        <w:r>
          <w:rPr>
            <w:color w:val="1155CC"/>
            <w:u w:val="single"/>
          </w:rPr>
          <w:t>10.1021/jacs.6c15050</w:t>
        </w:r>
      </w:hyperlink>
    </w:p>
    <w:p>
      <w:pPr>
        <w:spacing w:before="0" w:after="120"/>
      </w:pPr>
      <w:r>
        <w:rPr>
          <w:b/>
        </w:rPr>
        <w:t xml:space="preserve">Notes: </w:t>
      </w:r>
      <w:r>
        <w:t>abstract_source=crossref</w:t>
      </w:r>
    </w:p>
    <w:p>
      <w:pPr>
        <w:spacing w:before="0" w:after="80" w:lineRule="auto" w:line="276"/>
      </w:pPr>
      <w:r>
        <w:rPr>
          <w:b/>
        </w:rPr>
        <w:t xml:space="preserve">摘要（ZH）: </w:t>
      </w:r>
      <w:r>
        <w:t>摘要 蛋白质动力学与水合及稳定性密切相关，但直接观测热诱导转变的完整序列在仪器上仍具挑战性。在此，我们利用Yfh1的独特性质开展研究——Yfh1是少数能在实验可及温度下同时发生冷变性 and 热变性的天然蛋白之一——借助先进的弹性非相干中子散射仪器探测蛋白质动力学，该仪器可在前所未有的宽动量传递范围和100–330 K温度范围内检测运动。我们识别出三种不同的动力学状态，分别对应蛋白质动力学转变、冷变性和热变性。我们能够将以蛋白质为主的运动与其水合壳层的运动区分开来。重要的是，据我们所知，我们的工作还首次通过中子散射直接观测到蛋白质冷变性的动力学后果。水合水在260 K附近表现出显著的反常行为，该行为在热变性后消失，揭示了天然蛋白质结构与水动力学之间的强耦合。这些结果建立了蛋白质在其完整热景观中稳定性的统一动力学图像。</w:t>
      </w:r>
    </w:p>
    <w:p>
      <w:pPr>
        <w:spacing w:before="0" w:after="200" w:lineRule="auto" w:line="276"/>
      </w:pPr>
      <w:r>
        <w:rPr>
          <w:b/>
        </w:rPr>
        <w:t xml:space="preserve">Abstract (EN): </w:t>
      </w:r>
      <w:r>
        <w:t>Protein dynamics is intimately coupled to hydration and stability, yet direct observation of the full sequence of thermally induced transitions remains instrumentally challenging. Here, we present a study that exploits the unique properties of Yfh1, one of the few natural proteins that undergoes both cold and heat denaturation at experimentally accessible temperatures, to probe protein dynamics by advanced elastic incoherent neutron-scattering instrumentation that allows detection of motions over an unprecedently broad momentum-transfer range and a range of 100–330 K temperatures. We identified three distinct dynamical regimes, corresponding to the protein dynamical transition, cold denaturation, and heat denaturation. We could distinguish motions associated predominantly with the protein from those of its hydration shell. Importantly, our work also provides what is, to our knowledge, the first direct neutron-scattering observation of the dynamical consequences of cold denaturation in a protein. Hydration water displays a marked anomaly near 260 K that disappears following heat denaturation, revealing a strong coupling between native protein structure and water dynamics. These results establish a unified dynamical picture of protein stability across its complete thermal landscape.</w:t>
      </w:r>
    </w:p>
    <w:p>
      <w:pPr>
        <w:spacing w:before="120" w:after="120"/>
      </w:pPr>
      <w:r>
        <w:rPr>
          <w:sz w:val="18"/>
        </w:rPr>
        <w:t>——————————————————————————————————————————————————————————————————————</w:t>
      </w:r>
    </w:p>
    <w:p>
      <w:pPr>
        <w:spacing w:before="160" w:after="40" w:line="240" w:lineRule="auto"/>
      </w:pPr>
      <w:r>
        <w:rPr>
          <w:b/>
        </w:rPr>
        <w:t xml:space="preserve">[1072] </w:t>
      </w:r>
      <w:hyperlink r:id="rId1870">
        <w:r>
          <w:rPr>
            <w:color w:val="1155CC"/>
            <w:u w:val="single"/>
          </w:rPr>
          <w:t>解耦局域化学与静电效应以实现芯能级结合能的可扩展精确预测</w:t>
        </w:r>
      </w:hyperlink>
    </w:p>
    <w:p>
      <w:pPr>
        <w:spacing w:before="0" w:after="80"/>
      </w:pPr>
      <w:r>
        <w:rPr>
          <w:i/>
          <w:sz w:val="20"/>
        </w:rPr>
        <w:t>EN: Decoupling Local Chemistry and Electrostatics for Scalable and Accurate Prediction of Core-Level Binding Energies</w:t>
      </w:r>
    </w:p>
    <w:p>
      <w:pPr>
        <w:spacing w:before="0" w:after="120"/>
      </w:pPr>
      <w:r>
        <w:rPr>
          <w:b/>
        </w:rPr>
        <w:t xml:space="preserve">Source: </w:t>
      </w:r>
      <w:r>
        <w:t>Journal of the American Chemical Society: Latest Articles (ACS Publications)</w:t>
      </w:r>
      <w:r>
        <w:t xml:space="preserve">    </w:t>
      </w:r>
      <w:r>
        <w:rPr>
          <w:b/>
        </w:rPr>
        <w:t xml:space="preserve">Pub date: </w:t>
      </w:r>
      <w:r>
        <w:t>2026-09-02 00:00:00+00:00</w:t>
      </w:r>
      <w:r>
        <w:t xml:space="preserve">    </w:t>
      </w:r>
      <w:r>
        <w:rPr>
          <w:b/>
        </w:rPr>
        <w:t xml:space="preserve">DOI: </w:t>
      </w:r>
      <w:hyperlink r:id="rId1871">
        <w:r>
          <w:rPr>
            <w:color w:val="1155CC"/>
            <w:u w:val="single"/>
          </w:rPr>
          <w:t>10.1021/jacs.6c08089</w:t>
        </w:r>
      </w:hyperlink>
    </w:p>
    <w:p>
      <w:pPr>
        <w:spacing w:before="0" w:after="120"/>
      </w:pPr>
      <w:r>
        <w:rPr>
          <w:b/>
        </w:rPr>
        <w:t xml:space="preserve">Notes: </w:t>
      </w:r>
      <w:r>
        <w:t>abstract_source=crossref</w:t>
      </w:r>
    </w:p>
    <w:p>
      <w:pPr>
        <w:spacing w:before="0" w:after="80" w:lineRule="auto" w:line="276"/>
      </w:pPr>
      <w:r>
        <w:rPr>
          <w:b/>
        </w:rPr>
        <w:t xml:space="preserve">摘要（ZH）: </w:t>
      </w:r>
      <w:r>
        <w:t>摘要 在复杂环境中准确解析X射线光电子能谱（XPS）仍是一个长期挑战，因为芯能级结合能（BEs）反映了局域化学键与长程静电效应的卷积。在电化学界面和溶剂化相等非均相体系中，这种相互作用掩盖了化学归属并限制了XPS的定量能力。在此，利用具有代表性的表面、分子和溶剂化体系，我们证明芯能级BEs本质上是多尺度可观测量，通常不能被描述为纯局域量。基于这一认识，我们引入了一个物理信息驱动的多阶段机器学习框架，明确解耦静电贡献与局域贡献。通过用学习的原子电荷处理静电势并用局域描述符建模剩余项，该方法在多样化化学环境中恢复了准确性与可迁移性。该框架还可实现终态BEs的可扩展预测，避免了ΔSCF计算的高昂成本。将其应用于液态水的深度分辨XPS模拟，结果与实验一致并揭示了谱峰位移的微观起源。这项工作建立了解开XPS中化学与静电效应的计算框架，并为解读非均相体系中的光谱提供了可扩展途径。</w:t>
      </w:r>
    </w:p>
    <w:p>
      <w:pPr>
        <w:spacing w:before="0" w:after="200" w:lineRule="auto" w:line="276"/>
      </w:pPr>
      <w:r>
        <w:rPr>
          <w:b/>
        </w:rPr>
        <w:t xml:space="preserve">Abstract (EN): </w:t>
      </w:r>
      <w:r>
        <w:t>Accurate interpretation of X-ray photoelectron spectroscopy (XPS) in complex environments remains a longstanding challenge, as core-level binding energies (BEs) reflect a convolution of local chemical bonding and long-range electrostatic effects. In heterogeneous systems such as electrochemical interfaces and solvated phases, this interplay obscures chemical assignment and limits the quantitative power of XPS. Here, using representative surface, molecular, and solvated systems, we demonstrate that core-level BEs are intrinsically multiscale observables and cannot, in general, be described as purely local quantities. Building on this insight, we introduce a physics-informed, multistage machine learning framework that explicitly decouples electrostatic and local contributions. By treating the electrostatic potential via learned atomic charges and modeling the residual term with local descriptors, the approach restores both accuracy and transferability across diverse chemical environments. The framework further enables scalable prediction of final-state BEs, bypassing the prohibitive cost of ΔSCF calculations. Application to depth-resolved XPS simulations of liquid water demonstrates agreement with experiment and reveals the microscopic origin of spectral shifts. This work establishes a computational framework for disentangling chemical and electrostatic effects in XPS and provides a scalable route for interpreting spectroscopy in heterogeneous systems.</w:t>
      </w:r>
    </w:p>
    <w:p>
      <w:pPr>
        <w:spacing w:before="120" w:after="120"/>
      </w:pPr>
      <w:r>
        <w:rPr>
          <w:sz w:val="18"/>
        </w:rPr>
        <w:t>——————————————————————————————————————————————————————————————————————</w:t>
      </w:r>
    </w:p>
    <w:p>
      <w:pPr>
        <w:spacing w:before="160" w:after="40" w:line="240" w:lineRule="auto"/>
      </w:pPr>
      <w:r>
        <w:rPr>
          <w:b/>
        </w:rPr>
        <w:t xml:space="preserve">[1073] </w:t>
      </w:r>
      <w:hyperlink r:id="rId1872">
        <w:r>
          <w:rPr>
            <w:color w:val="1155CC"/>
            <w:u w:val="single"/>
          </w:rPr>
          <w:t>5-叔丁基沙利度胺是转录因子FLT3相互作用锌指蛋白1（FIZ1）的选择性分子胶降解剂</w:t>
        </w:r>
      </w:hyperlink>
    </w:p>
    <w:p>
      <w:pPr>
        <w:spacing w:before="0" w:after="80"/>
      </w:pPr>
      <w:r>
        <w:rPr>
          <w:i/>
          <w:sz w:val="20"/>
        </w:rPr>
        <w:t>EN: 5- t Bu-Thalidomide Is a Selective Molecular Glue Degrader of the Transcription Factor FLT3 Interacting Zinc Finger 1 (FIZ1)</w:t>
      </w:r>
    </w:p>
    <w:p>
      <w:pPr>
        <w:spacing w:before="0" w:after="120"/>
      </w:pPr>
      <w:r>
        <w:rPr>
          <w:b/>
        </w:rPr>
        <w:t xml:space="preserve">Source: </w:t>
      </w:r>
      <w:r>
        <w:t>Journal of the American Chemical Society: Latest Articles (ACS Publications)</w:t>
      </w:r>
      <w:r>
        <w:t xml:space="preserve">    </w:t>
      </w:r>
      <w:r>
        <w:rPr>
          <w:b/>
        </w:rPr>
        <w:t xml:space="preserve">Pub date: </w:t>
      </w:r>
      <w:r>
        <w:t>2026-09-02 00:00:00+00:00</w:t>
      </w:r>
      <w:r>
        <w:t xml:space="preserve">    </w:t>
      </w:r>
      <w:r>
        <w:rPr>
          <w:b/>
        </w:rPr>
        <w:t xml:space="preserve">DOI: </w:t>
      </w:r>
      <w:hyperlink r:id="rId1873">
        <w:r>
          <w:rPr>
            <w:color w:val="1155CC"/>
            <w:u w:val="single"/>
          </w:rPr>
          <w:t>10.1021/jacs.6c14185</w:t>
        </w:r>
      </w:hyperlink>
    </w:p>
    <w:p>
      <w:pPr>
        <w:spacing w:before="0" w:after="120"/>
      </w:pPr>
      <w:r>
        <w:rPr>
          <w:b/>
        </w:rPr>
        <w:t xml:space="preserve">Notes: </w:t>
      </w:r>
      <w:r>
        <w:t>abstract_source=crossref</w:t>
      </w:r>
    </w:p>
    <w:p>
      <w:pPr>
        <w:spacing w:before="0" w:after="80" w:lineRule="auto" w:line="276"/>
      </w:pPr>
      <w:r>
        <w:rPr>
          <w:b/>
        </w:rPr>
        <w:t xml:space="preserve">摘要（ZH）: </w:t>
      </w:r>
      <w:r>
        <w:t>摘要 含Cys2-His2（C2H2）锌指（ZF）的蛋白是人类DNA结合转录因子（TFs）中最大的家族，该类蛋白长期以来被认为不可成药。近年来，在开发诱导含G-loop CXXCG降解子蛋白（包括这些转录因子）降解的免疫调节酰亚胺药物（IMiDs）方面已取得重大进展。尽管有这些进展，鉴定能选择性诱导单一蛋白降解的IMiD类分子胶，以及对此类化合物的理性设计，仍具挑战性。在此，我们报道了偶然的发现：5-tBu-沙利度胺（tBu-Thal，5）在六种细胞系中强效且选择性地诱导单一C2H2 ZF转录因子——FLT3相互作用锌指1（FIZ1）——的蛋白酶体降解。尽管FIZ1含有11个C2H2 ZF，其中六个含有IMiD诱导降解所必需的G-loop CXXCG降解子，我们证明该降解完全由ZF8介导。CRL4CRBN-IMiD-FIZ1复合物的计算建模合理解释了为何tBu-Thal（5）选择性结合ZF8，并为更理性地设计选择性IMiD类降解剂提供了策略线索。tBu-Thal（5）被用于ChIP-seq研究，鉴定出一个与CRX结合位点匹配的基序，与既往报道一致。我们还鉴定到富集的类似转录因子ZBTB32和ARID3a结合位点的基序，它们此前未被报道与FIZ1相关。IP-MS研究表明FIZ1与C1QBP和YB相关联</w:t>
      </w:r>
    </w:p>
    <w:p>
      <w:pPr>
        <w:spacing w:before="0" w:after="200" w:lineRule="auto" w:line="276"/>
      </w:pPr>
      <w:r>
        <w:rPr>
          <w:b/>
        </w:rPr>
        <w:t xml:space="preserve">Abstract (EN): </w:t>
      </w:r>
      <w:r>
        <w:t>Cys2-His2 (C2H2) zinc finger (ZF)-containing proteins are the largest family of human DNA-binding transcription factors (TFs), a class of proteins that has long been considered undruggable. Significant progress has recently been made in the development of immunomodulatory imide drugs (IMiDs) that induce the degradation of proteins that possess the G-loop CXXCG degron, including these transcription factors. Despite these advances, the identification of IMiD-based molecular glues that selectively induce the degradation of a single protein, and the rational design of such compounds, remains challenging. Here we report the serendipitous discovery that 5-tBu-thalidomide (tBu-Thal, 5) potently and selectively induces proteasomal degradation of a single C2H2 ZF-containing TF, FLT3 interacting zinc finger 1 (FIZ1), in six cell lines. While FIZ1 contains 11 C2H2 ZFs, six of which contain the G-loop CXXCG degron necessary for IMiD-induced degradation, we demonstrate that this degradation is mediated exclusively by ZF8. Computational modeling of the CRL4CRBN-IMiD-FIZ1 complex enabled rationalization of why tBu-Thal (5) selectively engages with ZF8, and hints at a strategy for more rational design of selective IMiD-based degraders. tBu-Thal (5) was employed in ChIP-seq studies to identify a motif matching the CRX binding site, consistent with prior reports. We also identified enriched motifs resembling binding sites of the transcription factors ZBTB32 and ARID3a, which have not previously been associated with FIZ1. IP-MS studies indicated that FIZ1 associates with C1QBP and YBX1. C1QBP is involved in DNA damage repair, suggesting a role for FIZ1 in this process. These data show that tBu-Thal (5) is a powerful molecular tool to selectively dissect the role of FIZ1 in complex biological settings.</w:t>
      </w:r>
    </w:p>
    <w:p>
      <w:pPr>
        <w:spacing w:before="120" w:after="120"/>
      </w:pPr>
      <w:r>
        <w:rPr>
          <w:sz w:val="18"/>
        </w:rPr>
        <w:t>——————————————————————————————————————————————————————————————————————</w:t>
      </w:r>
    </w:p>
    <w:p>
      <w:pPr>
        <w:spacing w:before="160" w:after="40" w:line="240" w:lineRule="auto"/>
      </w:pPr>
      <w:r>
        <w:rPr>
          <w:b/>
        </w:rPr>
        <w:t xml:space="preserve">[1074] </w:t>
      </w:r>
      <w:hyperlink r:id="rId1874">
        <w:r>
          <w:rPr>
            <w:color w:val="1155CC"/>
            <w:u w:val="single"/>
          </w:rPr>
          <w:t>电化学氧化羰基化：强CO结合抑制C–C偶联并将选择性导向有机碳酸酯</w:t>
        </w:r>
      </w:hyperlink>
    </w:p>
    <w:p>
      <w:pPr>
        <w:spacing w:before="0" w:after="80"/>
      </w:pPr>
      <w:r>
        <w:rPr>
          <w:i/>
          <w:sz w:val="20"/>
        </w:rPr>
        <w:t>EN: Electrochemical Oxidative Carbonylation: Strong CO Binding Suppresses C–C Coupling and Steers Selectivity to Organic Carbonates</w:t>
      </w:r>
    </w:p>
    <w:p>
      <w:pPr>
        <w:spacing w:before="0" w:after="120"/>
      </w:pPr>
      <w:r>
        <w:rPr>
          <w:b/>
        </w:rPr>
        <w:t xml:space="preserve">Source: </w:t>
      </w:r>
      <w:r>
        <w:t>Journal of the American Chemical Society: Latest Articles (ACS Publications)</w:t>
      </w:r>
      <w:r>
        <w:t xml:space="preserve">    </w:t>
      </w:r>
      <w:r>
        <w:rPr>
          <w:b/>
        </w:rPr>
        <w:t xml:space="preserve">Pub date: </w:t>
      </w:r>
      <w:r>
        <w:t>2026-09-02 00:00:00+00:00</w:t>
      </w:r>
      <w:r>
        <w:t xml:space="preserve">    </w:t>
      </w:r>
      <w:r>
        <w:rPr>
          <w:b/>
        </w:rPr>
        <w:t xml:space="preserve">DOI: </w:t>
      </w:r>
      <w:hyperlink r:id="rId404">
        <w:r>
          <w:rPr>
            <w:color w:val="1155CC"/>
            <w:u w:val="single"/>
          </w:rPr>
          <w:t>10.1021/jacs.6c04323</w:t>
        </w:r>
      </w:hyperlink>
    </w:p>
    <w:p>
      <w:pPr>
        <w:spacing w:before="0" w:after="120"/>
      </w:pPr>
      <w:r>
        <w:rPr>
          <w:b/>
        </w:rPr>
        <w:t xml:space="preserve">Notes: </w:t>
      </w:r>
      <w:r>
        <w:t>abstract_source=crossref</w:t>
      </w:r>
    </w:p>
    <w:p>
      <w:pPr>
        <w:spacing w:before="0" w:after="80" w:lineRule="auto" w:line="276"/>
      </w:pPr>
      <w:r>
        <w:rPr>
          <w:b/>
        </w:rPr>
        <w:t xml:space="preserve">摘要（ZH）: </w:t>
      </w:r>
      <w:r>
        <w:t>摘要 电化学氧化羰基化为合成碳酸二甲酯（DMC）等有机碳酸盐提供了一条途径，但其实际应用受到竞争性C–C偶联路径生成草酸二甲酯（DMO）的阻碍，其起源仍知之甚少。在此，我们研究甲醇羰基化中的选择性如何受关键表面中间体吸附调控制的影响。我们发现，通过利用离聚物和同位素取代溶剂调控界面环境，强CO吸附可抑制C–C偶联并将反应导向碳酸盐生成。增强甲氧基结合可促进深度甲氧基化，有利于整体甲醇羰基化反应和DMC生成。我们提出，曾被视为非期望中间体的吸附态甲氧基羰基，实际上是从中碳酸盐与草酸盐路径分岔的分支点。基于对这些描述符的认识，我们开发了一种利用金属–载体相互作用的复合催化剂，既增强CO结合又同时加速醇解离，相对于基准Pd催化剂将选择性提高3个数量级，并实现DMC生成的法拉第效率达98%。</w:t>
      </w:r>
    </w:p>
    <w:p>
      <w:pPr>
        <w:spacing w:before="0" w:after="200" w:lineRule="auto" w:line="276"/>
      </w:pPr>
      <w:r>
        <w:rPr>
          <w:b/>
        </w:rPr>
        <w:t xml:space="preserve">Abstract (EN): </w:t>
      </w:r>
      <w:r>
        <w:t>Electrochemical oxidative carbonylation offers a route to the synthesis of organic carbonates such as dimethyl carbonate (DMC), but its practical implementation is hindered by a competing C–C coupling pathway to dimethyl oxalate (DMO), the origins of which remain poorly understood. Here we study how selectivity in methanol carbonylation is influenced by tuning the adsorption of key surface intermediates. We find, by modulating the interfacial environment using ionomers and isotopically substituted solvents, that strong CO adsorption suppresses C–C coupling and directs the reaction toward carbonate formation. Enhancing methoxy binding promotes deep methoxylation that benefits the overall methanol carbonylation reaction and DMC production. We propose that adsorbed methoxycarbonyl, once viewed as an undesired intermediate, in fact serves as a branching point from which the carbonate and oxalate pathways diverge. Guided by knowledge of these descriptors, we develop a composite catalyst that leverages metal–support interactions, strengthening CO binding and simultaneously accelerating alcohol dissociation, thereby increasing selectivity by 3 orders of magnitude relative to a benchmark Pd catalyst and achieving a Faradaic efficiency of 98% for DMC production.</w:t>
      </w:r>
    </w:p>
    <w:p>
      <w:pPr>
        <w:spacing w:before="120" w:after="120"/>
      </w:pPr>
      <w:r>
        <w:rPr>
          <w:sz w:val="18"/>
        </w:rPr>
        <w:t>——————————————————————————————————————————————————————————————————————</w:t>
      </w:r>
    </w:p>
    <w:p>
      <w:pPr>
        <w:spacing w:before="160" w:after="40" w:line="240" w:lineRule="auto"/>
      </w:pPr>
      <w:r>
        <w:rPr>
          <w:b/>
        </w:rPr>
        <w:t xml:space="preserve">[1075] </w:t>
      </w:r>
      <w:hyperlink r:id="rId1875">
        <w:r>
          <w:rPr>
            <w:color w:val="1155CC"/>
            <w:u w:val="single"/>
          </w:rPr>
          <w:t>利用进动探测修正引力中的史瓦西黑洞</w:t>
        </w:r>
      </w:hyperlink>
    </w:p>
    <w:p>
      <w:pPr>
        <w:spacing w:before="0" w:after="80"/>
      </w:pPr>
      <w:r>
        <w:rPr>
          <w:i/>
          <w:sz w:val="20"/>
        </w:rPr>
        <w:t>EN: Probing the Schwarzschild black hole in modified gravity by precessing motion</w:t>
      </w:r>
    </w:p>
    <w:p>
      <w:pPr>
        <w:spacing w:before="0" w:after="120"/>
      </w:pPr>
      <w:r>
        <w:rPr>
          <w:b/>
        </w:rPr>
        <w:t xml:space="preserve">Source: </w:t>
      </w:r>
      <w:r>
        <w:t>ScienceDirect Publication: Physics Letters B</w:t>
      </w:r>
      <w:r>
        <w:t xml:space="preserve">    </w:t>
      </w:r>
      <w:r>
        <w:rPr>
          <w:b/>
        </w:rPr>
        <w:t xml:space="preserve">Pub date: </w:t>
      </w:r>
      <w:r>
        <w:t>2026-09-02 00:00:00+00:00</w:t>
      </w:r>
      <w:r>
        <w:t xml:space="preserve">    </w:t>
      </w:r>
      <w:r>
        <w:rPr>
          <w:b/>
        </w:rPr>
        <w:t xml:space="preserve">DOI: </w:t>
      </w:r>
      <w:hyperlink r:id="rId1876">
        <w:r>
          <w:rPr>
            <w:color w:val="1155CC"/>
            <w:u w:val="single"/>
          </w:rPr>
          <w:t>10.1016/j.physletb.2026.140916</w:t>
        </w:r>
      </w:hyperlink>
    </w:p>
    <w:p>
      <w:pPr>
        <w:spacing w:before="0" w:after="120"/>
      </w:pPr>
      <w:r>
        <w:rPr>
          <w:b/>
        </w:rPr>
        <w:t xml:space="preserve">Notes: </w:t>
      </w:r>
      <w:r>
        <w:t>abstract_source=rss_description</w:t>
      </w:r>
    </w:p>
    <w:p>
      <w:pPr>
        <w:spacing w:before="0" w:after="80" w:lineRule="auto" w:line="276"/>
      </w:pPr>
      <w:r>
        <w:rPr>
          <w:b/>
        </w:rPr>
        <w:t xml:space="preserve">摘要（ZH）: </w:t>
      </w:r>
      <w:r>
        <w:t>出版日期：2026年9月2日在线发表来源：Physics Letters B作者：Bo Yang, Jie Li, Chunhua Jiang, Wenbin Lin</w:t>
      </w:r>
    </w:p>
    <w:p>
      <w:pPr>
        <w:spacing w:before="0" w:after="200" w:lineRule="auto" w:line="276"/>
      </w:pPr>
      <w:r>
        <w:rPr>
          <w:b/>
        </w:rPr>
        <w:t xml:space="preserve">Abstract (EN): </w:t>
      </w:r>
      <w:r>
        <w:t>Publication date: Available online 2 September 2026Source: Physics Letters BAuthor(s): Bo Yang, Jie Li, Chunhua Jiang, Wenbin Lin</w:t>
      </w:r>
    </w:p>
    <w:p>
      <w:pPr>
        <w:spacing w:before="120" w:after="120"/>
      </w:pPr>
      <w:r>
        <w:rPr>
          <w:sz w:val="18"/>
        </w:rPr>
        <w:t>——————————————————————————————————————————————————————————————————————</w:t>
      </w:r>
    </w:p>
    <w:p>
      <w:pPr>
        <w:spacing w:before="160" w:after="40" w:line="240" w:lineRule="auto"/>
      </w:pPr>
      <w:r>
        <w:rPr>
          <w:b/>
        </w:rPr>
        <w:t xml:space="preserve">[1076] </w:t>
      </w:r>
      <w:hyperlink r:id="rId1877">
        <w:r>
          <w:rPr>
            <w:color w:val="1155CC"/>
            <w:u w:val="single"/>
          </w:rPr>
          <w:t>规则Schwarzschild黑洞的内部演化</w:t>
        </w:r>
      </w:hyperlink>
    </w:p>
    <w:p>
      <w:pPr>
        <w:spacing w:before="0" w:after="80"/>
      </w:pPr>
      <w:r>
        <w:rPr>
          <w:i/>
          <w:sz w:val="20"/>
        </w:rPr>
        <w:t>EN: Interior evolution of regular Schwarzschild black holes</w:t>
      </w:r>
    </w:p>
    <w:p>
      <w:pPr>
        <w:spacing w:before="0" w:after="120"/>
      </w:pPr>
      <w:r>
        <w:rPr>
          <w:b/>
        </w:rPr>
        <w:t xml:space="preserve">Source: </w:t>
      </w:r>
      <w:r>
        <w:t>ScienceDirect Publication: Physics Letters B</w:t>
      </w:r>
      <w:r>
        <w:t xml:space="preserve">    </w:t>
      </w:r>
      <w:r>
        <w:rPr>
          <w:b/>
        </w:rPr>
        <w:t xml:space="preserve">Pub date: </w:t>
      </w:r>
      <w:r>
        <w:t>2026-09-02 00:00:00+00:00</w:t>
      </w:r>
      <w:r>
        <w:t xml:space="preserve">    </w:t>
      </w:r>
      <w:r>
        <w:rPr>
          <w:b/>
        </w:rPr>
        <w:t xml:space="preserve">DOI: </w:t>
      </w:r>
      <w:hyperlink r:id="rId1878">
        <w:r>
          <w:rPr>
            <w:color w:val="1155CC"/>
            <w:u w:val="single"/>
          </w:rPr>
          <w:t>10.1016/j.physletb.2026.140912</w:t>
        </w:r>
      </w:hyperlink>
    </w:p>
    <w:p>
      <w:pPr>
        <w:spacing w:before="0" w:after="120"/>
      </w:pPr>
      <w:r>
        <w:rPr>
          <w:b/>
        </w:rPr>
        <w:t xml:space="preserve">Notes: </w:t>
      </w:r>
      <w:r>
        <w:t>abstract_source=rss_description</w:t>
      </w:r>
    </w:p>
    <w:p>
      <w:pPr>
        <w:spacing w:before="0" w:after="80" w:lineRule="auto" w:line="276"/>
      </w:pPr>
      <w:r>
        <w:rPr>
          <w:b/>
        </w:rPr>
        <w:t xml:space="preserve">摘要（ZH）: </w:t>
      </w:r>
      <w:r>
        <w:t>出版日期：2026年9月2日在线发表 来源：Physics Letters B 作者：J. Ovalle</w:t>
      </w:r>
    </w:p>
    <w:p>
      <w:pPr>
        <w:spacing w:before="0" w:after="200" w:lineRule="auto" w:line="276"/>
      </w:pPr>
      <w:r>
        <w:rPr>
          <w:b/>
        </w:rPr>
        <w:t xml:space="preserve">Abstract (EN): </w:t>
      </w:r>
      <w:r>
        <w:t>Publication date: Available online 2 September 2026Source: Physics Letters BAuthor(s): J. Ovalle</w:t>
      </w:r>
    </w:p>
    <w:p>
      <w:pPr>
        <w:spacing w:before="120" w:after="120"/>
      </w:pPr>
      <w:r>
        <w:rPr>
          <w:sz w:val="18"/>
        </w:rPr>
        <w:t>——————————————————————————————————————————————————————————————————————</w:t>
      </w:r>
    </w:p>
    <w:p>
      <w:pPr>
        <w:spacing w:before="160" w:after="40" w:line="240" w:lineRule="auto"/>
      </w:pPr>
      <w:r>
        <w:rPr>
          <w:b/>
        </w:rPr>
        <w:t xml:space="preserve">[1077] </w:t>
      </w:r>
      <w:hyperlink r:id="rId1879">
        <w:r>
          <w:rPr>
            <w:color w:val="1155CC"/>
            <w:u w:val="single"/>
          </w:rPr>
          <w:t>矢量媒介中微子亲合暗物质的新超新星约束</w:t>
        </w:r>
      </w:hyperlink>
    </w:p>
    <w:p>
      <w:pPr>
        <w:spacing w:before="0" w:after="80"/>
      </w:pPr>
      <w:r>
        <w:rPr>
          <w:i/>
          <w:sz w:val="20"/>
        </w:rPr>
        <w:t>EN: New Supernova Constraints on Vector-Mediated Neutrinophilic Dark Sector</w:t>
      </w:r>
    </w:p>
    <w:p>
      <w:pPr>
        <w:spacing w:before="0" w:after="120"/>
      </w:pPr>
      <w:r>
        <w:rPr>
          <w:b/>
        </w:rPr>
        <w:t xml:space="preserve">Source: </w:t>
      </w:r>
      <w:r>
        <w:t>ScienceDirect Publication: Physics Letters B</w:t>
      </w:r>
      <w:r>
        <w:t xml:space="preserve">    </w:t>
      </w:r>
      <w:r>
        <w:rPr>
          <w:b/>
        </w:rPr>
        <w:t xml:space="preserve">Pub date: </w:t>
      </w:r>
      <w:r>
        <w:t>2026-09-02 00:00:00+00:00</w:t>
      </w:r>
      <w:r>
        <w:t xml:space="preserve">    </w:t>
      </w:r>
      <w:r>
        <w:rPr>
          <w:b/>
        </w:rPr>
        <w:t xml:space="preserve">DOI: </w:t>
      </w:r>
      <w:hyperlink r:id="rId1880">
        <w:r>
          <w:rPr>
            <w:color w:val="1155CC"/>
            <w:u w:val="single"/>
          </w:rPr>
          <w:t>10.1016/j.physletb.2026.140923</w:t>
        </w:r>
      </w:hyperlink>
    </w:p>
    <w:p>
      <w:pPr>
        <w:spacing w:before="0" w:after="120"/>
      </w:pPr>
      <w:r>
        <w:rPr>
          <w:b/>
        </w:rPr>
        <w:t xml:space="preserve">Notes: </w:t>
      </w:r>
      <w:r>
        <w:t>abstract_source=rss_description</w:t>
      </w:r>
    </w:p>
    <w:p>
      <w:pPr>
        <w:spacing w:before="0" w:after="80" w:lineRule="auto" w:line="276"/>
      </w:pPr>
      <w:r>
        <w:rPr>
          <w:b/>
        </w:rPr>
        <w:t xml:space="preserve">摘要（ZH）: </w:t>
      </w:r>
      <w:r>
        <w:t>出版日期：2026年9月2日在线发表来源：Physics Letters B作者：Christopher V. Cappiello, P.S. Bhupal Dev, Amol V. Patwardhan</w:t>
      </w:r>
    </w:p>
    <w:p>
      <w:pPr>
        <w:spacing w:before="0" w:after="200" w:lineRule="auto" w:line="276"/>
      </w:pPr>
      <w:r>
        <w:rPr>
          <w:b/>
        </w:rPr>
        <w:t xml:space="preserve">Abstract (EN): </w:t>
      </w:r>
      <w:r>
        <w:t>Publication date: Available online 2 September 2026Source: Physics Letters BAuthor(s): Christopher V. Cappiello, P.S. Bhupal Dev, Amol V. Patwardhan</w:t>
      </w:r>
    </w:p>
    <w:p>
      <w:pPr>
        <w:spacing w:before="120" w:after="120"/>
      </w:pPr>
      <w:r>
        <w:rPr>
          <w:sz w:val="18"/>
        </w:rPr>
        <w:t>——————————————————————————————————————————————————————————————————————</w:t>
      </w:r>
    </w:p>
    <w:p>
      <w:pPr>
        <w:spacing w:before="160" w:after="40" w:line="240" w:lineRule="auto"/>
      </w:pPr>
      <w:r>
        <w:rPr>
          <w:b/>
        </w:rPr>
        <w:t xml:space="preserve">[1078] </w:t>
      </w:r>
      <w:hyperlink r:id="rId1869">
        <w:r>
          <w:rPr>
            <w:color w:val="1155CC"/>
            <w:u w:val="single"/>
          </w:rPr>
          <w:t>利用中子散射跟踪蛋白质的完整热学景观</w:t>
        </w:r>
      </w:hyperlink>
    </w:p>
    <w:p>
      <w:pPr>
        <w:spacing w:before="0" w:after="80"/>
      </w:pPr>
      <w:r>
        <w:rPr>
          <w:i/>
          <w:sz w:val="20"/>
        </w:rPr>
        <w:t>EN: Following the Complete Thermal Landscape of a Protein by Neutron Scattering</w:t>
      </w:r>
    </w:p>
    <w:p>
      <w:pPr>
        <w:spacing w:before="0" w:after="120"/>
      </w:pPr>
      <w:r>
        <w:rPr>
          <w:b/>
        </w:rPr>
        <w:t xml:space="preserve">Source: </w:t>
      </w:r>
      <w:r>
        <w:t>Journal of the American Chemical Society</w:t>
      </w:r>
      <w:r>
        <w:t xml:space="preserve">    </w:t>
      </w:r>
      <w:r>
        <w:rPr>
          <w:b/>
        </w:rPr>
        <w:t xml:space="preserve">Pub date: </w:t>
      </w:r>
      <w:r>
        <w:t>2026-09-02 00:00:00+00:00</w:t>
      </w:r>
      <w:r>
        <w:t xml:space="preserve">    </w:t>
      </w:r>
      <w:r>
        <w:rPr>
          <w:b/>
        </w:rPr>
        <w:t xml:space="preserve">DOI: </w:t>
      </w:r>
      <w:hyperlink r:id="rId1869">
        <w:r>
          <w:rPr>
            <w:color w:val="1155CC"/>
            <w:u w:val="single"/>
          </w:rPr>
          <w:t>10.1021/jacs.6c15050</w:t>
        </w:r>
      </w:hyperlink>
    </w:p>
    <w:p>
      <w:pPr>
        <w:spacing w:before="0" w:after="120"/>
      </w:pPr>
      <w:r>
        <w:rPr>
          <w:b/>
        </w:rPr>
        <w:t xml:space="preserve">Notes: </w:t>
      </w:r>
      <w:r>
        <w:t>abstract_source=crossref</w:t>
      </w:r>
    </w:p>
    <w:p>
      <w:pPr>
        <w:spacing w:before="0" w:after="80" w:lineRule="auto" w:line="276"/>
      </w:pPr>
      <w:r>
        <w:rPr>
          <w:b/>
        </w:rPr>
        <w:t xml:space="preserve">摘要（ZH）: </w:t>
      </w:r>
      <w:r>
        <w:t>摘要 蛋白质动力学与水合和稳定性密切相关，但直接观测热诱导转变的完整序列在仪器上仍具挑战性。在此，我们利用Yfh1的独特性质开展研究，Yfh1是少数几种在实验可及温度下同时经历冷变性和热变性的天然蛋白之一，借助先进的弹性非相干中子散射仪器探测蛋白质动力学，该仪器可在前所未有的宽动量传递范围和100–330 K温度范围内检测运动。我们识别出三种不同的动力学状态，分别对应蛋白质动力学转变、冷变性和热变性。我们能够将以蛋白质为主的运动与其水合壳的运动区分开来。重要的是，据我们所知，我们的工作还首次通过中子散射直接观测到蛋白质冷变性的动力学后果。水合水在260 K附近显示出显著的异常，该异常在热变性后消失，揭示了天然蛋白质结构与水动力学之间的强耦合。这些结果建立了蛋白质在其完整热景观中稳定性的统一动力学图景。</w:t>
      </w:r>
    </w:p>
    <w:p>
      <w:pPr>
        <w:spacing w:before="0" w:after="200" w:lineRule="auto" w:line="276"/>
      </w:pPr>
      <w:r>
        <w:rPr>
          <w:b/>
        </w:rPr>
        <w:t xml:space="preserve">Abstract (EN): </w:t>
      </w:r>
      <w:r>
        <w:t>Protein dynamics is intimately coupled to hydration and stability, yet direct observation of the full sequence of thermally induced transitions remains instrumentally challenging. Here, we present a study that exploits the unique properties of Yfh1, one of the few natural proteins that undergoes both cold and heat denaturation at experimentally accessible temperatures, to probe protein dynamics by advanced elastic incoherent neutron-scattering instrumentation that allows detection of motions over an unprecedently broad momentum-transfer range and a range of 100–330 K temperatures. We identified three distinct dynamical regimes, corresponding to the protein dynamical transition, cold denaturation, and heat denaturation. We could distinguish motions associated predominantly with the protein from those of its hydration shell. Importantly, our work also provides what is, to our knowledge, the first direct neutron-scattering observation of the dynamical consequences of cold denaturation in a protein. Hydration water displays a marked anomaly near 260 K that disappears following heat denaturation, revealing a strong coupling between native protein structure and water dynamics. These results establish a unified dynamical picture of protein stability across its complete thermal landscape.</w:t>
      </w:r>
    </w:p>
    <w:p>
      <w:pPr>
        <w:spacing w:before="120" w:after="120"/>
      </w:pPr>
      <w:r>
        <w:rPr>
          <w:sz w:val="18"/>
        </w:rPr>
        <w:t>——————————————————————————————————————————————————————————————————————</w:t>
      </w:r>
    </w:p>
    <w:p>
      <w:pPr>
        <w:spacing w:before="160" w:after="40" w:line="240" w:lineRule="auto"/>
      </w:pPr>
      <w:r>
        <w:rPr>
          <w:b/>
        </w:rPr>
        <w:t xml:space="preserve">[1079] </w:t>
      </w:r>
      <w:hyperlink r:id="rId1867">
        <w:r>
          <w:rPr>
            <w:color w:val="1155CC"/>
            <w:u w:val="single"/>
          </w:rPr>
          <w:t>水微滴中全氟辛酸脱氟与铬(VI)还原的界面耦合</w:t>
        </w:r>
      </w:hyperlink>
    </w:p>
    <w:p>
      <w:pPr>
        <w:spacing w:before="0" w:after="80"/>
      </w:pPr>
      <w:r>
        <w:rPr>
          <w:i/>
          <w:sz w:val="20"/>
        </w:rPr>
        <w:t>EN: Interfacial Coupling of Perfluorooctanoic Acid Defluorination with Chromium(VI) Reduction in Aqueous Microdroplets</w:t>
      </w:r>
    </w:p>
    <w:p>
      <w:pPr>
        <w:spacing w:before="0" w:after="120"/>
      </w:pPr>
      <w:r>
        <w:rPr>
          <w:b/>
        </w:rPr>
        <w:t xml:space="preserve">Source: </w:t>
      </w:r>
      <w:r>
        <w:t>Journal of the American Chemical Society</w:t>
      </w:r>
      <w:r>
        <w:t xml:space="preserve">    </w:t>
      </w:r>
      <w:r>
        <w:rPr>
          <w:b/>
        </w:rPr>
        <w:t xml:space="preserve">Pub date: </w:t>
      </w:r>
      <w:r>
        <w:t>2026-09-02 00:00:00+00:00</w:t>
      </w:r>
      <w:r>
        <w:t xml:space="preserve">    </w:t>
      </w:r>
      <w:r>
        <w:rPr>
          <w:b/>
        </w:rPr>
        <w:t xml:space="preserve">DOI: </w:t>
      </w:r>
      <w:hyperlink r:id="rId1867">
        <w:r>
          <w:rPr>
            <w:color w:val="1155CC"/>
            <w:u w:val="single"/>
          </w:rPr>
          <w:t>10.1021/jacs.6c13880</w:t>
        </w:r>
      </w:hyperlink>
    </w:p>
    <w:p>
      <w:pPr>
        <w:spacing w:before="0" w:after="120"/>
      </w:pPr>
      <w:r>
        <w:rPr>
          <w:b/>
        </w:rPr>
        <w:t xml:space="preserve">Notes: </w:t>
      </w:r>
      <w:r>
        <w:t>abstract_source=crossref</w:t>
      </w:r>
    </w:p>
    <w:p>
      <w:pPr>
        <w:spacing w:before="0" w:after="80" w:lineRule="auto" w:line="276"/>
      </w:pPr>
      <w:r>
        <w:rPr>
          <w:b/>
        </w:rPr>
        <w:t xml:space="preserve">摘要（ZH）: </w:t>
      </w:r>
      <w:r>
        <w:t>摘要 全氟和多氟烷基物质（PFAS）与六价铬（Cr(VI)）在工业废水中经常共存，但它们截然相反的氧化还原需求使同步修复变得复杂。在此，我们表明水微滴将这种 apparent 的不相容性转化为协同的界面反应性。在空气–水界面，全氟辛酸（PFOA）和Cr(VI)在环境条件下发生相互促进的转化。Cr(VI)使PFOA的脱氟提高约63%，而PFOA使Cr(VI)的还原提高约41%。机理分析揭示了一个氧耦合的界面氧化还原网络，其中O2衍生的过氧化物、H2O2周转和Cr介导的自由基产生维持了反应性中间体的通量。分子动力学模拟和密度泛函理论计算表明，PFOA自发富集于界面并重组离子环境，以促进K+介导的Cr(VI)共定位。这种结合在电子上激活了靠近头基的C–F键，并与界面限域共同作用，将α-C–F断裂能垒从2.80 eV降至1.39 eV。总之，这些发现揭示了微滴界面如何在空间和电子上协调有机氟键断裂与金属还原，为复杂污染物混合物的协同修复提供了框架。</w:t>
      </w:r>
    </w:p>
    <w:p>
      <w:pPr>
        <w:spacing w:before="0" w:after="200" w:lineRule="auto" w:line="276"/>
      </w:pPr>
      <w:r>
        <w:rPr>
          <w:b/>
        </w:rPr>
        <w:t xml:space="preserve">Abstract (EN): </w:t>
      </w:r>
      <w:r>
        <w:t>Per- and polyfluoroalkyl substances (PFAS) and hexavalent chromium (Cr(VI)) frequently coexist in industrial waters, but their contrasting redox requirements complicate simultaneous remediation. Here we show that aqueous microdroplets transform this apparent incompatibility into cooperative interfacial reactivity. At the air–water interface, perfluorooctanoic acid (PFOA) and Cr(VI) undergo mutually promoted transformation under ambient conditions. Cr(VI) increases PFOA defluorination by approximately 63%, whereas PFOA enhances Cr(VI) reduction by approximately 41%. Mechanistic analyses identify an oxygen-coupled interfacial redox network in which O2-derived peroxides, H2O2 turnover and Cr-mediated radical generation maintain the flux of reactive intermediates. Molecular dynamics simulations and density functional theory calculations indicate that PFOA spontaneously enriches at the interface and reorganizes the ionic environment to promote K+-mediated co-localization of Cr(VI). This association electronically activates the headgroup-proximal C–F bond and, together with interfacial confinement, reduces the α-C–F cleavage barrier from 2.80 to 1.39 eV. Together, these findings reveal how microdroplet interfaces spatially and electronically coordinate organofluorine bond cleavage with metal reduction, providing a framework for cooperative remediation of complex contaminant mixtures.</w:t>
      </w:r>
    </w:p>
    <w:p>
      <w:pPr>
        <w:spacing w:before="120" w:after="120"/>
      </w:pPr>
      <w:r>
        <w:rPr>
          <w:sz w:val="18"/>
        </w:rPr>
        <w:t>——————————————————————————————————————————————————————————————————————</w:t>
      </w:r>
    </w:p>
    <w:p>
      <w:pPr>
        <w:spacing w:before="160" w:after="40" w:line="240" w:lineRule="auto"/>
      </w:pPr>
      <w:r>
        <w:rPr>
          <w:b/>
        </w:rPr>
        <w:t xml:space="preserve">[1080] </w:t>
      </w:r>
      <w:hyperlink r:id="rId1865">
        <w:r>
          <w:rPr>
            <w:color w:val="1155CC"/>
            <w:u w:val="single"/>
          </w:rPr>
          <w:t>原子级薄CrCl3中局域配体场激子的激活迁移</w:t>
        </w:r>
      </w:hyperlink>
    </w:p>
    <w:p>
      <w:pPr>
        <w:spacing w:before="0" w:after="80"/>
      </w:pPr>
      <w:r>
        <w:rPr>
          <w:i/>
          <w:sz w:val="20"/>
        </w:rPr>
        <w:t>EN: Activated Migration of Localized Ligand-Field Excitons in Atomically Thin CrCl3</w:t>
      </w:r>
    </w:p>
    <w:p>
      <w:pPr>
        <w:spacing w:before="0" w:after="120"/>
      </w:pPr>
      <w:r>
        <w:rPr>
          <w:b/>
        </w:rPr>
        <w:t xml:space="preserve">Source: </w:t>
      </w:r>
      <w:r>
        <w:t>Journal of the American Chemical Society</w:t>
      </w:r>
      <w:r>
        <w:t xml:space="preserve">    </w:t>
      </w:r>
      <w:r>
        <w:rPr>
          <w:b/>
        </w:rPr>
        <w:t xml:space="preserve">Pub date: </w:t>
      </w:r>
      <w:r>
        <w:t>2026-09-02 00:00:00+00:00</w:t>
      </w:r>
      <w:r>
        <w:t xml:space="preserve">    </w:t>
      </w:r>
      <w:r>
        <w:rPr>
          <w:b/>
        </w:rPr>
        <w:t xml:space="preserve">DOI: </w:t>
      </w:r>
      <w:hyperlink r:id="rId1865">
        <w:r>
          <w:rPr>
            <w:color w:val="1155CC"/>
            <w:u w:val="single"/>
          </w:rPr>
          <w:t>10.1021/jacs.6c12269</w:t>
        </w:r>
      </w:hyperlink>
    </w:p>
    <w:p>
      <w:pPr>
        <w:spacing w:before="0" w:after="120"/>
      </w:pPr>
      <w:r>
        <w:rPr>
          <w:b/>
        </w:rPr>
        <w:t xml:space="preserve">Notes: </w:t>
      </w:r>
      <w:r>
        <w:t>abstract_source=crossref</w:t>
      </w:r>
    </w:p>
    <w:p>
      <w:pPr>
        <w:spacing w:before="0" w:after="80" w:lineRule="auto" w:line="276"/>
      </w:pPr>
      <w:r>
        <w:rPr>
          <w:b/>
        </w:rPr>
        <w:t xml:space="preserve">摘要（ZH）: </w:t>
      </w:r>
      <w:r>
        <w:t>摘要 具有致密堆积原子的二维晶体表现出一系列新兴特性，尤其是多种多样的激子行为。具有有限表面复合位点的厚度可变的层状三卤化铬为理解限制在八面体配体场中的激子如何在纳米尺度上迁移提供了理想体系，这一尺度超出了常规输运探针的能力。在这项工作中，我们证明CrCl3中源自Cr3+的光致发光在光谱上与厚度无关，但其弛豫动力学对厚度和温度高度敏感，从而表明存在显著的活化迁移。扩散耦合表面复合模型给出配体场激子的有效面外扩散系数为4.5 × 10–6 cm2/s，扩散活化能为130 meV。定量的Förster分析得到的扩散系数与实验值相当，支持长程偶极能量转移作为层间激子迁移的合理机制。活化能与由光学Stokes位移独立估算的重排能相当，表明激子输运与局域晶格弛豫相耦合。此外，我们表明通过可控的表面反应或封装来增强或抑制表面复合，可以系统地调控弛豫动力学。这项工作不仅揭示了局域配体场激子的纳米尺度输运，还建立了一种适用的光谱输运探针</w:t>
      </w:r>
    </w:p>
    <w:p>
      <w:pPr>
        <w:spacing w:before="0" w:after="200" w:lineRule="auto" w:line="276"/>
      </w:pPr>
      <w:r>
        <w:rPr>
          <w:b/>
        </w:rPr>
        <w:t xml:space="preserve">Abstract (EN): </w:t>
      </w:r>
      <w:r>
        <w:t>Two-dimensional crystals with densely packed atoms exhibit a range of emerging properties, particularly a wide variety of excitonic behaviors. Thickness-variable layered chromium trihalides with finite surface recombination sites provide an ideal system for understanding how excitons confined in octahedral ligand fields migrate on nanometer length scales, a regime that defies conventional transport probes. In this work, we demonstrate that Cr3+-derived photoluminescence in CrCl3 is spectrally independent of thickness, but its relaxation dynamics are strongly sensitive to thickness and temperature, thereby indicating significant activated migration. A diffusion-coupled surface recombination model reveals an effective out-of-plane diffusion coefficient of 4.5 × 10–6 cm2/s for the ligand-field excitons and a diffusion activation energy of 130 meV. A quantitative Forster analysis yields a diffusion coefficient comparable to the experimental value, supporting long-range dipolar energy transfer as a plausible mechanism for interlayer exciton migration. The activation energy is comparable to the reorganization energy independently estimated from optical Stokes shifts, suggesting that exciton transport is coupled to local lattice relaxation. Furthermore, we show that the relaxation dynamics can be systematically tuned by either enhancing or suppressing surface recombination through controlled surface reactions or encapsulation. This work not only reveals the nanoscopic transport of localized ligand-field excitons but also establishes a spectroscopic transport probe applicable to various 2D materials.</w:t>
      </w:r>
    </w:p>
    <w:p>
      <w:pPr>
        <w:spacing w:before="120" w:after="120"/>
      </w:pPr>
      <w:r>
        <w:rPr>
          <w:sz w:val="18"/>
        </w:rPr>
        <w:t>——————————————————————————————————————————————————————————————————————</w:t>
      </w:r>
    </w:p>
    <w:p>
      <w:pPr>
        <w:spacing w:before="160" w:after="40" w:line="240" w:lineRule="auto"/>
      </w:pPr>
      <w:r>
        <w:rPr>
          <w:b/>
        </w:rPr>
        <w:t xml:space="preserve">[1081] </w:t>
      </w:r>
      <w:hyperlink r:id="rId1863">
        <w:r>
          <w:rPr>
            <w:color w:val="1155CC"/>
            <w:u w:val="single"/>
          </w:rPr>
          <w:t>手性4′-甲基-α-( l )-苏糖呋喃糖基核酸：合成、结构、结合亲和力、核酸酶抗性及聚合酶识别</w:t>
        </w:r>
      </w:hyperlink>
    </w:p>
    <w:p>
      <w:pPr>
        <w:spacing w:before="0" w:after="80"/>
      </w:pPr>
      <w:r>
        <w:rPr>
          <w:i/>
          <w:sz w:val="20"/>
        </w:rPr>
        <w:t>EN: Chiral-4′-Methyl-α-( l )-Threofuranosyl Nucleic Acids: Synthesis, Structure, Binding Affinity, Nuclease Resistance, and Polymerase Recognition</w:t>
      </w:r>
    </w:p>
    <w:p>
      <w:pPr>
        <w:spacing w:before="0" w:after="120"/>
      </w:pPr>
      <w:r>
        <w:rPr>
          <w:b/>
        </w:rPr>
        <w:t xml:space="preserve">Source: </w:t>
      </w:r>
      <w:r>
        <w:t>Journal of the American Chemical Society</w:t>
      </w:r>
      <w:r>
        <w:t xml:space="preserve">    </w:t>
      </w:r>
      <w:r>
        <w:rPr>
          <w:b/>
        </w:rPr>
        <w:t xml:space="preserve">Pub date: </w:t>
      </w:r>
      <w:r>
        <w:t>2026-09-02 00:00:00+00:00</w:t>
      </w:r>
      <w:r>
        <w:t xml:space="preserve">    </w:t>
      </w:r>
      <w:r>
        <w:rPr>
          <w:b/>
        </w:rPr>
        <w:t xml:space="preserve">DOI: </w:t>
      </w:r>
      <w:hyperlink r:id="rId1863">
        <w:r>
          <w:rPr>
            <w:color w:val="1155CC"/>
            <w:u w:val="single"/>
          </w:rPr>
          <w:t>10.1021/jacs.6c07051</w:t>
        </w:r>
      </w:hyperlink>
    </w:p>
    <w:p>
      <w:pPr>
        <w:spacing w:before="0" w:after="120"/>
      </w:pPr>
      <w:r>
        <w:rPr>
          <w:b/>
        </w:rPr>
        <w:t xml:space="preserve">Notes: </w:t>
      </w:r>
      <w:r>
        <w:t>abstract_source=crossref</w:t>
      </w:r>
    </w:p>
    <w:p>
      <w:pPr>
        <w:spacing w:before="0" w:after="80" w:lineRule="auto" w:line="276"/>
      </w:pPr>
      <w:r>
        <w:rPr>
          <w:b/>
        </w:rPr>
        <w:t xml:space="preserve">摘要（ZH）: </w:t>
      </w:r>
      <w:r>
        <w:t>摘要 α-(l)-(3′–2′)-苏糖呋喃糖基核酸（TNA）可与DNA和RNA交叉配对，且不被核酸酶降解，因此在基于核酸的诊断和治疗中具有应用潜力。在此，我们描述了15种手性4′-(R)-甲基-α-(l)-苏糖呋喃糖基核酸（4′-Me-TNA）单体构件和15种手性(S)-甲基-α-(l)-苏糖呋喃糖基核酸单体构件的合成及其向寡核苷酸中的掺入。对含有4′-Me-TNA修饰的RNA的晶体学研究揭示了甲基取代基对糖折叠和双链构象的影响。生物稳定性研究表明，脱氧寡核苷酸末端的4′-Me-TNA修饰可赋予与未甲基化TNA相当的核酸酶消化抗性，明显优于更常规的2′-核糖和2′-脱氧修饰。单个4′-(R)-Me-TNA核苷酸的掺入会使原本全RNA的12聚体双链去稳定6.5至12 °C（取决于碱基），相对于未修饰的RNA对照双链；(S)异构体的去稳定作用小于(R)异构体。计算模型被用于合理解释高水平的核酸酶抗性和热去稳定化。4′-Me-TNA三磷酸盐很难被工程化的TNA聚合酶识别，因此天然聚合酶识别4′-Me-TNA三磷酸盐的可能性更小。总之，这些性质支持对4′-Me-TNA在基于核酸的治疗中进行评估。</w:t>
      </w:r>
    </w:p>
    <w:p>
      <w:pPr>
        <w:spacing w:before="0" w:after="200" w:lineRule="auto" w:line="276"/>
      </w:pPr>
      <w:r>
        <w:rPr>
          <w:b/>
        </w:rPr>
        <w:t xml:space="preserve">Abstract (EN): </w:t>
      </w:r>
      <w:r>
        <w:t>α-(l)-(3′–2′)-Threofuranosyl nucleic acid (TNA) cross-pairs with DNA and RNA and is not degraded by nucleases and thus has potential for use in diagnostics and therapeutics based on nucleic acids. Here, we describe the synthesis of 15 building blocks of chiral 4′-(R)- and 15 building blocks of chiral (S)-methyl-α-(l)-threofuranosyl nucleic acid (4′-Me-TNA) monomers and their incorporation into oligonucleotides. Crystallographic studies of RNAs containing 4′-Me-TNA modifications revealed the impact of the methyl substituent on the sugar pucker and duplex conformation. Biostability studies showed that a terminal 4′-Me-TNA modification on a deoxyoligonucleotide imparted resistance to nuclease digestion equivalent to unmethylated TNA, which is markedly superior to that of more conventional 2′-ribo and 2′-deoxy modifications. A single nucleotide incorporation of the 4′-(R)-Me-TNA destabilized an otherwise all-RNA 12-mer duplex by 6.5 to 12 °C, depending on the base, relative to the unmodified RNA control duplex; the (S) isomer was less destabilizing than the (R) isomer. Computational models were used to rationalize the high levels of nuclease resistance and the thermal destabilization. The 4′-Me-TNA triphosphates are poorly recognized by an engineered TNA polymerase making it unlikely that the 4′-Me-TNA triphosphates will be recognized by natural polymerases. Together, these properties warrant the evaluation of 4′-Me-TNA in nucleic acid-based therapeutics.</w:t>
      </w:r>
    </w:p>
    <w:p>
      <w:pPr>
        <w:spacing w:before="120" w:after="120"/>
      </w:pPr>
      <w:r>
        <w:rPr>
          <w:sz w:val="18"/>
        </w:rPr>
        <w:t>——————————————————————————————————————————————————————————————————————</w:t>
      </w:r>
    </w:p>
    <w:p>
      <w:pPr>
        <w:spacing w:before="160" w:after="40" w:line="240" w:lineRule="auto"/>
      </w:pPr>
      <w:r>
        <w:rPr>
          <w:b/>
        </w:rPr>
        <w:t xml:space="preserve">[1082] </w:t>
      </w:r>
      <w:hyperlink r:id="rId1861">
        <w:r>
          <w:rPr>
            <w:color w:val="1155CC"/>
            <w:u w:val="single"/>
          </w:rPr>
          <w:t>AbSynth：将一个世纪的全合成作为分析有机化学策略逻辑的机器可读资源</w:t>
        </w:r>
      </w:hyperlink>
    </w:p>
    <w:p>
      <w:pPr>
        <w:spacing w:before="0" w:after="80"/>
      </w:pPr>
      <w:r>
        <w:rPr>
          <w:i/>
          <w:sz w:val="20"/>
        </w:rPr>
        <w:t>EN: AbSynth: A Century of Total Syntheses as a Machine-Readable Resource for Analyzing Strategic Logic in Organic Chemistry</w:t>
      </w:r>
    </w:p>
    <w:p>
      <w:pPr>
        <w:spacing w:before="0" w:after="120"/>
      </w:pPr>
      <w:r>
        <w:rPr>
          <w:b/>
        </w:rPr>
        <w:t xml:space="preserve">Source: </w:t>
      </w:r>
      <w:r>
        <w:t>Journal of the American Chemical Society</w:t>
      </w:r>
      <w:r>
        <w:t xml:space="preserve">    </w:t>
      </w:r>
      <w:r>
        <w:rPr>
          <w:b/>
        </w:rPr>
        <w:t xml:space="preserve">Pub date: </w:t>
      </w:r>
      <w:r>
        <w:t>2026-09-02 00:00:00+00:00</w:t>
      </w:r>
      <w:r>
        <w:t xml:space="preserve">    </w:t>
      </w:r>
      <w:r>
        <w:rPr>
          <w:b/>
        </w:rPr>
        <w:t xml:space="preserve">DOI: </w:t>
      </w:r>
      <w:hyperlink r:id="rId1861">
        <w:r>
          <w:rPr>
            <w:color w:val="1155CC"/>
            <w:u w:val="single"/>
          </w:rPr>
          <w:t>10.1021/jacs.6c08434</w:t>
        </w:r>
      </w:hyperlink>
    </w:p>
    <w:p>
      <w:pPr>
        <w:spacing w:before="0" w:after="120"/>
      </w:pPr>
      <w:r>
        <w:rPr>
          <w:b/>
        </w:rPr>
        <w:t xml:space="preserve">Notes: </w:t>
      </w:r>
      <w:r>
        <w:t>abstract_source=crossref</w:t>
      </w:r>
    </w:p>
    <w:p>
      <w:pPr>
        <w:spacing w:before="0" w:after="80" w:lineRule="auto" w:line="276"/>
      </w:pPr>
      <w:r>
        <w:rPr>
          <w:b/>
        </w:rPr>
        <w:t xml:space="preserve">摘要（ZH）: </w:t>
      </w:r>
      <w:r>
        <w:t>摘要 面向复杂且立体化学丰富目标分子的合成路线设计仍是有机化学中最具挑战性的难题之一。为探究此类工作的策略逻辑，我们整理并数字化了3000多条经典全合成路线，包含近60000个独立步骤，现以AbSynth合集的形式免费开放。对该数据集的分析表明，合成规划无法简化为纯局部、一步一步的决策：已知的复杂性度量和评分函数在合成轨迹上并非单调变化，而传统的断键启发式规则仅零星适用，且缺乏自动化所需的特异性。相反，我们的研究表明，近一半的步骤对应于结构上无产出但策略上至关重要的骨架复杂性平台期。要跨越这些平台期，逆合成算法必须采用多步推理而非增量评分。我们识别出若干此类多步启发式规则，包括可容忍的非骨架断键长度以及官能团在路线中的“寿命”，并预期AbSynth将成为揭示合成设计中更多趋势的资源。通过提供一个跨越百年、机器可读的完整路线数据集，这项工作为推动化学AI达到人类专家级规划的复杂性奠定了基础。</w:t>
      </w:r>
    </w:p>
    <w:p>
      <w:pPr>
        <w:spacing w:before="0" w:after="200" w:lineRule="auto" w:line="276"/>
      </w:pPr>
      <w:r>
        <w:rPr>
          <w:b/>
        </w:rPr>
        <w:t xml:space="preserve">Abstract (EN): </w:t>
      </w:r>
      <w:r>
        <w:t>The design of synthetic routes to complex, stereochemically rich targets remains one of the most demanding challenges in organic chemistry. To interrogate the strategic logic underlying such efforts, we curated and digitized over 3,000 classical total syntheses comprising close to 60,000 individual steps, now freely available as the AbSynth collection. Analyses across this data set reveal that synthesis planning cannot be reduced to purely local, one-step-at-a-time decision-making: known complexity metrics and scoring functions fail to vary monotonically along synthetic trajectories, and conventional bond-disconnection heuristics apply only sporadically and lack the specificity required for automation. Instead, our study shows that nearly half of all steps correspond to structurally unproductive – yet strategically essential – plateaus of skeletal complexity. Navigating these plateaus requires retrosynthetic algorithms to embrace multistep reasoning rather than incremental scoring. We identify several such multistep heuristics, including tolerable lengths of nonskeletal disconnections and the “longevity” of functional groups across routes, and anticipate that AbSynth will serve as a resource for uncovering additional trends in synthesis design. By providing a century-spanning, machine-readable data set of complete routes, this work offers a foundation for advancing chemical AI toward the complexity of human expert planning.</w:t>
      </w:r>
    </w:p>
    <w:p>
      <w:pPr>
        <w:spacing w:before="120" w:after="120"/>
      </w:pPr>
      <w:r>
        <w:rPr>
          <w:sz w:val="18"/>
        </w:rPr>
        <w:t>——————————————————————————————————————————————————————————————————————</w:t>
      </w:r>
    </w:p>
    <w:p>
      <w:pPr>
        <w:spacing w:before="160" w:after="40" w:line="240" w:lineRule="auto"/>
      </w:pPr>
      <w:r>
        <w:rPr>
          <w:b/>
        </w:rPr>
        <w:t xml:space="preserve">[1083] </w:t>
      </w:r>
      <w:hyperlink r:id="rId1859">
        <w:r>
          <w:rPr>
            <w:color w:val="1155CC"/>
            <w:u w:val="single"/>
          </w:rPr>
          <w:t>YM-216391的生物合成揭示一种双功能α-酮戊二酸依赖性酶可在RiPPs中催化羟基化和差向异构化</w:t>
        </w:r>
      </w:hyperlink>
    </w:p>
    <w:p>
      <w:pPr>
        <w:spacing w:before="0" w:after="80"/>
      </w:pPr>
      <w:r>
        <w:rPr>
          <w:i/>
          <w:sz w:val="20"/>
        </w:rPr>
        <w:t>EN: Biosynthesis of YM-216391 Unveils a Bifunctional α-Ketoglutarate-Dependent Enzyme Catalyzes Hydroxylation and Epimerization in RiPPs</w:t>
      </w:r>
    </w:p>
    <w:p>
      <w:pPr>
        <w:spacing w:before="0" w:after="120"/>
      </w:pPr>
      <w:r>
        <w:rPr>
          <w:b/>
        </w:rPr>
        <w:t xml:space="preserve">Source: </w:t>
      </w:r>
      <w:r>
        <w:t>Journal of the American Chemical Society</w:t>
      </w:r>
      <w:r>
        <w:t xml:space="preserve">    </w:t>
      </w:r>
      <w:r>
        <w:rPr>
          <w:b/>
        </w:rPr>
        <w:t xml:space="preserve">Pub date: </w:t>
      </w:r>
      <w:r>
        <w:t>2026-09-02 00:00:00+00:00</w:t>
      </w:r>
      <w:r>
        <w:t xml:space="preserve">    </w:t>
      </w:r>
      <w:r>
        <w:rPr>
          <w:b/>
        </w:rPr>
        <w:t xml:space="preserve">DOI: </w:t>
      </w:r>
      <w:hyperlink r:id="rId1859">
        <w:r>
          <w:rPr>
            <w:color w:val="1155CC"/>
            <w:u w:val="single"/>
          </w:rPr>
          <w:t>10.1021/jacs.6c11815</w:t>
        </w:r>
      </w:hyperlink>
    </w:p>
    <w:p>
      <w:pPr>
        <w:spacing w:before="0" w:after="120"/>
      </w:pPr>
      <w:r>
        <w:rPr>
          <w:b/>
        </w:rPr>
        <w:t xml:space="preserve">Notes: </w:t>
      </w:r>
      <w:r>
        <w:t>abstract_source=crossref</w:t>
      </w:r>
    </w:p>
    <w:p>
      <w:pPr>
        <w:spacing w:before="0" w:after="80" w:lineRule="auto" w:line="276"/>
      </w:pPr>
      <w:r>
        <w:rPr>
          <w:b/>
        </w:rPr>
        <w:t xml:space="preserve">摘要（ZH）: </w:t>
      </w:r>
      <w:r>
        <w:t>摘要 非血红素铁/α-酮戊二酸依赖型双加氧酶(Fe/αKGDs)催化多种氧化转化反应，包括羟基化、去饱和化和扩环。尽管这些反应已被充分确立，Fe/αKGD催化的差向异构化反应仍然罕见，且从未在核糖体合成并经翻译后修饰的肽类(RiPPs)中得到表征。本文报道了RiPP修饰酶YmI，这是一种双功能Fe/αKGD，在YM-216391的形成过程中催化前体肽YmA上Phe19的Cβ-羟基化和Ile20的Cα-差向异构化。该羟基化反应生成(2S,3R)-β-羟基苯丙氨酸，其类似l-苏氨酸的立体化学促进了随后不寻常的5-苯基噁唑结构单元的形成。底物谱分析揭示了引导肽对催化活性的依赖性。结构研究和分子对接为底物结合及活性位点架构提供了洞见。氘标记实验表明，YmI通过直接夺取Cα-氢催化Ile的差向异构化，生成Cα自由基，随后被酶内不可交换的氢源重新质子化。这些结果揭示了一种前所未有的机制和新型双功能特性，显著拓展了αKG依赖型酶在RiPP生物合成中的反应版图。</w:t>
      </w:r>
    </w:p>
    <w:p>
      <w:pPr>
        <w:spacing w:before="0" w:after="200" w:lineRule="auto" w:line="276"/>
      </w:pPr>
      <w:r>
        <w:rPr>
          <w:b/>
        </w:rPr>
        <w:t xml:space="preserve">Abstract (EN): </w:t>
      </w:r>
      <w:r>
        <w:t>Nonheme iron/α-ketoglutarate-dependent dioxygenases (Fe/αKGDs) catalyze diverse oxidative transformations, including hydroxylation, desaturation, and ring expansion. Although these reactions are well established, Fe/αKGD-catalyzed epimerization remains rare and has not been characterized in ribosomally synthesized and post-translationally modified peptides (RiPPs). Here, we report the RiPP-modifying enzyme YmI, a bifunctional Fe/αKGD that catalyzes Cβ-hydroxylation of Phe19 and Cα-epimerization of Ile20 on the precursor peptide YmA toward the formation of YM-216391. The hydroxylation generates (2S,3R)-β-hydroxyphenylalanine, whose l-threonine-like stereochemistry facilitates subsequent formation of an unusual 5-phenyloxazole moiety. Substrate profiling analyses reveal leader peptide dependence for catalytic activity. Structural and docking studies provide insights into the substrate binding and active site architecture. Deuterium labeling demonstrates that YmI catalyzes Ile epimerization by directly abstracting the Cα-hydrogen, generating a Cα radical that is subsequently reprotonated by a nonexchangeable hydrogen source within the enzyme. These results unveil an unprecedented mechanism and novel bifunctionality, markedly expanding the reaction landscape for αKG-dependent enzymes in RiPP biosynthesis.</w:t>
      </w:r>
    </w:p>
    <w:p>
      <w:pPr>
        <w:spacing w:before="120" w:after="120"/>
      </w:pPr>
      <w:r>
        <w:rPr>
          <w:sz w:val="18"/>
        </w:rPr>
        <w:t>——————————————————————————————————————————————————————————————————————</w:t>
      </w:r>
    </w:p>
    <w:p>
      <w:pPr>
        <w:spacing w:before="160" w:after="40" w:line="240" w:lineRule="auto"/>
      </w:pPr>
      <w:r>
        <w:rPr>
          <w:b/>
        </w:rPr>
        <w:t xml:space="preserve">[1084] </w:t>
      </w:r>
      <w:hyperlink r:id="rId1871">
        <w:r>
          <w:rPr>
            <w:color w:val="1155CC"/>
            <w:u w:val="single"/>
          </w:rPr>
          <w:t>解耦局域化学与静电以实现芯能级结合能的可扩展精确预测</w:t>
        </w:r>
      </w:hyperlink>
    </w:p>
    <w:p>
      <w:pPr>
        <w:spacing w:before="0" w:after="80"/>
      </w:pPr>
      <w:r>
        <w:rPr>
          <w:i/>
          <w:sz w:val="20"/>
        </w:rPr>
        <w:t>EN: Decoupling Local Chemistry and Electrostatics for Scalable and Accurate Prediction of Core-Level Binding Energies</w:t>
      </w:r>
    </w:p>
    <w:p>
      <w:pPr>
        <w:spacing w:before="0" w:after="120"/>
      </w:pPr>
      <w:r>
        <w:rPr>
          <w:b/>
        </w:rPr>
        <w:t xml:space="preserve">Source: </w:t>
      </w:r>
      <w:r>
        <w:t>Journal of the American Chemical Society</w:t>
      </w:r>
      <w:r>
        <w:t xml:space="preserve">    </w:t>
      </w:r>
      <w:r>
        <w:rPr>
          <w:b/>
        </w:rPr>
        <w:t xml:space="preserve">Pub date: </w:t>
      </w:r>
      <w:r>
        <w:t>2026-09-02 00:00:00+00:00</w:t>
      </w:r>
      <w:r>
        <w:t xml:space="preserve">    </w:t>
      </w:r>
      <w:r>
        <w:rPr>
          <w:b/>
        </w:rPr>
        <w:t xml:space="preserve">DOI: </w:t>
      </w:r>
      <w:hyperlink r:id="rId1871">
        <w:r>
          <w:rPr>
            <w:color w:val="1155CC"/>
            <w:u w:val="single"/>
          </w:rPr>
          <w:t>10.1021/jacs.6c08089</w:t>
        </w:r>
      </w:hyperlink>
    </w:p>
    <w:p>
      <w:pPr>
        <w:spacing w:before="0" w:after="120"/>
      </w:pPr>
      <w:r>
        <w:rPr>
          <w:b/>
        </w:rPr>
        <w:t xml:space="preserve">Notes: </w:t>
      </w:r>
      <w:r>
        <w:t>abstract_source=crossref</w:t>
      </w:r>
    </w:p>
    <w:p>
      <w:pPr>
        <w:spacing w:before="0" w:after="80" w:lineRule="auto" w:line="276"/>
      </w:pPr>
      <w:r>
        <w:rPr>
          <w:b/>
        </w:rPr>
        <w:t xml:space="preserve">摘要（ZH）: </w:t>
      </w:r>
      <w:r>
        <w:t>摘要 在复杂环境中准确解析X射线光电子能谱(XPS)仍是一个长期存在的难题，因为芯能级结合能(BEs)反映的是局部化学键合与长程静电效应的卷积。在电化学界面和溶剂化相等非均相体系中，这种相互作用掩盖了化学归属，限制了XPS的定量能力。本文以代表性的表面、分子和溶剂化体系为例，证明芯能级结合能本质上是多尺度可观测量，通常不能被描述为纯局部量。基于这一认识，我们引入了一个物理知情的、多阶段的机器学习框架，显式解耦静电和局部贡献。通过用学习得到的原子电荷处理静电势，并用局部描述符建模残余项，该方法在多种化学环境中恢复了准确性和可迁移性。该框架还能可扩展地预测终态结合能，从而避免了ΔSCF计算的高昂成本。将其应用于液态水的深度分辨XPS模拟，结果与实验相符，并揭示了谱线位移的微观起源。这项工作建立了解耦XPS中化学效应与静电效应的计算框架，并为解析非均相体系光谱提供了可扩展的途径。</w:t>
      </w:r>
    </w:p>
    <w:p>
      <w:pPr>
        <w:spacing w:before="0" w:after="200" w:lineRule="auto" w:line="276"/>
      </w:pPr>
      <w:r>
        <w:rPr>
          <w:b/>
        </w:rPr>
        <w:t xml:space="preserve">Abstract (EN): </w:t>
      </w:r>
      <w:r>
        <w:t>Accurate interpretation of X-ray photoelectron spectroscopy (XPS) in complex environments remains a longstanding challenge, as core-level binding energies (BEs) reflect a convolution of local chemical bonding and long-range electrostatic effects. In heterogeneous systems such as electrochemical interfaces and solvated phases, this interplay obscures chemical assignment and limits the quantitative power of XPS. Here, using representative surface, molecular, and solvated systems, we demonstrate that core-level BEs are intrinsically multiscale observables and cannot, in general, be described as purely local quantities. Building on this insight, we introduce a physics-informed, multistage machine learning framework that explicitly decouples electrostatic and local contributions. By treating the electrostatic potential via learned atomic charges and modeling the residual term with local descriptors, the approach restores both accuracy and transferability across diverse chemical environments. The framework further enables scalable prediction of final-state BEs, bypassing the prohibitive cost of ΔSCF calculations. Application to depth-resolved XPS simulations of liquid water demonstrates agreement with experiment and reveals the microscopic origin of spectral shifts. This work establishes a computational framework for disentangling chemical and electrostatic effects in XPS and provides a scalable route for interpreting spectroscopy in heterogeneous systems.</w:t>
      </w:r>
    </w:p>
    <w:p>
      <w:pPr>
        <w:spacing w:before="120" w:after="120"/>
      </w:pPr>
      <w:r>
        <w:rPr>
          <w:sz w:val="18"/>
        </w:rPr>
        <w:t>——————————————————————————————————————————————————————————————————————</w:t>
      </w:r>
    </w:p>
    <w:p>
      <w:pPr>
        <w:spacing w:before="160" w:after="40" w:line="240" w:lineRule="auto"/>
      </w:pPr>
      <w:r>
        <w:rPr>
          <w:b/>
        </w:rPr>
        <w:t xml:space="preserve">[1085] </w:t>
      </w:r>
      <w:hyperlink r:id="rId1873">
        <w:r>
          <w:rPr>
            <w:color w:val="1155CC"/>
            <w:u w:val="single"/>
          </w:rPr>
          <w:t>5- t Bu-沙利度胺是转录因子FLT3互作锌指蛋白1（FIZ1）的选择性分子胶降解剂</w:t>
        </w:r>
      </w:hyperlink>
    </w:p>
    <w:p>
      <w:pPr>
        <w:spacing w:before="0" w:after="80"/>
      </w:pPr>
      <w:r>
        <w:rPr>
          <w:i/>
          <w:sz w:val="20"/>
        </w:rPr>
        <w:t>EN: 5- t Bu-Thalidomide Is a Selective Molecular Glue Degrader of the Transcription Factor FLT3 Interacting Zinc Finger 1 (FIZ1)</w:t>
      </w:r>
    </w:p>
    <w:p>
      <w:pPr>
        <w:spacing w:before="0" w:after="120"/>
      </w:pPr>
      <w:r>
        <w:rPr>
          <w:b/>
        </w:rPr>
        <w:t xml:space="preserve">Source: </w:t>
      </w:r>
      <w:r>
        <w:t>Journal of the American Chemical Society</w:t>
      </w:r>
      <w:r>
        <w:t xml:space="preserve">    </w:t>
      </w:r>
      <w:r>
        <w:rPr>
          <w:b/>
        </w:rPr>
        <w:t xml:space="preserve">Pub date: </w:t>
      </w:r>
      <w:r>
        <w:t>2026-09-02 00:00:00+00:00</w:t>
      </w:r>
      <w:r>
        <w:t xml:space="preserve">    </w:t>
      </w:r>
      <w:r>
        <w:rPr>
          <w:b/>
        </w:rPr>
        <w:t xml:space="preserve">DOI: </w:t>
      </w:r>
      <w:hyperlink r:id="rId1873">
        <w:r>
          <w:rPr>
            <w:color w:val="1155CC"/>
            <w:u w:val="single"/>
          </w:rPr>
          <w:t>10.1021/jacs.6c14185</w:t>
        </w:r>
      </w:hyperlink>
    </w:p>
    <w:p>
      <w:pPr>
        <w:spacing w:before="0" w:after="120"/>
      </w:pPr>
      <w:r>
        <w:rPr>
          <w:b/>
        </w:rPr>
        <w:t xml:space="preserve">Notes: </w:t>
      </w:r>
      <w:r>
        <w:t>abstract_source=crossref</w:t>
      </w:r>
    </w:p>
    <w:p>
      <w:pPr>
        <w:spacing w:before="0" w:after="80" w:lineRule="auto" w:line="276"/>
      </w:pPr>
      <w:r>
        <w:rPr>
          <w:b/>
        </w:rPr>
        <w:t xml:space="preserve">摘要（ZH）: </w:t>
      </w:r>
      <w:r>
        <w:t>摘要 含Cys2-His2(C2H2)锌指(ZF)的蛋白是人类DNA结合转录因子(TFs)中最大的家族，而这类蛋白长期以来被认为不可成药。近年来，在开发可诱导含G-loop CXXCG降解子的蛋白（包括这些转录因子）降解的免疫调节酰亚胺药物(IMiDs)方面取得了显著进展。尽管取得了这些进展，鉴定能选择性诱导单一蛋白降解的IMiD类分子胶，以及对此类化合物的理性设计，仍然具有挑战性。本文报道了5-tBu-沙利度胺(tBu-Thal, 5)的偶然发现，它可在六种细胞系中强效且选择性地诱导单一C2H2 ZF转录因子——FLT3相互作用锌指1(FIZ1)的蛋白酶体降解。虽然FIZ1含有11个C2H2 ZF，其中六个含有IMiD诱导降解所需的G-loop CXXCG降解子，我们证明该降解完全由ZF8介导。CRL4CRBN-IMiD-FIZ1复合物的计算建模使tBu-Thal (5)为何选择性结合ZF8得以合理解释，并提示了更理性设计选择性IMiD类降解剂的策略。tBu-Thal (5)被用于ChIP-seq研究，鉴定出一个与CRX结合位点匹配的基序，与既往报道一致。我们还鉴定到与转录因子ZBTB32和ARID3a结合位点相似的富集基序，它们此前从未与FIZ1相关联。IP-MS研究表明FIZ1与C1QBP和YB</w:t>
      </w:r>
    </w:p>
    <w:p>
      <w:pPr>
        <w:spacing w:before="0" w:after="200" w:lineRule="auto" w:line="276"/>
      </w:pPr>
      <w:r>
        <w:rPr>
          <w:b/>
        </w:rPr>
        <w:t xml:space="preserve">Abstract (EN): </w:t>
      </w:r>
      <w:r>
        <w:t>Cys2-His2 (C2H2) zinc finger (ZF)-containing proteins are the largest family of human DNA-binding transcription factors (TFs), a class of proteins that has long been considered undruggable. Significant progress has recently been made in the development of immunomodulatory imide drugs (IMiDs) that induce the degradation of proteins that possess the G-loop CXXCG degron, including these transcription factors. Despite these advances, the identification of IMiD-based molecular glues that selectively induce the degradation of a single protein, and the rational design of such compounds, remains challenging. Here we report the serendipitous discovery that 5-tBu-thalidomide (tBu-Thal, 5) potently and selectively induces proteasomal degradation of a single C2H2 ZF-containing TF, FLT3 interacting zinc finger 1 (FIZ1), in six cell lines. While FIZ1 contains 11 C2H2 ZFs, six of which contain the G-loop CXXCG degron necessary for IMiD-induced degradation, we demonstrate that this degradation is mediated exclusively by ZF8. Computational modeling of the CRL4CRBN-IMiD-FIZ1 complex enabled rationalization of why tBu-Thal (5) selectively engages with ZF8, and hints at a strategy for more rational design of selective IMiD-based degraders. tBu-Thal (5) was employed in ChIP-seq studies to identify a motif matching the CRX binding site, consistent with prior reports. We also identified enriched motifs resembling binding sites of the transcription factors ZBTB32 and ARID3a, which have not previously been associated with FIZ1. IP-MS studies indicated that FIZ1 associates with C1QBP and YBX1. C1QBP is involved in DNA damage repair, suggesting a role for FIZ1 in this process. These data show that tBu-Thal (5) is a powerful molecular tool to selectively dissect the role of FIZ1 in complex biological settings.</w:t>
      </w:r>
    </w:p>
    <w:p>
      <w:pPr>
        <w:spacing w:before="120" w:after="120"/>
      </w:pPr>
      <w:r>
        <w:rPr>
          <w:sz w:val="18"/>
        </w:rPr>
        <w:t>——————————————————————————————————————————————————————————————————————</w:t>
      </w:r>
    </w:p>
    <w:p>
      <w:pPr>
        <w:spacing w:before="160" w:after="40" w:line="240" w:lineRule="auto"/>
      </w:pPr>
      <w:r>
        <w:rPr>
          <w:b/>
        </w:rPr>
        <w:t xml:space="preserve">[1086] </w:t>
      </w:r>
      <w:hyperlink r:id="rId1780">
        <w:r>
          <w:rPr>
            <w:color w:val="1155CC"/>
            <w:u w:val="single"/>
          </w:rPr>
          <w:t>苝二酰亚胺二聚体中螺旋与超分子手性的匹配：对其（手性）光学性质的影响</w:t>
        </w:r>
      </w:hyperlink>
    </w:p>
    <w:p>
      <w:pPr>
        <w:spacing w:before="0" w:after="80"/>
      </w:pPr>
      <w:r>
        <w:rPr>
          <w:i/>
          <w:sz w:val="20"/>
        </w:rPr>
        <w:t>EN: Matching Helical and Supramolecular Chirality in a Perylene Diimide Dimer: Impact on (Chir)Optical Properties</w:t>
      </w:r>
    </w:p>
    <w:p>
      <w:pPr>
        <w:spacing w:before="0" w:after="120"/>
      </w:pPr>
      <w:r>
        <w:rPr>
          <w:b/>
        </w:rPr>
        <w:t xml:space="preserve">Source: </w:t>
      </w:r>
      <w:r>
        <w:t>Journal of the American Chemical Society</w:t>
      </w:r>
      <w:r>
        <w:t xml:space="preserve">    </w:t>
      </w:r>
      <w:r>
        <w:rPr>
          <w:b/>
        </w:rPr>
        <w:t xml:space="preserve">Pub date: </w:t>
      </w:r>
      <w:r>
        <w:t>2026-09-02 00:00:00+00:00</w:t>
      </w:r>
      <w:r>
        <w:t xml:space="preserve">    </w:t>
      </w:r>
      <w:r>
        <w:rPr>
          <w:b/>
        </w:rPr>
        <w:t xml:space="preserve">DOI: </w:t>
      </w:r>
      <w:hyperlink r:id="rId1780">
        <w:r>
          <w:rPr>
            <w:color w:val="1155CC"/>
            <w:u w:val="single"/>
          </w:rPr>
          <w:t>10.1021/jacs.6c11478</w:t>
        </w:r>
      </w:hyperlink>
    </w:p>
    <w:p>
      <w:pPr>
        <w:spacing w:before="0" w:after="120"/>
      </w:pPr>
      <w:r>
        <w:rPr>
          <w:b/>
        </w:rPr>
        <w:t xml:space="preserve">Notes: </w:t>
      </w:r>
      <w:r>
        <w:t>abstract_source=crossref</w:t>
      </w:r>
    </w:p>
    <w:p>
      <w:pPr>
        <w:spacing w:before="0" w:after="80" w:lineRule="auto" w:line="276"/>
      </w:pPr>
      <w:r>
        <w:rPr>
          <w:b/>
        </w:rPr>
        <w:t xml:space="preserve">摘要（ZH）: </w:t>
      </w:r>
      <w:r>
        <w:t>摘要 理解有机材料中不同手性形式之间的相互作用，对于调控和优化其（手性）光学性质至关重要。人们对例如湾位取代苝二酰亚胺(PDIs)等手性发色团的兴趣日益增长，因为它们具有固有螺旋手性(M/P)，在更高的组织层次上还可产生超分子手性(Ms/Ps)。螺旋手性与超分子手性之间的关系决定了发色团间耦合、旋转强度，进而决定圆二色(CD)光谱和圆偏振发光(CPL)光谱。本文报道了首例螺旋手性与超分子手性相匹配的PDI二聚体，例如PP–Ps。与理论一致，这种手性协同效应有助于增强CD信号和高CPL亮度的宽带CPL，这些性质对下一代手性传感器和显示器的光学滤波具有重要价值。</w:t>
      </w:r>
    </w:p>
    <w:p>
      <w:pPr>
        <w:spacing w:before="0" w:after="200" w:lineRule="auto" w:line="276"/>
      </w:pPr>
      <w:r>
        <w:rPr>
          <w:b/>
        </w:rPr>
        <w:t xml:space="preserve">Abstract (EN): </w:t>
      </w:r>
      <w:r>
        <w:t>Understanding the interplay between different forms of chirality in organic materials is critical for tuning and optimizing their (chir)optical properties. There is a growing interest in chiral chromophores such as bay-substituted perylene diimides (PDIs) due to their intrinsic helicity (M/P) which, at a higher level of organization, can also generate supramolecular chirality (Ms/Ps). The relationship between helical and supramolecular chirality governs interchromophore coupling, rotatory strengths, and subsequently circular dichroism (CD) and circularly polarized luminescence (CPL) spectra. Herein, we report the first PDI dimers that match helical and supramolecular chirality, e.g., PP–Ps. In agreement with theory, this chiral synergy contributes to enhanced CD and broadband CPL with high CPL brightness, properties of significant value for optical filtering in next-generation chiral sensors and displays.</w:t>
      </w:r>
    </w:p>
    <w:p>
      <w:pPr>
        <w:spacing w:before="120" w:after="120"/>
      </w:pPr>
      <w:r>
        <w:rPr>
          <w:sz w:val="18"/>
        </w:rPr>
        <w:t>——————————————————————————————————————————————————————————————————————</w:t>
      </w:r>
    </w:p>
    <w:p>
      <w:pPr>
        <w:spacing w:before="160" w:after="40" w:line="240" w:lineRule="auto"/>
      </w:pPr>
      <w:r>
        <w:rPr>
          <w:b/>
        </w:rPr>
        <w:t xml:space="preserve">[1087] </w:t>
      </w:r>
      <w:hyperlink r:id="rId1802">
        <w:r>
          <w:rPr>
            <w:color w:val="1155CC"/>
            <w:u w:val="single"/>
          </w:rPr>
          <w:t>通过定向非共价相互作用构建取向有序的有机金属链</w:t>
        </w:r>
      </w:hyperlink>
    </w:p>
    <w:p>
      <w:pPr>
        <w:spacing w:before="0" w:after="80"/>
      </w:pPr>
      <w:r>
        <w:rPr>
          <w:i/>
          <w:sz w:val="20"/>
        </w:rPr>
        <w:t>EN: Construction of Orientationally Ordered Organometallic Chains by Directional Noncovalent Interactions</w:t>
      </w:r>
    </w:p>
    <w:p>
      <w:pPr>
        <w:spacing w:before="0" w:after="120"/>
      </w:pPr>
      <w:r>
        <w:rPr>
          <w:b/>
        </w:rPr>
        <w:t xml:space="preserve">Source: </w:t>
      </w:r>
      <w:r>
        <w:t>Journal of the American Chemical Society</w:t>
      </w:r>
      <w:r>
        <w:t xml:space="preserve">    </w:t>
      </w:r>
      <w:r>
        <w:rPr>
          <w:b/>
        </w:rPr>
        <w:t xml:space="preserve">Pub date: </w:t>
      </w:r>
      <w:r>
        <w:t>2026-09-02 00:00:00+00:00</w:t>
      </w:r>
      <w:r>
        <w:t xml:space="preserve">    </w:t>
      </w:r>
      <w:r>
        <w:rPr>
          <w:b/>
        </w:rPr>
        <w:t xml:space="preserve">DOI: </w:t>
      </w:r>
      <w:hyperlink r:id="rId1802">
        <w:r>
          <w:rPr>
            <w:color w:val="1155CC"/>
            <w:u w:val="single"/>
          </w:rPr>
          <w:t>10.1021/jacs.5c21999</w:t>
        </w:r>
      </w:hyperlink>
    </w:p>
    <w:p>
      <w:pPr>
        <w:spacing w:before="0" w:after="120"/>
      </w:pPr>
      <w:r>
        <w:rPr>
          <w:b/>
        </w:rPr>
        <w:t xml:space="preserve">Notes: </w:t>
      </w:r>
      <w:r>
        <w:t>abstract_source=crossref</w:t>
      </w:r>
    </w:p>
    <w:p>
      <w:pPr>
        <w:spacing w:before="0" w:after="80" w:lineRule="auto" w:line="276"/>
      </w:pPr>
      <w:r>
        <w:rPr>
          <w:b/>
        </w:rPr>
        <w:t xml:space="preserve">摘要（ZH）: </w:t>
      </w:r>
      <w:r>
        <w:t>摘要 在表面合成过程中实现取向控制仍是一项重大挑战，因为传统方法主要依赖空间位阻效应或基底模板化，往往缺乏化学通用性。本文证明，定向非共价相互作用可通过分子识别调控分层反应路径，从而形成取向有序的表面纳米结构。以Ag(111)表面的4,7-二溴苯并[c][1,2,5]噻二唑（2Br-BTD）为模型体系，我们结合扫描隧道显微镜、键分辨非接触原子力显微镜和密度泛函理论计算，揭示了一条依次涉及自组装单体、顺式有机金属二聚体、反式共价二聚体以及最终交替有机金属链的顺序反应路径。研究发现，协同的S···N硫族键在整个过程中关键性地并选择性地稳定顺式有机金属节点，驱动初始二聚体的形成及随后的有序链合成。采用化学匹配的对照实验，即4,7-二溴苯并[c][1,2,5]硒二唑（2Br-BSe）和5,8-二溴喹喔啉（2Br-Qx），进一步证明可通过分别增强的Se···N硫族键和C–H···N氢键实现类似的取向选择性。相比之下，缺乏此类定向相互作用基元的无杂环原子类似物1,4-二溴萘（2Br-Nap）则不表现出这种选择性。这些结果确立了定向非共价相互作用作为调控表面反应</w:t>
      </w:r>
    </w:p>
    <w:p>
      <w:pPr>
        <w:spacing w:before="0" w:after="200" w:lineRule="auto" w:line="276"/>
      </w:pPr>
      <w:r>
        <w:rPr>
          <w:b/>
        </w:rPr>
        <w:t xml:space="preserve">Abstract (EN): </w:t>
      </w:r>
      <w:r>
        <w:t>Achieving orientational control during on-surface synthesis remains a major challenge because conventional approaches mainly rely on steric effects or substrate templating, which often lack chemical versatility. Here, we demonstrate that directional noncovalent interactions can regulate hierarchical reaction pathways through molecular recognition, enabling the formation of orientationally ordered surface nanostructures. Using 4,7-dibromobenzo[c][1,2,5]thiadiazole (2Br-BTD) on Ag(111) as a model system, we combine scanning tunneling microscopy, bond-resolved noncontact atomic force microscopy, and density functional theory calculations to reveal a sequential reaction pathway involving self-assembled monomers, cis-organometallic dimers, trans-covalent dimers, and ultimately alternating organometallic chains. Cooperative S···N chalcogen bonding is found to critically and selectively stabilize the cis-organometallic nodes throughout this process, driving both initial dimer formation and subsequent ordered chain synthesis. Chemically matched control experiments with 4,7-dibromobenzo[c][1,2,5]selenadiazole (2Br-BSe) and 5,8-dibromoquinoxaline (2Br-Qx) further demonstrate that analogous orientational selectivity can be achieved through strengthened Se···N chalcogen bonding and C–H···N hydrogen bonding, respectively. By contrast, the heteroatom-free analogue 1,4-dibromonaphthalene (2Br-Nap), which lacks such directional interaction motifs, exhibits no such selectivity. These results establish directional noncovalent interactions as an effective means of steering surface reaction pathways, offering new insights into the rational design of orientationally ordered low-dimensional nanostructures.</w:t>
      </w:r>
    </w:p>
    <w:p>
      <w:pPr>
        <w:spacing w:before="120" w:after="120"/>
      </w:pPr>
      <w:r>
        <w:rPr>
          <w:sz w:val="18"/>
        </w:rPr>
        <w:t>——————————————————————————————————————————————————————————————————————</w:t>
      </w:r>
    </w:p>
    <w:p>
      <w:pPr>
        <w:spacing w:before="160" w:after="40" w:line="240" w:lineRule="auto"/>
      </w:pPr>
      <w:r>
        <w:rPr>
          <w:b/>
        </w:rPr>
        <w:t xml:space="preserve">[1088] </w:t>
      </w:r>
      <w:hyperlink r:id="rId1804">
        <w:r>
          <w:rPr>
            <w:color w:val="1155CC"/>
            <w:u w:val="single"/>
          </w:rPr>
          <w:t>具有分子单层精度的可编程有机准超晶格用于增强光电导响应</w:t>
        </w:r>
      </w:hyperlink>
    </w:p>
    <w:p>
      <w:pPr>
        <w:spacing w:before="0" w:after="80"/>
      </w:pPr>
      <w:r>
        <w:rPr>
          <w:i/>
          <w:sz w:val="20"/>
        </w:rPr>
        <w:t>EN: Programmable Organic Quasi-Superlattices with Molecular-Monolayer Precision for Enhanced Photoconductive Response</w:t>
      </w:r>
    </w:p>
    <w:p>
      <w:pPr>
        <w:spacing w:before="0" w:after="120"/>
      </w:pPr>
      <w:r>
        <w:rPr>
          <w:b/>
        </w:rPr>
        <w:t xml:space="preserve">Source: </w:t>
      </w:r>
      <w:r>
        <w:t>Journal of the American Chemical Society</w:t>
      </w:r>
      <w:r>
        <w:t xml:space="preserve">    </w:t>
      </w:r>
      <w:r>
        <w:rPr>
          <w:b/>
        </w:rPr>
        <w:t xml:space="preserve">Pub date: </w:t>
      </w:r>
      <w:r>
        <w:t>2026-09-02 00:00:00+00:00</w:t>
      </w:r>
      <w:r>
        <w:t xml:space="preserve">    </w:t>
      </w:r>
      <w:r>
        <w:rPr>
          <w:b/>
        </w:rPr>
        <w:t xml:space="preserve">DOI: </w:t>
      </w:r>
      <w:hyperlink r:id="rId1804">
        <w:r>
          <w:rPr>
            <w:color w:val="1155CC"/>
            <w:u w:val="single"/>
          </w:rPr>
          <w:t>10.1021/jacs.6c10274</w:t>
        </w:r>
      </w:hyperlink>
    </w:p>
    <w:p>
      <w:pPr>
        <w:spacing w:before="0" w:after="120"/>
      </w:pPr>
      <w:r>
        <w:rPr>
          <w:b/>
        </w:rPr>
        <w:t xml:space="preserve">Notes: </w:t>
      </w:r>
      <w:r>
        <w:t>abstract_source=crossref</w:t>
      </w:r>
    </w:p>
    <w:p>
      <w:pPr>
        <w:spacing w:before="0" w:after="80" w:lineRule="auto" w:line="276"/>
      </w:pPr>
      <w:r>
        <w:rPr>
          <w:b/>
        </w:rPr>
        <w:t xml:space="preserve">摘要（ZH）: </w:t>
      </w:r>
      <w:r>
        <w:t>摘要 以单层精度构筑范德华有机异质结构为调控分子体系中的电荷输运和光-物质相互作用提供了强有力的途径。然而，由于普遍存在的层间互扩散以及缺乏普遍适用的高精度沉积策略，确定性多层组装仍然具有挑战性。本文通过将气-液界面单层组装与顺序转移堆叠相结合，引入了可编程的有机准超晶格，使聚合物半导体能够以分子层精度组织成周期性结构。通过系统调节周期数、周期内组成以及隧穿间隔层厚度，这些准超晶格表现出显著增强的光电导性能，在白光照明下信噪比高达2 × 106，同时暗电流密度低至10–10–10–11 A cm–2量级。针对近红外检测（900 nm）优化的超晶格在超低光照（21 μW cm–2）下实现了2.06 × 1012 Jones的探测率和小于0.2 s的光响应时间。这些发现确立了可编程分子组装作为通过有机多层结构的可控构筑从庞大化学空间中获取新兴光电功能的一般性策略。</w:t>
      </w:r>
    </w:p>
    <w:p>
      <w:pPr>
        <w:spacing w:before="0" w:after="200" w:lineRule="auto" w:line="276"/>
      </w:pPr>
      <w:r>
        <w:rPr>
          <w:b/>
        </w:rPr>
        <w:t xml:space="preserve">Abstract (EN): </w:t>
      </w:r>
      <w:r>
        <w:t>Engineering van der Waals organic heterostructures with monolayer precision offers a powerful route to modulate charge transport and light–matter interactions in molecular systems. However, deterministic multilayer assembly remains challenging due to pervasive interlayer interdiffusion and the lack of generally applicable high-precision deposition strategies. Here, we introduce programmable organic quasi-superlattices enabled by the integration of air–water interfacial monolayer assembly with sequential transfer stacking, allowing polymeric semiconductors to be organized into periodic architectures with molecular-layer precision. By systematically tuning the number of periods, the intraperiod composition, and the thickness of the tunneling spacers, these quasi-superlattices exhibit markedly enhanced photoconductive performance, achieving signal-to-noise ratios of up to 2 × 106 under white-light illumination together with an ultralow dark current density on the order of 10–10–10–11 A cm–2. Superlattices optimized for near-infrared detection (900 nm) achieve a detectivity of 2.06 × 1012 Jones and a photoresponse time of less than 0.2 s under ultralow illumination (21 μW cm–2). These findings establish programmable molecular organization as a general strategy for accessing emergent optoelectronic functionality from vast chemical spaces via the controlled assembly of organic multilayer architectures.</w:t>
      </w:r>
    </w:p>
    <w:p>
      <w:pPr>
        <w:spacing w:before="120" w:after="120"/>
      </w:pPr>
      <w:r>
        <w:rPr>
          <w:sz w:val="18"/>
        </w:rPr>
        <w:t>——————————————————————————————————————————————————————————————————————</w:t>
      </w:r>
    </w:p>
    <w:p>
      <w:pPr>
        <w:spacing w:before="160" w:after="40" w:line="240" w:lineRule="auto"/>
      </w:pPr>
      <w:r>
        <w:rPr>
          <w:b/>
        </w:rPr>
        <w:t xml:space="preserve">[1089] </w:t>
      </w:r>
      <w:hyperlink r:id="rId1881">
        <w:r>
          <w:rPr>
            <w:color w:val="1155CC"/>
            <w:u w:val="single"/>
          </w:rPr>
          <w:t>通过中微子振荡检验修正的遥测引力理论</w:t>
        </w:r>
      </w:hyperlink>
    </w:p>
    <w:p>
      <w:pPr>
        <w:spacing w:before="0" w:after="80"/>
      </w:pPr>
      <w:r>
        <w:rPr>
          <w:i/>
          <w:sz w:val="20"/>
        </w:rPr>
        <w:t>EN: Testing Modified Teleparallel Gravity by Neutrino Oscillations</w:t>
      </w:r>
    </w:p>
    <w:p>
      <w:pPr>
        <w:spacing w:before="0" w:after="120"/>
      </w:pPr>
      <w:r>
        <w:rPr>
          <w:b/>
        </w:rPr>
        <w:t xml:space="preserve">Source: </w:t>
      </w:r>
      <w:r>
        <w:t>ScienceDirect Publication: Physics Letters B</w:t>
      </w:r>
      <w:r>
        <w:t xml:space="preserve">    </w:t>
      </w:r>
      <w:r>
        <w:rPr>
          <w:b/>
        </w:rPr>
        <w:t xml:space="preserve">Pub date: </w:t>
      </w:r>
      <w:r>
        <w:t>2026-09-02 00:00:00+00:00</w:t>
      </w:r>
      <w:r>
        <w:t xml:space="preserve">    </w:t>
      </w:r>
      <w:r>
        <w:rPr>
          <w:b/>
        </w:rPr>
        <w:t xml:space="preserve">DOI: </w:t>
      </w:r>
      <w:hyperlink r:id="rId1882">
        <w:r>
          <w:rPr>
            <w:color w:val="1155CC"/>
            <w:u w:val="single"/>
          </w:rPr>
          <w:t>10.1016/j.physletb.2026.140917</w:t>
        </w:r>
      </w:hyperlink>
    </w:p>
    <w:p>
      <w:pPr>
        <w:spacing w:before="0" w:after="120"/>
      </w:pPr>
      <w:r>
        <w:rPr>
          <w:b/>
        </w:rPr>
        <w:t xml:space="preserve">Notes: </w:t>
      </w:r>
      <w:r>
        <w:t>abstract_source=rss_description</w:t>
      </w:r>
    </w:p>
    <w:p>
      <w:pPr>
        <w:spacing w:before="0" w:after="80" w:lineRule="auto" w:line="276"/>
      </w:pPr>
      <w:r>
        <w:rPr>
          <w:b/>
        </w:rPr>
        <w:t xml:space="preserve">摘要（ZH）: </w:t>
      </w:r>
      <w:r>
        <w:t>出版日期：2026年9月2日在线发布 来源：Physics Letters B 作者：H. Yazdani Ahmadabadi, H. Mohseni Sadjadi</w:t>
      </w:r>
    </w:p>
    <w:p>
      <w:pPr>
        <w:spacing w:before="0" w:after="200" w:lineRule="auto" w:line="276"/>
      </w:pPr>
      <w:r>
        <w:rPr>
          <w:b/>
        </w:rPr>
        <w:t xml:space="preserve">Abstract (EN): </w:t>
      </w:r>
      <w:r>
        <w:t>Publication date: Available online 2 September 2026Source: Physics Letters BAuthor(s): H. Yazdani Ahmadabadi, H. Mohseni Sadjadi</w:t>
      </w:r>
    </w:p>
    <w:p>
      <w:pPr>
        <w:spacing w:before="120" w:after="120"/>
      </w:pPr>
      <w:r>
        <w:rPr>
          <w:sz w:val="18"/>
        </w:rPr>
        <w:t>——————————————————————————————————————————————————————————————————————</w:t>
      </w:r>
    </w:p>
    <w:p>
      <w:pPr>
        <w:spacing w:before="160" w:after="40" w:line="240" w:lineRule="auto"/>
      </w:pPr>
      <w:r>
        <w:rPr>
          <w:b/>
        </w:rPr>
        <w:t xml:space="preserve">[1090] </w:t>
      </w:r>
      <w:hyperlink r:id="rId1883">
        <w:r>
          <w:rPr>
            <w:color w:val="1155CC"/>
            <w:u w:val="single"/>
          </w:rPr>
          <w:t>用于精神分裂症遗传风险预测的端到端深度学习方法</w:t>
        </w:r>
      </w:hyperlink>
    </w:p>
    <w:p>
      <w:pPr>
        <w:spacing w:before="0" w:after="80"/>
      </w:pPr>
      <w:r>
        <w:rPr>
          <w:i/>
          <w:sz w:val="20"/>
        </w:rPr>
        <w:t>EN: End-to-end deep learning methods for genetic risk prediction of schizophrenia</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精神分裂症是一种具有复杂遗传基础的高遗传性精神疾病。尽管近期的GWAS和全外显子组测序研究已发现了众多风险位点，但现有临床预测模型主要依赖线性假设，限制了其捕捉复杂非线性遗传效应（如上位效应）的能力。在本研究中，我们将端到端基因组解释神经网络模型应用于一个由6,135例病例和6,245例对照组成的队列，利用全外显子组测序数据预测精神分裂症风险。我们表明，在样本量充足的情况下，非线性神经网络显著优于传统加性模型。这些发现支持临床和数量遗传学模型应考虑等位基因和变异之间的高阶遗传相互作用。为探究模型所遵循的决策过程，我们将可解释AI技术和生物学先验知识整合到模型中，用以识别预测性基因和通路。我们的方法既恢复了已知的精神分裂症风险基因，又推荐BASP1作为参与神经元发育的潜在研究不足的精神分裂症基因。</w:t>
      </w:r>
    </w:p>
    <w:p>
      <w:pPr>
        <w:spacing w:before="0" w:after="200" w:lineRule="auto" w:line="276"/>
      </w:pPr>
      <w:r>
        <w:rPr>
          <w:b/>
        </w:rPr>
        <w:t xml:space="preserve">Abstract (EN): </w:t>
      </w:r>
      <w:r>
        <w:t>Schizophrenia is a highly heritable psychiatric disorder with a complex genetic basis. While recent GWAS and whole exome sequencing studies have identified numerous risk loci, existing clinical prediction models rely primarily on linear assumptions, limiting their ability to capture complex, nonlinear genetic effects such as epistasis. In this study, we apply end-to-end genome interpretation neural network models to predict schizophrenia risk using whole exome sequencing data in a cohort of 6,135 cases and 6,245 controls. We show that nonlinear neural networks significantly outperform conventional additive models when sufficient sample size is available. These findings support the fact that high-order genetic interactions between alleles and variants should be considered by clinical and quantitative genetics models. To investigate the decision process our models follow, we integrate explainable AI techniques and biological priors into our models, using them to identify predictive genes and pathways. Our approach recovers both known schizophrenia risk genes and recommends BASP1 as a potential understudied schizophrenia gene involved in neuronal development.</w:t>
      </w:r>
    </w:p>
    <w:p>
      <w:pPr>
        <w:spacing w:before="120" w:after="120"/>
      </w:pPr>
      <w:r>
        <w:rPr>
          <w:sz w:val="18"/>
        </w:rPr>
        <w:t>——————————————————————————————————————————————————————————————————————</w:t>
      </w:r>
    </w:p>
    <w:p>
      <w:pPr>
        <w:spacing w:before="160" w:after="40" w:line="240" w:lineRule="auto"/>
      </w:pPr>
      <w:r>
        <w:rPr>
          <w:b/>
        </w:rPr>
        <w:t xml:space="preserve">[1091] </w:t>
      </w:r>
      <w:hyperlink r:id="rId351">
        <w:r>
          <w:rPr>
            <w:color w:val="1155CC"/>
            <w:u w:val="single"/>
          </w:rPr>
          <w:t>高温质子交换膜燃料电池阴极中磷酸分布与保持的粘结剂工程</w:t>
        </w:r>
      </w:hyperlink>
    </w:p>
    <w:p>
      <w:pPr>
        <w:spacing w:before="0" w:after="80"/>
      </w:pPr>
      <w:r>
        <w:rPr>
          <w:i/>
          <w:sz w:val="20"/>
        </w:rPr>
        <w:t>EN: Binder Engineering for Phosphoric Acid Distribution and Retention in High‐Temperature Proton Exchange Membrane Fuel Cell Cathodes</w:t>
      </w:r>
    </w:p>
    <w:p>
      <w:pPr>
        <w:spacing w:before="0" w:after="120"/>
      </w:pPr>
      <w:r>
        <w:rPr>
          <w:b/>
        </w:rPr>
        <w:t xml:space="preserve">Source: </w:t>
      </w:r>
      <w:r>
        <w:t>Advanced Materials</w:t>
      </w:r>
      <w:r>
        <w:t xml:space="preserve">    </w:t>
      </w:r>
      <w:r>
        <w:rPr>
          <w:b/>
        </w:rPr>
        <w:t xml:space="preserve">Pub date: </w:t>
      </w:r>
      <w:r>
        <w:t>2026-09-02 00:00:00+00:00</w:t>
      </w:r>
      <w:r>
        <w:t xml:space="preserve">    </w:t>
      </w:r>
      <w:r>
        <w:rPr>
          <w:b/>
        </w:rPr>
        <w:t xml:space="preserve">DOI: </w:t>
      </w:r>
      <w:hyperlink r:id="rId351">
        <w:r>
          <w:rPr>
            <w:color w:val="1155CC"/>
            <w:u w:val="single"/>
          </w:rPr>
          <w:t>10.1002/adma.74884</w:t>
        </w:r>
      </w:hyperlink>
    </w:p>
    <w:p>
      <w:pPr>
        <w:spacing w:before="0" w:after="120"/>
      </w:pPr>
      <w:r>
        <w:rPr>
          <w:b/>
        </w:rPr>
        <w:t xml:space="preserve">Notes: </w:t>
      </w:r>
      <w:r>
        <w:t>abstract_source=crossref</w:t>
      </w:r>
    </w:p>
    <w:p>
      <w:pPr>
        <w:spacing w:before="0" w:after="80" w:lineRule="auto" w:line="276"/>
      </w:pPr>
      <w:r>
        <w:rPr>
          <w:b/>
        </w:rPr>
        <w:t xml:space="preserve">摘要（ZH）: </w:t>
      </w:r>
      <w:r>
        <w:t>摘要 高温质子交换膜燃料电池（HT-PEMFCs）在能量转换方面具有显著优势，包括简化的水和热管理以及对燃料杂质的高耐受性。在这些系统中，磷酸（PA）作为主要的质子导体，实现无水质子传输。然而，阴极性能和耐久性仍受到缓慢的氧还原动力学以及磷酸分布与保持控制难题的制约。不均匀的酸分布表现为局部泛涝（堵塞气体通道并覆盖活性位点）或局部匮乏（破坏质子传导网络），会导致严重的传质损失和性能衰减。与此同时，运行过程中磷酸的逐渐迁移和流失会逐步劣化质子传导路径，加速电压衰减。近期研究已确立阴极黏结剂工程作为调控磷酸分布与保持的有效策略。本综述系统考察了阴极黏结剂体系的设计——包括聚合物黏结剂优化和功能添加剂集成——以及用于评估其磷酸管理效能的表征与诊断框架。我们进一步将先进的磷酸表征技术与全面的电化学性能评估框架相结合。通过在黏结剂设计、磷酸分布与保持行为以及器件级性能评估之间建立明确联系，本综述为高性能HT-PEMFCs的合理开发提供了指导性指南</w:t>
      </w:r>
    </w:p>
    <w:p>
      <w:pPr>
        <w:spacing w:before="0" w:after="200" w:lineRule="auto" w:line="276"/>
      </w:pPr>
      <w:r>
        <w:rPr>
          <w:b/>
        </w:rPr>
        <w:t xml:space="preserve">Abstract (EN): </w:t>
      </w:r>
      <w:r>
        <w:t>High‐temperature proton exchange membrane fuel cells (HT‐PEMFCs) offer compelling advantages for energy conversion, including simplified water and thermal management and high tolerance to fuel impurities. In these systems, phosphoric acid (PA) serves as the primary proton conductor, enabling anhydrous proton transport. However, cathode performance and durability remain constrained by sluggish oxygen reduction kinetics and the challenge of controlling PA distribution and retention. Uneven acid distribution, manifesting as local flooding that blocks gas pathways and covers active sites or local depletion that disrupts proton‐conducting networks, causes severe mass‐transport losses and performance decay. Concurrently, gradual PA migration and loss during operation progressively degrade proton conduction pathways, accelerating voltage decay. Recent studies have established cathode binder engineering as an effective strategy to regulate both PA distribution and retention. This review systematically examines the design of cathode binder systems—encompassing polymer binder optimization and functional additive integration—and the characterization and diagnostic frameworks for evaluating their efficacy in PA management. We further integrate advanced PA characterization techniques with a comprehensive electrochemical performance evaluation framework. By establishing explicit connections among binder design, PA distribution and retention behavior, and device‐level performance assessment, this review provides an instructive guide for the rational development of high‐performance, durable HT‐PEMFC cathodes.</w:t>
      </w:r>
    </w:p>
    <w:p>
      <w:pPr>
        <w:spacing w:before="120" w:after="120"/>
      </w:pPr>
      <w:r>
        <w:rPr>
          <w:sz w:val="18"/>
        </w:rPr>
        <w:t>——————————————————————————————————————————————————————————————————————</w:t>
      </w:r>
    </w:p>
    <w:p>
      <w:pPr>
        <w:spacing w:before="160" w:after="40" w:line="240" w:lineRule="auto"/>
      </w:pPr>
      <w:r>
        <w:rPr>
          <w:b/>
        </w:rPr>
        <w:t xml:space="preserve">[1092] </w:t>
      </w:r>
      <w:hyperlink r:id="rId1884">
        <w:r>
          <w:rPr>
            <w:color w:val="1155CC"/>
            <w:u w:val="single"/>
          </w:rPr>
          <w:t>最大碳释放的增加抵消了全年陆地碳汇增长趋势的一半</w:t>
        </w:r>
      </w:hyperlink>
    </w:p>
    <w:p>
      <w:pPr>
        <w:spacing w:before="0" w:after="80"/>
      </w:pPr>
      <w:r>
        <w:rPr>
          <w:i/>
          <w:sz w:val="20"/>
        </w:rPr>
        <w:t>EN: Increased maximum carbon release offsets half of the growth trend in annual land carbon sink</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近几十年来，陆地碳汇通过最大CO2吸收量（MCU）的增强和碳吸收期（CUP）的延长而得到加强，而最大CO2释放量（MCR）的量化仍不充分。利用大气反演估算和16个陆地生物圈模型，我们发现1993年至2022年间MCU和MCR均显著增加，其中全球范围内MCU上升更快（0.18 ± 0.04 对比 0.07 ± 0.01 g C m−2 yr−1）。MCU的增加分布广泛，而MCR的增加在中高纬度地区最为显著。MCU和CUP的增强使年净生态系统生产力提高了0.31 ± 0.09 g C m−2 yr−1，但MCR的上升抵消了这一增益的44 ± 20%，净增加为0.18 ± 0.06 g C m−2 yr−1。CO2浓度升高主导了长期增加趋势，而气候变率则造成了空间异质性。这些发现凸显了在未来陆地碳汇强度预测中考虑碳释放的重要性。</w:t>
      </w:r>
    </w:p>
    <w:p>
      <w:pPr>
        <w:spacing w:before="0" w:after="200" w:lineRule="auto" w:line="276"/>
      </w:pPr>
      <w:r>
        <w:rPr>
          <w:b/>
        </w:rPr>
        <w:t xml:space="preserve">Abstract (EN): </w:t>
      </w:r>
      <w:r>
        <w:t>The terrestrial carbon sink has strengthened in recent decades through enhanced maximum CO2 uptake (MCU) and a longer carbon uptake period (CUP), whereas maximum CO2 release (MCR) remains less quantified. Using atmospheric inversion estimates and 16 terrestrial biosphere models, we show that MCU and MCR both increased significantly from 1993 to 2022, with MCU rising faster globally (0.18 ± 0.04 versus 0.07 ± 0.01 g C m−2 yr−1). MCU increases were widespread, whereas MCR increases were strongest at mid- to high latitudes. Enhanced MCU and CUP increased annual net ecosystem productivity by 0.31 ± 0.09 g C m−2 yr−1, but rising MCR offset 44 ± 20% of this gain, leaving a net increase of 0.18 ± 0.06 g C m−2 yr−1. Elevated CO2 dominates long-term increases, while climate variability contributes to spatial heterogeneity. These findings highlight the importance of accounting for carbon release in projections of future terrestrial sink strength.</w:t>
      </w:r>
    </w:p>
    <w:p>
      <w:pPr>
        <w:spacing w:before="120" w:after="120"/>
      </w:pPr>
      <w:r>
        <w:rPr>
          <w:sz w:val="18"/>
        </w:rPr>
        <w:t>——————————————————————————————————————————————————————————————————————</w:t>
      </w:r>
    </w:p>
    <w:p>
      <w:pPr>
        <w:spacing w:before="160" w:after="40" w:line="240" w:lineRule="auto"/>
      </w:pPr>
      <w:r>
        <w:rPr>
          <w:b/>
        </w:rPr>
        <w:t xml:space="preserve">[1093] </w:t>
      </w:r>
      <w:hyperlink r:id="rId1885">
        <w:r>
          <w:rPr>
            <w:color w:val="1155CC"/>
            <w:u w:val="single"/>
          </w:rPr>
          <w:t>探测电双层的远离平衡态动力学</w:t>
        </w:r>
      </w:hyperlink>
    </w:p>
    <w:p>
      <w:pPr>
        <w:spacing w:before="0" w:after="80"/>
      </w:pPr>
      <w:r>
        <w:rPr>
          <w:i/>
          <w:sz w:val="20"/>
        </w:rPr>
        <w:t>EN: Probing far-from-equilibrium dynamics of electrical double layers</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886">
        <w:r>
          <w:rPr>
            <w:color w:val="1155CC"/>
            <w:u w:val="single"/>
          </w:rPr>
          <w:t>10.1038/s41586-026-10986-7</w:t>
        </w:r>
      </w:hyperlink>
    </w:p>
    <w:p>
      <w:pPr>
        <w:spacing w:before="0" w:after="120"/>
      </w:pPr>
      <w:r>
        <w:rPr>
          <w:b/>
        </w:rPr>
        <w:t xml:space="preserve">Notes: </w:t>
      </w:r>
      <w:r>
        <w:t>abstract_source=pubmed</w:t>
      </w:r>
    </w:p>
    <w:p>
      <w:pPr>
        <w:spacing w:before="0" w:after="80" w:lineRule="auto" w:line="276"/>
      </w:pPr>
      <w:r>
        <w:rPr>
          <w:b/>
        </w:rPr>
        <w:t xml:space="preserve">摘要（ZH）: </w:t>
      </w:r>
      <w:r>
        <w:t>电化学固-液界面是生物1和电化学系统2-4中能量与物质转换的核心，其中强烈的局部电场支配着反应动力学5-9。然而，在涉及快速电荷转移和远离平衡动力学的现实电催化条件下，双电层（EDL）的分子结构及其演化仍未被充分理解。基于平衡和非反应条件推导的经典EDL模型无法捕捉反应性界面上涌现的界面过程10-16。在此，我们开发了一套实验-计算集成框架，以直接解析析氢反应（HER）条件下的EDL动力学。化学稳定的纳米结构Pt薄膜电极使高灵敏度、时间分辨的表面增强红外吸收光谱（SEIRAS）能够在更高的过电位下进行，而机器学习分子动力学（MLMD）则捕捉纳秒时间尺度上的界面电荷涨落和溶剂动力学。这一组合方法揭示了内层的非线性两阶段演化，该演化会增强局部电场。时间分辨光谱进一步揭示了循环电位调制过程中界面水的不可逆重组。这些发现表明，在远离平衡的条件下，离子和界面水的响应是不同步的，从而为理解静电电位变化、离子界面电致伸缩17-19、电解质效应20-24以及合理的电解质设计建立了一个定量的分子框架</w:t>
      </w:r>
    </w:p>
    <w:p>
      <w:pPr>
        <w:spacing w:before="0" w:after="200" w:lineRule="auto" w:line="276"/>
      </w:pPr>
      <w:r>
        <w:rPr>
          <w:b/>
        </w:rPr>
        <w:t xml:space="preserve">Abstract (EN): </w:t>
      </w:r>
      <w:r>
        <w:t>Electrified solid-liquid interfaces are central to energy and matter conversion in biological1 and electrochemical systems2-4, in which intense local electric fields govern reaction kinetics5-9. Yet, under realistic electrocatalytic conditions involving rapid charge transfer and far-from-equilibrium dynamics, the molecular structure and evolution of the electrical double layer (EDL) remain poorly understood. Classical EDL models, derived under equilibrium and non-reactive conditions, cannot capture the interfacial processes emerging at reactive interfaces10-16. Here we develop an integrated experimental-computational framework to directly resolve EDL dynamics under the hydrogen evolution reaction (HER). Chemically stable nanostructured Pt film electrodes enable high-sensitivity, time-resolved surface-enhanced infrared absorption spectroscopy (SEIRAS) at increased overpotentials, whereas machine-learning molecular dynamics (MLMD) captures interfacial charge fluctuations and solvent dynamics over nanosecond timescales. This combined approach reveals a nonlinear, two-phase evolution of the inner layer that intensifies the local electric field. Time-resolved spectra further uncover irreversible restructuring of interfacial water during cyclic potential modulation. These findings show that ions and interfacial water respond asynchronously under the condition far from equilibrium, establishing a quantitative molecular framework for understanding electrostatic potential variations, interfacial electrostriction of ions17-19, electrolyte effects20-24 and rational electrolyte design for energy conversion technologies.</w:t>
      </w:r>
    </w:p>
    <w:p>
      <w:pPr>
        <w:spacing w:before="120" w:after="120"/>
      </w:pPr>
      <w:r>
        <w:rPr>
          <w:sz w:val="18"/>
        </w:rPr>
        <w:t>——————————————————————————————————————————————————————————————————————</w:t>
      </w:r>
    </w:p>
    <w:p>
      <w:pPr>
        <w:spacing w:before="160" w:after="40" w:line="240" w:lineRule="auto"/>
      </w:pPr>
      <w:r>
        <w:rPr>
          <w:b/>
        </w:rPr>
        <w:t xml:space="preserve">[1094] </w:t>
      </w:r>
      <w:hyperlink r:id="rId1887">
        <w:r>
          <w:rPr>
            <w:color w:val="1155CC"/>
            <w:u w:val="single"/>
          </w:rPr>
          <w:t>猴痘病毒复制体的结构与运作机制</w:t>
        </w:r>
      </w:hyperlink>
    </w:p>
    <w:p>
      <w:pPr>
        <w:spacing w:before="0" w:after="80"/>
      </w:pPr>
      <w:r>
        <w:rPr>
          <w:i/>
          <w:sz w:val="20"/>
        </w:rPr>
        <w:t>EN: Structure and operating principles of a monkeypox virus replisome</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888">
        <w:r>
          <w:rPr>
            <w:color w:val="1155CC"/>
            <w:u w:val="single"/>
          </w:rPr>
          <w:t>10.1038/s41586-026-10937-2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痘病毒是具有大基因组的双链DNA病毒。其中，猴痘病毒（MPXV）已被世界卫生组织宣布为近期两次公共卫生紧急事件的原因</w:t>
      </w:r>
      <w:r>
        <w:rPr>
          <w:vertAlign w:val="subscript"/>
        </w:rPr>
        <w:t>1</w:t>
      </w:r>
      <w:r>
        <w:t>。MPXV聚合酶由三个亚基组成——一个催化亚基（F8）和一个异二聚体延伸因子（A22和E4）。病毒聚合酶必须与六聚体解旋酶–引物酶（E5）协调活动，以启动病毒基因组的复制</w:t>
      </w:r>
      <w:r>
        <w:rPr>
          <w:vertAlign w:val="subscript"/>
        </w:rPr>
        <w:t>2</w:t>
      </w:r>
      <w:r>
        <w:t>。尽管已有分离状态下MPXV E5（参考文献</w:t>
      </w:r>
      <w:r>
        <w:t xml:space="preserve"> </w:t>
      </w:r>
      <w:r>
        <w:t>3,4</w:t>
      </w:r>
      <w:r>
        <w:t xml:space="preserve"> </w:t>
      </w:r>
      <w:r>
        <w:t>）和聚合酶</w:t>
      </w:r>
      <w:r>
        <w:t xml:space="preserve"> </w:t>
      </w:r>
      <w:r>
        <w:t>5–7</w:t>
      </w:r>
      <w:r>
        <w:t xml:space="preserve"> </w:t>
      </w:r>
      <w:r>
        <w:t>的结构，但它们如何组装成功能性复制体仍不清楚。在分离状态下，E5处于自抑制构象，解旋酶活性非常弱</w:t>
      </w:r>
      <w:r>
        <w:t xml:space="preserve"> </w:t>
      </w:r>
      <w:r>
        <w:t>3,4</w:t>
      </w:r>
      <w:r>
        <w:t xml:space="preserve"> </w:t>
      </w:r>
      <w:r>
        <w:t>，其解旋酶激活机制尚不明确。在此，我们利用冷冻电子显微镜解析了包含聚合酶全酶（F8、A22和E4）以及E5解旋酶六聚体的DNA结合MPXV复制体的结构。我们发现，在复制体组装过程中，E5发生大规模构象变化，使其两个引物酶结构域能够与聚合酶F8拇指亚结构域和A22亚基相互作用。生化实验和单分子实验表明，这种E5构象变化与解旋酶激活相偶联，并增强引物酶活性。综上所述，这些发现揭示了基本机制</w:t>
      </w:r>
    </w:p>
    <w:p>
      <w:pPr>
        <w:spacing w:before="0" w:after="200" w:lineRule="auto" w:line="276"/>
      </w:pPr>
      <w:r>
        <w:rPr>
          <w:b/>
        </w:rPr>
        <w:t xml:space="preserve">Abstract (EN): </w:t>
      </w:r>
      <w:r>
        <w:t>Poxviruses are double-stranded DNA viruses with large genomes. Among them, monkeypox virus (MPXV) has been responsible for two recent public health emergencies as declared by the World Health Organization</w:t>
      </w:r>
      <w:r>
        <w:rPr>
          <w:vertAlign w:val="subscript"/>
        </w:rPr>
        <w:t>1</w:t>
      </w:r>
      <w:r>
        <w:t>. The MPXV polymerase comprises three subunits—a catalytic subunit (F8) and a heterodimeric processivity factor (A22 and E4). The viral polymerase must coordinate activities with the hexameric helicase–primase (E5) to initiate replication of the viral genome</w:t>
      </w:r>
      <w:r>
        <w:rPr>
          <w:vertAlign w:val="subscript"/>
        </w:rPr>
        <w:t>2</w:t>
      </w:r>
      <w:r>
        <w:t>. Although structures of MPXV E5 (refs.</w:t>
      </w:r>
      <w:r>
        <w:t xml:space="preserve"> </w:t>
      </w:r>
      <w:r>
        <w:t>3,4</w:t>
      </w:r>
      <w:r>
        <w:t xml:space="preserve"> </w:t>
      </w:r>
      <w:r>
        <w:t>) and the polymerase</w:t>
      </w:r>
      <w:r>
        <w:t xml:space="preserve"> </w:t>
      </w:r>
      <w:r>
        <w:t>5–7</w:t>
      </w:r>
      <w:r>
        <w:t xml:space="preserve"> </w:t>
      </w:r>
      <w:r>
        <w:t>in isolation are available, how they assemble into a functional replisome remains unclear. In isolation, E5 is in an autoinhibited conformation and has very weak helicase activity</w:t>
      </w:r>
      <w:r>
        <w:t xml:space="preserve"> </w:t>
      </w:r>
      <w:r>
        <w:t>3,4</w:t>
      </w:r>
      <w:r>
        <w:t xml:space="preserve"> </w:t>
      </w:r>
      <w:r>
        <w:t>, and the mechanism for helicase activation is unclear. Here we used cryo-electron microscopy to determine the structures of DNA-bound MPXV replisomes comprising the polymerase holoenzyme (F8, A22 and E4) and the E5 helicase hexamer. We show that, during replisome assembly, E5 undergoes large-scale conformational changes that allow two of its primase domains to interact with the polymerase F8 thumb and A22 subunit. Biochemical assays and single-molecule experiments reveal that this E5 conformational change is coupled to helicase activation and enhances primase activity. Taken together, these findings identify fundamental mechanisms governing coordinated helicase and polymerase activities during DNA replication for an important class of viral pathogens.</w:t>
      </w:r>
    </w:p>
    <w:p>
      <w:pPr>
        <w:spacing w:before="120" w:after="120"/>
      </w:pPr>
      <w:r>
        <w:rPr>
          <w:sz w:val="18"/>
        </w:rPr>
        <w:t>——————————————————————————————————————————————————————————————————————</w:t>
      </w:r>
    </w:p>
    <w:p>
      <w:pPr>
        <w:spacing w:before="160" w:after="40" w:line="240" w:lineRule="auto"/>
      </w:pPr>
      <w:r>
        <w:rPr>
          <w:b/>
        </w:rPr>
        <w:t xml:space="preserve">[1095] </w:t>
      </w:r>
      <w:hyperlink r:id="rId1889">
        <w:r>
          <w:rPr>
            <w:color w:val="1155CC"/>
            <w:u w:val="single"/>
          </w:rPr>
          <w:t>尼泊尔灾难前的卫星图像已显示出预警迹象</w:t>
        </w:r>
      </w:hyperlink>
    </w:p>
    <w:p>
      <w:pPr>
        <w:spacing w:before="0" w:after="80"/>
      </w:pPr>
      <w:r>
        <w:rPr>
          <w:i/>
          <w:sz w:val="20"/>
        </w:rPr>
        <w:t>EN: Satellite images before Nepal disaster showed warning signs</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890">
        <w:r>
          <w:rPr>
            <w:color w:val="1155CC"/>
            <w:u w:val="single"/>
          </w:rPr>
          <w:t>10.1038/d41586-026-02746-4</w:t>
        </w:r>
      </w:hyperlink>
    </w:p>
    <w:p>
      <w:pPr>
        <w:spacing w:before="0" w:after="120"/>
      </w:pPr>
      <w:r>
        <w:rPr>
          <w:b/>
        </w:rPr>
        <w:t xml:space="preserve">Notes: </w:t>
      </w:r>
      <w:r>
        <w:t>abstract_source=rss_nature</w:t>
      </w:r>
    </w:p>
    <w:p>
      <w:pPr>
        <w:spacing w:before="0" w:after="80" w:lineRule="auto" w:line="276"/>
      </w:pPr>
      <w:r>
        <w:rPr>
          <w:b/>
        </w:rPr>
        <w:t xml:space="preserve">摘要（ZH）: </w:t>
      </w:r>
      <w:r>
        <w:t>图像揭示了冰川—岩体在崩塌并引发致命山洪前数日的加速运动。</w:t>
      </w:r>
    </w:p>
    <w:p>
      <w:pPr>
        <w:spacing w:before="0" w:after="200" w:lineRule="auto" w:line="276"/>
      </w:pPr>
      <w:r>
        <w:rPr>
          <w:b/>
        </w:rPr>
        <w:t xml:space="preserve">Abstract (EN): </w:t>
      </w:r>
      <w:r>
        <w:t>Images revealed the accelerated movement of a glacier–rock mass just days before it collapsed and triggered a deadly flash flood.</w:t>
      </w:r>
    </w:p>
    <w:p>
      <w:pPr>
        <w:spacing w:before="120" w:after="120"/>
      </w:pPr>
      <w:r>
        <w:rPr>
          <w:sz w:val="18"/>
        </w:rPr>
        <w:t>——————————————————————————————————————————————————————————————————————</w:t>
      </w:r>
    </w:p>
    <w:p>
      <w:pPr>
        <w:spacing w:before="160" w:after="40" w:line="240" w:lineRule="auto"/>
      </w:pPr>
      <w:r>
        <w:rPr>
          <w:b/>
        </w:rPr>
        <w:t xml:space="preserve">[1096] </w:t>
      </w:r>
      <w:hyperlink r:id="rId1891">
        <w:r>
          <w:rPr>
            <w:color w:val="1155CC"/>
            <w:u w:val="single"/>
          </w:rPr>
          <w:t>血细胞替代衰老人脑中的免疫细胞</w:t>
        </w:r>
      </w:hyperlink>
    </w:p>
    <w:p>
      <w:pPr>
        <w:spacing w:before="0" w:after="80"/>
      </w:pPr>
      <w:r>
        <w:rPr>
          <w:i/>
          <w:sz w:val="20"/>
        </w:rPr>
        <w:t>EN: Blood cells replace the immune cells of the ageing human brain</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892">
        <w:r>
          <w:rPr>
            <w:color w:val="1155CC"/>
            <w:u w:val="single"/>
          </w:rPr>
          <w:t>10.1038/d41586-026-02694-z</w:t>
        </w:r>
      </w:hyperlink>
    </w:p>
    <w:p>
      <w:pPr>
        <w:spacing w:before="0" w:after="120"/>
      </w:pPr>
      <w:r>
        <w:rPr>
          <w:b/>
        </w:rPr>
        <w:t xml:space="preserve">Notes: </w:t>
      </w:r>
      <w:r>
        <w:t>abstract_source=openalex</w:t>
      </w:r>
    </w:p>
    <w:p>
      <w:pPr>
        <w:spacing w:before="0" w:after="80" w:lineRule="auto" w:line="276"/>
      </w:pPr>
      <w:r>
        <w:rPr>
          <w:b/>
        </w:rPr>
        <w:t xml:space="preserve">摘要（ZH）: </w:t>
      </w:r>
      <w:r>
        <w:t>出生时，大脑含有其自身的免疫细胞，称为小胶质细胞，人们认为这些细胞终生存在，不会被大脑外的细胞替换。细胞谱系追踪研究现在表明，这些细胞在衰老过程中会被循环免疫细胞替换，揭示了大脑与身体其他部分之间此前未被认识的相互作用。突变分析表明，来源于骨髓的细胞在衰老过程中定植于人类大脑。</w:t>
      </w:r>
    </w:p>
    <w:p>
      <w:pPr>
        <w:spacing w:before="0" w:after="200" w:lineRule="auto" w:line="276"/>
      </w:pPr>
      <w:r>
        <w:rPr>
          <w:b/>
        </w:rPr>
        <w:t xml:space="preserve">Abstract (EN): </w:t>
      </w:r>
      <w:r>
        <w:t>At birth, the brain contains its own immune cells, called microglia, that are thought to persist throughout life without being replaced by cells from outside the brain. Studies that trace cell lineage now show that these cells are replaced by circulating immune cells during ageing, revealing a previously unappreciated interaction between the brain and the rest of the body. Mutational analysis shows that cells derived from the bone marrow colonize the human brain during ageing.</w:t>
      </w:r>
    </w:p>
    <w:p>
      <w:pPr>
        <w:spacing w:before="120" w:after="120"/>
      </w:pPr>
      <w:r>
        <w:rPr>
          <w:sz w:val="18"/>
        </w:rPr>
        <w:t>——————————————————————————————————————————————————————————————————————</w:t>
      </w:r>
    </w:p>
    <w:p>
      <w:pPr>
        <w:spacing w:before="160" w:after="40" w:line="240" w:lineRule="auto"/>
      </w:pPr>
      <w:r>
        <w:rPr>
          <w:b/>
        </w:rPr>
        <w:t xml:space="preserve">[1097] </w:t>
      </w:r>
      <w:hyperlink r:id="rId1893">
        <w:r>
          <w:rPr>
            <w:color w:val="1155CC"/>
            <w:u w:val="single"/>
          </w:rPr>
          <w:t>减肥药物减缓雌性小鼠的衰老过程</w:t>
        </w:r>
      </w:hyperlink>
    </w:p>
    <w:p>
      <w:pPr>
        <w:spacing w:before="0" w:after="80"/>
      </w:pPr>
      <w:r>
        <w:rPr>
          <w:i/>
          <w:sz w:val="20"/>
        </w:rPr>
        <w:t>EN: Weight-loss drug slows ageing in female mice</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894">
        <w:r>
          <w:rPr>
            <w:color w:val="1155CC"/>
            <w:u w:val="single"/>
          </w:rPr>
          <w:t>10.1038/d41586-026-02468-7</w:t>
        </w:r>
      </w:hyperlink>
    </w:p>
    <w:p>
      <w:pPr>
        <w:spacing w:before="0" w:after="120"/>
      </w:pPr>
      <w:r>
        <w:rPr>
          <w:b/>
        </w:rPr>
        <w:t xml:space="preserve">Notes: </w:t>
      </w:r>
      <w:r>
        <w:t>abstract_source=rss_nature</w:t>
      </w:r>
    </w:p>
    <w:p>
      <w:pPr>
        <w:spacing w:before="0" w:after="80" w:lineRule="auto" w:line="276"/>
      </w:pPr>
      <w:r>
        <w:rPr>
          <w:b/>
        </w:rPr>
        <w:t xml:space="preserve">摘要（ZH）: </w:t>
      </w:r>
      <w:r>
        <w:t>在一种近交系实验小鼠中，晚年使用GLP-1药物治疗可延长寿命。这种效应可能不仅仅是热量限制的结果。</w:t>
      </w:r>
    </w:p>
    <w:p>
      <w:pPr>
        <w:spacing w:before="0" w:after="200" w:lineRule="auto" w:line="276"/>
      </w:pPr>
      <w:r>
        <w:rPr>
          <w:b/>
        </w:rPr>
        <w:t xml:space="preserve">Abstract (EN): </w:t>
      </w:r>
      <w:r>
        <w:t>In one inbred strain of laboratory mice, late-life treatment with a GLP-1 drug extends lifespan. This effect might be more than just a consequence of calorie restriction.</w:t>
      </w:r>
    </w:p>
    <w:p>
      <w:pPr>
        <w:spacing w:before="120" w:after="120"/>
      </w:pPr>
      <w:r>
        <w:rPr>
          <w:sz w:val="18"/>
        </w:rPr>
        <w:t>——————————————————————————————————————————————————————————————————————</w:t>
      </w:r>
    </w:p>
    <w:p>
      <w:pPr>
        <w:spacing w:before="160" w:after="40" w:line="240" w:lineRule="auto"/>
      </w:pPr>
      <w:r>
        <w:rPr>
          <w:b/>
        </w:rPr>
        <w:t xml:space="preserve">[1098] </w:t>
      </w:r>
      <w:hyperlink r:id="rId1895">
        <w:r>
          <w:rPr>
            <w:color w:val="1155CC"/>
            <w:u w:val="single"/>
          </w:rPr>
          <w:t>水生无脊椎动物对全球养分供应贡献巨大</w:t>
        </w:r>
      </w:hyperlink>
    </w:p>
    <w:p>
      <w:pPr>
        <w:spacing w:before="0" w:after="80"/>
      </w:pPr>
      <w:r>
        <w:rPr>
          <w:i/>
          <w:sz w:val="20"/>
        </w:rPr>
        <w:t>EN: Aquatic invertebrates contribute substantially to global nutrient supplies</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896">
        <w:r>
          <w:rPr>
            <w:color w:val="1155CC"/>
            <w:u w:val="single"/>
          </w:rPr>
          <w:t>10.1038/d41586-026-02541-1</w:t>
        </w:r>
      </w:hyperlink>
    </w:p>
    <w:p>
      <w:pPr>
        <w:spacing w:before="0" w:after="120"/>
      </w:pPr>
      <w:r>
        <w:rPr>
          <w:b/>
        </w:rPr>
        <w:t xml:space="preserve">Notes: </w:t>
      </w:r>
      <w:r>
        <w:t>abstract_source=openalex</w:t>
      </w:r>
    </w:p>
    <w:p>
      <w:pPr>
        <w:spacing w:before="0" w:after="80" w:lineRule="auto" w:line="276"/>
      </w:pPr>
      <w:r>
        <w:rPr>
          <w:b/>
        </w:rPr>
        <w:t xml:space="preserve">摘要（ZH）: </w:t>
      </w:r>
      <w:r>
        <w:t>一项对水生无脊椎动物物种营养成分的分析表明，其全球生产是人体健康所需营养素的丰富来源。这项工作为更好地认识这些宝贵的无脊椎动物营养素并将其纳入保护、管理和政策工作奠定了基础。水生软体动物和甲壳类动物等群体作为人类营养来源常常被忽视。</w:t>
      </w:r>
    </w:p>
    <w:p>
      <w:pPr>
        <w:spacing w:before="0" w:after="200" w:lineRule="auto" w:line="276"/>
      </w:pPr>
      <w:r>
        <w:rPr>
          <w:b/>
        </w:rPr>
        <w:t xml:space="preserve">Abstract (EN): </w:t>
      </w:r>
      <w:r>
        <w:t>An analysis of the nutritional content of aquatic invertebrate species suggests that their global production is a rich source of nutrients that are crucial for human health. The work provides a foundation for better recognition of these valuable invertebrate nutrients and incorporate them into conservation, management and policy efforts. Groups such as aquatic molluscs and crustaceans are often overlooked as sources of human nutrition.</w:t>
      </w:r>
    </w:p>
    <w:p>
      <w:pPr>
        <w:spacing w:before="120" w:after="120"/>
      </w:pPr>
      <w:r>
        <w:rPr>
          <w:sz w:val="18"/>
        </w:rPr>
        <w:t>——————————————————————————————————————————————————————————————————————</w:t>
      </w:r>
    </w:p>
    <w:p>
      <w:pPr>
        <w:spacing w:before="160" w:after="40" w:line="240" w:lineRule="auto"/>
      </w:pPr>
      <w:r>
        <w:rPr>
          <w:b/>
        </w:rPr>
        <w:t xml:space="preserve">[1099] </w:t>
      </w:r>
      <w:hyperlink r:id="rId1897">
        <w:r>
          <w:rPr>
            <w:color w:val="1155CC"/>
            <w:u w:val="single"/>
          </w:rPr>
          <w:t>联合国终于承认全球变暖将突破1.5 ºC气候限值</w:t>
        </w:r>
      </w:hyperlink>
    </w:p>
    <w:p>
      <w:pPr>
        <w:spacing w:before="0" w:after="80"/>
      </w:pPr>
      <w:r>
        <w:rPr>
          <w:i/>
          <w:sz w:val="20"/>
        </w:rPr>
        <w:t>EN: UN finally admits global warming will shoot past 1.5 ºC climate limit</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898">
        <w:r>
          <w:rPr>
            <w:color w:val="1155CC"/>
            <w:u w:val="single"/>
          </w:rPr>
          <w:t>10.1038/d41586-026-02753-5</w:t>
        </w:r>
      </w:hyperlink>
    </w:p>
    <w:p>
      <w:pPr>
        <w:spacing w:before="0" w:after="120"/>
      </w:pPr>
      <w:r>
        <w:rPr>
          <w:b/>
        </w:rPr>
        <w:t xml:space="preserve">Notes: </w:t>
      </w:r>
      <w:r>
        <w:t>abstract_source=rss_nature</w:t>
      </w:r>
    </w:p>
    <w:p>
      <w:pPr>
        <w:spacing w:before="0" w:after="80" w:lineRule="auto" w:line="276"/>
      </w:pPr>
      <w:r>
        <w:rPr>
          <w:b/>
        </w:rPr>
        <w:t xml:space="preserve">摘要（ZH）: </w:t>
      </w:r>
      <w:r>
        <w:t>报道称，地球将在本十年结束前突破一个长期存在的目标。</w:t>
      </w:r>
    </w:p>
    <w:p>
      <w:pPr>
        <w:spacing w:before="0" w:after="200" w:lineRule="auto" w:line="276"/>
      </w:pPr>
      <w:r>
        <w:rPr>
          <w:b/>
        </w:rPr>
        <w:t xml:space="preserve">Abstract (EN): </w:t>
      </w:r>
      <w:r>
        <w:t>Earth will breach a long-standing target before the end of the decade, report says.</w:t>
      </w:r>
    </w:p>
    <w:p>
      <w:pPr>
        <w:spacing w:before="120" w:after="120"/>
      </w:pPr>
      <w:r>
        <w:rPr>
          <w:sz w:val="18"/>
        </w:rPr>
        <w:t>——————————————————————————————————————————————————————————————————————</w:t>
      </w:r>
    </w:p>
    <w:p>
      <w:pPr>
        <w:spacing w:before="160" w:after="40" w:line="240" w:lineRule="auto"/>
      </w:pPr>
      <w:r>
        <w:rPr>
          <w:b/>
        </w:rPr>
        <w:t xml:space="preserve">[1100] </w:t>
      </w:r>
      <w:hyperlink r:id="rId1899">
        <w:r>
          <w:rPr>
            <w:color w:val="1155CC"/>
            <w:u w:val="single"/>
          </w:rPr>
          <w:t>垃圾之城</w:t>
        </w:r>
      </w:hyperlink>
    </w:p>
    <w:p>
      <w:pPr>
        <w:spacing w:before="0" w:after="80"/>
      </w:pPr>
      <w:r>
        <w:rPr>
          <w:i/>
          <w:sz w:val="20"/>
        </w:rPr>
        <w:t>EN: City of slop</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00">
        <w:r>
          <w:rPr>
            <w:color w:val="1155CC"/>
            <w:u w:val="single"/>
          </w:rPr>
          <w:t>10.1038/d41586-026-02414-7</w:t>
        </w:r>
      </w:hyperlink>
    </w:p>
    <w:p>
      <w:pPr>
        <w:spacing w:before="0" w:after="120"/>
      </w:pPr>
      <w:r>
        <w:rPr>
          <w:b/>
        </w:rPr>
        <w:t xml:space="preserve">Notes: </w:t>
      </w:r>
      <w:r>
        <w:t>abstract_source=rss_nature</w:t>
      </w:r>
    </w:p>
    <w:p>
      <w:pPr>
        <w:spacing w:before="0" w:after="80" w:lineRule="auto" w:line="276"/>
      </w:pPr>
      <w:r>
        <w:rPr>
          <w:b/>
        </w:rPr>
        <w:t xml:space="preserve">摘要（ZH）: </w:t>
      </w:r>
      <w:r>
        <w:t>家是你的最终归宿。</w:t>
      </w:r>
    </w:p>
    <w:p>
      <w:pPr>
        <w:spacing w:before="0" w:after="200" w:lineRule="auto" w:line="276"/>
      </w:pPr>
      <w:r>
        <w:rPr>
          <w:b/>
        </w:rPr>
        <w:t xml:space="preserve">Abstract (EN): </w:t>
      </w:r>
      <w:r>
        <w:t>Home is where you end up.</w:t>
      </w:r>
    </w:p>
    <w:p>
      <w:pPr>
        <w:spacing w:before="120" w:after="120"/>
      </w:pPr>
      <w:r>
        <w:rPr>
          <w:sz w:val="18"/>
        </w:rPr>
        <w:t>——————————————————————————————————————————————————————————————————————</w:t>
      </w:r>
    </w:p>
    <w:p>
      <w:pPr>
        <w:spacing w:before="160" w:after="40" w:line="240" w:lineRule="auto"/>
      </w:pPr>
      <w:r>
        <w:rPr>
          <w:b/>
        </w:rPr>
        <w:t xml:space="preserve">[1101] </w:t>
      </w:r>
      <w:hyperlink r:id="rId1901">
        <w:r>
          <w:rPr>
            <w:color w:val="1155CC"/>
            <w:u w:val="single"/>
          </w:rPr>
          <w:t>感染何时会导致长新冠？科学家逐步揭示病毒感染后综合征的诱因与疗法</w:t>
        </w:r>
      </w:hyperlink>
    </w:p>
    <w:p>
      <w:pPr>
        <w:spacing w:before="0" w:after="80"/>
      </w:pPr>
      <w:r>
        <w:rPr>
          <w:i/>
          <w:sz w:val="20"/>
        </w:rPr>
        <w:t>EN: When do infections lead to long COVID? Scientists close in on triggers and treatments for post-viral syndromes</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02">
        <w:r>
          <w:rPr>
            <w:color w:val="1155CC"/>
            <w:u w:val="single"/>
          </w:rPr>
          <w:t>10.1038/d41586-026-02683-2</w:t>
        </w:r>
      </w:hyperlink>
    </w:p>
    <w:p>
      <w:pPr>
        <w:spacing w:before="0" w:after="120"/>
      </w:pPr>
      <w:r>
        <w:rPr>
          <w:b/>
        </w:rPr>
        <w:t xml:space="preserve">Notes: </w:t>
      </w:r>
      <w:r>
        <w:t>abstract_source=rss_nature</w:t>
      </w:r>
    </w:p>
    <w:p>
      <w:pPr>
        <w:spacing w:before="0" w:after="80" w:lineRule="auto" w:line="276"/>
      </w:pPr>
      <w:r>
        <w:rPr>
          <w:b/>
        </w:rPr>
        <w:t xml:space="preserve">摘要（ZH）: </w:t>
      </w:r>
      <w:r>
        <w:t>数亿人因感染而患有长期病症。研究人员正在研究如何帮助他们。</w:t>
      </w:r>
    </w:p>
    <w:p>
      <w:pPr>
        <w:spacing w:before="0" w:after="200" w:lineRule="auto" w:line="276"/>
      </w:pPr>
      <w:r>
        <w:rPr>
          <w:b/>
        </w:rPr>
        <w:t xml:space="preserve">Abstract (EN): </w:t>
      </w:r>
      <w:r>
        <w:t>Hundreds of millions of people have long-term conditions as a result of an infection. Researchers are working out how to help them.</w:t>
      </w:r>
    </w:p>
    <w:p>
      <w:pPr>
        <w:spacing w:before="120" w:after="120"/>
      </w:pPr>
      <w:r>
        <w:rPr>
          <w:sz w:val="18"/>
        </w:rPr>
        <w:t>——————————————————————————————————————————————————————————————————————</w:t>
      </w:r>
    </w:p>
    <w:p>
      <w:pPr>
        <w:spacing w:before="160" w:after="40" w:line="240" w:lineRule="auto"/>
      </w:pPr>
      <w:r>
        <w:rPr>
          <w:b/>
        </w:rPr>
        <w:t xml:space="preserve">[1102] </w:t>
      </w:r>
      <w:hyperlink r:id="rId1903">
        <w:r>
          <w:rPr>
            <w:color w:val="1155CC"/>
            <w:u w:val="single"/>
          </w:rPr>
          <w:t>秘鲁冰层保存了全球甲烷记录</w:t>
        </w:r>
      </w:hyperlink>
    </w:p>
    <w:p>
      <w:pPr>
        <w:spacing w:before="0" w:after="80"/>
      </w:pPr>
      <w:r>
        <w:rPr>
          <w:i/>
          <w:sz w:val="20"/>
        </w:rPr>
        <w:t>EN: Peruvian ice has preserved a global methane record</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04">
        <w:r>
          <w:rPr>
            <w:color w:val="1155CC"/>
            <w:u w:val="single"/>
          </w:rPr>
          <w:t>10.1038/d41586-026-02695-y</w:t>
        </w:r>
      </w:hyperlink>
    </w:p>
    <w:p>
      <w:pPr>
        <w:spacing w:before="0" w:after="120"/>
      </w:pPr>
      <w:r>
        <w:rPr>
          <w:b/>
        </w:rPr>
        <w:t xml:space="preserve">Notes: </w:t>
      </w:r>
      <w:r>
        <w:t>abstract_source=openalex</w:t>
      </w:r>
    </w:p>
    <w:p>
      <w:pPr>
        <w:spacing w:before="0" w:after="80" w:lineRule="auto" w:line="276"/>
      </w:pPr>
      <w:r>
        <w:rPr>
          <w:b/>
        </w:rPr>
        <w:t xml:space="preserve">摘要（ZH）: </w:t>
      </w:r>
      <w:r>
        <w:t>首个热带地区全球甲烷记录采集自秘鲁Nevado Huascarán山顶，填补了历史甲烷数据集中的一个关键空白。它加深了我们对热带甲烷源对过去和当前全球甲烷分布贡献的理解。一根来自热带山脉的冰芯表明，赤道因素对甲烷水平的贡献大于先前的估计。</w:t>
      </w:r>
    </w:p>
    <w:p>
      <w:pPr>
        <w:spacing w:before="0" w:after="200" w:lineRule="auto" w:line="276"/>
      </w:pPr>
      <w:r>
        <w:rPr>
          <w:b/>
        </w:rPr>
        <w:t xml:space="preserve">Abstract (EN): </w:t>
      </w:r>
      <w:r>
        <w:t>The first record of global methane in the tropics, collected from the summit of the mountain Nevado Huascarán in Peru, fills a crucial gap in historical methane data sets. It improves our understanding of the contribution of tropical sources to the past and current global methane distribution. An ice core from a tropical mountain shows that the equatorial input to methane levels was greater than previously thought.</w:t>
      </w:r>
    </w:p>
    <w:p>
      <w:pPr>
        <w:spacing w:before="120" w:after="120"/>
      </w:pPr>
      <w:r>
        <w:rPr>
          <w:sz w:val="18"/>
        </w:rPr>
        <w:t>——————————————————————————————————————————————————————————————————————</w:t>
      </w:r>
    </w:p>
    <w:p>
      <w:pPr>
        <w:spacing w:before="160" w:after="40" w:line="240" w:lineRule="auto"/>
      </w:pPr>
      <w:r>
        <w:rPr>
          <w:b/>
        </w:rPr>
        <w:t xml:space="preserve">[1103] </w:t>
      </w:r>
      <w:hyperlink r:id="rId1905">
        <w:r>
          <w:rPr>
            <w:color w:val="1155CC"/>
            <w:u w:val="single"/>
          </w:rPr>
          <w:t>焦虑还是外向？大规模研究将“大五”人格特质与遗传变异联系起来</w:t>
        </w:r>
      </w:hyperlink>
    </w:p>
    <w:p>
      <w:pPr>
        <w:spacing w:before="0" w:after="80"/>
      </w:pPr>
      <w:r>
        <w:rPr>
          <w:i/>
          <w:sz w:val="20"/>
        </w:rPr>
        <w:t>EN: Anxious or outgoing? Huge study links ‘Big Five’ personality traits to genetic variants</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06">
        <w:r>
          <w:rPr>
            <w:color w:val="1155CC"/>
            <w:u w:val="single"/>
          </w:rPr>
          <w:t>10.1038/d41586-026-02761-5</w:t>
        </w:r>
      </w:hyperlink>
    </w:p>
    <w:p>
      <w:pPr>
        <w:spacing w:before="0" w:after="120"/>
      </w:pPr>
      <w:r>
        <w:rPr>
          <w:b/>
        </w:rPr>
        <w:t xml:space="preserve">Notes: </w:t>
      </w:r>
      <w:r>
        <w:t>abstract_source=rss_nature</w:t>
      </w:r>
    </w:p>
    <w:p>
      <w:pPr>
        <w:spacing w:before="0" w:after="80" w:lineRule="auto" w:line="276"/>
      </w:pPr>
      <w:r>
        <w:rPr>
          <w:b/>
        </w:rPr>
        <w:t xml:space="preserve">摘要（ZH）: </w:t>
      </w:r>
      <w:r>
        <w:t>研究人员识别出1200多个与人格相关的遗传变异，其影响在很大程度上独立于家庭背景。</w:t>
      </w:r>
    </w:p>
    <w:p>
      <w:pPr>
        <w:spacing w:before="0" w:after="200" w:lineRule="auto" w:line="276"/>
      </w:pPr>
      <w:r>
        <w:rPr>
          <w:b/>
        </w:rPr>
        <w:t xml:space="preserve">Abstract (EN): </w:t>
      </w:r>
      <w:r>
        <w:t>Researchers identify more than 1,200 personality-linked genetic variants, with effects largely independent of family background.</w:t>
      </w:r>
    </w:p>
    <w:p>
      <w:pPr>
        <w:spacing w:before="120" w:after="120"/>
      </w:pPr>
      <w:r>
        <w:rPr>
          <w:sz w:val="18"/>
        </w:rPr>
        <w:t>——————————————————————————————————————————————————————————————————————</w:t>
      </w:r>
    </w:p>
    <w:p>
      <w:pPr>
        <w:spacing w:before="160" w:after="40" w:line="240" w:lineRule="auto"/>
      </w:pPr>
      <w:r>
        <w:rPr>
          <w:b/>
        </w:rPr>
        <w:t xml:space="preserve">[1104] </w:t>
      </w:r>
      <w:hyperlink r:id="rId1907">
        <w:r>
          <w:rPr>
            <w:color w:val="1155CC"/>
            <w:u w:val="single"/>
          </w:rPr>
          <w:t>GLP-1药物能延缓衰老吗？小鼠研究显示出前景</w:t>
        </w:r>
      </w:hyperlink>
    </w:p>
    <w:p>
      <w:pPr>
        <w:spacing w:before="0" w:after="80"/>
      </w:pPr>
      <w:r>
        <w:rPr>
          <w:i/>
          <w:sz w:val="20"/>
        </w:rPr>
        <w:t>EN: Can GLP-1 drugs slow ageing? Mouse study shows promise</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08">
        <w:r>
          <w:rPr>
            <w:color w:val="1155CC"/>
            <w:u w:val="single"/>
          </w:rPr>
          <w:t>10.1038/d41586-026-02757-1</w:t>
        </w:r>
      </w:hyperlink>
    </w:p>
    <w:p>
      <w:pPr>
        <w:spacing w:before="0" w:after="120"/>
      </w:pPr>
      <w:r>
        <w:rPr>
          <w:b/>
        </w:rPr>
        <w:t xml:space="preserve">Notes: </w:t>
      </w:r>
      <w:r>
        <w:t>abstract_source=rss_nature</w:t>
      </w:r>
    </w:p>
    <w:p>
      <w:pPr>
        <w:spacing w:before="0" w:after="80" w:lineRule="auto" w:line="276"/>
      </w:pPr>
      <w:r>
        <w:rPr>
          <w:b/>
        </w:rPr>
        <w:t xml:space="preserve">摘要（ZH）: </w:t>
      </w:r>
      <w:r>
        <w:t>服用抗肥胖药物的老年雌性小鼠比未服用药物的小鼠活得更长、更健康。</w:t>
      </w:r>
    </w:p>
    <w:p>
      <w:pPr>
        <w:spacing w:before="0" w:after="200" w:lineRule="auto" w:line="276"/>
      </w:pPr>
      <w:r>
        <w:rPr>
          <w:b/>
        </w:rPr>
        <w:t xml:space="preserve">Abstract (EN): </w:t>
      </w:r>
      <w:r>
        <w:t>Older female mice given an anti-obesity medication lived longer and in better health than did mice not taking one.</w:t>
      </w:r>
    </w:p>
    <w:p>
      <w:pPr>
        <w:spacing w:before="120" w:after="120"/>
      </w:pPr>
      <w:r>
        <w:rPr>
          <w:sz w:val="18"/>
        </w:rPr>
        <w:t>——————————————————————————————————————————————————————————————————————</w:t>
      </w:r>
    </w:p>
    <w:p>
      <w:pPr>
        <w:spacing w:before="160" w:after="40" w:line="240" w:lineRule="auto"/>
      </w:pPr>
      <w:r>
        <w:rPr>
          <w:b/>
        </w:rPr>
        <w:t xml:space="preserve">[1105] </w:t>
      </w:r>
      <w:hyperlink r:id="rId1909">
        <w:r>
          <w:rPr>
            <w:color w:val="1155CC"/>
            <w:u w:val="single"/>
          </w:rPr>
          <w:t>Jason Arday之死必须引发深刻反思</w:t>
        </w:r>
      </w:hyperlink>
    </w:p>
    <w:p>
      <w:pPr>
        <w:spacing w:before="0" w:after="80"/>
      </w:pPr>
      <w:r>
        <w:rPr>
          <w:i/>
          <w:sz w:val="20"/>
        </w:rPr>
        <w:t>EN: The death of Jason Arday must prompt deep reflection</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10">
        <w:r>
          <w:rPr>
            <w:color w:val="1155CC"/>
            <w:u w:val="single"/>
          </w:rPr>
          <w:t>10.1038/d41586-026-02677-0</w:t>
        </w:r>
      </w:hyperlink>
    </w:p>
    <w:p>
      <w:pPr>
        <w:spacing w:before="0" w:after="120"/>
      </w:pPr>
      <w:r>
        <w:rPr>
          <w:b/>
        </w:rPr>
        <w:t xml:space="preserve">Notes: </w:t>
      </w:r>
      <w:r>
        <w:t>abstract_source=rss_nature</w:t>
      </w:r>
    </w:p>
    <w:p>
      <w:pPr>
        <w:spacing w:before="0" w:after="80" w:lineRule="auto" w:line="276"/>
      </w:pPr>
      <w:r>
        <w:rPr>
          <w:b/>
        </w:rPr>
        <w:t xml:space="preserve">摘要（ZH）: </w:t>
      </w:r>
      <w:r>
        <w:t>大学和媒体机构需要审视自身在导致这场悲剧的事件中所扮演的角色。</w:t>
      </w:r>
    </w:p>
    <w:p>
      <w:pPr>
        <w:spacing w:before="0" w:after="200" w:lineRule="auto" w:line="276"/>
      </w:pPr>
      <w:r>
        <w:rPr>
          <w:b/>
        </w:rPr>
        <w:t xml:space="preserve">Abstract (EN): </w:t>
      </w:r>
      <w:r>
        <w:t>Universities and media organizations need to scrutinize their roles in the events that led to this tragedy.</w:t>
      </w:r>
    </w:p>
    <w:p>
      <w:pPr>
        <w:spacing w:before="120" w:after="120"/>
      </w:pPr>
      <w:r>
        <w:rPr>
          <w:sz w:val="18"/>
        </w:rPr>
        <w:t>——————————————————————————————————————————————————————————————————————</w:t>
      </w:r>
    </w:p>
    <w:p>
      <w:pPr>
        <w:spacing w:before="160" w:after="40" w:line="240" w:lineRule="auto"/>
      </w:pPr>
      <w:r>
        <w:rPr>
          <w:b/>
        </w:rPr>
        <w:t xml:space="preserve">[1106] </w:t>
      </w:r>
      <w:hyperlink r:id="rId1911">
        <w:r>
          <w:rPr>
            <w:color w:val="1155CC"/>
            <w:u w:val="single"/>
          </w:rPr>
          <w:t>里程碑式胰腺癌药物对肺癌也显示出潜力</w:t>
        </w:r>
      </w:hyperlink>
    </w:p>
    <w:p>
      <w:pPr>
        <w:spacing w:before="0" w:after="80"/>
      </w:pPr>
      <w:r>
        <w:rPr>
          <w:i/>
          <w:sz w:val="20"/>
        </w:rPr>
        <w:t>EN: Landmark pancreatic cancer drug shows potential against lung cancer too</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12">
        <w:r>
          <w:rPr>
            <w:color w:val="1155CC"/>
            <w:u w:val="single"/>
          </w:rPr>
          <w:t>10.1038/d41586-026-02745-5</w:t>
        </w:r>
      </w:hyperlink>
    </w:p>
    <w:p>
      <w:pPr>
        <w:spacing w:before="0" w:after="120"/>
      </w:pPr>
      <w:r>
        <w:rPr>
          <w:b/>
        </w:rPr>
        <w:t xml:space="preserve">Notes: </w:t>
      </w:r>
      <w:r>
        <w:t>abstract_source=rss_nature</w:t>
      </w:r>
    </w:p>
    <w:p>
      <w:pPr>
        <w:spacing w:before="0" w:after="80" w:lineRule="auto" w:line="276"/>
      </w:pPr>
      <w:r>
        <w:rPr>
          <w:b/>
        </w:rPr>
        <w:t xml:space="preserve">摘要（ZH）: </w:t>
      </w:r>
      <w:r>
        <w:t>研究结果增强了人们对药物daraxonrasib可能对多种肿瘤有效的希望。</w:t>
      </w:r>
    </w:p>
    <w:p>
      <w:pPr>
        <w:spacing w:before="0" w:after="200" w:lineRule="auto" w:line="276"/>
      </w:pPr>
      <w:r>
        <w:rPr>
          <w:b/>
        </w:rPr>
        <w:t xml:space="preserve">Abstract (EN): </w:t>
      </w:r>
      <w:r>
        <w:t>Results bolster hopes that the drug daraxonrasib could prove effective against a variety of tumours.</w:t>
      </w:r>
    </w:p>
    <w:p>
      <w:pPr>
        <w:spacing w:before="120" w:after="120"/>
      </w:pPr>
      <w:r>
        <w:rPr>
          <w:sz w:val="18"/>
        </w:rPr>
        <w:t>——————————————————————————————————————————————————————————————————————</w:t>
      </w:r>
    </w:p>
    <w:p>
      <w:pPr>
        <w:spacing w:before="160" w:after="40" w:line="240" w:lineRule="auto"/>
      </w:pPr>
      <w:r>
        <w:rPr>
          <w:b/>
        </w:rPr>
        <w:t xml:space="preserve">[1107] </w:t>
      </w:r>
      <w:hyperlink r:id="rId1913">
        <w:r>
          <w:rPr>
            <w:color w:val="1155CC"/>
            <w:u w:val="single"/>
          </w:rPr>
          <w:t>反物质“标记”用于探测 elusive 粒子衰变</w:t>
        </w:r>
      </w:hyperlink>
    </w:p>
    <w:p>
      <w:pPr>
        <w:spacing w:before="0" w:after="80"/>
      </w:pPr>
      <w:r>
        <w:rPr>
          <w:i/>
          <w:sz w:val="20"/>
        </w:rPr>
        <w:t>EN: Antimatter ‘tag’ used to detect elusive particle decay</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14">
        <w:r>
          <w:rPr>
            <w:color w:val="1155CC"/>
            <w:u w:val="single"/>
          </w:rPr>
          <w:t>10.1038/d41586-026-02123-1</w:t>
        </w:r>
      </w:hyperlink>
    </w:p>
    <w:p>
      <w:pPr>
        <w:spacing w:before="0" w:after="120"/>
      </w:pPr>
      <w:r>
        <w:rPr>
          <w:b/>
        </w:rPr>
        <w:t xml:space="preserve">Notes: </w:t>
      </w:r>
      <w:r>
        <w:t>abstract_source=rss_nature</w:t>
      </w:r>
    </w:p>
    <w:p>
      <w:pPr>
        <w:spacing w:before="0" w:after="80" w:lineRule="auto" w:line="276"/>
      </w:pPr>
      <w:r>
        <w:rPr>
          <w:b/>
        </w:rPr>
        <w:t xml:space="preserve">摘要（ZH）: </w:t>
      </w:r>
      <w:r>
        <w:t>一项长期未被充分探索的粒子物理学理论检验方法已被复兴。该方法利用量子纠缠来推断不可探测粒子的存在。</w:t>
      </w:r>
    </w:p>
    <w:p>
      <w:pPr>
        <w:spacing w:before="0" w:after="200" w:lineRule="auto" w:line="276"/>
      </w:pPr>
      <w:r>
        <w:rPr>
          <w:b/>
        </w:rPr>
        <w:t xml:space="preserve">Abstract (EN): </w:t>
      </w:r>
      <w:r>
        <w:t>A long-underexplored test of particle-physics theory has been revived. This method uses quantum entanglement to infer the presence of undetectable particles.</w:t>
      </w:r>
    </w:p>
    <w:p>
      <w:pPr>
        <w:spacing w:before="120" w:after="120"/>
      </w:pPr>
      <w:r>
        <w:rPr>
          <w:sz w:val="18"/>
        </w:rPr>
        <w:t>——————————————————————————————————————————————————————————————————————</w:t>
      </w:r>
    </w:p>
    <w:p>
      <w:pPr>
        <w:spacing w:before="160" w:after="40" w:line="240" w:lineRule="auto"/>
      </w:pPr>
      <w:r>
        <w:rPr>
          <w:b/>
        </w:rPr>
        <w:t xml:space="preserve">[1108] </w:t>
      </w:r>
      <w:hyperlink r:id="rId1915">
        <w:r>
          <w:rPr>
            <w:color w:val="1155CC"/>
            <w:u w:val="single"/>
          </w:rPr>
          <w:t>NASA的Roman望远镜有望在绘制不可见宇宙图谱之外发挥更大作用</w:t>
        </w:r>
      </w:hyperlink>
    </w:p>
    <w:p>
      <w:pPr>
        <w:spacing w:before="0" w:after="80"/>
      </w:pPr>
      <w:r>
        <w:rPr>
          <w:i/>
          <w:sz w:val="20"/>
        </w:rPr>
        <w:t>EN: NASA’s Roman telescope holds promise far beyond mapping the invisible Universe</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16">
        <w:r>
          <w:rPr>
            <w:color w:val="1155CC"/>
            <w:u w:val="single"/>
          </w:rPr>
          <w:t>10.1038/d41586-026-02764-2</w:t>
        </w:r>
      </w:hyperlink>
    </w:p>
    <w:p>
      <w:pPr>
        <w:spacing w:before="0" w:after="120"/>
      </w:pPr>
      <w:r>
        <w:rPr>
          <w:b/>
        </w:rPr>
        <w:t xml:space="preserve">Notes: </w:t>
      </w:r>
      <w:r>
        <w:t>abstract_source=rss_nature</w:t>
      </w:r>
    </w:p>
    <w:p>
      <w:pPr>
        <w:spacing w:before="0" w:after="80" w:lineRule="auto" w:line="276"/>
      </w:pPr>
      <w:r>
        <w:rPr>
          <w:b/>
        </w:rPr>
        <w:t xml:space="preserve">摘要（ZH）: </w:t>
      </w:r>
      <w:r>
        <w:t>当仪器、思想和人以不可预测的方式汇聚在一起时，科学发现便会蓬勃发展。</w:t>
      </w:r>
    </w:p>
    <w:p>
      <w:pPr>
        <w:spacing w:before="0" w:after="200" w:lineRule="auto" w:line="276"/>
      </w:pPr>
      <w:r>
        <w:rPr>
          <w:b/>
        </w:rPr>
        <w:t xml:space="preserve">Abstract (EN): </w:t>
      </w:r>
      <w:r>
        <w:t>Discovery flourishes when instruments, ideas and people come together in unpredictable ways.</w:t>
      </w:r>
    </w:p>
    <w:p>
      <w:pPr>
        <w:spacing w:before="120" w:after="120"/>
      </w:pPr>
      <w:r>
        <w:rPr>
          <w:sz w:val="18"/>
        </w:rPr>
        <w:t>——————————————————————————————————————————————————————————————————————</w:t>
      </w:r>
    </w:p>
    <w:p>
      <w:pPr>
        <w:spacing w:before="160" w:after="40" w:line="240" w:lineRule="auto"/>
      </w:pPr>
      <w:r>
        <w:rPr>
          <w:b/>
        </w:rPr>
        <w:t xml:space="preserve">[1109] </w:t>
      </w:r>
      <w:hyperlink r:id="rId1917">
        <w:r>
          <w:rPr>
            <w:color w:val="1155CC"/>
            <w:u w:val="single"/>
          </w:rPr>
          <w:t>自动驾驶汽车会犯错，现在用户可以看到原因</w:t>
        </w:r>
      </w:hyperlink>
    </w:p>
    <w:p>
      <w:pPr>
        <w:spacing w:before="0" w:after="80"/>
      </w:pPr>
      <w:r>
        <w:rPr>
          <w:i/>
          <w:sz w:val="20"/>
        </w:rPr>
        <w:t>EN: Self-driving cars make mistakes, and now users can see why</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18">
        <w:r>
          <w:rPr>
            <w:color w:val="1155CC"/>
            <w:u w:val="single"/>
          </w:rPr>
          <w:t>10.1038/d41586-026-02467-8</w:t>
        </w:r>
      </w:hyperlink>
    </w:p>
    <w:p>
      <w:pPr>
        <w:spacing w:before="0" w:after="120"/>
      </w:pPr>
      <w:r>
        <w:rPr>
          <w:b/>
        </w:rPr>
        <w:t xml:space="preserve">Notes: </w:t>
      </w:r>
      <w:r>
        <w:t>abstract_source=rss_nature</w:t>
      </w:r>
    </w:p>
    <w:p>
      <w:pPr>
        <w:spacing w:before="0" w:after="80" w:lineRule="auto" w:line="276"/>
      </w:pPr>
      <w:r>
        <w:rPr>
          <w:b/>
        </w:rPr>
        <w:t xml:space="preserve">摘要（ZH）: </w:t>
      </w:r>
      <w:r>
        <w:t>一种能够以人类可解读的方式直接解释其决策的自动驾驶系统可以提高驾驶安全性。</w:t>
      </w:r>
    </w:p>
    <w:p>
      <w:pPr>
        <w:spacing w:before="0" w:after="200" w:lineRule="auto" w:line="276"/>
      </w:pPr>
      <w:r>
        <w:rPr>
          <w:b/>
        </w:rPr>
        <w:t xml:space="preserve">Abstract (EN): </w:t>
      </w:r>
      <w:r>
        <w:t>An autonomous-vehicle system that directly explains its decisions in a way that can be interpreted by humans could improve driving safety.</w:t>
      </w:r>
    </w:p>
    <w:p>
      <w:pPr>
        <w:spacing w:before="120" w:after="120"/>
      </w:pPr>
      <w:r>
        <w:rPr>
          <w:sz w:val="18"/>
        </w:rPr>
        <w:t>——————————————————————————————————————————————————————————————————————</w:t>
      </w:r>
    </w:p>
    <w:p>
      <w:pPr>
        <w:spacing w:before="160" w:after="40" w:line="240" w:lineRule="auto"/>
      </w:pPr>
      <w:r>
        <w:rPr>
          <w:b/>
        </w:rPr>
        <w:t xml:space="preserve">[1110] </w:t>
      </w:r>
      <w:hyperlink r:id="rId1919">
        <w:r>
          <w:rPr>
            <w:color w:val="1155CC"/>
            <w:u w:val="single"/>
          </w:rPr>
          <w:t>预测肺癌围手术期免疫治疗后结局改善的生物标志物</w:t>
        </w:r>
      </w:hyperlink>
    </w:p>
    <w:p>
      <w:pPr>
        <w:spacing w:before="0" w:after="80"/>
      </w:pPr>
      <w:r>
        <w:rPr>
          <w:i/>
          <w:sz w:val="20"/>
        </w:rPr>
        <w:t>EN: Biomarkers that predict improved outcomes after perioperative immune-based therapy for lung cancer</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20">
        <w:r>
          <w:rPr>
            <w:color w:val="1155CC"/>
            <w:u w:val="single"/>
          </w:rPr>
          <w:t>10.1038/d41586-026-02486-5</w:t>
        </w:r>
      </w:hyperlink>
    </w:p>
    <w:p>
      <w:pPr>
        <w:spacing w:before="0" w:after="120"/>
      </w:pPr>
      <w:r>
        <w:rPr>
          <w:b/>
        </w:rPr>
        <w:t xml:space="preserve">Notes: </w:t>
      </w:r>
      <w:r>
        <w:t>abstract_source=openalex</w:t>
      </w:r>
    </w:p>
    <w:p>
      <w:pPr>
        <w:spacing w:before="0" w:after="80" w:lineRule="auto" w:line="276"/>
      </w:pPr>
      <w:r>
        <w:rPr>
          <w:b/>
        </w:rPr>
        <w:t xml:space="preserve">摘要（ZH）: </w:t>
      </w:r>
      <w:r>
        <w:t>在III期CheckMate 77T研究中，对可手术切除的非小细胞肺癌患者术前和术后接受免疫治疗药物nivolumab（纳武利尤单抗）的治疗进行了全面的生物标志物探索性分析。分析表明，术前循环肿瘤DNA的清除（以及其他标志物）与nivolumab治疗带来的临床结局改善相关。术前循环肿瘤DNA的清除与使用免疫治疗药物nivolumab的获益相关。</w:t>
      </w:r>
    </w:p>
    <w:p>
      <w:pPr>
        <w:spacing w:before="0" w:after="200" w:lineRule="auto" w:line="276"/>
      </w:pPr>
      <w:r>
        <w:rPr>
          <w:b/>
        </w:rPr>
        <w:t xml:space="preserve">Abstract (EN): </w:t>
      </w:r>
      <w:r>
        <w:t>Comprehensive exploratory analyses of biomarkers were done in the phase III CheckMate 77T study of pre- and post-surgical treatment with the immunotherapy nivolumab in individuals with surgically resectable non-small-cell lung cancer. The analyses indicate that pre-surgical clearance of circulating tumour DNA, among other markers, is associated with improved clinical outcomes with nivolumab. Pre-surgical clearance of circulating tumour DNA was associated with benefits when using the immunotherapy nivolumab.</w:t>
      </w:r>
    </w:p>
    <w:p>
      <w:pPr>
        <w:spacing w:before="120" w:after="120"/>
      </w:pPr>
      <w:r>
        <w:rPr>
          <w:sz w:val="18"/>
        </w:rPr>
        <w:t>——————————————————————————————————————————————————————————————————————</w:t>
      </w:r>
    </w:p>
    <w:p>
      <w:pPr>
        <w:spacing w:before="160" w:after="40" w:line="240" w:lineRule="auto"/>
      </w:pPr>
      <w:r>
        <w:rPr>
          <w:b/>
        </w:rPr>
        <w:t xml:space="preserve">[1111] </w:t>
      </w:r>
      <w:hyperlink r:id="rId1921">
        <w:r>
          <w:rPr>
            <w:color w:val="1155CC"/>
            <w:u w:val="single"/>
          </w:rPr>
          <w:t>向下一代龙虾问好——八月最佳科学图片</w:t>
        </w:r>
      </w:hyperlink>
    </w:p>
    <w:p>
      <w:pPr>
        <w:spacing w:before="0" w:after="80"/>
      </w:pPr>
      <w:r>
        <w:rPr>
          <w:i/>
          <w:sz w:val="20"/>
        </w:rPr>
        <w:t>EN: Say hello to the next generation of lobsters — August’s best science images</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22">
        <w:r>
          <w:rPr>
            <w:color w:val="1155CC"/>
            <w:u w:val="single"/>
          </w:rPr>
          <w:t>10.1038/d41586-026-02597-z</w:t>
        </w:r>
      </w:hyperlink>
    </w:p>
    <w:p>
      <w:pPr>
        <w:spacing w:before="0" w:after="120"/>
      </w:pPr>
      <w:r>
        <w:rPr>
          <w:b/>
        </w:rPr>
        <w:t xml:space="preserve">Notes: </w:t>
      </w:r>
      <w:r>
        <w:t>abstract_source=rss_nature</w:t>
      </w:r>
    </w:p>
    <w:p>
      <w:pPr>
        <w:spacing w:before="0" w:after="80" w:lineRule="auto" w:line="276"/>
      </w:pPr>
      <w:r>
        <w:rPr>
          <w:b/>
        </w:rPr>
        <w:t xml:space="preserve">摘要（ZH）: </w:t>
      </w:r>
      <w:r>
        <w:t>本月最精彩的科学图片，由《自然》摄影团队精选。</w:t>
      </w:r>
    </w:p>
    <w:p>
      <w:pPr>
        <w:spacing w:before="0" w:after="200" w:lineRule="auto" w:line="276"/>
      </w:pPr>
      <w:r>
        <w:rPr>
          <w:b/>
        </w:rPr>
        <w:t xml:space="preserve">Abstract (EN): </w:t>
      </w:r>
      <w:r>
        <w:t>The month’s sharpest science shots, selected by Nature’s photo team.</w:t>
      </w:r>
    </w:p>
    <w:p>
      <w:pPr>
        <w:spacing w:before="120" w:after="120"/>
      </w:pPr>
      <w:r>
        <w:rPr>
          <w:sz w:val="18"/>
        </w:rPr>
        <w:t>——————————————————————————————————————————————————————————————————————</w:t>
      </w:r>
    </w:p>
    <w:p>
      <w:pPr>
        <w:spacing w:before="160" w:after="40" w:line="240" w:lineRule="auto"/>
      </w:pPr>
      <w:r>
        <w:rPr>
          <w:b/>
        </w:rPr>
        <w:t xml:space="preserve">[1112] </w:t>
      </w:r>
      <w:hyperlink r:id="rId1923">
        <w:r>
          <w:rPr>
            <w:color w:val="1155CC"/>
            <w:u w:val="single"/>
          </w:rPr>
          <w:t>钯触发的生物正交苯丙氨酸去笼化</w:t>
        </w:r>
      </w:hyperlink>
    </w:p>
    <w:p>
      <w:pPr>
        <w:spacing w:before="0" w:after="80"/>
      </w:pPr>
      <w:r>
        <w:rPr>
          <w:i/>
          <w:sz w:val="20"/>
        </w:rPr>
        <w:t>EN: Palladium-triggered bioorthogonal phenylalanine decaging</w:t>
      </w:r>
    </w:p>
    <w:p>
      <w:pPr>
        <w:spacing w:before="0" w:after="120"/>
      </w:pPr>
      <w:r>
        <w:rPr>
          <w:b/>
        </w:rPr>
        <w:t xml:space="preserve">Source: </w:t>
      </w:r>
      <w:r>
        <w:t>Nature Chemistry</w:t>
      </w:r>
      <w:r>
        <w:t xml:space="preserve">    </w:t>
      </w:r>
      <w:r>
        <w:rPr>
          <w:b/>
        </w:rPr>
        <w:t xml:space="preserve">Pub date: </w:t>
      </w:r>
      <w:r>
        <w:t>2026-09-02 00:00:00+00:00</w:t>
      </w:r>
      <w:r>
        <w:t xml:space="preserve">    </w:t>
      </w:r>
      <w:r>
        <w:rPr>
          <w:b/>
        </w:rPr>
        <w:t xml:space="preserve">DOI: </w:t>
      </w:r>
      <w:hyperlink r:id="rId1924">
        <w:r>
          <w:rPr>
            <w:color w:val="1155CC"/>
            <w:u w:val="single"/>
          </w:rPr>
          <w:t>10.1038/s41557-026-02226-2</w:t>
        </w:r>
      </w:hyperlink>
    </w:p>
    <w:p>
      <w:pPr>
        <w:spacing w:before="0" w:after="120"/>
      </w:pPr>
      <w:r>
        <w:rPr>
          <w:b/>
        </w:rPr>
        <w:t xml:space="preserve">Notes: </w:t>
      </w:r>
      <w:r>
        <w:t>abstract_source=pubmed</w:t>
      </w:r>
    </w:p>
    <w:p>
      <w:pPr>
        <w:spacing w:before="0" w:after="80" w:lineRule="auto" w:line="276"/>
      </w:pPr>
      <w:r>
        <w:rPr>
          <w:b/>
        </w:rPr>
        <w:t xml:space="preserve">摘要（ZH）: </w:t>
      </w:r>
      <w:r>
        <w:t>苯丙氨酸（Phe）调控蛋白质界面疏水性及π驱动的相互作用，这些相互作用对多种生物学过程至关重要。然而，其非极性结构使其无法进行传统的依赖杂原子的反应，导致其在活体系统中的功能操控问题尚未解决。本文通过系统评估生理条件下基于外源杂原子（X = O、N、B或I）的笼锁基团，提出了一种利用碘笼锁Phe侧链的卤素辅助脱笼策略。该封锁可通过钯催化的生物正交脱笼实现无痕解除。通过精确调控，卤素辅助脱笼策略可实现：解锁荧光团活性、引导肽解组装、重新激活蛋白质-蛋白质相互作用以及重编程细胞-细胞识别。利用遗传密码扩展技术，我们将碘化Phe定点整合到靶向HER2的亲和体中，以动态控制细胞表面的配体-受体相互作用。此外，Phe脱笼可对肿瘤细胞上抗原肽免疫原性进行时间可控的重塑，从而重编程肿瘤-T细胞相互作用。我们进一步在细胞裂解物以及活细胞内优化了脱笼化学，这为在活体系统中化学操控普遍存在且功能关键的非极性基团提供了可能。</w:t>
      </w:r>
    </w:p>
    <w:p>
      <w:pPr>
        <w:spacing w:before="0" w:after="200" w:lineRule="auto" w:line="276"/>
      </w:pPr>
      <w:r>
        <w:rPr>
          <w:b/>
        </w:rPr>
        <w:t xml:space="preserve">Abstract (EN): </w:t>
      </w:r>
      <w:r>
        <w:t>Phenylalanine (Phe) orchestrates protein interfacial hydrophobicity and π-driven interactions that are critical for diverse biological processes. Its nonpolar architecture, however, precludes traditional heteroatom-dependent reactions, leaving its functional manipulation in living systems unresolved. Here, by systematically evaluating exogenous heteroatom-based (X = O, N, B or I) caging groups under physiological conditions, we present a haloatom-assisted decaging strategy that uses iodine to cage Phe's side chain. This blockade can be tracelessly rescued through palladium-triggered bioorthogonal decaging. Through precise modulation, the haloatom-assisted decaging strategy enables: unmasking fluorophore activity, directing peptide disassembly, reactivating protein-protein interactions and rewiring cell-cell recognition. Using genetic code expansion, we site-specifically incorporated iodinated Phe into HER2-targeting affibodies for dynamic control of ligand-receptor interaction on the cell surface. Moreover, Phe decaging permits temporally controlled reshaping of antigenic peptide immunogenicity on tumour cells, thereby rewiring tumour-T cell engagement. We further optimized the decaging chemistry in cell lysates as well as inside living cells, which unlocks the possibility of chemically manipulating ubiquitous and functionally critical nonpolar groups in living systems.</w:t>
      </w:r>
    </w:p>
    <w:p>
      <w:pPr>
        <w:spacing w:before="120" w:after="120"/>
      </w:pPr>
      <w:r>
        <w:rPr>
          <w:sz w:val="18"/>
        </w:rPr>
        <w:t>——————————————————————————————————————————————————————————————————————</w:t>
      </w:r>
    </w:p>
    <w:p>
      <w:pPr>
        <w:spacing w:before="160" w:after="40" w:line="240" w:lineRule="auto"/>
      </w:pPr>
      <w:r>
        <w:rPr>
          <w:b/>
        </w:rPr>
        <w:t xml:space="preserve">[1113] </w:t>
      </w:r>
      <w:hyperlink r:id="rId1808">
        <w:r>
          <w:rPr>
            <w:color w:val="1155CC"/>
            <w:u w:val="single"/>
          </w:rPr>
          <w:t>有机可激活余辉成像探针：从分子设计到生物医学转化</w:t>
        </w:r>
      </w:hyperlink>
    </w:p>
    <w:p>
      <w:pPr>
        <w:spacing w:before="0" w:after="80"/>
      </w:pPr>
      <w:r>
        <w:rPr>
          <w:i/>
          <w:sz w:val="20"/>
        </w:rPr>
        <w:t>EN: Organic Activatable Afterglow Imaging Probes: From Molecular Design to Biomedical Translation</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08">
        <w:r>
          <w:rPr>
            <w:color w:val="1155CC"/>
            <w:u w:val="single"/>
          </w:rPr>
          <w:t>10.1002/anie.1799326</w:t>
        </w:r>
      </w:hyperlink>
    </w:p>
    <w:p>
      <w:pPr>
        <w:spacing w:before="0" w:after="120"/>
      </w:pPr>
      <w:r>
        <w:rPr>
          <w:b/>
        </w:rPr>
        <w:t xml:space="preserve">Notes: </w:t>
      </w:r>
      <w:r>
        <w:t>abstract_source=crossref</w:t>
      </w:r>
    </w:p>
    <w:p>
      <w:pPr>
        <w:spacing w:before="0" w:after="80" w:lineRule="auto" w:line="276"/>
      </w:pPr>
      <w:r>
        <w:rPr>
          <w:b/>
        </w:rPr>
        <w:t xml:space="preserve">摘要（ZH）: </w:t>
      </w:r>
      <w:r>
        <w:t>摘要 有机可激活余辉探针已发展为一类独特的光学成像工具。它们可实现信号发射与外部照射在时间上的分离，从而实现高对比度成像。我们总结了有机激活余辉探针设计方面的最新进展，特别关注其激发机制、性能调控及激活策略，包括能量转移、分子内调控和单线态氧（1O2）介导的过程。还讨论了各种外部能量源（包括光、超声和X射线）在诱导余辉发射中的作用。我们进一步重点介绍了用于检测生物活性小分子、酶和微环境信号的代表性探针设计，并探讨了这些系统如何将分子激活事件转化为余辉信号。本综述着重于生物医学应用，特别是肿瘤相关成像、免疫细胞动力学可视化以及肝脏和心血管系统的疾病相关成像。阐明了这些激活余辉探针在外科导航和治疗监测中的作用。讨论还涉及该领域尚存的挑战，包括如何调控探针性能、在复杂生物环境中提高选择性，以及在确保转化安全性的同时增强深层组织成像能力。</w:t>
      </w:r>
    </w:p>
    <w:p>
      <w:pPr>
        <w:spacing w:before="0" w:after="200" w:lineRule="auto" w:line="276"/>
      </w:pPr>
      <w:r>
        <w:rPr>
          <w:b/>
        </w:rPr>
        <w:t xml:space="preserve">Abstract (EN): </w:t>
      </w:r>
      <w:r>
        <w:t>Organic activatable afterglow probes have developed into a distinct class of optical imaging tools. They allow for a temporal separation between signal emission and external irradiation, thereby enabling high‐contrast imaging. We have summarized the latest advances in the design of organic activated afterglow probes, with a particular focus on their excitation mechanisms, performance modulation, and activation strategies, including energy transfer, intramolecular regulation, and singlet oxygen( 1 O 2 )‐mediated processes. The roles of various external energy sources, including light, ultrasound, and X‐rays, in inducing afterglow emission are also discussed. We further highlight representative probe designs for detecting bioactive small molecules, enzymes, and microenvironment signals, and explore how these systems translate molecular activation events into afterglow signals. This review emphasizes biomedical applications, particularly tumor‐related imaging, visualization of immune cell dynamics, and disease‐related imaging of the liver and cardiovascular system. The role of these activated afterglow probes in surgical navigation and treatment monitoring is elucidated. The discussion also addresses remaining challenges in this field, including how to modulate probe performance, improve selectivity in complex biological environments, and enhance deep tissue imaging capabilities while ensuring translational safety.</w:t>
      </w:r>
    </w:p>
    <w:p>
      <w:pPr>
        <w:spacing w:before="120" w:after="120"/>
      </w:pPr>
      <w:r>
        <w:rPr>
          <w:sz w:val="18"/>
        </w:rPr>
        <w:t>——————————————————————————————————————————————————————————————————————</w:t>
      </w:r>
    </w:p>
    <w:p>
      <w:pPr>
        <w:spacing w:before="160" w:after="40" w:line="240" w:lineRule="auto"/>
      </w:pPr>
      <w:r>
        <w:rPr>
          <w:b/>
        </w:rPr>
        <w:t xml:space="preserve">[1114] </w:t>
      </w:r>
      <w:hyperlink r:id="rId1806">
        <w:r>
          <w:rPr>
            <w:color w:val="1155CC"/>
            <w:u w:val="single"/>
          </w:rPr>
          <w:t>超分子组装体中的级联能量转移实现放大且光可切换的圆偏振发光</w:t>
        </w:r>
      </w:hyperlink>
    </w:p>
    <w:p>
      <w:pPr>
        <w:spacing w:before="0" w:after="80"/>
      </w:pPr>
      <w:r>
        <w:rPr>
          <w:i/>
          <w:sz w:val="20"/>
        </w:rPr>
        <w:t>EN: Cascaded Energy Transfer in Supramolecular Assemblies Enables Amplified and Photoswitchable Circularly Polarized Luminescence</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06">
        <w:r>
          <w:rPr>
            <w:color w:val="1155CC"/>
            <w:u w:val="single"/>
          </w:rPr>
          <w:t>10.1002/anie.1803367</w:t>
        </w:r>
      </w:hyperlink>
    </w:p>
    <w:p>
      <w:pPr>
        <w:spacing w:before="0" w:after="120"/>
      </w:pPr>
      <w:r>
        <w:rPr>
          <w:b/>
        </w:rPr>
        <w:t xml:space="preserve">Notes: </w:t>
      </w:r>
      <w:r>
        <w:t>abstract_source=crossref</w:t>
      </w:r>
    </w:p>
    <w:p>
      <w:pPr>
        <w:spacing w:before="0" w:after="80" w:lineRule="auto" w:line="276"/>
      </w:pPr>
      <w:r>
        <w:rPr>
          <w:b/>
        </w:rPr>
        <w:t xml:space="preserve">摘要（ZH）: </w:t>
      </w:r>
      <w:r>
        <w:t>摘要 光响应圆偏振发光（CPL）材料在光学信息处理和防伪领域前景广阔。然而，在单一体系中将高发光不对称因子（g lum）与高对比度可逆开关相结合仍是一项重大挑战。在本研究中，我们提出了一种结合层级手性放大与光门控级联Förster共振能量转移（FRET）的超分子CPL纳米平台。TPE功能化手性柱[5]芳烃（TPEP5）与聚合物客体之间的选择性主客体识别形成具有放大手性的发光超分子聚合物。与无中继染料4,7-二（2-噻吩基）苯并[2,1,3]噻二唑（DBT）的受限共组装实现了从TPEP5到DBT的高效FRET，并伴随相应的手性转移，产生|g lum|值提升至10^-2的红移CPL。最终，二芳基乙烯（DAE）作为最终的光响应'门控'被引入：紫外光照射诱导DAE闭环，激活FRET通路并猝灭CPL；随后的可见光照射则逆转该过程，完全恢复发射和CPL活性。这种正交设计在手性骨架的反复开关循环中保持其结构完整性，实现了稳健、抗疲劳且保持架构的CPL开/关控制。因此，我们的策略为具有内置安全功能的智能手性光子材料提供了可推广的蓝图。</w:t>
      </w:r>
    </w:p>
    <w:p>
      <w:pPr>
        <w:spacing w:before="0" w:after="200" w:lineRule="auto" w:line="276"/>
      </w:pPr>
      <w:r>
        <w:rPr>
          <w:b/>
        </w:rPr>
        <w:t xml:space="preserve">Abstract (EN): </w:t>
      </w:r>
      <w:r>
        <w:t>Photoresponsive circularly polarized luminescence (CPL) materials are promising for optical information processing and anti‐counterfeiting. However, integrating high luminescence dissymmetry factor ( g lum ) with high‐contrast reversible switching within a single system remains a significant challenge. In this study, we present a supramolecular CPL nanoplatform that combines hierarchical chirality amplification with light‐gated cascaded Förster resonance energy transfer (FRET). Selective host–guest recognition between a TPE‐functionalized chiral pillar[5]arene ( TPEP5 ) and a polymeric guest forms emissive supramolecular polymers with amplified chirality. Confined co‐assembly with the achiral relay dye 4,7‐di(2‐thienyl)‐benzo[2,1,3]thiadiazole (DBT) enables efficient FRET from TPEP5 to DBT, accompanied by concomitant chirality transfer, generating red‐shifted CPL with enhanced | g lum | values of 10 − 2 . Eventually, diarylethene (DAE) is incorporated as a final photoresponsive “gatekeeper”: UV irradiation induces DAE ring closure, activating FRET pathway and quenching CPL; subsequent visible‐light irradiation reverses the process, fully restoring emission and CPL activity. This orthogonal design preserves the structural integrity of the chiral scaffold over repeated switching cycles, achieving robust, fatigue‐resistant, and architecture‐preserving CPL on/off control. Therefore, our strategy provides a generalizable blueprint for intelligent chiral photonic materials with built‐in security functionality.</w:t>
      </w:r>
    </w:p>
    <w:p>
      <w:pPr>
        <w:spacing w:before="120" w:after="120"/>
      </w:pPr>
      <w:r>
        <w:rPr>
          <w:sz w:val="18"/>
        </w:rPr>
        <w:t>——————————————————————————————————————————————————————————————————————</w:t>
      </w:r>
    </w:p>
    <w:p>
      <w:pPr>
        <w:spacing w:before="160" w:after="40" w:line="240" w:lineRule="auto"/>
      </w:pPr>
      <w:r>
        <w:rPr>
          <w:b/>
        </w:rPr>
        <w:t xml:space="preserve">[1115] </w:t>
      </w:r>
      <w:hyperlink r:id="rId1823">
        <w:r>
          <w:rPr>
            <w:color w:val="1155CC"/>
            <w:u w:val="single"/>
          </w:rPr>
          <w:t>药物衍生四氢吡嗪用于哌嗪类药物的后期α-和β-官能化</w:t>
        </w:r>
      </w:hyperlink>
    </w:p>
    <w:p>
      <w:pPr>
        <w:spacing w:before="0" w:after="80"/>
      </w:pPr>
      <w:r>
        <w:rPr>
          <w:i/>
          <w:sz w:val="20"/>
        </w:rPr>
        <w:t>EN: Drug‐Derived Tetrahydropyrazines for Late‐Stage α ‐ and β ‐Functionalization of Piperazine‐Based Pharmaceuticals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23">
        <w:r>
          <w:rPr>
            <w:color w:val="1155CC"/>
            <w:u w:val="single"/>
          </w:rPr>
          <w:t>10.1002/anie.6711809</w:t>
        </w:r>
      </w:hyperlink>
    </w:p>
    <w:p>
      <w:pPr>
        <w:spacing w:before="0" w:after="120"/>
      </w:pPr>
      <w:r>
        <w:rPr>
          <w:b/>
        </w:rPr>
        <w:t xml:space="preserve">Notes: </w:t>
      </w:r>
      <w:r>
        <w:t>abstract_source=crossref</w:t>
      </w:r>
    </w:p>
    <w:p>
      <w:pPr>
        <w:spacing w:before="0" w:after="80" w:lineRule="auto" w:line="276"/>
      </w:pPr>
      <w:r>
        <w:rPr>
          <w:b/>
        </w:rPr>
        <w:t xml:space="preserve">摘要（ZH）: </w:t>
      </w:r>
      <w:r>
        <w:t>摘要 哌嗪是药物中最常见的饱和含氮杂环之一，但对α-和β-取代哌嗪类似物的后期合成修饰仍具挑战性。在此，我们报道了一种黄素光催化平台，可将含哌嗪的复杂药物转化为持久性的四氢吡嗪中间体，该中间体可作为下游官能化的多功能分支点。在蓝光照射下，核黄素四乙酸酯（RFTA）可在温和条件下促进N-烷基、N-芳基和N-杂芳基哌嗪的连续α-和β-C─H键断裂，并对多种官能团具有耐受性。所得的药物衍生四氢吡嗪可以分离，或直接串联进行与亲电试剂和亲核试剂的反应，从而实现对环丙基、三氟甲基、羰基、酰胺和氰基取代的哌嗪类似物的后期修饰。通过将C─H氧化与后续的成键过程解耦，这种两阶段策略使原本与黄素介导氧化不相容的转化成为可能。该方法的实用性通过快速制备多种哌嗪类药物类似物以及erastin的初步构效关系（SAR）研究得到证明，研究显示哌嗪核心的取代和立体化学可显著影响细胞活性。Stern–Volmer淬灭实验、循环伏安法以及光照射下形成的中间体的表征为反应机理提供了深入认识。这项工作确立了d</w:t>
      </w:r>
    </w:p>
    <w:p>
      <w:pPr>
        <w:spacing w:before="0" w:after="200" w:lineRule="auto" w:line="276"/>
      </w:pPr>
      <w:r>
        <w:rPr>
          <w:b/>
        </w:rPr>
        <w:t xml:space="preserve">Abstract (EN): </w:t>
      </w:r>
      <w:r>
        <w:t>Piperazine is one of the most prevalent saturated nitrogen heterocycles in pharmaceuticals, yet late‐stage access to α ‐ and β ‐substituted piperazine analogues remains challenging. Here, we report a flavin‐photocatalyzed platform that converts complex piperazine‐containing drugs into persistent tetrahydropyrazine intermediates that serve as versatile branch points for downstream functionalization. Under blue‐light irradiation, riboflavin tetraacetate (RFTA) promotes sequential α ‐ and β ‐C─H bond cleavage of N ‐alkyl, N ‐aryl, and N ‐heteroaryl piperazines under mild conditions and with tolerance of diverse functional groups. The resulting drug‐derived tetrahydropyrazines can be isolated or directly telescoped into reactions with electrophiles and nucleophiles, enabling late‐stage access to cyclopropyl‐, trifluoromethyl‐, carbonyl‐, amide‐, and cyano‐substituted piperazine analogues. By decoupling C─H oxidation from subsequent bond construction, this two‐stage strategy enables transformations that would otherwise be incompatible with flavin‐mediated oxidation. The utility of this approach is demonstrated through the rapid preparation of diverse analogues of piperazine‐based pharmaceuticals and a preliminary structure–activity relationship (SAR) study of erastin, which reveals that piperazine‐core substitution and stereochemistry can substantially influence cellular activity. Stern–Volmer quenching experiments, cyclic voltammetry, and characterization of intermediates formed under photoirradiation provide insight into the reaction mechanism. This work establishes drug‐derived tetrahydropyrazines as practical late‐stage intermediates for expanding medicinally relevant chemical space around piperazine‐containing drug leads.</w:t>
      </w:r>
    </w:p>
    <w:p>
      <w:pPr>
        <w:spacing w:before="120" w:after="120"/>
      </w:pPr>
      <w:r>
        <w:rPr>
          <w:sz w:val="18"/>
        </w:rPr>
        <w:t>——————————————————————————————————————————————————————————————————————</w:t>
      </w:r>
    </w:p>
    <w:p>
      <w:pPr>
        <w:spacing w:before="160" w:after="40" w:line="240" w:lineRule="auto"/>
      </w:pPr>
      <w:r>
        <w:rPr>
          <w:b/>
        </w:rPr>
        <w:t xml:space="preserve">[1116] </w:t>
      </w:r>
      <w:hyperlink r:id="rId1825">
        <w:r>
          <w:rPr>
            <w:color w:val="1155CC"/>
            <w:u w:val="single"/>
          </w:rPr>
          <w:t>自放大AIE探针用于HClO可激活成像及胸主动脉夹层的抗氧化/抗炎治疗</w:t>
        </w:r>
      </w:hyperlink>
    </w:p>
    <w:p>
      <w:pPr>
        <w:spacing w:before="0" w:after="80"/>
      </w:pPr>
      <w:r>
        <w:rPr>
          <w:i/>
          <w:sz w:val="20"/>
        </w:rPr>
        <w:t>EN: Self‐Amplifying AIE Probe for HClO‐Activatable Imaging and Antioxidative/Anti‐Inflammatory Therapy of Thoracic Aortic Dissection</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25">
        <w:r>
          <w:rPr>
            <w:color w:val="1155CC"/>
            <w:u w:val="single"/>
          </w:rPr>
          <w:t>10.1002/anie.3622603</w:t>
        </w:r>
      </w:hyperlink>
    </w:p>
    <w:p>
      <w:pPr>
        <w:spacing w:before="0" w:after="120"/>
      </w:pPr>
      <w:r>
        <w:rPr>
          <w:b/>
        </w:rPr>
        <w:t xml:space="preserve">Notes: </w:t>
      </w:r>
      <w:r>
        <w:t>abstract_source=crossref</w:t>
      </w:r>
    </w:p>
    <w:p>
      <w:pPr>
        <w:spacing w:before="0" w:after="80" w:lineRule="auto" w:line="276"/>
      </w:pPr>
      <w:r>
        <w:rPr>
          <w:b/>
        </w:rPr>
        <w:t xml:space="preserve">摘要（ZH）: </w:t>
      </w:r>
      <w:r>
        <w:t>摘要 胸主动脉夹层（TAD）是一种高致死性心血管疾病，但由于成像对比度差和特异性不足，其准确诊断和有效治疗仍具挑战性。利用TAD中过表达的活性氧（ROS），我们报道了一种次氯酸（HClO）可激活的分子探针DT-PZ。它可在单一化学实体上实现两阶段自放大荧光成像（先化学激活后物理聚集）以及不依赖光的治疗。该探针最初通过光诱导电子转移（PET）表现出荧光淬灭。两条途径可通过化学激活打开荧光：(1) HClO的氧化阻断PET并开启发射；(2) 光触发的HClO自由基生成（通过氯离子或髓过氧化物酶）激活邻近探针，产生自放大荧光。在病灶部位聚集后，聚集诱导发光效应引起的物理聚集进一步放大荧光信号。这种两阶段荧光放大机制可在体内2分钟内实现TAD可视化。在治疗方面，吩噻嗪在无光照期间清除过量ROS，下调NF-κB/P65信号通路，上调eNOS和P-Akt表达，保护内皮稳态，从而将小鼠存活率从50%提高到90%。总之，DT-PZ将自放大荧光成像与不依赖光的抗氧化/抗炎治疗相结合，在管理深部c方面具有巨大前景</w:t>
      </w:r>
    </w:p>
    <w:p>
      <w:pPr>
        <w:spacing w:before="0" w:after="200" w:lineRule="auto" w:line="276"/>
      </w:pPr>
      <w:r>
        <w:rPr>
          <w:b/>
        </w:rPr>
        <w:t xml:space="preserve">Abstract (EN): </w:t>
      </w:r>
      <w:r>
        <w:t>Thoracic aortic dissection (TAD) is a highly lethal cardiovascular disease, yet its accurate diagnosis and effective treatment remain challenging due to poor imaging contrast and insufficient specificity. Leveraging the overexpressed reactive oxygen species (ROS) in TAD, we reported a hypochlorous acid (HClO)‐activatable molecular probe DT‐PZ. It enables two‐stage self‐amplifying fluorescence imaging (chemical activation and then physical aggregation) and light‐independent therapy on a single chemical entity. The probe initially exhibits quenched fluorescence via photoinduced electron transfer (PET). Two pathways can turn on the fluorescence via chemical activation: (1) oxidation by HClO blocks PET and turns on the emission; (2) photo‐triggered radicals generation of HClO (via chloride ions or myeloperoxidase) to activate neighboring probes, creating self‐amplifying fluorescence. Upon accumulation at the lesion site, the physical aggregation caused by the aggregation‐induced emission effect further amplifies the fluorescence signals. This two‐stage fluorescence amplification mechanism enables TAD visualization within 2 min in vivo. For therapy, the phenothiazine scavenges excess ROS during non‐illuminated periods, down‐regulates the NF‐κB/P65 signal pathway, and up‐regulates eNOS and P‐Akt expressions, protecting endothelial homeostasis and then improving murine survival from 50% to 90%. Collectively, DT‐PZ synergizes self‐amplifying fluorescence imaging with light‐independent antioxidation/anti‐inflammatory therapy, holding great promise for managing deep‐seated cardiovascular diseases.</w:t>
      </w:r>
    </w:p>
    <w:p>
      <w:pPr>
        <w:spacing w:before="120" w:after="120"/>
      </w:pPr>
      <w:r>
        <w:rPr>
          <w:sz w:val="18"/>
        </w:rPr>
        <w:t>——————————————————————————————————————————————————————————————————————</w:t>
      </w:r>
    </w:p>
    <w:p>
      <w:pPr>
        <w:spacing w:before="160" w:after="40" w:line="240" w:lineRule="auto"/>
      </w:pPr>
      <w:r>
        <w:rPr>
          <w:b/>
        </w:rPr>
        <w:t xml:space="preserve">[1117] </w:t>
      </w:r>
      <w:hyperlink r:id="rId1925">
        <w:r>
          <w:rPr>
            <w:color w:val="1155CC"/>
            <w:u w:val="single"/>
          </w:rPr>
          <w:t>胞内补体因子H在CNS炎症期间保护神经元</w:t>
        </w:r>
      </w:hyperlink>
    </w:p>
    <w:p>
      <w:pPr>
        <w:spacing w:before="0" w:after="80"/>
      </w:pPr>
      <w:r>
        <w:rPr>
          <w:i/>
          <w:sz w:val="20"/>
        </w:rPr>
        <w:t>EN: Intracellular complement factor H protects neurons during CNS inflammation</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26">
        <w:r>
          <w:rPr>
            <w:color w:val="1155CC"/>
            <w:u w:val="single"/>
          </w:rPr>
          <w:t>10.1038/s41586-026-10981-y</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神经变性是多发性硬化（MS）中致残的主要驱动因素，MS是中枢神经系统（CNS）最常见的慢性炎症性疾病</w:t>
      </w:r>
      <w:r>
        <w:rPr>
          <w:vertAlign w:val="subscript"/>
        </w:rPr>
        <w:t>1</w:t>
      </w:r>
      <w:r>
        <w:t>。视网膜神经节细胞（RGC）是眼中一群异质性的神经元群体，在MS中发生变性，为研究神经元亚型对炎症损伤的特异性抵抗力提供了模型</w:t>
      </w:r>
      <w:r>
        <w:rPr>
          <w:vertAlign w:val="subscript"/>
        </w:rPr>
        <w:t>2</w:t>
      </w:r>
      <w:r>
        <w:t>。然而，差异性易感性背后的神经元内在机制仍不清楚。在此，我们发现神经元内补体因子H（CFH）具有神经保护作用。通过对MS患者和对照组供体的RGC进行单核RNA测序分析，我们发现</w:t>
      </w:r>
      <w:r>
        <w:t xml:space="preserve"> </w:t>
      </w:r>
      <w:r>
        <w:t>CFH</w:t>
      </w:r>
      <w:r>
        <w:t xml:space="preserve"> </w:t>
      </w:r>
      <w:r>
        <w:t>的表达与RGC变性的内在抵抗力密切相关。在机制上，</w:t>
      </w:r>
      <w:r>
        <w:t xml:space="preserve"> </w:t>
      </w:r>
      <w:r>
        <w:t>CFH</w:t>
      </w:r>
      <w:r>
        <w:t xml:space="preserve"> </w:t>
      </w:r>
      <w:r>
        <w:t>在炎症和氧化应激下在视网膜及其他CNS神经元中被诱导表达，并限制活性氧的积累和脂质过氧化。CFH定位于内质网，后者是神经元铁死亡过程中脂质过氧化的主要场所。其保护活性依赖于其C端的SCR20结构域，不依赖于CFH的分泌，且在补体成分C3缺失时仍能保留。这些发现揭示了CFH在神经元中的非经典胞内功能。总之，我们的结果表明CFH是MS中跨越CNS的神经元抵抗力的关键介质</w:t>
      </w:r>
    </w:p>
    <w:p>
      <w:pPr>
        <w:spacing w:before="0" w:after="200" w:lineRule="auto" w:line="276"/>
      </w:pPr>
      <w:r>
        <w:rPr>
          <w:b/>
        </w:rPr>
        <w:t xml:space="preserve">Abstract (EN): </w:t>
      </w:r>
      <w:r>
        <w:t>Neurodegeneration is a major driver of disability in multiple sclerosis (MS), the most common chronic inflammatory disease of the central nervous system (CNS)</w:t>
      </w:r>
      <w:r>
        <w:rPr>
          <w:vertAlign w:val="subscript"/>
        </w:rPr>
        <w:t>1</w:t>
      </w:r>
      <w:r>
        <w:t>. Retinal ganglion cells (RGCs), a heterogeneous neuronal population in the eye, undergo degeneration in MS and provide a model to study neuronal subtype-specific resilience to inflammatory injury</w:t>
      </w:r>
      <w:r>
        <w:rPr>
          <w:vertAlign w:val="subscript"/>
        </w:rPr>
        <w:t>2</w:t>
      </w:r>
      <w:r>
        <w:t>. However, the neuron-intrinsic mechanisms underlying differential vulnerability remain unclear. Here we identify a neuroprotective role for intracellular complement factor H (CFH) in neurons. Using single-nucleus RNA-sequencing analysis of RGCs from donors with MS and control individuals, we found that</w:t>
      </w:r>
      <w:r>
        <w:t xml:space="preserve"> </w:t>
      </w:r>
      <w:r>
        <w:t>CFH</w:t>
      </w:r>
      <w:r>
        <w:t xml:space="preserve"> </w:t>
      </w:r>
      <w:r>
        <w:t>expression was strongly correlated with intrinsic resilience to RGC degeneration. Mechanistically,</w:t>
      </w:r>
      <w:r>
        <w:t xml:space="preserve"> </w:t>
      </w:r>
      <w:r>
        <w:t>CFH</w:t>
      </w:r>
      <w:r>
        <w:t xml:space="preserve"> </w:t>
      </w:r>
      <w:r>
        <w:t>was induced in retinal and other CNS neurons in response to inflammatory and oxidative stress, where it limited reactive oxygen species accumulation and lipid peroxidation. CFH localized to the endoplasmic reticulum, a major site of lipid peroxidation during neuronal ferroptosis. Its protective activity was dependent on its C-terminal SCR20 domain, was independent of CFH secretion and was preserved in the absence of complement component C3. These findings reveal a non-canonical intracellular function of CFH in neurons. Together, our results identify CFH as a key mediator of neuronal resilience across the CNS in mice and humans and provide mechanistic insight into inflammatory neurodegeneration with implications for MS therapy and neuroprotection more broadly.</w:t>
      </w:r>
    </w:p>
    <w:p>
      <w:pPr>
        <w:spacing w:before="120" w:after="120"/>
      </w:pPr>
      <w:r>
        <w:rPr>
          <w:sz w:val="18"/>
        </w:rPr>
        <w:t>——————————————————————————————————————————————————————————————————————</w:t>
      </w:r>
    </w:p>
    <w:p>
      <w:pPr>
        <w:spacing w:before="160" w:after="40" w:line="240" w:lineRule="auto"/>
      </w:pPr>
      <w:r>
        <w:rPr>
          <w:b/>
        </w:rPr>
        <w:t xml:space="preserve">[1118] </w:t>
      </w:r>
      <w:hyperlink r:id="rId1850">
        <w:r>
          <w:rPr>
            <w:color w:val="1155CC"/>
            <w:u w:val="single"/>
          </w:rPr>
          <w:t>电化学钴/钒接力催化：烯烃的对映选择性马氏加氢氧官能化</w:t>
        </w:r>
      </w:hyperlink>
    </w:p>
    <w:p>
      <w:pPr>
        <w:spacing w:before="0" w:after="80"/>
      </w:pPr>
      <w:r>
        <w:rPr>
          <w:i/>
          <w:sz w:val="20"/>
        </w:rPr>
        <w:t>EN: Electrochemical Cobalt/Vanadium Relay Catalysis: Enantioselective Markovnikov Hydrooxygenation of Alkenes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50">
        <w:r>
          <w:rPr>
            <w:color w:val="1155CC"/>
            <w:u w:val="single"/>
          </w:rPr>
          <w:t>10.1002/anie.1324586</w:t>
        </w:r>
      </w:hyperlink>
    </w:p>
    <w:p>
      <w:pPr>
        <w:spacing w:before="0" w:after="120"/>
      </w:pPr>
      <w:r>
        <w:rPr>
          <w:b/>
        </w:rPr>
        <w:t xml:space="preserve">Notes: </w:t>
      </w:r>
      <w:r>
        <w:t>abstract_source=crossref</w:t>
      </w:r>
    </w:p>
    <w:p>
      <w:pPr>
        <w:spacing w:before="0" w:after="80" w:lineRule="auto" w:line="276"/>
      </w:pPr>
      <w:r>
        <w:rPr>
          <w:b/>
        </w:rPr>
        <w:t xml:space="preserve">摘要（ZH）: </w:t>
      </w:r>
      <w:r>
        <w:t>摘要 烯烃的直接对映选择性分子间马尔科夫尼科夫加氢氧官能化仍是一项根本性挑战，因为它需要同时控制区域选择性、立体化学和反应活性。本文报道了一种电化学钴/钒接力催化策略，通过在两个不同的催化事件中解耦区域与立体化学控制，从而克服这些限制。钴氢化物通过金属-氢原子转移选择性地与烯烃作用，生成马尔科夫尼科夫烷基自由基，而钒催化剂则介导随后决定立体化学的双分子均裂取代（S_H 2），以高对映选择性形成C─O键。对钴和钒氧化还原态的电化学调控实现了温和条件下的高效催化接力，抑制了过度氧化路径并免除了对化学计量化学氧化剂的需求。该方法可高产功能团耐受性和可扩展性地获得广泛的对映富集醇类及其衍生物，为药物相关骨架提供了简捷的合成途径。更广泛而言，钒催化不对称成键与电化学控制之间的兼容性，为通过自由基中间体进行立体选择性C─O键构建建立了一个通用框架。</w:t>
      </w:r>
    </w:p>
    <w:p>
      <w:pPr>
        <w:spacing w:before="0" w:after="200" w:lineRule="auto" w:line="276"/>
      </w:pPr>
      <w:r>
        <w:rPr>
          <w:b/>
        </w:rPr>
        <w:t xml:space="preserve">Abstract (EN): </w:t>
      </w:r>
      <w:r>
        <w:t>The direct enantioselective intermolecular Markovnikov hydrooxygenation of alkenes remains a fundamental challenge, as it requires simultaneous control over regioselectivity, stereochemistry, and reactivity. Here we report an electrochemical cobalt/vanadium relay catalytic strategy that overcomes these constraints by decoupling regio‐ and stereochemical control across two distinct catalytic events. A cobalt hydride selectively engages alkenes through metal–hydride hydrogen atom transfer to generate a Markovnikov alkyl radical, while a vanadium catalyst mediates a subsequent stereodetermining bimolecular homolytic substitution (S H 2) to form the C─O bond with high enantioselectivity. Electrochemical modulation of the cobalt and vanadium redox states enables efficient catalytic relay under mild conditions, suppressing overoxidation pathways and eliminating the need for stoichiometric chemical oxidants. This approach provides access to a broad range of enantioenriched alcohols and derivatives with high functional group tolerance and scalability, offering streamlined access to pharmaceutically relevant scaffolds. More broadly, the demonstrated compatibility of vanadium‐catalyzed asymmetric bond formation with electrochemical control establishes a general framework for stereoselective C─O bond construction via radical intermediates.</w:t>
      </w:r>
    </w:p>
    <w:p>
      <w:pPr>
        <w:spacing w:before="120" w:after="120"/>
      </w:pPr>
      <w:r>
        <w:rPr>
          <w:sz w:val="18"/>
        </w:rPr>
        <w:t>——————————————————————————————————————————————————————————————————————</w:t>
      </w:r>
    </w:p>
    <w:p>
      <w:pPr>
        <w:spacing w:before="160" w:after="40" w:line="240" w:lineRule="auto"/>
      </w:pPr>
      <w:r>
        <w:rPr>
          <w:b/>
        </w:rPr>
        <w:t xml:space="preserve">[1119] </w:t>
      </w:r>
      <w:hyperlink r:id="rId1927">
        <w:r>
          <w:rPr>
            <w:color w:val="1155CC"/>
            <w:u w:val="single"/>
          </w:rPr>
          <w:t>无脊椎水生食品的营养价值</w:t>
        </w:r>
      </w:hyperlink>
    </w:p>
    <w:p>
      <w:pPr>
        <w:spacing w:before="0" w:after="80"/>
      </w:pPr>
      <w:r>
        <w:rPr>
          <w:i/>
          <w:sz w:val="20"/>
        </w:rPr>
        <w:t>EN: The nutritional value of invertebrate aquatic foods</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28">
        <w:r>
          <w:rPr>
            <w:color w:val="1155CC"/>
            <w:u w:val="single"/>
          </w:rPr>
          <w:t>10.1038/s41586-026-10908-7</w:t>
        </w:r>
      </w:hyperlink>
    </w:p>
    <w:p>
      <w:pPr>
        <w:spacing w:before="0" w:after="120"/>
      </w:pPr>
      <w:r>
        <w:rPr>
          <w:b/>
        </w:rPr>
        <w:t xml:space="preserve">Notes: </w:t>
      </w:r>
      <w:r>
        <w:t>abstract_source=openalex</w:t>
      </w:r>
    </w:p>
    <w:p>
      <w:pPr>
        <w:spacing w:before="0" w:after="80" w:lineRule="auto" w:line="276"/>
      </w:pPr>
      <w:r>
        <w:rPr>
          <w:b/>
        </w:rPr>
        <w:t xml:space="preserve">摘要（ZH）: </w:t>
      </w:r>
      <w:r>
        <w:t>摘要 水生无脊椎动物是一类多样化、营养密集且具有社会生态重要性的食物，其对人类营养的贡献经常被忽视。我们量化了它们对全球营养供应的贡献，并估计了50,000余种大型无脊椎动物的营养含量。目前的水生无脊椎动物产量可满足超过60亿人每年的维生素B12和硒需求；超过10亿人的铜、omega-3脂肪酸、碘和锌需求；以及超过1亿人的维生素B2和B3、铁、锰和镁等营养素需求。营养组成因类群、消费模式以及环境和生活史因素而异。我们的研究凸显了将水生无脊椎动物纳入全球社会膳食组合的益处，并在发展项目、可持续性评估和粮食政策中使其营养重要性主流化。</w:t>
      </w:r>
    </w:p>
    <w:p>
      <w:pPr>
        <w:spacing w:before="0" w:after="200" w:lineRule="auto" w:line="276"/>
      </w:pPr>
      <w:r>
        <w:rPr>
          <w:b/>
        </w:rPr>
        <w:t xml:space="preserve">Abstract (EN): </w:t>
      </w:r>
      <w:r>
        <w:t>Aquatic invertebrates are a diverse, nutrient-dense, and socio-ecologically important food whose contribution to human nutrition is frequently overlooked. We quantify their contribution to global nutrient supplies and estimate the nutrient content of &gt;50,000 macroinvertebrate species. Current aquatic invertebrate production supplies the equivalent annual requirement for &gt;6 billion people in terms of vitamin B12 and selenium; &gt;1 billion people for copper, omega 3 fatty acids, iodine and zinc; and &gt;100 million people for nutrients such as vitamins B2 and B3, iron, manganese, and magnesium. Nutrient composition differs among taxonomic groups, consumption patterns, and environmental and life-history factors. Our study highlights the benefits of integrating aquatic invertebrates into dietary portfolios across global societies, mainstreaming their nutritional importance in development projects, sustainability assessments and food policy.</w:t>
      </w:r>
    </w:p>
    <w:p>
      <w:pPr>
        <w:spacing w:before="120" w:after="120"/>
      </w:pPr>
      <w:r>
        <w:rPr>
          <w:sz w:val="18"/>
        </w:rPr>
        <w:t>——————————————————————————————————————————————————————————————————————</w:t>
      </w:r>
    </w:p>
    <w:p>
      <w:pPr>
        <w:spacing w:before="160" w:after="40" w:line="240" w:lineRule="auto"/>
      </w:pPr>
      <w:r>
        <w:rPr>
          <w:b/>
        </w:rPr>
        <w:t xml:space="preserve">[1120] </w:t>
      </w:r>
      <w:hyperlink r:id="rId1929">
        <w:r>
          <w:rPr>
            <w:color w:val="1155CC"/>
            <w:u w:val="single"/>
          </w:rPr>
          <w:t>可解释深度学习改进人类对自动驾驶汽车的心智模型</w:t>
        </w:r>
      </w:hyperlink>
    </w:p>
    <w:p>
      <w:pPr>
        <w:spacing w:before="0" w:after="80"/>
      </w:pPr>
      <w:r>
        <w:rPr>
          <w:i/>
          <w:sz w:val="20"/>
        </w:rPr>
        <w:t>EN: Explainable deep learning improves human mental models of self-driving cars</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30">
        <w:r>
          <w:rPr>
            <w:color w:val="1155CC"/>
            <w:u w:val="single"/>
          </w:rPr>
          <w:t>10.1038/s41586-026-10950-5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自动驾驶汽车越来越依赖深度神经网络来实现类人驾驶</w:t>
      </w:r>
      <w:r>
        <w:t xml:space="preserve"> </w:t>
      </w:r>
      <w:r>
        <w:t>1–3</w:t>
      </w:r>
      <w:r>
        <w:t xml:space="preserve"> </w:t>
      </w:r>
      <w:r>
        <w:t>。这些黑箱规划器的不透明性使得准确预测其何时失败极具挑战</w:t>
      </w:r>
      <w:r>
        <w:t xml:space="preserve"> </w:t>
      </w:r>
      <w:r>
        <w:t>4–6</w:t>
      </w:r>
      <w:r>
        <w:t xml:space="preserve"> </w:t>
      </w:r>
      <w:r>
        <w:t>，并可能带来灾难性后果</w:t>
      </w:r>
      <w:r>
        <w:t xml:space="preserve"> </w:t>
      </w:r>
      <w:r>
        <w:t>7–9</w:t>
      </w:r>
      <w:r>
        <w:t xml:space="preserve"> </w:t>
      </w:r>
      <w:r>
        <w:t>。尽管针对这些系统的解释研究激增，但由于现实部署的困难，大多数研究局限于仿真或玩具环境</w:t>
      </w:r>
      <w:r>
        <w:t xml:space="preserve"> </w:t>
      </w:r>
      <w:r>
        <w:t>10,11</w:t>
      </w:r>
      <w:r>
        <w:t xml:space="preserve"> </w:t>
      </w:r>
      <w:r>
        <w:t>，导致这些技术的实用价值未知。在此，我们提出了概念包装网络（CW-Net），这是一种忠实解释基于机器学习的规划器行为的方法，将推理因果性地奠基于人类可解释的概念之上，同时不牺牲性能。我们将CW-Net部署到一辆真实的自动驾驶汽车上，并表明所得解释改善了人类驾驶员对车辆的思维模型，使其能够更好地预测车辆行为，尤其是在意外情境中。这表明，集成到自动驾驶汽车中的可解释深度学习在现实部署环境中既可理解又有用。我们预期该方法可应用于其他安全关键系统，如自主无人机和机器人手术医生，以及其他架构，如端到端学习系统和视觉–语言–动作模型。总体而言，我们的研究确立了一种可部署的方</w:t>
      </w:r>
    </w:p>
    <w:p>
      <w:pPr>
        <w:spacing w:before="0" w:after="200" w:lineRule="auto" w:line="276"/>
      </w:pPr>
      <w:r>
        <w:rPr>
          <w:b/>
        </w:rPr>
        <w:t xml:space="preserve">Abstract (EN): </w:t>
      </w:r>
      <w:r>
        <w:t>Self-driving cars increasingly rely on deep neural networks to achieve human-like driving</w:t>
      </w:r>
      <w:r>
        <w:t xml:space="preserve"> </w:t>
      </w:r>
      <w:r>
        <w:t>1–3</w:t>
      </w:r>
      <w:r>
        <w:t xml:space="preserve"> </w:t>
      </w:r>
      <w:r>
        <w:t>. The opacity of these black-box planners makes it challenging to accurately anticipate when they will fail</w:t>
      </w:r>
      <w:r>
        <w:t xml:space="preserve"> </w:t>
      </w:r>
      <w:r>
        <w:t>4–6</w:t>
      </w:r>
      <w:r>
        <w:t xml:space="preserve"> </w:t>
      </w:r>
      <w:r>
        <w:t>, with potentially catastrophic consequences</w:t>
      </w:r>
      <w:r>
        <w:t xml:space="preserve"> </w:t>
      </w:r>
      <w:r>
        <w:t>7–9</w:t>
      </w:r>
      <w:r>
        <w:t xml:space="preserve"> </w:t>
      </w:r>
      <w:r>
        <w:t>. Although research into interpreting these systems has surged, most of it is confined to simulations or toy setups because of the difficulty of real-world deployment</w:t>
      </w:r>
      <w:r>
        <w:t xml:space="preserve"> </w:t>
      </w:r>
      <w:r>
        <w:t>10,11</w:t>
      </w:r>
      <w:r>
        <w:t xml:space="preserve"> </w:t>
      </w:r>
      <w:r>
        <w:t>, leaving the practical utility of these techniques unknown. Here, we introduce the Concept-Wrapper Network (CW-Net), a method for faithfully explaining the behaviour of machine-learning-based planners that causally grounds their reasoning in human-interpretable concepts without sacrificing performance. We deploy CW-Net on a real self-driving car and show that the resulting explanations improve the human driver’s mental model of the vehicle, allowing them to better predict its behaviour, particularly in surprising situations. This demonstrates that explainable deep learning integrated into self-driving cars can be both understandable and useful in a realistic deployment setting. We anticipate our method could be applied to other safety-critical systems, such as autonomous drones and robotic surgeons, as well as to other architectures, such as end-to-end learning systems and vision–language–action models. Overall, our study establishes a deployment-validated pathway to interpretability for autonomous agents, which could help make them more transparent and safe.</w:t>
      </w:r>
    </w:p>
    <w:p>
      <w:pPr>
        <w:spacing w:before="120" w:after="120"/>
      </w:pPr>
      <w:r>
        <w:rPr>
          <w:sz w:val="18"/>
        </w:rPr>
        <w:t>——————————————————————————————————————————————————————————————————————</w:t>
      </w:r>
    </w:p>
    <w:p>
      <w:pPr>
        <w:spacing w:before="160" w:after="40" w:line="240" w:lineRule="auto"/>
      </w:pPr>
      <w:r>
        <w:rPr>
          <w:b/>
        </w:rPr>
        <w:t xml:space="preserve">[1121] </w:t>
      </w:r>
      <w:hyperlink r:id="rId1931">
        <w:r>
          <w:rPr>
            <w:color w:val="1155CC"/>
            <w:u w:val="single"/>
          </w:rPr>
          <w:t>量子阱超表面实现自由空间可及的增强非线性偏振</w:t>
        </w:r>
      </w:hyperlink>
    </w:p>
    <w:p>
      <w:pPr>
        <w:spacing w:before="0" w:after="80"/>
      </w:pPr>
      <w:r>
        <w:rPr>
          <w:i/>
          <w:sz w:val="20"/>
        </w:rPr>
        <w:t>EN: Quantum-well metasurface for free-space-accessible enhanced nonlinear polarization</w:t>
      </w:r>
    </w:p>
    <w:p>
      <w:pPr>
        <w:spacing w:before="0" w:after="120"/>
      </w:pPr>
      <w:r>
        <w:rPr>
          <w:b/>
        </w:rPr>
        <w:t xml:space="preserve">Source: </w:t>
      </w:r>
      <w:r>
        <w:t>Nature Nanotechnology</w:t>
      </w:r>
      <w:r>
        <w:t xml:space="preserve">    </w:t>
      </w:r>
      <w:r>
        <w:rPr>
          <w:b/>
        </w:rPr>
        <w:t xml:space="preserve">Pub date: </w:t>
      </w:r>
      <w:r>
        <w:t>2026-09-02 00:00:00+00:00</w:t>
      </w:r>
      <w:r>
        <w:t xml:space="preserve">    </w:t>
      </w:r>
      <w:r>
        <w:rPr>
          <w:b/>
        </w:rPr>
        <w:t xml:space="preserve">DOI: </w:t>
      </w:r>
      <w:hyperlink r:id="rId1932">
        <w:r>
          <w:rPr>
            <w:color w:val="1155CC"/>
            <w:u w:val="single"/>
          </w:rPr>
          <w:t>10.1038/s41565-026-02268-0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线性频率转换是电信和量子计算等重要技术的基础；然而，微弱的非线性和难以小型化的架构目前限制了器件的效率和广泛应用。在此，我们将能带结构工程化的GaAs/AlGaAs多量子阱异质结构、高品质因子介电超表面以及对称破缺的导模场分布相结合，以增强材料的非线性极化率。通过在异质结构中设计一个共振带间跃迁，我们在1.57 μm波长下实现了1.6 nm V-1的二阶非线性张量元素。随后，我们利用在材料上图案化的超表面使其可被自由空间访问，并将有效非线性提升至约14 nm V-1。我们的概念验证实验表明，带间跃迁工程与超表面的结合能够在近红外到可见光谱范围内实现巨大的有效非线性。这解决了非线性光子学中材料和器件层面的限制，为紧凑高效的器件提供了一条可扩展的途径。</w:t>
      </w:r>
    </w:p>
    <w:p>
      <w:pPr>
        <w:spacing w:before="0" w:after="200" w:lineRule="auto" w:line="276"/>
      </w:pPr>
      <w:r>
        <w:rPr>
          <w:b/>
        </w:rPr>
        <w:t xml:space="preserve">Abstract (EN): </w:t>
      </w:r>
      <w:r>
        <w:t>Nonlinear frequency conversion underpins important technologies such as telecommunications and quantum computation; however, weak nonlinearities and architectures that resist miniaturization currently limit devices’ efficiency and widespread adoption. Here we combine a band-structure-engineered GaAs/AlGaAs multi-quantum-well heterostructure with a high-quality-factor dielectric metasurface and symmetry-broken guided-mode field profiles to enhance the material nonlinear susceptibility. By engineering a resonant interband transition in the heterostructure, we realize a second-order nonlinear tensor element of 1.6 nm V</w:t>
      </w:r>
      <w:r>
        <w:t xml:space="preserve"> </w:t>
      </w:r>
      <w:r>
        <w:t>−1</w:t>
      </w:r>
      <w:r>
        <w:t xml:space="preserve"> </w:t>
      </w:r>
      <w:r>
        <w:t>at 1.57 μm wavelength. We then make it free-space accessible and boost the effective nonlinearity to ~14 nm V</w:t>
      </w:r>
      <w:r>
        <w:t xml:space="preserve"> </w:t>
      </w:r>
      <w:r>
        <w:t>−1</w:t>
      </w:r>
      <w:r>
        <w:t xml:space="preserve"> </w:t>
      </w:r>
      <w:r>
        <w:t>using a metasurface patterned on the material. Our proof-of-concept experiment establishes that combining interband-transition engineering and metasurfaces enables giant effective nonlinearities in the near-infrared to visible spectrum. This addresses material and device-level constraints in nonlinear photonics, providing a scalable route to compact, efficient devices.</w:t>
      </w:r>
    </w:p>
    <w:p>
      <w:pPr>
        <w:spacing w:before="120" w:after="120"/>
      </w:pPr>
      <w:r>
        <w:rPr>
          <w:sz w:val="18"/>
        </w:rPr>
        <w:t>——————————————————————————————————————————————————————————————————————</w:t>
      </w:r>
    </w:p>
    <w:p>
      <w:pPr>
        <w:spacing w:before="160" w:after="40" w:line="240" w:lineRule="auto"/>
      </w:pPr>
      <w:r>
        <w:rPr>
          <w:b/>
        </w:rPr>
        <w:t xml:space="preserve">[1122] </w:t>
      </w:r>
      <w:hyperlink r:id="rId1933">
        <w:r>
          <w:rPr>
            <w:color w:val="1155CC"/>
            <w:u w:val="single"/>
          </w:rPr>
          <w:t>用于捕获和清除胃肠道微塑料的动态生物质微纳米纤维框架</w:t>
        </w:r>
      </w:hyperlink>
    </w:p>
    <w:p>
      <w:pPr>
        <w:spacing w:before="0" w:after="80"/>
      </w:pPr>
      <w:r>
        <w:rPr>
          <w:i/>
          <w:sz w:val="20"/>
        </w:rPr>
        <w:t>EN: Dynamic biomass micro–nanofibre framework for entrapment and clearance of gastrointestinal microplastics</w:t>
      </w:r>
    </w:p>
    <w:p>
      <w:pPr>
        <w:spacing w:before="0" w:after="120"/>
      </w:pPr>
      <w:r>
        <w:rPr>
          <w:b/>
        </w:rPr>
        <w:t xml:space="preserve">Source: </w:t>
      </w:r>
      <w:r>
        <w:t>Nature Nanotechnology</w:t>
      </w:r>
      <w:r>
        <w:t xml:space="preserve">    </w:t>
      </w:r>
      <w:r>
        <w:rPr>
          <w:b/>
        </w:rPr>
        <w:t xml:space="preserve">Pub date: </w:t>
      </w:r>
      <w:r>
        <w:t>2026-09-02 00:00:00+00:00</w:t>
      </w:r>
      <w:r>
        <w:t xml:space="preserve">    </w:t>
      </w:r>
      <w:r>
        <w:rPr>
          <w:b/>
        </w:rPr>
        <w:t xml:space="preserve">DOI: </w:t>
      </w:r>
      <w:hyperlink r:id="rId1934">
        <w:r>
          <w:rPr>
            <w:color w:val="1155CC"/>
            <w:u w:val="single"/>
          </w:rPr>
          <w:t>10.1038/s41565-026-02266-2</w:t>
        </w:r>
      </w:hyperlink>
    </w:p>
    <w:p>
      <w:pPr>
        <w:spacing w:before="0" w:after="120"/>
      </w:pPr>
      <w:r>
        <w:rPr>
          <w:b/>
        </w:rPr>
        <w:t xml:space="preserve">Notes: </w:t>
      </w:r>
      <w:r>
        <w:t>abstract_source=pubmed</w:t>
      </w:r>
    </w:p>
    <w:p>
      <w:pPr>
        <w:spacing w:before="0" w:after="80" w:lineRule="auto" w:line="276"/>
      </w:pPr>
      <w:r>
        <w:rPr>
          <w:b/>
        </w:rPr>
        <w:t xml:space="preserve">摘要（ZH）: </w:t>
      </w:r>
      <w:r>
        <w:t>微塑料正在渗入全球食物体系，并在其中系统性扩散，由于现有策略无法阻止其生物累积，构成了尚未解决的健康风险。我们设计了一种口服海藻酸盐-甲壳素微纳米纤维框架（Alg-Ch）作为一种pH响应清除剂，该框架通过冻干诱导的氢键作用以及海藻酸盐微纤维与甲壳素纳米纤维片（1:10比例）之间的物理缠结而形成。Alg-Ch主要通过两种机制捕获微塑料：在胃酸中通过质子化甲壳素纳米网络的静电吸附，以及在肠道pH下通过溶胀海藻酸盐的物理截留。它可捕获表面化学性质各异（聚苯乙烯、PS-COOH、PS-NH2）和组成不同（聚对苯二甲酸乙二醇酯、聚甲基丙烯酸甲酯）的500 nm球形微塑料，以及包括PS纤维、聚丙烯和聚乙烯在内的不规则碎片，在胃和肠中的捕获容量分别达到816.6 mg g-1和1114.5 mg g-1，并且在有食物存在时仍保持&gt;47%的功效。在小鼠体内，Alg-Ch在2小时内使结肠微塑料荧光降低约50%，并加速了粪便排泄。为期13周的Alg-Ch干预恢复了紧密连接蛋白ZO-1、occludin和claudin-5，降低了血清中白细胞介素-6、脂多糖、肿瘤坏死因子和白细胞介素-1β的水平，并促进了产短链脂肪酸菌属的恢复，未发现体重下降、器官毒性或组织病理学损伤的证据。这一生物相容性平台将机械隔离、屏障修复和微生物组康复统一起来，为缓解微塑料暴露提供了一种可扩展的策略</w:t>
      </w:r>
    </w:p>
    <w:p>
      <w:pPr>
        <w:spacing w:before="0" w:after="200" w:lineRule="auto" w:line="276"/>
      </w:pPr>
      <w:r>
        <w:rPr>
          <w:b/>
        </w:rPr>
        <w:t xml:space="preserve">Abstract (EN): </w:t>
      </w:r>
      <w:r>
        <w:t>Microplastics (MPs) are infiltrating global food systems, where they disseminate systemically, posing unmet health risks as current strategies fail to prevent bioaccumulation. We have engineered an oral alginate-chitin micro-nanofibre framework (Alg-Ch) as a pH-responsive scavenger, which was formed via lyophilization-induced hydrogen bonding and physical entanglement between alginate microfibres and chitin nanofibrous sheets (1:10 ratio). Alg-Ch captured MPs predominantly through two mechanisms: electrostatic adsorption onto a protonated chitin nanonetwork in gastric acid, and physical entrapment by swollen alginate at intestinal pH. It captured 500-nm spherical MPs of varying surface chemistry (polystyrene (PS), PS-COOH, PS-NH2) and composition (polyethylene terephthalate, polymethyl methacrylate), and irregular fragments including PS fibres, polypropylene, and polyethylene, achieving capacities of 816.6 mg g-1 (stomach) and 1114.5 mg g-1 (intestine), and retained &gt;47% efficacy with food. In mice, Alg-Ch reduced colonic MP fluorescence by ∼50% within 2 h and accelerated faecal elimination. A 13-week Alg-Ch intervention restored tight-junction proteins ZO-1, occludin and claudin-5, decreased serum levels of interleukin-6, lipopolysaccharide, tumour necrosis factor and interleukin-1β, and promoted recovery of short-chain fatty acid-producing genera, with no evidence of body-weight loss, organ toxicity or histopathological lesions. This biocompatible platform unifies mechanical sequestration, barrier repair and microbiome rehabilitation, offering a scalable strategy to mitigate the risks of ingested MPs and the global health burden of plastic pollution.</w:t>
      </w:r>
    </w:p>
    <w:p>
      <w:pPr>
        <w:spacing w:before="120" w:after="120"/>
      </w:pPr>
      <w:r>
        <w:rPr>
          <w:sz w:val="18"/>
        </w:rPr>
        <w:t>——————————————————————————————————————————————————————————————————————</w:t>
      </w:r>
    </w:p>
    <w:p>
      <w:pPr>
        <w:spacing w:before="160" w:after="40" w:line="240" w:lineRule="auto"/>
      </w:pPr>
      <w:r>
        <w:rPr>
          <w:b/>
        </w:rPr>
        <w:t xml:space="preserve">[1123] </w:t>
      </w:r>
      <w:hyperlink r:id="rId1935">
        <w:r>
          <w:rPr>
            <w:color w:val="1155CC"/>
            <w:u w:val="single"/>
          </w:rPr>
          <w:t>适应中的权力不对称</w:t>
        </w:r>
      </w:hyperlink>
    </w:p>
    <w:p>
      <w:pPr>
        <w:spacing w:before="0" w:after="80"/>
      </w:pPr>
      <w:r>
        <w:rPr>
          <w:i/>
          <w:sz w:val="20"/>
        </w:rPr>
        <w:t>EN: Power asymmetries in adaptation</w:t>
      </w:r>
    </w:p>
    <w:p>
      <w:pPr>
        <w:spacing w:before="0" w:after="120"/>
      </w:pPr>
      <w:r>
        <w:rPr>
          <w:b/>
        </w:rPr>
        <w:t xml:space="preserve">Source: </w:t>
      </w:r>
      <w:r>
        <w:t>Nature Climate Change</w:t>
      </w:r>
      <w:r>
        <w:t xml:space="preserve">    </w:t>
      </w:r>
      <w:r>
        <w:rPr>
          <w:b/>
        </w:rPr>
        <w:t xml:space="preserve">Pub date: </w:t>
      </w:r>
      <w:r>
        <w:t>2026-09-02 00:00:00+00:00</w:t>
      </w:r>
      <w:r>
        <w:t xml:space="preserve">    </w:t>
      </w:r>
      <w:r>
        <w:rPr>
          <w:b/>
        </w:rPr>
        <w:t xml:space="preserve">DOI: </w:t>
      </w:r>
      <w:hyperlink r:id="rId1936">
        <w:r>
          <w:rPr>
            <w:color w:val="1155CC"/>
            <w:u w:val="single"/>
          </w:rPr>
          <w:t>10.1038/s41558-026-02745-3</w:t>
        </w:r>
      </w:hyperlink>
    </w:p>
    <w:p>
      <w:pPr>
        <w:spacing w:before="0" w:after="120"/>
      </w:pPr>
      <w:r>
        <w:rPr>
          <w:b/>
        </w:rPr>
        <w:t xml:space="preserve">Notes: </w:t>
      </w:r>
      <w:r>
        <w:t>abstract_source=rss_nature</w:t>
      </w:r>
    </w:p>
    <w:p>
      <w:pPr>
        <w:spacing w:before="0" w:after="80" w:lineRule="auto" w:line="276"/>
      </w:pPr>
      <w:r>
        <w:rPr>
          <w:b/>
        </w:rPr>
        <w:t xml:space="preserve">摘要（ZH）: </w:t>
      </w:r>
      <w:r>
        <w:t>适应中的权力不对称</w:t>
      </w:r>
    </w:p>
    <w:p>
      <w:pPr>
        <w:spacing w:before="0" w:after="200" w:lineRule="auto" w:line="276"/>
      </w:pPr>
      <w:r>
        <w:rPr>
          <w:b/>
        </w:rPr>
        <w:t xml:space="preserve">Abstract (EN): </w:t>
      </w:r>
      <w:r>
        <w:t>Power asymmetries in adaptation</w:t>
      </w:r>
    </w:p>
    <w:p>
      <w:pPr>
        <w:spacing w:before="120" w:after="120"/>
      </w:pPr>
      <w:r>
        <w:rPr>
          <w:sz w:val="18"/>
        </w:rPr>
        <w:t>——————————————————————————————————————————————————————————————————————</w:t>
      </w:r>
    </w:p>
    <w:p>
      <w:pPr>
        <w:spacing w:before="160" w:after="40" w:line="240" w:lineRule="auto"/>
      </w:pPr>
      <w:r>
        <w:rPr>
          <w:b/>
        </w:rPr>
        <w:t xml:space="preserve">[1124] </w:t>
      </w:r>
      <w:hyperlink r:id="rId1937">
        <w:r>
          <w:rPr>
            <w:color w:val="1155CC"/>
            <w:u w:val="single"/>
          </w:rPr>
          <w:t>政策回报</w:t>
        </w:r>
      </w:hyperlink>
    </w:p>
    <w:p>
      <w:pPr>
        <w:spacing w:before="0" w:after="80"/>
      </w:pPr>
      <w:r>
        <w:rPr>
          <w:i/>
          <w:sz w:val="20"/>
        </w:rPr>
        <w:t>EN: Policy returns</w:t>
      </w:r>
    </w:p>
    <w:p>
      <w:pPr>
        <w:spacing w:before="0" w:after="120"/>
      </w:pPr>
      <w:r>
        <w:rPr>
          <w:b/>
        </w:rPr>
        <w:t xml:space="preserve">Source: </w:t>
      </w:r>
      <w:r>
        <w:t>Nature Climate Change</w:t>
      </w:r>
      <w:r>
        <w:t xml:space="preserve">    </w:t>
      </w:r>
      <w:r>
        <w:rPr>
          <w:b/>
        </w:rPr>
        <w:t xml:space="preserve">Pub date: </w:t>
      </w:r>
      <w:r>
        <w:t>2026-09-02 00:00:00+00:00</w:t>
      </w:r>
      <w:r>
        <w:t xml:space="preserve">    </w:t>
      </w:r>
      <w:r>
        <w:rPr>
          <w:b/>
        </w:rPr>
        <w:t xml:space="preserve">DOI: </w:t>
      </w:r>
      <w:hyperlink r:id="rId1938">
        <w:r>
          <w:rPr>
            <w:color w:val="1155CC"/>
            <w:u w:val="single"/>
          </w:rPr>
          <w:t>10.1038/s41558-026-02746-2</w:t>
        </w:r>
      </w:hyperlink>
    </w:p>
    <w:p>
      <w:pPr>
        <w:spacing w:before="0" w:after="120"/>
      </w:pPr>
      <w:r>
        <w:rPr>
          <w:b/>
        </w:rPr>
        <w:t xml:space="preserve">Notes: </w:t>
      </w:r>
      <w:r>
        <w:t>abstract_source=rss_nature</w:t>
      </w:r>
    </w:p>
    <w:p>
      <w:pPr>
        <w:spacing w:before="0" w:after="80" w:lineRule="auto" w:line="276"/>
      </w:pPr>
      <w:r>
        <w:rPr>
          <w:b/>
        </w:rPr>
        <w:t xml:space="preserve">摘要（ZH）: </w:t>
      </w:r>
      <w:r>
        <w:t>政策回报</w:t>
      </w:r>
    </w:p>
    <w:p>
      <w:pPr>
        <w:spacing w:before="0" w:after="200" w:lineRule="auto" w:line="276"/>
      </w:pPr>
      <w:r>
        <w:rPr>
          <w:b/>
        </w:rPr>
        <w:t xml:space="preserve">Abstract (EN): </w:t>
      </w:r>
      <w:r>
        <w:t>Policy returns</w:t>
      </w:r>
    </w:p>
    <w:p>
      <w:pPr>
        <w:spacing w:before="120" w:after="120"/>
      </w:pPr>
      <w:r>
        <w:rPr>
          <w:sz w:val="18"/>
        </w:rPr>
        <w:t>——————————————————————————————————————————————————————————————————————</w:t>
      </w:r>
    </w:p>
    <w:p>
      <w:pPr>
        <w:spacing w:before="160" w:after="40" w:line="240" w:lineRule="auto"/>
      </w:pPr>
      <w:r>
        <w:rPr>
          <w:b/>
        </w:rPr>
        <w:t xml:space="preserve">[1125] </w:t>
      </w:r>
      <w:hyperlink r:id="rId1939">
        <w:r>
          <w:rPr>
            <w:color w:val="1155CC"/>
            <w:u w:val="single"/>
          </w:rPr>
          <w:t>加拿大破纪录的野火</w:t>
        </w:r>
      </w:hyperlink>
    </w:p>
    <w:p>
      <w:pPr>
        <w:spacing w:before="0" w:after="80"/>
      </w:pPr>
      <w:r>
        <w:rPr>
          <w:i/>
          <w:sz w:val="20"/>
        </w:rPr>
        <w:t>EN: Record-breaking wildfires in Canada</w:t>
      </w:r>
    </w:p>
    <w:p>
      <w:pPr>
        <w:spacing w:before="0" w:after="120"/>
      </w:pPr>
      <w:r>
        <w:rPr>
          <w:b/>
        </w:rPr>
        <w:t xml:space="preserve">Source: </w:t>
      </w:r>
      <w:r>
        <w:t>Nature Climate Change</w:t>
      </w:r>
      <w:r>
        <w:t xml:space="preserve">    </w:t>
      </w:r>
      <w:r>
        <w:rPr>
          <w:b/>
        </w:rPr>
        <w:t xml:space="preserve">Pub date: </w:t>
      </w:r>
      <w:r>
        <w:t>2026-09-02 00:00:00+00:00</w:t>
      </w:r>
      <w:r>
        <w:t xml:space="preserve">    </w:t>
      </w:r>
      <w:r>
        <w:rPr>
          <w:b/>
        </w:rPr>
        <w:t xml:space="preserve">DOI: </w:t>
      </w:r>
      <w:hyperlink r:id="rId1940">
        <w:r>
          <w:rPr>
            <w:color w:val="1155CC"/>
            <w:u w:val="single"/>
          </w:rPr>
          <w:t>10.1038/s41558-026-02744-4</w:t>
        </w:r>
      </w:hyperlink>
    </w:p>
    <w:p>
      <w:pPr>
        <w:spacing w:before="0" w:after="120"/>
      </w:pPr>
      <w:r>
        <w:rPr>
          <w:b/>
        </w:rPr>
        <w:t xml:space="preserve">Notes: </w:t>
      </w:r>
      <w:r>
        <w:t>abstract_source=rss_nature</w:t>
      </w:r>
    </w:p>
    <w:p>
      <w:pPr>
        <w:spacing w:before="0" w:after="80" w:lineRule="auto" w:line="276"/>
      </w:pPr>
      <w:r>
        <w:rPr>
          <w:b/>
        </w:rPr>
        <w:t xml:space="preserve">摘要（ZH）: </w:t>
      </w:r>
      <w:r>
        <w:t>加拿大破纪录的野火</w:t>
      </w:r>
    </w:p>
    <w:p>
      <w:pPr>
        <w:spacing w:before="0" w:after="200" w:lineRule="auto" w:line="276"/>
      </w:pPr>
      <w:r>
        <w:rPr>
          <w:b/>
        </w:rPr>
        <w:t xml:space="preserve">Abstract (EN): </w:t>
      </w:r>
      <w:r>
        <w:t>Record-breaking wildfires in Canada</w:t>
      </w:r>
    </w:p>
    <w:p>
      <w:pPr>
        <w:spacing w:before="120" w:after="120"/>
      </w:pPr>
      <w:r>
        <w:rPr>
          <w:sz w:val="18"/>
        </w:rPr>
        <w:t>——————————————————————————————————————————————————————————————————————</w:t>
      </w:r>
    </w:p>
    <w:p>
      <w:pPr>
        <w:spacing w:before="160" w:after="40" w:line="240" w:lineRule="auto"/>
      </w:pPr>
      <w:r>
        <w:rPr>
          <w:b/>
        </w:rPr>
        <w:t xml:space="preserve">[1126] </w:t>
      </w:r>
      <w:hyperlink r:id="rId1941">
        <w:r>
          <w:rPr>
            <w:color w:val="1155CC"/>
            <w:u w:val="single"/>
          </w:rPr>
          <w:t>基础设施关联放大影响</w:t>
        </w:r>
      </w:hyperlink>
    </w:p>
    <w:p>
      <w:pPr>
        <w:spacing w:before="0" w:after="80"/>
      </w:pPr>
      <w:r>
        <w:rPr>
          <w:i/>
          <w:sz w:val="20"/>
        </w:rPr>
        <w:t>EN: Infrastructure links amplify impacts</w:t>
      </w:r>
    </w:p>
    <w:p>
      <w:pPr>
        <w:spacing w:before="0" w:after="120"/>
      </w:pPr>
      <w:r>
        <w:rPr>
          <w:b/>
        </w:rPr>
        <w:t xml:space="preserve">Source: </w:t>
      </w:r>
      <w:r>
        <w:t>Nature Climate Change</w:t>
      </w:r>
      <w:r>
        <w:t xml:space="preserve">    </w:t>
      </w:r>
      <w:r>
        <w:rPr>
          <w:b/>
        </w:rPr>
        <w:t xml:space="preserve">Pub date: </w:t>
      </w:r>
      <w:r>
        <w:t>2026-09-02 00:00:00+00:00</w:t>
      </w:r>
      <w:r>
        <w:t xml:space="preserve">    </w:t>
      </w:r>
      <w:r>
        <w:rPr>
          <w:b/>
        </w:rPr>
        <w:t xml:space="preserve">DOI: </w:t>
      </w:r>
      <w:hyperlink r:id="rId1942">
        <w:r>
          <w:rPr>
            <w:color w:val="1155CC"/>
            <w:u w:val="single"/>
          </w:rPr>
          <w:t>10.1038/s41558-026-02747-1</w:t>
        </w:r>
      </w:hyperlink>
    </w:p>
    <w:p>
      <w:pPr>
        <w:spacing w:before="0" w:after="120"/>
      </w:pPr>
      <w:r>
        <w:rPr>
          <w:b/>
        </w:rPr>
        <w:t xml:space="preserve">Notes: </w:t>
      </w:r>
      <w:r>
        <w:t>abstract_source=rss_nature</w:t>
      </w:r>
    </w:p>
    <w:p>
      <w:pPr>
        <w:spacing w:before="0" w:after="80" w:lineRule="auto" w:line="276"/>
      </w:pPr>
      <w:r>
        <w:rPr>
          <w:b/>
        </w:rPr>
        <w:t xml:space="preserve">摘要（ZH）: </w:t>
      </w:r>
      <w:r>
        <w:t>基础设施关联放大影响</w:t>
      </w:r>
    </w:p>
    <w:p>
      <w:pPr>
        <w:spacing w:before="0" w:after="200" w:lineRule="auto" w:line="276"/>
      </w:pPr>
      <w:r>
        <w:rPr>
          <w:b/>
        </w:rPr>
        <w:t xml:space="preserve">Abstract (EN): </w:t>
      </w:r>
      <w:r>
        <w:t>Infrastructure links amplify impacts</w:t>
      </w:r>
    </w:p>
    <w:p>
      <w:pPr>
        <w:spacing w:before="120" w:after="120"/>
      </w:pPr>
      <w:r>
        <w:rPr>
          <w:sz w:val="18"/>
        </w:rPr>
        <w:t>——————————————————————————————————————————————————————————————————————</w:t>
      </w:r>
    </w:p>
    <w:p>
      <w:pPr>
        <w:spacing w:before="160" w:after="40" w:line="240" w:lineRule="auto"/>
      </w:pPr>
      <w:r>
        <w:rPr>
          <w:b/>
        </w:rPr>
        <w:t xml:space="preserve">[1127] </w:t>
      </w:r>
      <w:hyperlink r:id="rId1943">
        <w:r>
          <w:rPr>
            <w:color w:val="1155CC"/>
            <w:u w:val="single"/>
          </w:rPr>
          <w:t>用耐热珊瑚恢复珊瑚礁</w:t>
        </w:r>
      </w:hyperlink>
    </w:p>
    <w:p>
      <w:pPr>
        <w:spacing w:before="0" w:after="80"/>
      </w:pPr>
      <w:r>
        <w:rPr>
          <w:i/>
          <w:sz w:val="20"/>
        </w:rPr>
        <w:t>EN: Restoring reefs with heat-tolerant corals</w:t>
      </w:r>
    </w:p>
    <w:p>
      <w:pPr>
        <w:spacing w:before="0" w:after="120"/>
      </w:pPr>
      <w:r>
        <w:rPr>
          <w:b/>
        </w:rPr>
        <w:t xml:space="preserve">Source: </w:t>
      </w:r>
      <w:r>
        <w:t>Nature Climate Change</w:t>
      </w:r>
      <w:r>
        <w:t xml:space="preserve">    </w:t>
      </w:r>
      <w:r>
        <w:rPr>
          <w:b/>
        </w:rPr>
        <w:t xml:space="preserve">Pub date: </w:t>
      </w:r>
      <w:r>
        <w:t>2026-09-02 00:00:00+00:00</w:t>
      </w:r>
      <w:r>
        <w:t xml:space="preserve">    </w:t>
      </w:r>
      <w:r>
        <w:rPr>
          <w:b/>
        </w:rPr>
        <w:t xml:space="preserve">DOI: </w:t>
      </w:r>
      <w:hyperlink r:id="rId1944">
        <w:r>
          <w:rPr>
            <w:color w:val="1155CC"/>
            <w:u w:val="single"/>
          </w:rPr>
          <w:t>10.1038/s41558-026-02721-x</w:t>
        </w:r>
      </w:hyperlink>
    </w:p>
    <w:p>
      <w:pPr>
        <w:spacing w:before="0" w:after="120"/>
      </w:pPr>
      <w:r>
        <w:rPr>
          <w:b/>
        </w:rPr>
        <w:t xml:space="preserve">Notes: </w:t>
      </w:r>
      <w:r>
        <w:t>abstract_source=rss_nature</w:t>
      </w:r>
    </w:p>
    <w:p>
      <w:pPr>
        <w:spacing w:before="0" w:after="80" w:lineRule="auto" w:line="276"/>
      </w:pPr>
      <w:r>
        <w:rPr>
          <w:b/>
        </w:rPr>
        <w:t xml:space="preserve">摘要（ZH）: </w:t>
      </w:r>
      <w:r>
        <w:t>在大堡礁遭受连续毁灭性白化事件重创之际，研究人员正致力于通过选育或改造具有更强耐热性的珊瑚来再生小片区域。</w:t>
      </w:r>
    </w:p>
    <w:p>
      <w:pPr>
        <w:spacing w:before="0" w:after="200" w:lineRule="auto" w:line="276"/>
      </w:pPr>
      <w:r>
        <w:rPr>
          <w:b/>
        </w:rPr>
        <w:t xml:space="preserve">Abstract (EN): </w:t>
      </w:r>
      <w:r>
        <w:t>As the Great Barrier Reef reels from successive devastating bleaching events, researchers are working to regenerate small areas with corals selected or manipulated for better heat tolerance.</w:t>
      </w:r>
    </w:p>
    <w:p>
      <w:pPr>
        <w:spacing w:before="120" w:after="120"/>
      </w:pPr>
      <w:r>
        <w:rPr>
          <w:sz w:val="18"/>
        </w:rPr>
        <w:t>——————————————————————————————————————————————————————————————————————</w:t>
      </w:r>
    </w:p>
    <w:p>
      <w:pPr>
        <w:spacing w:before="160" w:after="40" w:line="240" w:lineRule="auto"/>
      </w:pPr>
      <w:r>
        <w:rPr>
          <w:b/>
        </w:rPr>
        <w:t xml:space="preserve">[1128] </w:t>
      </w:r>
      <w:hyperlink r:id="rId1945">
        <w:r>
          <w:rPr>
            <w:color w:val="1155CC"/>
            <w:u w:val="single"/>
          </w:rPr>
          <w:t>应对生态新异性</w:t>
        </w:r>
      </w:hyperlink>
    </w:p>
    <w:p>
      <w:pPr>
        <w:spacing w:before="0" w:after="80"/>
      </w:pPr>
      <w:r>
        <w:rPr>
          <w:i/>
          <w:sz w:val="20"/>
        </w:rPr>
        <w:t>EN: Responding to ecological novelty</w:t>
      </w:r>
    </w:p>
    <w:p>
      <w:pPr>
        <w:spacing w:before="0" w:after="120"/>
      </w:pPr>
      <w:r>
        <w:rPr>
          <w:b/>
        </w:rPr>
        <w:t xml:space="preserve">Source: </w:t>
      </w:r>
      <w:r>
        <w:t>Nature Climate Change</w:t>
      </w:r>
      <w:r>
        <w:t xml:space="preserve">    </w:t>
      </w:r>
      <w:r>
        <w:rPr>
          <w:b/>
        </w:rPr>
        <w:t xml:space="preserve">Pub date: </w:t>
      </w:r>
      <w:r>
        <w:t>2026-09-02 00:00:00+00:00</w:t>
      </w:r>
      <w:r>
        <w:t xml:space="preserve">    </w:t>
      </w:r>
      <w:r>
        <w:rPr>
          <w:b/>
        </w:rPr>
        <w:t xml:space="preserve">DOI: </w:t>
      </w:r>
      <w:hyperlink r:id="rId1946">
        <w:r>
          <w:rPr>
            <w:color w:val="1155CC"/>
            <w:u w:val="single"/>
          </w:rPr>
          <w:t>10.1038/s41558-026-02742-6</w:t>
        </w:r>
      </w:hyperlink>
    </w:p>
    <w:p>
      <w:pPr>
        <w:spacing w:before="0" w:after="120"/>
      </w:pPr>
      <w:r>
        <w:rPr>
          <w:b/>
        </w:rPr>
        <w:t xml:space="preserve">Notes: </w:t>
      </w:r>
      <w:r>
        <w:t>abstract_source=rss_nature</w:t>
      </w:r>
    </w:p>
    <w:p>
      <w:pPr>
        <w:spacing w:before="0" w:after="80" w:lineRule="auto" w:line="276"/>
      </w:pPr>
      <w:r>
        <w:rPr>
          <w:b/>
        </w:rPr>
        <w:t xml:space="preserve">摘要（ZH）: </w:t>
      </w:r>
      <w:r>
        <w:t>气候变化正使世界进入新的生态状态，引发了关于人类和物种将如何应对这种新变化的讨论，包括减缓与适应最终如何导致进一步的变化。</w:t>
      </w:r>
    </w:p>
    <w:p>
      <w:pPr>
        <w:spacing w:before="0" w:after="200" w:lineRule="auto" w:line="276"/>
      </w:pPr>
      <w:r>
        <w:rPr>
          <w:b/>
        </w:rPr>
        <w:t xml:space="preserve">Abstract (EN): </w:t>
      </w:r>
      <w:r>
        <w:t>Climate change is shifting the world into new ecological states, prompting discussions of how humans and species will deal with this novelty, including how mitigation and adaptation will ultimately lead to further change.</w:t>
      </w:r>
    </w:p>
    <w:p>
      <w:pPr>
        <w:spacing w:before="120" w:after="120"/>
      </w:pPr>
      <w:r>
        <w:rPr>
          <w:sz w:val="18"/>
        </w:rPr>
        <w:t>——————————————————————————————————————————————————————————————————————</w:t>
      </w:r>
    </w:p>
    <w:p>
      <w:pPr>
        <w:spacing w:before="160" w:after="40" w:line="240" w:lineRule="auto"/>
      </w:pPr>
      <w:r>
        <w:rPr>
          <w:b/>
        </w:rPr>
        <w:t xml:space="preserve">[1129] </w:t>
      </w:r>
      <w:hyperlink r:id="rId1947">
        <w:r>
          <w:rPr>
            <w:color w:val="1155CC"/>
            <w:u w:val="single"/>
          </w:rPr>
          <w:t>归因于气候变化的欧洲熊蜂栖息地适宜性下降</w:t>
        </w:r>
      </w:hyperlink>
    </w:p>
    <w:p>
      <w:pPr>
        <w:spacing w:before="0" w:after="80"/>
      </w:pPr>
      <w:r>
        <w:rPr>
          <w:i/>
          <w:sz w:val="20"/>
        </w:rPr>
        <w:t>EN: Declines in European bumblebee habitat suitability attributable to climate change</w:t>
      </w:r>
    </w:p>
    <w:p>
      <w:pPr>
        <w:spacing w:before="0" w:after="120"/>
      </w:pPr>
      <w:r>
        <w:rPr>
          <w:b/>
        </w:rPr>
        <w:t xml:space="preserve">Source: </w:t>
      </w:r>
      <w:r>
        <w:t>Nature Climate Change</w:t>
      </w:r>
      <w:r>
        <w:t xml:space="preserve">    </w:t>
      </w:r>
      <w:r>
        <w:rPr>
          <w:b/>
        </w:rPr>
        <w:t xml:space="preserve">Pub date: </w:t>
      </w:r>
      <w:r>
        <w:t>2026-09-02 00:00:00+00:00</w:t>
      </w:r>
      <w:r>
        <w:t xml:space="preserve">    </w:t>
      </w:r>
      <w:r>
        <w:rPr>
          <w:b/>
        </w:rPr>
        <w:t xml:space="preserve">DOI: </w:t>
      </w:r>
      <w:hyperlink r:id="rId1948">
        <w:r>
          <w:rPr>
            <w:color w:val="1155CC"/>
            <w:u w:val="single"/>
          </w:rPr>
          <w:t>10.1038/s41558-026-02734-6</w:t>
        </w:r>
      </w:hyperlink>
    </w:p>
    <w:p>
      <w:pPr>
        <w:spacing w:before="0" w:after="120"/>
      </w:pPr>
      <w:r>
        <w:rPr>
          <w:b/>
        </w:rPr>
        <w:t xml:space="preserve">Notes: </w:t>
      </w:r>
      <w:r>
        <w:t>abstract_source=openalex</w:t>
      </w:r>
    </w:p>
    <w:p>
      <w:pPr>
        <w:spacing w:before="0" w:after="80" w:lineRule="auto" w:line="276"/>
      </w:pPr>
      <w:r>
        <w:rPr>
          <w:b/>
        </w:rPr>
        <w:t xml:space="preserve">摘要（ZH）: </w:t>
      </w:r>
      <w:r>
        <w:t>气候变化日益被视为昆虫传粉者种群 decline 的原因之一，而这些传粉者提供着关键的生态系统服务。将其影响与其他同时发生的环境压力区分开来仍然具有挑战性，但对于制定保护策略和减缓生物多样性损失至关重要。在此，我们比较了1901年至2019年间在事实情景与反事实情景下欧洲熊蜂物种生态适宜区域的预测，以评估气候变化是否导致了适宜栖息地的丧失。在整个欧洲，气候变化使群落层面的生态适宜性平均降低5%，局部地区高达19%，其中南部和中部低地地区下降尤为显著。相比之下，在阿尔卑斯和北方地区，较高海拔处栖息地适宜性的增加部分抵消了较低纬度和较低海拔处的损失，导致净变化极小。我们的结果表明，气候变化正在重塑这些关键传粉者的生态适宜区域，并对欧洲野生动物构成普遍压力。作者通过事实情景与反事实情景来分离气候变化在欧洲熊蜂适宜栖息地衰退（1901–2019年）中的作用。他们发现平均减少5%，局部地区高达19%，高海拔地区的增加部分抵消了损失。</w:t>
      </w:r>
    </w:p>
    <w:p>
      <w:pPr>
        <w:spacing w:before="0" w:after="200" w:lineRule="auto" w:line="276"/>
      </w:pPr>
      <w:r>
        <w:rPr>
          <w:b/>
        </w:rPr>
        <w:t xml:space="preserve">Abstract (EN): </w:t>
      </w:r>
      <w:r>
        <w:t>Climate change is increasingly implicated in the decline of insect pollinator populations, which provide critical ecosystem services. Isolating its contribution from other co-occurring environmental stresses remains challenging yet crucial for informing conservation strategies and mitigating biodiversity losses. Here we compare predictions of ecologically suitable areas for European bumblebee species from 1901 to 2019 under factual and counterfactual scenarios to evaluate whether climate change has led to a loss of suitable habitat. Community-level ecological suitability was reduced by climate change across Europe by 5% on average and up to 19% locally, with pronounced declines in southern and lowland central regions. By contrast, in the Alpine and Boreal regions, habitat suitability gains at higher altitudes partially offset losses at lower latitudes and altitudes, resulting in minimal net changes. Our results demonstrate that climate change is reshaping the ecologically suitable areas for these key pollinators and represents a pervasive pressure on European wildlife. The authors consider factual and counterfactual scenarios to isolate the role of climate change in the decline of suitable habitats for European bumblebees (1901–2019). They show reductions of 5% on average, and up to 19% locally, with high-altitude gains partially offsetting losses.</w:t>
      </w:r>
    </w:p>
    <w:p>
      <w:pPr>
        <w:spacing w:before="120" w:after="120"/>
      </w:pPr>
      <w:r>
        <w:rPr>
          <w:sz w:val="18"/>
        </w:rPr>
        <w:t>——————————————————————————————————————————————————————————————————————</w:t>
      </w:r>
    </w:p>
    <w:p>
      <w:pPr>
        <w:spacing w:before="160" w:after="40" w:line="240" w:lineRule="auto"/>
      </w:pPr>
      <w:r>
        <w:rPr>
          <w:b/>
        </w:rPr>
        <w:t xml:space="preserve">[1130] </w:t>
      </w:r>
      <w:hyperlink r:id="rId1949">
        <w:r>
          <w:rPr>
            <w:color w:val="1155CC"/>
            <w:u w:val="single"/>
          </w:rPr>
          <w:t>作者更正:内源性大麻素通过逆行增益控制促进奖赏参与</w:t>
        </w:r>
      </w:hyperlink>
    </w:p>
    <w:p>
      <w:pPr>
        <w:spacing w:before="0" w:after="80"/>
      </w:pPr>
      <w:r>
        <w:rPr>
          <w:i/>
          <w:sz w:val="20"/>
        </w:rPr>
        <w:t>EN: Author Correction: Endocannabinoids facilitate reward engagement through retrograde gain control</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50">
        <w:r>
          <w:rPr>
            <w:color w:val="1155CC"/>
            <w:u w:val="single"/>
          </w:rPr>
          <w:t>10.1038/s41586-026-11104-3</w:t>
        </w:r>
      </w:hyperlink>
    </w:p>
    <w:p>
      <w:pPr>
        <w:spacing w:before="0" w:after="120"/>
      </w:pPr>
      <w:r>
        <w:rPr>
          <w:b/>
        </w:rPr>
        <w:t xml:space="preserve">Notes: </w:t>
      </w:r>
      <w:r>
        <w:t>abstract_source=rss_nature</w:t>
      </w:r>
    </w:p>
    <w:p>
      <w:pPr>
        <w:spacing w:before="0" w:after="80" w:lineRule="auto" w:line="276"/>
      </w:pPr>
      <w:r>
        <w:rPr>
          <w:b/>
        </w:rPr>
        <w:t xml:space="preserve">摘要（ZH）: </w:t>
      </w:r>
      <w:r>
        <w:t>作者更正：内源性大麻素通过逆行增益控制促进奖赏参与</w:t>
      </w:r>
    </w:p>
    <w:p>
      <w:pPr>
        <w:spacing w:before="0" w:after="200" w:lineRule="auto" w:line="276"/>
      </w:pPr>
      <w:r>
        <w:rPr>
          <w:b/>
        </w:rPr>
        <w:t xml:space="preserve">Abstract (EN): </w:t>
      </w:r>
      <w:r>
        <w:t>Author Correction: Endocannabinoids facilitate reward engagement through retrograde gain control</w:t>
      </w:r>
    </w:p>
    <w:p>
      <w:pPr>
        <w:spacing w:before="120" w:after="120"/>
      </w:pPr>
      <w:r>
        <w:rPr>
          <w:sz w:val="18"/>
        </w:rPr>
        <w:t>——————————————————————————————————————————————————————————————————————</w:t>
      </w:r>
    </w:p>
    <w:p>
      <w:pPr>
        <w:spacing w:before="160" w:after="40" w:line="240" w:lineRule="auto"/>
      </w:pPr>
      <w:r>
        <w:rPr>
          <w:b/>
        </w:rPr>
        <w:t xml:space="preserve">[1131] </w:t>
      </w:r>
      <w:hyperlink r:id="rId1951">
        <w:r>
          <w:rPr>
            <w:color w:val="1155CC"/>
            <w:u w:val="single"/>
          </w:rPr>
          <w:t>作者更正:急性淋巴细胞白血病中的信号阈值与B细胞阴性选择</w:t>
        </w:r>
      </w:hyperlink>
    </w:p>
    <w:p>
      <w:pPr>
        <w:spacing w:before="0" w:after="80"/>
      </w:pPr>
      <w:r>
        <w:rPr>
          <w:i/>
          <w:sz w:val="20"/>
        </w:rPr>
        <w:t>EN: Author Correction: Signalling thresholds and negative B-cell selection in acute lymphoblastic leukaemia</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52">
        <w:r>
          <w:rPr>
            <w:color w:val="1155CC"/>
            <w:u w:val="single"/>
          </w:rPr>
          <w:t>10.1038/s41586-026-11080-8</w:t>
        </w:r>
      </w:hyperlink>
    </w:p>
    <w:p>
      <w:pPr>
        <w:spacing w:before="0" w:after="120"/>
      </w:pPr>
      <w:r>
        <w:rPr>
          <w:b/>
        </w:rPr>
        <w:t xml:space="preserve">Notes: </w:t>
      </w:r>
      <w:r>
        <w:t>abstract_source=rss_nature</w:t>
      </w:r>
    </w:p>
    <w:p>
      <w:pPr>
        <w:spacing w:before="0" w:after="80" w:lineRule="auto" w:line="276"/>
      </w:pPr>
      <w:r>
        <w:rPr>
          <w:b/>
        </w:rPr>
        <w:t xml:space="preserve">摘要（ZH）: </w:t>
      </w:r>
      <w:r>
        <w:t>作者更正：急性淋巴细胞白血病中的信号阈值与B细胞阴性选择</w:t>
      </w:r>
    </w:p>
    <w:p>
      <w:pPr>
        <w:spacing w:before="0" w:after="200" w:lineRule="auto" w:line="276"/>
      </w:pPr>
      <w:r>
        <w:rPr>
          <w:b/>
        </w:rPr>
        <w:t xml:space="preserve">Abstract (EN): </w:t>
      </w:r>
      <w:r>
        <w:t>Author Correction: Signalling thresholds and negative B-cell selection in acute lymphoblastic leukaemia</w:t>
      </w:r>
    </w:p>
    <w:p>
      <w:pPr>
        <w:spacing w:before="120" w:after="120"/>
      </w:pPr>
      <w:r>
        <w:rPr>
          <w:sz w:val="18"/>
        </w:rPr>
        <w:t>——————————————————————————————————————————————————————————————————————</w:t>
      </w:r>
    </w:p>
    <w:p>
      <w:pPr>
        <w:spacing w:before="160" w:after="40" w:line="240" w:lineRule="auto"/>
      </w:pPr>
      <w:r>
        <w:rPr>
          <w:b/>
        </w:rPr>
        <w:t xml:space="preserve">[1132] </w:t>
      </w:r>
      <w:hyperlink r:id="rId1953">
        <w:r>
          <w:rPr>
            <w:color w:val="1155CC"/>
            <w:u w:val="single"/>
          </w:rPr>
          <w:t>撤稿声明:变暖加速全球干旱严重程度</w:t>
        </w:r>
      </w:hyperlink>
    </w:p>
    <w:p>
      <w:pPr>
        <w:spacing w:before="0" w:after="80"/>
      </w:pPr>
      <w:r>
        <w:rPr>
          <w:i/>
          <w:sz w:val="20"/>
        </w:rPr>
        <w:t>EN: Retraction Note: Warming accelerates global drought severity</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54">
        <w:r>
          <w:rPr>
            <w:color w:val="1155CC"/>
            <w:u w:val="single"/>
          </w:rPr>
          <w:t>10.1038/s41586-026-11027-z</w:t>
        </w:r>
      </w:hyperlink>
    </w:p>
    <w:p>
      <w:pPr>
        <w:spacing w:before="0" w:after="120"/>
      </w:pPr>
      <w:r>
        <w:rPr>
          <w:b/>
        </w:rPr>
        <w:t xml:space="preserve">Notes: </w:t>
      </w:r>
      <w:r>
        <w:t>abstract_source=openalex</w:t>
      </w:r>
    </w:p>
    <w:p>
      <w:pPr>
        <w:spacing w:before="0" w:after="80" w:lineRule="auto" w:line="276"/>
      </w:pPr>
      <w:r>
        <w:rPr>
          <w:b/>
        </w:rPr>
        <w:t xml:space="preserve">摘要（ZH）: </w:t>
      </w:r>
      <w:r>
        <w:t>作者在被告知论文中存在错误并独立发现进一步问题后，撤回了这篇文章。首先，在计算整个研究的平均值时未使用面积加权的网格单元，这一错误影响了正文、图1b以及扩展数据图4和图8中的数值。其次，扩展数据图4中无意使用了基于GLEAM v3而非GLEAM4的结果：两个数据集在1981–2021年期间大体一致，但基于GLEAM4的面积加权导致2022年受干旱影响的面积有所减少。第三，底层代码在计算区域受干旱影响面积时包含一个时间步进错误，即在为1981–2017年和2018–2022年两个时期对数据进行子集划分时，日期未被正确解析。这种时间步的分类错误影响了扩展数据图8h中的区域平均值。最后，原文未清楚说明计算中如何应用掩膜。为澄清这一点：干旱区域掩膜（定义为年平均降水量 &lt; 180 mm的区域）应用于图1a中的SPEI时间序列，但未应用于图1b（扩展数据图4和图8同样存在这一区别）。采用掩膜方法的理由是，在干旱地区，极端负值的SPEI很常见（与零降水相关），若将其纳入计算，会产生不切实际的过低平均值。由于图1b中的百分比值对负异常值不敏感，因此未在该处应用掩膜。尽管作者愿意更正和澄清上述问题，但</w:t>
      </w:r>
    </w:p>
    <w:p>
      <w:pPr>
        <w:spacing w:before="0" w:after="200" w:lineRule="auto" w:line="276"/>
      </w:pPr>
      <w:r>
        <w:rPr>
          <w:b/>
        </w:rPr>
        <w:t xml:space="preserve">Abstract (EN): </w:t>
      </w:r>
      <w:r>
        <w:t>The authors have retracted this article after being notified of errors in the paper and independently identifying further issues. First, area-weighted grid cells were not used when calculating study-wide averages, an error that affected numerical values in the main text, Fig. 1b, and Extended Data Figs. 4 and 8. Second, results based on GLEAM v3 instead of GLEAM4 were inadvertently used in Extended Data Fig. 4: the two datasets are largely consistent for 1981–2021, but the area weighting based on GLEAM4 resulted in a reduced drought-affected area in 2022. Third, the underlying code included a timestepping error in the computation of regional drought-affected areas, meaning that dates were not properly parsed when subsetting the data for the 1981–2017 and 2018–2022 periods. This misclassification of time steps affected the regional averages in Extended Data Fig. 8h. Finally, it was not clearly explained how masking was applied in calculations. To clarify this point: the arid regions mask (defined as areas with mean annual precipitation &lt; 180 mm) was applied to the SPEI time series in Fig. 1a but not Fig. 1b (the same distinction applies to Extended Data Figs. 4 and 8). The rationale for the masking approach was that in dry regions, extremely negative SPEI is common (associated with zero precipitation), and it was judged that their inclusion would have generated unrealistically low average values. Because the % values in Fig. 1b are insensitive to negative outliers, the mask was not applied there. Although the authors are willing to correct and clarify the above matters, given the scope of the necessary corrections and the need for additional revision and peer review, the authors have decided to retract the paper and to resubmit a fully revised and corrected version for peer review. All authors agree with the retraction.</w:t>
      </w:r>
    </w:p>
    <w:p>
      <w:pPr>
        <w:spacing w:before="120" w:after="120"/>
      </w:pPr>
      <w:r>
        <w:rPr>
          <w:sz w:val="18"/>
        </w:rPr>
        <w:t>——————————————————————————————————————————————————————————————————————</w:t>
      </w:r>
    </w:p>
    <w:p>
      <w:pPr>
        <w:spacing w:before="160" w:after="40" w:line="240" w:lineRule="auto"/>
      </w:pPr>
      <w:r>
        <w:rPr>
          <w:b/>
        </w:rPr>
        <w:t xml:space="preserve">[1133] </w:t>
      </w:r>
      <w:hyperlink r:id="rId1955">
        <w:r>
          <w:rPr>
            <w:color w:val="1155CC"/>
            <w:u w:val="single"/>
          </w:rPr>
          <w:t>音频长文:修复受损DNA能延长寿命吗?</w:t>
        </w:r>
      </w:hyperlink>
    </w:p>
    <w:p>
      <w:pPr>
        <w:spacing w:before="0" w:after="80"/>
      </w:pPr>
      <w:r>
        <w:rPr>
          <w:i/>
          <w:sz w:val="20"/>
        </w:rPr>
        <w:t>EN: Audio long read: Could mending damaged DNA prolong life?</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56">
        <w:r>
          <w:rPr>
            <w:color w:val="1155CC"/>
            <w:u w:val="single"/>
          </w:rPr>
          <w:t>10.1038/d41586-026-02762-4</w:t>
        </w:r>
      </w:hyperlink>
    </w:p>
    <w:p>
      <w:pPr>
        <w:spacing w:before="0" w:after="120"/>
      </w:pPr>
      <w:r>
        <w:rPr>
          <w:b/>
        </w:rPr>
        <w:t xml:space="preserve">Notes: </w:t>
      </w:r>
      <w:r>
        <w:t>abstract_source=rss_nature</w:t>
      </w:r>
    </w:p>
    <w:p>
      <w:pPr>
        <w:spacing w:before="0" w:after="80" w:lineRule="auto" w:line="276"/>
      </w:pPr>
      <w:r>
        <w:rPr>
          <w:b/>
        </w:rPr>
        <w:t xml:space="preserve">摘要（ZH）: </w:t>
      </w:r>
      <w:r>
        <w:t>研究人员正在寻找增强DNA修复的方法，希望以此让人们更长久地保持健康。</w:t>
      </w:r>
    </w:p>
    <w:p>
      <w:pPr>
        <w:spacing w:before="0" w:after="200" w:lineRule="auto" w:line="276"/>
      </w:pPr>
      <w:r>
        <w:rPr>
          <w:b/>
        </w:rPr>
        <w:t xml:space="preserve">Abstract (EN): </w:t>
      </w:r>
      <w:r>
        <w:t>Researchers are hunting for ways to enhance DNA repair with the hopes that this will keep people healthier for longer.</w:t>
      </w:r>
    </w:p>
    <w:p>
      <w:pPr>
        <w:spacing w:before="120" w:after="120"/>
      </w:pPr>
      <w:r>
        <w:rPr>
          <w:sz w:val="18"/>
        </w:rPr>
        <w:t>——————————————————————————————————————————————————————————————————————</w:t>
      </w:r>
    </w:p>
    <w:p>
      <w:pPr>
        <w:spacing w:before="160" w:after="40" w:line="240" w:lineRule="auto"/>
      </w:pPr>
      <w:r>
        <w:rPr>
          <w:b/>
        </w:rPr>
        <w:t xml:space="preserve">[1134] </w:t>
      </w:r>
      <w:hyperlink r:id="rId1957">
        <w:r>
          <w:rPr>
            <w:color w:val="1155CC"/>
            <w:u w:val="single"/>
          </w:rPr>
          <w:t>功能性嵌合mRNA在哺乳动物免疫中编码蛋白质</w:t>
        </w:r>
      </w:hyperlink>
    </w:p>
    <w:p>
      <w:pPr>
        <w:spacing w:before="0" w:after="80"/>
      </w:pPr>
      <w:r>
        <w:rPr>
          <w:i/>
          <w:sz w:val="20"/>
        </w:rPr>
        <w:t>EN: Functional chimeric mRNAs encode proteins in mammalian immunity</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58">
        <w:r>
          <w:rPr>
            <w:color w:val="1155CC"/>
            <w:u w:val="single"/>
          </w:rPr>
          <w:t>10.1038/s41586-026-10982-x</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哺乳动物的单个mRNA和蛋白质通常被认为来源于单个基因组基因座，同工型多样性通过前体mRNA的</w:t>
      </w:r>
      <w:r>
        <w:t xml:space="preserve"> </w:t>
      </w:r>
      <w:r>
        <w:t>cis</w:t>
      </w:r>
      <w:r>
        <w:t xml:space="preserve"> </w:t>
      </w:r>
      <w:r>
        <w:t>剪接产生。远距离基因的mRNA能否发生</w:t>
      </w:r>
      <w:r>
        <w:t xml:space="preserve"> </w:t>
      </w:r>
      <w:r>
        <w:t>trans</w:t>
      </w:r>
      <w:r>
        <w:t xml:space="preserve"> </w:t>
      </w:r>
      <w:r>
        <w:t>剪接以产生具有功能意义的嵌合转录本尚不清楚。在此，我们开发了一条结合长读长直接RNA测序与非靶向及靶向验证的流程，以鉴定巨噬细胞中的嵌合转录本。染色质构象捕获研究揭示，炎症会诱导染色体间DNA相互作用，使亲本基因彼此邻近以促进嵌合mRNA的形成。值得注意的是，我们鉴定了一种蛋白质编码嵌合mRNA，代表孔形成蛋白gasdermin D（GSDMD）</w:t>
      </w:r>
      <w:r>
        <w:t xml:space="preserve"> </w:t>
      </w:r>
      <w:r>
        <w:t>1,2</w:t>
      </w:r>
      <w:r>
        <w:t xml:space="preserve"> </w:t>
      </w:r>
      <w:r>
        <w:t>与从</w:t>
      </w:r>
      <w:r>
        <w:t xml:space="preserve"> </w:t>
      </w:r>
      <w:r>
        <w:t>Tmem106a</w:t>
      </w:r>
      <w:r>
        <w:t xml:space="preserve"> </w:t>
      </w:r>
      <w:r>
        <w:t>移码翻译的C末端结构域的融合（小鼠中的</w:t>
      </w:r>
      <w:r>
        <w:t xml:space="preserve"> </w:t>
      </w:r>
      <w:r>
        <w:t>Gsdmd</w:t>
      </w:r>
      <w:r>
        <w:t xml:space="preserve"> </w:t>
      </w:r>
      <w:r>
        <w:t>-</w:t>
      </w:r>
      <w:r>
        <w:t>Tmem106a</w:t>
      </w:r>
      <w:r>
        <w:t xml:space="preserve"> </w:t>
      </w:r>
      <w:r>
        <w:t>）。我们发现炎症小体启动会上调</w:t>
      </w:r>
      <w:r>
        <w:t xml:space="preserve"> </w:t>
      </w:r>
      <w:r>
        <w:t>Gsdmd</w:t>
      </w:r>
      <w:r>
        <w:t xml:space="preserve"> </w:t>
      </w:r>
      <w:r>
        <w:t>-</w:t>
      </w:r>
      <w:r>
        <w:t>Tmem106a</w:t>
      </w:r>
      <w:r>
        <w:t xml:space="preserve"> </w:t>
      </w:r>
      <w:r>
        <w:t>，其蛋白定位于细胞膜。炎症小体激活后，GSDMD–TMEM106A直接与经典GSDMD N末端相互作用，加速并增强孔形成和IL-1β释放。最后，我们表明GSDMD–TMEM106A在宿主防御与免疫病理之间取得平衡</w:t>
      </w:r>
    </w:p>
    <w:p>
      <w:pPr>
        <w:spacing w:before="0" w:after="200" w:lineRule="auto" w:line="276"/>
      </w:pPr>
      <w:r>
        <w:rPr>
          <w:b/>
        </w:rPr>
        <w:t xml:space="preserve">Abstract (EN): </w:t>
      </w:r>
      <w:r>
        <w:t>Individual mammalian mRNAs and proteins are typically believed to originate from single genomic loci, with isoform diversity arising through</w:t>
      </w:r>
      <w:r>
        <w:t xml:space="preserve"> </w:t>
      </w:r>
      <w:r>
        <w:t>cis</w:t>
      </w:r>
      <w:r>
        <w:t xml:space="preserve"> </w:t>
      </w:r>
      <w:r>
        <w:t>-splicing of pre-mRNA. Whether mRNA from distant genes can undergo</w:t>
      </w:r>
      <w:r>
        <w:t xml:space="preserve"> </w:t>
      </w:r>
      <w:r>
        <w:t>trans</w:t>
      </w:r>
      <w:r>
        <w:t xml:space="preserve"> </w:t>
      </w:r>
      <w:r>
        <w:t>-splicing to generate functionally relevant chimeric transcripts has remained unclear. Here we develop a pipeline combining long-read direct RNA sequencing with non-targeted and targeted validation to identify chimeric transcripts in macrophages. Chromatin conformation capture studies reveal that inflammation induces interchromosomal DNA interactions, positioning parent genes proximally to facilitate the formation of chimeric mRNA. Notably, we identify a protein-coding chimeric mRNA representing a fusion between the pore-forming protein gasdermin D (GSDMD)</w:t>
      </w:r>
      <w:r>
        <w:t xml:space="preserve"> </w:t>
      </w:r>
      <w:r>
        <w:t>1,2</w:t>
      </w:r>
      <w:r>
        <w:t xml:space="preserve"> </w:t>
      </w:r>
      <w:r>
        <w:t>and a C-terminal domain translated out of frame from</w:t>
      </w:r>
      <w:r>
        <w:t xml:space="preserve"> </w:t>
      </w:r>
      <w:r>
        <w:t>Tmem106a</w:t>
      </w:r>
      <w:r>
        <w:t xml:space="preserve"> </w:t>
      </w:r>
      <w:r>
        <w:t>(</w:t>
      </w:r>
      <w:r>
        <w:t xml:space="preserve"> </w:t>
      </w:r>
      <w:r>
        <w:t>Gsdmd</w:t>
      </w:r>
      <w:r>
        <w:t xml:space="preserve"> </w:t>
      </w:r>
      <w:r>
        <w:t>-</w:t>
      </w:r>
      <w:r>
        <w:t>Tmem106a</w:t>
      </w:r>
      <w:r>
        <w:t xml:space="preserve"> </w:t>
      </w:r>
      <w:r>
        <w:t>) in mice. We show that inflammasome priming upregulates</w:t>
      </w:r>
      <w:r>
        <w:t xml:space="preserve"> </w:t>
      </w:r>
      <w:r>
        <w:t>Gsdmd</w:t>
      </w:r>
      <w:r>
        <w:t xml:space="preserve"> </w:t>
      </w:r>
      <w:r>
        <w:t>-</w:t>
      </w:r>
      <w:r>
        <w:t>Tmem106a</w:t>
      </w:r>
      <w:r>
        <w:t xml:space="preserve"> </w:t>
      </w:r>
      <w:r>
        <w:t>, with the protein localizing to the plasma membrane. After activation of the inflammasome, GSDMD–TMEM106A directly interacts with canonical GSDMD N termini to accelerate and enhance pore formation and IL-1β release. Finally, we show that GSDMD–TMEM106A balances host defence and immunopathology in vivo: its loss protects against lethal sepsis but compromises antibacterial defence, whereas overexpression enhances host protection while increasing sepsis lethality. We establish that protein-coding chimeric mRNAs formed by regulated transcript fusion events are operative during inflammation and immunity.</w:t>
      </w:r>
    </w:p>
    <w:p>
      <w:pPr>
        <w:spacing w:before="120" w:after="120"/>
      </w:pPr>
      <w:r>
        <w:rPr>
          <w:sz w:val="18"/>
        </w:rPr>
        <w:t>——————————————————————————————————————————————————————————————————————</w:t>
      </w:r>
    </w:p>
    <w:p>
      <w:pPr>
        <w:spacing w:before="160" w:after="40" w:line="240" w:lineRule="auto"/>
      </w:pPr>
      <w:r>
        <w:rPr>
          <w:b/>
        </w:rPr>
        <w:t xml:space="preserve">[1135] </w:t>
      </w:r>
      <w:hyperlink r:id="rId1959">
        <w:r>
          <w:rPr>
            <w:color w:val="1155CC"/>
            <w:u w:val="single"/>
          </w:rPr>
          <w:t>发育中人类皮层胶质细胞类型的三维表观基因组</w:t>
        </w:r>
      </w:hyperlink>
    </w:p>
    <w:p>
      <w:pPr>
        <w:spacing w:before="0" w:after="80"/>
      </w:pPr>
      <w:r>
        <w:rPr>
          <w:i/>
          <w:sz w:val="20"/>
        </w:rPr>
        <w:t>EN: 3D epigenome of glial cell types in developing human cortex</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60">
        <w:r>
          <w:rPr>
            <w:color w:val="1155CC"/>
            <w:u w:val="single"/>
          </w:rPr>
          <w:t>10.1038/s41586-026-10987-6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人类大脑皮层复杂且异质，在发育过程中经历广泛的扩张</w:t>
      </w:r>
      <w:r>
        <w:t xml:space="preserve"> </w:t>
      </w:r>
      <w:r>
        <w:t>1,2</w:t>
      </w:r>
      <w:r>
        <w:t xml:space="preserve"> </w:t>
      </w:r>
      <w:r>
        <w:t>。我们此前对神经发生（包括放射状胶质细胞（RG）、中间前体细胞、兴奋性神经元和中间神经元）的研究表明，染色质环化是谱系特异性基因转录调控的基础，揭示了非编码遗传变异如何通过细胞类型特异性基因调控促成神经精神疾病</w:t>
      </w:r>
      <w:r>
        <w:rPr>
          <w:vertAlign w:val="subscript"/>
        </w:rPr>
        <w:t>3</w:t>
      </w:r>
      <w:r>
        <w:t>。RG在通过神经发生和胶质发生产生细胞多样性方面具有关键作用，并可进一步分为脑室RG（vRG）和外侧RG（oRG）</w:t>
      </w:r>
      <w:r>
        <w:t xml:space="preserve"> </w:t>
      </w:r>
      <w:r>
        <w:t>4,5</w:t>
      </w:r>
      <w:r>
        <w:t xml:space="preserve"> </w:t>
      </w:r>
      <w:r>
        <w:t>。鉴于它们在皮层发育中的重要性，我们对妊娠中期人类新皮层的四种主要胶质细胞群（包括vRG、oRG、少突胶质前体细胞和小胶质细胞）进行了全面的三维（3D）表观基因组分析。通过整合基因表达、染色质可及性、DNA甲基化和3D染色质相互作用，我们鉴定了细胞类型特异性候选</w:t>
      </w:r>
      <w:r>
        <w:t xml:space="preserve"> </w:t>
      </w:r>
      <w:r>
        <w:t>cis</w:t>
      </w:r>
      <w:r>
        <w:t xml:space="preserve"> </w:t>
      </w:r>
      <w:r>
        <w:t>调控元件（cCREs），并利用转基因小鼠胚胎验证了其调控功能。利用机器学习，我们在胶质细胞cCREs中优先筛选出112个精神分裂症风险变异，并进一步在体内证实了rs4449074风险等位基因对预测的vRG增强子的破坏。最后，oRG cCREs富集了h</w:t>
      </w:r>
    </w:p>
    <w:p>
      <w:pPr>
        <w:spacing w:before="0" w:after="200" w:lineRule="auto" w:line="276"/>
      </w:pPr>
      <w:r>
        <w:rPr>
          <w:b/>
        </w:rPr>
        <w:t xml:space="preserve">Abstract (EN): </w:t>
      </w:r>
      <w:r>
        <w:t>The human cortex is complex and heterogeneous, undergoing extensive expansion during development</w:t>
      </w:r>
      <w:r>
        <w:t xml:space="preserve"> </w:t>
      </w:r>
      <w:r>
        <w:t>1,2</w:t>
      </w:r>
      <w:r>
        <w:t xml:space="preserve"> </w:t>
      </w:r>
      <w:r>
        <w:t>. Our prior study of neurogenesis, including radial glia (RG), intermediate progenitor cells, excitatory neurons and interneurons demonstrated that chromatin looping underlies transcriptional regulation for lineage-specific genes, shedding light on how non-coding genetic variants contribute to neuropsychiatric disorders by means of cell-type-specific gene regulation</w:t>
      </w:r>
      <w:r>
        <w:rPr>
          <w:vertAlign w:val="subscript"/>
        </w:rPr>
        <w:t>3</w:t>
      </w:r>
      <w:r>
        <w:t>. RG have a crucial role in generating cellular diversity through both neurogenesis and gliogenesis and can be further classified into ventricular RG (vRG) and outer RG (oRG)</w:t>
      </w:r>
      <w:r>
        <w:t xml:space="preserve"> </w:t>
      </w:r>
      <w:r>
        <w:t>4,5</w:t>
      </w:r>
      <w:r>
        <w:t xml:space="preserve"> </w:t>
      </w:r>
      <w:r>
        <w:t>. Given their significance in cortical development, we conducted a comprehensive three-dimensional (3D) epigenomic analysis of four main glial populations, including vRG, oRG, oligodendrocyte precursor cells and microglia, from the mid-gestational human neocortex. By integrating gene expression, chromatin accessibility, DNA methylation and 3D chromatin interactions, we identified cell-type-specific candidate</w:t>
      </w:r>
      <w:r>
        <w:t xml:space="preserve"> </w:t>
      </w:r>
      <w:r>
        <w:t>cis</w:t>
      </w:r>
      <w:r>
        <w:t xml:space="preserve"> </w:t>
      </w:r>
      <w:r>
        <w:t>-regulatory elements (cCREs) and validated their regulatory function using transgenic mouse embryos. Using machine learning, we prioritized 112 schizophrenia risk variants within glia cCREs and further confirmed the predicted vRG enhancer disruption by the rs4449074 risk allele in vivo. Finally, oRG cCREs are enriched for human accelerated regions compared with other cCREs and a subset of human accelerated regions show activity differences from their chimpanzee orthologues that interact with genes involved in neuronal development. Our findings advance the understanding of human-specific gene regulation during corticogenesis.</w:t>
      </w:r>
    </w:p>
    <w:p>
      <w:pPr>
        <w:spacing w:before="120" w:after="120"/>
      </w:pPr>
      <w:r>
        <w:rPr>
          <w:sz w:val="18"/>
        </w:rPr>
        <w:t>——————————————————————————————————————————————————————————————————————</w:t>
      </w:r>
    </w:p>
    <w:p>
      <w:pPr>
        <w:spacing w:before="160" w:after="40" w:line="240" w:lineRule="auto"/>
      </w:pPr>
      <w:r>
        <w:rPr>
          <w:b/>
        </w:rPr>
        <w:t xml:space="preserve">[1136] </w:t>
      </w:r>
      <w:hyperlink r:id="rId1961">
        <w:r>
          <w:rPr>
            <w:color w:val="1155CC"/>
            <w:u w:val="single"/>
          </w:rPr>
          <w:t>用于感觉预测的小脑样回路连接组分析</w:t>
        </w:r>
      </w:hyperlink>
    </w:p>
    <w:p>
      <w:pPr>
        <w:spacing w:before="0" w:after="80"/>
      </w:pPr>
      <w:r>
        <w:rPr>
          <w:i/>
          <w:sz w:val="20"/>
        </w:rPr>
        <w:t>EN: Connectome analysis of a cerebellum-like circuit for sensory prediction</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62">
        <w:r>
          <w:rPr>
            <w:color w:val="1155CC"/>
            <w:u w:val="single"/>
          </w:rPr>
          <w:t>10.1038/s41586-026-10690-6</w:t>
        </w:r>
      </w:hyperlink>
    </w:p>
    <w:p>
      <w:pPr>
        <w:spacing w:before="0" w:after="120"/>
      </w:pPr>
      <w:r>
        <w:rPr>
          <w:b/>
        </w:rPr>
        <w:t xml:space="preserve">Notes: </w:t>
      </w:r>
      <w:r>
        <w:t>abstract_source=pubmed</w:t>
      </w:r>
    </w:p>
    <w:p>
      <w:pPr>
        <w:spacing w:before="0" w:after="80" w:lineRule="auto" w:line="276"/>
      </w:pPr>
      <w:r>
        <w:rPr>
          <w:b/>
        </w:rPr>
        <w:t xml:space="preserve">摘要（ZH）: </w:t>
      </w:r>
      <w:r>
        <w:t>许多形式的学习，例如学习环境模型或运动技能，依赖于广泛分布于细胞类型和网络层级的突触可塑性。理解这种分布式可塑性如何发挥功能是神经科学的核心挑战1-5。在此，我们利用连接组学绘制了支撑一种多层持续学习的细胞类型和突触连接，该学习形式可取消电鱼小脑样结构中可预测的感觉反应6,7。我们的分析揭示了满足指导突触可塑性理论要求的抑制性和去抑制性感觉输入通路8,9、解决信用分配问题的网络层级之间的结构性突触连接，以及加速感觉预测和取消的结构性循环连接。受电生理记录约束的计算模型表明，这种突触连接如何确保多个可塑性位点协同合作以克服各自的局限性，从而实现快速、准确且抗噪声的取消反应。总体而言，这些发现突显了连接组学结合细胞类型特异性生理记录和计算建模在破译神经回路学习方面的潜力。</w:t>
      </w:r>
    </w:p>
    <w:p>
      <w:pPr>
        <w:spacing w:before="0" w:after="200" w:lineRule="auto" w:line="276"/>
      </w:pPr>
      <w:r>
        <w:rPr>
          <w:b/>
        </w:rPr>
        <w:t xml:space="preserve">Abstract (EN): </w:t>
      </w:r>
      <w:r>
        <w:t>Many forms of learning, for example, learning a model of the environment or a motor skill, rely on synaptic plasticity that is widely distributed across cell types and network stages. Understanding how this distributed plasticity functions is a central challenge in neuroscience1-5. Here we use connectomics to map the cell types and synaptic connections underlying a form of multi-layer continual learning that cancels predictable sensory responses in a cerebellum-like structure in electric fish6,7. Our analysis shows inhibitory and disinhibitory sensory input pathways that fulfil theoretical requirements for instructing synaptic plasticity8,9, structured synaptic connectivity between network stages that solves a credit assignment problem and structured recurrent connectivity that accelerates sensory prediction and cancellation. A computational model constrained by electrophysiological recordings shows how this synaptic connectivity ensures that multiple sites of plasticity cooperate to overcome their individual limitations, resulting in cancellation that is fast, accurate and robust to noise. Overall, these findings highlight the potential of connectomics, in combination with cell-type-specific physiological recordings and computational modelling, for deciphering learning in neural circuits.</w:t>
      </w:r>
    </w:p>
    <w:p>
      <w:pPr>
        <w:spacing w:before="120" w:after="120"/>
      </w:pPr>
      <w:r>
        <w:rPr>
          <w:sz w:val="18"/>
        </w:rPr>
        <w:t>——————————————————————————————————————————————————————————————————————</w:t>
      </w:r>
    </w:p>
    <w:p>
      <w:pPr>
        <w:spacing w:before="160" w:after="40" w:line="240" w:lineRule="auto"/>
      </w:pPr>
      <w:r>
        <w:rPr>
          <w:b/>
        </w:rPr>
        <w:t xml:space="preserve">[1137] </w:t>
      </w:r>
      <w:hyperlink r:id="rId1963">
        <w:r>
          <w:rPr>
            <w:color w:val="1155CC"/>
            <w:u w:val="single"/>
          </w:rPr>
          <w:t>利用人工智能设计物理学实验</w:t>
        </w:r>
      </w:hyperlink>
    </w:p>
    <w:p>
      <w:pPr>
        <w:spacing w:before="0" w:after="80"/>
      </w:pPr>
      <w:r>
        <w:rPr>
          <w:i/>
          <w:sz w:val="20"/>
        </w:rPr>
        <w:t>EN: Designing physics experiments with artificial intelligence</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64">
        <w:r>
          <w:rPr>
            <w:color w:val="1155CC"/>
            <w:u w:val="single"/>
          </w:rPr>
          <w:t>10.1038/s41586-026-10898-6</w:t>
        </w:r>
      </w:hyperlink>
    </w:p>
    <w:p>
      <w:pPr>
        <w:spacing w:before="0" w:after="120"/>
      </w:pPr>
      <w:r>
        <w:rPr>
          <w:b/>
        </w:rPr>
        <w:t xml:space="preserve">Notes: </w:t>
      </w:r>
      <w:r>
        <w:t>abstract_source=pubmed</w:t>
      </w:r>
    </w:p>
    <w:p>
      <w:pPr>
        <w:spacing w:before="0" w:after="80" w:lineRule="auto" w:line="276"/>
      </w:pPr>
      <w:r>
        <w:rPr>
          <w:b/>
        </w:rPr>
        <w:t xml:space="preserve">摘要（ZH）: </w:t>
      </w:r>
      <w:r>
        <w:t>物理学的进步长期以来一直由人类专家构思的精巧实验所推动。近来，由人工智能（AI）驱动的设计方法已开始超越对少数参数的调优，进而提出全新的实验布局。所发现的配置常常挑战既定的设计惯例，同时性能与人类设计的装置相当甚至更优。我们将实验设计视为在受实际约束的庞大硬件配置空间中搜索最优解的过程，并围绕四个指导性问题组织本综述：我们如何（1）构建富有表达力的搜索空间；（2）构建快速可靠的模拟器；（3）将科学目标转化为可计算的目标函数；以及（4）开发能够在离散和连续设计选择之间导航的AI探索方法。这些问题将AI驱动的设计置于从参数调优到从头发现的尺度上，并突出了计算可处理性、实验可行性、可解释性与解可靠性之间的权衡。展望未来，跨越多个物理领域的模拟器与大量实验目标的结合，可能会发现仅凭人类直觉难以获得的非常规实验概念。最终，AI设计的实验可能由此开辟探索宇宙的新途径。</w:t>
      </w:r>
    </w:p>
    <w:p>
      <w:pPr>
        <w:spacing w:before="0" w:after="200" w:lineRule="auto" w:line="276"/>
      </w:pPr>
      <w:r>
        <w:rPr>
          <w:b/>
        </w:rPr>
        <w:t xml:space="preserve">Abstract (EN): </w:t>
      </w:r>
      <w:r>
        <w:t>Progress in physics has long been driven by ingenious experiments conceived by human experts. Recently, design methods driven by artificial intelligence (AI) have begun to move beyond tuning a handful of parameters to proposing entirely new experimental layouts. The discovered configurations often challenge established design conventions while matching or even exceeding the performance of human-designed set-ups. We frame experimental design as a search for optima over a vast space of hardware configurations subject to practical constraints and organize this Review around four guiding questions: how can we (1) engineer expressive search spaces; (2) build fast and reliable simulators; (3) translate scientific goals into computable objective functions; and (4) develop AI-based exploration methods that can navigate both discrete and continuous design choices. These questions place AI-driven design on a scale from parameter tuning to de novo discovery, and highlight the trade-offs between computational tractability, experimental feasibility, interpretability and solution reliability. Looking ahead, simulators spanning several physics domains, combined with large suites of experimental objectives, could discover unorthodox experimental concepts that are difficult to arrive at with human intuition alone. Ultimately, AI-designed experiments might thereby open new ways to explore the Universe.</w:t>
      </w:r>
    </w:p>
    <w:p>
      <w:pPr>
        <w:spacing w:before="120" w:after="120"/>
      </w:pPr>
      <w:r>
        <w:rPr>
          <w:sz w:val="18"/>
        </w:rPr>
        <w:t>——————————————————————————————————————————————————————————————————————</w:t>
      </w:r>
    </w:p>
    <w:p>
      <w:pPr>
        <w:spacing w:before="160" w:after="40" w:line="240" w:lineRule="auto"/>
      </w:pPr>
      <w:r>
        <w:rPr>
          <w:b/>
        </w:rPr>
        <w:t xml:space="preserve">[1138] </w:t>
      </w:r>
      <w:hyperlink r:id="rId1965">
        <w:r>
          <w:rPr>
            <w:color w:val="1155CC"/>
            <w:u w:val="single"/>
          </w:rPr>
          <w:t>利用合成蛋白质组装体自下而上构建RNA递送载体</w:t>
        </w:r>
      </w:hyperlink>
    </w:p>
    <w:p>
      <w:pPr>
        <w:spacing w:before="0" w:after="80"/>
      </w:pPr>
      <w:r>
        <w:rPr>
          <w:i/>
          <w:sz w:val="20"/>
        </w:rPr>
        <w:t>EN: Creating bottom-up RNA transfer vehicles from synthetic protein assemblies</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66">
        <w:r>
          <w:rPr>
            <w:color w:val="1155CC"/>
            <w:u w:val="single"/>
          </w:rPr>
          <w:t>10.1038/s41586-026-10952-3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进化引导生物系统占据生态位，病毒是这一原理最成功的例证之一。病毒经过数十亿年的进化，能够高效传递遗传信息。尽管病毒高度多样化，但大多数病毒在衣壳的大小和形状上趋同于惊人的相似性</w:t>
      </w:r>
      <w:r>
        <w:t xml:space="preserve"> </w:t>
      </w:r>
      <w:r>
        <w:t>1,2</w:t>
      </w:r>
      <w:r>
        <w:t xml:space="preserve"> </w:t>
      </w:r>
      <w:r>
        <w:t>。相比之下，蛋白质设计的生成模型能够创造出自然界中不存在的蛋白质结构</w:t>
      </w:r>
      <w:r>
        <w:t xml:space="preserve"> </w:t>
      </w:r>
      <w:r>
        <w:t>3–5</w:t>
      </w:r>
      <w:r>
        <w:t xml:space="preserve"> </w:t>
      </w:r>
      <w:r>
        <w:t>。在此，我们研究通过人工智能设计的蛋白质组装体能否被功能化，以构建不依赖于进化轨迹的核酸运输载体。通过将天然蛋白质结构域与合成蛋白质组装体相结合，我们创造了100多种具有独特大小和形状的自下而上RNA运输载体。这些载体的RNA递送效率比广泛使用的递送载体高出几个数量级。此外，我们证明了它们的向性可以通过掺入计算设计的肽结合体进行编程，并用它们将具有治疗意义的治疗性RNA递送到多种细胞模型中。我们展示了其中一种载体在小鼠体内的体内生物分布（接近单细胞分辨率），证实了其安全性，并在患者来源的细胞和猪中利用其执行针对杜氏肌营养不良的基因编辑治疗策略。我们的工作展示了由"</w:t>
      </w:r>
    </w:p>
    <w:p>
      <w:pPr>
        <w:spacing w:before="0" w:after="200" w:lineRule="auto" w:line="276"/>
      </w:pPr>
      <w:r>
        <w:rPr>
          <w:b/>
        </w:rPr>
        <w:t xml:space="preserve">Abstract (EN): </w:t>
      </w:r>
      <w:r>
        <w:t>Evolution guides biological systems to populate ecological niches, with viruses among the most successful examples of this principle. Viruses evolved over billions of years to efficiently transfer genetic information. Although viruses are highly diverse, most have converged towards remarkable similarity in the size and shape of their capsids</w:t>
      </w:r>
      <w:r>
        <w:t xml:space="preserve"> </w:t>
      </w:r>
      <w:r>
        <w:t>1,2</w:t>
      </w:r>
      <w:r>
        <w:t xml:space="preserve"> </w:t>
      </w:r>
      <w:r>
        <w:t>. By contrast, generative models for protein design enable the creation of protein architectures that are absent from nature</w:t>
      </w:r>
      <w:r>
        <w:t xml:space="preserve"> </w:t>
      </w:r>
      <w:r>
        <w:t>3–5</w:t>
      </w:r>
      <w:r>
        <w:t xml:space="preserve"> </w:t>
      </w:r>
      <w:r>
        <w:t>. Here we investigate whether protein assemblies designed by artificial intelligence can be functionalized to construct nucleic acid transport vehicles that are independent of evolutionary trajectories. By combining natural protein domains with synthetic protein assemblies, we create more than 100 bottom-up RNA transfer vehicles with unique sizes and shapes. These vehicles surpass the RNA transfer efficiency of widely used delivery vehicles by several orders of magnitude. In addition, we demonstrate that their tropism can be programmed by incorporation of computationally designed peptide binders and use them to deliver therapeutically relevant cargo RNAs into a wide range of cellular models. We show the in vivo biodistribution of one of these vehicles in a mouse at near-single-cell resolution, confirm its safety, and use it to perform a gene-editing treatment strategy for Duchenne muscular dystrophy in patient-derived cells and a pig. Our work demonstrates how proteins created by generative artificial intelligence can be harnessed for the rational engineering of RNA transport systems with the desired properties by overcoming the limitations of natural protein diversity.</w:t>
      </w:r>
    </w:p>
    <w:p>
      <w:pPr>
        <w:spacing w:before="120" w:after="120"/>
      </w:pPr>
      <w:r>
        <w:rPr>
          <w:sz w:val="18"/>
        </w:rPr>
        <w:t>——————————————————————————————————————————————————————————————————————</w:t>
      </w:r>
    </w:p>
    <w:p>
      <w:pPr>
        <w:spacing w:before="160" w:after="40" w:line="240" w:lineRule="auto"/>
      </w:pPr>
      <w:r>
        <w:rPr>
          <w:b/>
        </w:rPr>
        <w:t xml:space="preserve">[1139] </w:t>
      </w:r>
      <w:hyperlink r:id="rId1967">
        <w:r>
          <w:rPr>
            <w:color w:val="1155CC"/>
            <w:u w:val="single"/>
          </w:rPr>
          <w:t>晚年semaglutide治疗减缓雌性小鼠衰老并延长寿命</w:t>
        </w:r>
      </w:hyperlink>
    </w:p>
    <w:p>
      <w:pPr>
        <w:spacing w:before="0" w:after="80"/>
      </w:pPr>
      <w:r>
        <w:rPr>
          <w:i/>
          <w:sz w:val="20"/>
        </w:rPr>
        <w:t>EN: Late-life semaglutide treatment slows ageing and extends lifespan in female mice</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68">
        <w:r>
          <w:rPr>
            <w:color w:val="1155CC"/>
            <w:u w:val="single"/>
          </w:rPr>
          <w:t>10.1038/s41586-026-10940-7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药理性胰高血糖素样肽-1受体（GLP-1R）激活可减少食物摄入，是治疗2型糖尿病和肥胖的有效疗法</w:t>
      </w:r>
      <w:r>
        <w:rPr>
          <w:vertAlign w:val="subscript"/>
        </w:rPr>
        <w:t>1</w:t>
      </w:r>
      <w:r>
        <w:t>。GLP-1类药物的应用揭示了其在葡萄糖和体重控制之外的多效性有益作用</w:t>
      </w:r>
      <w:r>
        <w:t xml:space="preserve"> </w:t>
      </w:r>
      <w:r>
        <w:t>2–5</w:t>
      </w:r>
      <w:r>
        <w:t xml:space="preserve"> </w:t>
      </w:r>
      <w:r>
        <w:t>，但人们对这些多效性作用的潜在基础知之甚少。在此，我们对20月龄雌性C57BL/6小鼠使用GLP-1R激动剂索马鲁肽（semaglutide）治疗3个月，改善了生理功能，减弱了衰老的典型特征，并调节了营养传感器和保守的衰老遗传调节因子。持续治疗延长了小鼠的寿命。这些效应与热量限制的关键特征相似，热量限制是一种可延缓衰老、延长寿命并缓解多种衰老相关疾病的饮食干预措施</w:t>
      </w:r>
      <w:r>
        <w:rPr>
          <w:vertAlign w:val="subscript"/>
        </w:rPr>
        <w:t>6</w:t>
      </w:r>
      <w:r>
        <w:t>。在一项与匹配热量限制直接比较的纵向研究中，索马鲁肽治疗通过减缓年龄相关的功能衰退，保留了基线功能并再现了热量限制的许多功能益处，同时在探索驱动力、空间记忆和葡萄糖控制方面产生了高于基线的改善以及比热量限制更有利的变化轨迹。总之，这些发现表明，在生命晚期启动的GLP-1R激活可减缓雌性小鼠的衰老并延长其寿命，支持其作为热量限制模拟物的功能，并提供了一个机制框架</w:t>
      </w:r>
    </w:p>
    <w:p>
      <w:pPr>
        <w:spacing w:before="0" w:after="200" w:lineRule="auto" w:line="276"/>
      </w:pPr>
      <w:r>
        <w:rPr>
          <w:b/>
        </w:rPr>
        <w:t xml:space="preserve">Abstract (EN): </w:t>
      </w:r>
      <w:r>
        <w:t>Pharmacological glucagon-like peptide-1 receptor (GLP-1R) activation reduces food intake and is an effective therapy for type 2 diabetes and obesity</w:t>
      </w:r>
      <w:r>
        <w:rPr>
          <w:vertAlign w:val="subscript"/>
        </w:rPr>
        <w:t>1</w:t>
      </w:r>
      <w:r>
        <w:t>. The use of GLP-1 medicines has revealed pleiotropic beneficial effects beyond glucose and weight control</w:t>
      </w:r>
      <w:r>
        <w:t xml:space="preserve"> </w:t>
      </w:r>
      <w:r>
        <w:t>2–5</w:t>
      </w:r>
      <w:r>
        <w:t xml:space="preserve"> </w:t>
      </w:r>
      <w:r>
        <w:t>, but little is known about the underlying basis of the pleiotropic effects. Here, treatment of 20-month-old female C57BL/6 mice with the GLP-1R agonist semaglutide for 3 months improved physiological function, attenuated hallmarks of ageing and modulated nutrient sensors and conserved genetic regulators of ageing. Continued treatment extended mouse lifespan. These effects parallel key features of calorie restriction, a dietary intervention that slows ageing, extends lifespan and alleviates a wide spectrum of ageing-associated diseases</w:t>
      </w:r>
      <w:r>
        <w:rPr>
          <w:vertAlign w:val="subscript"/>
        </w:rPr>
        <w:t>6</w:t>
      </w:r>
      <w:r>
        <w:t>. In a longitudinal study in direct comparison to matched calorie restriction, semaglutide treatment preserved baseline function and recapitulated many functional benefits of calorie restriction by attenuating age-associated decline, while also producing improvements above baseline and more favourable trajectories than calorie restriction in exploratory drive, spatial memory and glucose control. Together, these findings demonstrate that GLP-1R activation initiated late in life slows ageing and extends lifespan in female mice, supporting its function as a calorie restriction mimetic and providing a mechanistic framework that may help to explain its broad beneficial effects while revealing effects beyond those attributable to reduced calorie intake.</w:t>
      </w:r>
    </w:p>
    <w:p>
      <w:pPr>
        <w:spacing w:before="120" w:after="120"/>
      </w:pPr>
      <w:r>
        <w:rPr>
          <w:sz w:val="18"/>
        </w:rPr>
        <w:t>——————————————————————————————————————————————————————————————————————</w:t>
      </w:r>
    </w:p>
    <w:p>
      <w:pPr>
        <w:spacing w:before="160" w:after="40" w:line="240" w:lineRule="auto"/>
      </w:pPr>
      <w:r>
        <w:rPr>
          <w:b/>
        </w:rPr>
        <w:t xml:space="preserve">[1140] </w:t>
      </w:r>
      <w:hyperlink r:id="rId1969">
        <w:r>
          <w:rPr>
            <w:color w:val="1155CC"/>
            <w:u w:val="single"/>
          </w:rPr>
          <w:t>基于人格遗传关联的稳健推断及其相关性</w:t>
        </w:r>
      </w:hyperlink>
    </w:p>
    <w:p>
      <w:pPr>
        <w:spacing w:before="0" w:after="80"/>
      </w:pPr>
      <w:r>
        <w:rPr>
          <w:i/>
          <w:sz w:val="20"/>
        </w:rPr>
        <w:t>EN: Robust inference and correlates from genetic associations with personality</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70">
        <w:r>
          <w:rPr>
            <w:color w:val="1155CC"/>
            <w:u w:val="single"/>
          </w:rPr>
          <w:t>10.1038/s41586-026-10992-9</w:t>
        </w:r>
      </w:hyperlink>
    </w:p>
    <w:p>
      <w:pPr>
        <w:spacing w:before="0" w:after="120"/>
      </w:pPr>
      <w:r>
        <w:rPr>
          <w:b/>
        </w:rPr>
        <w:t xml:space="preserve">Notes: </w:t>
      </w:r>
      <w:r>
        <w:t>abstract_source=openalex</w:t>
      </w:r>
    </w:p>
    <w:p>
      <w:pPr>
        <w:spacing w:before="0" w:after="80" w:lineRule="auto" w:line="276"/>
      </w:pPr>
      <w:r>
        <w:rPr>
          <w:b/>
        </w:rPr>
        <w:t xml:space="preserve">摘要（ZH）: </w:t>
      </w:r>
      <w:r>
        <w:t>人格特质描述了人们在思维、情感和行为方式上的稳定差异，以及他们如何与其社会和物理环境互动并体验这些环境1,2。关于DNA与人格特质之间的关联，例如其稳健性、可推广性及其发挥作用的生物学和社会途径，仍有许多问题未获解答。本文对46个队列的数据进行了荟萃分析，这些队列包含611,037至114万具有类欧洲和类非洲基因组的参与者，用于大五人格特质（外向性、宜人性、尽责性、神经质和开放性）的全基因组关联研究（GWAS），以及多达50,725名参与者的家系内GWAS数据。我们鉴定出1,260个与人格相关的主导遗传变异，其中包括824个新变异3。常见遗传变异可解释各特质测量方差的4.8–9.3%，在具有典型测量信度的量表中为9.3–13.3%。人格的遗传关联在不同地理区域、报告者（自我与亲密他人）、年龄组和测量工具之间高度一致但不完全相同，且我们发现近代历史中人格的配偶选型极小。与许多其他社会和行为特质4,5不同，家系内GWAS和多基因指数分析表明人格的遗传关联几乎不受共享家庭环境的混淆。多基因预测、遗传相关性和孟德尔随机化分析表明，人格特质具有广泛的、潜</w:t>
      </w:r>
    </w:p>
    <w:p>
      <w:pPr>
        <w:spacing w:before="0" w:after="200" w:lineRule="auto" w:line="276"/>
      </w:pPr>
      <w:r>
        <w:rPr>
          <w:b/>
        </w:rPr>
        <w:t xml:space="preserve">Abstract (EN): </w:t>
      </w:r>
      <w:r>
        <w:t>Personality traits describe stable differences in how people think, feel and behave, and how they interact with and experience their social and physical environments1,2. Many questions remain unanswered about associations between DNA and personality traits, such as their robustness, their generalizability and the biological and social pathways through which they act. Here we meta-analyse data across 46 cohorts comprising 611,037 to 1.14 million participants with European-like and African-like genomes for genome-wide association studies (GWAS) of the Big Five personality traits (extraversion, agreeableness, conscientiousness, neuroticism and openness to experience), and data from up to 50,725 participants for within-family GWAS. We identify 1,260 lead genetic variants associated with personality, including 824 novel variants3. Common genetic variants explain a moderate 4.8–9.3% of the variance in measures of each trait, and 9.3–13.3% among instruments with typical measurement reliability. Genetic associations with personality are highly consistent but not identical across geography, reporter (self versus close other), age group and measurement instrument, and we find minimal spousal assortment for personality in recent history. In contrast to many other social and behavioural traits4,5, within-family GWAS and polygenic index analyses indicate that genetic associations with personality are minimally confounded by the shared family environment. Polygenic prediction, genetic correlation and Mendelian randomization analyses indicate that personality traits have widespread, potentially causal associations with consequential behaviours and life outcomes. Overall, we find that the genetic architecture of personality is robustly generalizable, minimally confounded and widely relevant to human experience. The genetic architecture of personality is robustly generalizable, minimally confounded and widely relevant to human experience.</w:t>
      </w:r>
    </w:p>
    <w:p>
      <w:pPr>
        <w:spacing w:before="120" w:after="120"/>
      </w:pPr>
      <w:r>
        <w:rPr>
          <w:sz w:val="18"/>
        </w:rPr>
        <w:t>——————————————————————————————————————————————————————————————————————</w:t>
      </w:r>
    </w:p>
    <w:p>
      <w:pPr>
        <w:spacing w:before="160" w:after="40" w:line="240" w:lineRule="auto"/>
      </w:pPr>
      <w:r>
        <w:rPr>
          <w:b/>
        </w:rPr>
        <w:t xml:space="preserve">[1141] </w:t>
      </w:r>
      <w:hyperlink r:id="rId1971">
        <w:r>
          <w:rPr>
            <w:color w:val="1155CC"/>
            <w:u w:val="single"/>
          </w:rPr>
          <w:t>通过极化与纠缠探究重子半轻子衰变</w:t>
        </w:r>
      </w:hyperlink>
    </w:p>
    <w:p>
      <w:pPr>
        <w:spacing w:before="0" w:after="80"/>
      </w:pPr>
      <w:r>
        <w:rPr>
          <w:i/>
          <w:sz w:val="20"/>
        </w:rPr>
        <w:t>EN: Exploring baryon semileptonic decays through polarization and entanglement</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72">
        <w:r>
          <w:rPr>
            <w:color w:val="1155CC"/>
            <w:u w:val="single"/>
          </w:rPr>
          <w:t>10.1038/s41586-026-10818-8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abibbo–Kobayashi–Maskawa（CKM）矩阵的幺正性是标准模型（SM）的基石。对该幺正性的精确检验需要对其元素进行独立测定，例如支配奇异夸克与上夸克之间跃迁的|Vus|。目前来自K介子和τ衰变的测量结果显示出张力，可能暗示超出标准模型的新物理1–3。超子半轻子衰变提供了替代的探针，但由于以往实验缺乏足够的运动学信息、使测量对相关形状因子不敏感4，这一途径在很大程度上未被开发。本文报告了轴矢量耦合和弱磁耦合的测量结果，以及在</w:t>
      </w:r>
      <w:r>
        <w:t xml:space="preserve"> </w:t>
      </w:r>
      <w:r>
        <w:t>$$\Lambda \to {{\rm{pe}}}^{-}{\bar{\nu }}_{{\rm{e}}}$$</w:t>
      </w:r>
      <w:r>
        <w:t xml:space="preserve"> </w:t>
      </w:r>
      <w:r>
        <w:t>衰变中绝对分支比和弱电耦合的首次测定</w:t>
      </w:r>
    </w:p>
    <w:p>
      <w:pPr>
        <w:spacing w:before="0" w:after="200" w:lineRule="auto" w:line="276"/>
      </w:pPr>
      <w:r>
        <w:rPr>
          <w:b/>
        </w:rPr>
        <w:t xml:space="preserve">Abstract (EN): </w:t>
      </w:r>
      <w:r>
        <w:t>The unitarity of the Cabibbo–Kobayashi–Maskawa (CKM) matrix is a cornerstone of the standard model (SM). Precise tests of this unitarity require independent determinations of its elements, such as |</w:t>
      </w:r>
      <w:r>
        <w:t xml:space="preserve"> </w:t>
      </w:r>
      <w:r>
        <w:t>V</w:t>
      </w:r>
      <w:r>
        <w:t xml:space="preserve"> </w:t>
      </w:r>
      <w:r>
        <w:t>us</w:t>
      </w:r>
      <w:r>
        <w:t xml:space="preserve"> </w:t>
      </w:r>
      <w:r>
        <w:t>|, which governs the transition between strange and up quarks. Current measurements from kaon and tau decays show tensions that may hint at physics beyond the SM</w:t>
      </w:r>
      <w:r>
        <w:t xml:space="preserve"> </w:t>
      </w:r>
      <w:r>
        <w:t>1–3</w:t>
      </w:r>
      <w:r>
        <w:t xml:space="preserve"> </w:t>
      </w:r>
      <w:r>
        <w:t>. Hyperon semileptonic decays provide alternative probes but have remained largely untapped because previous experiments lacked sufficient kinematic information, making the measurements insensitive to the relevant form factors</w:t>
      </w:r>
      <w:r>
        <w:rPr>
          <w:vertAlign w:val="subscript"/>
        </w:rPr>
        <w:t>4</w:t>
      </w:r>
      <w:r>
        <w:t>. Here we report measurements of the axial-vector and weak-magnetism couplings, as well as the first determinations of the absolute branching fraction and weak-electricity coupling in</w:t>
      </w:r>
      <w:r>
        <w:t xml:space="preserve"> </w:t>
      </w:r>
      <w:r>
        <w:t>$$\Lambda \to {{\rm{pe}}}^{-}{\bar{\nu }}_{{\rm{e}}}$$</w:t>
      </w:r>
      <w:r>
        <w:t xml:space="preserve"> </w:t>
      </w:r>
      <w:r>
        <w:t>Λ</w:t>
      </w:r>
      <w:r>
        <w:t xml:space="preserve"> </w:t>
      </w:r>
      <w:r>
        <w:t>→</w:t>
      </w:r>
      <w:r>
        <w:t xml:space="preserve"> </w:t>
      </w:r>
      <w:r>
        <w:t>pe</w:t>
      </w:r>
      <w:r>
        <w:t xml:space="preserve"> </w:t>
      </w:r>
      <w:r>
        <w:t>−</w:t>
      </w:r>
      <w:r>
        <w:t xml:space="preserve"> </w:t>
      </w:r>
      <w:r>
        <w:t>ν</w:t>
      </w:r>
      <w:r>
        <w:t xml:space="preserve"> </w:t>
      </w:r>
      <w:r>
        <w:t>¯</w:t>
      </w:r>
      <w:r>
        <w:t xml:space="preserve"> </w:t>
      </w:r>
      <w:r>
        <w:t>e</w:t>
      </w:r>
      <w:r>
        <w:t xml:space="preserve"> </w:t>
      </w:r>
      <w:r>
        <w:t>, achieved by exploiting the polarization and quantum entanglement of</w:t>
      </w:r>
      <w:r>
        <w:t xml:space="preserve"> </w:t>
      </w:r>
      <w:r>
        <w:t>$$\Lambda \bar{\Lambda }$$</w:t>
      </w:r>
      <w:r>
        <w:t xml:space="preserve"> </w:t>
      </w:r>
      <w:r>
        <w:t>Λ</w:t>
      </w:r>
      <w:r>
        <w:t xml:space="preserve"> </w:t>
      </w:r>
      <w:r>
        <w:t>Λ</w:t>
      </w:r>
      <w:r>
        <w:t xml:space="preserve"> </w:t>
      </w:r>
      <w:r>
        <w:t>¯</w:t>
      </w:r>
      <w:r>
        <w:t xml:space="preserve"> </w:t>
      </w:r>
      <w:r>
        <w:t>pairs produced at the J/ψ resonance. Combining our results with recent lattice quantum chromodynamics (QCD) calculations</w:t>
      </w:r>
      <w:r>
        <w:rPr>
          <w:vertAlign w:val="subscript"/>
        </w:rPr>
        <w:t>5</w:t>
      </w:r>
      <w:r>
        <w:t>gives |</w:t>
      </w:r>
      <w:r>
        <w:t xml:space="preserve"> </w:t>
      </w:r>
      <w:r>
        <w:t>V</w:t>
      </w:r>
      <w:r>
        <w:t xml:space="preserve"> </w:t>
      </w:r>
      <w:r>
        <w:t>us</w:t>
      </w:r>
      <w:r>
        <w:t xml:space="preserve"> </w:t>
      </w:r>
      <w:r>
        <w:t>|</w:t>
      </w:r>
      <w:r>
        <w:t xml:space="preserve"> </w:t>
      </w:r>
      <w:r>
        <w:t>LQCD</w:t>
      </w:r>
      <w:r>
        <w:t xml:space="preserve"> </w:t>
      </w:r>
      <w:r>
        <w:t>= 0.2339 ± 0.0041, a model-independent determination consistent with CKM unitarity. By pioneering the exploitation of polarization and quantum entanglement in baryon semileptonic decays, our method enhances single-event sensitivity and is broadly applicable to other baryon semileptonic decays, establishing the foundation for a systematic research programme that can achieve precision comparable with that of kaon decays and provide a stringent independent test of the SM.</w:t>
      </w:r>
    </w:p>
    <w:p>
      <w:pPr>
        <w:spacing w:before="120" w:after="120"/>
      </w:pPr>
      <w:r>
        <w:rPr>
          <w:sz w:val="18"/>
        </w:rPr>
        <w:t>——————————————————————————————————————————————————————————————————————</w:t>
      </w:r>
    </w:p>
    <w:p>
      <w:pPr>
        <w:spacing w:before="160" w:after="40" w:line="240" w:lineRule="auto"/>
      </w:pPr>
      <w:r>
        <w:rPr>
          <w:b/>
        </w:rPr>
        <w:t xml:space="preserve">[1142] </w:t>
      </w:r>
      <w:hyperlink r:id="rId1973">
        <w:r>
          <w:rPr>
            <w:color w:val="1155CC"/>
            <w:u w:val="single"/>
          </w:rPr>
          <w:t>大气CH4平台期由NOx排放上升及南移所维持</w:t>
        </w:r>
      </w:hyperlink>
    </w:p>
    <w:p>
      <w:pPr>
        <w:spacing w:before="0" w:after="80"/>
      </w:pPr>
      <w:r>
        <w:rPr>
          <w:i/>
          <w:sz w:val="20"/>
        </w:rPr>
        <w:t>EN: Atmospheric CH4 plateau sustained by NOx emission rise and southward shift</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74">
        <w:r>
          <w:rPr>
            <w:color w:val="1155CC"/>
            <w:u w:val="single"/>
          </w:rPr>
          <w:t>10.1038/s41586-026-10983-w</w:t>
        </w:r>
      </w:hyperlink>
    </w:p>
    <w:p>
      <w:pPr>
        <w:spacing w:before="0" w:after="120"/>
      </w:pPr>
      <w:r>
        <w:rPr>
          <w:b/>
        </w:rPr>
        <w:t xml:space="preserve">Notes: </w:t>
      </w:r>
      <w:r>
        <w:t>abstract_source=pubmed</w:t>
      </w:r>
    </w:p>
    <w:p>
      <w:pPr>
        <w:spacing w:before="0" w:after="80" w:lineRule="auto" w:line="276"/>
      </w:pPr>
      <w:r>
        <w:rPr>
          <w:b/>
        </w:rPr>
        <w:t xml:space="preserve">摘要（ZH）: </w:t>
      </w:r>
      <w:r>
        <w:t>甲烷的大气增长率表现出十年尺度的变率1。20世纪90年代，大气甲烷增长较80年代放缓，这在很大程度上归因于人为排放的稳定或下降2-7。相比之下，21世纪初的经济扩张（文献8）导致人为甲烷排放增加9。然而，全球监测网络并未检测到预期的大气甲烷浓度上升1。相反，1999年至2006年间几乎没有观察到大气甲烷增长（文献1）。为解释这一甲烷平台期，已有若干假说被提出10-13，但其根本原因仍不确定3。本文将模型模拟与甲烷及同位素观测相结合，将该平台期归因于2000-2006年相对于1999年羟基自由基（OH）增加了1.4 ± 0.4%，且主要发生在热带地区。我们发现热带地区OH的增强主要由全球氮氧化物（NOx）排放的上升及其向发展中地区和海洋的空间再分布所驱动，其背后是热带国家的经济增长以及与全球贸易扩张相关的航运排放增加14,15。这些变化导致2000-2006年期间全球甲烷损失放大2.2 ± 0.7%，2006年相对于1999年放大3.7 ± 1.3%，其中2000-2006年的增强相当于同期人为甲烷排放增长的136% [90%, 184%]，从而维持了观测到的甲烷平台期。</w:t>
      </w:r>
    </w:p>
    <w:p>
      <w:pPr>
        <w:spacing w:before="0" w:after="200" w:lineRule="auto" w:line="276"/>
      </w:pPr>
      <w:r>
        <w:rPr>
          <w:b/>
        </w:rPr>
        <w:t xml:space="preserve">Abstract (EN): </w:t>
      </w:r>
      <w:r>
        <w:t>Methane exhibits decadal variability in atmospheric growth rates1. During the 1990s, atmospheric methane growth slowed relative to the 1980s, largely attributed to the stabilization or decline in anthropogenic emissions2-7. By contrast, economic expansion in the early 2000s (ref. 8) led to an increase in anthropogenic methane emissions9. The anticipated rise in atmospheric methane concentrations, however, was not detected by global monitoring networks1. Instead, almost no atmospheric methane growth was observed between 1999 and 2006 (ref. 1). Several hypotheses have been proposed to explain this methane plateau10-13, but the underlying causes remain uncertain3. Here we combine model simulations with methane and isotopic observations and attribute the plateau to a 1.4 ± 0.4% hydroxyl radical (OH) increase during 2000-2006 relative to 1999, mostly occurring in the tropics. We find that the tropical OH enhancement was primarily driven by a global rise and spatial redistribution of nitrogen oxides (NOx) emissions towards developing regions and the oceans, spurred by economic growth in tropical countries and increased shipping emissions linked to global trade expansion14,15. These changes led to an amplified global methane loss of 2.2 ± 0.7% during 2000-2006 and 3.7 ± 1.3% in 2006 relative to 1999, with the 2000-2006 enhancement equivalent to 136% [90%, 184%] of the contemporaneous anthropogenic methane emission growth, thereby sustaining the observed methane plateau.</w:t>
      </w:r>
    </w:p>
    <w:p>
      <w:pPr>
        <w:spacing w:before="120" w:after="120"/>
      </w:pPr>
      <w:r>
        <w:rPr>
          <w:sz w:val="18"/>
        </w:rPr>
        <w:t>——————————————————————————————————————————————————————————————————————</w:t>
      </w:r>
    </w:p>
    <w:p>
      <w:pPr>
        <w:spacing w:before="160" w:after="40" w:line="240" w:lineRule="auto"/>
      </w:pPr>
      <w:r>
        <w:rPr>
          <w:b/>
        </w:rPr>
        <w:t xml:space="preserve">[1143] </w:t>
      </w:r>
      <w:hyperlink r:id="rId1975">
        <w:r>
          <w:rPr>
            <w:color w:val="1155CC"/>
            <w:u w:val="single"/>
          </w:rPr>
          <w:t>南半球松树生长更快且抗旱性更强</w:t>
        </w:r>
      </w:hyperlink>
    </w:p>
    <w:p>
      <w:pPr>
        <w:spacing w:before="0" w:after="80"/>
      </w:pPr>
      <w:r>
        <w:rPr>
          <w:i/>
          <w:sz w:val="20"/>
        </w:rPr>
        <w:t>EN: Pines grow faster and are more drought resilient in the Southern Hemisphere</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76">
        <w:r>
          <w:rPr>
            <w:color w:val="1155CC"/>
            <w:u w:val="single"/>
          </w:rPr>
          <w:t>10.1038/s41586-026-10969-8</w:t>
        </w:r>
      </w:hyperlink>
    </w:p>
    <w:p>
      <w:pPr>
        <w:spacing w:before="0" w:after="120"/>
      </w:pPr>
      <w:r>
        <w:rPr>
          <w:b/>
        </w:rPr>
        <w:t xml:space="preserve">Notes: </w:t>
      </w:r>
      <w:r>
        <w:t>abstract_source=pubmed</w:t>
      </w:r>
    </w:p>
    <w:p>
      <w:pPr>
        <w:spacing w:before="0" w:after="80" w:lineRule="auto" w:line="276"/>
      </w:pPr>
      <w:r>
        <w:rPr>
          <w:b/>
        </w:rPr>
        <w:t xml:space="preserve">摘要（ZH）: </w:t>
      </w:r>
      <w:r>
        <w:t>干旱引起的针叶树死亡是一个全球性问题1，然而原产于北半球并在南半球大规模种植的针叶树，似乎并未表现出与其原产地相同程度的生长下降或死亡。通过在四大洲192个地点进行的标准化树木年轮学调查，我们发现北半球针叶树在南半球的生长速度最高可达原产地的四倍，并且对干旱的抗性和恢复力也高于原产地的同种个体，表明非原生种群对非生物胁迫的反应存在根本性差异。非原生分布区的针叶树具有更高的非结构性碳水化合物浓度（通常与耐旱性相关2,3）和更低的δ13C值，这与光合作用的气孔限制较低相一致。总之，更高的非结构性碳水化合物浓度、更低的δ13C值和更高的茎生长速率均表明非原生分布区针叶树具有更高的净碳同化量。这种高生长速率与耐旱性并存的矛盾组合，凸显了将生态-进化历史纳入生态理论的重要性，并对评估造林作为全球碳汇的最终作用具有参考意义。</w:t>
      </w:r>
    </w:p>
    <w:p>
      <w:pPr>
        <w:spacing w:before="0" w:after="200" w:lineRule="auto" w:line="276"/>
      </w:pPr>
      <w:r>
        <w:rPr>
          <w:b/>
        </w:rPr>
        <w:t xml:space="preserve">Abstract (EN): </w:t>
      </w:r>
      <w:r>
        <w:t>Drought-induced conifer mortality is a global concern1, yet conifers native to the Northern Hemisphere that have been planted at massive scales in the Southern Hemisphere do not appear to show the same magnitude of growth decline or mortality as in their native ranges. Using a standardized dendrochronological survey at 192 sites across four continents, we find that Northern Hemisphere conifers grow up to four times faster in the Southern Hemisphere and are also more resistant and resilient to drought than conspecifics in native ranges, suggesting that non-native populations respond fundamentally different to abiotic stress. Conifers in non-native ranges had higher concentrations of non-structural carbohydrates, commonly associated with drought tolerance2,3, and lower δ13C values, consistent with lower stomatal limitations on photosynthesis. In sum, higher concentrations of non-structural carbohydrate, lower δ13C values and higher stem growth rates all point towards higher net carbon assimilation by conifers in non-native ranges. This paradoxical combination of high growth rates yet resilience to drought emphasizes the importance of integrating eco-evolutionary history into ecological theory and is relevant for assessing the ultimate role of afforestation as global carbon sinks.</w:t>
      </w:r>
    </w:p>
    <w:p>
      <w:pPr>
        <w:spacing w:before="120" w:after="120"/>
      </w:pPr>
      <w:r>
        <w:rPr>
          <w:sz w:val="18"/>
        </w:rPr>
        <w:t>——————————————————————————————————————————————————————————————————————</w:t>
      </w:r>
    </w:p>
    <w:p>
      <w:pPr>
        <w:spacing w:before="160" w:after="40" w:line="240" w:lineRule="auto"/>
      </w:pPr>
      <w:r>
        <w:rPr>
          <w:b/>
        </w:rPr>
        <w:t xml:space="preserve">[1144] </w:t>
      </w:r>
      <w:hyperlink r:id="rId1977">
        <w:r>
          <w:rPr>
            <w:color w:val="1155CC"/>
            <w:u w:val="single"/>
          </w:rPr>
          <w:t>重新改造核糖体以翻译其自身RNA编码的蛋白质</w:t>
        </w:r>
      </w:hyperlink>
    </w:p>
    <w:p>
      <w:pPr>
        <w:spacing w:before="0" w:after="80"/>
      </w:pPr>
      <w:r>
        <w:rPr>
          <w:i/>
          <w:sz w:val="20"/>
        </w:rPr>
        <w:t>EN: Rewiring the ribosome to translate proteins encoded in its own RNA</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78">
        <w:r>
          <w:rPr>
            <w:color w:val="1155CC"/>
            <w:u w:val="single"/>
          </w:rPr>
          <w:t>10.1038/s41586-026-10962-1</w:t>
        </w:r>
      </w:hyperlink>
    </w:p>
    <w:p>
      <w:pPr>
        <w:spacing w:before="0" w:after="120"/>
      </w:pPr>
      <w:r>
        <w:rPr>
          <w:b/>
        </w:rPr>
        <w:t xml:space="preserve">Notes: </w:t>
      </w:r>
      <w:r>
        <w:t>abstract_source=pubmed</w:t>
      </w:r>
    </w:p>
    <w:p>
      <w:pPr>
        <w:spacing w:before="0" w:after="80" w:lineRule="auto" w:line="276"/>
      </w:pPr>
      <w:r>
        <w:rPr>
          <w:b/>
        </w:rPr>
        <w:t xml:space="preserve">摘要（ZH）: </w:t>
      </w:r>
      <w:r>
        <w:t>细胞蛋白质合成依赖于核糖体与mRNA之间的随机相遇，这限制了针对单一蛋白质生产对翻译机器进行优化——而这正是生物技术中的一项关键需求。一种可能的解决方案是将蛋白质编码序列整合到核糖体自身中，从而使核糖体专用于单一多肽的合成。这种整合的可行性还可以解决RNA世界模型中的一个长期难题：解释早期蛋白质合成如何在组分稀少且组织性差的情况下仍能可靠运行1。核糖体能否翻译自身的核糖体RNA（rRNA）一直不清楚。本文表明，细菌核糖体能够合成其自身RNA内编码的蛋白质。我们通过在16S rRNA末端连接蛋白质编码序列，构建了一种嵌合的信使-核糖体RNA（mrRNA）。这种杂交mrRNA组装成小亚基，与大亚基结合形成Ribo-M，一种能够翻译mrRNA编码蛋白质的核糖体。破坏小亚基功能的突变或抗生素可 abolishes 该翻译，证明mrRNA的翻译是由组装在嵌合mrRNA上的核糖体以顺式方式进行的。将mrRNA整合到亚基系连的核糖体中产生了Ribo-TM，其中编码、解码和肽合成统一在单一RNA支架内。这些发现确立了核糖体在体内和体外翻译自身rRNA的机制可行性，为正交蛋白质生产提供了多功能平台，并带来了洞见</w:t>
      </w:r>
    </w:p>
    <w:p>
      <w:pPr>
        <w:spacing w:before="0" w:after="200" w:lineRule="auto" w:line="276"/>
      </w:pPr>
      <w:r>
        <w:rPr>
          <w:b/>
        </w:rPr>
        <w:t xml:space="preserve">Abstract (EN): </w:t>
      </w:r>
      <w:r>
        <w:t>Cellular protein synthesis relies on random encounters between ribosomes and mRNAs, limiting optimization of the translation machinery for production of a single protein-a key need in biotechnology. One potential solution is integrating the protein-coding sequence into the ribosome itself, thereby committing the ribosome to synthesis of a single polypeptide. The feasibility of such integration could also address a long-standing challenge in RNA world models: explaining how early protein synthesis could function reliably despite the scarcity and poor organization of its components1. Whether a ribosome can translate its own ribosomal RNA (rRNA) has remained unclear. Here we show that bacterial ribosomes can synthesize proteins encoded within their own RNA. We engineered a chimeric messenger-ribosomal RNA (mrRNA) by appending a protein-coding sequence to 16S rRNA. The hybrid mrRNA assembles into a small ribosomal subunit that binds to the large subunit to form Ribo-M, a ribosome capable of translating mrRNA-encoded proteins. Translation is abolished by mutations or antibiotics that impair the function of the small subunit, demonstrating that mrRNA translation is carried out in cis by ribosomes assembled on the chimeric mrRNA. Incorporating mrRNA into a ribosome with tethered subunits yielded Ribo-TM, in which encoding, decoding and peptide synthesis are united within a single RNA scaffold. These findings establish the mechanistic feasibility of a ribosome translating its own rRNA in vivo and in vitro, offering a versatile platform for orthogonal protein production and insights into the origin of translation.</w:t>
      </w:r>
    </w:p>
    <w:p>
      <w:pPr>
        <w:spacing w:before="120" w:after="120"/>
      </w:pPr>
      <w:r>
        <w:rPr>
          <w:sz w:val="18"/>
        </w:rPr>
        <w:t>——————————————————————————————————————————————————————————————————————</w:t>
      </w:r>
    </w:p>
    <w:p>
      <w:pPr>
        <w:spacing w:before="160" w:after="40" w:line="240" w:lineRule="auto"/>
      </w:pPr>
      <w:r>
        <w:rPr>
          <w:b/>
        </w:rPr>
        <w:t xml:space="preserve">[1145] </w:t>
      </w:r>
      <w:hyperlink r:id="rId1979">
        <w:r>
          <w:rPr>
            <w:color w:val="1155CC"/>
            <w:u w:val="single"/>
          </w:rPr>
          <w:t>MASH的分子机制与发病机制</w:t>
        </w:r>
      </w:hyperlink>
    </w:p>
    <w:p>
      <w:pPr>
        <w:spacing w:before="0" w:after="80"/>
      </w:pPr>
      <w:r>
        <w:rPr>
          <w:i/>
          <w:sz w:val="20"/>
        </w:rPr>
        <w:t>EN: Molecular mechanisms and pathogenesis of MASH</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80">
        <w:r>
          <w:rPr>
            <w:color w:val="1155CC"/>
            <w:u w:val="single"/>
          </w:rPr>
          <w:t>10.1038/s41586-026-10529-0</w:t>
        </w:r>
      </w:hyperlink>
    </w:p>
    <w:p>
      <w:pPr>
        <w:spacing w:before="0" w:after="120"/>
      </w:pPr>
      <w:r>
        <w:rPr>
          <w:b/>
        </w:rPr>
        <w:t xml:space="preserve">Notes: </w:t>
      </w:r>
      <w:r>
        <w:t>abstract_source=pubmed</w:t>
      </w:r>
    </w:p>
    <w:p>
      <w:pPr>
        <w:spacing w:before="0" w:after="80" w:lineRule="auto" w:line="276"/>
      </w:pPr>
      <w:r>
        <w:rPr>
          <w:b/>
        </w:rPr>
        <w:t xml:space="preserve">摘要（ZH）: </w:t>
      </w:r>
      <w:r>
        <w:t>代谢功能障碍相关脂肪性肝病（MASLD），包括其进展型代谢功能障碍相关脂肪性肝炎（MASH），是代谢综合征的肝脏表现，并日益被认为是一种多器官疾病。MASLD目前是全球最常见的慢性肝病，也是肝移植日益增多的适应症。在久坐生活方式、肥胖流行以及2型糖尿病等相关病理因素的推动下，MASLD的发病率持续上升。MASH是纤维化、肝硬化和肝细胞癌（HCC）——癌症相关死亡的主要原因之一——的重要危险因素。在过去十年中，阐明驱动MASLD发生和进展的分子与细胞机制取得了重大进展。关键的致病过程包括胰岛素抵抗、遗传驱动因素、肝脂质代谢失调、脂毒性、脂肪组织功能障碍、免疫介导的炎症、纤维化以及肠-肝轴紊乱。这些机制性认识正日益指导临床转化。遗传风险变异和多基因风险评分开始能够改善对疾病进展和HCC的风险分层。此外，针对特定代谢通路的治疗策略正在涌现，包括减少肝脏脂肪生成或调节线粒体代谢的方法。本文重点介绍MASH发病机制及其向HCC转变的分子与细胞机制的最新进展。</w:t>
      </w:r>
    </w:p>
    <w:p>
      <w:pPr>
        <w:spacing w:before="0" w:after="200" w:lineRule="auto" w:line="276"/>
      </w:pPr>
      <w:r>
        <w:rPr>
          <w:b/>
        </w:rPr>
        <w:t xml:space="preserve">Abstract (EN): </w:t>
      </w:r>
      <w:r>
        <w:t>Metabolic dysfunction-associated steatotic liver disease (MASLD), including its progressive form metabolic dysfunction-associated steatohepatitis (MASH), represents the hepatic manifestation of metabolic syndrome and is increasingly recognized as a multi-organ disease. MASLD is now the most prevalent chronic liver disease worldwide and a rising indication for liver transplantation. MASLD incidence continues to increase, driven by sedentary lifestyles, the obesity epidemic and associated pathologies such as type 2 diabetes. MASH is a significant risk factor for fibrosis, cirrhosis and hepatocellular carcinoma (HCC)-a leading cause of cancer-related death. Over the past decade, substantial progress has been made in elucidating the molecular and cellular mechanisms driving MASLD initiation and progression. Key pathogenic processes include insulin resistance, genetic drivers, dysregulated hepatic lipid metabolism, lipotoxicity, adipose tissue dysfunction, immune-mediated inflammation, fibrogenesis and perturbations of the gut-liver axis. Increasingly, these mechanistic insights are informing clinical translation. Genetic risk variants and polygenic risk scores are beginning to enable improved risk stratification for disease progression and HCC. Furthermore, therapeutic strategies targeting defined metabolic pathways are emerging, including approaches that reduce hepatic lipogenesis or modulate mitochondrial metabolism. Here we highlight the state of the art of molecular and cellular mechanisms underlying MASH pathogenesis and its transition to HCC.</w:t>
      </w:r>
    </w:p>
    <w:p>
      <w:pPr>
        <w:spacing w:before="120" w:after="120"/>
      </w:pPr>
      <w:r>
        <w:rPr>
          <w:sz w:val="18"/>
        </w:rPr>
        <w:t>——————————————————————————————————————————————————————————————————————</w:t>
      </w:r>
    </w:p>
    <w:p>
      <w:pPr>
        <w:spacing w:before="160" w:after="40" w:line="240" w:lineRule="auto"/>
      </w:pPr>
      <w:r>
        <w:rPr>
          <w:b/>
        </w:rPr>
        <w:t xml:space="preserve">[1146] </w:t>
      </w:r>
      <w:hyperlink r:id="rId1981">
        <w:r>
          <w:rPr>
            <w:color w:val="1155CC"/>
            <w:u w:val="single"/>
          </w:rPr>
          <w:t>MASH的当前治疗格局与未来治疗前景</w:t>
        </w:r>
      </w:hyperlink>
    </w:p>
    <w:p>
      <w:pPr>
        <w:spacing w:before="0" w:after="80"/>
      </w:pPr>
      <w:r>
        <w:rPr>
          <w:i/>
          <w:sz w:val="20"/>
        </w:rPr>
        <w:t>EN: Current therapeutic landscape and future treatment perspectives of MASH</w:t>
      </w:r>
    </w:p>
    <w:p>
      <w:pPr>
        <w:spacing w:before="0" w:after="120"/>
      </w:pPr>
      <w:r>
        <w:rPr>
          <w:b/>
        </w:rPr>
        <w:t xml:space="preserve">Source: </w:t>
      </w:r>
      <w:r>
        <w:t>Nature</w:t>
      </w:r>
      <w:r>
        <w:t xml:space="preserve">    </w:t>
      </w:r>
      <w:r>
        <w:rPr>
          <w:b/>
        </w:rPr>
        <w:t xml:space="preserve">Pub date: </w:t>
      </w:r>
      <w:r>
        <w:t>2026-09-02 00:00:00+00:00</w:t>
      </w:r>
      <w:r>
        <w:t xml:space="preserve">    </w:t>
      </w:r>
      <w:r>
        <w:rPr>
          <w:b/>
        </w:rPr>
        <w:t xml:space="preserve">DOI: </w:t>
      </w:r>
      <w:hyperlink r:id="rId1982">
        <w:r>
          <w:rPr>
            <w:color w:val="1155CC"/>
            <w:u w:val="single"/>
          </w:rPr>
          <w:t>10.1038/s41586-026-10672-8</w:t>
        </w:r>
      </w:hyperlink>
    </w:p>
    <w:p>
      <w:pPr>
        <w:spacing w:before="0" w:after="120"/>
      </w:pPr>
      <w:r>
        <w:rPr>
          <w:b/>
        </w:rPr>
        <w:t xml:space="preserve">Notes: </w:t>
      </w:r>
      <w:r>
        <w:t>abstract_source=pubmed</w:t>
      </w:r>
    </w:p>
    <w:p>
      <w:pPr>
        <w:spacing w:before="0" w:after="80" w:lineRule="auto" w:line="276"/>
      </w:pPr>
      <w:r>
        <w:rPr>
          <w:b/>
        </w:rPr>
        <w:t xml:space="preserve">摘要（ZH）: </w:t>
      </w:r>
      <w:r>
        <w:t>代谢功能障碍相关脂肪性肝炎（MASH）是代谢功能障碍相关脂肪性肝病（MASLD）的进展形式，是一种异质性的系统性疾病，不仅增加肝硬化和肝细胞癌（HCC）的风险，还增加包括心血管疾病和慢性肾病在内的肝外并发症风险。过去十年中，大量晚期临床试验推进了MASH的治疗格局，并以甲状腺激素受体-β（THRβ）激动剂resmetirom和胰高血糖素样肽-1受体（GLP-1R）激动剂司美格鲁肽的加速获批为标志性转折点，为非肝硬化伴纤维化的MASH患者确立了药物治疗选择。与此同时，越来越多的证据表明，MASH包含不同的、部分重叠的疾病亚型，从以加速纤维生成和肝脏相关结局为特征的肝脏中心表型，到以胰岛素抵抗和心血管风险升高为特征的心脏代谢表型。这提示最佳治疗效果需要分层化的、可能联合的治疗策略。除生活方式干预（MASLD管理的基石）外，针对代谢功能障碍（包括PPAR激动剂、FGF21类似物或基于肠促胰素和胰高血糖素的疗法）、纤维生成、炎症和/或肠-肝轴的药物治疗正在兴起。在这篇综述中，我们总结了MASH的治疗格局，并讨论了疾病表型和生物标志物的最新进展如何能够促</w:t>
      </w:r>
    </w:p>
    <w:p>
      <w:pPr>
        <w:spacing w:before="0" w:after="200" w:lineRule="auto" w:line="276"/>
      </w:pPr>
      <w:r>
        <w:rPr>
          <w:b/>
        </w:rPr>
        <w:t xml:space="preserve">Abstract (EN): </w:t>
      </w:r>
      <w:r>
        <w:t>Metabolic dysfunction-associated steatohepatitis (MASH), the progressive form of metabolic dysfunction-associated steatotic liver disease (MASLD), is a heterogeneous and systemic disease that confers risk not only for cirrhosis and hepatocellular carcinoma (HCC) but also for extrahepatic complications including cardiovascular disease and chronic kidney disease. Over the past decade, numerous late-stage clinical trials have advanced the therapeutic landscape of MASH, culminating in a pivotal inflection point with accelerated approval of the thyroid hormone receptor-β (THRβ) agonist resmetirom and the glucagon-like peptide-1 receptor (GLP-1R) agonist semaglutide, establishing pharmacological options for patients with non-cirrhotic MASH and fibrosis. Concurrently, growing evidence indicates that MASH comprises distinct, partially overlapping disease subsets, ranging from liver-centric phenotypes with accelerated fibrogenesis and liver-related outcomes to cardiometabolic phenotypes characterized by insulin resistance and increased cardiovascular risk. This suggests that optimal treatment efficacy will require stratified and potentially combinatorial approaches. In addition to lifestyle interventions, a cornerstone of MASLD management, pharmacotherapies targeting metabolic dysfunction (including PPAR agonists, FGF21 analogues or incretin-based and glucagon-based therapies), fibrogenesis, inflammation and/or the gut-liver axis are emerging. In this Review, we summarize the therapeutic landscape for MASH and discuss how recent advances in disease phenotyping and biomarkers may enable a transition towards personalized therapy.</w:t>
      </w:r>
    </w:p>
    <w:p>
      <w:pPr>
        <w:spacing w:before="120" w:after="120"/>
      </w:pPr>
      <w:r>
        <w:rPr>
          <w:sz w:val="18"/>
        </w:rPr>
        <w:t>——————————————————————————————————————————————————————————————————————</w:t>
      </w:r>
    </w:p>
    <w:p>
      <w:pPr>
        <w:spacing w:before="160" w:after="40" w:line="240" w:lineRule="auto"/>
      </w:pPr>
      <w:r>
        <w:rPr>
          <w:b/>
        </w:rPr>
        <w:t xml:space="preserve">[1147] </w:t>
      </w:r>
      <w:hyperlink r:id="rId1983">
        <w:r>
          <w:rPr>
            <w:color w:val="1155CC"/>
            <w:u w:val="single"/>
          </w:rPr>
          <w:t>利用微加工叉指电极阵列实现电化学自动化</w:t>
        </w:r>
      </w:hyperlink>
    </w:p>
    <w:p>
      <w:pPr>
        <w:spacing w:before="0" w:after="80"/>
      </w:pPr>
      <w:r>
        <w:rPr>
          <w:i/>
          <w:sz w:val="20"/>
        </w:rPr>
        <w:t>EN: Automating electrochemistry with microfabricated interdigitated electrode arrays</w:t>
      </w:r>
    </w:p>
    <w:p>
      <w:pPr>
        <w:spacing w:before="0" w:after="120"/>
      </w:pPr>
      <w:r>
        <w:rPr>
          <w:b/>
        </w:rPr>
        <w:t xml:space="preserve">Source: </w:t>
      </w:r>
      <w:r>
        <w:t>Nature Reviews Clean Technology</w:t>
      </w:r>
      <w:r>
        <w:t xml:space="preserve">    </w:t>
      </w:r>
      <w:r>
        <w:rPr>
          <w:b/>
        </w:rPr>
        <w:t xml:space="preserve">Pub date: </w:t>
      </w:r>
      <w:r>
        <w:t>2026-09-02 00:00:00+00:00</w:t>
      </w:r>
      <w:r>
        <w:t xml:space="preserve">    </w:t>
      </w:r>
      <w:r>
        <w:rPr>
          <w:b/>
        </w:rPr>
        <w:t xml:space="preserve">DOI: </w:t>
      </w:r>
      <w:hyperlink r:id="rId1984">
        <w:r>
          <w:rPr>
            <w:color w:val="1155CC"/>
            <w:u w:val="single"/>
          </w:rPr>
          <w:t>10.1038/s44359-026-00217-7</w:t>
        </w:r>
      </w:hyperlink>
    </w:p>
    <w:p>
      <w:pPr>
        <w:spacing w:before="0" w:after="120"/>
      </w:pPr>
      <w:r>
        <w:rPr>
          <w:b/>
        </w:rPr>
        <w:t xml:space="preserve">Notes: </w:t>
      </w:r>
      <w:r>
        <w:t>abstract_source=rss_nature</w:t>
      </w:r>
    </w:p>
    <w:p>
      <w:pPr>
        <w:spacing w:before="0" w:after="80" w:lineRule="auto" w:line="276"/>
      </w:pPr>
      <w:r>
        <w:rPr>
          <w:b/>
        </w:rPr>
        <w:t xml:space="preserve">摘要（ZH）: </w:t>
      </w:r>
      <w:r>
        <w:t>王梓瑞（Zirui Wang）解释了叉指电极阵列如何用于简化电化学系统的研究。</w:t>
      </w:r>
    </w:p>
    <w:p>
      <w:pPr>
        <w:spacing w:before="0" w:after="200" w:lineRule="auto" w:line="276"/>
      </w:pPr>
      <w:r>
        <w:rPr>
          <w:b/>
        </w:rPr>
        <w:t xml:space="preserve">Abstract (EN): </w:t>
      </w:r>
      <w:r>
        <w:t>Zirui Wang explains how interdigitated electrode arrays can be used to streamline studies for electrochemical systems.</w:t>
      </w:r>
    </w:p>
    <w:p>
      <w:pPr>
        <w:spacing w:before="120" w:after="120"/>
      </w:pPr>
      <w:r>
        <w:rPr>
          <w:sz w:val="18"/>
        </w:rPr>
        <w:t>——————————————————————————————————————————————————————————————————————</w:t>
      </w:r>
    </w:p>
    <w:p>
      <w:pPr>
        <w:spacing w:before="160" w:after="40" w:line="240" w:lineRule="auto"/>
      </w:pPr>
      <w:r>
        <w:rPr>
          <w:b/>
        </w:rPr>
        <w:t xml:space="preserve">[1148] </w:t>
      </w:r>
      <w:hyperlink r:id="rId1846">
        <w:r>
          <w:rPr>
            <w:color w:val="1155CC"/>
            <w:u w:val="single"/>
          </w:rPr>
          <w:t>分子内镍催化还原偶联：四氢异喹啉及相关杂环化合物的对映选择性合成</w:t>
        </w:r>
      </w:hyperlink>
    </w:p>
    <w:p>
      <w:pPr>
        <w:spacing w:before="0" w:after="80"/>
      </w:pPr>
      <w:r>
        <w:rPr>
          <w:i/>
          <w:sz w:val="20"/>
        </w:rPr>
        <w:t>EN: Intramolecular Nickel‐Catalyzed Reductive Coupling: Enantioselective Synthesis of Tetrahydroisoquinolines and Related Heterocycles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46">
        <w:r>
          <w:rPr>
            <w:color w:val="1155CC"/>
            <w:u w:val="single"/>
          </w:rPr>
          <w:t>10.1002/anie.6219487</w:t>
        </w:r>
      </w:hyperlink>
    </w:p>
    <w:p>
      <w:pPr>
        <w:spacing w:before="0" w:after="120"/>
      </w:pPr>
      <w:r>
        <w:rPr>
          <w:b/>
        </w:rPr>
        <w:t xml:space="preserve">Notes: </w:t>
      </w:r>
      <w:r>
        <w:t>abstract_source=crossref</w:t>
      </w:r>
    </w:p>
    <w:p>
      <w:pPr>
        <w:spacing w:before="0" w:after="80" w:lineRule="auto" w:line="276"/>
      </w:pPr>
      <w:r>
        <w:rPr>
          <w:b/>
        </w:rPr>
        <w:t xml:space="preserve">摘要（ZH）: </w:t>
      </w:r>
      <w:r>
        <w:t>摘要 P-手性膦配体 AntPhos 被发现是镍催化带有系链醛基的 5-氨基取代 2,4-二烯酸酯分子内还原偶联反应的首选配体。这种构建杂环化合物的方法在文献中鲜有先例；除其他外，它可便捷地获得含有 anti 构型氨基醇结构单元的羟基化四氢异喹啉衍生物，而这类化合物以光学活性形式制备通常十分困难。这些化合物可进行多样化的下游官能化，例如将系列中的一个代表性成员快速转化为氟化杂环构建模块，以及以两种不同取代形式转化为具有强细胞毒性的菲并喹啉里西啶生物碱的核心区域。详细的 NMR 研究结合晶体学数据表征了主要形成的活性氧杂镍环中间体中烯丙基镍亚单元的键合模式。此外，还获得了与理解该金属催化 C─C 键形成立体化学过程相关的构象方面的认识，该反应在 vic 氨基醇亚单元上生成两个立体中心。</w:t>
      </w:r>
    </w:p>
    <w:p>
      <w:pPr>
        <w:spacing w:before="0" w:after="200" w:lineRule="auto" w:line="276"/>
      </w:pPr>
      <w:r>
        <w:rPr>
          <w:b/>
        </w:rPr>
        <w:t xml:space="preserve">Abstract (EN): </w:t>
      </w:r>
      <w:r>
        <w:t>The P ‐chiral phosphine AntPhos was found to be the ligand of choice for nickel‐catalyzed intramolecular reductive coupling reactions of 5‐amino substituted 2,4‐dienoates bearing a tethered aldehyde. This approach to heterocyclic compounds has little precedent in the literature; it provides, inter alia, ready access to hydroxylated tetrahydroisoquinoline derivatives comprising an anti ‐configured amino alcohol motif, which are difficult to make in optically active form otherwise. These compounds qualify for diverse downstream functionalization as exemplified by the swift elaboration of a representative member of the series into a fluorinated heterocyclic building block as well as into the core region of potently cytotoxic phenanthroquinolizidine alkaloids in two differently substituted formats. Detailed NMR studies in combination with crystallographic data allowed the reactive oxanickelacycle intermediates primarily formed to be characterized with regard to the bonding mode of the allylnickel subunit that they comprise. Moreover, insights into conformational aspects pertinent to the understanding of the stereochemical course of this metal‐catalyzed C─C‐bond formation were gained, which leads to the generation of two stereogenic centers at the vic ‐amino alcohol subunit.</w:t>
      </w:r>
    </w:p>
    <w:p>
      <w:pPr>
        <w:spacing w:before="120" w:after="120"/>
      </w:pPr>
      <w:r>
        <w:rPr>
          <w:sz w:val="18"/>
        </w:rPr>
        <w:t>——————————————————————————————————————————————————————————————————————</w:t>
      </w:r>
    </w:p>
    <w:p>
      <w:pPr>
        <w:spacing w:before="160" w:after="40" w:line="240" w:lineRule="auto"/>
      </w:pPr>
      <w:r>
        <w:rPr>
          <w:b/>
        </w:rPr>
        <w:t xml:space="preserve">[1149] </w:t>
      </w:r>
      <w:hyperlink r:id="rId1985">
        <w:r>
          <w:rPr>
            <w:color w:val="1155CC"/>
            <w:u w:val="single"/>
          </w:rPr>
          <w:t>小鼠背内侧纹状体中胆碱能依赖的多巴胺信号受额叶皮层而非感觉皮层调控</w:t>
        </w:r>
      </w:hyperlink>
    </w:p>
    <w:p>
      <w:pPr>
        <w:spacing w:before="0" w:after="80"/>
      </w:pPr>
      <w:r>
        <w:rPr>
          <w:i/>
          <w:sz w:val="20"/>
        </w:rPr>
        <w:t>EN: Cholinergic-dependent dopamine signals in mouse dorsomedial striatum are regulated by frontal but not sensory cortices</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日常决策依赖于感觉刺激、动作与结果之间的联系。纹状体通过多巴胺依赖的可塑性支持这些感觉运动联系。近期工作表征了一个局部纹状体微回路，其中胆碱能中间神经元（CIN）通过激活多巴胺轴突上的烟碱型受体来调节多巴胺释放。在此，我们显示视觉刺激部分通过这种胆碱能机制在背内侧纹状体诱发多巴胺释放。利用解剖学和功能学方法鉴定相关通路，我们发现视觉皮层和听觉皮层与CIN缺乏连接，无法驱动胆碱能依赖的多巴胺释放。被视觉刺激激活的额叶区域则强烈募集CIN，在体外和体内均产生强健的多巴胺释放。这些发现揭示了感觉皮层与额叶皮层纹状体输入之间的根本区别，证明只有后者能够诱发胆碱能依赖的多巴胺信号。这项工作为理解皮层回路如何塑造纹状体多巴胺以支持强化学习建立了框架。</w:t>
      </w:r>
    </w:p>
    <w:p>
      <w:pPr>
        <w:spacing w:before="0" w:after="200" w:lineRule="auto" w:line="276"/>
      </w:pPr>
      <w:r>
        <w:rPr>
          <w:b/>
        </w:rPr>
        <w:t xml:space="preserve">Abstract (EN): </w:t>
      </w:r>
      <w:r>
        <w:t>Everyday decisions depend on associations between sensory stimuli, actions, and outcomes. The striatum supports these sensorimotor associations through dopamine-dependent plasticity. Recent work has characterized a local striatal microcircuit in which cholinergic interneurons (CINs) modulate dopamine release via activation of nicotinic receptors on dopamine axons. Here, we show that visual stimuli evoke dopamine in the dorsomedial striatum partly through this cholinergic mechanism. Using anatomical and functional methods to identify the pathways involved, we found that visual and auditory cortices lack connectivity with CINs and were unable to drive cholinergic-dependent dopamine release. Frontal regions, which were activated by visual stimuli, strongly recruited CINs, producing robust dopamine release both ex vivo and in vivo. These findings reveal a fundamental distinction between sensory and frontal corticostriatal inputs, demonstrating that only the latter can evoke cholinergic-dependent dopamine signals. This work establishes a framework for understanding how cortical circuits shape striatal dopamine to support reinforcement learning.</w:t>
      </w:r>
    </w:p>
    <w:p>
      <w:pPr>
        <w:spacing w:before="120" w:after="120"/>
      </w:pPr>
      <w:r>
        <w:rPr>
          <w:sz w:val="18"/>
        </w:rPr>
        <w:t>——————————————————————————————————————————————————————————————————————</w:t>
      </w:r>
    </w:p>
    <w:p>
      <w:pPr>
        <w:spacing w:before="160" w:after="40" w:line="240" w:lineRule="auto"/>
      </w:pPr>
      <w:r>
        <w:rPr>
          <w:b/>
        </w:rPr>
        <w:t xml:space="preserve">[1150] </w:t>
      </w:r>
      <w:hyperlink r:id="rId1986">
        <w:r>
          <w:rPr>
            <w:color w:val="1155CC"/>
            <w:u w:val="single"/>
          </w:rPr>
          <w:t>小鼠Dlk1-Dio3域母源印记的调控机制</w:t>
        </w:r>
      </w:hyperlink>
    </w:p>
    <w:p>
      <w:pPr>
        <w:spacing w:before="0" w:after="80"/>
      </w:pPr>
      <w:r>
        <w:rPr>
          <w:i/>
          <w:sz w:val="20"/>
        </w:rPr>
        <w:t>EN: Regulatory mechanisms of maternal imprinting at the murine Dlk1-Dio3 domain</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基因组印记是一种导致亲本来源特异性基因表达的表观遗传过程。Dlk1-Dio3结构域是最大的印记基因簇之一。虽然印记控制区域（ICR）内一个基因间CpG岛（IG-CGI）的DNA甲基化控制来自父源染色体的表达，但调控未甲基化母源染色体的机制仍不清楚。在ICR的转录调控元件（IG-TRE）内，体外缺失实验鉴定出一个同时具有沉默和增强活性的最小区域，其中SOX2和ZFP281有助于母源染色体上的增强子功能。然而在体内，该缺失并不影响小鼠胚胎中的母源表达，反而激活了两个亲本染色体上的Dlk1。将该IG-TRE缺失与致死的IG-CGI缺失相结合，通过平衡Dlk1表达挽救了小鼠的致死表型，尽管母源基因仍持续上调。这些结果表明该结构域表达的丧失比获得更为有害，凸显了体内分析的重要性。在未甲基化母源染色体上鉴定活性调控因子，挑战了印记主要是由甲基化驱动现象的主流观点，进一步揭示了支配印记调控的精细分层机制。</w:t>
      </w:r>
    </w:p>
    <w:p>
      <w:pPr>
        <w:spacing w:before="0" w:after="200" w:lineRule="auto" w:line="276"/>
      </w:pPr>
      <w:r>
        <w:rPr>
          <w:b/>
        </w:rPr>
        <w:t xml:space="preserve">Abstract (EN): </w:t>
      </w:r>
      <w:r>
        <w:t>Genomic imprinting is an epigenetic process causing parent-of-origin specific gene expression. The Dlk1-Dio3 domain is one of the largest imprinted clusters. While DNA methylation at an intergenic CpG-island (IG-CGI) within the imprinting control region (ICR) controls expression from the paternal chromosome, mechanisms regulating the unmethylated maternal chromosome remain unknown. Within the transcriptional regulatory element (IG-TRE) of the ICR, deletions identified a minimal region in vitro exhibiting both silencing and enhancing activity, with SOX2 and ZFP281 contributing to enhancer function on the maternal chromosome. In vivo, however, this deletion did not affect maternal expression in mouse embryos; instead it activated Dlk1 on both parental chromosomes. Combining deletion of this IG-TRE with the lethal IG-CGI deletion rescued lethality in mice by balancing Dlk1 expression, despite persistent maternal gene upregulation. These results demonstrate that loss of expression at this domain is more detrimental than gain, highlighting the importance of in vivo analysis. Identification of active regulatory factors on the unmethylated maternal chromosome challenges the prevailing view that imprinting is primarily a methylation-driven phenomenon, further revealing the sophisticated hierarchical mechanisms governing imprinting control.</w:t>
      </w:r>
    </w:p>
    <w:p>
      <w:pPr>
        <w:spacing w:before="120" w:after="120"/>
      </w:pPr>
      <w:r>
        <w:rPr>
          <w:sz w:val="18"/>
        </w:rPr>
        <w:t>——————————————————————————————————————————————————————————————————————</w:t>
      </w:r>
    </w:p>
    <w:p>
      <w:pPr>
        <w:spacing w:before="160" w:after="40" w:line="240" w:lineRule="auto"/>
      </w:pPr>
      <w:r>
        <w:rPr>
          <w:b/>
        </w:rPr>
        <w:t xml:space="preserve">[1151] </w:t>
      </w:r>
      <w:hyperlink r:id="rId1987">
        <w:r>
          <w:rPr>
            <w:color w:val="1155CC"/>
            <w:u w:val="single"/>
          </w:rPr>
          <w:t>Zfp57与Gzf1的相互、甲基化依赖性结合在发育重编程过程中保障Dlk1-Dio3印记</w:t>
        </w:r>
      </w:hyperlink>
    </w:p>
    <w:p>
      <w:pPr>
        <w:spacing w:before="0" w:after="80"/>
      </w:pPr>
      <w:r>
        <w:rPr>
          <w:i/>
          <w:sz w:val="20"/>
        </w:rPr>
        <w:t>EN: Reciprocal, methylation-dependent binding of Zfp57 and Gzf1 safeguards Dlk1-Dio3 imprinting during developmental reprogramming</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基因组印记通过印记控制区域（ICR）的差异性DNA甲基化确保亲本特异性基因表达。然而，未甲基化等位基因如何抵抗从头甲基化仍不清楚。利用等位基因Dlk1-Dio3 ICR甲基化报告系统和全基因组功能缺失筛选，我们鉴定出锌指蛋白GZF1，它结合未甲基化的母源ICR，并通过一个含有GZF1和ZFP57基序、介导互斥且依赖于甲基化的结合的调控元件，保护其免于从头甲基化。任一因子的缺失均导致相互对应的印记失败：Gzf1缺失诱导母源等位基因甲基化、H3K4me3耗竭及母源转录本沉默，而Zfp57缺失则导致母源化。值得注意的是，GZF1在卵母细胞和胚胎中均保护未甲基化ICR免于从头甲基化，其缺失导致与母源等位基因父源化一致的围产期死亡。总之，我们的发现确立了一种在印记建立和胚胎重编程过程中均维持亲本表观遗传不对称性的相互对应机制。</w:t>
      </w:r>
    </w:p>
    <w:p>
      <w:pPr>
        <w:spacing w:before="0" w:after="200" w:lineRule="auto" w:line="276"/>
      </w:pPr>
      <w:r>
        <w:rPr>
          <w:b/>
        </w:rPr>
        <w:t xml:space="preserve">Abstract (EN): </w:t>
      </w:r>
      <w:r>
        <w:t>Genomic imprinting secures parent-specific gene expression through differential DNA methylation at imprinted control regions (ICRs). However, how unmethylated alleles resist de novo methylation remains unclear. Using an allelic Dlk1-Dio3 ICR methylation reporter and genome-wide loss-of-function screening, we identify the zinc finger protein GZF1 that binds the unmethylated maternal ICR and protects it from de novo methylation via a regulatory element containing GZF1 and ZFP57 motifs that mediates mutually exclusive, methylation-dependent binding. Loss of either factor causes reciprocal imprinting failure: Gzf1 loss induces maternal allele methylation, H3K4me3 depletion, and silencing of maternal transcripts, whereas Zfp57 loss results in maternalization. Remarkably, GZF1 protects the unmethylated ICR from de novo methylation in both oocytes and embryos, and its loss leads to perinatal death consistent with paternalization of the maternal allele. Together, our findings establish a reciprocal mechanism that maintains parental epigenetic asymmetry across both imprint establishment and embryonic reprogramming.</w:t>
      </w:r>
    </w:p>
    <w:p>
      <w:pPr>
        <w:spacing w:before="120" w:after="120"/>
      </w:pPr>
      <w:r>
        <w:rPr>
          <w:sz w:val="18"/>
        </w:rPr>
        <w:t>——————————————————————————————————————————————————————————————————————</w:t>
      </w:r>
    </w:p>
    <w:p>
      <w:pPr>
        <w:spacing w:before="160" w:after="40" w:line="240" w:lineRule="auto"/>
      </w:pPr>
      <w:r>
        <w:rPr>
          <w:b/>
        </w:rPr>
        <w:t xml:space="preserve">[1152] </w:t>
      </w:r>
      <w:hyperlink r:id="rId1848">
        <w:r>
          <w:rPr>
            <w:color w:val="1155CC"/>
            <w:u w:val="single"/>
          </w:rPr>
          <w:t>二维共价有机框架作为用于电化学晶体管的稳健n型有机混合离子-电子导体</w:t>
        </w:r>
      </w:hyperlink>
    </w:p>
    <w:p>
      <w:pPr>
        <w:spacing w:before="0" w:after="80"/>
      </w:pPr>
      <w:r>
        <w:rPr>
          <w:i/>
          <w:sz w:val="20"/>
        </w:rPr>
        <w:t>EN: 2D Covalent Organic Frameworks as Robust n‐Type Organic Mixed Ionic‐Electronic Conductors for Electrochemical Transistors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48">
        <w:r>
          <w:rPr>
            <w:color w:val="1155CC"/>
            <w:u w:val="single"/>
          </w:rPr>
          <w:t>10.1002/anie.5032409</w:t>
        </w:r>
      </w:hyperlink>
    </w:p>
    <w:p>
      <w:pPr>
        <w:spacing w:before="0" w:after="120"/>
      </w:pPr>
      <w:r>
        <w:rPr>
          <w:b/>
        </w:rPr>
        <w:t xml:space="preserve">Notes: </w:t>
      </w:r>
      <w:r>
        <w:t>abstract_source=crossref</w:t>
      </w:r>
    </w:p>
    <w:p>
      <w:pPr>
        <w:spacing w:before="0" w:after="80" w:lineRule="auto" w:line="276"/>
      </w:pPr>
      <w:r>
        <w:rPr>
          <w:b/>
        </w:rPr>
        <w:t xml:space="preserve">摘要（ZH）: </w:t>
      </w:r>
      <w:r>
        <w:t>摘要 具有独特电化学调制以及离子-电子耦合的有机混合离子-电子导体（OMIECs）在生物电子学、逻辑电路和可穿戴器件中展现出引人瞩目的效率。然而，OMIECs通常是线性聚合物，其在电化学掺杂过程中过度的结构溶胀和形貌无序导致性能低下和不稳定。本文报道了n型二维共价有机框架（2D COFs）作为新型OMIECs（BTID-BFDO COF和BTDD-BFDO COF）。刚性π共轭骨架既充当电荷传输通道又充当离子-电子耦合平面，而纳米通道则作为快速离子传输的方向性导管。与线性对应物相比，基于2D OMIECs的OECTs表现出适宜的阈值电压、开关比（10^3）和高稳定性（连续运行期间调制电流保持率为91.3%）(</w:t>
      </w:r>
    </w:p>
    <w:p>
      <w:pPr>
        <w:spacing w:before="0" w:after="200" w:lineRule="auto" w:line="276"/>
      </w:pPr>
      <w:r>
        <w:rPr>
          <w:b/>
        </w:rPr>
        <w:t xml:space="preserve">Abstract (EN): </w:t>
      </w:r>
      <w:r>
        <w:t>Organic mixed ionic‐electronic conductors (OMIECs) with exclusive electrochemical modulation and coupling between ions and electrons have exhibited intriguing efficiencies in bioelectronics, logic circuits, and wearable devices. However, OMIECs are typically linear polymers whose excessive structural swelling and morphological disorder during electrochemical doping led to low performance and instability. Here, we report n‐type 2D covalent organic frameworks (2D COFs) as novel OMIECs (BTID‐BFDO COF and BTDD‐BFDO COF). The rigid π‐conjugated scaffold functions as both a charge transport pathway and an ion‐electron coupling plane, whilst the nanochannels serve as directional conduits for rapid ion transport. 2D OMIECs‐based OECTs exhibit favorable threshold voltages (on /I off ratios (10 3 ) and high stability (modulation current retention rate of 91.3% during continuous operation) compared with the linear counterpart (</w:t>
      </w:r>
    </w:p>
    <w:p>
      <w:pPr>
        <w:spacing w:before="120" w:after="120"/>
      </w:pPr>
      <w:r>
        <w:rPr>
          <w:sz w:val="18"/>
        </w:rPr>
        <w:t>——————————————————————————————————————————————————————————————————————</w:t>
      </w:r>
    </w:p>
    <w:p>
      <w:pPr>
        <w:spacing w:before="160" w:after="40" w:line="240" w:lineRule="auto"/>
      </w:pPr>
      <w:r>
        <w:rPr>
          <w:b/>
        </w:rPr>
        <w:t xml:space="preserve">[1153] </w:t>
      </w:r>
      <w:hyperlink r:id="rId1988">
        <w:r>
          <w:rPr>
            <w:color w:val="1155CC"/>
            <w:u w:val="single"/>
          </w:rPr>
          <w:t>全集成样本到答案诊断平台实现移植后感染的即时快速定量检测</w:t>
        </w:r>
      </w:hyperlink>
    </w:p>
    <w:p>
      <w:pPr>
        <w:spacing w:before="0" w:after="80"/>
      </w:pPr>
      <w:r>
        <w:rPr>
          <w:i/>
          <w:sz w:val="20"/>
        </w:rPr>
        <w:t>EN: A fully integrated sample-to-answer diagnostic platform enables rapid quantification of post-transplant infection at the point-of-care</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器官移植后的机会性感染需要在多年内进行频繁监测。然而，目前的诊断检测在资源有限地区的患者中难以获得。本文中，我们提出了用于现场报告的微流控增强核酸检测（MONITOR），这是一个全集成、样本进结果出（sample-in-answer-out）的平台，用于机会性感染的床旁检测。MONITOR采用基因特异性DNAzyme，与重组酶聚合酶扩增结合后，可实现具有单分子灵敏度的类CRISPR反式切割信号放大。该平台还整合了快速免提取的尿液样本处理流程、用于无冷链储存和运输的冻干检测试剂，以及用于自包含、无污染流体处理的3D打印微流控芯片。此外还开发了便携式实时荧光读取器和智能手机应用程序，以实现现场定量。临床验证显示，在所测试的队列中与qPCR完全一致，现场试验识别出患有系统性BK多瘤病毒感染的高危患者。MONITOR满足床旁检测的理想标准，为资源有限环境中去中心化、定量的病毒监测提供了实用解决方案。</w:t>
      </w:r>
    </w:p>
    <w:p>
      <w:pPr>
        <w:spacing w:before="0" w:after="200" w:lineRule="auto" w:line="276"/>
      </w:pPr>
      <w:r>
        <w:rPr>
          <w:b/>
        </w:rPr>
        <w:t xml:space="preserve">Abstract (EN): </w:t>
      </w:r>
      <w:r>
        <w:t>Opportunistic infections after organ transplantation require frequent monitoring over years. However, current diagnostic tests are inaccessible to patients in resource-limited settings. Here, we present a microfluidic-enhanced nucleic acid test for on-site reporting (MONITOR), a fully integrated, sample-in-answer-out platform for point-of-care (POC) detection of opportunistic infections. MONITOR employs a gene-specific DNAzyme that, upon integration with recombinase polymerase amplification, enables CRISPR-like trans-cleavage signal amplification with single-molecule sensitivity. It further incorporates a rapid, extraction-free protocol for processing the urine sample, lyophilized assay reagents for cold-chain-free storage and transportation, and a 3D-printed microfluidic cartridge for self-contained, contamination-free fluid handling. A portable real-time fluorescence reader and smartphone application are further developed to enable on-site quantification. Clinical validation showed complete concordance with qPCR across the tested cohorts and a field trial identified high-risk patients with systemic BK polyomavirus infection. MONITOR fulfills ideal criteria for POC testing, offering a practical solution for decentralized, quantitative viral monitoring in low-resource settings.</w:t>
      </w:r>
    </w:p>
    <w:p>
      <w:pPr>
        <w:spacing w:before="120" w:after="120"/>
      </w:pPr>
      <w:r>
        <w:rPr>
          <w:sz w:val="18"/>
        </w:rPr>
        <w:t>——————————————————————————————————————————————————————————————————————</w:t>
      </w:r>
    </w:p>
    <w:p>
      <w:pPr>
        <w:spacing w:before="160" w:after="40" w:line="240" w:lineRule="auto"/>
      </w:pPr>
      <w:r>
        <w:rPr>
          <w:b/>
        </w:rPr>
        <w:t xml:space="preserve">[1154] </w:t>
      </w:r>
      <w:hyperlink r:id="rId1989">
        <w:r>
          <w:rPr>
            <w:color w:val="1155CC"/>
            <w:u w:val="single"/>
          </w:rPr>
          <w:t>神经支配的人心肌模型揭示交感神经对KCNH2相关心律失常的驱动作用</w:t>
        </w:r>
      </w:hyperlink>
    </w:p>
    <w:p>
      <w:pPr>
        <w:spacing w:before="0" w:after="80"/>
      </w:pPr>
      <w:r>
        <w:rPr>
          <w:i/>
          <w:sz w:val="20"/>
        </w:rPr>
        <w:t>EN: Innervated human cardiac muscle model reveals sympathetic drivers of KCNH2-associated arrhythmias</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心脏自主神经元调节收缩性。自主神经系统失调可导致交感神经过度兴奋，进而引发心力衰竭和致命性心律失常。本文中，我们介绍了神经支配的工程化人体心肌，这是一种神经-心脏接头模型，通过融合交感神经元类器官和工程化人体心肌构建而成。交感神经元的突起在与心肌细胞邻近处形成突触前终末，并靠近在iEHM中共同发育的广泛血管网络。对相应工程化神经元组分进行光遗传学刺激后观察到的收缩反应证实了功能性神经-心脏接头的形成。在iEHM中建模长QT综合征2型揭示了交感神经元过度活动和后除极，凸显了交感神经驱动在KCNH2相关心律失常中的核心作用。β-肾上腺素能受体阻滞不足以挽救致心律失常表型，而同时作用于神经元和心肌细胞的美西律则更为有效。总之，我们的数据确立了iEHM作为一种新方法学，为机制研究和药理学检测提供了与人体相关、生理整合的模型。</w:t>
      </w:r>
    </w:p>
    <w:p>
      <w:pPr>
        <w:spacing w:before="0" w:after="200" w:lineRule="auto" w:line="276"/>
      </w:pPr>
      <w:r>
        <w:rPr>
          <w:b/>
        </w:rPr>
        <w:t xml:space="preserve">Abstract (EN): </w:t>
      </w:r>
      <w:r>
        <w:t>Cardiac autonomic neurons regulate contractility. Autonomic nervous system dysregulation can cause sympathetic overdrive, leading to heart failure, and fatal arrhythmias. Here, we introduce innervated engineered human myocardium (iEHM), a model of neuro-cardiac junctions, constructed by fusing sympathetic neuronal organoids (SNO) and engineered human myocardium (EHM). Projections of sympathetic neurons formed presynaptic terminals in close proximity to cardiomyocytes and to the extensive vascular network co-developing in iEHM. Contractile responses to optogenetic stimulation of the accordingly engineered neuronal component demonstrated functional neuro-cardiac junctions. Modeling long-QT 2 in iEHM revealed sympathetic neuron hyperactivity and after depolarizations, underscoring a central role for sympathetic drive in KCNH2-associated arrhythmias. β-adrenoreceptor blockade was insufficient to rescue the pro-arrhythmic phenotype, while mexiletine targeting both neurons and cardiomyocytes, proved to be more effective. Collectively, our data establishes iEHM as a New Approach Methodology that provides a human-relevant, physiologically integrated model for mechanistic investigations and pharmacological testing.</w:t>
      </w:r>
    </w:p>
    <w:p>
      <w:pPr>
        <w:spacing w:before="120" w:after="120"/>
      </w:pPr>
      <w:r>
        <w:rPr>
          <w:sz w:val="18"/>
        </w:rPr>
        <w:t>——————————————————————————————————————————————————————————————————————</w:t>
      </w:r>
    </w:p>
    <w:p>
      <w:pPr>
        <w:spacing w:before="160" w:after="40" w:line="240" w:lineRule="auto"/>
      </w:pPr>
      <w:r>
        <w:rPr>
          <w:b/>
        </w:rPr>
        <w:t xml:space="preserve">[1155] </w:t>
      </w:r>
      <w:hyperlink r:id="rId1990">
        <w:r>
          <w:rPr>
            <w:color w:val="1155CC"/>
            <w:u w:val="single"/>
          </w:rPr>
          <w:t>大肠杆菌RNA聚合酶转录hachimoji八字母碱基体系的结构基础</w:t>
        </w:r>
      </w:hyperlink>
    </w:p>
    <w:p>
      <w:pPr>
        <w:spacing w:before="0" w:after="80"/>
      </w:pPr>
      <w:r>
        <w:rPr>
          <w:i/>
          <w:sz w:val="20"/>
        </w:rPr>
        <w:t>EN: Structural basis of transcription of the hachimoji eight-letter alphabet by E. coli RNA polymerase</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含合成核苷酸的扩展遗传字母表可大幅增加核酸的化学多样性，从而实现新的分子功能。由于细胞转录由多亚基RNA聚合酶执行，非天然碱基对与该机制的兼容性对于构建扩展遗传系统至关重要。本文中，我们证明大肠杆菌RNA聚合酶能够高效转录包含两个正交非天然碱基对（P:Z和B:S碱基对）的八字母遗传字母表。为克服G:Z错掺入，我们合成了一种更高保真度的类似物，称为Z*，其中C5硝基被替换为甲酰胺基。为阐明底物识别机制，我们解析了RNA聚合酶掺入dZ:PTP或dP:Z*TP的四个冷冻电镜结构，分辨率为2.42–2.75 Å。这些结构结合我们此前关于S:B碱基对的研究表明，大肠杆菌RNA聚合酶能够以与天然碱基对相同的方式高效识别这些非天然碱基对。总之，这些结果确立了八字母遗传字母表用于转录的可行性。</w:t>
      </w:r>
    </w:p>
    <w:p>
      <w:pPr>
        <w:spacing w:before="0" w:after="200" w:lineRule="auto" w:line="276"/>
      </w:pPr>
      <w:r>
        <w:rPr>
          <w:b/>
        </w:rPr>
        <w:t xml:space="preserve">Abstract (EN): </w:t>
      </w:r>
      <w:r>
        <w:t>Expanded genetic alphabets with synthetic nucleotides can greatly increase the chemical diversity of nucleic acids, enabling new molecular functions. Because cellular transcription is executed by multi-subunit RNA polymerases, the compatibility of unnatural base pairs with this machinery is essential for engineering expanded genetic systems. Here we demonstrate that Escherichia coli RNA polymerase efficiently transcribes an eight-letter genetic alphabet with two orthogonal unnatural base pairs: P:Z and B:S pairs. To overcome G:Z misincorporation, we synthesize a higher-fidelity analogue, termed Z*, in which the C5 nitro group is replaced with a carboxamide. To elucidate substrate-recognition mechanisms, we determine four cryo-electron microscopy structures of RNA polymerase incorporating dZ:PTP or dP:Z*TP at 2.42–2.75 Å resolution. These structures, together with our early work on S:B pair, show that E. coli RNA polymerase is able to efficiently recognize these unnatural base pairs in the same manner as natural base pairs. Collectively, these results establish the feasibility of an eight-letter genetic alphabet for transcription.</w:t>
      </w:r>
    </w:p>
    <w:p>
      <w:pPr>
        <w:spacing w:before="120" w:after="120"/>
      </w:pPr>
      <w:r>
        <w:rPr>
          <w:sz w:val="18"/>
        </w:rPr>
        <w:t>——————————————————————————————————————————————————————————————————————</w:t>
      </w:r>
    </w:p>
    <w:p>
      <w:pPr>
        <w:spacing w:before="160" w:after="40" w:line="240" w:lineRule="auto"/>
      </w:pPr>
      <w:r>
        <w:rPr>
          <w:b/>
        </w:rPr>
        <w:t xml:space="preserve">[1156] </w:t>
      </w:r>
      <w:hyperlink r:id="rId1991">
        <w:r>
          <w:rPr>
            <w:color w:val="1155CC"/>
            <w:u w:val="single"/>
          </w:rPr>
          <w:t>α-突触核蛋白疾病变异体对凝聚体形成的双重效应</w:t>
        </w:r>
      </w:hyperlink>
    </w:p>
    <w:p>
      <w:pPr>
        <w:spacing w:before="0" w:after="80"/>
      </w:pPr>
      <w:r>
        <w:rPr>
          <w:i/>
          <w:sz w:val="20"/>
        </w:rPr>
        <w:t>EN: Dual effect of α-synuclein disease variants on condensate formation</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α-突触核蛋白是一种突触前蛋白，与突触核蛋白病相关，包括帕金森病、帕金森病痴呆和路易体痴呆，在这些疾病中它积累于被称为路易体和路易突起的细胞内聚集体中。近期研究报道，α-突触核蛋白在体外和哺乳动物细胞中均可发生相分离形成生物分子凝聚体。据认为，α-突触核蛋白凝聚体通过渐进性聚集促进疾病发生。本文表明，特定的PD相关α-突触核蛋白变异体无法形成生物分子凝聚体。我们证明，仅有两个与疾病相关的α-突触核蛋白变异体E46K和E83Q可增强凝聚体形成，而其他α-突触核蛋白疾病变异体（包括A30G、G51D和A53E）在细胞中无法形成凝聚体。在iPSC来源的神经元中，不同α-突触核蛋白变异体的突触富集程度与其经由VAMP2介导发生相分离的倾向相关。我们的结果强调，α-突触核蛋白功能障碍可能遵循不同的路径，表现为凝聚体形成的增强和减弱。</w:t>
      </w:r>
    </w:p>
    <w:p>
      <w:pPr>
        <w:spacing w:before="0" w:after="200" w:lineRule="auto" w:line="276"/>
      </w:pPr>
      <w:r>
        <w:rPr>
          <w:b/>
        </w:rPr>
        <w:t xml:space="preserve">Abstract (EN): </w:t>
      </w:r>
      <w:r>
        <w:t>α-synuclein is a pre-synaptic protein implicated in synucleinopathies including Parkinson’s disease, Parkinson’s disease dementia, and dementia with Lewy bodies, where it accumulates in intracellular aggregates termed Lewy bodies and Lewy neurites. Recent studies have reported that α-synuclein undergoes phase separation to form biomolecular condensates both in vitro and in mammalian cells. α-synuclein condensates are thought to contribute to disease through progressive aggregation. Here we show that specific PD-associated α-synuclein variants fail to form biomolecular condensates. We demonstrate that only two α-synuclein variants associated with disease, E46K and E83Q, enhance condensate formation. While other α-synuclein disease variants including A30G, G51D, and A53E fail to form condensates in cells. In iPSC-derived neurons, the extent of synaptic enrichment of different α-synuclein variants is linked to their propensity to undergo VAMP2-mediated phase separation. Our results emphasize that α-synuclein dysfunction may follow divergent pathways, with both increased and decreased condensate formation.</w:t>
      </w:r>
    </w:p>
    <w:p>
      <w:pPr>
        <w:spacing w:before="120" w:after="120"/>
      </w:pPr>
      <w:r>
        <w:rPr>
          <w:sz w:val="18"/>
        </w:rPr>
        <w:t>——————————————————————————————————————————————————————————————————————</w:t>
      </w:r>
    </w:p>
    <w:p>
      <w:pPr>
        <w:spacing w:before="160" w:after="40" w:line="240" w:lineRule="auto"/>
      </w:pPr>
      <w:r>
        <w:rPr>
          <w:b/>
        </w:rPr>
        <w:t xml:space="preserve">[1157] </w:t>
      </w:r>
      <w:hyperlink r:id="rId1992">
        <w:r>
          <w:rPr>
            <w:color w:val="1155CC"/>
            <w:u w:val="single"/>
          </w:rPr>
          <w:t>生成化学背景下的多目标优化</w:t>
        </w:r>
      </w:hyperlink>
    </w:p>
    <w:p>
      <w:pPr>
        <w:spacing w:before="0" w:after="80"/>
      </w:pPr>
      <w:r>
        <w:rPr>
          <w:i/>
          <w:sz w:val="20"/>
        </w:rPr>
        <w:t>EN: Multi-objective optimization in the context of generative chemistry</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设计新药需要在多个相互竞争的目标之间取得平衡，包括生物活性、药代动力学和安全性。随着生成化学不断扩大我们探索化学空间的能力，如何定义、组合和评估这些目标的选择变得日益重要。在本视角文章中，我们讨论了多目标优化在分子生成中的作用，重点阐述了实际考量、方法学挑战以及将这些方法转化为有效药物发现工具的新兴机遇。</w:t>
      </w:r>
    </w:p>
    <w:p>
      <w:pPr>
        <w:spacing w:before="0" w:after="200" w:lineRule="auto" w:line="276"/>
      </w:pPr>
      <w:r>
        <w:rPr>
          <w:b/>
        </w:rPr>
        <w:t xml:space="preserve">Abstract (EN): </w:t>
      </w:r>
      <w:r>
        <w:t>Designing new medicines requires balancing multiple competing objectives, including biological activity, pharmacokinetics and safety. As generative chemistry expands our ability to explore chemical space, the choice of how objectives are defined, combined and evaluated becomes increasingly important. In this Perspective, we discuss the role of multi-objective optimization in molecular generation, highlighting practical considerations, methodological challenges and emerging opportunities for translating these approaches into effective drug discovery tools.</w:t>
      </w:r>
    </w:p>
    <w:p>
      <w:pPr>
        <w:spacing w:before="120" w:after="120"/>
      </w:pPr>
      <w:r>
        <w:rPr>
          <w:sz w:val="18"/>
        </w:rPr>
        <w:t>——————————————————————————————————————————————————————————————————————</w:t>
      </w:r>
    </w:p>
    <w:p>
      <w:pPr>
        <w:spacing w:before="160" w:after="40" w:line="240" w:lineRule="auto"/>
      </w:pPr>
      <w:r>
        <w:rPr>
          <w:b/>
        </w:rPr>
        <w:t xml:space="preserve">[1158] </w:t>
      </w:r>
      <w:hyperlink r:id="rId1993">
        <w:r>
          <w:rPr>
            <w:color w:val="1155CC"/>
            <w:u w:val="single"/>
          </w:rPr>
          <w:t>利用大鼠单核测序鉴定并验证中央杏仁核FGFR1作为酒精使用障碍的治疗靶点</w:t>
        </w:r>
      </w:hyperlink>
    </w:p>
    <w:p>
      <w:pPr>
        <w:spacing w:before="0" w:after="80"/>
      </w:pPr>
      <w:r>
        <w:rPr>
          <w:i/>
          <w:sz w:val="20"/>
        </w:rPr>
        <w:t>EN: Identification and validation of central amygdala FGFR1 as a therapeutic target for alcohol use disorder using single-nucleus sequencing in rats</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少数饮酒者会发展为酒精成瘾，其特征是不顾负面后果仍持续饮酒，被称为强迫样行为。我们此前表明，强迫样饮酒行为的易感性可以在大鼠中通过惩罚性酒精自我给药建模，并且在雄性大鼠中由杏仁核中央核（CeA）中的PKCδ+神经元介导。在此，我们利用细胞类型特异性转录组学来识别该行为个体差异背后的分子机制。转录变化仅限于少数CeA神经元群体，包括PKCδ+神经元，其中加权基因共表达网络分析在抗惩罚大鼠中识别出一个上调的共表达模块，其可药物靶向的上游调节因子为FGFR1。在PKCδ+神经元中选择性沉默FgfR1可使升高的PKCδ+表达正常化，并减少抗惩罚性酒精自我给药。全身给予FgfR1拮抗剂PD173074可重现这一效应。这些发现识别了促进成瘾易感性的不同CeA回路，并将FGFR1定位为潜在的治疗靶点。</w:t>
      </w:r>
    </w:p>
    <w:p>
      <w:pPr>
        <w:spacing w:before="0" w:after="200" w:lineRule="auto" w:line="276"/>
      </w:pPr>
      <w:r>
        <w:rPr>
          <w:b/>
        </w:rPr>
        <w:t xml:space="preserve">Abstract (EN): </w:t>
      </w:r>
      <w:r>
        <w:t>A significant minority of alcohol users develop alcohol addiction, characterized by continued use despite negative consequences, referred to as compulsive-like. We previously showed that vulnerability to compulsive-like alcohol use can be modeled in rats using punished alcohol self-administration and in male rats is mediated by PKCδ+ neurons in the central nucleus of the amygdala (CeA). Here, we used cell-type-specific transcriptomics to identify molecular mechanisms underlying individual differences in this behavior. Transcriptional changes were restricted to a limited number of CeA neuronal populations, including PKCδ+ neurons, where weighted Gene Co-expression Network Analysis identified an upregulated co-expression module in punishment-resistant rats with FGFR1 as a druggable upstream regulator. Selective silencing of FgfR1 in PKCδ+ neurons normalized elevated PKCδ+ expression, and reduced punishment-resistant alcohol self-administration. This effect was recapitulated by systemic administration of the FgfR1-antagonist PD173074. These findings identify distinct CeA circuits that promote addiction vulnerability, and position FGFR1 as potential therapeutic targets.</w:t>
      </w:r>
    </w:p>
    <w:p>
      <w:pPr>
        <w:spacing w:before="120" w:after="120"/>
      </w:pPr>
      <w:r>
        <w:rPr>
          <w:sz w:val="18"/>
        </w:rPr>
        <w:t>——————————————————————————————————————————————————————————————————————</w:t>
      </w:r>
    </w:p>
    <w:p>
      <w:pPr>
        <w:spacing w:before="160" w:after="40" w:line="240" w:lineRule="auto"/>
      </w:pPr>
      <w:r>
        <w:rPr>
          <w:b/>
        </w:rPr>
        <w:t xml:space="preserve">[1159] </w:t>
      </w:r>
      <w:hyperlink r:id="rId1994">
        <w:r>
          <w:rPr>
            <w:color w:val="1155CC"/>
            <w:u w:val="single"/>
          </w:rPr>
          <w:t>迈向对政治极化的整合且全球公平的理解</w:t>
        </w:r>
      </w:hyperlink>
    </w:p>
    <w:p>
      <w:pPr>
        <w:spacing w:before="0" w:after="80"/>
      </w:pPr>
      <w:r>
        <w:rPr>
          <w:i/>
          <w:sz w:val="20"/>
        </w:rPr>
        <w:t>EN: Toward an integrated and globally equitable understanding of political polarization</w:t>
      </w:r>
    </w:p>
    <w:p>
      <w:pPr>
        <w:spacing w:before="0" w:after="120"/>
      </w:pPr>
      <w:r>
        <w:rPr>
          <w:b/>
        </w:rPr>
        <w:t xml:space="preserve">Source: </w:t>
      </w:r>
      <w:r>
        <w:t>Scientific community and society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政治极化带来重大的社会风险，但全球相关的跨学科理解仍然缺乏，因为近一半的研究集中在美国。我们主张重新努力使极化研究实现全球公平，突出各国稳健的见解、特定情境下独特的见解以及关键的文献空白。填补这些空白意味着克服文化和系统性障碍，包括数据获取限制和错位的激励机制。这还需要跨学科融合传统方法与解决互联网、社交媒体和AI极化作用的方法。否则，对抗极化及其民主危害的努力可能建立在不合适的证据之上。</w:t>
      </w:r>
    </w:p>
    <w:p>
      <w:pPr>
        <w:spacing w:before="0" w:after="200" w:lineRule="auto" w:line="276"/>
      </w:pPr>
      <w:r>
        <w:rPr>
          <w:b/>
        </w:rPr>
        <w:t xml:space="preserve">Abstract (EN): </w:t>
      </w:r>
      <w:r>
        <w:t>Political polarization poses major societal risks, yet a globally relevant, interdisciplinary understanding remains lacking, as nearly half of all studies focus on the United States. We argue for renewed effort to bring global equity to polarization research, highlighting insights robust across countries, those unique to specific contexts, and key literature gaps. Closing these gaps means overcoming cultural and systemic barriers, including data-access restrictions and misaligned incentives. It also demands interdisciplinarity bridging traditional approaches and those addressing the polarizing role of the internet, social media, and AI. Otherwise, efforts to counter polarization, and its democratic harms, risk resting on unsuitable evidence.</w:t>
      </w:r>
    </w:p>
    <w:p>
      <w:pPr>
        <w:spacing w:before="120" w:after="120"/>
      </w:pPr>
      <w:r>
        <w:rPr>
          <w:sz w:val="18"/>
        </w:rPr>
        <w:t>——————————————————————————————————————————————————————————————————————</w:t>
      </w:r>
    </w:p>
    <w:p>
      <w:pPr>
        <w:spacing w:before="160" w:after="40" w:line="240" w:lineRule="auto"/>
      </w:pPr>
      <w:r>
        <w:rPr>
          <w:b/>
        </w:rPr>
        <w:t xml:space="preserve">[1160] </w:t>
      </w:r>
      <w:hyperlink r:id="rId1995">
        <w:r>
          <w:rPr>
            <w:color w:val="1155CC"/>
            <w:u w:val="single"/>
          </w:rPr>
          <w:t>肌肉蛋白质组的性别和纤维类型特异性重塑揭示CSRP3在抗阻训练诱导肥大中的作用</w:t>
        </w:r>
      </w:hyperlink>
    </w:p>
    <w:p>
      <w:pPr>
        <w:spacing w:before="0" w:after="80"/>
      </w:pPr>
      <w:r>
        <w:rPr>
          <w:i/>
          <w:sz w:val="20"/>
        </w:rPr>
        <w:t>EN: Sex- and fiber type-specific remodeling of the muscle proteome implicates CSRP3 in resistance training-induced hypertrophy</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骨骼肌肥大是阻力训练的标志性特征，可改善健康并延长寿命。然而，尽管性别和纤维类型之间存在生理差异，阻力训练引起的潜在蛋白质组变化尚未以性别和纤维类型特异性的方式进行研究。在此，我们展示了8周阻力训练后人类骨骼肌蛋白质组的性别和纤维类型特异性重塑。两性中II型纤维均表现出更强的适应性，而主要的性别差异是女性中间丝的更大重塑。在II型纤维中特异性上调的蛋白质中，CSRP3的过表达增加了小鼠的肌肉质量，表明CSRP3的纤维类型特异性上调在肌肉肥大中的作用。此外，参与翻译的蛋白质丰度与纤维肥大相关，并在性别和纤维类型之间存在差异。这些发现证明了肌肉生理学中的性别和纤维类型差异及其对阻力训练诱导的适应性的贡献，并表明CSRP3参与阻力训练诱导的肌肉肥大。</w:t>
      </w:r>
    </w:p>
    <w:p>
      <w:pPr>
        <w:spacing w:before="0" w:after="200" w:lineRule="auto" w:line="276"/>
      </w:pPr>
      <w:r>
        <w:rPr>
          <w:b/>
        </w:rPr>
        <w:t xml:space="preserve">Abstract (EN): </w:t>
      </w:r>
      <w:r>
        <w:t>Skeletal muscle hypertrophy is a hallmark of resistance training that improves health and longevity. However, despite physiological differences between sexes and fiber types, the underlying proteome changes with resistance training have not been studied in a sex- and fiber type-specific manner. Herein, we show sex- and fiber type-specific remodeling of the human skeletal muscle proteome following 8 weeks of resistance training. Type II fibers exhibited much greater adaptations across both sexes, whereas the main sex difference was a greater remodeling of intermediate filaments in females. Of proteins that were specifically upregulated in type II fibers, overexpression of CSRP3 increased muscle mass in mice, indicating a role of fiber type-specific upregulation of CSRP3 in muscle hypertrophy. In addition, abundance of proteins involved in translation correlated with fiber hypertrophy and differed between sexes and fiber types. These findings demonstrate sex- and fiber type differences in muscle physiology and their contributions to resistance training-induced adaptions and implicate involvement of CSRP3 in resistance training-induced muscle hypertrophy.</w:t>
      </w:r>
    </w:p>
    <w:p>
      <w:pPr>
        <w:spacing w:before="120" w:after="120"/>
      </w:pPr>
      <w:r>
        <w:rPr>
          <w:sz w:val="18"/>
        </w:rPr>
        <w:t>——————————————————————————————————————————————————————————————————————</w:t>
      </w:r>
    </w:p>
    <w:p>
      <w:pPr>
        <w:spacing w:before="160" w:after="40" w:line="240" w:lineRule="auto"/>
      </w:pPr>
      <w:r>
        <w:rPr>
          <w:b/>
        </w:rPr>
        <w:t xml:space="preserve">[1161] </w:t>
      </w:r>
      <w:hyperlink r:id="rId1996">
        <w:r>
          <w:rPr>
            <w:color w:val="1155CC"/>
            <w:u w:val="single"/>
          </w:rPr>
          <w:t>HDV核酶的结构与机制揭示金属离子的路易斯酸催化作用</w:t>
        </w:r>
      </w:hyperlink>
    </w:p>
    <w:p>
      <w:pPr>
        <w:spacing w:before="0" w:after="80"/>
      </w:pPr>
      <w:r>
        <w:rPr>
          <w:i/>
          <w:sz w:val="20"/>
        </w:rPr>
        <w:t>EN: Structure and mechanism of HDV ribozymes revealing Lewis acid catalysis by a metal ion</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我们确定了Delta肝炎病毒家族两个核酶的分子结构并研究了其催化机制，这两个核酶分别发现于线虫Caenorhabditis briggsae和Ackermannviridae病毒。两者的晶体结构均符合病毒HDV核酶采用的双假结构架。C. briggsae核酶在切割前和切割后两种状态下均已被解析。在切割前结构中，可观察到剪切磷酸两侧的核苷酸，以及一个金属离子和与O5'离去基团结合的胞嘧啶75的N3。切割速率的pH依赖性显示出6.5的pKa，结合C75U突变体的失活性，为其作为一般酸的作用提供了证据。与其他使用催化金属离子的核酸分解核酶不同，反应速率不依赖于二价金属离子的pKa。活性中心结构的有限调整与金属离子直接结合O2'和非桥连O相一致，表明该离子作为Lewis酸激活亲核攻击。该机制似乎适用于HDV核酶类，并将其与大多数采用一般碱催化机制的核酸分解核酶区分开来。</w:t>
      </w:r>
    </w:p>
    <w:p>
      <w:pPr>
        <w:spacing w:before="0" w:after="200" w:lineRule="auto" w:line="276"/>
      </w:pPr>
      <w:r>
        <w:rPr>
          <w:b/>
        </w:rPr>
        <w:t xml:space="preserve">Abstract (EN): </w:t>
      </w:r>
      <w:r>
        <w:t>We have determined the molecular structure and investigated the catalytic mechanism of two ribozymes of the Hepatitis delta virus family, found in the nematode Caenorhabditis briggsae and virus Ackermannviridae. Crystal structures of both conform to the double-pseudoknot architecture adopted by the viral HDV ribozyme. The C. briggsae ribozyme has been determined both pre- and post-cleavage. In the former both nucleotides flanking the scissile phosphate are observed, along with a metal ion, and cytosine 75 N3 bound to the O5’ leaving group. The pH dependence of cleavage rate reveals a pKa of 6.5 and together with the inactivity of a C75U mutant provides evidence for its role as general acid. In contrast to other nucleolytic ribozymes that use catalytic metal ions, reaction rate does not depend on the pKa of the divalent metal ion. Limited adjustment of structure of the active center is consistent with direct bonding of the metal ion to the O2’ and non-bridging O, suggesting that the ion acts as a Lewis acid to activate nucleophilic attack. This mechanism appears to be general for the HDV ribozyme class, and distinguishes it from the majority of nucleolytic ribozymes that use general base catalysis.</w:t>
      </w:r>
    </w:p>
    <w:p>
      <w:pPr>
        <w:spacing w:before="120" w:after="120"/>
      </w:pPr>
      <w:r>
        <w:rPr>
          <w:sz w:val="18"/>
        </w:rPr>
        <w:t>——————————————————————————————————————————————————————————————————————</w:t>
      </w:r>
    </w:p>
    <w:p>
      <w:pPr>
        <w:spacing w:before="160" w:after="40" w:line="240" w:lineRule="auto"/>
      </w:pPr>
      <w:r>
        <w:rPr>
          <w:b/>
        </w:rPr>
        <w:t xml:space="preserve">[1162] </w:t>
      </w:r>
      <w:hyperlink r:id="rId1997">
        <w:r>
          <w:rPr>
            <w:color w:val="1155CC"/>
            <w:u w:val="single"/>
          </w:rPr>
          <w:t>JCVI-syn3A最小细胞膜的物理化学设计、结构与渗透性</w:t>
        </w:r>
      </w:hyperlink>
    </w:p>
    <w:p>
      <w:pPr>
        <w:spacing w:before="0" w:after="80"/>
      </w:pPr>
      <w:r>
        <w:rPr>
          <w:i/>
          <w:sz w:val="20"/>
        </w:rPr>
        <w:t>EN: The physicochemical design, structure and permeability of the JCVI-syn3A minimal cell membrane</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最小细胞为揭示细胞生命的基本物理化学原理提供了一个平台。虽然细胞的基因组、蛋白质组和代谢网络已被阐明，但决定膜物理化学特性的脂质组仍仅被部分表征。然而，膜是细胞活力的核心决定因素，调节溶质渗透性、机械稳定性和环境信号。在此，我们研究了重现最小细胞 JCVI-syn3A 脂质组成的膜，该细胞以其异常高的胆固醇含量和简单组成而著称。结合冷冻电子显微镜、Langmuir 单层实验、渗透性测定和粗粒化分子动力学模拟，我们证明胆固醇和鞘磷脂作为主要的凝聚剂发挥稳定膜的作用，同时保持有序而流动的状态。这些脂质增强了脂质堆积和酰基链有序度，而心磷脂、POPC 和 DOPG 则通过促进流动性和可压缩性来平衡凝聚效应。胆固醇-鞘磷脂相互作用成为微调膜有序度、流动性和渗透性的关键热力学驱动因素。值得注意的是，含有高达 60 mol% 胆固醇的膜仍能以与 JCVI-syn3A 生长相容的速率对水和生理相关的渗透物质保持渗透性。总之，我们的结果定义了最小细胞膜的物理化学原理，并揭示了脂质组成如何在维持膜完整性的同时实现被动渗透。</w:t>
      </w:r>
    </w:p>
    <w:p>
      <w:pPr>
        <w:spacing w:before="0" w:after="200" w:lineRule="auto" w:line="276"/>
      </w:pPr>
      <w:r>
        <w:rPr>
          <w:b/>
        </w:rPr>
        <w:t xml:space="preserve">Abstract (EN): </w:t>
      </w:r>
      <w:r>
        <w:t>Minimal cells offer a platform to uncover the fundamental physicochemical principles of cellular life. While genomes, proteomes, and metabolic networks of cells have been elucidated, the lipidome, which determines the physicochemical identity of the membrane, remains only partially characterized. Yet, the membrane is a central determinant of cellular viability, regulating solute permeability, mechanical stability, and environmental cues. Here, we investigate membranes that recapitulate the lipid composition of the minimal cell JCVI-syn3A, which is distinguished by an unusually high cholesterol content and simple composition. Combining cryo-electron microscopy, Langmuir monolayer experiments, permeability assays, and coarse-grained molecular dynamics simulations, we demonstrate that cholesterol and sphingomyelin act as dominant condensing agents that stabilize the membrane while preserving an ordered yet fluid state. These lipids enhance lipid packing and acyl-chain order, whereas cardiolipin, POPC, and DOPG counterbalance condensation by promoting fluidity and compressibility. Cholesterol–sphingomyelin interactions emerge as a key thermodynamic driver that fine-tunes membrane order, fluidity, and permeability. Remarkably, membranes containing up to 60 mol% of cholesterol remain permeable to water and physiologically relevant osmolytes at rates compatible with growth of JCVI-syn3A. Together, our results define the physicochemical principles underlying minimal cell membranes and reveal how lipid composition enables passive permeation while maintaining membrane integrity.</w:t>
      </w:r>
    </w:p>
    <w:p>
      <w:pPr>
        <w:spacing w:before="120" w:after="120"/>
      </w:pPr>
      <w:r>
        <w:rPr>
          <w:sz w:val="18"/>
        </w:rPr>
        <w:t>——————————————————————————————————————————————————————————————————————</w:t>
      </w:r>
    </w:p>
    <w:p>
      <w:pPr>
        <w:spacing w:before="160" w:after="40" w:line="240" w:lineRule="auto"/>
      </w:pPr>
      <w:r>
        <w:rPr>
          <w:b/>
        </w:rPr>
        <w:t xml:space="preserve">[1163] </w:t>
      </w:r>
      <w:hyperlink r:id="rId1998">
        <w:r>
          <w:rPr>
            <w:color w:val="1155CC"/>
            <w:u w:val="single"/>
          </w:rPr>
          <w:t>在拟南芥中DNA甲基化在转座元件处既拮抗又促进Polycomb招募</w:t>
        </w:r>
      </w:hyperlink>
    </w:p>
    <w:p>
      <w:pPr>
        <w:spacing w:before="0" w:after="80"/>
      </w:pPr>
      <w:r>
        <w:rPr>
          <w:i/>
          <w:sz w:val="20"/>
        </w:rPr>
        <w:t>EN: DNA methylation either antagonizes or promotes Polycomb recruitment at transposable elements in Arabidopsis</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转座元件（TE）通常被DNA甲基化和H3K9me2沉默，但在缺乏DNA甲基化时，它们可以获得与Polycomb相关的标记H3K27me3。在此，我们最初旨在检验在拟南芥中TE沉默建立过程中DNA甲基化与H3K27me3是否存在竞争。尽管我们在一个新插入的转基因TE上观察到了这种竞争，但我们显著地发现，另一个新插入TE上的H3K27me3沉积需要从头甲基转移酶DRM2，表明DNA甲基化也可以促进Polycomb的招募。相应地，在不同DNA甲基化突变体中的全基因组H3K27me3图谱分析表明，DNA甲基化以基因座特异性方式拮抗或促进H3K27me3。靶向DNA甲基化实验以及drm2催化突变体的使用进一步证明，DNA甲基化直接影响Polycomb的招募。总体而言，我们的工作揭示了DNA甲基化与Polycomb通路之间此前未被认识到的相互作用，这种相互作用维持了真核生物基因组和表观基因组的完整性。</w:t>
      </w:r>
    </w:p>
    <w:p>
      <w:pPr>
        <w:spacing w:before="0" w:after="200" w:lineRule="auto" w:line="276"/>
      </w:pPr>
      <w:r>
        <w:rPr>
          <w:b/>
        </w:rPr>
        <w:t xml:space="preserve">Abstract (EN): </w:t>
      </w:r>
      <w:r>
        <w:t>Transposable elements (TEs) are usually silenced by DNA methylation and H3K9me2, but in the absence of DNA methylation they can instead acquire the Polycomb-associated mark H3K27me3. Here, we initially set out to test whether DNA methylation and H3K27me3 compete during TE silencing establishment in Arabidopsis. Although we observe this competition at one newly inserted transgenic TE, we remarkably find that H3K27me3 deposition at another neo-inserted TE requires the de novo methyltransferase DRM2, revealing that DNA methylation can also promote Polycomb recruitment. Accordingly, genome-wide H3K27me3 profiling in different DNA methylation mutants shows that DNA methylation either antagonizes or promotes H3K27me3 in a locus-specific manner. Targeted DNA methylation experiments as well as the use of a drm2 catalytic mutant further demonstrate that DNA methylation directly influences Polycomb recruitment. Overall, our work reveals a previously unappreciated interplay between DNA methylation and Polycomb pathways that maintains genome and epigenome integrity in eukaryotes.</w:t>
      </w:r>
    </w:p>
    <w:p>
      <w:pPr>
        <w:spacing w:before="120" w:after="120"/>
      </w:pPr>
      <w:r>
        <w:rPr>
          <w:sz w:val="18"/>
        </w:rPr>
        <w:t>——————————————————————————————————————————————————————————————————————</w:t>
      </w:r>
    </w:p>
    <w:p>
      <w:pPr>
        <w:spacing w:before="160" w:after="40" w:line="240" w:lineRule="auto"/>
      </w:pPr>
      <w:r>
        <w:rPr>
          <w:b/>
        </w:rPr>
        <w:t xml:space="preserve">[1164] </w:t>
      </w:r>
      <w:hyperlink r:id="rId1999">
        <w:r>
          <w:rPr>
            <w:color w:val="1155CC"/>
            <w:u w:val="single"/>
          </w:rPr>
          <w:t>具有长空穴自旋退相干时间的电信C波段自旋-光子界面</w:t>
        </w:r>
      </w:hyperlink>
    </w:p>
    <w:p>
      <w:pPr>
        <w:spacing w:before="0" w:after="80"/>
      </w:pPr>
      <w:r>
        <w:rPr>
          <w:i/>
          <w:sz w:val="20"/>
        </w:rPr>
        <w:t>EN: A spin-photon interface in the telecom C-band with long hole spin dephasing time</w:t>
      </w:r>
    </w:p>
    <w:p>
      <w:pPr>
        <w:spacing w:before="0" w:after="120"/>
      </w:pPr>
      <w:r>
        <w:rPr>
          <w:b/>
        </w:rPr>
        <w:t xml:space="preserve">Source: </w:t>
      </w:r>
      <w:r>
        <w:t>Physical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能在长时间尺度上保持相干性的物质量子比特对于量子通信和量子计算领域中许多追求的应用至关重要。在半导体量子点中将自旋与近红外波长范围的光子耦合的同时延长其相干时间方面，已经取得了显著进展。然而，对于许多应用至关重要的、在电信波段发光的量子点，类似的结果迄今仍然滞后。本文报道了集成于确定性放置的圆形布拉格光栅中、在1.55 μm发光的InAs/InAlGaAs量子点。我们通过面内磁场下正三重态的偏振分辨测量量化了电子和空穴的g因子，并通过在双光子关联测量中预告自旋，研究了基态空穴自旋量子比特的动力学。我们量化了不同磁场下电子和空穴的非均匀退相干时间，发现在最佳磁场B = 20 mT下，空穴自旋的\({T}_{2}^{*}=(21.8\pm 0.2)\) ns。</w:t>
      </w:r>
    </w:p>
    <w:p>
      <w:pPr>
        <w:spacing w:before="0" w:after="200" w:lineRule="auto" w:line="276"/>
      </w:pPr>
      <w:r>
        <w:rPr>
          <w:b/>
        </w:rPr>
        <w:t xml:space="preserve">Abstract (EN): </w:t>
      </w:r>
      <w:r>
        <w:t>Matter qubits that maintain coherence over extended timescales are essential for many pursued applications in quantum communication and quantum computing. Significant progress has already been made on extending coherence times of spins in semiconductor quantum dots while interfacing them with photons in the near-infrared wavelength range. However, similar results for quantum dots emitting at the telecom range, crucial for many applications, have so far lagged behind. Here, we report on InAs/InAlGaAs quantum dots integrated in a deterministically placed circular Bragg grating emitting at 1.55 μm. We quantify the g-factors of electrons and holes from polarization-resolved measurements of a positive trion in an in-plane magnetic field and study the dynamics of the ground-state hole spin qubit by heralding the spin in two-photon correlation measurements. We quantify the inhomogeneous dephasing times for the electron and hole for various magnetic fields and find a value of \({T}_{2}^{*}=(21.8\pm 0.2)\) ns for the hole spin, for an optimal magnetic field of B = 20 mT.</w:t>
      </w:r>
    </w:p>
    <w:p>
      <w:pPr>
        <w:spacing w:before="120" w:after="120"/>
      </w:pPr>
      <w:r>
        <w:rPr>
          <w:sz w:val="18"/>
        </w:rPr>
        <w:t>——————————————————————————————————————————————————————————————————————</w:t>
      </w:r>
    </w:p>
    <w:p>
      <w:pPr>
        <w:spacing w:before="160" w:after="40" w:line="240" w:lineRule="auto"/>
      </w:pPr>
      <w:r>
        <w:rPr>
          <w:b/>
        </w:rPr>
        <w:t xml:space="preserve">[1165] </w:t>
      </w:r>
      <w:hyperlink r:id="rId2000">
        <w:r>
          <w:rPr>
            <w:color w:val="1155CC"/>
            <w:u w:val="single"/>
          </w:rPr>
          <w:t>由金属-有机网络涂层导向的纳米颗粒选择性器官沉积</w:t>
        </w:r>
      </w:hyperlink>
    </w:p>
    <w:p>
      <w:pPr>
        <w:spacing w:before="0" w:after="80"/>
      </w:pPr>
      <w:r>
        <w:rPr>
          <w:i/>
          <w:sz w:val="20"/>
        </w:rPr>
        <w:t>EN: Selective organ deposition of nanoparticles directed by metal–organic network coatings</w:t>
      </w:r>
    </w:p>
    <w:p>
      <w:pPr>
        <w:spacing w:before="0" w:after="120"/>
      </w:pPr>
      <w:r>
        <w:rPr>
          <w:b/>
        </w:rPr>
        <w:t xml:space="preserve">Source: </w:t>
      </w:r>
      <w:r>
        <w:t>Physical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尽管纳米工程领域取得了重大进展，但开发一种通用性的纳米颗粒工程策略，以实现静脉给药后纳米颗粒的定制化器官沉积，仍然具有挑战性。本文报道了一种由聚乙二醇（PEG）、蛋白质、酚类配体和金属离子组成的金属-有机网络涂层介导的简单模块化策略。酚类配体多样性的结合亲和力促进了在多种纳米颗粒平台上形成涂层，包括量子点、脂质、聚合物、无机和金属-有机纳米颗粒。通过改变涂层组成，这些包覆纳米颗粒的器官沉积选择性可被轻松引导至肾脏、肺、心脏和大脑。机理研究揭示，PEG、酚类配体和金属离子对表面性质的联合效应决定了包覆纳米颗粒的整体生物分布，而蛋白质组分则有助于涂层的完整性。这项工作为开发器官靶向纳米技术提供了一种可推广的方法，有望推动纳米颗粒介导的治疗与诊疗一体化。</w:t>
      </w:r>
    </w:p>
    <w:p>
      <w:pPr>
        <w:spacing w:before="0" w:after="200" w:lineRule="auto" w:line="276"/>
      </w:pPr>
      <w:r>
        <w:rPr>
          <w:b/>
        </w:rPr>
        <w:t xml:space="preserve">Abstract (EN): </w:t>
      </w:r>
      <w:r>
        <w:t>Despite significant advances in nanoengineering, developing a universal nanoparticle engineering strategy that enables tailored nanoparticle organ deposition post intravenous administration remains challenging. Here, we report a simple and modular strategy mediated by metal-organic network coatings composed of polyethylene glycol (PEG), proteins, phenolic ligands, and metal ions. The versatile binding affinity of phenolic ligands facilitates the formation of coatings on diverse nanoparticle platforms, including quantum dots, lipid, polymeric, inorganic, and metal–organic nanoparticles. The organ deposition selectivity of these coated nanoparticles is readily directed towards the kidney, lung, heart, and brain by varying the coating composition. Mechanistic studies reveal that the combined effect of PEG, phenolic ligands, and metal ions on the surface properties governs the overall biodistribution of the coated nanoparticles, while the protein component contributes to the coating integrity. This work provides a generalizable approach for developing an organ-targeting nanotechnology, with the potential to advance nanoparticle-mediated treatments and theranostics.</w:t>
      </w:r>
    </w:p>
    <w:p>
      <w:pPr>
        <w:spacing w:before="120" w:after="120"/>
      </w:pPr>
      <w:r>
        <w:rPr>
          <w:sz w:val="18"/>
        </w:rPr>
        <w:t>——————————————————————————————————————————————————————————————————————</w:t>
      </w:r>
    </w:p>
    <w:p>
      <w:pPr>
        <w:spacing w:before="160" w:after="40" w:line="240" w:lineRule="auto"/>
      </w:pPr>
      <w:r>
        <w:rPr>
          <w:b/>
        </w:rPr>
        <w:t xml:space="preserve">[1166] </w:t>
      </w:r>
      <w:hyperlink r:id="rId2001">
        <w:r>
          <w:rPr>
            <w:color w:val="1155CC"/>
            <w:u w:val="single"/>
          </w:rPr>
          <w:t>生物力学能量采集改善中风后行动能力</w:t>
        </w:r>
      </w:hyperlink>
    </w:p>
    <w:p>
      <w:pPr>
        <w:spacing w:before="0" w:after="80"/>
      </w:pPr>
      <w:r>
        <w:rPr>
          <w:i/>
          <w:sz w:val="20"/>
        </w:rPr>
        <w:t>EN: Biomechanical energy harvesting to improve post-stroke mobility</w:t>
      </w:r>
    </w:p>
    <w:p>
      <w:pPr>
        <w:spacing w:before="0" w:after="120"/>
      </w:pPr>
      <w:r>
        <w:rPr>
          <w:b/>
        </w:rPr>
        <w:t xml:space="preserve">Source: </w:t>
      </w:r>
      <w:r>
        <w:t>Physical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足下垂是脑卒中后常见的步态障碍，会降低足趾离地间隙并损害行走安全性。现有的辅助干预手段常受限于被动补偿、外部电源需求和手动调参。在此，我们介绍了一种可穿戴、步态时序自适应、自供电神经假体（SPN），它可增强踝关节背屈并纠正步态模式，避免了费力的参数调节，并消除了外部电池的充电和可靠性负担。SPN利用了步态的异相力学特性：在非瘫痪侧下肢站立期收集机械能，并在摆动期立即将其转化为对瘫痪侧下肢胫骨前肌的电刺激，在需要足部离地间隙时增加背屈。在具有保留行走能力、足下垂和下肢功能障碍的社区脑卒中幸存者中（Fugl-Meyer LE评分：13-27/34，改良Ashworth量表-踝跖屈肌：0-2），SPN辅助在户外行走中产生了即时且具有临床意义的改善：背屈角从-1.1°提高到6.8°，步行距离增加67.3%，速度提高43.5%，步态变异性降低71.9%。这些发现表明SPN在恢复背屈、增强活动能力以及改善脑卒中康复者（尤其是晚年阶段人群）整体生活质量方面的潜力。</w:t>
      </w:r>
    </w:p>
    <w:p>
      <w:pPr>
        <w:spacing w:before="0" w:after="200" w:lineRule="auto" w:line="276"/>
      </w:pPr>
      <w:r>
        <w:rPr>
          <w:b/>
        </w:rPr>
        <w:t xml:space="preserve">Abstract (EN): </w:t>
      </w:r>
      <w:r>
        <w:t>Foot drop is a common post-stroke gait impairment that reduces toe clearance and compromises walking safety. Existing assistive interventions are often limited by passive compensation, external power requirements, and manual tuning. Here, we introduce a wearable, gait-timing-adaptive, self‑powered neuroprosthesis (SPN) that augments ankle dorsiflexion and corrects gait patterns, avoiding labor-intensive parameter tuning and eliminating the charging and reliability burdens of external batteries. The SPN leverages gait’s out‑of‑phase mechanics: it harvests mechanical energy during stance on the non‑paretic limb and immediately converts it into electrical stimulation of the tibialis anterior on the paretic limb during swing, increasing dorsiflexion when foot clearance is required. In ambulatory stroke survivors with preserved walking capacity, foot drop, and lower-limb impairment (Fugl-Meyer LE Score: 13-27/34, Modified Ashworth Scale-Ankle Plantarflexors: 0-2), the SPN assistance produced immediate, clinically meaningful gains during outdoor walking: dorsiflexion angle improved from −1.1° to 6.8°, walking distance increased by 67.3%, speed by 43.5%, and gait variability decreased by 71.9%. These findings demonstrate the SPN’s potential to restore dorsiflexion, enhance mobility, and improve overall quality of life for individuals recovering from stroke, particularly those at later stages of life.</w:t>
      </w:r>
    </w:p>
    <w:p>
      <w:pPr>
        <w:spacing w:before="120" w:after="120"/>
      </w:pPr>
      <w:r>
        <w:rPr>
          <w:sz w:val="18"/>
        </w:rPr>
        <w:t>——————————————————————————————————————————————————————————————————————</w:t>
      </w:r>
    </w:p>
    <w:p>
      <w:pPr>
        <w:spacing w:before="160" w:after="40" w:line="240" w:lineRule="auto"/>
      </w:pPr>
      <w:r>
        <w:rPr>
          <w:b/>
        </w:rPr>
        <w:t xml:space="preserve">[1167] </w:t>
      </w:r>
      <w:hyperlink r:id="rId2002">
        <w:r>
          <w:rPr>
            <w:color w:val="1155CC"/>
            <w:u w:val="single"/>
          </w:rPr>
          <w:t>Fe₃GeTe₂中的光子驱动磁化翻转实现可编程多级磁存储</w:t>
        </w:r>
      </w:hyperlink>
    </w:p>
    <w:p>
      <w:pPr>
        <w:spacing w:before="0" w:after="80"/>
      </w:pPr>
      <w:r>
        <w:rPr>
          <w:i/>
          <w:sz w:val="20"/>
        </w:rPr>
        <w:t>EN: Photon-driven magnetization switching in Fe₃GeTe₂ enables programmable, multilevel magnetic memory</w:t>
      </w:r>
    </w:p>
    <w:p>
      <w:pPr>
        <w:spacing w:before="0" w:after="120"/>
      </w:pPr>
      <w:r>
        <w:rPr>
          <w:b/>
        </w:rPr>
        <w:t xml:space="preserve">Source: </w:t>
      </w:r>
      <w:r>
        <w:t>Physical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范德华磁体的重新发现使 intrinsic 二维磁性的研究重新焕发活力，并催生了诸如静电门控和应变等非常规策略来切换磁态。然而，光子驱动的磁化切换在很大程度上仍未被探索，但其在快速、高密度和节能自旋电子学应用方面具有前景。在此，我们展示了巡游型范德华铁磁体 Fe₃GeTe₂ 在光脉冲激发下表现出可调磁性，其响应由光子能量、通量和偏振控制。这从我们的磁光测量中得以证实，测量结果表明光子能量为 2.3 eV 的脉冲可有效降低 Fe₃GeTe₂ 的矫顽力。当强脉冲通量将矫顽力充分降低时，磁序变得依赖于螺旋度，从而能够对面外磁化进行可逆的抑制和恢复。进一步研究表明，这些现象源于 Fe₃GeTe₂ 中独特的类半导体跃迁，通过这些跃迁，相反螺旋度的光子对电子结构产生不同的改变，从而通过光掺杂效应以不同方式改变磁各向异性和基态。基于这一认识，我们进一步展示了 Fe₃GeTe₂ 在光学控制非易失性存储器方面的潜力，其能够以可逆写入和擦除的方式实现多级信息存储，以及空间定义的自旋态，为下一代自旋电子学提供了前景。</w:t>
      </w:r>
    </w:p>
    <w:p>
      <w:pPr>
        <w:spacing w:before="0" w:after="200" w:lineRule="auto" w:line="276"/>
      </w:pPr>
      <w:r>
        <w:rPr>
          <w:b/>
        </w:rPr>
        <w:t xml:space="preserve">Abstract (EN): </w:t>
      </w:r>
      <w:r>
        <w:t>The rediscovery of van der Waals magnets has revitalized research into intrinsic two-dimensional magnetism and motivated unconventional strategies, such as electrostatic gating and strain, to switch magnetic states. Photon-driven magnetization switching, however, remains largely unexplored but holds promise for fast, high-density, and energy-efficient spintronic applications. Here, we show that the itinerant van der Waals ferromagnet Fe₃GeTe₂ exhibits tunable magnetism under optical pulsed excitation, with the response governed by photon energy, fluence, and polarization. This is evident from our magneto-optic measurements, which reveal that pulses with 2.3 eV photon energy effectively reduce the coercivity of Fe₃GeTe₂. When coercivity is sufficiently lowered by strong pulse fluence, the magnetic order becomes helicity-dependent, enabling reversible suppression and restoration of the out-of-plane magnetization. Further studies indicate that these phenomena originate from distinct semiconductor-like transitions in Fe₃GeTe₂, through which photons of opposite helicity induce distinct modifications in the electronic structure, thereby altering magnetic anisotropy and the ground state differently via optical doping effect. Building on this understanding, we further demonstrate the potential of Fe₃GeTe₂ for optically controlled nonvolatile memory, capable of multilevel information storage with reversible writing and erasing, as well as spatially defined spin states, offering promise for next-generation spintronics.</w:t>
      </w:r>
    </w:p>
    <w:p>
      <w:pPr>
        <w:spacing w:before="120" w:after="120"/>
      </w:pPr>
      <w:r>
        <w:rPr>
          <w:sz w:val="18"/>
        </w:rPr>
        <w:t>——————————————————————————————————————————————————————————————————————</w:t>
      </w:r>
    </w:p>
    <w:p>
      <w:pPr>
        <w:spacing w:before="160" w:after="40" w:line="240" w:lineRule="auto"/>
      </w:pPr>
      <w:r>
        <w:rPr>
          <w:b/>
        </w:rPr>
        <w:t xml:space="preserve">[1168] </w:t>
      </w:r>
      <w:hyperlink r:id="rId2003">
        <w:r>
          <w:rPr>
            <w:color w:val="1155CC"/>
            <w:u w:val="single"/>
          </w:rPr>
          <w:t>自旋织构向列型近藤晶格的观测</w:t>
        </w:r>
      </w:hyperlink>
    </w:p>
    <w:p>
      <w:pPr>
        <w:spacing w:before="0" w:after="80"/>
      </w:pPr>
      <w:r>
        <w:rPr>
          <w:i/>
          <w:sz w:val="20"/>
        </w:rPr>
        <w:t>EN: Observation of a spin-textured nematic Kondo lattice</w:t>
      </w:r>
    </w:p>
    <w:p>
      <w:pPr>
        <w:spacing w:before="0" w:after="120"/>
      </w:pPr>
      <w:r>
        <w:rPr>
          <w:b/>
        </w:rPr>
        <w:t xml:space="preserve">Source: </w:t>
      </w:r>
      <w:r>
        <w:t>Physical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近藤晶格模型作为凝聚态物理中最基本的模型之一，已被用于描述广泛的量子材料。在近藤晶格中发现新相并揭示其机制，对理解强关联体系至关重要。本文在层状近藤磁体USbTe中观察到自旋织构向列相，并可视化了一种重电子液晶相。利用扫描隧道显微镜和谱学（STM/STS），我们观察到费米能级附近重电子态发生四方对称性破缺，这与能带杂化驱动的重准粒子形成相一致。值得注意的是，利用自旋极化STM，我们证明该向列态是自旋极化的，这不仅表明其本质上的电子性质，也代表了重费米子向列态独特的磁织构。我们的发现揭示了一种新的关联介导的有序态，其机制与近藤晶格物理内在相关。重向列态的观测丰富了关联体系的相图，并为探索近藤物理、自发对称性破缺与量子临界性之间的相互作用提供了罕见平台。</w:t>
      </w:r>
    </w:p>
    <w:p>
      <w:pPr>
        <w:spacing w:before="0" w:after="200" w:lineRule="auto" w:line="276"/>
      </w:pPr>
      <w:r>
        <w:rPr>
          <w:b/>
        </w:rPr>
        <w:t xml:space="preserve">Abstract (EN): </w:t>
      </w:r>
      <w:r>
        <w:t>The Kondo lattice model, as one of the most fundamental models in condensed matter physics, has been employed to describe a wide range of quantum materials. Discovering new phases on the Kondo lattice and unveiling their mechanisms are crucial to the understanding of strongly correlated systems. Here, in a layered Kondo magnet USbTe, we observe a spin-textured nematic state and visualize a heavy electronic liquid-crystal phase. Employing scanning tunneling microscopy and spectroscopy (STM/STS), we visualize a tetragonal symmetry breaking of heavy electronic states around the Fermi level, which coincides with the formation of heavy quasi-particles driven by band hybridization. Remarkably, using spin-polarized STM, we demonstrate that the nematic state is spin-polarized, which not only suggests its intrinsically electronic nature but also represents the unique magnetic texture of nematic heavy fermions. Our findings unveil a novel correlation-mediated order whose mechanism is inherently tied to Kondo-lattice physics. The observation of heavy nematic states enriches the phase diagram of correlated systems and provides a rare platform to explore the interplay of Kondo physics, spontaneous symmetry breaking, and quantum criticality.</w:t>
      </w:r>
    </w:p>
    <w:p>
      <w:pPr>
        <w:spacing w:before="120" w:after="120"/>
      </w:pPr>
      <w:r>
        <w:rPr>
          <w:sz w:val="18"/>
        </w:rPr>
        <w:t>——————————————————————————————————————————————————————————————————————</w:t>
      </w:r>
    </w:p>
    <w:p>
      <w:pPr>
        <w:spacing w:before="160" w:after="40" w:line="240" w:lineRule="auto"/>
      </w:pPr>
      <w:r>
        <w:rPr>
          <w:b/>
        </w:rPr>
        <w:t xml:space="preserve">[1169] </w:t>
      </w:r>
      <w:hyperlink r:id="rId2004">
        <w:r>
          <w:rPr>
            <w:color w:val="1155CC"/>
            <w:u w:val="single"/>
          </w:rPr>
          <w:t>通过两个胺基的（硫）脲交联实现天然多肽的大环化</w:t>
        </w:r>
      </w:hyperlink>
    </w:p>
    <w:p>
      <w:pPr>
        <w:spacing w:before="0" w:after="80"/>
      </w:pPr>
      <w:r>
        <w:rPr>
          <w:i/>
          <w:sz w:val="20"/>
        </w:rPr>
        <w:t>EN: Macrocyclization of native peptides through (thio)urea crosslinking of two amines</w:t>
      </w:r>
    </w:p>
    <w:p>
      <w:pPr>
        <w:spacing w:before="0" w:after="120"/>
      </w:pPr>
      <w:r>
        <w:rPr>
          <w:b/>
        </w:rPr>
        <w:t xml:space="preserve">Source: </w:t>
      </w:r>
      <w:r>
        <w:t>Physical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环肽已成为药物开发的有前景的候选者。然而，由于天然肽的高效环化策略稀缺，多样化环肽的开发仍然是一项艰巨的挑战。在本研究中，通过使用 N, N'-羰基二咪唑或 N, N'-硫代羰基二咪唑作为桥连试剂，对天然肽进行位点选择性赖氨酸-赖氨酸交联，开发了一系列具有（硫）脲桥的大环肽。特别是，通过一锅两步多组分大环化进一步合成了双硫脲桥大环肽。这些策略能够对含有多种亲核残基的肽进行化学选择性大环化，以提供（硫）脲桥大环类似物，例如成功转化靶向肽 RGD（Arg-Gly-Asp）和抗菌肽 Anoplin 类似物。生物学评价表明，这些环肽，特别是硫脲和双硫脲桥类似物，表现出增强的靶标结合亲和力、有效的抗肿瘤活性，以及改善的膜渗透性和稳定性。分子对接阐明了生物活性增强的结构起源，表明增强的分子相互作用可能是其潜在原因。</w:t>
      </w:r>
    </w:p>
    <w:p>
      <w:pPr>
        <w:spacing w:before="0" w:after="200" w:lineRule="auto" w:line="276"/>
      </w:pPr>
      <w:r>
        <w:rPr>
          <w:b/>
        </w:rPr>
        <w:t xml:space="preserve">Abstract (EN): </w:t>
      </w:r>
      <w:r>
        <w:t>Cyclopeptides have emerged as promising candidates for drug development. However, owing to the scarcity of efficient cyclization strategies for natural peptides, the development of diverse cyclopeptides remains a formidable challenge. In this study, a variety of macrocyclic peptides featuring (thio)urea bridges are developed through the site-selective lysine‑lysine crosslinking of native peptides, employing N, N’-carbonyldiimidazole or N, N’-thiocarbonyldiimidazole as bridging reagents. In particular, dual thiourea-bridged macrocyclic peptides are further synthesized by using a one-pot two-step multicomponent macrocyclization. These strategies enable the chemoselective macrocyclization of peptides bearing diverse nucleophilic residues to afford (thio)urea-bridged macrocyclic analogs, as exemplified by the successful transformation of the targeted peptide RGD (Arg-Gly-Asp) and the antimicrobial peptide Anoplin analogue. Biological evaluation demonstrates that the cyclopeptides, particularly the thiourea- and bis-thiourea-bridged analogs, exhibit enhanced target binding affinity, potent antitumor activity, as well as improved membrane permeability and stability. Molecular docking elucidates the structural origin of the enhanced bioactivity, suggesting that the reinforced molecular interactions might be a potential underlying cause.</w:t>
      </w:r>
    </w:p>
    <w:p>
      <w:pPr>
        <w:spacing w:before="120" w:after="120"/>
      </w:pPr>
      <w:r>
        <w:rPr>
          <w:sz w:val="18"/>
        </w:rPr>
        <w:t>——————————————————————————————————————————————————————————————————————</w:t>
      </w:r>
    </w:p>
    <w:p>
      <w:pPr>
        <w:spacing w:before="160" w:after="40" w:line="240" w:lineRule="auto"/>
      </w:pPr>
      <w:r>
        <w:rPr>
          <w:b/>
        </w:rPr>
        <w:t xml:space="preserve">[1170] </w:t>
      </w:r>
      <w:hyperlink r:id="rId2005">
        <w:r>
          <w:rPr>
            <w:color w:val="1155CC"/>
            <w:u w:val="single"/>
          </w:rPr>
          <w:t>界面自旋有序工程缓解非晶软磁复合材料的磁导率-损耗权衡</w:t>
        </w:r>
      </w:hyperlink>
    </w:p>
    <w:p>
      <w:pPr>
        <w:spacing w:before="0" w:after="80"/>
      </w:pPr>
      <w:r>
        <w:rPr>
          <w:i/>
          <w:sz w:val="20"/>
        </w:rPr>
        <w:t>EN: Interfacial spin-order engineering mitigates the permeability-loss trade-off in amorphous soft magnetic composites</w:t>
      </w:r>
    </w:p>
    <w:p>
      <w:pPr>
        <w:spacing w:before="0" w:after="120"/>
      </w:pPr>
      <w:r>
        <w:rPr>
          <w:b/>
        </w:rPr>
        <w:t xml:space="preserve">Source: </w:t>
      </w:r>
      <w:r>
        <w:t>Physical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摘要 高磁导率和低损耗是高频电子器件中亚晶态软磁复合材料的关键要求。二者通常也相互排斥：低损耗要求磁性颗粒之间存在绝缘界面，但传统绝缘界面会引起磁稀释和退耦合，从而降低磁导率。在此，我们提出了一种有别于传统铁磁界面方案的界面自旋有序工程策略。通过热-电激活的氧迁移过程，我们在异质界面之间构建了梯度缺氧功能层，实现了界面自旋构型的原子级调控。这种工程化界面使磁导率提高150%，损耗降低76%，优于最先进的同类材料。中子暗场成像提供了直接的、体敏感的证据，表明氧缺陷介导的自旋有序诱导了具有晶间磁连通性的大磁畴。在机理上，缺陷介导的超交换作用逆转了异质界面处Ce和Fe原子的自旋取向，将无序或反铁磁排列转变为铁磁耦合，从而消除了颗粒间的磁耦合障碍。我们的工作证明界面自旋有序是一种可推广的设计原则，可缓解长期存在的磁导率-损耗权衡问题。</w:t>
      </w:r>
    </w:p>
    <w:p>
      <w:pPr>
        <w:spacing w:before="0" w:after="200" w:lineRule="auto" w:line="276"/>
      </w:pPr>
      <w:r>
        <w:rPr>
          <w:b/>
        </w:rPr>
        <w:t xml:space="preserve">Abstract (EN): </w:t>
      </w:r>
      <w:r>
        <w:t>High magnetic permeability and low power loss are critical requirements for amorphous soft magnetic composites in high-frequency electronics. They are also typically mutually exclusive; low power loss requires insulating interfaces between magnetic particles, but conventional insulating interfaces cause magnetic dilution and decoupling, reducing permeability. Here, we introduce an interfacial spin-order engineering strategy that departs from traditional ferromagnetic interface solutions. By exploiting a thermally-electrically activated oxygen migration process, we construct a gradient oxygen-deficient functional layer between heterogeneous interfaces, enabling atomic-scale control of interfacial spin configurations. This engineered interface leads to a 150% increase in magnetic permeability and a 76% reduction in power loss, outperforming state-of-the-art counterparts. Neutron dark-field imaging provides direct, bulk-sensitive evidence that oxygen-defect-mediated spin ordering induces enlarged magnetic domains with intergranular magnetic connectivity. Mechanistically, defect-mediated super-exchange interactions reverse the spin orientation of Ce and Fe atoms at the heterointerface, transforming disordered or antiferromagnetic alignment into ferromagnetic coupling and thereby eliminating magnetic coupling barriers across particles. Our work demonstrates interfacial spin-ordering as a generalizable design principle, mitigating the long-standing permeability-loss trade-off.</w:t>
      </w:r>
    </w:p>
    <w:p>
      <w:pPr>
        <w:spacing w:before="120" w:after="120"/>
      </w:pPr>
      <w:r>
        <w:rPr>
          <w:sz w:val="18"/>
        </w:rPr>
        <w:t>——————————————————————————————————————————————————————————————————————</w:t>
      </w:r>
    </w:p>
    <w:p>
      <w:pPr>
        <w:spacing w:before="160" w:after="40" w:line="240" w:lineRule="auto"/>
      </w:pPr>
      <w:r>
        <w:rPr>
          <w:b/>
        </w:rPr>
        <w:t xml:space="preserve">[1171] </w:t>
      </w:r>
      <w:hyperlink r:id="rId2006">
        <w:r>
          <w:rPr>
            <w:color w:val="1155CC"/>
            <w:u w:val="single"/>
          </w:rPr>
          <w:t>活性粒子的可编程流体力学</w:t>
        </w:r>
      </w:hyperlink>
    </w:p>
    <w:p>
      <w:pPr>
        <w:spacing w:before="0" w:after="80"/>
      </w:pPr>
      <w:r>
        <w:rPr>
          <w:i/>
          <w:sz w:val="20"/>
        </w:rPr>
        <w:t>EN: Programmable hydrodynamics of active particles</w:t>
      </w:r>
    </w:p>
    <w:p>
      <w:pPr>
        <w:spacing w:before="0" w:after="120"/>
      </w:pPr>
      <w:r>
        <w:rPr>
          <w:b/>
        </w:rPr>
        <w:t xml:space="preserve">Source: </w:t>
      </w:r>
      <w:r>
        <w:t>Physical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自驱动微颗粒产生的流场决定了它们与表面、外部流动以及彼此之间的相互作用方式。这些流场可分为不同的类别——推型、拉型和中性游动者——每一类都表现出截然不同的集体行为。在所有现有的合成体系中，这种流体动力学特征在制备过程中被永久固定。本文证明了微游动者的流体动力学特性可以按需编程和切换。利用对表面束缚纳米颗粒的图案化激光加热，我们产生了定制化的温度梯度，以驱动可控的边界流动。实时照明控制使游动者在运动过程中其流场从推型转变为拉型。流动测量结果与理论定量吻合，并跟踪了不同模式下的功耗和效率变化。这种对流体动力学模式的控制提供了一个实验平台，用于探索外部物理约束下活性物质的行为，包括游动者对拥挤或受限环境的自适应响应，以及由可调推型-拉型混合物产生的集体态的涌现。</w:t>
      </w:r>
    </w:p>
    <w:p>
      <w:pPr>
        <w:spacing w:before="0" w:after="200" w:lineRule="auto" w:line="276"/>
      </w:pPr>
      <w:r>
        <w:rPr>
          <w:b/>
        </w:rPr>
        <w:t xml:space="preserve">Abstract (EN): </w:t>
      </w:r>
      <w:r>
        <w:t>Self-propelled microparticles create flow fields that determine how they interact with surfaces, external flows, and each other. These flow fields fall into distinct classes–pushers, pullers, and neutral swimmers–each exhibiting fundamentally different collective behaviors. In all existing synthetic systems, this hydrodynamic character is permanently set during fabrication. Here we demonstrate that the hydrodynamic identity of microswimmers can be programmed and switched on demand. Using patterned laser heating of surface-bound nanoparticles, we create tailored temperature gradients that drive controllable boundary flows. Real-time illumination control transforms the swimmer’s flow field from pusher to puller during motion. Flow measurements confirm quantitative agreement with theory and track changes in power consumption and efficiency across modes. This control over hydrodynamic modes provides an experimental platform to explore active matter behavior under external physical constraints, including adaptive swimmer responses to crowding or confinement and the emergence of collective states from tunable pusher-puller mixtures.</w:t>
      </w:r>
    </w:p>
    <w:p>
      <w:pPr>
        <w:spacing w:before="120" w:after="120"/>
      </w:pPr>
      <w:r>
        <w:rPr>
          <w:sz w:val="18"/>
        </w:rPr>
        <w:t>——————————————————————————————————————————————————————————————————————</w:t>
      </w:r>
    </w:p>
    <w:p>
      <w:pPr>
        <w:spacing w:before="160" w:after="40" w:line="240" w:lineRule="auto"/>
      </w:pPr>
      <w:r>
        <w:rPr>
          <w:b/>
        </w:rPr>
        <w:t xml:space="preserve">[1172] </w:t>
      </w:r>
      <w:hyperlink r:id="rId2007">
        <w:r>
          <w:rPr>
            <w:color w:val="1155CC"/>
            <w:u w:val="single"/>
          </w:rPr>
          <w:t>利用电子健康记录关联的基因组队列对代谢功能障碍相关脂肪性肝病进行分型揭示多样的病因与进展</w:t>
        </w:r>
      </w:hyperlink>
    </w:p>
    <w:p>
      <w:pPr>
        <w:spacing w:before="0" w:after="80"/>
      </w:pPr>
      <w:r>
        <w:rPr>
          <w:i/>
          <w:sz w:val="20"/>
        </w:rPr>
        <w:t>EN: Subtyping metabolic dysfunction-associated steatotic liver disease using electronic health record-linked genomic cohorts reveals diverse etiologies and progression</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代谢功能障碍相关脂肪性肝病（MASLD）是一种病因和临床表现多样的异质性疾病。然而，MASLD尚缺乏共识性的亚型划分。基于对MASLD相关重要临床变量的潜在类别分析，我们鉴定出五个具有不同遗传、临床和风险特征的亚组，并在一个独立队列中得到良好重现。多基因风险评分和遗传变异分析揭示了所有亚组的遗传贡献。其中，以男性为主的心肾亚型（C2）和以女性为主、伴肥胖和情绪障碍的亚型（C3）与2型糖尿病、肥胖和睡眠呼吸暂停的高患病率相关。后者还表现出相对较高的抗抑郁药物使用率。另一方面，多基因性MASLD（C4）的特征是代谢合并症和缺血性心脏病发病率最低。然而，该亚组总体肝移植率最高，这可能部分由TM6SF2和MBOAT7中高发风险等位基因与HSD17B13中低发保护性等位基因的组合遗传效应所驱动。最后，多基因性MASH亚型C5表现出发生晚期纤维化和急性肾功能衰竭风险的增加。总之，我们的研究为MASLD的异质性提供了关键见解，突出了个体化治疗的机会。</w:t>
      </w:r>
    </w:p>
    <w:p>
      <w:pPr>
        <w:spacing w:before="0" w:after="200" w:lineRule="auto" w:line="276"/>
      </w:pPr>
      <w:r>
        <w:rPr>
          <w:b/>
        </w:rPr>
        <w:t xml:space="preserve">Abstract (EN): </w:t>
      </w:r>
      <w:r>
        <w:t>Metabolic dysfunction-associated steatotic liver disease (MASLD) is a heterogeneous condition with diverse etiologies and clinical presentations. Yet, a consensus of subtypes is lacking in MASLD. Based on latent class analysis of significant MASLD-related clinical variables, we identify five subgroups with distinct genetic, clinical, and risk profiles, which are well recapitulated in an independent cohort. Polygenic risk score and genetic variant analysis reveal genetic contributions across all subgroups. In particular, two subgroups, male-predominant cardiorenal (C2) and female-predominant with obesity and mood disorders (C3), are associated with high prevalence of type 2 diabetes, obesity, and sleep apnea. The latter also has relatively high usage of antidepressant medicine. On the other hand, the polygenic MASLD (C4) is characterized by the lowest incidence of metabolic comorbidities and ischemic heart disease. Nevertheless, this subgroup overall has the highest rate of liver transplant, which is likely driven, in part, by the combinatorial genetic effects of high-prevalent risk alleles in TM6SF2 and MBOAT7 together with low-prevalent protective allele in HSD17B13. Finally, the polygenic MASH subtype C5 shows increased risk of developing advanced fibrosis and acute renal failure. Together, our study provides key insights into MASLD heterogeneity, highlighting the opportunity for personalized therapies.</w:t>
      </w:r>
    </w:p>
    <w:p>
      <w:pPr>
        <w:spacing w:before="120" w:after="120"/>
      </w:pPr>
      <w:r>
        <w:rPr>
          <w:sz w:val="18"/>
        </w:rPr>
        <w:t>——————————————————————————————————————————————————————————————————————</w:t>
      </w:r>
    </w:p>
    <w:p>
      <w:pPr>
        <w:spacing w:before="160" w:after="40" w:line="240" w:lineRule="auto"/>
      </w:pPr>
      <w:r>
        <w:rPr>
          <w:b/>
        </w:rPr>
        <w:t xml:space="preserve">[1173] </w:t>
      </w:r>
      <w:hyperlink r:id="rId2008">
        <w:r>
          <w:rPr>
            <w:color w:val="1155CC"/>
            <w:u w:val="single"/>
          </w:rPr>
          <w:t>RAGE介导LPS诱导的人皮肤炎症性疼痛——一项双盲、随机、安慰剂对照的完全交叉研究</w:t>
        </w:r>
      </w:hyperlink>
    </w:p>
    <w:p>
      <w:pPr>
        <w:spacing w:before="0" w:after="80"/>
      </w:pPr>
      <w:r>
        <w:rPr>
          <w:i/>
          <w:sz w:val="20"/>
        </w:rPr>
        <w:t>EN: RAGE mediates LPS-induced inflammatory pain in human skin – a double-blind, randomised, placebo-controlled full crossover study</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炎性疼痛是一项重大临床挑战，但缺乏模拟局部感染的合适人类模型。我们建立了一种基于皮内注射脂多糖（革兰氏阴性菌的组分）的人类疼痛模型，并研究了炎性痛觉过敏的时间进程及其分子机制。一项纳入12名健康受试者的安慰剂对照先导研究显示，皮内注射脂多糖诱导充血在4.5小时达到峰值，机械痛敏在6小时达到峰值。对逐渐酸化的注射和机械夹捏的过敏反应持续时间长于充血。双盲、随机、安慰剂对照的完全交叉主研究（NCT07092215）纳入40名健康受试者，研究了晚期糖基化终产物受体的作用。主要假设为：‘与共同注射azeliragon的脂多糖注射皮肤斑点相比，脂多糖注射皮肤斑点的血流有所不同’。两个次要假设为：‘与共同注射azeliragon的脂多糖注射皮肤斑点相比，脂多糖注射皮肤斑点的酸诱发疼痛有所不同’以及‘与共同注射azeliragon的脂多糖注射皮肤斑点相比，脂多糖注射皮肤斑点的机械夹捏诱发疼痛有所不同’。共同注射相应拮抗剂azeliragon大幅减少脂多糖诱导的充血（−87%）并显著减弱对机械（−55%）和逐渐</w:t>
      </w:r>
    </w:p>
    <w:p>
      <w:pPr>
        <w:spacing w:before="0" w:after="200" w:lineRule="auto" w:line="276"/>
      </w:pPr>
      <w:r>
        <w:rPr>
          <w:b/>
        </w:rPr>
        <w:t xml:space="preserve">Abstract (EN): </w:t>
      </w:r>
      <w:r>
        <w:t>Inflammatory pain is a major clinical challenge, yet appropriate human models mimicking local infection are lacking. We established a human pain model based on intradermal administration of lipopolysaccharide, a component of Gram-negative bacteria, and investigated the time course and underlying molecular mechanisms of inflammatory pain hypersensitivity. A placebo-controlled pilot study with 12 healthy subjects showed that intradermal lipopolysaccharide injection induces hyperaemia peaking at 4.5 h and mechanical hypersensitivity peaking at 6 h. Hypersensitivity to increasingly acidic injections and mechanical pinch lasts longer than hyperaemia. The double-blind, randomised, placebo-controlled full crossover main study (NCT07092215) included 40 healthy subjects and investigated the role of the Receptor for Advanced Glycation End-products. The primary hypothesis was: ‘The blood flow is different in lipopolysaccharide-injected skin spots compared to lipopolysaccharide-injected skin spots where azeliragon is co-injected’. The two secondary hypotheses were: ‘Acid-induced pain is different in lipopolysaccharide-injected skin spots compared to lipopolysaccharide-injected skin spots where azeliragon is co-injected’ and ‘Mechanical pinch-induced pain is different in lipopolysaccharide-injected skin spots compared to lipopolysaccharide-injected skin spots where azeliragon is co-injected’. Co-injection of the respective antagonist azeliragon largely reduces lipopolysaccharide-induced hyperaemia (−87%) and significantly attenuates hypersensitivity to mechanical (−55%) and increasingly acidic stimuli (−40%). In contrast, the Toll-like receptor 4 antagonist resatorvid has no effect on these readouts. In both naïve and inflamed skin, the TRPV1 antagonist BCTC inhibits the majority of acid-induced pain. Lipopolysaccharide-induced inflammation causes a substantial shift in the pH sensitivity of pain, suggesting that even mild tissue acidification contributes to inflammatory pain. The human lipopolysaccharide skin inflammation model depends largely on the Receptor for Advanced Glycation End-products, highlighting its potential as a target in inflammation.</w:t>
      </w:r>
    </w:p>
    <w:p>
      <w:pPr>
        <w:spacing w:before="120" w:after="120"/>
      </w:pPr>
      <w:r>
        <w:rPr>
          <w:sz w:val="18"/>
        </w:rPr>
        <w:t>——————————————————————————————————————————————————————————————————————</w:t>
      </w:r>
    </w:p>
    <w:p>
      <w:pPr>
        <w:spacing w:before="160" w:after="40" w:line="240" w:lineRule="auto"/>
      </w:pPr>
      <w:r>
        <w:rPr>
          <w:b/>
        </w:rPr>
        <w:t xml:space="preserve">[1174] </w:t>
      </w:r>
      <w:hyperlink r:id="rId2009">
        <w:r>
          <w:rPr>
            <w:color w:val="1155CC"/>
            <w:u w:val="single"/>
          </w:rPr>
          <w:t>牛胚胎干细胞自组织形成血管化肌肉</w:t>
        </w:r>
      </w:hyperlink>
    </w:p>
    <w:p>
      <w:pPr>
        <w:spacing w:before="0" w:after="80"/>
      </w:pPr>
      <w:r>
        <w:rPr>
          <w:i/>
          <w:sz w:val="20"/>
        </w:rPr>
        <w:t>EN: Self-organization of vascularized muscle from bovine embryonic stem cells</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培养肉为传统肉类提供了一种有前景的替代方案。虽然成体干细胞常被用作培养肉的细胞来源，但其增殖和分化能力有限。目前培养牛排的制造工艺通常需要分别制备多种细胞类型并进行精细组装。在本研究中，我们提出并报道了从牛胚胎干细胞（ESCs）共诱导肌肉、神经和内皮细胞，并在二维和三维培养中伴随形成类组织结构。牛肌细胞通过从牛ESCs诱导体节前中胚层（PSM）以分步方式诱导产生。15天内出现具有肌节结构的肌纤维，并表现出响应共诱导牛神经元输入的钙振荡。牛内皮细胞也经由PSM共诱导产生，在组织内部形成均匀的血管网络。我们无血清、快速的共诱导方案代表了向具有整合血管和神经支配的自组织牛排迈出的里程碑。</w:t>
      </w:r>
    </w:p>
    <w:p>
      <w:pPr>
        <w:spacing w:before="0" w:after="200" w:lineRule="auto" w:line="276"/>
      </w:pPr>
      <w:r>
        <w:rPr>
          <w:b/>
        </w:rPr>
        <w:t xml:space="preserve">Abstract (EN): </w:t>
      </w:r>
      <w:r>
        <w:t>Cultured beef offers a promising alternative to traditional meat. While adult stem cells are commonly used as the cell source for cultured beef, their proliferation and differentiation capacities are limited. Current manufacturing processes for cultured beef steaks often require separate preparation of multiple cell types and their intricate assembly. In this study, we propose and report the co-induction of muscle, neural, and endothelial cells from bovine embryonic stem cells (ESCs), accompanied by the formation of tissue-like structures in two- and three-dimensional cultures. Bovine myocytes are induced in a stepwise manner through the induction of presomitic mesoderm (PSM) from bovine ESCs. Muscle fibers with sarcomeres appear within 15 days, displaying calcium oscillations responsive to inputs from co-induced bovine neurons. Bovine endothelial cells are also co-induced via PSM, forming uniform vessel networks inside tissues. Our serum-free, rapid co-induction protocols represent a milestone toward self-organizing beef steaks with integrated vasculature and innervation.</w:t>
      </w:r>
    </w:p>
    <w:p>
      <w:pPr>
        <w:spacing w:before="120" w:after="120"/>
      </w:pPr>
      <w:r>
        <w:rPr>
          <w:sz w:val="18"/>
        </w:rPr>
        <w:t>——————————————————————————————————————————————————————————————————————</w:t>
      </w:r>
    </w:p>
    <w:p>
      <w:pPr>
        <w:spacing w:before="160" w:after="40" w:line="240" w:lineRule="auto"/>
      </w:pPr>
      <w:r>
        <w:rPr>
          <w:b/>
        </w:rPr>
        <w:t xml:space="preserve">[1175] </w:t>
      </w:r>
      <w:hyperlink r:id="rId1844">
        <w:r>
          <w:rPr>
            <w:color w:val="1155CC"/>
            <w:u w:val="single"/>
          </w:rPr>
          <w:t>用于人体血清分析的基质激活适配体传感器</w:t>
        </w:r>
      </w:hyperlink>
    </w:p>
    <w:p>
      <w:pPr>
        <w:spacing w:before="0" w:after="80"/>
      </w:pPr>
      <w:r>
        <w:rPr>
          <w:i/>
          <w:sz w:val="20"/>
        </w:rPr>
        <w:t>EN: Matrix‐Activated Aptamer Sensors for Human Serum Analysis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44">
        <w:r>
          <w:rPr>
            <w:color w:val="1155CC"/>
            <w:u w:val="single"/>
          </w:rPr>
          <w:t>10.1002/anie.3409471</w:t>
        </w:r>
      </w:hyperlink>
    </w:p>
    <w:p>
      <w:pPr>
        <w:spacing w:before="0" w:after="120"/>
      </w:pPr>
      <w:r>
        <w:rPr>
          <w:b/>
        </w:rPr>
        <w:t xml:space="preserve">Notes: </w:t>
      </w:r>
      <w:r>
        <w:t>abstract_source=crossref</w:t>
      </w:r>
    </w:p>
    <w:p>
      <w:pPr>
        <w:spacing w:before="0" w:after="80" w:lineRule="auto" w:line="276"/>
      </w:pPr>
      <w:r>
        <w:rPr>
          <w:b/>
        </w:rPr>
        <w:t xml:space="preserve">摘要（ZH）: </w:t>
      </w:r>
      <w:r>
        <w:t>摘要 由于操作简便，溶液相荧光传感器在基于适配体的检测工具中占据重要地位。然而，当暴露于越来越高的血液液体（如人血清）水平时，其性能常常受到损害，这限制了其在临床环境中的潜力。在此，我们介绍了一种在此类生物介质中表现优异的传感平台，它利用基质中最丰富的蛋白质，即白蛋白和免疫球蛋白 G，作为荧光团标记适配体的内源性激活剂。在无靶标存在时，这些血清蛋白与适配体探针原位非特异性组装。靶标结合后，适配体-蛋白质复合物被破坏，使平衡向未与生物聚合物结合的探针方向移动。荧光各向异性读数揭示了该系统对小分子靶标的反应性，能够在一系列高血清水平（25%–90%）下提供增强且一致的响应。由于传感器的性能可能对样本间血清差异敏感，因此采用标准加入校准方法以确保可靠的定量分析。总体而言，所提出的策略解决了显著的血清诱导干扰，并在生物学挑战条件下保持了测定功能，从而为将均相适配体传感扩展至临床相关血液基质建立了实用框架。</w:t>
      </w:r>
    </w:p>
    <w:p>
      <w:pPr>
        <w:spacing w:before="0" w:after="200" w:lineRule="auto" w:line="276"/>
      </w:pPr>
      <w:r>
        <w:rPr>
          <w:b/>
        </w:rPr>
        <w:t xml:space="preserve">Abstract (EN): </w:t>
      </w:r>
      <w:r>
        <w:t>Owing to their ease of operation, solution‐phase fluorescent sensors hold a crucial position among aptamer‐based detection tools. However, their performance is regularly compromised when exposed to increasing levels of blood fluids, such as human serum, which limits their potential in clinical settings. Here, we introduce a sensing platform that behaves advantageously within this biological medium, leveraging the most abundant proteins in the matrix, namely albumin and immunoglobulin G, as endogenous activators of fluorophore‐labeled aptamers. In the absence of a target, these serum proteins non‐specifically assemble with the aptamer probe in situ. Upon target binding, the aptamer‐protein complexes are disrupted, shifting the equilibria toward the probe unbound to biopolymers. The fluorescence anisotropy readout reveals the system's reactivity to small‐molecule targets, offering the unique ability to provide both enhanced and consistent responses across a range of high serum levels (25%–90%). As the sensor's performance may be sensitive to inter‐sample serum variations, a standard addition calibration approach is used to ensure reliable quantitative analyses. Overall, the proposed strategy addresses substantial serum‐induced perturbations and preserves assay functionality under biologically challenging conditions, thereby establishing a practical framework for extending homogeneous aptamer‐based sensing to clinically relevant blood matrices.</w:t>
      </w:r>
    </w:p>
    <w:p>
      <w:pPr>
        <w:spacing w:before="120" w:after="120"/>
      </w:pPr>
      <w:r>
        <w:rPr>
          <w:sz w:val="18"/>
        </w:rPr>
        <w:t>——————————————————————————————————————————————————————————————————————</w:t>
      </w:r>
    </w:p>
    <w:p>
      <w:pPr>
        <w:spacing w:before="160" w:after="40" w:line="240" w:lineRule="auto"/>
      </w:pPr>
      <w:r>
        <w:rPr>
          <w:b/>
        </w:rPr>
        <w:t xml:space="preserve">[1176] </w:t>
      </w:r>
      <w:hyperlink r:id="rId1841">
        <w:r>
          <w:rPr>
            <w:color w:val="1155CC"/>
            <w:u w:val="single"/>
          </w:rPr>
          <w:t>聚脯氨酸：一种具有独特性质的合成多肽</w:t>
        </w:r>
      </w:hyperlink>
    </w:p>
    <w:p>
      <w:pPr>
        <w:spacing w:before="0" w:after="80"/>
      </w:pPr>
      <w:r>
        <w:rPr>
          <w:i/>
          <w:sz w:val="20"/>
        </w:rPr>
        <w:t>EN: Polyproline: A Synthetic Polypeptide With Unique Properties</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41">
        <w:r>
          <w:rPr>
            <w:color w:val="1155CC"/>
            <w:u w:val="single"/>
          </w:rPr>
          <w:t>10.1002/anie.5624080</w:t>
        </w:r>
      </w:hyperlink>
    </w:p>
    <w:p>
      <w:pPr>
        <w:spacing w:before="0" w:after="120"/>
      </w:pPr>
      <w:r>
        <w:rPr>
          <w:b/>
        </w:rPr>
        <w:t xml:space="preserve">Notes: </w:t>
      </w:r>
      <w:r>
        <w:t>abstract_source=crossref</w:t>
      </w:r>
    </w:p>
    <w:p>
      <w:pPr>
        <w:spacing w:before="0" w:after="80" w:lineRule="auto" w:line="276"/>
      </w:pPr>
      <w:r>
        <w:rPr>
          <w:b/>
        </w:rPr>
        <w:t xml:space="preserve">摘要（ZH）: </w:t>
      </w:r>
      <w:r>
        <w:t>摘要 聚脯氨酸是一种独特的多肽，以其异常的构象刚性和物理化学行为为特征。针对其合成与表征中长期存在的挑战，本小型综述重点介绍了脯氨酸N-羧基环内酸酐（NCA）开环聚合的最新进展，实现了结构明确的聚脯氨酸架构的可控与规模化制备。这些进展为先进材料中的多样化应用打开了大门，包括利用由构象转变产生的固有热响应行为的体系，该行为导致具有显著滞后的低临界溶解温度（LCST）型相分离。新兴应用涵盖智能3D打印水凝胶、纳米颗粒、膜活性材料以及聚脯氨酸基偶联物，其中聚脯氨酸可作为聚乙二醇（PEG）的生物相容性替代品。总体而言，这些进展使聚脯氨酸成为生物材料领域的一个有前景的平台，具有增强稳定性、降低免疫原性以及扩展功能多样性等优势。</w:t>
      </w:r>
    </w:p>
    <w:p>
      <w:pPr>
        <w:spacing w:before="0" w:after="200" w:lineRule="auto" w:line="276"/>
      </w:pPr>
      <w:r>
        <w:rPr>
          <w:b/>
        </w:rPr>
        <w:t xml:space="preserve">Abstract (EN): </w:t>
      </w:r>
      <w:r>
        <w:t>Polyproline is a unique polypeptide defined by its unusual conformational rigidity and physicochemical behavior. Addressing long‐standing challenges in its synthesis and characterization, this mini‐review highlights recent advances in the ring‐opening polymerization of proline N ‐carboxyanhydride (NCA), enabling the controlled and scalable preparation of well‐defined polyproline architectures. These developments have unlocked diverse applications in advanced materials, including systems that exploit intrinsic thermoresponsive behavior arising from conformational transitions, leading to Lower Critical Solution Temperature (LCST)‐type phase separation with pronounced hysteresis. Emerging applications span smart 3D printed hydrogels, nanoparticles, membrane‐active materials, and polyproline‐based conjugates, where polyproline serves as a biocompatible alternative to poly(ethylene glycol) (PEG). Collectively, these advances position polyproline as a promising platform in biomaterials, offering benefits such as enhanced stability, reduced immunogenicity, and expanded functional versatility.</w:t>
      </w:r>
    </w:p>
    <w:p>
      <w:pPr>
        <w:spacing w:before="120" w:after="120"/>
      </w:pPr>
      <w:r>
        <w:rPr>
          <w:sz w:val="18"/>
        </w:rPr>
        <w:t>——————————————————————————————————————————————————————————————————————</w:t>
      </w:r>
    </w:p>
    <w:p>
      <w:pPr>
        <w:spacing w:before="160" w:after="40" w:line="240" w:lineRule="auto"/>
      </w:pPr>
      <w:r>
        <w:rPr>
          <w:b/>
        </w:rPr>
        <w:t xml:space="preserve">[1177] </w:t>
      </w:r>
      <w:hyperlink r:id="rId1839">
        <w:r>
          <w:rPr>
            <w:color w:val="1155CC"/>
            <w:u w:val="single"/>
          </w:rPr>
          <w:t>用于癌症治疗的原位肽组装</w:t>
        </w:r>
      </w:hyperlink>
    </w:p>
    <w:p>
      <w:pPr>
        <w:spacing w:before="0" w:after="80"/>
      </w:pPr>
      <w:r>
        <w:rPr>
          <w:i/>
          <w:sz w:val="20"/>
        </w:rPr>
        <w:t>EN: In Situ Peptide Assembly for Cancer Therapy</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839">
        <w:r>
          <w:rPr>
            <w:color w:val="1155CC"/>
            <w:u w:val="single"/>
          </w:rPr>
          <w:t>10.1002/anie.2719299</w:t>
        </w:r>
      </w:hyperlink>
    </w:p>
    <w:p>
      <w:pPr>
        <w:spacing w:before="0" w:after="120"/>
      </w:pPr>
      <w:r>
        <w:rPr>
          <w:b/>
        </w:rPr>
        <w:t xml:space="preserve">Notes: </w:t>
      </w:r>
      <w:r>
        <w:t>abstract_source=crossref</w:t>
      </w:r>
    </w:p>
    <w:p>
      <w:pPr>
        <w:spacing w:before="0" w:after="80" w:lineRule="auto" w:line="276"/>
      </w:pPr>
      <w:r>
        <w:rPr>
          <w:b/>
        </w:rPr>
        <w:t xml:space="preserve">摘要（ZH）: </w:t>
      </w:r>
      <w:r>
        <w:t>摘要 多肽因其生物相容性和功能多样性（如肿瘤靶向和细胞穿透能力）而成为有前景的抗癌药物。然而，其临床应用常因稳定性差和快速清除而受限。为克服这些缺点，人们开发了多肽组装策略。早期方法采用预组装的多肽纳米材料，但这些方法在循环和肿瘤渗透方面面临挑战。近年来，原位多肽组装日益受到关注。该策略通过给予分子多肽-药物前体，其在肿瘤微环境中经刺激响应激活后于局部形成纳米结构。该过程利用聚集诱导滞留（AIR）效应，增强药物在肿瘤部位的富集和滞留。此外，这些原位形成的纳米组装体可破坏细胞内稳态并诱导细胞凋亡，从而放大治疗效果。本综述系统阐述了原位多肽组装的机制，对触发该过程的多种刺激进行了分类，并全面总结了其在癌症治疗中的应用。最后，讨论了这一前沿领域当前面临的挑战与前景。</w:t>
      </w:r>
    </w:p>
    <w:p>
      <w:pPr>
        <w:spacing w:before="0" w:after="200" w:lineRule="auto" w:line="276"/>
      </w:pPr>
      <w:r>
        <w:rPr>
          <w:b/>
        </w:rPr>
        <w:t xml:space="preserve">Abstract (EN): </w:t>
      </w:r>
      <w:r>
        <w:t>Peptides have emerged as promising anticancer agents due to their biocompatibility and functional versatility, such as tumor targeting and cell penetrating capabilities. However, their clinical application is often limited by poor stability and rapid clearance. To overcome these drawbacks, peptide assembly strategies have been developed. Early approaches utilized preassembled peptide nanomaterials, but these approaches faced challenges in circulation and tumor penetration. Recently, in situ peptide assembly has gained increasing attention. This strategy involves administering molecular peptide‐drug precursors that undergo stimulus‐responsive activation in the tumor microenvironment to form nanostructures locally. This process utilizes an aggregation‐induced retention (AIR) effect for enhanced drug enrichment and retention at the tumor site. Furthermore, these in situ‐formed nanoassemblies can disrupt intracellular homeostasis and induce apoptosis, amplifying therapeutic outcomes. This review systematically elaborates on the mechanisms of in situ peptide assembly, classifies the diverse stimuli triggering this process, and comprehensively summarizes its applications in cancer therapy. Finally, current challenges and prospects in this advancing field are discussed.</w:t>
      </w:r>
    </w:p>
    <w:p>
      <w:pPr>
        <w:spacing w:before="120" w:after="120"/>
      </w:pPr>
      <w:r>
        <w:rPr>
          <w:sz w:val="18"/>
        </w:rPr>
        <w:t>——————————————————————————————————————————————————————————————————————</w:t>
      </w:r>
    </w:p>
    <w:p>
      <w:pPr>
        <w:spacing w:before="160" w:after="40" w:line="240" w:lineRule="auto"/>
      </w:pPr>
      <w:r>
        <w:rPr>
          <w:b/>
        </w:rPr>
        <w:t xml:space="preserve">[1178] </w:t>
      </w:r>
      <w:hyperlink r:id="rId2010">
        <w:r>
          <w:rPr>
            <w:color w:val="1155CC"/>
            <w:u w:val="single"/>
          </w:rPr>
          <w:t>基因调控网络分析发现金诺芬为抗动脉粥样硬化药物</w:t>
        </w:r>
      </w:hyperlink>
    </w:p>
    <w:p>
      <w:pPr>
        <w:spacing w:before="0" w:after="80"/>
      </w:pPr>
      <w:r>
        <w:rPr>
          <w:i/>
          <w:sz w:val="20"/>
        </w:rPr>
        <w:t>EN: Gene regulatory network analysis identifies auranofin as an anti-atherosclerotic drug</w:t>
      </w:r>
    </w:p>
    <w:p>
      <w:pPr>
        <w:spacing w:before="0" w:after="120"/>
      </w:pPr>
      <w:r>
        <w:rPr>
          <w:b/>
        </w:rPr>
        <w:t xml:space="preserve">Source: </w:t>
      </w:r>
      <w:r>
        <w:t>Biological sciences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基因调控网络（GRN）为剖析冠状动脉疾病复杂的分子和遗传结构以及发现新的治疗机会提供了机制性框架。在此，我们提出一种GRN驱动的药物重定位策略，将沉默人动脉壁泡沫细胞调节因子GRN 42关键驱动因子所诱导的转录特征与NIH LINCS项目的药物诱导基因表达谱进行整合。对顶级候选化合物的体外筛选验证了计算预测，鉴定出候选泡沫细胞调节剂，并表明金诺芬（一种用于治疗类风湿性关节炎的FDA批准金盐）有效减少泡沫细胞形成。在体内，金诺芬减轻雄性小鼠和兔子的动脉粥样硬化及炎症。在临床中，在类风湿性关节炎患者的回顾性队列中，金诺芬与心血管风险降低相关。总之，这些发现表明，基于GRN的药物重定位框架结合临床前和临床验证，可为包括金诺芬在内的现有药物在冠状动脉疾病中发现新的治疗用途。</w:t>
      </w:r>
    </w:p>
    <w:p>
      <w:pPr>
        <w:spacing w:before="0" w:after="200" w:lineRule="auto" w:line="276"/>
      </w:pPr>
      <w:r>
        <w:rPr>
          <w:b/>
        </w:rPr>
        <w:t xml:space="preserve">Abstract (EN): </w:t>
      </w:r>
      <w:r>
        <w:t>Gene-regulatory networks (GRNs) offer a mechanistic framework for dissecting the complex molecular and genetic architecture of coronary artery disease and for identifying new therapeutic opportunities. Here, we present a GRN-driven drug-repurposing strategy that integrates transcriptional signatures induced by silencing key drivers of the human arterial wall foam cell regulator GRN 42 with drug-induced gene expression profiles from the NIH LINCS program. In vitro screening of top candidate compounds validates the computational predictions, identifying candidate foam cell modulators and showing that auranofin, an FDA-approved gold salt used to treat rheumatoid arthritis, effectively reduces foam cell formation. In vivo, auranofin attenuates atherosclerosis and inflammation in both male mice and rabbits. Clinically, auranofin was associated with reduced cardiovascular risk in a retrospective cohort of patients with rheumatoid arthritis. Together, these findings show that a GRN-based drug-repurposing framework, coupled with preclinical and clinical validation, can uncover new therapeutic applications for existing drugs, including auranofin, in coronary artery disease.</w:t>
      </w:r>
    </w:p>
    <w:p>
      <w:pPr>
        <w:spacing w:before="120" w:after="120"/>
      </w:pPr>
      <w:r>
        <w:rPr>
          <w:sz w:val="18"/>
        </w:rPr>
        <w:t>——————————————————————————————————————————————————————————————————————</w:t>
      </w:r>
    </w:p>
    <w:p>
      <w:pPr>
        <w:spacing w:before="160" w:after="40" w:line="240" w:lineRule="auto"/>
      </w:pPr>
      <w:r>
        <w:rPr>
          <w:b/>
        </w:rPr>
        <w:t xml:space="preserve">[1179] </w:t>
      </w:r>
      <w:hyperlink r:id="rId96">
        <w:r>
          <w:rPr>
            <w:color w:val="1155CC"/>
            <w:u w:val="single"/>
          </w:rPr>
          <w:t>质子捕获与传递协同设计实现pH中性的全有机水系质子电池</w:t>
        </w:r>
      </w:hyperlink>
    </w:p>
    <w:p>
      <w:pPr>
        <w:spacing w:before="0" w:after="80"/>
      </w:pPr>
      <w:r>
        <w:rPr>
          <w:i/>
          <w:sz w:val="20"/>
        </w:rPr>
        <w:t>EN: Proton Capture and Relay Codesign Enables a pH‐Neutral All‐Organic Aqueous Proton Battery</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96">
        <w:r>
          <w:rPr>
            <w:color w:val="1155CC"/>
            <w:u w:val="single"/>
          </w:rPr>
          <w:t>10.1002/anie.8800816</w:t>
        </w:r>
      </w:hyperlink>
    </w:p>
    <w:p>
      <w:pPr>
        <w:spacing w:before="0" w:after="120"/>
      </w:pPr>
      <w:r>
        <w:rPr>
          <w:b/>
        </w:rPr>
        <w:t xml:space="preserve">Notes: </w:t>
      </w:r>
      <w:r>
        <w:t>abstract_source=crossref</w:t>
      </w:r>
    </w:p>
    <w:p>
      <w:pPr>
        <w:spacing w:before="0" w:after="80" w:lineRule="auto" w:line="276"/>
      </w:pPr>
      <w:r>
        <w:rPr>
          <w:b/>
        </w:rPr>
        <w:t xml:space="preserve">摘要（ZH）: </w:t>
      </w:r>
      <w:r>
        <w:t>摘要 水系全有机质子电池有望实现安全、可持续和高速率的能量存储,但在近中性条件下的运行受到低质子活性以及非质子电荷载流子竞争的阻碍。在此,我们报道了一种质子捕获与传递协同设计策略,可在不使用强酸性电解质的情况下实现以质子为主导的电荷存储。该电极对由两种具有高质子亲和力的N中心氧化还原分子组成:一种是对空气稳定的预质子化亚胺正极DCTA-2H,另一种是低电位偶氮负极BCC。电解质为高浓度NH4OAc,这是一种近中性质子传递介质,其中NH4+与亚胺/偶氮位点形成氢键接触,促进界面质子传递,而非主要以完整离子的形式被存储。由此得到的BCC||DCTA-2H全电池放电电压约为0.85 V,容量为270.9 mAh gBCC−1,在3000次循环后容量保持率为86.5%,并可在-50°C下运行。这项工作确立了电极-电解质耦合设计作为通向近中性全有机水系质子电池的途径。</w:t>
      </w:r>
    </w:p>
    <w:p>
      <w:pPr>
        <w:spacing w:before="0" w:after="200" w:lineRule="auto" w:line="276"/>
      </w:pPr>
      <w:r>
        <w:rPr>
          <w:b/>
        </w:rPr>
        <w:t xml:space="preserve">Abstract (EN): </w:t>
      </w:r>
      <w:r>
        <w:t>Aqueous all‐organic proton batteries promise safe, sustainable, and high‐rate energy storage, but operation under near‐neutral conditions is hindered by low proton activity and competition from nonproton charge carriers. Here, we report a proton capture and relay codesign strategy that enables proton‐dominated charge storage without strongly acidic electrolytes. The electrode pair comprises two N‐centered redox molecules with high proton affinity: an air‐stable preprotonated imine cathode, DCTA‐2H, and a low‐potential azo anode, BCC. The electrolyte is concentrated NH 4 OAc, a near‐neutral proton‐transfer medium in which NH 4 + forms hydrogen‐bonded contacts with imine/azo sites and facilitates interfacial proton transfer rather than being stored predominantly as an intact ion. The resulting BCC||DCTA‐2H full cell delivers a discharge voltage of ≈0.85 V and a capacity of 270.9 mAh g BCC −1 , retains 86.5% of its capacity after 3,000 cycles, and remains operable at −50°C. This work establishes coupled electrode–electrolyte design as a route to near‐neutral all‐organic aqueous proton batteries.</w:t>
      </w:r>
    </w:p>
    <w:p>
      <w:pPr>
        <w:spacing w:before="120" w:after="120"/>
      </w:pPr>
      <w:r>
        <w:rPr>
          <w:sz w:val="18"/>
        </w:rPr>
        <w:t>——————————————————————————————————————————————————————————————————————</w:t>
      </w:r>
    </w:p>
    <w:p>
      <w:pPr>
        <w:spacing w:before="160" w:after="40" w:line="240" w:lineRule="auto"/>
      </w:pPr>
      <w:r>
        <w:rPr>
          <w:b/>
        </w:rPr>
        <w:t xml:space="preserve">[1180] </w:t>
      </w:r>
      <w:hyperlink r:id="rId1761">
        <w:r>
          <w:rPr>
            <w:color w:val="1155CC"/>
            <w:u w:val="single"/>
          </w:rPr>
          <w:t>建造玛雅金字塔：通过原位硫化构建多氧硫代钼酸盐以增强抗肿瘤治疗</w:t>
        </w:r>
      </w:hyperlink>
    </w:p>
    <w:p>
      <w:pPr>
        <w:spacing w:before="0" w:after="80"/>
      </w:pPr>
      <w:r>
        <w:rPr>
          <w:i/>
          <w:sz w:val="20"/>
        </w:rPr>
        <w:t>EN: Raising the Mayan Pyramids: Construction of Polyoxothiomolybdates via In Situ Sulfurization for Enhanced Antitumor Therapy</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761">
        <w:r>
          <w:rPr>
            <w:color w:val="1155CC"/>
            <w:u w:val="single"/>
          </w:rPr>
          <w:t>10.1002/anie.1190782</w:t>
        </w:r>
      </w:hyperlink>
    </w:p>
    <w:p>
      <w:pPr>
        <w:spacing w:before="0" w:after="120"/>
      </w:pPr>
      <w:r>
        <w:rPr>
          <w:b/>
        </w:rPr>
        <w:t xml:space="preserve">Notes: </w:t>
      </w:r>
      <w:r>
        <w:t>abstract_source=crossref</w:t>
      </w:r>
    </w:p>
    <w:p>
      <w:pPr>
        <w:spacing w:before="0" w:after="80" w:lineRule="auto" w:line="276"/>
      </w:pPr>
      <w:r>
        <w:rPr>
          <w:b/>
        </w:rPr>
        <w:t xml:space="preserve">摘要（ZH）: </w:t>
      </w:r>
      <w:r>
        <w:t>摘要 原子级硫化技术正推动材料工程从粗放调控走向精准编辑。以多氧硫代金属簇(POTMs)为代表,现有硫化方法仍然有限且不环保,严重制约了其结构多样性和功能应用。本研究开发了一种原位硫化方法,以独特且环保的方式构建了Mo基POTMs(POTMos)。前所未有的构筑基元的出现催生了两种分别具有单座或融合玛雅金字塔框架的POTMos。通过硫引入带来的结构调控和生物相容性增强,Mo-57-氧硫多阴离子(Mo57)展现出强效的抗肿瘤活性。实验与理论分析相结合揭示,Mo57可通过两条协同途径破坏细胞呼吸链:NADH的催化氧化和NAD+的静电吸附。这种双重干扰引发了线粒体功能障碍,进而抑制肿瘤增殖。</w:t>
      </w:r>
    </w:p>
    <w:p>
      <w:pPr>
        <w:spacing w:before="0" w:after="200" w:lineRule="auto" w:line="276"/>
      </w:pPr>
      <w:r>
        <w:rPr>
          <w:b/>
        </w:rPr>
        <w:t xml:space="preserve">Abstract (EN): </w:t>
      </w:r>
      <w:r>
        <w:t>The advancement of atomic‐level sulfurization technology is ushering materials engineering from coarse regulation toward precise editing. As represented by polyoxothiometalates (POTMs), the available sulfurization methods remain limited and nongreen, imposing severe constraints on their structural diversity and functional applications. In this study, an in situ sulfurization approach was developed to construct the Mo‐based POTMs (POTMos) in a distinct and eco‐friendly manner. The emergence of unprecedented building blocks gave birth to two POTMos featuring single or fused Mayan‐pyramidal frameworks. Enabled by the structural modulation and enhanced biocompatibility via sulfur incorporation, the Mo‐57‐oxothio polyanion ( Mo 57 ) demonstrated potent antitumor efficacy. Combined experimental and theoretical analyses revealed that Mo 57 could disrupt the cell respiratory chain via two synergistic routes: catalytic oxidation of NADH and electrostatic adsorption of NAD + . Such dual interference triggered mitochondrial dysfunction and a consequent inhibition of tumor proliferation.</w:t>
      </w:r>
    </w:p>
    <w:p>
      <w:pPr>
        <w:spacing w:before="120" w:after="120"/>
      </w:pPr>
      <w:r>
        <w:rPr>
          <w:sz w:val="18"/>
        </w:rPr>
        <w:t>——————————————————————————————————————————————————————————————————————</w:t>
      </w:r>
    </w:p>
    <w:p>
      <w:pPr>
        <w:spacing w:before="160" w:after="40" w:line="240" w:lineRule="auto"/>
      </w:pPr>
      <w:r>
        <w:rPr>
          <w:b/>
        </w:rPr>
        <w:t xml:space="preserve">[1181] </w:t>
      </w:r>
      <w:hyperlink r:id="rId1763">
        <w:r>
          <w:rPr>
            <w:color w:val="1155CC"/>
            <w:u w:val="single"/>
          </w:rPr>
          <w:t>无中生有：用于生物成像的咪唑衍生物近红外余辉发光框架</w:t>
        </w:r>
      </w:hyperlink>
    </w:p>
    <w:p>
      <w:pPr>
        <w:spacing w:before="0" w:after="80"/>
      </w:pPr>
      <w:r>
        <w:rPr>
          <w:i/>
          <w:sz w:val="20"/>
        </w:rPr>
        <w:t>EN: Created Ex Nihilo: A Near‐Infrared Afterglow Luminescent Framework of Imidazole Derivatives for Bioimaging</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763">
        <w:r>
          <w:rPr>
            <w:color w:val="1155CC"/>
            <w:u w:val="single"/>
          </w:rPr>
          <w:t>10.1002/anie.9929915</w:t>
        </w:r>
      </w:hyperlink>
    </w:p>
    <w:p>
      <w:pPr>
        <w:spacing w:before="0" w:after="120"/>
      </w:pPr>
      <w:r>
        <w:rPr>
          <w:b/>
        </w:rPr>
        <w:t xml:space="preserve">Notes: </w:t>
      </w:r>
      <w:r>
        <w:t>abstract_source=crossref</w:t>
      </w:r>
    </w:p>
    <w:p>
      <w:pPr>
        <w:spacing w:before="0" w:after="80" w:lineRule="auto" w:line="276"/>
      </w:pPr>
      <w:r>
        <w:rPr>
          <w:b/>
        </w:rPr>
        <w:t xml:space="preserve">摘要（ZH）: </w:t>
      </w:r>
      <w:r>
        <w:t>摘要 余辉发光探针受到以下限制:(i)缺乏新的余辉分子骨架;(ii)依赖初始外部光激活;(iii)聚集导致猝灭。本文首次证明,具有咪唑基N^N配体、通式为Ir(C^N)2(N^N)+PF6−的Ir(III)配合物在活性氧和氮物种(RONS)存在下或在超声(US)辐照下表现出明亮的余辉发光。一系列Ir(III)配合物(Ir-1–Ir-4)基于实验数据和理论计算确立了一种新的余辉发光机制。该机制的关键特征是咪唑配体的─N═C─N─H单元与各种RONS发生反应。通过喹啉基三苯胺C^N配体对发光框架进行修饰后,Ir-4被赋予了聚集诱导发光(AIE)特性以及增强的近红外余辉发光。在两亲性聚合物辅助下组装成水溶性纳米颗粒(NPs)后,Ir-4@R NPs在体外和体内均展现出优异的余辉发光成像和有效的声动力治疗。这些Ir(III)配合物是基于易得且通用的咪唑配体的余辉发光分子框架的首批实例,突破了现有余辉发光分子结构的局限。</w:t>
      </w:r>
    </w:p>
    <w:p>
      <w:pPr>
        <w:spacing w:before="0" w:after="200" w:lineRule="auto" w:line="276"/>
      </w:pPr>
      <w:r>
        <w:rPr>
          <w:b/>
        </w:rPr>
        <w:t xml:space="preserve">Abstract (EN): </w:t>
      </w:r>
      <w:r>
        <w:t>Afterglow luminescence probes are limited by (i) a lack of new afterglow scaffolds; (ii) a dependence on initial external light activation, and (iii) aggregation‐caused quenching. Herein, we demonstrate for the first time that Ir(III) complexes of general formula Ir(C^N) 2 (N^N) + PF 6 − with an imidazole‐based N^N ligand exhibit bright afterglow luminescence in the presence of reactive oxygen and nitrogen species (RONS) or under ultrasound (US) irradiation. A series of Ir(III) complexes (Ir‐1–Ir‐4) establish a new afterglow luminescence mechanism based on experimental data and theoretical calculations. The key feature of the present mechanism is the reaction of the ─N═C─N─H unit of the imidazole ligands with various RONS. After modification of the luminescent framework by quinolyl‐triphenylamine C^N ligands, Ir‐4 is endowed with aggregation induced emission (AIE) properties and with enhanced near‐infrared afterglow luminescence. When assembled into water‐soluble nanoparticles (NPs) with the aid of an amphiphilic polymer, Ir‐4@R NPs demonstrated excellent afterglow luminescence imaging and effective sonodynamic therapy in vitro and in vivo. These Ir(III) complexes represent the first examples of an afterglow luminescent molecular framework based on readily available and versatile imidazole ligands, breaking through the existing limitation of molecular structures with afterglow luminescence.</w:t>
      </w:r>
    </w:p>
    <w:p>
      <w:pPr>
        <w:spacing w:before="120" w:after="120"/>
      </w:pPr>
      <w:r>
        <w:rPr>
          <w:sz w:val="18"/>
        </w:rPr>
        <w:t>——————————————————————————————————————————————————————————————————————</w:t>
      </w:r>
    </w:p>
    <w:p>
      <w:pPr>
        <w:spacing w:before="160" w:after="40" w:line="240" w:lineRule="auto"/>
      </w:pPr>
      <w:r>
        <w:rPr>
          <w:b/>
        </w:rPr>
        <w:t xml:space="preserve">[1182] </w:t>
      </w:r>
      <w:hyperlink r:id="rId1765">
        <w:r>
          <w:rPr>
            <w:color w:val="1155CC"/>
            <w:u w:val="single"/>
          </w:rPr>
          <w:t>局部与整体：场依赖的THz-EPR光谱探测铁(II)自旋交叉中依赖晶格的电子结构</w:t>
        </w:r>
      </w:hyperlink>
    </w:p>
    <w:p>
      <w:pPr>
        <w:spacing w:before="0" w:after="80"/>
      </w:pPr>
      <w:r>
        <w:rPr>
          <w:i/>
          <w:sz w:val="20"/>
        </w:rPr>
        <w:t>EN: The Part and the Whole: Field‐Dependent THz‐EPR Spectroscopy Probes Lattice‐Dependent Electronic Structure in Iron(II) Spin Crossover</w:t>
      </w:r>
    </w:p>
    <w:p>
      <w:pPr>
        <w:spacing w:before="0" w:after="120"/>
      </w:pPr>
      <w:r>
        <w:rPr>
          <w:b/>
        </w:rPr>
        <w:t xml:space="preserve">Source: </w:t>
      </w:r>
      <w:r>
        <w:t>Angewandte Chemie International Edition</w:t>
      </w:r>
      <w:r>
        <w:t xml:space="preserve">    </w:t>
      </w:r>
      <w:r>
        <w:rPr>
          <w:b/>
        </w:rPr>
        <w:t xml:space="preserve">Pub date: </w:t>
      </w:r>
      <w:r>
        <w:t>2026-09-02 00:00:00+00:00</w:t>
      </w:r>
      <w:r>
        <w:t xml:space="preserve">    </w:t>
      </w:r>
      <w:r>
        <w:rPr>
          <w:b/>
        </w:rPr>
        <w:t xml:space="preserve">DOI: </w:t>
      </w:r>
      <w:hyperlink r:id="rId1765">
        <w:r>
          <w:rPr>
            <w:color w:val="1155CC"/>
            <w:u w:val="single"/>
          </w:rPr>
          <w:t>10.1002/anie.4674308</w:t>
        </w:r>
      </w:hyperlink>
    </w:p>
    <w:p>
      <w:pPr>
        <w:spacing w:before="0" w:after="120"/>
      </w:pPr>
      <w:r>
        <w:rPr>
          <w:b/>
        </w:rPr>
        <w:t xml:space="preserve">Notes: </w:t>
      </w:r>
      <w:r>
        <w:t>abstract_source=crossref</w:t>
      </w:r>
    </w:p>
    <w:p>
      <w:pPr>
        <w:spacing w:before="0" w:after="80" w:lineRule="auto" w:line="276"/>
      </w:pPr>
      <w:r>
        <w:rPr>
          <w:b/>
        </w:rPr>
        <w:t xml:space="preserve">摘要（ZH）: </w:t>
      </w:r>
      <w:r>
        <w:t>摘要 频域傅里叶变换(FD-FT)THz-EPR波谱学可直接探测铁(II)自旋交叉(SCO)配合物中被动力学捕获的高自旋(HS)态。利用温度诱导激发自旋态捕获(TIESST),尽管基态为抗磁性低自旋(LS)态,仍可探测HS态的低温电子结构。场依赖谱分辨了HS基态流形的分裂,并提供了自旋-声子耦合的证据,该耦合由从头算计算支持的避免交叉哈密顿量描述。THz-EPR进一步定量了剩余的HS分数(),并揭示了依赖于周围自旋态矩阵的磁跃迁偏移。这些结果表明,在混合HS/LS态中HS中心经历不同的局部晶格环境,并为实验上探究自旋态分布对SCO过程的影响提供了途径。由此可以区分协同切换情景,包括畴的形成和交替的HS/LS排列。因此,场依赖THz-EPR波谱学为直接探测SCO材料中依赖于晶格的效应提供了途径。</w:t>
      </w:r>
    </w:p>
    <w:p>
      <w:pPr>
        <w:spacing w:before="0" w:after="200" w:lineRule="auto" w:line="276"/>
      </w:pPr>
      <w:r>
        <w:rPr>
          <w:b/>
        </w:rPr>
        <w:t xml:space="preserve">Abstract (EN): </w:t>
      </w:r>
      <w:r>
        <w:t>Frequency‐domain Fourier‐transform (FD‐FT) THz‐EPR spectroscopy provides direct access to kinetically trapped high‐spin ( HS ) states in iron(II) spin crossover (SCO) complexes. Using temperature‐induced excited spin‐state trapping (TIESST), the low‐temperature electronic structure of the HS state is accessed despite a diamagnetic low‐spin ( LS ) ground state. Field‐dependent spectra resolve the splitting of the HS ground‐state manifold and provide evidence for spin–phonon coupling, described by an avoided‐crossings Hamiltonian supported by ab initio calculations. THz‐EPR further quantifies the remaining HS fraction () and reveals shifts of magnetic transitions that depend on the surrounding spin‐state matrix. These results show that HS centers experience distinct local lattice environments in mixed HS / LS states and provide experimental access to the influence of spin‐state distribution on SCO processes. Cooperative switching scenarios, including domain formation and alternating HS / LS arrangements, can thus be distinguished. Field‐dependent THz‐EPR spectroscopy therefore provides direct access to lattice‐dependent effects in SCO materials.</w:t>
      </w:r>
    </w:p>
    <w:p>
      <w:pPr>
        <w:spacing w:before="120" w:after="120"/>
      </w:pPr>
      <w:r>
        <w:rPr>
          <w:sz w:val="18"/>
        </w:rPr>
        <w:t>——————————————————————————————————————————————————————————————————————</w:t>
      </w:r>
    </w:p>
    <w:p>
      <w:pPr>
        <w:spacing w:before="160" w:after="40" w:line="240" w:lineRule="auto"/>
      </w:pPr>
      <w:r>
        <w:rPr>
          <w:b/>
        </w:rPr>
        <w:t xml:space="preserve">[1183] </w:t>
      </w:r>
      <w:hyperlink r:id="rId229">
        <w:r>
          <w:rPr>
            <w:color w:val="1155CC"/>
            <w:u w:val="single"/>
          </w:rPr>
          <w:t>通过多尺度协同工程增强[001]取向PMN-PZT陶瓷的优值能量收集</w:t>
        </w:r>
      </w:hyperlink>
    </w:p>
    <w:p>
      <w:pPr>
        <w:spacing w:before="0" w:after="80"/>
      </w:pPr>
      <w:r>
        <w:rPr>
          <w:i/>
          <w:sz w:val="20"/>
        </w:rPr>
        <w:t>EN: Enhanced Figure‐of‐Merit Energy Harvesting in [001]‐Oriented PMN‐PZT Ceramics Via Synergistic Multi‐Scale Engineering</w:t>
      </w:r>
    </w:p>
    <w:p>
      <w:pPr>
        <w:spacing w:before="0" w:after="120"/>
      </w:pPr>
      <w:r>
        <w:rPr>
          <w:b/>
        </w:rPr>
        <w:t xml:space="preserve">Source: </w:t>
      </w:r>
      <w:r>
        <w:t>Advanced Energy Materials</w:t>
      </w:r>
      <w:r>
        <w:t xml:space="preserve">    </w:t>
      </w:r>
      <w:r>
        <w:rPr>
          <w:b/>
        </w:rPr>
        <w:t xml:space="preserve">Pub date: </w:t>
      </w:r>
      <w:r>
        <w:t>2026-09-02 00:00:00+00:00</w:t>
      </w:r>
      <w:r>
        <w:t xml:space="preserve">    </w:t>
      </w:r>
      <w:r>
        <w:rPr>
          <w:b/>
        </w:rPr>
        <w:t xml:space="preserve">DOI: </w:t>
      </w:r>
      <w:hyperlink r:id="rId229">
        <w:r>
          <w:rPr>
            <w:color w:val="1155CC"/>
            <w:u w:val="single"/>
          </w:rPr>
          <w:t>10.1002/aenm.71541</w:t>
        </w:r>
      </w:hyperlink>
    </w:p>
    <w:p>
      <w:pPr>
        <w:spacing w:before="0" w:after="120"/>
      </w:pPr>
      <w:r>
        <w:rPr>
          <w:b/>
        </w:rPr>
        <w:t xml:space="preserve">Notes: </w:t>
      </w:r>
      <w:r>
        <w:t>abstract_source=crossref</w:t>
      </w:r>
    </w:p>
    <w:p>
      <w:pPr>
        <w:spacing w:before="0" w:after="80" w:lineRule="auto" w:line="276"/>
      </w:pPr>
      <w:r>
        <w:rPr>
          <w:b/>
        </w:rPr>
        <w:t xml:space="preserve">摘要（ZH）: </w:t>
      </w:r>
      <w:r>
        <w:t>摘要 开发具有高品质因数(FOM = d33 × g33 /tan δ)的压电材料对先进能量收集技术至关重要。在此,通过协同整合晶粒取向、缺陷工程和同质异晶相界(MPB)设计,在[001]取向的Pb(Mg1/3Nb2/3)O3-PbZrO3-PbTiO3(PMN-PZT)织构陶瓷中实现了高FOM。该织构陶瓷表现出卓越的性能(压电电荷系数d33 = 1120 pC·N−1,压电电压系数g33 = 62 × 10−3 V·m·N−1,以及超低介电损耗tan δ = 0.23%)。原子尺度分析表明,[001]本征各向异性和菱方-四方混合畴促进极化旋转以提升d33和g33,而Mn掺杂诱导的缺陷偶极子抑制介电损耗。因此,实现了30,180 × 10−12 m2·N−1的超高FOM。此外,利用该织构陶瓷的悬臂梁能量收集器实现了0.72 µW·mm−3的出色功率密度,比商用软性PZT高78倍。这项工作为设计用于高性能能量收集应用的高FOM压电材料提供了有效策略。</w:t>
      </w:r>
    </w:p>
    <w:p>
      <w:pPr>
        <w:spacing w:before="0" w:after="200" w:lineRule="auto" w:line="276"/>
      </w:pPr>
      <w:r>
        <w:rPr>
          <w:b/>
        </w:rPr>
        <w:t xml:space="preserve">Abstract (EN): </w:t>
      </w:r>
      <w:r>
        <w:t>Developing piezoelectric materials with a high figure‐of‐merit (FOM = d 33 × g 33 /tan δ ) is crucial for advanced energy‐harvesting technologies. Here, a high FOM is achieved in [001]‐oriented Pb(Mg 1/3 Nb 2/3 )O 3 ‐PbZrO 3 ‐PbTiO 3 (PMN‐PZT) textured ceramics by synergistically integrating grain orientation, defect engineering, and morphotropic phase boundary (MPB) design. The textured ceramic exhibits exceptional properties (piezoelectric charge coefficient d 33 = 1120 pC·N −1 , piezoelectric voltage coefficient g 33 = 62 × 10 −3 V·m·N −1 , and an ultralow dielectric loss tan δ = 0.23%). Atomic‐scale analysis reveals that the [001] intrinsic anisotropy and mixed rhombohedral‐tetragonal domains facilitate polarization rotation to boost d 33 and g 33 , while Mn doping‐induced defect dipoles suppress dielectric loss. Consequently, an ultrahigh FOM of 30,180 × 10 −12 m 2 ·N −1 is realized. Furthermore, a cantilever energy harvester utilizing this textured ceramic delivers an outstanding power density of 0.72 µW·mm −3 , which is 78 times higher than that of commercial soft PZT. This work provides an effective strategy for designing high‐FOM piezoelectric materials for high performance energy harvesting applications.</w:t>
      </w:r>
    </w:p>
    <w:p>
      <w:pPr>
        <w:spacing w:before="120" w:after="120"/>
      </w:pPr>
      <w:r>
        <w:rPr>
          <w:sz w:val="18"/>
        </w:rPr>
        <w:t>——————————————————————————————————————————————————————————————————————</w:t>
      </w:r>
    </w:p>
    <w:p>
      <w:pPr>
        <w:spacing w:before="160" w:after="40" w:line="240" w:lineRule="auto"/>
      </w:pPr>
      <w:r>
        <w:rPr>
          <w:b/>
        </w:rPr>
        <w:t xml:space="preserve">[1184] </w:t>
      </w:r>
      <w:hyperlink r:id="rId1798">
        <w:r>
          <w:rPr>
            <w:color w:val="1155CC"/>
            <w:u w:val="single"/>
          </w:rPr>
          <w:t>场调控摩擦纳米发电机实现高效能量转换</w:t>
        </w:r>
      </w:hyperlink>
    </w:p>
    <w:p>
      <w:pPr>
        <w:spacing w:before="0" w:after="80"/>
      </w:pPr>
      <w:r>
        <w:rPr>
          <w:i/>
          <w:sz w:val="20"/>
        </w:rPr>
        <w:t>EN: Field‐Regulated Triboelectric Nanogenerators for Enhanced Energy Conversion</w:t>
      </w:r>
    </w:p>
    <w:p>
      <w:pPr>
        <w:spacing w:before="0" w:after="120"/>
      </w:pPr>
      <w:r>
        <w:rPr>
          <w:b/>
        </w:rPr>
        <w:t xml:space="preserve">Source: </w:t>
      </w:r>
      <w:r>
        <w:t>Advanced Energy Materials</w:t>
      </w:r>
      <w:r>
        <w:t xml:space="preserve">    </w:t>
      </w:r>
      <w:r>
        <w:rPr>
          <w:b/>
        </w:rPr>
        <w:t xml:space="preserve">Pub date: </w:t>
      </w:r>
      <w:r>
        <w:t>2026-09-02 00:00:00+00:00</w:t>
      </w:r>
      <w:r>
        <w:t xml:space="preserve">    </w:t>
      </w:r>
      <w:r>
        <w:rPr>
          <w:b/>
        </w:rPr>
        <w:t xml:space="preserve">DOI: </w:t>
      </w:r>
      <w:hyperlink r:id="rId1798">
        <w:r>
          <w:rPr>
            <w:color w:val="1155CC"/>
            <w:u w:val="single"/>
          </w:rPr>
          <w:t>10.1002/aenm.71464</w:t>
        </w:r>
      </w:hyperlink>
    </w:p>
    <w:p>
      <w:pPr>
        <w:spacing w:before="0" w:after="120"/>
      </w:pPr>
      <w:r>
        <w:rPr>
          <w:b/>
        </w:rPr>
        <w:t xml:space="preserve">Notes: </w:t>
      </w:r>
      <w:r>
        <w:t>abstract_source=crossref</w:t>
      </w:r>
    </w:p>
    <w:p>
      <w:pPr>
        <w:spacing w:before="0" w:after="80" w:lineRule="auto" w:line="276"/>
      </w:pPr>
      <w:r>
        <w:rPr>
          <w:b/>
        </w:rPr>
        <w:t xml:space="preserve">摘要（ZH）: </w:t>
      </w:r>
      <w:r>
        <w:t>摘要 摩擦电纳米发电机（TENGs）为分布式机械能收集和自供电传感提供了一个多功能平台。然而，其实际应用仍受到表面电荷密度不足、高输出阻抗、阻抗失配以及环境不稳定性（特别是在低频和低强度机械激励下）的限制。为了突破纯粹的机械驱动接触起电，近年来光场、热场、磁场和电场被引入TENG体系，以调控界面电荷的产生、分离、传输和保持。与聚焦于独立能量收集单元的简单结构集成或输出叠加的综述不同，本综述聚焦于机理性的外场耦合，并采用场辅助电荷调制作为分析多场耦合TENGs的统一框架。从麦克斯韦位移电流出发，讨论了传统TENGs的基本工作机理及其决定输出性能的关键参数。随后重点介绍了涉及局域表面等离激元共振、光生载流子、热释电效应与热激发效应、磁性纳米材料、磁辅助结构、电荷注入和电荷泵浦的耦合机制。最后，讨论了统一理论建模、场响应材料、系统级集成、功率管理和长期可靠性方面的当前挑战与未来机遇。通过将外场耦</w:t>
      </w:r>
    </w:p>
    <w:p>
      <w:pPr>
        <w:spacing w:before="0" w:after="200" w:lineRule="auto" w:line="276"/>
      </w:pPr>
      <w:r>
        <w:rPr>
          <w:b/>
        </w:rPr>
        <w:t xml:space="preserve">Abstract (EN): </w:t>
      </w:r>
      <w:r>
        <w:t>Triboelectric nanogenerators (TENGs) provide a versatile platform for distributed mechanical energy harvesting and self‐powered sensing. However, their practical deployment remains constrained by insufficient surface charge density, high output impedance, impedance mismatch, and environmental instability, particularly under low‐frequency and low‐intensity mechanical excitation. To move beyond purely mechanically driven contact electrification, optical, thermal, magnetic, and electric fields have recently been introduced into TENG systems to regulate interfacial charge generation, separation, transport, and retention. Unlike reviews centered on the simple structural integration or output superposition of otherwise independent energy‐harvesting units, this review focuses on mechanistic external‐field coupling and adopts field‐assisted charge modulation as a unifying framework for analyzing multifield‐coupled TENGs. Starting from Maxwell's displacement current, the fundamental working mechanism of conventional TENGs and the key parameters governing their output performance are discussed. Coupling mechanisms involving localized surface plasmon resonance, photon‐generated carriers, pyroelectric effects and heat‐excitation effects, magnetic nanomaterials, magnetically assisted structures, charge injection, and charge pumping are then highlighted. Finally, current challenges and future opportunities in unified theoretical modeling, field‐responsive materials, system‐level integration, power management, and long‐term reliability are discussed. By linking external‐field coupling mechanisms with materials design and device architecture, this review provides guidance for developing high‐output, adaptive, and multifunctional self‐powered systems.</w:t>
      </w:r>
    </w:p>
    <w:p>
      <w:pPr>
        <w:spacing w:before="120" w:after="120"/>
      </w:pPr>
      <w:r>
        <w:rPr>
          <w:sz w:val="18"/>
        </w:rPr>
        <w:t>——————————————————————————————————————————————————————————————————————</w:t>
      </w:r>
    </w:p>
    <w:p>
      <w:pPr>
        <w:spacing w:before="160" w:after="40" w:line="240" w:lineRule="auto"/>
      </w:pPr>
      <w:r>
        <w:rPr>
          <w:b/>
        </w:rPr>
        <w:t xml:space="preserve">[1185] </w:t>
      </w:r>
      <w:hyperlink r:id="rId227">
        <w:r>
          <w:rPr>
            <w:color w:val="1155CC"/>
            <w:u w:val="single"/>
          </w:rPr>
          <w:t>基于堆叠双连续网络水凝胶的柔性盐差能电池</w:t>
        </w:r>
      </w:hyperlink>
    </w:p>
    <w:p>
      <w:pPr>
        <w:spacing w:before="0" w:after="80"/>
      </w:pPr>
      <w:r>
        <w:rPr>
          <w:i/>
          <w:sz w:val="20"/>
        </w:rPr>
        <w:t>EN: Flexible Osmotic Energy Batteries Enabled by Stacked Bicontinuous‐Network Hydrogels</w:t>
      </w:r>
    </w:p>
    <w:p>
      <w:pPr>
        <w:spacing w:before="0" w:after="120"/>
      </w:pPr>
      <w:r>
        <w:rPr>
          <w:b/>
        </w:rPr>
        <w:t xml:space="preserve">Source: </w:t>
      </w:r>
      <w:r>
        <w:t>Advanced Materials</w:t>
      </w:r>
      <w:r>
        <w:t xml:space="preserve">    </w:t>
      </w:r>
      <w:r>
        <w:rPr>
          <w:b/>
        </w:rPr>
        <w:t xml:space="preserve">Pub date: </w:t>
      </w:r>
      <w:r>
        <w:t>2026-09-02 00:00:00+00:00</w:t>
      </w:r>
      <w:r>
        <w:t xml:space="preserve">    </w:t>
      </w:r>
      <w:r>
        <w:rPr>
          <w:b/>
        </w:rPr>
        <w:t xml:space="preserve">DOI: </w:t>
      </w:r>
      <w:hyperlink r:id="rId227">
        <w:r>
          <w:rPr>
            <w:color w:val="1155CC"/>
            <w:u w:val="single"/>
          </w:rPr>
          <w:t>10.1002/adma.74906</w:t>
        </w:r>
      </w:hyperlink>
    </w:p>
    <w:p>
      <w:pPr>
        <w:spacing w:before="0" w:after="120"/>
      </w:pPr>
      <w:r>
        <w:rPr>
          <w:b/>
        </w:rPr>
        <w:t xml:space="preserve">Notes: </w:t>
      </w:r>
      <w:r>
        <w:t>abstract_source=crossref</w:t>
      </w:r>
    </w:p>
    <w:p>
      <w:pPr>
        <w:spacing w:before="0" w:after="80" w:lineRule="auto" w:line="276"/>
      </w:pPr>
      <w:r>
        <w:rPr>
          <w:b/>
        </w:rPr>
        <w:t xml:space="preserve">摘要（ZH）: </w:t>
      </w:r>
      <w:r>
        <w:t>摘要 基于水凝胶膜的反向透析为软电化学电池的开发提供了前景。然而，其能量转换效率往往受到过度溶胀的限制，溶胀会使纳米通道扩张并降低离子选择性渗透。在此，我们提出了一种双连续网络水凝胶（BCNH），通过精确调控亲水和疏水相来实现高性能渗透能转换。得益于BCN结构，亲水离子传导通道被渗流的疏水基质空间限域，从而显著抑制了溶胀。这种结构约束保持了高离子选择性渗透并增强了机械稳健性。所得到的BCNH膜同时具有高离子选择性渗透和快速离子通量，提供了21.07 W·m -2 的出色渗透功率密度，显著优于常规均相水凝胶。通过将阳离子选择性和阴离子选择性BCNH集成到柔性全电池中，我们实现了10.07 W·m -2 的高功率密度，实现了高柔性电池阵列的可扩展制造。结合集成的高选择性、超低溶胀和稳健的机械性能，BCNH平台为先进柔性电子和可持续能量转换技术奠定了变革性的材料基础。</w:t>
      </w:r>
    </w:p>
    <w:p>
      <w:pPr>
        <w:spacing w:before="0" w:after="200" w:lineRule="auto" w:line="276"/>
      </w:pPr>
      <w:r>
        <w:rPr>
          <w:b/>
        </w:rPr>
        <w:t xml:space="preserve">Abstract (EN): </w:t>
      </w:r>
      <w:r>
        <w:t>Reverse dialysis based on hydrogel membranes holds promise for the development of soft electrochemical batteries. However, the energy conversion efficiency is often constrained by excessive swelling, which dilates nanochannels and degrades permselectivity. Here, we present a bicontinuous‐network hydrogel (BCNH) engineered by precisely modulating the hydrophilic and hydrophobic phases to achieve high‐performance osmotic energy conversion. Benefiting from the BCN structure, the hydrophilic ion‐conducting pathways are spatially confined by a percolating hydrophobic matrix, which dramatically suppresses swelling. This structural restraint preserves high permselectivity and enhances mechanical robustness. The resulting BCNH membrane, which simultaneously offers high permselectivity and rapid ionic flux, delivers an outstanding osmotic power density of 21.07 W·m −2 , significantly outperforming conventional homogeneous hydrogels. By integrating cation‐selective and anion‐selective BCNHs into flexible full cells, we achieve a high‐power density of 10.07 W·m −2 , enabling the scalable fabrication of highly flexible battery arrays. Combining integrated high selectivity, ultralow swelling, and robust mechanical properties, the BCNH platform establishes a transformative material foundation for advanced flexible electronics and sustainable energy conversion technologies.</w:t>
      </w:r>
    </w:p>
    <w:p>
      <w:pPr>
        <w:spacing w:before="120" w:after="120"/>
      </w:pPr>
      <w:r>
        <w:rPr>
          <w:sz w:val="18"/>
        </w:rPr>
        <w:t>——————————————————————————————————————————————————————————————————————</w:t>
      </w:r>
    </w:p>
    <w:p>
      <w:pPr>
        <w:spacing w:before="160" w:after="40" w:line="240" w:lineRule="auto"/>
      </w:pPr>
      <w:r>
        <w:rPr>
          <w:b/>
        </w:rPr>
        <w:t xml:space="preserve">[1186] </w:t>
      </w:r>
      <w:hyperlink r:id="rId1790">
        <w:r>
          <w:rPr>
            <w:color w:val="1155CC"/>
            <w:u w:val="single"/>
          </w:rPr>
          <w:t>WSe2–NiPS3磁性范德华异质结构中的光谱可编程自旋极化光电流</w:t>
        </w:r>
      </w:hyperlink>
    </w:p>
    <w:p>
      <w:pPr>
        <w:spacing w:before="0" w:after="80"/>
      </w:pPr>
      <w:r>
        <w:rPr>
          <w:i/>
          <w:sz w:val="20"/>
        </w:rPr>
        <w:t>EN: Spectrally Programmable Spin‐Polarized Photocurrents in WSe 2 –NiPS 3 Magnetic van der Waals Heterostructures</w:t>
      </w:r>
    </w:p>
    <w:p>
      <w:pPr>
        <w:spacing w:before="0" w:after="120"/>
      </w:pPr>
      <w:r>
        <w:rPr>
          <w:b/>
        </w:rPr>
        <w:t xml:space="preserve">Source: </w:t>
      </w:r>
      <w:r>
        <w:t>Advanced Materials</w:t>
      </w:r>
      <w:r>
        <w:t xml:space="preserve">    </w:t>
      </w:r>
      <w:r>
        <w:rPr>
          <w:b/>
        </w:rPr>
        <w:t xml:space="preserve">Pub date: </w:t>
      </w:r>
      <w:r>
        <w:t>2026-09-02 00:00:00+00:00</w:t>
      </w:r>
      <w:r>
        <w:t xml:space="preserve">    </w:t>
      </w:r>
      <w:r>
        <w:rPr>
          <w:b/>
        </w:rPr>
        <w:t xml:space="preserve">DOI: </w:t>
      </w:r>
      <w:hyperlink r:id="rId1790">
        <w:r>
          <w:rPr>
            <w:color w:val="1155CC"/>
            <w:u w:val="single"/>
          </w:rPr>
          <w:t>10.1002/adma.74889</w:t>
        </w:r>
      </w:hyperlink>
    </w:p>
    <w:p>
      <w:pPr>
        <w:spacing w:before="0" w:after="120"/>
      </w:pPr>
      <w:r>
        <w:rPr>
          <w:b/>
        </w:rPr>
        <w:t xml:space="preserve">Notes: </w:t>
      </w:r>
      <w:r>
        <w:t>abstract_source=crossref</w:t>
      </w:r>
    </w:p>
    <w:p>
      <w:pPr>
        <w:spacing w:before="0" w:after="80" w:lineRule="auto" w:line="276"/>
      </w:pPr>
      <w:r>
        <w:rPr>
          <w:b/>
        </w:rPr>
        <w:t xml:space="preserve">摘要（ZH）: </w:t>
      </w:r>
      <w:r>
        <w:t>摘要 在半导体中高效产生和控制自旋极化电流仍是自旋电子学的核心挑战，这尤其源于阻抗失配以及对磁场或铁磁接触的依赖。在此，我们引入了一种基于反铁磁半导体NiPS3与WSe2结合的范德华（vdW）异质结的材料平台，实现光谱可编程的自旋传输。在p–n二极管结构中，圆偏振激发产生了显著的光电导共振，自旋极化在奈尔温度附近达到80%，并在室温下保持约30%。值得注意的是，特定光谱波段在磁相变过程中保持其极化符号，证明了稳健的、光谱保护的自旋极化电流产生。偏振分辨光电流测量揭示了主导的圆偏振注入电流机制，证实了自旋极化载流子输运。第一性原理计算表明，外加电场诱导界面杂化和自旋-层锁定，产生局域对称性破缺和增强的光吸收，同时保持全局时间反演对称性。这些结果确立了激发的光谱调控作为自旋传输的新调控手段，可在无需磁场或极化切换的情况下产生自旋电流。我们的发现将磁性vdW异质结定位为光自旋电子学功能和光谱可编程自旋电子器件的多功能平台。</w:t>
      </w:r>
    </w:p>
    <w:p>
      <w:pPr>
        <w:spacing w:before="0" w:after="200" w:lineRule="auto" w:line="276"/>
      </w:pPr>
      <w:r>
        <w:rPr>
          <w:b/>
        </w:rPr>
        <w:t xml:space="preserve">Abstract (EN): </w:t>
      </w:r>
      <w:r>
        <w:t>Efficient generation and control of spin‐polarized currents in semiconductors remain central challenges for spin‐based electronics, particularly due to impedance mismatch and the reliance on magnetic fields or ferromagnetic contacts. Here, we introduce a materials platform for spectrally programmable spin transport based on a van der Waals (vdW) heterostructure combining the antiferromagnetic semiconductor NiPS 3 with WSe 2 . In a p–n diode architecture, circularly polarized excitation produces pronounced photoconductive resonances with spin‐polarization reaching 80% near the Néel temperature and persisting at ≈30% at room temperature. Remarkably, selected spectral bands retain their polarization sign across the magnetic phase transition, evidencing robust, spectrally protected spin‐polarized current generation. Polarization‐resolved photogalvanic measurements reveal a dominant circular injection‐current mechanism, confirming spin‐polarized carrier transport. First‐principles calculations show that an applied electric field induces interfacial hybridization and spin‐layer locking, giving rise to localized symmetry breaking and enhanced optical absorption while preserving global time‐reversal symmetry. These results establish spectral tuning of excitation as a new control knob for spin transport, enabling spin‐current generation without magnetic fields or polarization switching. Our findings position magnetic vdW heterostructures as a versatile platform for opto‐spintronic functionality and spectrally programmable spintronic devices.</w:t>
      </w:r>
    </w:p>
    <w:p>
      <w:pPr>
        <w:spacing w:before="120" w:after="120"/>
      </w:pPr>
      <w:r>
        <w:rPr>
          <w:sz w:val="18"/>
        </w:rPr>
        <w:t>——————————————————————————————————————————————————————————————————————</w:t>
      </w:r>
    </w:p>
    <w:p>
      <w:pPr>
        <w:spacing w:before="160" w:after="40" w:line="240" w:lineRule="auto"/>
      </w:pPr>
      <w:r>
        <w:rPr>
          <w:b/>
        </w:rPr>
        <w:t xml:space="preserve">[1187] </w:t>
      </w:r>
      <w:hyperlink r:id="rId1786">
        <w:r>
          <w:rPr>
            <w:color w:val="1155CC"/>
            <w:u w:val="single"/>
          </w:rPr>
          <w:t>自组装共聚物包裹单内皮细胞诱导内源性ECM沉积与血管再生</w:t>
        </w:r>
      </w:hyperlink>
    </w:p>
    <w:p>
      <w:pPr>
        <w:spacing w:before="0" w:after="80"/>
      </w:pPr>
      <w:r>
        <w:rPr>
          <w:i/>
          <w:sz w:val="20"/>
        </w:rPr>
        <w:t>EN: Self‐Assembling Copolymers Encapsulating Single Endothelial Cells Induce Endogenous ECM Deposition and Vascular Regeneration</w:t>
      </w:r>
    </w:p>
    <w:p>
      <w:pPr>
        <w:spacing w:before="0" w:after="120"/>
      </w:pPr>
      <w:r>
        <w:rPr>
          <w:b/>
        </w:rPr>
        <w:t xml:space="preserve">Source: </w:t>
      </w:r>
      <w:r>
        <w:t>Advanced Materials</w:t>
      </w:r>
      <w:r>
        <w:t xml:space="preserve">    </w:t>
      </w:r>
      <w:r>
        <w:rPr>
          <w:b/>
        </w:rPr>
        <w:t xml:space="preserve">Pub date: </w:t>
      </w:r>
      <w:r>
        <w:t>2026-09-02 00:00:00+00:00</w:t>
      </w:r>
      <w:r>
        <w:t xml:space="preserve">    </w:t>
      </w:r>
      <w:r>
        <w:rPr>
          <w:b/>
        </w:rPr>
        <w:t xml:space="preserve">DOI: </w:t>
      </w:r>
      <w:hyperlink r:id="rId1786">
        <w:r>
          <w:rPr>
            <w:color w:val="1155CC"/>
            <w:u w:val="single"/>
          </w:rPr>
          <w:t>10.1002/adma.74874</w:t>
        </w:r>
      </w:hyperlink>
    </w:p>
    <w:p>
      <w:pPr>
        <w:spacing w:before="0" w:after="120"/>
      </w:pPr>
      <w:r>
        <w:rPr>
          <w:b/>
        </w:rPr>
        <w:t xml:space="preserve">Notes: </w:t>
      </w:r>
      <w:r>
        <w:t>abstract_source=crossref</w:t>
      </w:r>
    </w:p>
    <w:p>
      <w:pPr>
        <w:spacing w:before="0" w:after="80" w:lineRule="auto" w:line="276"/>
      </w:pPr>
      <w:r>
        <w:rPr>
          <w:b/>
        </w:rPr>
        <w:t xml:space="preserve">摘要（ZH）: </w:t>
      </w:r>
      <w:r>
        <w:t>摘要 细胞疗法与仿生聚合物工程相结合为心血管再生提供了一种有前景的策略。将单细胞分隔包裹于水凝胶中可构建三维（3D）微环境，增强细胞疗法的生物响应性和治疗效力。本研究开发了一种基于刺激响应性两亲性共聚物——明胶-聚(癸二酸甘油酯)-甲基丙烯酸酯（GPM）的非微流控单细胞封装策略。在室温下与细胞共孵育时，GPM通过配体-受体介导的相互作用自组装形成单细胞囊泡，在每个细胞周围构建纳米级基质，封装效率接近100%。生物活性基团的存在、动态力学性能以及基质金属蛋白酶介导的可降解性实现了细胞-基质之间的双向相互作用。因此，包裹单个内皮细胞的GPM囊泡（GPM/EC囊泡）的3D培养促进了线状细胞外基质（ECM）的沉积，从而促进细胞迁移并作为血管样网络形成的导向支架。为了增强体内分布和免疫保护，将GPM/重编程EC囊泡组装成可注射微球，称为mGPM-rEC。注射入小鼠后肢缺血模型后，mGPM-rEC表现出强健的细胞存活和肌肉内迁移能力，并伴有致密ECM的沉积。该ECM作为生长因子和信号分子的储库，招募宿主脉管系统以促进新血管生成，并提供结构和力学支</w:t>
      </w:r>
    </w:p>
    <w:p>
      <w:pPr>
        <w:spacing w:before="0" w:after="200" w:lineRule="auto" w:line="276"/>
      </w:pPr>
      <w:r>
        <w:rPr>
          <w:b/>
        </w:rPr>
        <w:t xml:space="preserve">Abstract (EN): </w:t>
      </w:r>
      <w:r>
        <w:t>Cell therapy combined with biomimetic polymer engineering offers a promising strategy for cardiovascular regeneration. Compartmentalizing single cells in hydrogels creates three‐dimensional (3D) micro‐niches that enhance bio‐responsiveness and the therapeutic efficacy of cell therapy. A non‐microfluidic strategy for single‐cell encapsulation using a stimuli‐responsive amphiphilic copolymer, gelatin‐poly(glycerol sebacate)‐methacrylate (GPM) is developed. When incubated with cells at room temperature, GPM self‐assembled into single‐cell vesicles via ligand–receptor–mediated interactions, creating a nanoscale matrix around each cell with near 100% encapsulation efficiency. The presence of bioactive moieties, dynamic mechanical properties, and matrix metalloproteinase mediated degradability enabled reciprocal, cell‐matrix interactions. Consequently, 3D cultures of GPM vesicles encapsulating single endothelial cell (GPM/EC vesicles) promoted deposition of thread‐like extracellular matrix (ECM), which facilitated cell migration and served as a guidance scaffold for vessel‐like network formation. For enhanced in vivo distribution and immunoprotection, GPM/reprogrammed EC vesicles were assembled into injectable microspheres, termed mGPM‐rEC. Upon injection into a mouse hindlimb ischemia model, mGPM‐rEC demonstrated robust cell survival and intramuscular migration with the deposition of dense ECM. This ECM functioned as a reservoir for growth factors and signaling molecules, recruiting host vasculature to promote neovascularization and providing structural and mechanical support for implanted cells to form de novo blood vessels.</w:t>
      </w:r>
    </w:p>
    <w:p>
      <w:pPr>
        <w:spacing w:before="120" w:after="120"/>
      </w:pPr>
      <w:r>
        <w:rPr>
          <w:sz w:val="18"/>
        </w:rPr>
        <w:t>——————————————————————————————————————————————————————————————————————</w:t>
      </w:r>
    </w:p>
    <w:p>
      <w:pPr>
        <w:spacing w:before="160" w:after="40" w:line="240" w:lineRule="auto"/>
      </w:pPr>
      <w:r>
        <w:rPr>
          <w:b/>
        </w:rPr>
        <w:t xml:space="preserve">[1188] </w:t>
      </w:r>
      <w:hyperlink r:id="rId2011">
        <w:r>
          <w:rPr>
            <w:color w:val="1155CC"/>
            <w:u w:val="single"/>
          </w:rPr>
          <w:t>基于低成本传感器网络框架揭示隐性的空气污染暴露及其影响</w:t>
        </w:r>
      </w:hyperlink>
    </w:p>
    <w:p>
      <w:pPr>
        <w:spacing w:before="0" w:after="80"/>
      </w:pPr>
      <w:r>
        <w:rPr>
          <w:i/>
          <w:sz w:val="20"/>
        </w:rPr>
        <w:t>EN: Unveiling hidden air pollution exposure and impacts with low-cost sensor network-based frameworks</w:t>
      </w:r>
    </w:p>
    <w:p>
      <w:pPr>
        <w:spacing w:before="0" w:after="120"/>
      </w:pPr>
      <w:r>
        <w:rPr>
          <w:b/>
        </w:rPr>
        <w:t xml:space="preserve">Source: </w:t>
      </w:r>
      <w:r>
        <w:t>Scientific community and society : Nature Communications subject feeds</w:t>
      </w:r>
      <w:r>
        <w:t xml:space="preserve">    </w:t>
      </w:r>
      <w:r>
        <w:rPr>
          <w:b/>
        </w:rPr>
        <w:t xml:space="preserve">Pub date: </w:t>
      </w:r>
      <w:r>
        <w:t>2026-09-02 00:00:00+00:00</w:t>
      </w:r>
    </w:p>
    <w:p>
      <w:pPr>
        <w:spacing w:before="0" w:after="120"/>
      </w:pPr>
      <w:r>
        <w:rPr>
          <w:b/>
        </w:rPr>
        <w:t xml:space="preserve">Notes: </w:t>
      </w:r>
      <w:r>
        <w:t>abstract_source=nature_html</w:t>
      </w:r>
    </w:p>
    <w:p>
      <w:pPr>
        <w:spacing w:before="0" w:after="80" w:lineRule="auto" w:line="276"/>
      </w:pPr>
      <w:r>
        <w:rPr>
          <w:b/>
        </w:rPr>
        <w:t xml:space="preserve">摘要（ZH）: </w:t>
      </w:r>
      <w:r>
        <w:t>印度在缓解严重空气污染方面取得了一定进展；然而，许多地区的细颗粒物（PM2.5）水平仍超过世界卫生组织和国家标准。尽管如此，城市中心以外的局地尺度暴露信息、区域内部不平等以及短期死亡率影响仍知之甚少。本研究将密集的低成本传感器PM2.5测量与机器学习模型、近期家庭健康调查数据以及印度特异性的相对风险信息相结合，以评估比哈尔邦（印度污染最严重且研究最不足的邦之一）各社会经济群体之间的亚区域暴露不平等及短期死亡率影响。我们发现PM2.5暴露存在明显的南北差异，北部地区的平均暴露水平高出1.2倍。地区级死亡率（每10万人）差异高达1.7倍，日死亡率呈现3.2倍的变异。我们在邦级层面观察到有限的暴露不平等，但在比哈尔邦内部存在显著的区域间和区域内不平等。</w:t>
      </w:r>
    </w:p>
    <w:p>
      <w:pPr>
        <w:spacing w:before="0" w:after="200" w:lineRule="auto" w:line="276"/>
      </w:pPr>
      <w:r>
        <w:rPr>
          <w:b/>
        </w:rPr>
        <w:t xml:space="preserve">Abstract (EN): </w:t>
      </w:r>
      <w:r>
        <w:t>India has made some progress in mitigating severe air pollution; however, many regions continue to experience fine particulate matter (PM2.5) levels exceeding World Health Organization and national standards. Despite this, local-scale exposure information beyond urban centers, intra-regional inequities, and short-term mortality impacts remain poorly understood. This study integrates dense, low-cost sensor-based PM2.5 measurements with machine learning models, recent family health survey data, and India-specific relative risk information to assess sub-regional exposure inequity among socioeconomic groups and short-term mortality impacts in Bihar, one of the most polluted and understudied states of India. Here we show a clear north-south divide in PM2.5 exposure, with northern districts having mean exposure levels 1.2 times higher. District-level mortality (per 100,000) varied up to 1.7-fold, with daily mortality showing 3.2-fold variability. We observe limited exposure inequity at the state level but substantial inter- and intra-regional inequities within Bihar.</w:t>
      </w:r>
    </w:p>
    <w:p>
      <w:pPr>
        <w:spacing w:before="120" w:after="120"/>
      </w:pPr>
      <w:r>
        <w:rPr>
          <w:sz w:val="18"/>
        </w:rPr>
        <w:t>——————————————————————————————————————————————————————————————————————</w:t>
      </w:r>
    </w:p>
    <w:p>
      <w:pPr>
        <w:spacing w:before="160" w:after="40" w:line="240" w:lineRule="auto"/>
      </w:pPr>
      <w:r>
        <w:rPr>
          <w:b/>
        </w:rPr>
        <w:t xml:space="preserve">[1189] </w:t>
      </w:r>
      <w:hyperlink r:id="rId1792">
        <w:r>
          <w:rPr>
            <w:color w:val="1155CC"/>
            <w:u w:val="single"/>
          </w:rPr>
          <w:t>空间协同双重限域实现水下稳定室温磷光水凝胶</w:t>
        </w:r>
      </w:hyperlink>
    </w:p>
    <w:p>
      <w:pPr>
        <w:spacing w:before="0" w:after="80"/>
      </w:pPr>
      <w:r>
        <w:rPr>
          <w:i/>
          <w:sz w:val="20"/>
        </w:rPr>
        <w:t>EN: Spatially Synergistic Dual‐Confinement Enables Underwater‐Stable Room‐Temperature Phosphorescent Hydrogels</w:t>
      </w:r>
    </w:p>
    <w:p>
      <w:pPr>
        <w:spacing w:before="0" w:after="120"/>
      </w:pPr>
      <w:r>
        <w:rPr>
          <w:b/>
        </w:rPr>
        <w:t xml:space="preserve">Source: </w:t>
      </w:r>
      <w:r>
        <w:t>Advanced Materials</w:t>
      </w:r>
      <w:r>
        <w:t xml:space="preserve">    </w:t>
      </w:r>
      <w:r>
        <w:rPr>
          <w:b/>
        </w:rPr>
        <w:t xml:space="preserve">Pub date: </w:t>
      </w:r>
      <w:r>
        <w:t>2026-09-02 00:00:00+00:00</w:t>
      </w:r>
      <w:r>
        <w:t xml:space="preserve">    </w:t>
      </w:r>
      <w:r>
        <w:rPr>
          <w:b/>
        </w:rPr>
        <w:t xml:space="preserve">DOI: </w:t>
      </w:r>
      <w:hyperlink r:id="rId1792">
        <w:r>
          <w:rPr>
            <w:color w:val="1155CC"/>
            <w:u w:val="single"/>
          </w:rPr>
          <w:t>10.1002/adma.74914</w:t>
        </w:r>
      </w:hyperlink>
    </w:p>
    <w:p>
      <w:pPr>
        <w:spacing w:before="0" w:after="120"/>
      </w:pPr>
      <w:r>
        <w:rPr>
          <w:b/>
        </w:rPr>
        <w:t xml:space="preserve">Notes: </w:t>
      </w:r>
      <w:r>
        <w:t>abstract_source=crossref</w:t>
      </w:r>
    </w:p>
    <w:p>
      <w:pPr>
        <w:spacing w:before="0" w:after="80" w:lineRule="auto" w:line="276"/>
      </w:pPr>
      <w:r>
        <w:rPr>
          <w:b/>
        </w:rPr>
        <w:t xml:space="preserve">摘要（ZH）: </w:t>
      </w:r>
      <w:r>
        <w:t>摘要 有机室温磷光（RTP）水凝胶作为用于光电子和生物医学应用的柔性发光材料颇具吸引力，但其富含水和机械柔软的特性使得难以构建同时抑制非辐射衰减、抵御外部猝灭并保持结构稳定性的微环境。在此，我们报道了一种两亲性聚合物链驱动的原位固化策略，可在PVA水凝胶基质中均匀生成刚性发光环氧微球。结合退火-再溶胀诱导的基质致密化，该过程构建了空间协同的双重限域体系，其中内部环氧畴固定磷光体，而外层致密的PVA网络有助于阻碍水和氧的进入。所得水凝胶表现出可调的多色RTP、长达4342 ms的超长磷光寿命、日光下可见的余辉亮度87.9 cd m−2、时间门控延迟发射量子产率55.49%以及超过10 MPa的拉伸强度。值得注意的是，该水凝胶在水中浸泡170天后仍保持3172 ms的磷光寿命。本工作确立了空间协同双重限域作为联合优化软质发光水凝胶的磷光效率、机械稳健性和长期水下稳定性的有效途径。</w:t>
      </w:r>
    </w:p>
    <w:p>
      <w:pPr>
        <w:spacing w:before="0" w:after="200" w:lineRule="auto" w:line="276"/>
      </w:pPr>
      <w:r>
        <w:rPr>
          <w:b/>
        </w:rPr>
        <w:t xml:space="preserve">Abstract (EN): </w:t>
      </w:r>
      <w:r>
        <w:t>Organic room‐temperature phosphorescent (RTP) hydrogels are attractive as flexible luminescent materials for optoelectronic and biomedical applications, but their water‐rich and mechanically compliant nature makes it difficult to create microenvironments that simultaneously suppress nonradiative decay, resist external quenching, and maintain structural robustness. Here, we report an amphiphilic polymer chain‐driven in situ curing strategy that generates rigid luminescent epoxy microspheres uniformly within a PVA hydrogel matrix. Combined with annealing–reswelling‐induced matrix densification, this process creates a spatially synergistic dual‐confinement system, in which the inner epoxy domains immobilize phosphors while the outer dense PVA network helps impede the ingress of water and oxygen. The resulting hydrogels exhibit tunable multicolor RTP, an ultralong phosphorescence lifetime of up to 4342 ms, a daylight‐visible afterglow luminance of 87.9 cd m −2 , a time‐gated delayed‐emission quantum yield of 55.49%, and a tensile strength exceeding 10 MPa. Notably, the hydrogels retain a phosphorescence lifetime of 3172 ms after 170 days of water immersion. This work identifies spatially synergistic dual confinement as an effective route to jointly optimize phosphorescence efficiency, mechanical robustness, and long‐term underwater stability in soft luminescent hydrogels.</w:t>
      </w:r>
    </w:p>
    <w:p>
      <w:pPr>
        <w:spacing w:before="120" w:after="120"/>
      </w:pPr>
      <w:r>
        <w:rPr>
          <w:sz w:val="18"/>
        </w:rPr>
        <w:t>——————————————————————————————————————————————————————————————————————</w:t>
      </w:r>
    </w:p>
    <w:p>
      <w:pPr>
        <w:spacing w:before="160" w:after="40" w:line="240" w:lineRule="auto"/>
      </w:pPr>
      <w:r>
        <w:rPr>
          <w:b/>
        </w:rPr>
        <w:t xml:space="preserve">[1190] </w:t>
      </w:r>
      <w:hyperlink r:id="rId1794">
        <w:r>
          <w:rPr>
            <w:color w:val="1155CC"/>
            <w:u w:val="single"/>
          </w:rPr>
          <w:t>钛中间隙氧构型的演化与调控——综述</w:t>
        </w:r>
      </w:hyperlink>
    </w:p>
    <w:p>
      <w:pPr>
        <w:spacing w:before="0" w:after="80"/>
      </w:pPr>
      <w:r>
        <w:rPr>
          <w:i/>
          <w:sz w:val="20"/>
        </w:rPr>
        <w:t>EN: Evolution and Manipulation of Interstitial Oxygen Configuration in Titanium—A Review</w:t>
      </w:r>
    </w:p>
    <w:p>
      <w:pPr>
        <w:spacing w:before="0" w:after="120"/>
      </w:pPr>
      <w:r>
        <w:rPr>
          <w:b/>
        </w:rPr>
        <w:t xml:space="preserve">Source: </w:t>
      </w:r>
      <w:r>
        <w:t>Advanced Materials</w:t>
      </w:r>
      <w:r>
        <w:t xml:space="preserve">    </w:t>
      </w:r>
      <w:r>
        <w:rPr>
          <w:b/>
        </w:rPr>
        <w:t xml:space="preserve">Pub date: </w:t>
      </w:r>
      <w:r>
        <w:t>2026-09-02 00:00:00+00:00</w:t>
      </w:r>
      <w:r>
        <w:t xml:space="preserve">    </w:t>
      </w:r>
      <w:r>
        <w:rPr>
          <w:b/>
        </w:rPr>
        <w:t xml:space="preserve">DOI: </w:t>
      </w:r>
      <w:hyperlink r:id="rId1794">
        <w:r>
          <w:rPr>
            <w:color w:val="1155CC"/>
            <w:u w:val="single"/>
          </w:rPr>
          <w:t>10.1002/adma.74602</w:t>
        </w:r>
      </w:hyperlink>
    </w:p>
    <w:p>
      <w:pPr>
        <w:spacing w:before="0" w:after="120"/>
      </w:pPr>
      <w:r>
        <w:rPr>
          <w:b/>
        </w:rPr>
        <w:t xml:space="preserve">Notes: </w:t>
      </w:r>
      <w:r>
        <w:t>abstract_source=crossref</w:t>
      </w:r>
    </w:p>
    <w:p>
      <w:pPr>
        <w:spacing w:before="0" w:after="80" w:lineRule="auto" w:line="276"/>
      </w:pPr>
      <w:r>
        <w:rPr>
          <w:b/>
        </w:rPr>
        <w:t xml:space="preserve">摘要（ZH）: </w:t>
      </w:r>
      <w:r>
        <w:t>摘要 氧长期以来被视为钛合金中的有害杂质，因为它会引发脆化并损害延展性。然而，近年来的研究进展彻底改变了这一认知，揭示氧是一种强大的微观组织设计师，能够调控相变和变形机制，从而实现强度-塑性的兼顾。本综述系统总结了氧在α、β、α′、α″、ω和面心立方（FCC）等各相中的关键作用，并进一步分析了其强化机制和氧脆机制，涵盖强化理论模型、界面偏析行为和氧迁移（shuffling）机制。这些机制性认识对于理解位错组态演化、孪生行为和相变动力学至关重要。为了在利用氧的强化潜力的同时减轻其不利影响，我们提出了从原子尺度到微观尺度的潜在创新策略，包括成分、微观组织和工艺设计方法。通过整合多尺度计算模拟、先进原位表征以及控氧摄入的挑战，本工作为具有卓越力学性能的下一代含氧钛合金的智能化设计提供了全面框架。</w:t>
      </w:r>
    </w:p>
    <w:p>
      <w:pPr>
        <w:spacing w:before="0" w:after="200" w:lineRule="auto" w:line="276"/>
      </w:pPr>
      <w:r>
        <w:rPr>
          <w:b/>
        </w:rPr>
        <w:t xml:space="preserve">Abstract (EN): </w:t>
      </w:r>
      <w:r>
        <w:t>Oxygen has been regarded as a detrimental impurity in titanium alloys, as it triggers embrittlement and compromises ductility. Recent research advancements, however, have revolutionized this perception, revealing oxygen as a powerful microstructural architect capable of mediating phase transformations and deformation mechanisms to achieve strength–ductility combinations. This review systematically summarizes the pivotal roles of oxygen across various phases, including α, β, α′, α″, ω, and face‐centered cubic (FCC) phases. The underlying strengthening mechanisms and the oxygen embrittlement mechanisms were further analyzed, covering the strengthening theoretical models, interfacial segregation behaviors, and oxygen shuffling mechanism. These mechanistic insights are essential for understanding the evolution of dislocation configurations, twinning behaviors, and phase transformation dynamics. To harness oxygen's strengthening potential while mitigating its adverse effects, potential innovative strategies, including compositional, microstructural, and process design approaches, are proposed, which span from the atom‐scale to the micro‐scale. By integrating multiscale computational simulations, advanced in situ characterization, and the challenge of controlling oxygen uptake, this work provides a comprehensive framework for the intelligent design of next‐generation oxygen‐containing titanium alloys with exceptional mechanical properties.</w:t>
      </w:r>
    </w:p>
    <w:p>
      <w:pPr>
        <w:spacing w:before="120" w:after="120"/>
      </w:pPr>
      <w:r>
        <w:rPr>
          <w:sz w:val="18"/>
        </w:rPr>
        <w:t>——————————————————————————————————————————————————————————————————————</w:t>
      </w:r>
    </w:p>
    <w:p>
      <w:pPr>
        <w:spacing w:before="160" w:after="40" w:line="240" w:lineRule="auto"/>
      </w:pPr>
      <w:r>
        <w:rPr>
          <w:b/>
        </w:rPr>
        <w:t xml:space="preserve">[1191] </w:t>
      </w:r>
      <w:hyperlink r:id="rId1796">
        <w:r>
          <w:rPr>
            <w:color w:val="1155CC"/>
            <w:u w:val="single"/>
          </w:rPr>
          <w:t>面向高性能集成电路的混合维度1D/2D三元CMOS</w:t>
        </w:r>
      </w:hyperlink>
    </w:p>
    <w:p>
      <w:pPr>
        <w:spacing w:before="0" w:after="80"/>
      </w:pPr>
      <w:r>
        <w:rPr>
          <w:i/>
          <w:sz w:val="20"/>
        </w:rPr>
        <w:t>EN: Mixed‐Dimensional 1D/2D Ternary CMOS for High‐Performance Integrated Circuits</w:t>
      </w:r>
    </w:p>
    <w:p>
      <w:pPr>
        <w:spacing w:before="0" w:after="120"/>
      </w:pPr>
      <w:r>
        <w:rPr>
          <w:b/>
        </w:rPr>
        <w:t xml:space="preserve">Source: </w:t>
      </w:r>
      <w:r>
        <w:t>Advanced Materials</w:t>
      </w:r>
      <w:r>
        <w:t xml:space="preserve">    </w:t>
      </w:r>
      <w:r>
        <w:rPr>
          <w:b/>
        </w:rPr>
        <w:t xml:space="preserve">Pub date: </w:t>
      </w:r>
      <w:r>
        <w:t>2026-09-02 00:00:00+00:00</w:t>
      </w:r>
      <w:r>
        <w:t xml:space="preserve">    </w:t>
      </w:r>
      <w:r>
        <w:rPr>
          <w:b/>
        </w:rPr>
        <w:t xml:space="preserve">DOI: </w:t>
      </w:r>
      <w:hyperlink r:id="rId1796">
        <w:r>
          <w:rPr>
            <w:color w:val="1155CC"/>
            <w:u w:val="single"/>
          </w:rPr>
          <w:t>10.1002/adma.74880</w:t>
        </w:r>
      </w:hyperlink>
    </w:p>
    <w:p>
      <w:pPr>
        <w:spacing w:before="0" w:after="120"/>
      </w:pPr>
      <w:r>
        <w:rPr>
          <w:b/>
        </w:rPr>
        <w:t xml:space="preserve">Notes: </w:t>
      </w:r>
      <w:r>
        <w:t>abstract_source=crossref</w:t>
      </w:r>
    </w:p>
    <w:p>
      <w:pPr>
        <w:spacing w:before="0" w:after="80" w:lineRule="auto" w:line="276"/>
      </w:pPr>
      <w:r>
        <w:rPr>
          <w:b/>
        </w:rPr>
        <w:t xml:space="preserve">摘要（ZH）: </w:t>
      </w:r>
      <w:r>
        <w:t>摘要 三值逻辑为超越二值CMOS的限制、实现更高的信息密度和更低的功耗提供了途径，但受制于高性能三值晶体管和可扩展电路技术的缺乏，其进展一直受限。在此，我们报道了一种混合维度三值CMOS（T-CMOS）平台，可在硅后道工艺（backend-of-line）中单片集成定向排列的碳纳米管（CNTs）和单层MoS2。所得CNT-MoS2异质结晶体管在输出电流和负微分跨导方面比以往三值器件提升了一个数量级以上，可实现具有大噪声容限的稳健三电平开关。通过将CNT p-FETs和MoS2 n-FETs共同制备为异质结器件，我们实现了与CMOS兼容的标准、正和负三值反相器，以及NMIN和NMAX逻辑门。此外，还展示了功能完整的三值2线-9线译码器，这是迄今为止最复杂的低维三值电路。动态测量和校准仿真证实了T-CMOS架构的可扩展性、级联能力和鲁棒性，为超越二值极限的大规模三值集成电路提供了可行路径。</w:t>
      </w:r>
    </w:p>
    <w:p>
      <w:pPr>
        <w:spacing w:before="0" w:after="200" w:lineRule="auto" w:line="276"/>
      </w:pPr>
      <w:r>
        <w:rPr>
          <w:b/>
        </w:rPr>
        <w:t xml:space="preserve">Abstract (EN): </w:t>
      </w:r>
      <w:r>
        <w:t>Ternary logic offers a path to higher information density and lower power consumption beyond the limits of binary CMOS, yet its progress has been limited by the absence of high‐performance ternary transistors and scalable circuit technologies. Here we report a mixed‐dimensional ternary CMOS (T‐CMOS) platform that monolithically integrates aligned carbon nanotubes (CNTs) and monolayer MoS 2 within silicon backend‐of‐line processes. The resulting CNT‐MoS 2 heterojunction transistors exhibit more than an order‐of‐magnitude performance improvement in output current and negative differential transconductance over previous ternary devices, enabling robust three‐level switching with large noise margins. By co‐fabricating CNT p‐FETs and MoS 2 n‐FETs into heterojunction devices, we realize CMOS‐compatible standard, positive and negative ternary inverters, as well as NMIN and NMAX logic gates. A fully functional ternary 2‐to‐9 decoder, the most complex low‐dimensional ternary circuit to date, is also demonstrated. Dynamic measurements and calibrated simulations confirm the scalability, cascade capability, and robustness of the T‐CMOS architecture, providing a viable pathway toward large‐scale ternary integrated circuits beyond binary limits.</w:t>
      </w:r>
    </w:p>
    <w:p>
      <w:pPr>
        <w:spacing w:before="120" w:after="120"/>
      </w:pPr>
      <w:r>
        <w:rPr>
          <w:sz w:val="18"/>
        </w:rPr>
        <w:t>——————————————————————————————————————————————————————————————————————</w:t>
      </w:r>
    </w:p>
    <w:p>
      <w:pPr>
        <w:spacing w:before="160" w:after="40" w:line="240" w:lineRule="auto"/>
      </w:pPr>
      <w:r>
        <w:rPr>
          <w:b/>
        </w:rPr>
        <w:t xml:space="preserve">[1192] </w:t>
      </w:r>
      <w:hyperlink r:id="rId1800">
        <w:r>
          <w:rPr>
            <w:color w:val="1155CC"/>
            <w:u w:val="single"/>
          </w:rPr>
          <w:t>双电层之内与之外：水系电催化中的分子级阳离子效应</w:t>
        </w:r>
      </w:hyperlink>
    </w:p>
    <w:p>
      <w:pPr>
        <w:spacing w:before="0" w:after="80"/>
      </w:pPr>
      <w:r>
        <w:rPr>
          <w:i/>
          <w:sz w:val="20"/>
        </w:rPr>
        <w:t>EN: Beyond and Inside the Electrical Double Layer: Molecular‐Level Cation Effects in Aqueous Electrocatalysis</w:t>
      </w:r>
    </w:p>
    <w:p>
      <w:pPr>
        <w:spacing w:before="0" w:after="120"/>
      </w:pPr>
      <w:r>
        <w:rPr>
          <w:b/>
        </w:rPr>
        <w:t xml:space="preserve">Source: </w:t>
      </w:r>
      <w:r>
        <w:t>Advanced Materials</w:t>
      </w:r>
      <w:r>
        <w:t xml:space="preserve">    </w:t>
      </w:r>
      <w:r>
        <w:rPr>
          <w:b/>
        </w:rPr>
        <w:t xml:space="preserve">Pub date: </w:t>
      </w:r>
      <w:r>
        <w:t>2026-09-02 00:00:00+00:00</w:t>
      </w:r>
      <w:r>
        <w:t xml:space="preserve">    </w:t>
      </w:r>
      <w:r>
        <w:rPr>
          <w:b/>
        </w:rPr>
        <w:t xml:space="preserve">DOI: </w:t>
      </w:r>
      <w:hyperlink r:id="rId1800">
        <w:r>
          <w:rPr>
            <w:color w:val="1155CC"/>
            <w:u w:val="single"/>
          </w:rPr>
          <w:t>10.1002/adma.74864</w:t>
        </w:r>
      </w:hyperlink>
    </w:p>
    <w:p>
      <w:pPr>
        <w:spacing w:before="0" w:after="120"/>
      </w:pPr>
      <w:r>
        <w:rPr>
          <w:b/>
        </w:rPr>
        <w:t xml:space="preserve">Notes: </w:t>
      </w:r>
      <w:r>
        <w:t>abstract_source=crossref</w:t>
      </w:r>
    </w:p>
    <w:p>
      <w:pPr>
        <w:spacing w:before="0" w:after="80" w:lineRule="auto" w:line="276"/>
      </w:pPr>
      <w:r>
        <w:rPr>
          <w:b/>
        </w:rPr>
        <w:t xml:space="preserve">摘要（ZH）: </w:t>
      </w:r>
      <w:r>
        <w:t>摘要 电催化反应发生在动态的、离子调控的电化学界面上，而非静态电极边界处。在析氢/氧化和CO2还原等在低于电极零电荷电位的电位下运行的电催化过程中，电解质阳离子并非旁观者，而是决定反应行为的活性参与者。它们在双电层（EDL）内的尺寸、电荷密度、溶剂化结构和空间排布决定了界面能量学、过渡态以及反应活性和选择性，从而产生显著的、体系依赖的阳离子效应。此外，阳离子累积会动态改变界面电场、重组水结构并改变局部pH，以高度非线性的方式将静电学、溶剂化和传质耦合在一起。这些相互交织的效应使机理解释复杂化，并导致实验和理论研究中的持续争论和看似矛盾的结论。在此，我们综述了目前对电化学界面阳离子效应的认识，重点介绍了原位和operando研究揭示的挑战经典EDL模型的新兴界面分子结构，指出了关键的未决争论，并概述了通向阳离子-界面-反应性关系的定量、分子层面描述的路径。</w:t>
      </w:r>
    </w:p>
    <w:p>
      <w:pPr>
        <w:spacing w:before="0" w:after="200" w:lineRule="auto" w:line="276"/>
      </w:pPr>
      <w:r>
        <w:rPr>
          <w:b/>
        </w:rPr>
        <w:t xml:space="preserve">Abstract (EN): </w:t>
      </w:r>
      <w:r>
        <w:t>Electrocatalytic reactions occur at a dynamic, ion‐regulated electrochemical interface, rather than at a static electrode boundary. In electrocatalytic processes such as hydrogen evolution/oxidation and CO 2 reduction, which operate at potentials below the electrode's potential of zero charge, electrolyte cations are not mere spectators but active participants that shape reaction behavior. Their size, charge density, solvation structure, and spatial organization within the electric double layer (EDL) govern interfacial energetics, transition states, and reaction activity and selectivity, giving rise to pronounced, system‐dependent cation effects. Furthermore, cation accumulation dynamically modifies the interfacial electric field, reorganizes water structure, and alters local pH, thereby coupling electrostatics, solvation, and mass transport in a highly nonlinear manner. These intertwined effects complicate mechanistic interpretation and have contributed to ongoing debates and seemingly contradictory conclusions across experimental and theoretical studies. Here, we synthesize the current understanding of cation effects at electrochemical interfaces, highlight emerging interfacial molecular structures revealed by in situ and operando studies that challenge classical EDL models, identify key unresolved debates, and outline pathways toward a quantitative, molecular‐level description of cation–interface–reactivity relationships.</w:t>
      </w:r>
    </w:p>
    <w:p>
      <w:pPr>
        <w:spacing w:before="120" w:after="120"/>
      </w:pPr>
      <w:r>
        <w:rPr>
          <w:sz w:val="18"/>
        </w:rPr>
        <w:t>——————————————————————————————————————————————————————————————————————</w:t>
      </w:r>
    </w:p>
    <w:p>
      <w:pPr>
        <w:spacing w:before="160" w:after="40" w:line="240" w:lineRule="auto"/>
      </w:pPr>
      <w:r>
        <w:rPr>
          <w:b/>
        </w:rPr>
        <w:t xml:space="preserve">[1193] </w:t>
      </w:r>
      <w:hyperlink r:id="rId2012">
        <w:r>
          <w:rPr>
            <w:color w:val="1155CC"/>
            <w:u w:val="single"/>
          </w:rPr>
          <w:t>TGF-β1/mTORC1信号轴在定义CTHRC1+病理性成纤维细胞转录特性中的关键作用</w:t>
        </w:r>
      </w:hyperlink>
    </w:p>
    <w:p>
      <w:pPr>
        <w:spacing w:before="0" w:after="80"/>
      </w:pPr>
      <w:r>
        <w:rPr>
          <w:i/>
          <w:sz w:val="20"/>
        </w:rPr>
        <w:t>EN: Critical role for the TGF-β1/mTORC1 signaling axis in defining the transcriptional identity of CTHRC1+ pathologic fibroblasts</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13">
        <w:r>
          <w:rPr>
            <w:color w:val="1155CC"/>
            <w:u w:val="single"/>
          </w:rPr>
          <w:t>10.1126/sciadv.adx9868</w:t>
        </w:r>
      </w:hyperlink>
    </w:p>
    <w:p>
      <w:pPr>
        <w:spacing w:before="0" w:after="120"/>
      </w:pPr>
      <w:r>
        <w:rPr>
          <w:b/>
        </w:rPr>
        <w:t xml:space="preserve">Notes: </w:t>
      </w:r>
      <w:r>
        <w:t>abstract_source=crossref</w:t>
      </w:r>
    </w:p>
    <w:p>
      <w:pPr>
        <w:spacing w:before="0" w:after="80" w:lineRule="auto" w:line="276"/>
      </w:pPr>
      <w:r>
        <w:rPr>
          <w:b/>
        </w:rPr>
        <w:t xml:space="preserve">摘要（ZH）: </w:t>
      </w:r>
      <w:r>
        <w:t>纤维化的特征是细胞外基质（ECM）过度沉积，是许多疾病的终末阶段。单细胞研究揭示了疾病特异性成纤维细胞群的出现，包括高胶原合成的CTHRC1+亚群。促纤维化细胞因子TGF-β1通过Smad与mTORC1/4E-BP1信号轴之间的协作促进纤维化。利用CRISPR-Cas9基因编辑，我们报道超过三分之一的TGF-β1调控的基质体基因受mTORC1控制。对TGF-β1刺激的成纤维细胞转录组进行映射，发现其与特发性肺纤维化（IPF）中鉴定出的CTHRC1+成纤维细胞具有相似性。当mTORC1失活时，这种重叠消失。利用选择性mTORC1抑制剂RMC-5552，我们证实mTORC1在促进源自IPF或肺腺癌患者的成纤维细胞响应TGF-β1刺激时获得高胶原、CTHRC1+表型中具有因果作用。我们得出结论，mTORC1在塑造这些成纤维细胞的转录身份中发挥关键作用，对纤维化和癌症中治疗性抑制mTORC1具有重要意义。</w:t>
      </w:r>
    </w:p>
    <w:p>
      <w:pPr>
        <w:spacing w:before="0" w:after="200" w:lineRule="auto" w:line="276"/>
      </w:pPr>
      <w:r>
        <w:rPr>
          <w:b/>
        </w:rPr>
        <w:t xml:space="preserve">Abstract (EN): </w:t>
      </w:r>
      <w:r>
        <w:t>Fibrosis, marked by excess extracellular matrix (ECM) deposition, is the end stage of many diseases. Single-cell studies have highlighted the emergence of disease-specific fibroblast populations, including a high collagen–synthesizing</w:t>
      </w:r>
      <w:r>
        <w:t xml:space="preserve"> </w:t>
      </w:r>
      <w:r>
        <w:t>CTHRC1</w:t>
      </w:r>
      <w:r>
        <w:t xml:space="preserve"> </w:t>
      </w:r>
      <w:r>
        <w:t>+</w:t>
      </w:r>
      <w:r>
        <w:t xml:space="preserve"> </w:t>
      </w:r>
      <w:r>
        <w:t>subpopulation. The profibrotic cytokine TGF-β1 promotes fibrogenesis via cooperation between Smad and mTORC1/4E-BP1 signaling axes. Using CRISPR-Cas9 gene editing, we report that more than one-third of TGF-β1–regulated matrisome genes are under mTORC1 control. Mapping the transcriptome of TGF-β1–stimulated fibroblasts revealed similarity to</w:t>
      </w:r>
      <w:r>
        <w:t xml:space="preserve"> </w:t>
      </w:r>
      <w:r>
        <w:t>CTHRC1</w:t>
      </w:r>
      <w:r>
        <w:t xml:space="preserve"> </w:t>
      </w:r>
      <w:r>
        <w:t>+</w:t>
      </w:r>
      <w:r>
        <w:t xml:space="preserve"> </w:t>
      </w:r>
      <w:r>
        <w:t>fibroblasts identified in idiopathic pulmonary fibrosis (IPF). This overlap is lost when mTORC1 is disabled. Using the selective mTORC1 inhibitor RMC-5552, we confirm a causal role for mTORC1 in promoting the acquisition of the collagen-high,</w:t>
      </w:r>
      <w:r>
        <w:t xml:space="preserve"> </w:t>
      </w:r>
      <w:r>
        <w:t>CTHRC1</w:t>
      </w:r>
      <w:r>
        <w:t xml:space="preserve"> </w:t>
      </w:r>
      <w:r>
        <w:t>+</w:t>
      </w:r>
      <w:r>
        <w:t xml:space="preserve"> </w:t>
      </w:r>
      <w:r>
        <w:t>phenotype in response to TGF-β1 stimulation in fibroblasts derived from patients with either IPF or lung adenocarcinoma. We conclude that mTORC1 plays a key role in shaping the transcriptional identity of these fibroblasts, with implications for therapeutic inhibition of mTORC1 in fibrosis and cancer.</w:t>
      </w:r>
    </w:p>
    <w:p>
      <w:pPr>
        <w:spacing w:before="120" w:after="120"/>
      </w:pPr>
      <w:r>
        <w:rPr>
          <w:sz w:val="18"/>
        </w:rPr>
        <w:t>——————————————————————————————————————————————————————————————————————</w:t>
      </w:r>
    </w:p>
    <w:p>
      <w:pPr>
        <w:spacing w:before="160" w:after="40" w:line="240" w:lineRule="auto"/>
      </w:pPr>
      <w:r>
        <w:rPr>
          <w:b/>
        </w:rPr>
        <w:t xml:space="preserve">[1194] </w:t>
      </w:r>
      <w:hyperlink r:id="rId2014">
        <w:r>
          <w:rPr>
            <w:color w:val="1155CC"/>
            <w:u w:val="single"/>
          </w:rPr>
          <w:t>早发型与晚发型癌症致癌时间线估算及跨出生队列的变化</w:t>
        </w:r>
      </w:hyperlink>
    </w:p>
    <w:p>
      <w:pPr>
        <w:spacing w:before="0" w:after="80"/>
      </w:pPr>
      <w:r>
        <w:rPr>
          <w:i/>
          <w:sz w:val="20"/>
        </w:rPr>
        <w:t>EN: Estimating the carcinogenesis timelines in early-onset versus late-onset cancers and changes across birth cohorts</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15">
        <w:r>
          <w:rPr>
            <w:color w:val="1155CC"/>
            <w:u w:val="single"/>
          </w:rPr>
          <w:t>10.1126/sciadv.aec2357</w:t>
        </w:r>
      </w:hyperlink>
    </w:p>
    <w:p>
      <w:pPr>
        <w:spacing w:before="0" w:after="120"/>
      </w:pPr>
      <w:r>
        <w:rPr>
          <w:b/>
        </w:rPr>
        <w:t xml:space="preserve">Notes: </w:t>
      </w:r>
      <w:r>
        <w:t>abstract_source=crossref</w:t>
      </w:r>
    </w:p>
    <w:p>
      <w:pPr>
        <w:spacing w:before="0" w:after="80" w:lineRule="auto" w:line="276"/>
      </w:pPr>
      <w:r>
        <w:rPr>
          <w:b/>
        </w:rPr>
        <w:t xml:space="preserve">摘要（ZH）: </w:t>
      </w:r>
      <w:r>
        <w:t>理解癌症中关键突变发生的时间对于预防和检测至关重要，尤其是近年来不断增多的早发性癌症。然而，中间突变步骤仍然难以观察。在本研究中，我们扩展了一个肿瘤动力学模型，并将其与长期癌症登记数据相结合以估算突变时间线。利用微分方程系统表示连续的致癌阶段，并采用基于卷积的方法，我们推导并估算了乳腺癌、结直肠癌和甲状腺癌突变转变的预期年龄。模型结果表明，所有癌症中均存在生命早期的启动。早发与晚发乳腺癌和结直肠癌的恶性转变时间相差约10年（30多岁后期与40多岁后期至50多岁相比），而甲状腺癌无论发病年龄如何均表现出相近的早期转变（20多岁后期）。在各出生队列（1950–1954、1965–1969和1980–1984年）中，较晚的队列显示出更快的进展和更早的恶性转变。这些发现可为早发性癌症的病因学研究和干预策略提供参考。</w:t>
      </w:r>
    </w:p>
    <w:p>
      <w:pPr>
        <w:spacing w:before="0" w:after="200" w:lineRule="auto" w:line="276"/>
      </w:pPr>
      <w:r>
        <w:rPr>
          <w:b/>
        </w:rPr>
        <w:t xml:space="preserve">Abstract (EN): </w:t>
      </w:r>
      <w:r>
        <w:t>Understanding when key mutations occur in cancer is critical for prevention and detection, especially for early-onset cancers that have risen in recent years. Yet, intermediate mutational steps remain difficult to observe. Here, we extend a tumor kinetic model and combine it with long-term cancer registry data to estimate mutational timelines. Using differential equation systems to represent sequential carcinogenic stages and a convolution-based method, we derive and estimate the expected ages of mutational transitions for breast, colorectal, and thyroid cancers. Model results suggest early-life initiations across all cancers. Malignant transitions occur ∼10 years earlier in early- vs late-onset breast and colorectal cancers (late 30s versus late 40s to 50s), while thyroid cancer shows similarly early transitions (late 20s) regardless of onset age. Across cohorts (1950–1954, 1965–1969, and 1980–1984), more recent cohorts show accelerated progression and earlier malignancy. These findings can inform early-onset cancer etiologic studies and intervention strategies.</w:t>
      </w:r>
    </w:p>
    <w:p>
      <w:pPr>
        <w:spacing w:before="120" w:after="120"/>
      </w:pPr>
      <w:r>
        <w:rPr>
          <w:sz w:val="18"/>
        </w:rPr>
        <w:t>——————————————————————————————————————————————————————————————————————</w:t>
      </w:r>
    </w:p>
    <w:p>
      <w:pPr>
        <w:spacing w:before="160" w:after="40" w:line="240" w:lineRule="auto"/>
      </w:pPr>
      <w:r>
        <w:rPr>
          <w:b/>
        </w:rPr>
        <w:t xml:space="preserve">[1195] </w:t>
      </w:r>
      <w:hyperlink r:id="rId2016">
        <w:r>
          <w:rPr>
            <w:color w:val="1155CC"/>
            <w:u w:val="single"/>
          </w:rPr>
          <w:t>月球背面近零古地磁场表明月球全球发电机作用已终止</w:t>
        </w:r>
      </w:hyperlink>
    </w:p>
    <w:p>
      <w:pPr>
        <w:spacing w:before="0" w:after="80"/>
      </w:pPr>
      <w:r>
        <w:rPr>
          <w:i/>
          <w:sz w:val="20"/>
        </w:rPr>
        <w:t>EN: Moon’s farside near-zero paleomagnetic field suggests a global lunar dynamo cessation</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17">
        <w:r>
          <w:rPr>
            <w:color w:val="1155CC"/>
            <w:u w:val="single"/>
          </w:rPr>
          <w:t>10.1126/sciadv.adz6195</w:t>
        </w:r>
      </w:hyperlink>
    </w:p>
    <w:p>
      <w:pPr>
        <w:spacing w:before="0" w:after="120"/>
      </w:pPr>
      <w:r>
        <w:rPr>
          <w:b/>
        </w:rPr>
        <w:t xml:space="preserve">Notes: </w:t>
      </w:r>
      <w:r>
        <w:t>abstract_source=crossref</w:t>
      </w:r>
    </w:p>
    <w:p>
      <w:pPr>
        <w:spacing w:before="0" w:after="80" w:lineRule="auto" w:line="276"/>
      </w:pPr>
      <w:r>
        <w:rPr>
          <w:b/>
        </w:rPr>
        <w:t xml:space="preserve">摘要（ZH）: </w:t>
      </w:r>
      <w:r>
        <w:t>近期对Apollo和Chang'e返回样本的古地磁研究表明，月球发电机自约42亿年前（Ga）开始活动，并在约1.0 Ga前停止。然而，月球古地磁场的时间和空间分布仍存在不确定性，因为除Chang'e-6返回的样本外，几乎所有返回样本均来自月球正面。在此，我们首次对月球陨石Northwest Africa 15528进行古地磁分析，该陨石是一块长石质月壤角砾岩，可能来自月球背面。我们的结果不仅表明它在约0.7 Ga时记录到近零磁场（低于几百纳特斯拉），还表明月球陨石可提供关键的古地磁信息。结合来自月球正面的两个年轻Apollo样本——Apollo 15015（形成于约0.9 Ga）和Apollo 15465（形成于约0.5 Ga），我们的发现表明，在过去十亿年中不存在发电机产生的全球性月球磁场。</w:t>
      </w:r>
    </w:p>
    <w:p>
      <w:pPr>
        <w:spacing w:before="0" w:after="200" w:lineRule="auto" w:line="276"/>
      </w:pPr>
      <w:r>
        <w:rPr>
          <w:b/>
        </w:rPr>
        <w:t xml:space="preserve">Abstract (EN): </w:t>
      </w:r>
      <w:r>
        <w:t>Recent paleomagnetic studies of Apollo and Chang’e returned samples suggest that the lunar dynamo was active from ∼4.2 billion years ago (Ga) and ceased by ∼1.0 Ga. However, uncertainties remain regarding the temporal and spatial distribution of the lunar paleomagnetic field, as almost all of the returned samples are from the nearside, except for those returned by Chang’e-6. Here, we present the first paleomagnetic analysis of a lunar meteorite, Northwest Africa 15528, which is a feldspathic regolith breccia likely from the farside of the Moon. Our results not only indicate that it recorded a near-zero magnetic field (below a few hundred nanoteslas) at ∼0.7 Ga but also show that lunar meteorites can provide critical paleomagnetic information. Combined with two young Apollo samples from the nearside, Apollo 15015 (formed at ∼0.9 Ga) and Apollo 15465 (formed at ∼0.5 Ga), our findings suggest the absence of a global dynamo-generated lunar magnetic field for the past one billion years.</w:t>
      </w:r>
    </w:p>
    <w:p>
      <w:pPr>
        <w:spacing w:before="120" w:after="120"/>
      </w:pPr>
      <w:r>
        <w:rPr>
          <w:sz w:val="18"/>
        </w:rPr>
        <w:t>——————————————————————————————————————————————————————————————————————</w:t>
      </w:r>
    </w:p>
    <w:p>
      <w:pPr>
        <w:spacing w:before="160" w:after="40" w:line="240" w:lineRule="auto"/>
      </w:pPr>
      <w:r>
        <w:rPr>
          <w:b/>
        </w:rPr>
        <w:t xml:space="preserve">[1196] </w:t>
      </w:r>
      <w:hyperlink r:id="rId2018">
        <w:r>
          <w:rPr>
            <w:color w:val="1155CC"/>
            <w:u w:val="single"/>
          </w:rPr>
          <w:t>空气中稳定二维半导体中感生磁性的电学调控</w:t>
        </w:r>
      </w:hyperlink>
    </w:p>
    <w:p>
      <w:pPr>
        <w:spacing w:before="0" w:after="80"/>
      </w:pPr>
      <w:r>
        <w:rPr>
          <w:i/>
          <w:sz w:val="20"/>
        </w:rPr>
        <w:t>EN: Electrical control of induced magnetism in an air-stable two-dimensional semiconductor</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19">
        <w:r>
          <w:rPr>
            <w:color w:val="1155CC"/>
            <w:u w:val="single"/>
          </w:rPr>
          <w:t>10.1126/sciadv.aeb0659</w:t>
        </w:r>
      </w:hyperlink>
    </w:p>
    <w:p>
      <w:pPr>
        <w:spacing w:before="0" w:after="120"/>
      </w:pPr>
      <w:r>
        <w:rPr>
          <w:b/>
        </w:rPr>
        <w:t xml:space="preserve">Notes: </w:t>
      </w:r>
      <w:r>
        <w:t>abstract_source=crossref</w:t>
      </w:r>
    </w:p>
    <w:p>
      <w:pPr>
        <w:spacing w:before="0" w:after="80" w:lineRule="auto" w:line="276"/>
      </w:pPr>
      <w:r>
        <w:rPr>
          <w:b/>
        </w:rPr>
        <w:t xml:space="preserve">摘要（ZH）: </w:t>
      </w:r>
      <w:r>
        <w:t>稀磁半导体（DMSs）为电学调控自旋相互作用提供了平台；然而，传统体系面临栅极可调性有限和结构无序的问题。在此，我们展示了在空气中稳定、稀Fe掺杂的PtSe2中的栅极可切换磁性，这是一种在原子级薄极限下仍保持结构均匀的二维（2D）DMS。块体晶体表现出居里温度为320开尔文的铁磁性，且这种耦合在低至七层的金属器件中仍然存在。随着厚度和载流子浓度进一步降低，该体系转变为反铁磁有序，其可栅极调控的奈尔温度在五层半导体器件中达到105开尔文。我们的第一性原理计算揭示了从Ruderman-Kittel-Kasuya-Yosida介导的铁磁性到超交换驱动的反铁磁性的载流子密度依赖性交叉。这些发现展示了诱导磁有序如何从块体演化至二维极限，为实现电学调控磁态的功能性自旋电子器件提供了途径。</w:t>
      </w:r>
    </w:p>
    <w:p>
      <w:pPr>
        <w:spacing w:before="0" w:after="200" w:lineRule="auto" w:line="276"/>
      </w:pPr>
      <w:r>
        <w:rPr>
          <w:b/>
        </w:rPr>
        <w:t xml:space="preserve">Abstract (EN): </w:t>
      </w:r>
      <w:r>
        <w:t>Dilute magnetic semiconductors (DMSs) provide a platform for electrically controlling spin interactions; however, conventional systems face limited gate tunability and structural disorder. Here, we demonstrate gate-switchable magnetism in air-stable, dilute Fe-doped PtSe</w:t>
      </w:r>
      <w:r>
        <w:rPr>
          <w:vertAlign w:val="subscript"/>
        </w:rPr>
        <w:t>2</w:t>
      </w:r>
      <w:r>
        <w:t>, a two-dimensional (2D) DMS that remains structurally homogeneous down to the atomically thin limit. Bulk crystals exhibit ferromagnetism with a Curie temperature of 320 kelvin, and this coupling persists in metallic devices down to seven layers. As thickness and carrier concentration further decrease, the system transitions to antiferromagnetic order, with a gate-tunable Néel temperature reaching 105 kelvin in five-layer semiconducting devices. Our first-principles calculations reveal a carrier-density–dependent crossover from Ruderman-Kittel-Kasuya-Yosida–mediated ferromagnetism to superexchange-driven antiferromagnetism. These findings demonstrate how induced magnetic order evolves from bulk to the 2D limit, providing a pathway to functional spintronic devices with electrically controlled magnetic states.</w:t>
      </w:r>
    </w:p>
    <w:p>
      <w:pPr>
        <w:spacing w:before="120" w:after="120"/>
      </w:pPr>
      <w:r>
        <w:rPr>
          <w:sz w:val="18"/>
        </w:rPr>
        <w:t>——————————————————————————————————————————————————————————————————————</w:t>
      </w:r>
    </w:p>
    <w:p>
      <w:pPr>
        <w:spacing w:before="160" w:after="40" w:line="240" w:lineRule="auto"/>
      </w:pPr>
      <w:r>
        <w:rPr>
          <w:b/>
        </w:rPr>
        <w:t xml:space="preserve">[1197] </w:t>
      </w:r>
      <w:hyperlink r:id="rId2020">
        <w:r>
          <w:rPr>
            <w:color w:val="1155CC"/>
            <w:u w:val="single"/>
          </w:rPr>
          <w:t>雄性偏向的下丘脑回路调节小鼠交配后睡眠抑制</w:t>
        </w:r>
      </w:hyperlink>
    </w:p>
    <w:p>
      <w:pPr>
        <w:spacing w:before="0" w:after="80"/>
      </w:pPr>
      <w:r>
        <w:rPr>
          <w:i/>
          <w:sz w:val="20"/>
        </w:rPr>
        <w:t>EN: A male-biased hypothalamic circuit modulates postmating sleep suppression in mice</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21">
        <w:r>
          <w:rPr>
            <w:color w:val="1155CC"/>
            <w:u w:val="single"/>
          </w:rPr>
          <w:t>10.1126/sciadv.aeb6839</w:t>
        </w:r>
      </w:hyperlink>
    </w:p>
    <w:p>
      <w:pPr>
        <w:spacing w:before="0" w:after="120"/>
      </w:pPr>
      <w:r>
        <w:rPr>
          <w:b/>
        </w:rPr>
        <w:t xml:space="preserve">Notes: </w:t>
      </w:r>
      <w:r>
        <w:t>abstract_source=crossref</w:t>
      </w:r>
    </w:p>
    <w:p>
      <w:pPr>
        <w:spacing w:before="0" w:after="80" w:lineRule="auto" w:line="276"/>
      </w:pPr>
      <w:r>
        <w:rPr>
          <w:b/>
        </w:rPr>
        <w:t xml:space="preserve">摘要（ZH）: </w:t>
      </w:r>
      <w:r>
        <w:t>许多物种表现出与交配相关的睡眠抑制以最大化繁殖成功率，然而其在哺乳动物中的潜在神经机制仍不清楚。在此，我们报告雄性小鼠在成功交配后的时间段表现出睡眠起始延迟和睡眠时长减少，而雌性小鼠不受影响。单细胞转录组学在下丘脑视前区识别出一群促进睡眠的表达Rxfp1的神经元（POA Rxfp1神经元），光纤光度法揭示雄性小鼠在交配期间和交配后这些神经元被选择性抑制。通过化学遗传学激活解除这种抑制可逆转交配后雄性小鼠的睡眠抑制。从这些POA Rxfp1神经元的单突触逆行追踪识别出来自终纹床核主核（BNSTpr）的雄性偏向的γ-氨基丁酸能输入。值得注意的是，光遗传学激活这些神经元 specifically 在雄性小鼠中诱导立即觉醒，且BNSTpr → POA Rxfp1神经元在交配后过度活跃。总之，这些发现确立了一条整合生殖信号以实现雄性特异性睡眠抑制的BNSTpr → POA Rxfp1神经回路。</w:t>
      </w:r>
    </w:p>
    <w:p>
      <w:pPr>
        <w:spacing w:before="0" w:after="200" w:lineRule="auto" w:line="276"/>
      </w:pPr>
      <w:r>
        <w:rPr>
          <w:b/>
        </w:rPr>
        <w:t xml:space="preserve">Abstract (EN): </w:t>
      </w:r>
      <w:r>
        <w:t>Many species display mating-related sleep suppression to maximize reproductive success, yet the underlying neural mechanisms in mammals remain unclear. Here, we report that male mice exhibit delayed sleep onset and reduced sleep duration in periods following successful mating, while females are unaffected. Single-cell transcriptomics identifies a group of sleep-promoting Rxfp1-expressing neurons in the preoptic area of hypothalamus (POA</w:t>
      </w:r>
      <w:r>
        <w:t xml:space="preserve"> </w:t>
      </w:r>
      <w:r>
        <w:t>Rxfp1</w:t>
      </w:r>
      <w:r>
        <w:t xml:space="preserve"> </w:t>
      </w:r>
      <w:r>
        <w:t>neurons), and fiber photometry reveals selective inhibition of them during and after mating in male mice. Lifting this inhibition via chemogenetic activation reverses sleep suppression in mated males. Monosynaptic retrograde tracing from these POA</w:t>
      </w:r>
      <w:r>
        <w:t xml:space="preserve"> </w:t>
      </w:r>
      <w:r>
        <w:t>Rxfp1</w:t>
      </w:r>
      <w:r>
        <w:t xml:space="preserve"> </w:t>
      </w:r>
      <w:r>
        <w:t>neurons identifies male-biased γ-aminobutyric acid–releasing inputs from the principal nucleus of the bed nucleus of the stria terminalis (BNSTpr). Notably, optogenetic activation of these neurons induces immediate wakefulness specifically in male mice, and BNSTpr → POA</w:t>
      </w:r>
      <w:r>
        <w:t xml:space="preserve"> </w:t>
      </w:r>
      <w:r>
        <w:t>Rxfp1</w:t>
      </w:r>
      <w:r>
        <w:t xml:space="preserve"> </w:t>
      </w:r>
      <w:r>
        <w:t>neurons are hyperactive after mating. Together, these findings establish a BNSTpr → POA</w:t>
      </w:r>
      <w:r>
        <w:t xml:space="preserve"> </w:t>
      </w:r>
      <w:r>
        <w:t>Rxfp1</w:t>
      </w:r>
      <w:r>
        <w:t xml:space="preserve"> </w:t>
      </w:r>
      <w:r>
        <w:t>circuit that integrates reproductive signals for male-specific sleep suppression in mice.</w:t>
      </w:r>
    </w:p>
    <w:p>
      <w:pPr>
        <w:spacing w:before="120" w:after="120"/>
      </w:pPr>
      <w:r>
        <w:rPr>
          <w:sz w:val="18"/>
        </w:rPr>
        <w:t>——————————————————————————————————————————————————————————————————————</w:t>
      </w:r>
    </w:p>
    <w:p>
      <w:pPr>
        <w:spacing w:before="160" w:after="40" w:line="240" w:lineRule="auto"/>
      </w:pPr>
      <w:r>
        <w:rPr>
          <w:b/>
        </w:rPr>
        <w:t xml:space="preserve">[1198] </w:t>
      </w:r>
      <w:hyperlink r:id="rId2022">
        <w:r>
          <w:rPr>
            <w:color w:val="1155CC"/>
            <w:u w:val="single"/>
          </w:rPr>
          <w:t>调控系统的组合作用产生黏菌素异质性耐药</w:t>
        </w:r>
      </w:hyperlink>
    </w:p>
    <w:p>
      <w:pPr>
        <w:spacing w:before="0" w:after="80"/>
      </w:pPr>
      <w:r>
        <w:rPr>
          <w:i/>
          <w:sz w:val="20"/>
        </w:rPr>
        <w:t>EN: Combinatorial action of regulatory systems generates colistin heteroresistance</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23">
        <w:r>
          <w:rPr>
            <w:color w:val="1155CC"/>
            <w:u w:val="single"/>
          </w:rPr>
          <w:t>10.1126/sciadv.aec7052</w:t>
        </w:r>
      </w:hyperlink>
    </w:p>
    <w:p>
      <w:pPr>
        <w:spacing w:before="0" w:after="120"/>
      </w:pPr>
      <w:r>
        <w:rPr>
          <w:b/>
        </w:rPr>
        <w:t xml:space="preserve">Notes: </w:t>
      </w:r>
      <w:r>
        <w:t>abstract_source=crossref</w:t>
      </w:r>
    </w:p>
    <w:p>
      <w:pPr>
        <w:spacing w:before="0" w:after="80" w:lineRule="auto" w:line="276"/>
      </w:pPr>
      <w:r>
        <w:rPr>
          <w:b/>
        </w:rPr>
        <w:t xml:space="preserve">摘要（ZH）: </w:t>
      </w:r>
      <w:r>
        <w:t>细菌群体内表型异质性如何产生并导致多黏菌素异质性耐药的机制一直不清楚。异质性耐药是抗生素耐药的一种形式，其中少数耐药细胞亚群与多数敏感细胞群共存。多黏菌素异质性耐药在肠杆菌属（Enterobacter）分离株中很常见，威胁其作为治疗药物的效用，并已成为研究异质性耐药基础的模式系统。在此，我们发现sigma因子σE是多黏菌素耐药异质性的来源。单细胞追踪显示σE在1%的群体中处于活跃状态，且只有这些细胞能在多黏菌素暴露后存活。然而，σE的表达和异质性不足以介导存活，因为缺失控制多黏菌素耐药所必需的脂质A修饰的PhoPQ系统的突变体仍保留异质性但失去耐药性。这些发现引出了异质性耐药的新范式：调控系统的组合作用——包括一个异质性产生器和一个独立的耐药产生器——共同导致了多黏菌素异质性耐药。</w:t>
      </w:r>
    </w:p>
    <w:p>
      <w:pPr>
        <w:spacing w:before="0" w:after="200" w:lineRule="auto" w:line="276"/>
      </w:pPr>
      <w:r>
        <w:rPr>
          <w:b/>
        </w:rPr>
        <w:t xml:space="preserve">Abstract (EN): </w:t>
      </w:r>
      <w:r>
        <w:t>The mechanism by which phenotypic heterogeneity is generated within a bacterial population and leads to colistin heteroresistance has been unclear. Heteroresistance is a form of antibiotic resistance in which a minor subpopulation of resistant cells coexists with a majority susceptible population. Colistin heteroresistance is common among</w:t>
      </w:r>
      <w:r>
        <w:t xml:space="preserve"> </w:t>
      </w:r>
      <w:r>
        <w:t>Enterobacter</w:t>
      </w:r>
      <w:r>
        <w:t xml:space="preserve"> </w:t>
      </w:r>
      <w:r>
        <w:t>isolates, threatens its utility as a therapeutic, and has become a model to study the fundamental bases of heteroresistance. Here, we identify the sigma factor σ</w:t>
      </w:r>
      <w:r>
        <w:t xml:space="preserve"> </w:t>
      </w:r>
      <w:r>
        <w:t>E</w:t>
      </w:r>
      <w:r>
        <w:t xml:space="preserve"> </w:t>
      </w:r>
      <w:r>
        <w:t>as the source of heterogeneity in colistin resistance. Single-cell tracking revealed that σ</w:t>
      </w:r>
      <w:r>
        <w:t xml:space="preserve"> </w:t>
      </w:r>
      <w:r>
        <w:t>E</w:t>
      </w:r>
      <w:r>
        <w:t xml:space="preserve"> </w:t>
      </w:r>
      <w:r>
        <w:t>is active in 1% of the population, and only those cells survive colistin exposure. However, σ</w:t>
      </w:r>
      <w:r>
        <w:t xml:space="preserve"> </w:t>
      </w:r>
      <w:r>
        <w:t>E</w:t>
      </w:r>
      <w:r>
        <w:t xml:space="preserve"> </w:t>
      </w:r>
      <w:r>
        <w:t>expression and heterogeneity were insufficient for survival, as a mutant lacking the PhoPQ system controlling lipid A modifications necessary for colistin resistance retained heterogeneity but lost resistance. These findings lead to a paradigm in heteroresistance; the combinatorial action of regulatory systems, encompassing a heterogeneity generator and a distinct resistance generator, gives rise to colistin heteroresistance.</w:t>
      </w:r>
    </w:p>
    <w:p>
      <w:pPr>
        <w:spacing w:before="120" w:after="120"/>
      </w:pPr>
      <w:r>
        <w:rPr>
          <w:sz w:val="18"/>
        </w:rPr>
        <w:t>——————————————————————————————————————————————————————————————————————</w:t>
      </w:r>
    </w:p>
    <w:p>
      <w:pPr>
        <w:spacing w:before="160" w:after="40" w:line="240" w:lineRule="auto"/>
      </w:pPr>
      <w:r>
        <w:rPr>
          <w:b/>
        </w:rPr>
        <w:t xml:space="preserve">[1199] </w:t>
      </w:r>
      <w:hyperlink r:id="rId2024">
        <w:r>
          <w:rPr>
            <w:color w:val="1155CC"/>
            <w:u w:val="single"/>
          </w:rPr>
          <w:t>微塑料如何在水和陆地中迁移？地球科学家找到追踪其旅程的方法</w:t>
        </w:r>
      </w:hyperlink>
    </w:p>
    <w:p>
      <w:pPr>
        <w:spacing w:before="0" w:after="80"/>
      </w:pPr>
      <w:r>
        <w:rPr>
          <w:i/>
          <w:sz w:val="20"/>
        </w:rPr>
        <w:t>EN: How do microplastics move through water and land? Earth scientists find ways to track their journey</w:t>
      </w:r>
    </w:p>
    <w:p>
      <w:pPr>
        <w:spacing w:before="0" w:after="120"/>
      </w:pPr>
      <w:r>
        <w:rPr>
          <w:b/>
        </w:rPr>
        <w:t xml:space="preserve">Source: </w:t>
      </w:r>
      <w:r>
        <w:t>Proceedings of the National Academy of Sciences: Keyword search for query</w:t>
      </w:r>
      <w:r>
        <w:t xml:space="preserve">    </w:t>
      </w:r>
      <w:r>
        <w:rPr>
          <w:b/>
        </w:rPr>
        <w:t xml:space="preserve">Pub date: </w:t>
      </w:r>
      <w:r>
        <w:t>2026-09-02 07:00:00+00:00</w:t>
      </w:r>
      <w:r>
        <w:t xml:space="preserve">    </w:t>
      </w:r>
      <w:r>
        <w:rPr>
          <w:b/>
        </w:rPr>
        <w:t xml:space="preserve">DOI: </w:t>
      </w:r>
      <w:hyperlink r:id="rId2025">
        <w:r>
          <w:rPr>
            <w:color w:val="1155CC"/>
            <w:u w:val="single"/>
          </w:rPr>
          <w:t>10.1073/pnas.2628766123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[1200] </w:t>
      </w:r>
      <w:hyperlink r:id="rId2026">
        <w:r>
          <w:rPr>
            <w:color w:val="1155CC"/>
            <w:u w:val="single"/>
          </w:rPr>
          <w:t>新建立的环状RNA病毒反向遗传系统揭示感染的新要求及其生物防治潜力</w:t>
        </w:r>
      </w:hyperlink>
    </w:p>
    <w:p>
      <w:pPr>
        <w:spacing w:before="0" w:after="80"/>
      </w:pPr>
      <w:r>
        <w:rPr>
          <w:i/>
          <w:sz w:val="20"/>
        </w:rPr>
        <w:t>EN: A newly established reverse genetic system for a circular RNA virus reveals new requirements for infection and its biocontrol potential</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27">
        <w:r>
          <w:rPr>
            <w:color w:val="1155CC"/>
            <w:u w:val="single"/>
          </w:rPr>
          <w:t>10.1126/sciadv.aed1511</w:t>
        </w:r>
      </w:hyperlink>
    </w:p>
    <w:p>
      <w:pPr>
        <w:spacing w:before="0" w:after="120"/>
      </w:pPr>
      <w:r>
        <w:rPr>
          <w:b/>
        </w:rPr>
        <w:t xml:space="preserve">Notes: </w:t>
      </w:r>
      <w:r>
        <w:t>abstract_source=crossref</w:t>
      </w:r>
    </w:p>
    <w:p>
      <w:pPr>
        <w:spacing w:before="0" w:after="80" w:lineRule="auto" w:line="276"/>
      </w:pPr>
      <w:r>
        <w:rPr>
          <w:b/>
        </w:rPr>
        <w:t xml:space="preserve">摘要（ZH）: </w:t>
      </w:r>
      <w:r>
        <w:t>双义病毒（ambiviruses）是感染真菌的环状RNA病毒，独特地结合了类病毒和病毒的特征，然而其保守的ORF-B蛋白的功能及其对宿主的影响仍未知，这受到缺乏反向遗传学系统的阻碍。在此，我们利用置于真菌启动子下游的头尾相连二聚体构建了首个双义病毒——禾谷镰刀菌双义病毒1（Fusarium graminearum ambivirus 1, FgAV1）的感染性cDNA克隆。FgAV1通过菌丝融合水平传播至无病毒的禾谷镰刀菌（Fusarium graminearum）菌株。值得注意的是，反向取向的二聚体构建体同样具有感染性和可传播性。靶向诱变表明，ORF-A和ORF-B编码的蛋白以及嵌入核酶的存在对双义病毒复制均不可或缺。我们的结果进一步表明，FgAV1感染触发真菌RNAi反应，将宿主sRNAs的抗病毒作用扩展到环状RNA病毒。此外，FgAV1感染抑制真菌生长，并显著降低禾谷镰刀菌（F. graminearum）对小麦的毒力。这些发现为双义病毒的复制及其在真菌病原体生物防治中的潜力提供了新见解。</w:t>
      </w:r>
    </w:p>
    <w:p>
      <w:pPr>
        <w:spacing w:before="0" w:after="200" w:lineRule="auto" w:line="276"/>
      </w:pPr>
      <w:r>
        <w:rPr>
          <w:b/>
        </w:rPr>
        <w:t xml:space="preserve">Abstract (EN): </w:t>
      </w:r>
      <w:r>
        <w:t>Ambiviruses are fungal-infecting circular RNA viruses that uniquely combine viroid-like and viral features, yet the function of their conserved ORF-B protein and their effects on hosts remain unknown, hindered by the lack of a reverse genetics system. Here, we constructed the first infectious cDNA clone of an ambivirus, Fusarium graminearum ambivirus 1 (FgAV1), using a head-to-tail dimer placed downstream of a fungal promoter. FgAV1 was horizontally transmitted via hyphal anastomosis to virus-free</w:t>
      </w:r>
      <w:r>
        <w:t xml:space="preserve"> </w:t>
      </w:r>
      <w:r>
        <w:t>Fusarium graminearum</w:t>
      </w:r>
      <w:r>
        <w:t xml:space="preserve"> </w:t>
      </w:r>
      <w:r>
        <w:t>strains. Notably, a reverse-oriented dimer construct was also infectious and transmissible. Targeted mutagenesis revealed that both ORF-A- and ORF-B-encoded proteins and the presence of embedded ribozymes are indispensable for ambivirus replication. Our results further demonstrate that FgAV1 infection triggers a fungal RNAi response, extending the antiviral role of host sRNAs to circular RNA viruses. Furthermore, FgAV1 infection suppressed fungal growth and significantly reduced the virulence of</w:t>
      </w:r>
      <w:r>
        <w:t xml:space="preserve"> </w:t>
      </w:r>
      <w:r>
        <w:t>F. graminearum</w:t>
      </w:r>
      <w:r>
        <w:t xml:space="preserve"> </w:t>
      </w:r>
      <w:r>
        <w:t>on wheat. These findings provide novel insights into ambivirus replication and their potential in fungal pathogen biocontrol.</w:t>
      </w:r>
    </w:p>
    <w:p>
      <w:pPr>
        <w:spacing w:before="120" w:after="120"/>
      </w:pPr>
      <w:r>
        <w:rPr>
          <w:sz w:val="18"/>
        </w:rPr>
        <w:t>——————————————————————————————————————————————————————————————————————</w:t>
      </w:r>
    </w:p>
    <w:p>
      <w:pPr>
        <w:spacing w:before="160" w:after="40" w:line="240" w:lineRule="auto"/>
      </w:pPr>
      <w:r>
        <w:rPr>
          <w:b/>
        </w:rPr>
        <w:t xml:space="preserve">[1201] </w:t>
      </w:r>
      <w:hyperlink r:id="rId2028">
        <w:r>
          <w:rPr>
            <w:color w:val="1155CC"/>
            <w:u w:val="single"/>
          </w:rPr>
          <w:t>转座元件的激活与帕金森病中区域和细胞类型特异性干扰素应答相关</w:t>
        </w:r>
      </w:hyperlink>
    </w:p>
    <w:p>
      <w:pPr>
        <w:spacing w:before="0" w:after="80"/>
      </w:pPr>
      <w:r>
        <w:rPr>
          <w:i/>
          <w:sz w:val="20"/>
        </w:rPr>
        <w:t>EN: Activation of transposable elements is linked to a region- and cell type–specific interferon response in Parkinson’s disease</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29">
        <w:r>
          <w:rPr>
            <w:color w:val="1155CC"/>
            <w:u w:val="single"/>
          </w:rPr>
          <w:t>10.1126/sciadv.aed2952</w:t>
        </w:r>
      </w:hyperlink>
    </w:p>
    <w:p>
      <w:pPr>
        <w:spacing w:before="0" w:after="120"/>
      </w:pPr>
      <w:r>
        <w:rPr>
          <w:b/>
        </w:rPr>
        <w:t xml:space="preserve">Notes: </w:t>
      </w:r>
      <w:r>
        <w:t>abstract_source=crossref</w:t>
      </w:r>
    </w:p>
    <w:p>
      <w:pPr>
        <w:spacing w:before="0" w:after="80" w:lineRule="auto" w:line="276"/>
      </w:pPr>
      <w:r>
        <w:rPr>
          <w:b/>
        </w:rPr>
        <w:t xml:space="preserve">摘要（ZH）: </w:t>
      </w:r>
      <w:r>
        <w:t>帕金森病（PD）是一种涉及神经炎症反应的神经退行性疾病，其病因尚不清楚。转座元件（TEs）与炎症相关，但其在PD中的潜在作用仍未被探索。利用来自四个脑区的死后脑组织的批量RNA-seq和单核RNA-seq，我们研究了TE转录及其与PD神经炎症的关联。包括LINE-1和ERVs在内的上千种TE在人大脑中以细胞类型和区域特异性的方式表达。与对照组相比，PD大脑的黑质和壳核中TE表达升高，但杏仁核和前额叶皮层中未见此现象。这种TE激活与相同脑区的先天免疫应答相关。利用人多能干细胞来源的小胶质细胞和神经元，我们在机制上证实了干扰素应答与TE激活之间的联系。我们的发现为PD大脑中的TE转录提供了见解，并表明TE可能促进PD中的神经炎症和病理进展。</w:t>
      </w:r>
    </w:p>
    <w:p>
      <w:pPr>
        <w:spacing w:before="0" w:after="200" w:lineRule="auto" w:line="276"/>
      </w:pPr>
      <w:r>
        <w:rPr>
          <w:b/>
        </w:rPr>
        <w:t xml:space="preserve">Abstract (EN): </w:t>
      </w:r>
      <w:r>
        <w:t>Parkinson’s disease (PD) is a neurodegenerative disorder involving a neuroinflammatory response, the cause of which remains unclear. Transposable elements (TEs) have been linked to inflammation, but their potential role in PD remains unexplored. Using bulk- and single-nuclei RNA-seq of postmortem brain tissue from four brain regions, we studied TE transcription and its correlation with PD neuroinflammation. Over a thousand TEs, including LINE-1 s and ERVs, were expressed in a cell type– and region-specific manner in the human brain. Increased TE expression was found in microglia and neurons in the substantia nigra and putamen of PD brains, but not amygdala or prefrontal cortex, compared to controls. This TE activation correlated with an innate immune response in the same brain regions. The link between an interferon response and TE activation was mechanistically confirmed using human pluripotent stem cell–derived microglia and neurons. Our findings provide insights into TE transcription in the PD brain and suggest that TEs may contribute to neuroinflammation and pathological progression in PD.</w:t>
      </w:r>
    </w:p>
    <w:p>
      <w:pPr>
        <w:spacing w:before="120" w:after="120"/>
      </w:pPr>
      <w:r>
        <w:rPr>
          <w:sz w:val="18"/>
        </w:rPr>
        <w:t>——————————————————————————————————————————————————————————————————————</w:t>
      </w:r>
    </w:p>
    <w:p>
      <w:pPr>
        <w:spacing w:before="160" w:after="40" w:line="240" w:lineRule="auto"/>
      </w:pPr>
      <w:r>
        <w:rPr>
          <w:b/>
        </w:rPr>
        <w:t xml:space="preserve">[1202] </w:t>
      </w:r>
      <w:hyperlink r:id="rId2030">
        <w:r>
          <w:rPr>
            <w:color w:val="1155CC"/>
            <w:u w:val="single"/>
          </w:rPr>
          <w:t>簇内受体密度（IRD）：TNFR1簇信号传导的分子开关</w:t>
        </w:r>
      </w:hyperlink>
    </w:p>
    <w:p>
      <w:pPr>
        <w:spacing w:before="0" w:after="80"/>
      </w:pPr>
      <w:r>
        <w:rPr>
          <w:i/>
          <w:sz w:val="20"/>
        </w:rPr>
        <w:t>EN: Intra-cluster receptor density (IRD): A molecular switch for TNFR1 clusters’ signaling</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31">
        <w:r>
          <w:rPr>
            <w:color w:val="1155CC"/>
            <w:u w:val="single"/>
          </w:rPr>
          <w:t>10.1126/sciadv.aed3734</w:t>
        </w:r>
      </w:hyperlink>
    </w:p>
    <w:p>
      <w:pPr>
        <w:spacing w:before="0" w:after="120"/>
      </w:pPr>
      <w:r>
        <w:rPr>
          <w:b/>
        </w:rPr>
        <w:t xml:space="preserve">Notes: </w:t>
      </w:r>
      <w:r>
        <w:t>abstract_source=crossref</w:t>
      </w:r>
    </w:p>
    <w:p>
      <w:pPr>
        <w:spacing w:before="0" w:after="80" w:lineRule="auto" w:line="276"/>
      </w:pPr>
      <w:r>
        <w:rPr>
          <w:b/>
        </w:rPr>
        <w:t xml:space="preserve">摘要（ZH）: </w:t>
      </w:r>
      <w:r>
        <w:t>肿瘤坏死因子受体1（TNFR1）信号传导调控炎症、免疫应答和肿瘤发生中的细胞命运。虽然TNF-α介导的TNFR1通路已广为人知，但受体聚集的作用仍不清楚。利用基于荧光各向异性的同型FRET，我们发现簇内受体密度（IRD）决定TNFR1信号传导结果。可溶性TNF-α（sTNF-α）通过受体重组增加簇核心处的IRD，但降低簇边缘处的IRD。通过膜张力、扎鲁司特、肌动蛋白解聚或胆固醇耗竭降低IRD可抑制sTNF-α信号传导，而通过降低膜张力或在3D凝胶样微环境中培养细胞来增加IRD可触发不依赖配体的激活。这些发现揭示了IRD是受体信号传导的关键调控因子，对相关受体家族具有潜在意义，并为调控TNFR1信号传导提供了创新策略。</w:t>
      </w:r>
    </w:p>
    <w:p>
      <w:pPr>
        <w:spacing w:before="0" w:after="200" w:lineRule="auto" w:line="276"/>
      </w:pPr>
      <w:r>
        <w:rPr>
          <w:b/>
        </w:rPr>
        <w:t xml:space="preserve">Abstract (EN): </w:t>
      </w:r>
      <w:r>
        <w:t>Tumor necrosis factor receptor 1 (TNFR1) signaling regulates cell fate in inflammation, immune responses, and tumorigenesis. While TNF-α–mediated TNFR1 pathways are well known, the role of receptor clustering remains unclear. Utilizing homo-FRET using fluorescence anisotropy, we show that intra-cluster receptor density (IRD) governs TNFR1 signaling outcomes. Soluble TNF-α (sTNF-α) increases IRD at cluster cores but decreases it at rims via receptor reorganization. Reducing IRD through membrane tension, zafirlukast, actin depolymerization, or cholesterol depletion suppresses sTNF-α signaling, whereas increasing IRD by lowering membrane tension or exposing cells in a 3D gel-like microenvironment triggers ligand-independent activation. These findings reveal IRD as a key regulator of receptor signaling, with potential relevance across related receptor families and innovative strategies in modulating TNFR1 signaling.</w:t>
      </w:r>
    </w:p>
    <w:p>
      <w:pPr>
        <w:spacing w:before="120" w:after="120"/>
      </w:pPr>
      <w:r>
        <w:rPr>
          <w:sz w:val="18"/>
        </w:rPr>
        <w:t>——————————————————————————————————————————————————————————————————————</w:t>
      </w:r>
    </w:p>
    <w:p>
      <w:pPr>
        <w:spacing w:before="160" w:after="40" w:line="240" w:lineRule="auto"/>
      </w:pPr>
      <w:r>
        <w:rPr>
          <w:b/>
        </w:rPr>
        <w:t xml:space="preserve">[1203] </w:t>
      </w:r>
      <w:hyperlink r:id="rId2032">
        <w:r>
          <w:rPr>
            <w:color w:val="1155CC"/>
            <w:u w:val="single"/>
          </w:rPr>
          <w:t>海底破火山口延迟沉降造成极端海啸灾害</w:t>
        </w:r>
      </w:hyperlink>
    </w:p>
    <w:p>
      <w:pPr>
        <w:spacing w:before="0" w:after="80"/>
      </w:pPr>
      <w:r>
        <w:rPr>
          <w:i/>
          <w:sz w:val="20"/>
        </w:rPr>
        <w:t>EN: Delayed submarine caldera subsidence creates extreme tsunami hazard</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33">
        <w:r>
          <w:rPr>
            <w:color w:val="1155CC"/>
            <w:u w:val="single"/>
          </w:rPr>
          <w:t>10.1126/sciadv.aed4934</w:t>
        </w:r>
      </w:hyperlink>
    </w:p>
    <w:p>
      <w:pPr>
        <w:spacing w:before="0" w:after="120"/>
      </w:pPr>
      <w:r>
        <w:rPr>
          <w:b/>
        </w:rPr>
        <w:t xml:space="preserve">Notes: </w:t>
      </w:r>
      <w:r>
        <w:t>abstract_source=crossref</w:t>
      </w:r>
    </w:p>
    <w:p>
      <w:pPr>
        <w:spacing w:before="0" w:after="80" w:lineRule="auto" w:line="276"/>
      </w:pPr>
      <w:r>
        <w:rPr>
          <w:b/>
        </w:rPr>
        <w:t xml:space="preserve">摘要（ZH）: </w:t>
      </w:r>
      <w:r>
        <w:t>2022年洪加火山喷发产生了有记录以来规模最大、破坏性最强的火山海啸之一。我们结合该事件的地球物理、海洋学、大气和目击观测，解释了火山致海啸过程的时间、性质和相对危害。在距震源2600公里范围内的地震台站上探测到的水声信号（T波）为区分爆炸、火山物质流和火山口沉降等海啸触发因素提供了关键依据。最大的海啸由至少两次突然的火山口沉降事件中的第一次引发。这发生在全球探测到的爆炸（其产生了较小海啸）之后1小时。我们的结果为火山口沉降速率提供了罕见的见解，并强调了海洋火山喷发所导致的海啸的复杂多源性。</w:t>
      </w:r>
    </w:p>
    <w:p>
      <w:pPr>
        <w:spacing w:before="0" w:after="200" w:lineRule="auto" w:line="276"/>
      </w:pPr>
      <w:r>
        <w:rPr>
          <w:b/>
        </w:rPr>
        <w:t xml:space="preserve">Abstract (EN): </w:t>
      </w:r>
      <w:r>
        <w:t>The 2022 Hunga volcano eruption generated one of the largest and most destructive volcanic tsunamis ever recorded. We interpret the timing, nature and relative hazard of volcanic-tsunamigenic processes by combining geophysical, oceanographic, atmospheric, and eye-witness observations of this event. Hydro-acoustic signal (</w:t>
      </w:r>
      <w:r>
        <w:t xml:space="preserve"> </w:t>
      </w:r>
      <w:r>
        <w:t>T</w:t>
      </w:r>
      <w:r>
        <w:t xml:space="preserve"> </w:t>
      </w:r>
      <w:r>
        <w:t>waves) detected on seismic stations up to 2600 km away provided a key to discerning tsunami triggers from explosions, volcanic mass flows, and caldera subsidence. The largest tsunami was generated by the first of at least two sudden caldera-subsidence events. This occurred 1 hour after globally detected explosions that produced smaller tsunami. Our results provide rare insights into the rates of caldera subsidence and highlight the complex multiple sources of tsunamis resulting from eruptions of oceanic volcanoes.</w:t>
      </w:r>
    </w:p>
    <w:p>
      <w:pPr>
        <w:spacing w:before="120" w:after="120"/>
      </w:pPr>
      <w:r>
        <w:rPr>
          <w:sz w:val="18"/>
        </w:rPr>
        <w:t>——————————————————————————————————————————————————————————————————————</w:t>
      </w:r>
    </w:p>
    <w:p>
      <w:pPr>
        <w:spacing w:before="160" w:after="40" w:line="240" w:lineRule="auto"/>
      </w:pPr>
      <w:r>
        <w:rPr>
          <w:b/>
        </w:rPr>
        <w:t xml:space="preserve">[1204] </w:t>
      </w:r>
      <w:hyperlink r:id="rId2034">
        <w:r>
          <w:rPr>
            <w:color w:val="1155CC"/>
            <w:u w:val="single"/>
          </w:rPr>
          <w:t>EV介导的SHH转运缺陷改变EPM1癫痫中的神经命运特化</w:t>
        </w:r>
      </w:hyperlink>
    </w:p>
    <w:p>
      <w:pPr>
        <w:spacing w:before="0" w:after="80"/>
      </w:pPr>
      <w:r>
        <w:rPr>
          <w:i/>
          <w:sz w:val="20"/>
        </w:rPr>
        <w:t>EN: Defective EV-mediated transport of SHH alters neural fate specification in EPM1 epilepsy</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35">
        <w:r>
          <w:rPr>
            <w:color w:val="1155CC"/>
            <w:u w:val="single"/>
          </w:rPr>
          <w:t>10.1126/sciadv.adu3955</w:t>
        </w:r>
      </w:hyperlink>
    </w:p>
    <w:p>
      <w:pPr>
        <w:spacing w:before="0" w:after="120"/>
      </w:pPr>
      <w:r>
        <w:rPr>
          <w:b/>
        </w:rPr>
        <w:t xml:space="preserve">Notes: </w:t>
      </w:r>
      <w:r>
        <w:t>abstract_source=crossref</w:t>
      </w:r>
    </w:p>
    <w:p>
      <w:pPr>
        <w:spacing w:before="0" w:after="80" w:lineRule="auto" w:line="276"/>
      </w:pPr>
      <w:r>
        <w:rPr>
          <w:b/>
        </w:rPr>
        <w:t xml:space="preserve">摘要（ZH）: </w:t>
      </w:r>
      <w:r>
        <w:t>细胞外微环境（包括细胞外囊泡EVs）在脑发育中发挥关键作用。在本研究中，我们试图利用源自患者细胞的脑类器官（COs）阐明进行性肌阵挛癫痫1型（EPM1）的发病机制，该疾病由CSTB基因突变引起。结果表明，EPM1 COs表现出电生理活动增强以及兴奋/抑制（E/I）平衡被破坏。对腹侧EPM1-COs的单细胞RNA测序分析揭示了祖细胞命运特化的异常，并向背侧神经元身份转变。我们证明这种错误特化是由腹侧信号生态位的功能改变所驱动，而后者源于EV动力学受损和蛋白质货物改变。在机制上，我们鉴定出Sonic Hedgehog（SHH）是CSTB的直接物理相互作用蛋白，并证明CSTB缺失导致SHH含量和分泌减少。我们的发现确立了CSTB作为腹侧模式化的守护者，并将CSTB-SHH-EV轴确定为缓解EPM1相关E/I失衡的潜在治疗靶点。</w:t>
      </w:r>
    </w:p>
    <w:p>
      <w:pPr>
        <w:spacing w:before="0" w:after="200" w:lineRule="auto" w:line="276"/>
      </w:pPr>
      <w:r>
        <w:rPr>
          <w:b/>
        </w:rPr>
        <w:t xml:space="preserve">Abstract (EN): </w:t>
      </w:r>
      <w:r>
        <w:t>The extracellular milieu, including extracellular vesicles (EVs), plays a pivotal role in brain development. In this study, we sought to elucidate the pathogenesis of progressive myoclonus epilepsy type 1 (EPM1), a disease caused by mutations in the</w:t>
      </w:r>
      <w:r>
        <w:t xml:space="preserve"> </w:t>
      </w:r>
      <w:r>
        <w:t>CSTB</w:t>
      </w:r>
      <w:r>
        <w:t xml:space="preserve"> </w:t>
      </w:r>
      <w:r>
        <w:t>gene, using cerebral organoids (COs) derived from patient cells. The results demonstrate that EPM1 COs display increased electrophysiological activity and disrupted excitatory/inhibitory (E/I) balance. Single-cell RNA sequencing analysis of ventral EPM1-COs revealed an abnormal specification of progenitor fate, with a shift toward dorsal neuron identities. We demonstrated that this misspecification is driven by a functional alteration of the ventral signaling niche, resulting from impaired EV dynamics and altered protein cargo. Mechanistically, we identified Sonic Hedgehog (SHH) as a direct physical interactor of CSTB and demonstrated that CSTB deficiency leads to reduced SHH content and secretion. Our findings establish CSTB as a safeguard of ventral patterning and identify the CSTB-SHH-EV axis as a potential therapeutic target for mitigating the E/I imbalance associated with EPM1.</w:t>
      </w:r>
    </w:p>
    <w:p>
      <w:pPr>
        <w:spacing w:before="120" w:after="120"/>
      </w:pPr>
      <w:r>
        <w:rPr>
          <w:sz w:val="18"/>
        </w:rPr>
        <w:t>——————————————————————————————————————————————————————————————————————</w:t>
      </w:r>
    </w:p>
    <w:p>
      <w:pPr>
        <w:spacing w:before="160" w:after="40" w:line="240" w:lineRule="auto"/>
      </w:pPr>
      <w:r>
        <w:rPr>
          <w:b/>
        </w:rPr>
        <w:t xml:space="preserve">[1205] </w:t>
      </w:r>
      <w:hyperlink r:id="rId2036">
        <w:r>
          <w:rPr>
            <w:color w:val="1155CC"/>
            <w:u w:val="single"/>
          </w:rPr>
          <w:t>海荨麻水母毒液靶向蛋白聚糖引发细胞死亡和疼痛</w:t>
        </w:r>
      </w:hyperlink>
    </w:p>
    <w:p>
      <w:pPr>
        <w:spacing w:before="0" w:after="80"/>
      </w:pPr>
      <w:r>
        <w:rPr>
          <w:i/>
          <w:sz w:val="20"/>
        </w:rPr>
        <w:t>EN: Sea nettle jellyfish venom targets proteoglycans to cause cell death and pain</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37">
        <w:r>
          <w:rPr>
            <w:color w:val="1155CC"/>
            <w:u w:val="single"/>
          </w:rPr>
          <w:t>10.1126/sciadv.aec7585</w:t>
        </w:r>
      </w:hyperlink>
    </w:p>
    <w:p>
      <w:pPr>
        <w:spacing w:before="0" w:after="120"/>
      </w:pPr>
      <w:r>
        <w:rPr>
          <w:b/>
        </w:rPr>
        <w:t xml:space="preserve">Notes: </w:t>
      </w:r>
      <w:r>
        <w:t>abstract_source=crossref</w:t>
      </w:r>
    </w:p>
    <w:p>
      <w:pPr>
        <w:spacing w:before="0" w:after="80" w:lineRule="auto" w:line="276"/>
      </w:pPr>
      <w:r>
        <w:rPr>
          <w:b/>
        </w:rPr>
        <w:t xml:space="preserve">摘要（ZH）: </w:t>
      </w:r>
      <w:r>
        <w:t>海荨麻水母每年造成数百万次疼痛性蜇伤，但其毒液的作用机制知之甚少，也没有合理的治疗方法。在此，我们对海荨麻毒液/宿主相互作用进行了系统分析。毒液在人细胞中表现出剂量依赖性的细胞毒性，这可以通过同时抑制凋亡和坏死性凋亡来阻断。利用全基因组CRISPR筛选，我们鉴定了改变毒液作用的人类基因和通路。鉴定出的最主要的基因簇调控蛋白聚糖的生物合成。我们发现外源性肝素（一种临床用作抗凝剂的药物）在生理相关剂量下可阻断毒液的细胞毒性。该效应具有治疗作用，即使在暴露后1小时仍能抑制毒液。在体内，肝素可保护机体免受毒液诱导的急性自发性疼痛、热痛过敏和机械性异常疼痛。这为重新利用肝素这一安全、市售的药物作为预防或治疗手段以减轻海荨麻蜇伤的影响提供了令人兴奋的可能性。</w:t>
      </w:r>
    </w:p>
    <w:p>
      <w:pPr>
        <w:spacing w:before="0" w:after="200" w:lineRule="auto" w:line="276"/>
      </w:pPr>
      <w:r>
        <w:rPr>
          <w:b/>
        </w:rPr>
        <w:t xml:space="preserve">Abstract (EN): </w:t>
      </w:r>
      <w:r>
        <w:t>Sea nettle jellyfish cause millions of painful stings annually with little known about how their venom works and no rational treatments available. Here, we perform a systematic analysis of sea nettle venom/host interactions. The venom shows dose-dependent cytotoxic activity in human cells, and this can be blocked by dual inhibition of apoptosis and necroptosis. Using whole-genome CRISPR screening, we identified human genes and pathways that modify venom action. The top gene cluster identified regulates proteoglycan biosynthesis. We show that exogenous heparin, a drug used clinically as an anticoagulant, blocks venom cytotoxicity at a physiologically relevant dose. This effect was therapeutic, inhibiting venom even 1 hour after exposure. In vivo, heparin protected against acute spontaneous pain, thermal hyperalgesia, and mechanical allodynia induced by venom. This provides the exciting possibility of repurposing heparin, a safe, commercially available drug, as a prophylactic or therapeutic to reduce the impact of sea nettle stings.</w:t>
      </w:r>
    </w:p>
    <w:p>
      <w:pPr>
        <w:spacing w:before="120" w:after="120"/>
      </w:pPr>
      <w:r>
        <w:rPr>
          <w:sz w:val="18"/>
        </w:rPr>
        <w:t>——————————————————————————————————————————————————————————————————————</w:t>
      </w:r>
    </w:p>
    <w:p>
      <w:pPr>
        <w:spacing w:before="160" w:after="40" w:line="240" w:lineRule="auto"/>
      </w:pPr>
      <w:r>
        <w:rPr>
          <w:b/>
        </w:rPr>
        <w:t xml:space="preserve">[1206] </w:t>
      </w:r>
      <w:hyperlink r:id="rId2038">
        <w:r>
          <w:rPr>
            <w:color w:val="1155CC"/>
            <w:u w:val="single"/>
          </w:rPr>
          <w:t>从叶脉到公交专用道：复杂空间系统中涌现的简单性</w:t>
        </w:r>
      </w:hyperlink>
    </w:p>
    <w:p>
      <w:pPr>
        <w:spacing w:before="0" w:after="80"/>
      </w:pPr>
      <w:r>
        <w:rPr>
          <w:i/>
          <w:sz w:val="20"/>
        </w:rPr>
        <w:t>EN: From leaf veins to bus lanes: Emerging simplicity in complex spatial systems</w:t>
      </w:r>
    </w:p>
    <w:p>
      <w:pPr>
        <w:spacing w:before="0" w:after="120"/>
      </w:pPr>
      <w:r>
        <w:rPr>
          <w:b/>
        </w:rPr>
        <w:t xml:space="preserve">Source: </w:t>
      </w:r>
      <w:r>
        <w:t>Proceedings of the National Academy of Sciences: Keyword search for query</w:t>
      </w:r>
      <w:r>
        <w:t xml:space="preserve">    </w:t>
      </w:r>
      <w:r>
        <w:rPr>
          <w:b/>
        </w:rPr>
        <w:t xml:space="preserve">Pub date: </w:t>
      </w:r>
      <w:r>
        <w:t>2026-09-02 07:00:00+00:00</w:t>
      </w:r>
      <w:r>
        <w:t xml:space="preserve">    </w:t>
      </w:r>
      <w:r>
        <w:rPr>
          <w:b/>
        </w:rPr>
        <w:t xml:space="preserve">DOI: </w:t>
      </w:r>
      <w:hyperlink r:id="rId2039">
        <w:r>
          <w:rPr>
            <w:color w:val="1155CC"/>
            <w:u w:val="single"/>
          </w:rPr>
          <w:t>10.1073/pnas.2622915123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[1207] </w:t>
      </w:r>
      <w:hyperlink r:id="rId2040">
        <w:r>
          <w:rPr>
            <w:color w:val="1155CC"/>
            <w:u w:val="single"/>
          </w:rPr>
          <w:t>果蝇Moonwalker下行神经元的胞体位置调控运动神经回路功能</w:t>
        </w:r>
      </w:hyperlink>
    </w:p>
    <w:p>
      <w:pPr>
        <w:spacing w:before="0" w:after="80"/>
      </w:pPr>
      <w:r>
        <w:rPr>
          <w:i/>
          <w:sz w:val="20"/>
        </w:rPr>
        <w:t>EN: Cell body position of Drosophila Moonwalker Descending Neurons regulates locomotor circuit function</w:t>
      </w:r>
    </w:p>
    <w:p>
      <w:pPr>
        <w:spacing w:before="0" w:after="120"/>
      </w:pPr>
      <w:r>
        <w:rPr>
          <w:b/>
        </w:rPr>
        <w:t xml:space="preserve">Source: </w:t>
      </w:r>
      <w:r>
        <w:t>Proceedings of the National Academy of Sciences: Keyword search for query</w:t>
      </w:r>
      <w:r>
        <w:t xml:space="preserve">    </w:t>
      </w:r>
      <w:r>
        <w:rPr>
          <w:b/>
        </w:rPr>
        <w:t xml:space="preserve">Pub date: </w:t>
      </w:r>
      <w:r>
        <w:t>2026-09-02 07:00:00+00:00</w:t>
      </w:r>
      <w:r>
        <w:t xml:space="preserve">    </w:t>
      </w:r>
      <w:r>
        <w:rPr>
          <w:b/>
        </w:rPr>
        <w:t xml:space="preserve">DOI: </w:t>
      </w:r>
      <w:hyperlink r:id="rId2041">
        <w:r>
          <w:rPr>
            <w:color w:val="1155CC"/>
            <w:u w:val="single"/>
          </w:rPr>
          <w:t>10.1073/pnas.2618114123</w:t>
        </w:r>
      </w:hyperlink>
    </w:p>
    <w:p>
      <w:pPr>
        <w:spacing w:before="0" w:after="120"/>
      </w:pPr>
      <w:r>
        <w:rPr>
          <w:b/>
        </w:rPr>
        <w:t xml:space="preserve">Notes: </w:t>
      </w:r>
      <w:r>
        <w:t>abstract_source=crossref</w:t>
      </w:r>
    </w:p>
    <w:p>
      <w:pPr>
        <w:spacing w:before="0" w:after="80" w:lineRule="auto" w:line="276"/>
      </w:pPr>
      <w:r>
        <w:rPr>
          <w:b/>
        </w:rPr>
        <w:t xml:space="preserve">摘要（ZH）: </w:t>
      </w:r>
      <w:r>
        <w:t>哺乳动物和无脊椎动物神经系统都包含位于定型位置的密集神经元细胞体，这些细胞体表达细胞表面分子和间隙连接蛋白。一个鲜有探讨的悬而未决的问题是：细胞体位置在神经环路功能中发挥什么作用？在此我们表明，果蝇成体的四个Moonwalker下行神经元（MDN）——后退运动的指令神经元——必须维持细胞体之间的接触才能启动后退行走。MDN表达转录因子Hunchback，后者驱动细胞黏附分子Lar的表达。Hunchback、Lar及其配体Dlp促进MDN细胞体聚集成簇，从而阻断后退行走的启动。当细胞体聚集成簇时，MDN细胞体之间会形成电突触。间隙连接蛋白Innexin 8（又称Shaking B）维持更去极化的静息膜电位，并使MDN能够同步放电。这些电生理特性共同是启动后退行走所必需的。这些发现揭示了细胞体位置及其介导的特性在神经环路功能中一个此前未被认识的作用。</w:t>
      </w:r>
    </w:p>
    <w:p>
      <w:pPr>
        <w:spacing w:before="0" w:after="200" w:lineRule="auto" w:line="276"/>
      </w:pPr>
      <w:r>
        <w:rPr>
          <w:b/>
        </w:rPr>
        <w:t xml:space="preserve">Abstract (EN): </w:t>
      </w:r>
      <w:r>
        <w:t>Both mammalian and invertebrate nervous systems contain densely packed neuronal cell bodies in stereotyped locations, which express cell surface molecules and gap junction proteins. An open question that has rarely been addressed is: What role does cell body position play in neuronal circuit function? Here we show that the four adult</w:t>
      </w:r>
      <w:r>
        <w:t xml:space="preserve"> </w:t>
      </w:r>
      <w:r>
        <w:t>Drosophila</w:t>
      </w:r>
      <w:r>
        <w:t xml:space="preserve"> </w:t>
      </w:r>
      <w:r>
        <w:t>Moonwalker Descending Neurons (MDNs), command neurons for backward locomotion, must maintain cell body contact to initiate backward walking. MDNs express the transcription factor Hunchback, which drives expression of the cell adhesion molecule Lar. Hunchback, Lar, and its ligand Dlp, promote MDN cell body clustering, which blocks initiation of backward walking. When the cell bodies are clustered, electrical synapses form between MDN cell bodies. The gap junction protein Innexin 8 (also known as Shaking B) maintains a more depolarized resting membrane potential and allows synchronous firing of MDNs. Together, these electrophysiological properties are necessary to initiate backward walking. These findings reveal a previously unappreciated role for cell body location, and the properties it mediates, in neural circuit function.</w:t>
      </w:r>
    </w:p>
    <w:p>
      <w:pPr>
        <w:spacing w:before="120" w:after="120"/>
      </w:pPr>
      <w:r>
        <w:rPr>
          <w:sz w:val="18"/>
        </w:rPr>
        <w:t>——————————————————————————————————————————————————————————————————————</w:t>
      </w:r>
    </w:p>
    <w:p>
      <w:pPr>
        <w:spacing w:before="160" w:after="40" w:line="240" w:lineRule="auto"/>
      </w:pPr>
      <w:r>
        <w:rPr>
          <w:b/>
        </w:rPr>
        <w:t xml:space="preserve">[1208] </w:t>
      </w:r>
      <w:hyperlink r:id="rId2042">
        <w:r>
          <w:rPr>
            <w:color w:val="1155CC"/>
            <w:u w:val="single"/>
          </w:rPr>
          <w:t>Lenacapavir变构重塑HIV-1衣壳</w:t>
        </w:r>
      </w:hyperlink>
    </w:p>
    <w:p>
      <w:pPr>
        <w:spacing w:before="0" w:after="80"/>
      </w:pPr>
      <w:r>
        <w:rPr>
          <w:i/>
          <w:sz w:val="20"/>
        </w:rPr>
        <w:t>EN: Lenacapavir allosterically remodels the HIV-1 capsid</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43">
        <w:r>
          <w:rPr>
            <w:color w:val="1155CC"/>
            <w:u w:val="single"/>
          </w:rPr>
          <w:t>10.1126/sciadv.aed8384</w:t>
        </w:r>
      </w:hyperlink>
    </w:p>
    <w:p>
      <w:pPr>
        <w:spacing w:before="0" w:after="120"/>
      </w:pPr>
      <w:r>
        <w:rPr>
          <w:b/>
        </w:rPr>
        <w:t xml:space="preserve">Notes: </w:t>
      </w:r>
      <w:r>
        <w:t>abstract_source=crossref</w:t>
      </w:r>
    </w:p>
    <w:p>
      <w:pPr>
        <w:spacing w:before="0" w:after="80" w:lineRule="auto" w:line="276"/>
      </w:pPr>
      <w:r>
        <w:rPr>
          <w:b/>
        </w:rPr>
        <w:t xml:space="preserve">摘要（ZH）: </w:t>
      </w:r>
      <w:r>
        <w:t>来那卡帕韦（LEN）是一种高效、长效的衣壳抑制剂，在HIV-1感染的治疗和预防方面具有 exceptional 的前景。LEN会导致成熟病毒衣壳破裂并失去完整性，但其潜在机制一直不明。在本研究中，我们表明LEN是HIV-1衣壳结构的变构调节剂，分两步破坏衣壳的富勒烯锥结构：首先在高曲率棱角处破裂，随后衣壳主体发生裂开。在分子层面，LEN改变了衣壳亚基之间的非共价键相互作用，并降低了局部晶格曲率。我们提出了一种应力-应变模型，以合理解释LEN如何重塑HIV-1衣壳结构，从而损害病毒的复制能力。</w:t>
      </w:r>
    </w:p>
    <w:p>
      <w:pPr>
        <w:spacing w:before="0" w:after="200" w:lineRule="auto" w:line="276"/>
      </w:pPr>
      <w:r>
        <w:rPr>
          <w:b/>
        </w:rPr>
        <w:t xml:space="preserve">Abstract (EN): </w:t>
      </w:r>
      <w:r>
        <w:t>Lenacapavir (LEN) is a highly potent, long-acting capsid inhibitor that holds exceptional promise for treatment and prevention of HIV-1 infection. LEN causes the mature viral capsid to rupture and lose integrity, but the underlying mechanism has been unclear. Here, we show that LEN is an allosteric modulator of HIV-1 capsid structure that fractures the capsid’s fullerene cone architecture in two steps: initially by rupturing at high-curvature declinations, followed by fissuring of the capsid body. At the molecular level, LEN alters the noncovalent bonding interactions between capsid subunits and reduces local lattice curvature. We propose a stress-strain model to rationalize how LEN remodels HIV-1 capsid structure and thereby impairs the replication capacity of the virus.</w:t>
      </w:r>
    </w:p>
    <w:p>
      <w:pPr>
        <w:spacing w:before="120" w:after="120"/>
      </w:pPr>
      <w:r>
        <w:rPr>
          <w:sz w:val="18"/>
        </w:rPr>
        <w:t>——————————————————————————————————————————————————————————————————————</w:t>
      </w:r>
    </w:p>
    <w:p>
      <w:pPr>
        <w:spacing w:before="160" w:after="40" w:line="240" w:lineRule="auto"/>
      </w:pPr>
      <w:r>
        <w:rPr>
          <w:b/>
        </w:rPr>
        <w:t xml:space="preserve">[1209] </w:t>
      </w:r>
      <w:hyperlink r:id="rId2044">
        <w:r>
          <w:rPr>
            <w:color w:val="1155CC"/>
            <w:u w:val="single"/>
          </w:rPr>
          <w:t>互穿多糖基质的机械信号调控胶原纤维的自组装</w:t>
        </w:r>
      </w:hyperlink>
    </w:p>
    <w:p>
      <w:pPr>
        <w:spacing w:before="0" w:after="80"/>
      </w:pPr>
      <w:r>
        <w:rPr>
          <w:i/>
          <w:sz w:val="20"/>
        </w:rPr>
        <w:t>EN: Mechanical cues of an interpenetrating polysaccharide matrix regulate self-assembly of collagen fibers</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45">
        <w:r>
          <w:rPr>
            <w:color w:val="1155CC"/>
            <w:u w:val="single"/>
          </w:rPr>
          <w:t>10.1126/sciadv.aee3256</w:t>
        </w:r>
      </w:hyperlink>
    </w:p>
    <w:p>
      <w:pPr>
        <w:spacing w:before="0" w:after="120"/>
      </w:pPr>
      <w:r>
        <w:rPr>
          <w:b/>
        </w:rPr>
        <w:t xml:space="preserve">Notes: </w:t>
      </w:r>
      <w:r>
        <w:t>abstract_source=crossref</w:t>
      </w:r>
    </w:p>
    <w:p>
      <w:pPr>
        <w:spacing w:before="0" w:after="80" w:lineRule="auto" w:line="276"/>
      </w:pPr>
      <w:r>
        <w:rPr>
          <w:b/>
        </w:rPr>
        <w:t xml:space="preserve">摘要（ZH）: </w:t>
      </w:r>
      <w:r>
        <w:t>胶原蛋白分子在分子拥挤、富含多糖且具有流体样黏弹性的细胞外基质（ECM）中自组装成超分子纤维。在本研究中，我们证实海藻酸盐网络的黏弹性可调控I型胶原纤维的组装。通过聚合物重量百分比以及离子与共价降冰片烯-四嗪协同交联的程度，可调节海藻酸盐网络的黏弹性和剪切模量。对共价交联水凝胶施加阶跃剪切应变所产生的应力高于离子交联水凝胶。黏弹性降低的水凝胶还表现出较低的水渗透性。二次谐波生成共聚焦成像显示，黏弹性的降低显著抑制了胶原纤维的自组装。模拟结果表明，水凝胶网络与胶原蛋白分子聚集体尺寸之间存在机械耦合，这与共价交联网络中自组装速率和幅度受损的实验结果一致。这些结果为理解ECM机械特性如何影响纤维状大分子的组装与组织提供了框架。</w:t>
      </w:r>
    </w:p>
    <w:p>
      <w:pPr>
        <w:spacing w:before="0" w:after="200" w:lineRule="auto" w:line="276"/>
      </w:pPr>
      <w:r>
        <w:rPr>
          <w:b/>
        </w:rPr>
        <w:t xml:space="preserve">Abstract (EN): </w:t>
      </w:r>
      <w:r>
        <w:t>Collagen molecules self-assemble into supramolecular fibers within a molecularly crowded, polysaccharide-rich extracellular matrix (ECM) that has fluid-like, viscoelastic properties. Here, we determine that the viscoelasticity of alginate networks regulates the assembly of type I collagen fibers. The viscoelasticity and shear moduli of the alginate network were tuned by the polymer weight percentage and degree of cooperative ionic and covalent norbornene-tetrazine cross-linking. Stepwise shear strain applied to covalently cross-linked hydrogels generated higher stress than in ionic hydrogels. Hydrogels with reduced viscoelasticity also showed reduced water permeability. Second-harmonic generation confocal imaging revealed that decreasing viscoelasticity significantly suppressed collagen fiber self-assembly. Simulations demonstrated mechanical coupling between the hydrogel network and the aggregate size of collagen molecules, which was consistent with experimental results showing impaired rate and magnitude of self-assembly in covalently cross-linked networks. These results provide a framework for understanding how ECM mechanical properties can influence the assembly and organization of fibrillar macromolecules.</w:t>
      </w:r>
    </w:p>
    <w:p>
      <w:pPr>
        <w:spacing w:before="120" w:after="120"/>
      </w:pPr>
      <w:r>
        <w:rPr>
          <w:sz w:val="18"/>
        </w:rPr>
        <w:t>——————————————————————————————————————————————————————————————————————</w:t>
      </w:r>
    </w:p>
    <w:p>
      <w:pPr>
        <w:spacing w:before="160" w:after="40" w:line="240" w:lineRule="auto"/>
      </w:pPr>
      <w:r>
        <w:rPr>
          <w:b/>
        </w:rPr>
        <w:t xml:space="preserve">[1210] </w:t>
      </w:r>
      <w:hyperlink r:id="rId2046">
        <w:r>
          <w:rPr>
            <w:color w:val="1155CC"/>
            <w:u w:val="single"/>
          </w:rPr>
          <w:t>唾液蛋白NlSP2通过OsCBSX3–SNAC3模块增强水稻免疫</w:t>
        </w:r>
      </w:hyperlink>
    </w:p>
    <w:p>
      <w:pPr>
        <w:spacing w:before="0" w:after="80"/>
      </w:pPr>
      <w:r>
        <w:rPr>
          <w:i/>
          <w:sz w:val="20"/>
        </w:rPr>
        <w:t>EN: A salivary protein NlSP2 engages the OsCBSX3–SNAC3 module to enhance rice immunity</w:t>
      </w:r>
    </w:p>
    <w:p>
      <w:pPr>
        <w:spacing w:before="0" w:after="120"/>
      </w:pPr>
      <w:r>
        <w:rPr>
          <w:b/>
        </w:rPr>
        <w:t xml:space="preserve">Source: </w:t>
      </w:r>
      <w:r>
        <w:t>Proceedings of the National Academy of Sciences: Keyword search for query</w:t>
      </w:r>
      <w:r>
        <w:t xml:space="preserve">    </w:t>
      </w:r>
      <w:r>
        <w:rPr>
          <w:b/>
        </w:rPr>
        <w:t xml:space="preserve">Pub date: </w:t>
      </w:r>
      <w:r>
        <w:t>2026-09-02 07:00:00+00:00</w:t>
      </w:r>
      <w:r>
        <w:t xml:space="preserve">    </w:t>
      </w:r>
      <w:r>
        <w:rPr>
          <w:b/>
        </w:rPr>
        <w:t xml:space="preserve">DOI: </w:t>
      </w:r>
      <w:hyperlink r:id="rId2047">
        <w:r>
          <w:rPr>
            <w:color w:val="1155CC"/>
            <w:u w:val="single"/>
          </w:rPr>
          <w:t>10.1073/pnas.2624480123</w:t>
        </w:r>
      </w:hyperlink>
    </w:p>
    <w:p>
      <w:pPr>
        <w:spacing w:before="0" w:after="120"/>
      </w:pPr>
      <w:r>
        <w:rPr>
          <w:b/>
        </w:rPr>
        <w:t xml:space="preserve">Notes: </w:t>
      </w:r>
      <w:r>
        <w:t>abstract_source=crossref</w:t>
      </w:r>
    </w:p>
    <w:p>
      <w:pPr>
        <w:spacing w:before="0" w:after="80" w:lineRule="auto" w:line="276"/>
      </w:pPr>
      <w:r>
        <w:rPr>
          <w:b/>
        </w:rPr>
        <w:t xml:space="preserve">摘要（ZH）: </w:t>
      </w:r>
      <w:r>
        <w:t>水稻与褐飞虱之间的分子对话由昆虫唾液效应子介导，但植物感知与免疫激活的分子机制仍 largely 不清楚。在此，我们鉴定了褐飞虱唾液蛋白NlSP2，该蛋白在取食过程中被分泌到水稻组织中。在褐飞虱中沉默NlSP2会损害唾液鞘形成、取食能力和存活率，而其在水稻中的异位表达则通过MAPK激活、H2O2积累及防御相关基因的诱导增强对褐飞虱的抗性。我们发现含有胱硫醚β-合酶结构域的水稻蛋白OsCBSX3是NlSP2的直接胞内靶标。遗传分析表明OsCBSX3是褐飞虱抗性的正调控因子，也是NlSP2触发免疫的必需组分。NlSP2的结合促进OsCBSX3在细胞核中的积累。在细胞核中，OsCBSX3与NAC转录因子SNAC3相互作用；NlSP2增强这一相互作用，并增强SNAC3介导的防御基因转录激活。SNAC3的功能丧失会削弱水稻对褐飞虱的抗性。总之，我们的结果阐明了从昆虫效应子感知到防御基因激活的完整信号通路，并强调OsCBSX3–SNAC3模块是水稻免疫的关键调控因子，为植物-昆虫相互作用研究及潜在靶标提供了见解</w:t>
      </w:r>
    </w:p>
    <w:p>
      <w:pPr>
        <w:spacing w:before="0" w:after="200" w:lineRule="auto" w:line="276"/>
      </w:pPr>
      <w:r>
        <w:rPr>
          <w:b/>
        </w:rPr>
        <w:t xml:space="preserve">Abstract (EN): </w:t>
      </w:r>
      <w:r>
        <w:t>The molecular dialogue between rice and the brown planthopper (BPH;</w:t>
      </w:r>
      <w:r>
        <w:t xml:space="preserve"> </w:t>
      </w:r>
      <w:r>
        <w:t>Nilaparvata lugens</w:t>
      </w:r>
      <w:r>
        <w:t xml:space="preserve"> </w:t>
      </w:r>
      <w:r>
        <w:t>) is mediated by insect salivary effectors, yet the molecular mechanisms underlying plant perception and immune activation remain largely unclear. Here, we characterized the BPH salivary protein NlSP2, which is secreted into rice tissues during feeding. Silencing of</w:t>
      </w:r>
      <w:r>
        <w:t xml:space="preserve"> </w:t>
      </w:r>
      <w:r>
        <w:t>NlSP2</w:t>
      </w:r>
      <w:r>
        <w:t xml:space="preserve"> </w:t>
      </w:r>
      <w:r>
        <w:t>in BPH impairs salivary sheath formation, feeding ability, and survival, whereas its ectopic expression in rice enhances resistance to BPH via MAPK activation, H</w:t>
      </w:r>
      <w:r>
        <w:rPr>
          <w:vertAlign w:val="subscript"/>
        </w:rPr>
        <w:t>2</w:t>
      </w:r>
      <w:r>
        <w:t>O</w:t>
      </w:r>
      <w:r>
        <w:rPr>
          <w:vertAlign w:val="subscript"/>
        </w:rPr>
        <w:t>2</w:t>
      </w:r>
      <w:r>
        <w:t>accumulation, and induction of defense-related genes. We identify the rice cystathionine β-synthase domain–containing protein OsCBSX3 as a direct intracellular target of NlSP2. Genetic analyses establish OsCBSX3 as a positive regulator of BPH resistance and an essential component of NlSP2-triggered immunity. NlSP2 binding promotes OsCBSX3 nuclear accumulation. In the nucleus, OsCBSX3 interacts with the NAC transcription factor SNAC3; NlSP2 enhances this interaction and potentiates SNAC3-mediated transcriptional activation of defense genes. Loss of</w:t>
      </w:r>
      <w:r>
        <w:t xml:space="preserve"> </w:t>
      </w:r>
      <w:r>
        <w:t>SNAC3</w:t>
      </w:r>
      <w:r>
        <w:t xml:space="preserve"> </w:t>
      </w:r>
      <w:r>
        <w:t>compromises rice resistance to BPH. Together, our results elucidate a complete signaling pathway linking insect effector perception to defense gene activation and highlight the OsCBSX3–SNAC3 module as a key regulator of rice immunity, providing insights into plant–insect interactions and potential targets for breeding resistant crops.</w:t>
      </w:r>
    </w:p>
    <w:p>
      <w:pPr>
        <w:spacing w:before="120" w:after="120"/>
      </w:pPr>
      <w:r>
        <w:rPr>
          <w:sz w:val="18"/>
        </w:rPr>
        <w:t>——————————————————————————————————————————————————————————————————————</w:t>
      </w:r>
    </w:p>
    <w:p>
      <w:pPr>
        <w:spacing w:before="160" w:after="40" w:line="240" w:lineRule="auto"/>
      </w:pPr>
      <w:r>
        <w:rPr>
          <w:b/>
        </w:rPr>
        <w:t xml:space="preserve">[1211] </w:t>
      </w:r>
      <w:hyperlink r:id="rId2048">
        <w:r>
          <w:rPr>
            <w:color w:val="1155CC"/>
            <w:u w:val="single"/>
          </w:rPr>
          <w:t>摩擦不稳定的云母片岩中的浅层蠕滑与受限破裂</w:t>
        </w:r>
      </w:hyperlink>
    </w:p>
    <w:p>
      <w:pPr>
        <w:spacing w:before="0" w:after="80"/>
      </w:pPr>
      <w:r>
        <w:rPr>
          <w:i/>
          <w:sz w:val="20"/>
        </w:rPr>
        <w:t>EN: Shallow creep and confined ruptures in frictionally unstable mica schist</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49">
        <w:r>
          <w:rPr>
            <w:color w:val="1155CC"/>
            <w:u w:val="single"/>
          </w:rPr>
          <w:t>10.1126/sciadv.aef6076</w:t>
        </w:r>
      </w:hyperlink>
    </w:p>
    <w:p>
      <w:pPr>
        <w:spacing w:before="0" w:after="120"/>
      </w:pPr>
      <w:r>
        <w:rPr>
          <w:b/>
        </w:rPr>
        <w:t xml:space="preserve">Notes: </w:t>
      </w:r>
      <w:r>
        <w:t>abstract_source=crossref</w:t>
      </w:r>
    </w:p>
    <w:p>
      <w:pPr>
        <w:spacing w:before="0" w:after="80" w:lineRule="auto" w:line="276"/>
      </w:pPr>
      <w:r>
        <w:rPr>
          <w:b/>
        </w:rPr>
        <w:t xml:space="preserve">摘要（ZH）: </w:t>
      </w:r>
      <w:r>
        <w:t>由于围岩的热液蚀变，各种地质环境中的地壳断层往往富含层状硅酸盐矿物。这些蚀变岩石在中地壳条件下的摩擦行为仍知之甚少。在本研究中，我们展示了在地壳热液条件下，云母片岩断层泥可以表现出混合行为，促进浅部无震蠕滑和受限的地震破裂。我们对来自土耳其东安纳托利亚断层的天然样品进行了三轴变形实验，并利用岩石摩擦物理模型和真实的热结构，模拟了Pütürge段在地震周期中的动力学过程。云母片岩在300°C至400°C之间表现出潜在的不稳定弱化，促进深度受限的地震。云母片岩的摩擦性质与2020年矩震级（Mw）6.8的Elazığ地震以及2023年Mw 7.8 Kahramanmaraş事件的北向破裂终止相吻合，说明了热结构和岩性结构如何影响破裂方式和分段。</w:t>
      </w:r>
    </w:p>
    <w:p>
      <w:pPr>
        <w:spacing w:before="0" w:after="200" w:lineRule="auto" w:line="276"/>
      </w:pPr>
      <w:r>
        <w:rPr>
          <w:b/>
        </w:rPr>
        <w:t xml:space="preserve">Abstract (EN): </w:t>
      </w:r>
      <w:r>
        <w:t>Crustal faults across geological settings are often enriched in phyllosilicates because of the hydrothermal alteration of wall rocks. The frictional behavior of these altered rocks at mid-crustal conditions remains poorly understood. Here, we show that mica-schist gouge under crustal hydrothermal conditions can host mixed behavior promoting shallow aseismic creep and confined seismic ruptures. We conduct triaxial deformation experiments on natural samples from the East Anatolian Fault, Turkey, and simulate the resulting dynamics on the Pütürge segment during seismic cycles using a physical model of rock friction and a realistic thermal structure. Mica schist exhibits potentially unstable weakening between 300° and 400°C, promoting depth-confined earthquakes. The frictional properties of mica schist are compatible with the 2020 moment magnitude (</w:t>
      </w:r>
      <w:r>
        <w:t xml:space="preserve"> </w:t>
      </w:r>
      <w:r>
        <w:t>M</w:t>
      </w:r>
      <w:r>
        <w:t xml:space="preserve"> </w:t>
      </w:r>
      <w:r>
        <w:t>w</w:t>
      </w:r>
      <w:r>
        <w:t xml:space="preserve"> </w:t>
      </w:r>
      <w:r>
        <w:t>) 6.8 Elazığ earthquake and the northern rupture arrest of the 2023</w:t>
      </w:r>
      <w:r>
        <w:t xml:space="preserve"> </w:t>
      </w:r>
      <w:r>
        <w:t>M</w:t>
      </w:r>
      <w:r>
        <w:t xml:space="preserve"> </w:t>
      </w:r>
      <w:r>
        <w:t>w</w:t>
      </w:r>
      <w:r>
        <w:t xml:space="preserve"> </w:t>
      </w:r>
      <w:r>
        <w:t>7.8 Kahramanmaraş event, illustrating how the thermal and lithological structure affects rupture style and segmentation.</w:t>
      </w:r>
    </w:p>
    <w:p>
      <w:pPr>
        <w:spacing w:before="120" w:after="120"/>
      </w:pPr>
      <w:r>
        <w:rPr>
          <w:sz w:val="18"/>
        </w:rPr>
        <w:t>——————————————————————————————————————————————————————————————————————</w:t>
      </w:r>
    </w:p>
    <w:p>
      <w:pPr>
        <w:spacing w:before="160" w:after="40" w:line="240" w:lineRule="auto"/>
      </w:pPr>
      <w:r>
        <w:rPr>
          <w:b/>
        </w:rPr>
        <w:t xml:space="preserve">[1212] </w:t>
      </w:r>
      <w:hyperlink r:id="rId2050">
        <w:r>
          <w:rPr>
            <w:color w:val="1155CC"/>
            <w:u w:val="single"/>
          </w:rPr>
          <w:t>从考古与古文书学基因组推断绵羊痘病毒三千五百年的演化</w:t>
        </w:r>
      </w:hyperlink>
    </w:p>
    <w:p>
      <w:pPr>
        <w:spacing w:before="0" w:after="80"/>
      </w:pPr>
      <w:r>
        <w:rPr>
          <w:i/>
          <w:sz w:val="20"/>
        </w:rPr>
        <w:t>EN: Three thousand five hundred years of sheeppox virus evolution inferred from archaeological and codicological genomes</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51">
        <w:r>
          <w:rPr>
            <w:color w:val="1155CC"/>
            <w:u w:val="single"/>
          </w:rPr>
          <w:t>10.1126/sciadv.aeh3571</w:t>
        </w:r>
      </w:hyperlink>
    </w:p>
    <w:p>
      <w:pPr>
        <w:spacing w:before="0" w:after="120"/>
      </w:pPr>
      <w:r>
        <w:rPr>
          <w:b/>
        </w:rPr>
        <w:t xml:space="preserve">Notes: </w:t>
      </w:r>
      <w:r>
        <w:t>abstract_source=crossref</w:t>
      </w:r>
    </w:p>
    <w:p>
      <w:pPr>
        <w:spacing w:before="0" w:after="80" w:lineRule="auto" w:line="276"/>
      </w:pPr>
      <w:r>
        <w:rPr>
          <w:b/>
        </w:rPr>
        <w:t xml:space="preserve">摘要（ZH）: </w:t>
      </w:r>
      <w:r>
        <w:t>羊痘病毒（SPPV）是一种重要的家畜病原体，通过降低产量和导致易感绵羊死亡而造成经济损失，关于类羊痘疾病的文字记载可追溯至古代。我们报告了21个新的古代SPPV基因组，时间跨度从欧亚草原青铜时代（约公元前1700年）到西欧近代早期，其中包括从羊皮纸中获得的多个基因组。我们估计主要羊痘病毒属谱系在约11500年至3700年前分化，与已知的绵羊迁徙和生物文化发展相吻合。我们的数据集支持SPPV在导致山羊痘病毒和结节性皮肤病病毒的谱系中最先分化，并且已知的SPPV和山羊痘病毒内的基因失活事件出现在我们最古老的SPPV基因组中。这些发现揭示了欧亚社会的粮食安全3700多年来一直受到羊痘的威胁，并为SPPV的基因组演化和潜在的宿主适应性提供了见解。</w:t>
      </w:r>
    </w:p>
    <w:p>
      <w:pPr>
        <w:spacing w:before="0" w:after="200" w:lineRule="auto" w:line="276"/>
      </w:pPr>
      <w:r>
        <w:rPr>
          <w:b/>
        </w:rPr>
        <w:t xml:space="preserve">Abstract (EN): </w:t>
      </w:r>
      <w:r>
        <w:t>Sheeppox virus (SPPV) is a major livestock pathogen causing economic hardship through reduced production and death of vulnerable sheep, with written descriptions of sheeppox-like disease recorded since antiquity. We report 21 novel ancient SPPV genomes spanning the Eurasian steppe Bronze Age (∼1700 BCE) to the Early Modern period in Western Europe, including multiple genomes obtained from medieval parchment. We estimate that major capripoxvirus lineages diverged ∼11,500 to 3700 years ago, overlapping known translocations and bio-cultural developments in sheep. Our dataset supports SPPV diverging first within the lineage leading to goatpox virus and lumpy skin disease virus, and that known gene inactivation events within SPPV and goatpox virus occur in our earliest SPPV genomes. These findings reveal that the food security of Eurasian communities has been threatened by sheeppox for more than 3700 years and provide insights into the genomic evolution and potential host adaptation of SPPV.</w:t>
      </w:r>
    </w:p>
    <w:p>
      <w:pPr>
        <w:spacing w:before="120" w:after="120"/>
      </w:pPr>
      <w:r>
        <w:rPr>
          <w:sz w:val="18"/>
        </w:rPr>
        <w:t>——————————————————————————————————————————————————————————————————————</w:t>
      </w:r>
    </w:p>
    <w:p>
      <w:pPr>
        <w:spacing w:before="160" w:after="40" w:line="240" w:lineRule="auto"/>
      </w:pPr>
      <w:r>
        <w:rPr>
          <w:b/>
        </w:rPr>
        <w:t xml:space="preserve">[1213] </w:t>
      </w:r>
      <w:hyperlink r:id="rId2052">
        <w:r>
          <w:rPr>
            <w:color w:val="1155CC"/>
            <w:u w:val="single"/>
          </w:rPr>
          <w:t>肌动蛋白-肌球蛋白皮层控制骨骼肌中t-小管的重塑</w:t>
        </w:r>
      </w:hyperlink>
    </w:p>
    <w:p>
      <w:pPr>
        <w:spacing w:before="0" w:after="80"/>
      </w:pPr>
      <w:r>
        <w:rPr>
          <w:i/>
          <w:sz w:val="20"/>
        </w:rPr>
        <w:t>EN: The actomyosin cortex controls t-tubule remodeling in skeletal muscle</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53">
        <w:r>
          <w:rPr>
            <w:color w:val="1155CC"/>
            <w:u w:val="single"/>
          </w:rPr>
          <w:t>10.1126/sciadv.aeb3209</w:t>
        </w:r>
      </w:hyperlink>
    </w:p>
    <w:p>
      <w:pPr>
        <w:spacing w:before="0" w:after="120"/>
      </w:pPr>
      <w:r>
        <w:rPr>
          <w:b/>
        </w:rPr>
        <w:t xml:space="preserve">Notes: </w:t>
      </w:r>
      <w:r>
        <w:t>abstract_source=crossref</w:t>
      </w:r>
    </w:p>
    <w:p>
      <w:pPr>
        <w:spacing w:before="0" w:after="80" w:lineRule="auto" w:line="276"/>
      </w:pPr>
      <w:r>
        <w:rPr>
          <w:b/>
        </w:rPr>
        <w:t xml:space="preserve">摘要（ZH）: </w:t>
      </w:r>
      <w:r>
        <w:t>称为t-小管的质膜内陷网络在肌肉收缩过程中对控制三联体处内质网的钙释放起着至关重要的作用。尽管t-小管对肌肉生理的重要性已经确立，且在肌肉疾病中发现了其异常，但介导t-小管生长的机制仍不清楚。我们表明，质膜下由含Arpc5的Arp2/3复合体调控的肌动蛋白-肌球蛋白皮层，在t-小管生长过程中充当膜可用性的守门者。Arpc5被破坏后形成扩大的t-小管，损害了质膜去极化与钙释放之间的同步。在小鼠骨骼肌中敲除Arpc5会导致运动和姿势受损。此外，我们发现人类三联体病患者和Arpc5敲除小鼠积累了扩大的t-小管。我们提出，依赖于皮层的膜可用性影响肌肉功能，为肌肉疾病提供了一种潜在的病理生理机制。</w:t>
      </w:r>
    </w:p>
    <w:p>
      <w:pPr>
        <w:spacing w:before="0" w:after="200" w:lineRule="auto" w:line="276"/>
      </w:pPr>
      <w:r>
        <w:rPr>
          <w:b/>
        </w:rPr>
        <w:t xml:space="preserve">Abstract (EN): </w:t>
      </w:r>
      <w:r>
        <w:t>A network of plasma membrane invaginations called t-tubules plays an essential role in controlling calcium release from the endoplasmic reticulum at the triads during muscle contraction. Although the importance of t-tubules for muscle physiology is well established, and abnormalities are found in muscle disorders, the mechanisms that mediate t-tubule growth are unknown. We show that the actomyosin cortex beneath the plasma membrane, regulated by Arp2/3 complexes containing Arpc5, acts as a gatekeeper for the membrane availability during t-tubule growth. Enlarged t-tubules are formed upon disruption of Arpc5, impairing the synchronization between plasma membrane depolarization and calcium release. Knockout of Arpc5 in mouse skeletal muscle results in impaired locomotion and posture. Furthermore, we show that human triadopathy patients and Arpc5 knockout mice accumulate enlarged t-tubules. We propose that cortex-dependent membrane availability affects muscle function, offering a potential pathophysiological mechanism for muscle disorders.</w:t>
      </w:r>
    </w:p>
    <w:p>
      <w:pPr>
        <w:spacing w:before="120" w:after="120"/>
      </w:pPr>
      <w:r>
        <w:rPr>
          <w:sz w:val="18"/>
        </w:rPr>
        <w:t>——————————————————————————————————————————————————————————————————————</w:t>
      </w:r>
    </w:p>
    <w:p>
      <w:pPr>
        <w:spacing w:before="160" w:after="40" w:line="240" w:lineRule="auto"/>
      </w:pPr>
      <w:r>
        <w:rPr>
          <w:b/>
        </w:rPr>
        <w:t xml:space="preserve">[1214] </w:t>
      </w:r>
      <w:hyperlink r:id="rId2054">
        <w:r>
          <w:rPr>
            <w:color w:val="1155CC"/>
            <w:u w:val="single"/>
          </w:rPr>
          <w:t>序贯清除中性粒细胞胞外陷阱用于脓毒症的精准治疗</w:t>
        </w:r>
      </w:hyperlink>
    </w:p>
    <w:p>
      <w:pPr>
        <w:spacing w:before="0" w:after="80"/>
      </w:pPr>
      <w:r>
        <w:rPr>
          <w:i/>
          <w:sz w:val="20"/>
        </w:rPr>
        <w:t>EN: Sequential clearance of neutrophil extracellular traps for precision therapy of sepsis</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55">
        <w:r>
          <w:rPr>
            <w:color w:val="1155CC"/>
            <w:u w:val="single"/>
          </w:rPr>
          <w:t>10.1126/sciadv.aef3930</w:t>
        </w:r>
      </w:hyperlink>
    </w:p>
    <w:p>
      <w:pPr>
        <w:spacing w:before="0" w:after="120"/>
      </w:pPr>
      <w:r>
        <w:rPr>
          <w:b/>
        </w:rPr>
        <w:t xml:space="preserve">Notes: </w:t>
      </w:r>
      <w:r>
        <w:t>abstract_source=crossref</w:t>
      </w:r>
    </w:p>
    <w:p>
      <w:pPr>
        <w:spacing w:before="0" w:after="80" w:lineRule="auto" w:line="276"/>
      </w:pPr>
      <w:r>
        <w:rPr>
          <w:b/>
        </w:rPr>
        <w:t xml:space="preserve">摘要（ZH）: </w:t>
      </w:r>
      <w:r>
        <w:t>脓毒症是一种由宿主对感染的反应失调驱动的危及生命的综合征，中性粒细胞胞外诱捕网（NETs）的失控形成会严重加剧病情，NETs会放大炎症、促进微血栓形成并诱发多器官功能障碍。然而，目前的治疗方法在有效靶向和调节NETs方面仍然不足，在管理脓毒症进展方面留下了显著的临床空白。在此，我们提出一种“序贯清除NETs”策略，通过同时抑制NETs的过度产生并促进其靶向捕获和降解，精确缓解NETs相关病理。我们设计了一种具有内在抗氧化活性的多功能金属有机框架（MOF818），用捕获NETs的聚（酰胺胺）树枝状大分子进行功能化修饰，并负载降解NETs的酶——微球菌核酸酶（MNase）。该集成平台可高效清除过量活性氧（ROS）以抑制NETosis，同时通过静电相互作用捕获现有NETs并酶切其DNA支架，从而破坏自我维持的炎症级联反应。体外实验中，这种联合治疗显著减少了NET介导的炎症反应；在脓毒症小鼠模型中的治疗显著缓解了全身细胞因子风暴，减轻了器官损伤，并提高了脓毒症小鼠的存活率。重要的是，这种治疗效果在离体人体标本中得到证实，纳米复合材料在标本中显著抑制了NETosis并减少了炎</w:t>
      </w:r>
    </w:p>
    <w:p>
      <w:pPr>
        <w:spacing w:before="0" w:after="200" w:lineRule="auto" w:line="276"/>
      </w:pPr>
      <w:r>
        <w:rPr>
          <w:b/>
        </w:rPr>
        <w:t xml:space="preserve">Abstract (EN): </w:t>
      </w:r>
      <w:r>
        <w:t>Sepsis, a life-threatening syndrome driven by dysregulated host response to infection, is critically exacerbated by the uncontrolled formation of neutrophil extracellular traps (NETs), which amplify inflammation, promote microthrombosis, and precipitate multiple organ dysfunction. However, current therapeutic approaches remain inadequate in effectively targeting and modulating NETs, leaving a significant clinical gap in managing sepsis progression. Herein, we propose a “sequential NETs-clearance” strategy to precisely mitigate NET-associated pathologies by simultaneously inhibiting NET overproduction and facilitating their targeted capture and degradation. We engineered a multifunctional metal-organic framework (MOF818) with intrinsic antioxidant activity, functionalized with a NETs-capturing poly(amidoamine) dendrimer and loaded with a NETs-degrading enzyme, micrococcal nuclease (MNase). This integrated platform efficiently scavenges excessive reactive oxygen species (ROS) to inhibit NETosis, while simultaneously capturing existing NETs via electrostatic interactions and enzymatically cleaving their DNA scaffold, thereby disrupting the self-sustaining inflammatory cascade. In vitro, this combinatorial treatment markedly reduced NET-mediated inflammatory responses, while treatment in murine models of sepsis significantly mitigated systemic cytokine storms, alleviated organ damage, and improved survival in septic mice. Importantly, this therapeutic efficacy was corroborated in ex vivo human specimens, where the nanocomposite significantly suppressed NETosis and reduced inflammatory cytokines in neutrophils and plasma derived from sepsis patients. This work establishes a versatile nanotherapeutic paradigm for multi-target modulation of NETs and oxidative stress, offering a promising translational avenue for the precise treatment of sepsis.</w:t>
      </w:r>
    </w:p>
    <w:p>
      <w:pPr>
        <w:spacing w:before="120" w:after="120"/>
      </w:pPr>
      <w:r>
        <w:rPr>
          <w:sz w:val="18"/>
        </w:rPr>
        <w:t>——————————————————————————————————————————————————————————————————————</w:t>
      </w:r>
    </w:p>
    <w:p>
      <w:pPr>
        <w:spacing w:before="160" w:after="40" w:line="240" w:lineRule="auto"/>
      </w:pPr>
      <w:r>
        <w:rPr>
          <w:b/>
        </w:rPr>
        <w:t xml:space="preserve">[1215] </w:t>
      </w:r>
      <w:hyperlink r:id="rId2056">
        <w:r>
          <w:rPr>
            <w:color w:val="1155CC"/>
            <w:u w:val="single"/>
          </w:rPr>
          <w:t>自由落体量子相位的观测及其与等效原理的一致性</w:t>
        </w:r>
      </w:hyperlink>
    </w:p>
    <w:p>
      <w:pPr>
        <w:spacing w:before="0" w:after="80"/>
      </w:pPr>
      <w:r>
        <w:rPr>
          <w:i/>
          <w:sz w:val="20"/>
        </w:rPr>
        <w:t>EN: Observation of the quantum phase of free fall and the consistency with the equivalence principle</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57">
        <w:r>
          <w:rPr>
            <w:color w:val="1155CC"/>
            <w:u w:val="single"/>
          </w:rPr>
          <w:t>10.1126/sciadv.aec8045</w:t>
        </w:r>
      </w:hyperlink>
    </w:p>
    <w:p>
      <w:pPr>
        <w:spacing w:before="0" w:after="120"/>
      </w:pPr>
      <w:r>
        <w:rPr>
          <w:b/>
        </w:rPr>
        <w:t xml:space="preserve">Notes: </w:t>
      </w:r>
      <w:r>
        <w:t>abstract_source=crossref</w:t>
      </w:r>
    </w:p>
    <w:p>
      <w:pPr>
        <w:spacing w:before="0" w:after="80" w:lineRule="auto" w:line="276"/>
      </w:pPr>
      <w:r>
        <w:rPr>
          <w:b/>
        </w:rPr>
        <w:t xml:space="preserve">摘要（ZH）: </w:t>
      </w:r>
      <w:r>
        <w:t>量子理论与描述引力的广义相对论的统一，是科学界最重要的挑战之一。爱因斯坦的广义相对论建立在等效原理的基础上，并已在大质量物体上得到高精度的证实。然而，在量子领域，等效原理被预言采取一种涉及规范相位的独特形式，在地球上的测量语境下，该规范相等于自由下落波包相对于静止于地球参考系的对应波包的量子相位。为了测量这一相位，我们实现了一种新颖的冷原子干涉仪，其中一个波包在实验室参考系中保持静止，而另一个处于自由落体状态。观测到的波包相对相位证实了预言的相位，并表明在我们的低能区间内，等效原理可应用于量子领域。我们的观测构成了对量子理论与引力之间界面的基础性检验。这种新干涉仪也为进一步探究该界面以及寻找新物理学打开了大门。</w:t>
      </w:r>
    </w:p>
    <w:p>
      <w:pPr>
        <w:spacing w:before="0" w:after="200" w:lineRule="auto" w:line="276"/>
      </w:pPr>
      <w:r>
        <w:rPr>
          <w:b/>
        </w:rPr>
        <w:t xml:space="preserve">Abstract (EN): </w:t>
      </w:r>
      <w:r>
        <w:t>The unification of quantum theory and the general theory of relativity, describing gravity, is one of the most important challenges in science. Einstein’s general theory of relativity is based on the principle of equivalence and has been confirmed to great accuracy for large bodies. However, in the quantum domain, the equivalence principle has been predicted to take a unique form involving a gauge phase, which is equal, in the context of a measurement on Earth, to the quantum phase of a free-falling wave packet relative to its counterpart wave packet which is static in Earth’s frame. To measure this phase, we realize a novel cold-atom interferometer in which one wave packet stays static in the laboratory frame while the other is in free fall. The observed relative phase of the wave packets confirms the predicted phase and shows that, in our low energy regime, the equivalence principle may be applied to the quantum domain. Our observation constitutes a fundamental test of the interface between quantum theory and gravity. The new interferometer also opens the door for further probing of the latter interface, as well as to searches for new physics.</w:t>
      </w:r>
    </w:p>
    <w:p>
      <w:pPr>
        <w:spacing w:before="120" w:after="120"/>
      </w:pPr>
      <w:r>
        <w:rPr>
          <w:sz w:val="18"/>
        </w:rPr>
        <w:t>——————————————————————————————————————————————————————————————————————</w:t>
      </w:r>
    </w:p>
    <w:p>
      <w:pPr>
        <w:spacing w:before="160" w:after="40" w:line="240" w:lineRule="auto"/>
      </w:pPr>
      <w:r>
        <w:rPr>
          <w:b/>
        </w:rPr>
        <w:t xml:space="preserve">[1216] </w:t>
      </w:r>
      <w:hyperlink r:id="rId2058">
        <w:r>
          <w:rPr>
            <w:color w:val="1155CC"/>
            <w:u w:val="single"/>
          </w:rPr>
          <w:t>利用无细胞系统解锁Sec易位子的功能图谱与工程化改造</w:t>
        </w:r>
      </w:hyperlink>
    </w:p>
    <w:p>
      <w:pPr>
        <w:spacing w:before="0" w:after="80"/>
      </w:pPr>
      <w:r>
        <w:rPr>
          <w:i/>
          <w:sz w:val="20"/>
        </w:rPr>
        <w:t>EN: Functional mapping and engineering of the Sec translocon unlocked by a cell-free system</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59">
        <w:r>
          <w:rPr>
            <w:color w:val="1155CC"/>
            <w:u w:val="single"/>
          </w:rPr>
          <w:t>10.1126/sciadv.aej0987</w:t>
        </w:r>
      </w:hyperlink>
    </w:p>
    <w:p>
      <w:pPr>
        <w:spacing w:before="0" w:after="120"/>
      </w:pPr>
      <w:r>
        <w:rPr>
          <w:b/>
        </w:rPr>
        <w:t xml:space="preserve">Notes: </w:t>
      </w:r>
      <w:r>
        <w:t>abstract_source=crossref</w:t>
      </w:r>
    </w:p>
    <w:p>
      <w:pPr>
        <w:spacing w:before="0" w:after="80" w:lineRule="auto" w:line="276"/>
      </w:pPr>
      <w:r>
        <w:rPr>
          <w:b/>
        </w:rPr>
        <w:t xml:space="preserve">摘要（ZH）: </w:t>
      </w:r>
      <w:r>
        <w:t>几乎所有膜蛋白都由普遍保守的Sec易位子插入或易位穿过膜。尽管Sec易位子发挥着核心作用，但对其功能的实验研究一直受限。在此，我们提出ProSecCO（通过合成操纵子进行无细胞蛋白质分泌），这是一个将SecYEG插入合成囊泡的无细胞蛋白质合成平台，可绕过长期存在的生存能力限制，实现对Sec的实时、高通量直接测试。在单次实验中对300种Sec变体进行筛选，我们整合了三十年的Sec研究成果，同时大幅扩展了变体多样性以获得结构-功能层面的认识。我们绘制了30多个在三个数量级上调节Sec活性的功能关键区域，发现了数十种超活性易位变体以及一种插入活性改善的变体。我们进一步利用ProSecCO提高膜蛋白质量和纳米抗体输出，凸显了该系统在推进合成生物学与生物技术应用方面的潜力。</w:t>
      </w:r>
    </w:p>
    <w:p>
      <w:pPr>
        <w:spacing w:before="0" w:after="200" w:lineRule="auto" w:line="276"/>
      </w:pPr>
      <w:r>
        <w:rPr>
          <w:b/>
        </w:rPr>
        <w:t xml:space="preserve">Abstract (EN): </w:t>
      </w:r>
      <w:r>
        <w:t>Almost all membrane proteins are inserted or translocated across membranes by the universally conserved Sec translocon. Despite its central role, experimental access to Sec function has remained limited. Here, we present ProSecCO (Protein Secretion in Cell-free via synthetic Operons), which is a cell-free protein synthesis platform that inserts SecYEG into synthetic vesicles, enabling direct testing of Sec in real-time and high-throughput, circumventing longstanding viability constraints. Screening 300 Sec variants in a single experiment, we consolidate three decades of Sec research, while vastly expanding mutant diversity for structure-function insights. Mapping over 30 functionally critical regions that modulate Sec activity across three orders of magnitude, we uncover dozens of super-active translocation variants and one variant of improved insertion activity. We further leverage ProSecCO to increase membrane protein quality and nanobody export, highlighting the potential of our system for advancing applications in synthetic biology and biotechnology.</w:t>
      </w:r>
    </w:p>
    <w:p>
      <w:pPr>
        <w:spacing w:before="120" w:after="120"/>
      </w:pPr>
      <w:r>
        <w:rPr>
          <w:sz w:val="18"/>
        </w:rPr>
        <w:t>——————————————————————————————————————————————————————————————————————</w:t>
      </w:r>
    </w:p>
    <w:p>
      <w:pPr>
        <w:spacing w:before="160" w:after="40" w:line="240" w:lineRule="auto"/>
      </w:pPr>
      <w:r>
        <w:rPr>
          <w:b/>
        </w:rPr>
        <w:t xml:space="preserve">[1217] </w:t>
      </w:r>
      <w:hyperlink r:id="rId2060">
        <w:r>
          <w:rPr>
            <w:color w:val="1155CC"/>
            <w:u w:val="single"/>
          </w:rPr>
          <w:t>数字孪生是哈哈镜：五种系统性失真</w:t>
        </w:r>
      </w:hyperlink>
    </w:p>
    <w:p>
      <w:pPr>
        <w:spacing w:before="0" w:after="80"/>
      </w:pPr>
      <w:r>
        <w:rPr>
          <w:i/>
          <w:sz w:val="20"/>
        </w:rPr>
        <w:t>EN: Digital twins are funhouse mirrors: Five systematic distortions</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61">
        <w:r>
          <w:rPr>
            <w:color w:val="1155CC"/>
            <w:u w:val="single"/>
          </w:rPr>
          <w:t>10.1126/sciadv.aeh8260</w:t>
        </w:r>
      </w:hyperlink>
    </w:p>
    <w:p>
      <w:pPr>
        <w:spacing w:before="0" w:after="120"/>
      </w:pPr>
      <w:r>
        <w:rPr>
          <w:b/>
        </w:rPr>
        <w:t xml:space="preserve">Notes: </w:t>
      </w:r>
      <w:r>
        <w:t>abstract_source=crossref</w:t>
      </w:r>
    </w:p>
    <w:p>
      <w:pPr>
        <w:spacing w:before="0" w:after="80" w:lineRule="auto" w:line="276"/>
      </w:pPr>
      <w:r>
        <w:rPr>
          <w:b/>
        </w:rPr>
        <w:t xml:space="preserve">摘要（ZH）: </w:t>
      </w:r>
      <w:r>
        <w:t>科学家和从业者正积极推动在社会科学和政策研究领域部署数字孪生——基于大语言模型（LLM）的个体模型。我们开展了19项预注册研究，涵盖164种多样化结果（例如对招聘算法的态度和分享错误信息的意图），并将人类回答与其数字孪生（基于每个人此前对500多个问题的回答训练而成）的回答进行比较。我们建立了数字孪生性能的实证基准：数字孪生的答案仅比（同质的）基础LLM略为准确，且与人类回答的相关性较弱（平均相关系数为0.20）。为指导未来开发，我们记录了数字孪生扭曲人类行为的五种方式：(i)个体化不足，(ii)刻板印象，(iii)代表性偏差，(iv)意识形态偏差，以及(v)过度理性。我们将完整数据集和代码公开作为标准化测试平台。我们的结果警示应避免过早部署，同时为负责任地部署数字孪生所需的透明、可重复和迭代科学奠定了基础。</w:t>
      </w:r>
    </w:p>
    <w:p>
      <w:pPr>
        <w:spacing w:before="0" w:after="200" w:lineRule="auto" w:line="276"/>
      </w:pPr>
      <w:r>
        <w:rPr>
          <w:b/>
        </w:rPr>
        <w:t xml:space="preserve">Abstract (EN): </w:t>
      </w:r>
      <w:r>
        <w:t>Scientists and practitioners are aggressively moving to deploy digital twins—large language model (LLM)-based models of individuals—across social science and policy research. We conducted 19 preregistered studies with 164 diverse outcomes (e.g., attitudes toward hiring algorithms and intention to share misinformation) and compared human responses with those of their digital twins (trained on each person’s previous answers to more than 500 questions). We establish an empirical benchmark for digital twin performance: Digital twins’ answers are only modestly more accurate than those from the (homogeneous) base LLM and correlate weakly with human responses (average correlation coefficient of 0.20). To guide future development, we document five ways in which digital twins distort human behavior: (i) insufficient individuation, (ii) stereotyping, (iii) representation bias, (iv) ideological biases, and (v) hyper-rationality. We make our full dataset and code public as a standardized testbed. Our results caution against premature deployment while laying the groundwork for the transparent, replicable, and iterative science necessary for responsible deployment of digital twins.</w:t>
      </w:r>
    </w:p>
    <w:p>
      <w:pPr>
        <w:spacing w:before="120" w:after="120"/>
      </w:pPr>
      <w:r>
        <w:rPr>
          <w:sz w:val="18"/>
        </w:rPr>
        <w:t>——————————————————————————————————————————————————————————————————————</w:t>
      </w:r>
    </w:p>
    <w:p>
      <w:pPr>
        <w:spacing w:before="160" w:after="40" w:line="240" w:lineRule="auto"/>
      </w:pPr>
      <w:r>
        <w:rPr>
          <w:b/>
        </w:rPr>
        <w:t xml:space="preserve">[1218] </w:t>
      </w:r>
      <w:hyperlink r:id="rId2062">
        <w:r>
          <w:rPr>
            <w:color w:val="1155CC"/>
            <w:u w:val="single"/>
          </w:rPr>
          <w:t>AKT5是一个真正的钾通道并调控拟南芥叶柄生长</w:t>
        </w:r>
      </w:hyperlink>
    </w:p>
    <w:p>
      <w:pPr>
        <w:spacing w:before="0" w:after="80"/>
      </w:pPr>
      <w:r>
        <w:rPr>
          <w:i/>
          <w:sz w:val="20"/>
        </w:rPr>
        <w:t>EN: AKT5 is a bona fide potassium channel and controls petiole growth in Arabidopsis</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63">
        <w:r>
          <w:rPr>
            <w:color w:val="1155CC"/>
            <w:u w:val="single"/>
          </w:rPr>
          <w:t>10.1126/sciadv.aeh7630</w:t>
        </w:r>
      </w:hyperlink>
    </w:p>
    <w:p>
      <w:pPr>
        <w:spacing w:before="0" w:after="120"/>
      </w:pPr>
      <w:r>
        <w:rPr>
          <w:b/>
        </w:rPr>
        <w:t xml:space="preserve">Notes: </w:t>
      </w:r>
      <w:r>
        <w:t>abstract_source=crossref</w:t>
      </w:r>
    </w:p>
    <w:p>
      <w:pPr>
        <w:spacing w:before="0" w:after="80" w:lineRule="auto" w:line="276"/>
      </w:pPr>
      <w:r>
        <w:rPr>
          <w:b/>
        </w:rPr>
        <w:t xml:space="preserve">摘要（ZH）: </w:t>
      </w:r>
      <w:r>
        <w:t>钾离子（K+）对植物的生长发育至关重要。尽管经过数十年的研究，Shaker型K+通道AKT5的功能一直未被确定。在此，我们报道AKT5作为一种真正的电压依赖性K+通道发挥作用，并是叶柄伸长的重要调控因子。对处于关闭状态的AKT5及处于预开放状态的AKT5-D403变体的结构分析为K+通道的功能活性提供了直接的结构证据。AKT5组装成具有二次对称性的典型四聚体，并在磷酸化后作为在强烈超极化膜电位下激活的内向整流K+通道运行。AKT5主要在幼嫩叶柄中表达，AKT5功能的丧失在整个昼夜周期中显著抑制叶柄伸长，导致莲座叶丛紧凑并在拥挤生长条件下生物量降低。这些发现表明，AKT5参与调控植物的竞争性生长和高密度条件下的表现。</w:t>
      </w:r>
    </w:p>
    <w:p>
      <w:pPr>
        <w:spacing w:before="0" w:after="200" w:lineRule="auto" w:line="276"/>
      </w:pPr>
      <w:r>
        <w:rPr>
          <w:b/>
        </w:rPr>
        <w:t xml:space="preserve">Abstract (EN): </w:t>
      </w:r>
      <w:r>
        <w:t>Potassium ion (K</w:t>
      </w:r>
      <w:r>
        <w:t xml:space="preserve"> </w:t>
      </w:r>
      <w:r>
        <w:t>+</w:t>
      </w:r>
      <w:r>
        <w:t xml:space="preserve"> </w:t>
      </w:r>
      <w:r>
        <w:t>) is essential for plant growth and development. Despite decades of study, the</w:t>
      </w:r>
      <w:r>
        <w:t xml:space="preserve"> </w:t>
      </w:r>
      <w:r>
        <w:t>Shaker</w:t>
      </w:r>
      <w:r>
        <w:t xml:space="preserve"> </w:t>
      </w:r>
      <w:r>
        <w:t>-type K</w:t>
      </w:r>
      <w:r>
        <w:t xml:space="preserve"> </w:t>
      </w:r>
      <w:r>
        <w:t>+</w:t>
      </w:r>
      <w:r>
        <w:t xml:space="preserve"> </w:t>
      </w:r>
      <w:r>
        <w:t>channel AKT5 has remained functionally unassigned. Here, we report that AKT5 functions as a bona fide voltage-dependent K</w:t>
      </w:r>
      <w:r>
        <w:t xml:space="preserve"> </w:t>
      </w:r>
      <w:r>
        <w:t>+</w:t>
      </w:r>
      <w:r>
        <w:t xml:space="preserve"> </w:t>
      </w:r>
      <w:r>
        <w:t>channel and serves as an essential regulator of petiole elongation. Structural analyses of AKT5 in a closed state and the AKT5-D403 variant in a pre-open state provide direct structural evidence for functional K</w:t>
      </w:r>
      <w:r>
        <w:t xml:space="preserve"> </w:t>
      </w:r>
      <w:r>
        <w:t>+</w:t>
      </w:r>
      <w:r>
        <w:t xml:space="preserve"> </w:t>
      </w:r>
      <w:r>
        <w:t>channel activity. AKT5 assembled into a canonical tetramer with two-fold symmetry and, upon phosphorylation, operated as an inward-rectifying K</w:t>
      </w:r>
      <w:r>
        <w:t xml:space="preserve"> </w:t>
      </w:r>
      <w:r>
        <w:t>+</w:t>
      </w:r>
      <w:r>
        <w:t xml:space="preserve"> </w:t>
      </w:r>
      <w:r>
        <w:t>channel activated at strongly hyperpolarized membrane potentials. AKT5 was predominantly expressed in young petioles, and loss of AKT5 function largely suppressed petiole elongation throughout the diurnal cycle, resulting in compact rosettes and reduced biomass under crowded growth conditions. These findings show that AKT5 is involved in a regulator of plant competitive growth and high-density performance.</w:t>
      </w:r>
    </w:p>
    <w:p>
      <w:pPr>
        <w:spacing w:before="120" w:after="120"/>
      </w:pPr>
      <w:r>
        <w:rPr>
          <w:sz w:val="18"/>
        </w:rPr>
        <w:t>——————————————————————————————————————————————————————————————————————</w:t>
      </w:r>
    </w:p>
    <w:p>
      <w:pPr>
        <w:spacing w:before="160" w:after="40" w:line="240" w:lineRule="auto"/>
      </w:pPr>
      <w:r>
        <w:rPr>
          <w:b/>
        </w:rPr>
        <w:t xml:space="preserve">[1219] </w:t>
      </w:r>
      <w:hyperlink r:id="rId2064">
        <w:r>
          <w:rPr>
            <w:color w:val="1155CC"/>
            <w:u w:val="single"/>
          </w:rPr>
          <w:t>坡体对序列地震的记忆</w:t>
        </w:r>
      </w:hyperlink>
    </w:p>
    <w:p>
      <w:pPr>
        <w:spacing w:before="0" w:after="80"/>
      </w:pPr>
      <w:r>
        <w:rPr>
          <w:i/>
          <w:sz w:val="20"/>
        </w:rPr>
        <w:t>EN: Hillslope memory of sequential earthquakes</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65">
        <w:r>
          <w:rPr>
            <w:color w:val="1155CC"/>
            <w:u w:val="single"/>
          </w:rPr>
          <w:t>10.1126/sciadv.aeh3921</w:t>
        </w:r>
      </w:hyperlink>
    </w:p>
    <w:p>
      <w:pPr>
        <w:spacing w:before="0" w:after="120"/>
      </w:pPr>
      <w:r>
        <w:rPr>
          <w:b/>
        </w:rPr>
        <w:t xml:space="preserve">Notes: </w:t>
      </w:r>
      <w:r>
        <w:t>abstract_source=crossref</w:t>
      </w:r>
    </w:p>
    <w:p>
      <w:pPr>
        <w:spacing w:before="0" w:after="80" w:lineRule="auto" w:line="276"/>
      </w:pPr>
      <w:r>
        <w:rPr>
          <w:b/>
        </w:rPr>
        <w:t xml:space="preserve">摘要（ZH）: </w:t>
      </w:r>
      <w:r>
        <w:t>大地震可在几分钟内触发滑坡并重塑山地景观，但其地貌学遗产可在数千年间展开。一个基本问题是，一次大地震会使边坡处于对下一次地震更不稳定还是更稳定的状态。在此，我们利用中国芦山附近几乎同一地点发生的两次连续地震（2013年和2022年），量化第一次事件如何在第二次事件期间预置边坡失稳。2013年地震产生了双重效应：随着不稳定物质被移除，区域易发性下降，但局部同震损伤削弱了另一群边坡，使其随后在2022年失稳。这些相反的结果产生了三种边坡响应的损伤-恢复路径，界定了质量如何重新分布以及机械强度如何按照持续的“边坡记忆”重新组织，对山带的景观演化具有重要意义。边坡对连续地震的响应具有根本的路径依赖性，要求滑坡灾害评估明确纳入历史信息。</w:t>
      </w:r>
    </w:p>
    <w:p>
      <w:pPr>
        <w:spacing w:before="0" w:after="200" w:lineRule="auto" w:line="276"/>
      </w:pPr>
      <w:r>
        <w:rPr>
          <w:b/>
        </w:rPr>
        <w:t xml:space="preserve">Abstract (EN): </w:t>
      </w:r>
      <w:r>
        <w:t>Large earthquakes can trigger landslides that reshape mountain landscapes within minutes, yet their geomorphic legacy can unfold over millennia. A fundamental question is whether a major earthquake leaves hillslopes in a less or more stable state for the next. Here we exploit two sequential earthquakes (2013 and 2022) at close to the same location near Lushan, China, to quantify how the first event preconditions hillslope failure during the second. The 2013 earthquake produced a dual effect: Regional susceptibility declined as unstable material was removed, yet localized coseismic damage weakened a different population of hillslopes that later failed in 2022. These opposing outcomes generate three damage-recovery pathways of hillslope response that define how mass is redistributed and mechanical strength reorganizes according to a prolonged “hillslope memory” with implications for the landscape evolution of mountain belts. Hillslope response to sequential earthquakes is fundamentally path dependent, demanding landslide hazard assessments that explicitly incorporate history.</w:t>
      </w:r>
    </w:p>
    <w:p>
      <w:pPr>
        <w:spacing w:before="120" w:after="120"/>
      </w:pPr>
      <w:r>
        <w:rPr>
          <w:sz w:val="18"/>
        </w:rPr>
        <w:t>——————————————————————————————————————————————————————————————————————</w:t>
      </w:r>
    </w:p>
    <w:p>
      <w:pPr>
        <w:spacing w:before="160" w:after="40" w:line="240" w:lineRule="auto"/>
      </w:pPr>
      <w:r>
        <w:rPr>
          <w:b/>
        </w:rPr>
        <w:t xml:space="preserve">[1220] </w:t>
      </w:r>
      <w:hyperlink r:id="rId2066">
        <w:r>
          <w:rPr>
            <w:color w:val="1155CC"/>
            <w:u w:val="single"/>
          </w:rPr>
          <w:t>光可调电荷动力学实现用于智能视觉的超低功耗双向无铅钙钛矿突触</w:t>
        </w:r>
      </w:hyperlink>
    </w:p>
    <w:p>
      <w:pPr>
        <w:spacing w:before="0" w:after="80"/>
      </w:pPr>
      <w:r>
        <w:rPr>
          <w:i/>
          <w:sz w:val="20"/>
        </w:rPr>
        <w:t>EN: Light-tunable charge dynamics enable ultralow-power bidirectional lead-free perovskite synapses for intelligent vision</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67">
        <w:r>
          <w:rPr>
            <w:color w:val="1155CC"/>
            <w:u w:val="single"/>
          </w:rPr>
          <w:t>10.1126/sciadv.aeh3751</w:t>
        </w:r>
      </w:hyperlink>
    </w:p>
    <w:p>
      <w:pPr>
        <w:spacing w:before="0" w:after="120"/>
      </w:pPr>
      <w:r>
        <w:rPr>
          <w:b/>
        </w:rPr>
        <w:t xml:space="preserve">Notes: </w:t>
      </w:r>
      <w:r>
        <w:t>abstract_source=crossref</w:t>
      </w:r>
    </w:p>
    <w:p>
      <w:pPr>
        <w:spacing w:before="0" w:after="80" w:lineRule="auto" w:line="276"/>
      </w:pPr>
      <w:r>
        <w:rPr>
          <w:b/>
        </w:rPr>
        <w:t xml:space="preserve">摘要（ZH）: </w:t>
      </w:r>
      <w:r>
        <w:t>面向自主机器人的先进视觉系统需要高效率、超低功耗和实时决策能力。然而，依赖单一模式光激发的传统视觉传感器从根本上限制了其多功能性。在此，我们报道了一种基于钙钛矿PEA2SnI4/C60异质结构的全光可调光电突触器件，其独特地支持双模式双向突触行为：可见光下增强、近红外光照下抑制，这得益于亚带隙吸收与界面载流子捕获-去捕获的协同机制，实现了波长选择性控制。该异质结构器件具有持久的突触可塑性，兴奋性和抑制性保持时间分别为350 s和超过8000 s，且每次事件的能耗超低，约为1 fJ。这些卓越特性在神经形态视觉任务中实现了前所未有的性能，包括注意力增强的交通标志识别、物理储备池计算，以及使用7×7阵列器件的动态目标检测，这为下一代机器视觉建立了一个强大且节能的平台，并推动全光神经形态感知走向智能自主。</w:t>
      </w:r>
    </w:p>
    <w:p>
      <w:pPr>
        <w:spacing w:before="0" w:after="200" w:lineRule="auto" w:line="276"/>
      </w:pPr>
      <w:r>
        <w:rPr>
          <w:b/>
        </w:rPr>
        <w:t xml:space="preserve">Abstract (EN): </w:t>
      </w:r>
      <w:r>
        <w:t>Advanced vision systems for autonomous robotics require high efficiency, ultralow power consumption, and real-time decision-making. However, conventional vision sensors that rely on single-mode optical excitation fundamentally constrain their versatility. Here, we report a fully light-tunable optoelectronic synaptic device based on perovskite PEA</w:t>
      </w:r>
      <w:r>
        <w:rPr>
          <w:vertAlign w:val="subscript"/>
        </w:rPr>
        <w:t>2</w:t>
      </w:r>
      <w:r>
        <w:t>SnI</w:t>
      </w:r>
      <w:r>
        <w:rPr>
          <w:vertAlign w:val="subscript"/>
        </w:rPr>
        <w:t>4</w:t>
      </w:r>
      <w:r>
        <w:t>/C</w:t>
      </w:r>
      <w:r>
        <w:rPr>
          <w:vertAlign w:val="subscript"/>
        </w:rPr>
        <w:t>60</w:t>
      </w:r>
      <w:r>
        <w:t>heterostructures that uniquely supports dual-mode bidirectional synaptic behaviour with potentiation under visible light and depression under near-infrared illumination, enabled by a synergistic mechanism of sub-bandgap absorption and interfacial carrier trapping-detrapping for wavelength-selective control. The heterostructure device features long-lasting synaptic plasticity, with excitatory and inhibitory retention times of 350 s and over 8000 s, respectively, and an ultralow energy consumption of ∼1 fJ per event. These exceptional characteristics enable unprecedented performance in neuromorphic vision tasks, including attention-enhanced traffic sign recognition, physical reservoir computing, and dynamic target detection using a 7 × 7 array device, which establishes a powerful and energy-efficient platform for next-generation robotic eyes and advances all-optical neuromorphic perceptions toward intelligent autonomy.</w:t>
      </w:r>
    </w:p>
    <w:p>
      <w:pPr>
        <w:spacing w:before="120" w:after="120"/>
      </w:pPr>
      <w:r>
        <w:rPr>
          <w:sz w:val="18"/>
        </w:rPr>
        <w:t>——————————————————————————————————————————————————————————————————————</w:t>
      </w:r>
    </w:p>
    <w:p>
      <w:pPr>
        <w:spacing w:before="160" w:after="40" w:line="240" w:lineRule="auto"/>
      </w:pPr>
      <w:r>
        <w:rPr>
          <w:b/>
        </w:rPr>
        <w:t xml:space="preserve">[1221] </w:t>
      </w:r>
      <w:hyperlink r:id="rId2068">
        <w:r>
          <w:rPr>
            <w:color w:val="1155CC"/>
            <w:u w:val="single"/>
          </w:rPr>
          <w:t>动物双歧杆菌乳亚种V9通过微生物代谢产物克服NSCLC中CYFRA 21-1相关的免疫化疗耐药性</w:t>
        </w:r>
      </w:hyperlink>
    </w:p>
    <w:p>
      <w:pPr>
        <w:spacing w:before="0" w:after="80"/>
      </w:pPr>
      <w:r>
        <w:rPr>
          <w:i/>
          <w:sz w:val="20"/>
        </w:rPr>
        <w:t>EN: Bifidobacterium animalis subsp. lactis V9 overcomes CYFRA 21-1–linked immunochemotherapy resistance in NSCLC via microbial metabolites</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69">
        <w:r>
          <w:rPr>
            <w:color w:val="1155CC"/>
            <w:u w:val="single"/>
          </w:rPr>
          <w:t>10.1126/sciadv.aeg8202</w:t>
        </w:r>
      </w:hyperlink>
    </w:p>
    <w:p>
      <w:pPr>
        <w:spacing w:before="0" w:after="120"/>
      </w:pPr>
      <w:r>
        <w:rPr>
          <w:b/>
        </w:rPr>
        <w:t xml:space="preserve">Notes: </w:t>
      </w:r>
      <w:r>
        <w:t>abstract_source=crossref</w:t>
      </w:r>
    </w:p>
    <w:p>
      <w:pPr>
        <w:spacing w:before="0" w:after="80" w:lineRule="auto" w:line="276"/>
      </w:pPr>
      <w:r>
        <w:rPr>
          <w:b/>
        </w:rPr>
        <w:t xml:space="preserve">摘要（ZH）: </w:t>
      </w:r>
      <w:r>
        <w:t>肠道菌群失调会导致治疗耐药，然而典型肿瘤标志物、肠道菌群与治疗效果之间的关系仍不明确。本研究发现，晚期非小细胞肺癌（NSCLC）患者血清CYFRA 21-1升高与肠道菌群失调相关，包括动物双歧杆菌（Bifidobacterium animalis）减少及免疫调节代谢物降低。高CYFRA患者的粪便上清可削弱荷瘤小鼠的免疫化疗疗效，这与色氨酸和苯丙氨酸代谢紊乱有关。辅助给予B. animalis subsp. lactis V9增强了肿瘤控制和抗肿瘤免疫，同时奎啉酸和儿茶酚水平升高，这些代谢物与caspase依赖性凋亡和铁死亡相关。无细胞粪便上清可传递抗肿瘤效应，且不依赖细菌定植。在一项随机、双盲、安慰剂对照的先导性试验（n = 30）中，联合使用B. lactis V9与更高的客观缓解率（47%对33%）、疾病控制率（87%对67%）相关，并延长应答者的无进展生存期，这些应答者体内B. animalis富集且奎啉酸/儿茶酚升高（曲线下面积分别为0.73/0.82）。这些发现表明，CYFRA 21-1可能识别一种可干预的、与微生物群相关的治疗耐药状态。</w:t>
      </w:r>
    </w:p>
    <w:p>
      <w:pPr>
        <w:spacing w:before="0" w:after="200" w:lineRule="auto" w:line="276"/>
      </w:pPr>
      <w:r>
        <w:rPr>
          <w:b/>
        </w:rPr>
        <w:t xml:space="preserve">Abstract (EN): </w:t>
      </w:r>
      <w:r>
        <w:t>Gut dysbiosis drives therapeutic resistance, yet the relationships among typical tumor markers, gut microbiota, and treatment efficacy remain poorly defined. Here, elevated serum CYFRA 21-1 in advanced non–small cell lung cancer (NSCLC) correlates with gut dysbiosis, including</w:t>
      </w:r>
      <w:r>
        <w:t xml:space="preserve"> </w:t>
      </w:r>
      <w:r>
        <w:t>Bifidobacterium animalis</w:t>
      </w:r>
      <w:r>
        <w:t xml:space="preserve"> </w:t>
      </w:r>
      <w:r>
        <w:t>depletion and reduced immunomodulatory metabolites. Fecal supernatant from patients with high-CYFRA attenuated immunochemotherapy efficacy in tumor-bearing mice, linked to disrupted tryptophan and phenylalanine metabolism. Adjuvant</w:t>
      </w:r>
      <w:r>
        <w:t xml:space="preserve"> </w:t>
      </w:r>
      <w:r>
        <w:t>B. animalis</w:t>
      </w:r>
      <w:r>
        <w:t xml:space="preserve"> </w:t>
      </w:r>
      <w:r>
        <w:t>subsp.</w:t>
      </w:r>
      <w:r>
        <w:t xml:space="preserve"> </w:t>
      </w:r>
      <w:r>
        <w:t>lactis</w:t>
      </w:r>
      <w:r>
        <w:t xml:space="preserve"> </w:t>
      </w:r>
      <w:r>
        <w:t>V9 enhanced tumor control and antitumor immunity, coinciding with elevated quinaldic acid and catechol, metabolites associated with caspase-dependent apoptosis and ferroptosis. Cell-free fecal supernatant transferred antitumor effects, independent of bacterial colonization. In a randomized, double-blind, placebo-controlled pilot trial (</w:t>
      </w:r>
      <w:r>
        <w:t xml:space="preserve"> </w:t>
      </w:r>
      <w:r>
        <w:t>n</w:t>
      </w:r>
      <w:r>
        <w:t xml:space="preserve"> </w:t>
      </w:r>
      <w:r>
        <w:t>= 30), adjunctive</w:t>
      </w:r>
      <w:r>
        <w:t xml:space="preserve"> </w:t>
      </w:r>
      <w:r>
        <w:t>B. lactis</w:t>
      </w:r>
      <w:r>
        <w:t xml:space="preserve"> </w:t>
      </w:r>
      <w:r>
        <w:t>V9 associated with a higher objective response rate (47% versus 33%), disease control rate (87% versus 67%), and prolonged progression-free survival in responders, who exhibited enriched</w:t>
      </w:r>
      <w:r>
        <w:t xml:space="preserve"> </w:t>
      </w:r>
      <w:r>
        <w:t>B. animalis</w:t>
      </w:r>
      <w:r>
        <w:t xml:space="preserve"> </w:t>
      </w:r>
      <w:r>
        <w:t>and elevated quinaldic acid/catechol (area under the curve = 0.73/0.82). These findings suggest CYFRA 21-1 may identify a modifiable, microbiome-linked state of treatment resistance.</w:t>
      </w:r>
    </w:p>
    <w:p>
      <w:pPr>
        <w:spacing w:before="120" w:after="120"/>
      </w:pPr>
      <w:r>
        <w:rPr>
          <w:sz w:val="18"/>
        </w:rPr>
        <w:t>——————————————————————————————————————————————————————————————————————</w:t>
      </w:r>
    </w:p>
    <w:p>
      <w:pPr>
        <w:spacing w:before="160" w:after="40" w:line="240" w:lineRule="auto"/>
      </w:pPr>
      <w:r>
        <w:rPr>
          <w:b/>
        </w:rPr>
        <w:t xml:space="preserve">[1222] </w:t>
      </w:r>
      <w:hyperlink r:id="rId2070">
        <w:r>
          <w:rPr>
            <w:color w:val="1155CC"/>
            <w:u w:val="single"/>
          </w:rPr>
          <w:t>遗传学证据和跨物种功能特征分析表明CNN2与年龄相关性黄斑变性易感性相关</w:t>
        </w:r>
      </w:hyperlink>
    </w:p>
    <w:p>
      <w:pPr>
        <w:spacing w:before="0" w:after="80"/>
      </w:pPr>
      <w:r>
        <w:rPr>
          <w:i/>
          <w:sz w:val="20"/>
        </w:rPr>
        <w:t>EN: Genetic evidence and cross-species functional characterization implicate CNN2 in age-related macular degeneration susceptibility</w:t>
      </w:r>
    </w:p>
    <w:p>
      <w:pPr>
        <w:spacing w:before="0" w:after="120"/>
      </w:pPr>
      <w:r>
        <w:rPr>
          <w:b/>
        </w:rPr>
        <w:t xml:space="preserve">Source: </w:t>
      </w:r>
      <w:r>
        <w:t>Proceedings of the National Academy of Sciences: Keyword search for query</w:t>
      </w:r>
      <w:r>
        <w:t xml:space="preserve">    </w:t>
      </w:r>
      <w:r>
        <w:rPr>
          <w:b/>
        </w:rPr>
        <w:t xml:space="preserve">Pub date: </w:t>
      </w:r>
      <w:r>
        <w:t>2026-09-02 07:00:00+00:00</w:t>
      </w:r>
      <w:r>
        <w:t xml:space="preserve">    </w:t>
      </w:r>
      <w:r>
        <w:rPr>
          <w:b/>
        </w:rPr>
        <w:t xml:space="preserve">DOI: </w:t>
      </w:r>
      <w:hyperlink r:id="rId2071">
        <w:r>
          <w:rPr>
            <w:color w:val="1155CC"/>
            <w:u w:val="single"/>
          </w:rPr>
          <w:t>10.1073/pnas.2533682123</w:t>
        </w:r>
      </w:hyperlink>
    </w:p>
    <w:p>
      <w:pPr>
        <w:spacing w:before="0" w:after="120"/>
      </w:pPr>
      <w:r>
        <w:rPr>
          <w:b/>
        </w:rPr>
        <w:t xml:space="preserve">Notes: </w:t>
      </w:r>
      <w:r>
        <w:t>abstract_source=crossref</w:t>
      </w:r>
    </w:p>
    <w:p>
      <w:pPr>
        <w:spacing w:before="0" w:after="80" w:lineRule="auto" w:line="276"/>
      </w:pPr>
      <w:r>
        <w:rPr>
          <w:b/>
        </w:rPr>
        <w:t xml:space="preserve">摘要（ZH）: </w:t>
      </w:r>
      <w:r>
        <w:t>年龄相关性黄斑变性（AMD）是全球老龄化人口中不可逆性视损伤的主要原因之一。尽管全基因组关联研究（GWAS）已鉴定出许多AMD易感位点，但其中许多关联背后的基因和机制仍未明确。在此，我们将表达数量性状位点（eQTL）数据与AMD GWAS整合，筛选出九个候选基因。通过斑马鱼体内筛选，我们证实cnn2和sarm1表达的下调会导致眼部结构异常和视觉功能损伤。随后的小鼠模型研究证实，Cnn2缺失会影响感光细胞的结构和功能，损害对比敏感度，并引起视锥细胞免疫染色异常。鉴于CNN2主要在内皮细胞中表达，我们提出内皮功能障碍可能级联损伤感光细胞功能。总之，通过计算筛选和跨物种功能表征，我们确定CNN2是AMD发病机制中的候选易感基因，并提供了重要的潜在机制见解。</w:t>
      </w:r>
    </w:p>
    <w:p>
      <w:pPr>
        <w:spacing w:before="0" w:after="200" w:lineRule="auto" w:line="276"/>
      </w:pPr>
      <w:r>
        <w:rPr>
          <w:b/>
        </w:rPr>
        <w:t xml:space="preserve">Abstract (EN): </w:t>
      </w:r>
      <w:r>
        <w:t>Age-related macular degeneration (AMD) is a leading cause of irreversible visual impairment in the aging population globally. Although genome-wide association studies (GWAS) have identified many AMD susceptibility loci, the genes and mechanisms underlying many of these associations remain unresolved. Here, we integrated expression quantitative trait locus (eQTL) data with AMD GWAS to prioritize nine putative genes. Through in vivo screening in zebrafish, we demonstrated that the downregulation of</w:t>
      </w:r>
      <w:r>
        <w:t xml:space="preserve"> </w:t>
      </w:r>
      <w:r>
        <w:t>cnn2</w:t>
      </w:r>
      <w:r>
        <w:t xml:space="preserve"> </w:t>
      </w:r>
      <w:r>
        <w:t>and</w:t>
      </w:r>
      <w:r>
        <w:t xml:space="preserve"> </w:t>
      </w:r>
      <w:r>
        <w:t>sarm1</w:t>
      </w:r>
      <w:r>
        <w:t xml:space="preserve"> </w:t>
      </w:r>
      <w:r>
        <w:t>expression led to ocular structural abnormalities and visual functional impairment. Subsequent mouse model studies confirmed that</w:t>
      </w:r>
      <w:r>
        <w:t xml:space="preserve"> </w:t>
      </w:r>
      <w:r>
        <w:t>Cnn2</w:t>
      </w:r>
      <w:r>
        <w:t xml:space="preserve"> </w:t>
      </w:r>
      <w:r>
        <w:t>deficiency affected photoreceptor structure and function, impaired contrast sensitivity, and caused abnormalities in cone cell immunostaining. Given that</w:t>
      </w:r>
      <w:r>
        <w:t xml:space="preserve"> </w:t>
      </w:r>
      <w:r>
        <w:t>CNN2</w:t>
      </w:r>
      <w:r>
        <w:t xml:space="preserve"> </w:t>
      </w:r>
      <w:r>
        <w:t>is predominantly expressed in endothelial cells, we propose that endothelial dysfunction may cascade to impair photoreceptor function. Collectively, through in silico prioritization and cross-species functional characterization, we identify</w:t>
      </w:r>
      <w:r>
        <w:t xml:space="preserve"> </w:t>
      </w:r>
      <w:r>
        <w:t>CNN2</w:t>
      </w:r>
      <w:r>
        <w:t xml:space="preserve"> </w:t>
      </w:r>
      <w:r>
        <w:t>as a candidate susceptibility gene in AMD pathogenesis, providing vital underlying mechanistic insights.</w:t>
      </w:r>
    </w:p>
    <w:p>
      <w:pPr>
        <w:spacing w:before="120" w:after="120"/>
      </w:pPr>
      <w:r>
        <w:rPr>
          <w:sz w:val="18"/>
        </w:rPr>
        <w:t>——————————————————————————————————————————————————————————————————————</w:t>
      </w:r>
    </w:p>
    <w:p>
      <w:pPr>
        <w:spacing w:before="160" w:after="40" w:line="240" w:lineRule="auto"/>
      </w:pPr>
      <w:r>
        <w:rPr>
          <w:b/>
        </w:rPr>
        <w:t xml:space="preserve">[1223] </w:t>
      </w:r>
      <w:hyperlink r:id="rId2072">
        <w:r>
          <w:rPr>
            <w:color w:val="1155CC"/>
            <w:u w:val="single"/>
          </w:rPr>
          <w:t>野生青蛙性反转对繁殖成功的复杂影响</w:t>
        </w:r>
      </w:hyperlink>
    </w:p>
    <w:p>
      <w:pPr>
        <w:spacing w:before="0" w:after="80"/>
      </w:pPr>
      <w:r>
        <w:rPr>
          <w:i/>
          <w:sz w:val="20"/>
        </w:rPr>
        <w:t>EN: Complex effects of sex reversal on reproductive success in wild frogs</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73">
        <w:r>
          <w:rPr>
            <w:color w:val="1155CC"/>
            <w:u w:val="single"/>
          </w:rPr>
          <w:t>10.1126/sciadv.aeg3488</w:t>
        </w:r>
      </w:hyperlink>
    </w:p>
    <w:p>
      <w:pPr>
        <w:spacing w:before="0" w:after="120"/>
      </w:pPr>
      <w:r>
        <w:rPr>
          <w:b/>
        </w:rPr>
        <w:t xml:space="preserve">Notes: </w:t>
      </w:r>
      <w:r>
        <w:t>abstract_source=crossref</w:t>
      </w:r>
    </w:p>
    <w:p>
      <w:pPr>
        <w:spacing w:before="0" w:after="80" w:lineRule="auto" w:line="276"/>
      </w:pPr>
      <w:r>
        <w:rPr>
          <w:b/>
        </w:rPr>
        <w:t xml:space="preserve">摘要（ZH）: </w:t>
      </w:r>
      <w:r>
        <w:t>性逆转——即环境因素 overriding 基因型性别决定——可能加速或延缓外温动物因气候变化而灭绝的进程，这取决于性逆转个体的繁殖能力及后代存活力。在实证方面，人们对自然种群中这些性状几乎一无所知。本研究提供了一个全面的野生青蛙数据集，比较了性逆转雄性与性别一致雄性在生育力、对雌性的吸引力、同性间竞争力以及各种环境中后代存活力方面的差异。我们证明性逆转雄性在交配和产生可存活后代方面的潜力不受损害，其后代全部为基因型雌性，但性逆转倾向增加。然而，性逆转雄性在自然种群中实现的父权比例降低，这可能由于隐性的雌性选择。此外，性逆转父本的后代在热应激后对病毒感染的易感性增加。我们的理论模型预测，性逆转雄性的这些劣势损害了它们通过产生雌性后代来补偿气候驱动的表型性别比雄性偏倚的能力，从而降低了种群存活力。因此，性逆转加剧了环境变化对生物多样性的影响。</w:t>
      </w:r>
    </w:p>
    <w:p>
      <w:pPr>
        <w:spacing w:before="0" w:after="200" w:lineRule="auto" w:line="276"/>
      </w:pPr>
      <w:r>
        <w:rPr>
          <w:b/>
        </w:rPr>
        <w:t xml:space="preserve">Abstract (EN): </w:t>
      </w:r>
      <w:r>
        <w:t>Sex reversal, when the environment overrides genotypic sex determination, may hasten or delay climate-driven extinction in ectothermic animals, depending on sex-reversed individuals’ reproductive ability and offspring viability. Empirically, next to nothing is known about these traits in natural populations. Here, we present a comprehensive dataset of wild frogs to compare sex-reversed and sex-concordant males for fertility, attractiveness to females, intrasexual competitiveness, and offspring survival in various environments. We demonstrate uncompromised potential of sex-reversed males to mate and produce viable offspring, which are all genotypic females but have increased sex-reversal propensity. However, sex-reversed males realize reduced paternity in natural populations, possibly due to cryptic female choice. Furthermore, offspring of sex-reversed sires exhibit increased vulnerability to viral infection after heat stress. Our theoretical model predicts that these handicaps of sex-reversed males compromise their ability to compensate by producing female offspring for climate-driven male bias in phenotypic sex ratios, which reduces population viability. Therefore, sex reversal exacerbates the biodiversity consequences of environmental change.</w:t>
      </w:r>
    </w:p>
    <w:p>
      <w:pPr>
        <w:spacing w:before="120" w:after="120"/>
      </w:pPr>
      <w:r>
        <w:rPr>
          <w:sz w:val="18"/>
        </w:rPr>
        <w:t>——————————————————————————————————————————————————————————————————————</w:t>
      </w:r>
    </w:p>
    <w:p>
      <w:pPr>
        <w:spacing w:before="160" w:after="40" w:line="240" w:lineRule="auto"/>
      </w:pPr>
      <w:r>
        <w:rPr>
          <w:b/>
        </w:rPr>
        <w:t xml:space="preserve">[1224] </w:t>
      </w:r>
      <w:hyperlink r:id="rId2074">
        <w:r>
          <w:rPr>
            <w:color w:val="1155CC"/>
            <w:u w:val="single"/>
          </w:rPr>
          <w:t>受肌肉共同激活启发的刚度驱动拮抗式软体机器人控制策略</w:t>
        </w:r>
      </w:hyperlink>
    </w:p>
    <w:p>
      <w:pPr>
        <w:spacing w:before="0" w:after="80"/>
      </w:pPr>
      <w:r>
        <w:rPr>
          <w:i/>
          <w:sz w:val="20"/>
        </w:rPr>
        <w:t>EN: Muscle coactivation-inspired stiffness-driven control strategy for antagonistic soft robots</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75">
        <w:r>
          <w:rPr>
            <w:color w:val="1155CC"/>
            <w:u w:val="single"/>
          </w:rPr>
          <w:t>10.1126/sciadv.aeg3346</w:t>
        </w:r>
      </w:hyperlink>
    </w:p>
    <w:p>
      <w:pPr>
        <w:spacing w:before="0" w:after="120"/>
      </w:pPr>
      <w:r>
        <w:rPr>
          <w:b/>
        </w:rPr>
        <w:t xml:space="preserve">Notes: </w:t>
      </w:r>
      <w:r>
        <w:t>abstract_source=crossref</w:t>
      </w:r>
    </w:p>
    <w:p>
      <w:pPr>
        <w:spacing w:before="0" w:after="80" w:lineRule="auto" w:line="276"/>
      </w:pPr>
      <w:r>
        <w:rPr>
          <w:b/>
        </w:rPr>
        <w:t xml:space="preserve">摘要（ZH）: </w:t>
      </w:r>
      <w:r>
        <w:t>软体机器人在安全、适应性交互方面表现出色，但常常受限于有限的负载能力和操作精度。拮抗式软体执行器为应对这些挑战提供了一条有前景的途径，其将驱动与可变刚度耦合，灵感来自象鼻和章鱼触手等生物系统。然而，现有的控制策略大多将刚度视为被动的机械属性，而那些纳入刚度调节的策略通常依赖解析模型，限制了其在动力学难以建模的软体机器人中的应用。在此，我们提出了一种受肌肉共同激活启发的数据驱动控制策略，明确地将运动控制与刚度调制相结合，在不依赖解析模型或特定系统调优的情况下实现精确而鲁棒的控制。该机器人仅需几分钟从简单动作中学习即可获得多种功能，包括抓取、刚度感知、液体泵送和可重构桥接。通过明确利用刚度调节，这项工作建立了一种通用且可扩展的控制范式，将拮抗式软体机器人的功能范围扩展到被动柔顺之外。</w:t>
      </w:r>
    </w:p>
    <w:p>
      <w:pPr>
        <w:spacing w:before="0" w:after="200" w:lineRule="auto" w:line="276"/>
      </w:pPr>
      <w:r>
        <w:rPr>
          <w:b/>
        </w:rPr>
        <w:t xml:space="preserve">Abstract (EN): </w:t>
      </w:r>
      <w:r>
        <w:t>Soft robots excel at safe and adaptive interaction but are often constrained by limited load capacity and manipulation precision. Antagonistic soft actuators offer a promising route to address these challenges by coupling actuation with variable stiffness, inspired by biological systems such as elephant trunks and octopus tentacles. However, existing control strategies largely treat stiffness as a passive mechanical property, whereas those that incorporate stiffness regulation typically rely on analytical models, limiting their deployment in soft robots with difficult-to-model dynamics. Here, we introduce a muscle coactivation-inspired, data-driven control strategy that explicitly integrates motion control with stiffness modulation, enabling precise and robust control without reliance on analytical models or system-specific tuning. The robot requires only minutes of learning from simple motions to acquire diverse functionalities, including grasping, stiffness sensing, liquid pumping, and reconfigurable bridging. By explicitly harnessing stiffness regulation, this work establishes a general and scalable control paradigm that expands the functional scope of antagonistic soft robots beyond passive compliance.</w:t>
      </w:r>
    </w:p>
    <w:p>
      <w:pPr>
        <w:spacing w:before="120" w:after="120"/>
      </w:pPr>
      <w:r>
        <w:rPr>
          <w:sz w:val="18"/>
        </w:rPr>
        <w:t>——————————————————————————————————————————————————————————————————————</w:t>
      </w:r>
    </w:p>
    <w:p>
      <w:pPr>
        <w:spacing w:before="160" w:after="40" w:line="240" w:lineRule="auto"/>
      </w:pPr>
      <w:r>
        <w:rPr>
          <w:b/>
        </w:rPr>
        <w:t xml:space="preserve">[1225] </w:t>
      </w:r>
      <w:hyperlink r:id="rId2076">
        <w:r>
          <w:rPr>
            <w:color w:val="1155CC"/>
            <w:u w:val="single"/>
          </w:rPr>
          <w:t>主动脉疾病相关突变揭示蛋白激酶G失调的意想不到的趋同变构机制</w:t>
        </w:r>
      </w:hyperlink>
    </w:p>
    <w:p>
      <w:pPr>
        <w:spacing w:before="0" w:after="80"/>
      </w:pPr>
      <w:r>
        <w:rPr>
          <w:i/>
          <w:sz w:val="20"/>
        </w:rPr>
        <w:t>EN: Aortic disease-linked mutations reveal unexpected convergent allosteric mechanisms of protein kinase G misregulation</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77">
        <w:r>
          <w:rPr>
            <w:color w:val="1155CC"/>
            <w:u w:val="single"/>
          </w:rPr>
          <w:t>10.1126/sciadv.aeg1640</w:t>
        </w:r>
      </w:hyperlink>
    </w:p>
    <w:p>
      <w:pPr>
        <w:spacing w:before="0" w:after="120"/>
      </w:pPr>
      <w:r>
        <w:rPr>
          <w:b/>
        </w:rPr>
        <w:t xml:space="preserve">Notes: </w:t>
      </w:r>
      <w:r>
        <w:t>abstract_source=crossref</w:t>
      </w:r>
    </w:p>
    <w:p>
      <w:pPr>
        <w:spacing w:before="0" w:after="80" w:lineRule="auto" w:line="276"/>
      </w:pPr>
      <w:r>
        <w:rPr>
          <w:b/>
        </w:rPr>
        <w:t xml:space="preserve">摘要（ZH）: </w:t>
      </w:r>
      <w:r>
        <w:t>胸主动脉瘤和夹层（TAAD）是危及生命的疾病，与cGMP依赖性蛋白激酶I（PKG I）的功能获得性突变相关，该酶是血管平滑肌信号传导的核心调节因子。其中，Val234位点的替换与激酶过度激活和早发疾病相关，尽管该残基远离活性位点和cGMP结合区域。利用NMR、分子动力学模拟以及互补的激酶和结合实验，我们表明Val234是PKG自抑制的关键别构枢纽。TAAD相关的Val234变异通过两种不同但互补的别构机制破坏PKG调节：一是使激酶偏向活性构象，增加对cGMP的敏感性；二是降低调节结构域的折叠稳定性，从而在不受cGMP控制的情况下削弱抑制性接触。尽管存在这些差异，两种机制均导致在基础和中等cGMP水平下PKG信号过度激活，而最大活性保持不变。总之，这些发现解释了远端突变如何以不可预测的方式重构激酶别构并驱动致病性血管信号传导。</w:t>
      </w:r>
    </w:p>
    <w:p>
      <w:pPr>
        <w:spacing w:before="0" w:after="200" w:lineRule="auto" w:line="276"/>
      </w:pPr>
      <w:r>
        <w:rPr>
          <w:b/>
        </w:rPr>
        <w:t xml:space="preserve">Abstract (EN): </w:t>
      </w:r>
      <w:r>
        <w:t>Thoracic aortic aneurysms and dissections (TAAD) are life-threatening conditions linked to gain-of-function mutations in cGMP-dependent protein kinase I (PKG I), a central regulator of vascular smooth muscle signaling. Among these, substitutions at Val</w:t>
      </w:r>
      <w:r>
        <w:rPr>
          <w:vertAlign w:val="subscript"/>
        </w:rPr>
        <w:t>234</w:t>
      </w:r>
      <w:r>
        <w:t>have been associated with kinase overactivation and early-onset disease, despite this residue being distal from the active site and cGMP binding regions. Using NMR, molecular dynamics simulations, and complementary kinase and binding assays, we show that Val</w:t>
      </w:r>
      <w:r>
        <w:rPr>
          <w:vertAlign w:val="subscript"/>
        </w:rPr>
        <w:t>234</w:t>
      </w:r>
      <w:r>
        <w:t>acts as a crucial allosteric hub of PKG autoinhibition. TAAD-associated variants at Val</w:t>
      </w:r>
      <w:r>
        <w:rPr>
          <w:vertAlign w:val="subscript"/>
        </w:rPr>
        <w:t>234</w:t>
      </w:r>
      <w:r>
        <w:t>disrupt PKG regulation through two distinct yet complementary allosteric mechanisms: by biasing the kinase toward active conformations that increase sensitivity to cGMP and by decreasing the folding stability of the regulatory domain, thereby weakening inhibitory contacts independently of cGMP control. Despite these differences, both mechanisms result in excessive PKG signaling at basal and intermediate cGMP levels, while maximal activity remains unaltered. Together, these findings explain how distal mutations can unpredictably rewire kinase allostery and drive pathogenic vascular signaling.</w:t>
      </w:r>
    </w:p>
    <w:p>
      <w:pPr>
        <w:spacing w:before="120" w:after="120"/>
      </w:pPr>
      <w:r>
        <w:rPr>
          <w:sz w:val="18"/>
        </w:rPr>
        <w:t>——————————————————————————————————————————————————————————————————————</w:t>
      </w:r>
    </w:p>
    <w:p>
      <w:pPr>
        <w:spacing w:before="160" w:after="40" w:line="240" w:lineRule="auto"/>
      </w:pPr>
      <w:r>
        <w:rPr>
          <w:b/>
        </w:rPr>
        <w:t xml:space="preserve">[1226] </w:t>
      </w:r>
      <w:hyperlink r:id="rId2078">
        <w:r>
          <w:rPr>
            <w:color w:val="1155CC"/>
            <w:u w:val="single"/>
          </w:rPr>
          <w:t>果蝇幼虫蘑菇体平衡单侧感知与半球间整合</w:t>
        </w:r>
      </w:hyperlink>
    </w:p>
    <w:p>
      <w:pPr>
        <w:spacing w:before="0" w:after="80"/>
      </w:pPr>
      <w:r>
        <w:rPr>
          <w:i/>
          <w:sz w:val="20"/>
        </w:rPr>
        <w:t>EN: The larval Drosophila mushroom body balances lateralized sensing and interhemispheric integration</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79">
        <w:r>
          <w:rPr>
            <w:color w:val="1155CC"/>
            <w:u w:val="single"/>
          </w:rPr>
          <w:t>10.1126/sciadv.aeg1229</w:t>
        </w:r>
      </w:hyperlink>
    </w:p>
    <w:p>
      <w:pPr>
        <w:spacing w:before="0" w:after="120"/>
      </w:pPr>
      <w:r>
        <w:rPr>
          <w:b/>
        </w:rPr>
        <w:t xml:space="preserve">Notes: </w:t>
      </w:r>
      <w:r>
        <w:t>abstract_source=crossref</w:t>
      </w:r>
    </w:p>
    <w:p>
      <w:pPr>
        <w:spacing w:before="0" w:after="80" w:lineRule="auto" w:line="276"/>
      </w:pPr>
      <w:r>
        <w:rPr>
          <w:b/>
        </w:rPr>
        <w:t xml:space="preserve">摘要（ZH）: </w:t>
      </w:r>
      <w:r>
        <w:t>两侧对称动物必须整合来自身体两侧的感觉输入，以做出连贯的知觉决策。在果蝇幼虫中，嗅觉受体神经元投射至同侧脑半球。通过钙成像、单侧感觉扰动、连接组分析和光遗传学，我们发现蘑菇体（MB）是半球间整合的关键基质。Kenyon细胞的气味反应几乎完全局限于同侧，表明两个MB在输入层面的耦合极小。相比之下，调谐性MB输入神经元（MBINs）对单侧刺激呈对称反应，提示强化信号在两半球间广泛汇聚。然而，一些MB输出神经元（MBONs）在距离感觉外周最多5个突触处仍保持刺激的偏侧性，且这些MBONs的不对称激活会偏转运动行为。我们还证明，幼虫在某些感觉情境下可利用瞬时空间比较进行导航。这些发现表明，幼虫嗅觉系统深度偏侧化的架构在半球间整合需求与并行感觉处理优势之间取得了平衡。</w:t>
      </w:r>
    </w:p>
    <w:p>
      <w:pPr>
        <w:spacing w:before="0" w:after="200" w:lineRule="auto" w:line="276"/>
      </w:pPr>
      <w:r>
        <w:rPr>
          <w:b/>
        </w:rPr>
        <w:t xml:space="preserve">Abstract (EN): </w:t>
      </w:r>
      <w:r>
        <w:t>Bilaterian animals must integrate sensory input from both sides of their bodies to make coherent perceptual decisions. In</w:t>
      </w:r>
      <w:r>
        <w:t xml:space="preserve"> </w:t>
      </w:r>
      <w:r>
        <w:t>Drosophila</w:t>
      </w:r>
      <w:r>
        <w:t xml:space="preserve"> </w:t>
      </w:r>
      <w:r>
        <w:t>larvae, olfactory receptor neurons target the ipsilateral brain hemisphere. Using calcium imaging, unilateral sensory perturbations, connectome analysis, and optogenetics, we identified the mushroom body (MB) as a key substrate for interhemispheric integration. Kenyon cell odor responses were almost entirely ipsilateral, indicating minimal coupling between the two MBs at the input level. In contrast, modulatory MB input neurons (MBINs) responded symmetrically to unilateral stimulation, suggesting broad pooling of reinforcement signals across hemispheres. Nevertheless, some MB output neurons (MBONs) preserved stimulus laterality up to 5 synapses from the sensory periphery, and asymmetric activation of these MBONs biased turning behavior. We also demonstrate that larvae can exploit instantaneous spatial comparisons for navigation in certain sensory contexts. These findings suggest that the deeply lateralized architecture of the larval olfactory system balances the need for interhemispheric integration with the advantages of parallel sensory processing.</w:t>
      </w:r>
    </w:p>
    <w:p>
      <w:pPr>
        <w:spacing w:before="120" w:after="120"/>
      </w:pPr>
      <w:r>
        <w:rPr>
          <w:sz w:val="18"/>
        </w:rPr>
        <w:t>——————————————————————————————————————————————————————————————————————</w:t>
      </w:r>
    </w:p>
    <w:p>
      <w:pPr>
        <w:spacing w:before="160" w:after="40" w:line="240" w:lineRule="auto"/>
      </w:pPr>
      <w:r>
        <w:rPr>
          <w:b/>
        </w:rPr>
        <w:t xml:space="preserve">[1227] </w:t>
      </w:r>
      <w:hyperlink r:id="rId2080">
        <w:r>
          <w:rPr>
            <w:color w:val="1155CC"/>
            <w:u w:val="single"/>
          </w:rPr>
          <w:t>荧光蛋白磁带（FPTT）：在活细胞和体内多重记录转录动力学</w:t>
        </w:r>
      </w:hyperlink>
    </w:p>
    <w:p>
      <w:pPr>
        <w:spacing w:before="0" w:after="80"/>
      </w:pPr>
      <w:r>
        <w:rPr>
          <w:i/>
          <w:sz w:val="20"/>
        </w:rPr>
        <w:t>EN: Fluorescent protein ticker tape (FPTT): Multiplexed recording of transcriptional dynamics in living cells and in vivo</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81">
        <w:r>
          <w:rPr>
            <w:color w:val="1155CC"/>
            <w:u w:val="single"/>
          </w:rPr>
          <w:t>10.1126/sciadv.aef9406</w:t>
        </w:r>
      </w:hyperlink>
    </w:p>
    <w:p>
      <w:pPr>
        <w:spacing w:before="0" w:after="120"/>
      </w:pPr>
      <w:r>
        <w:rPr>
          <w:b/>
        </w:rPr>
        <w:t xml:space="preserve">Notes: </w:t>
      </w:r>
      <w:r>
        <w:t>abstract_source=crossref</w:t>
      </w:r>
    </w:p>
    <w:p>
      <w:pPr>
        <w:spacing w:before="0" w:after="80" w:lineRule="auto" w:line="276"/>
      </w:pPr>
      <w:r>
        <w:rPr>
          <w:b/>
        </w:rPr>
        <w:t xml:space="preserve">摘要（ZH）: </w:t>
      </w:r>
      <w:r>
        <w:t>启动子活动的记录与实时成像对于解析信号串扰至关重要，但目前缺乏能在活细胞中同时捕获多个瞬时事件的技术。在此，我们设计了基于荧光蛋白的“磁带式”记录器（FPTT），通过将多光谱单体荧光蛋白与自组装蛋白纤维整合，实现对单细胞生理活动的多重、可扩展、纵向记录。FPTT以3小时分辨率在8天内记录了海马神经元中内源性cFos转录历史的剂量依赖性、可逆性变化。我们构建了针对人核因子κB（NF-κB）、Janus激酶/信号转导与转录激活因子3（STAT3）、雷帕霉素机制靶标（mTOR）、活化T细胞核因子（NFAT）和3′,5′-单磷酸腺苷（cAMP）信号的FPTT变体。这一扩展的工具集实现了神经元中cFos与NF-κB串扰的定量分析、小鼠肝损伤过程中STAT3/cAMP动态的追踪、意外发现的NFAT/STAT3串扰的揭示，以及细胞周期依赖的mTOR振荡动态的表征。最后，我们在T细胞激活过程中实现了四条主要通路的同步分析。FPTT为研究转录历史和信号互作提供了一个多功能平台，在发育生物学和疾病建模中具有广泛应用。</w:t>
      </w:r>
    </w:p>
    <w:p>
      <w:pPr>
        <w:spacing w:before="0" w:after="200" w:lineRule="auto" w:line="276"/>
      </w:pPr>
      <w:r>
        <w:rPr>
          <w:b/>
        </w:rPr>
        <w:t xml:space="preserve">Abstract (EN): </w:t>
      </w:r>
      <w:r>
        <w:t>Recording and real-time imaging of promoter activities are critical for deciphering signaling cross-talk, but technologies for simultaneously capturing multiple transient events in living cells are lacking. Here, we design fluorescent protein–based ticker tapes (FPTT) for multiplexed, scalable, longitudinal recording of single-cell physiological activities by integrating multispectral monomeric fluorescent proteins with self-assembling protein fibers. FPTT logged dose-dependent, reversible endogenous cFos transcriptional histories in hippocampal neurons at 3-hour resolution over 8 days. We engineered FPTT variants for human nuclear factor κB (NF-κB), Janus kinase/signal transducer and activator of transcription 3 (STAT3), mechanistic target of rapamycin (mTOR), nuclear factor of activated T cells (NFAT), and adenosine 3′,5′-monophosphate (cAMP) signaling. This expanded toolset enabled quantification of cFos and NF-κB cross-talk in neurons, tracking of STAT3/cAMP dynamics during mouse liver injury, discovery of unexpected NFAT/STAT3 cross-talk, and characterization of cell cycle–dependent oscillating mTOR dynamics. Last, we achieved simultaneous analysis of four major pathways during T cell activation. FPTT provides a versatile platform to investigate transcriptional histories and signaling interplay, with broad applications in developmental biology and disease modeling.</w:t>
      </w:r>
    </w:p>
    <w:p>
      <w:pPr>
        <w:spacing w:before="120" w:after="120"/>
      </w:pPr>
      <w:r>
        <w:rPr>
          <w:sz w:val="18"/>
        </w:rPr>
        <w:t>——————————————————————————————————————————————————————————————————————</w:t>
      </w:r>
    </w:p>
    <w:p>
      <w:pPr>
        <w:spacing w:before="160" w:after="40" w:line="240" w:lineRule="auto"/>
      </w:pPr>
      <w:r>
        <w:rPr>
          <w:b/>
        </w:rPr>
        <w:t xml:space="preserve">[1228] </w:t>
      </w:r>
      <w:hyperlink r:id="rId2082">
        <w:r>
          <w:rPr>
            <w:color w:val="1155CC"/>
            <w:u w:val="single"/>
          </w:rPr>
          <w:t>OsUVR8-OsNAC3-OsERF117信号模块介导水稻的代谢适应和气候适应</w:t>
        </w:r>
      </w:hyperlink>
    </w:p>
    <w:p>
      <w:pPr>
        <w:spacing w:before="0" w:after="80"/>
      </w:pPr>
      <w:r>
        <w:rPr>
          <w:i/>
          <w:sz w:val="20"/>
        </w:rPr>
        <w:t>EN: The OsUVR8-OsNAC3-OsERF117 signaling module mediates metabolic acclimation and climate adaptation in rice</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83">
        <w:r>
          <w:rPr>
            <w:color w:val="1155CC"/>
            <w:u w:val="single"/>
          </w:rPr>
          <w:t>10.1126/sciadv.aef5945</w:t>
        </w:r>
      </w:hyperlink>
    </w:p>
    <w:p>
      <w:pPr>
        <w:spacing w:before="0" w:after="120"/>
      </w:pPr>
      <w:r>
        <w:rPr>
          <w:b/>
        </w:rPr>
        <w:t xml:space="preserve">Notes: </w:t>
      </w:r>
      <w:r>
        <w:t>abstract_source=crossref</w:t>
      </w:r>
    </w:p>
    <w:p>
      <w:pPr>
        <w:spacing w:before="0" w:after="80" w:lineRule="auto" w:line="276"/>
      </w:pPr>
      <w:r>
        <w:rPr>
          <w:b/>
        </w:rPr>
        <w:t xml:space="preserve">摘要（ZH）: </w:t>
      </w:r>
      <w:r>
        <w:t>紫外线B（UV-B；280至315纳米）辐射日益威胁作物产量，但植物适应的遗传基础仍知之甚少。我们在水稻中描绘了一个将光受体激活与转录重编程和代谢驯化联系起来的UV-B信号模块。AP2/ERF转录因子OsERF117作为核心调控因子，直接激活类黄酮和褪黑素生物合成基因，驱动光保护代谢物积累并增强UV-B胁迫耐受性。OsERF117的启动子变异在4093份水稻材料中定义了10种单倍型，其中高表达单倍型富集于高UV-B地区并与适应性分化相关。OsERF117受OsNAC3转录激活，OsNAC3结合位点处的一个顺式调控SNP调节其响应性并促成亚种分化。遗传和生化证据支持以下模型：UV-B激活的OsUVR8促进OsNAC3活性，并拮抗OsCOP1介导的泛素化和降解。该OsUVR8-OsCOP1-OsNAC3-OsERF117模块揭示了UV-B感知如何驱动调控和代谢多样化，为培育耐UV-B作物提供了靶标。</w:t>
      </w:r>
    </w:p>
    <w:p>
      <w:pPr>
        <w:spacing w:before="0" w:after="200" w:lineRule="auto" w:line="276"/>
      </w:pPr>
      <w:r>
        <w:rPr>
          <w:b/>
        </w:rPr>
        <w:t xml:space="preserve">Abstract (EN): </w:t>
      </w:r>
      <w:r>
        <w:t>Ultraviolet-B (UV-B; 280 to 315 nanometers) radiation increasingly threatens crop productivity, yet the genetic basis of plant adaptation remains poorly understood. We delineate a UV-B signaling module in rice that links photoreceptor activation to transcriptional reprogramming and metabolic acclimation. The AP2/ERF transcription factor OsERF117 acts as a central regulator, directly activating flavonoid and melatonin biosynthetic genes to drive photoprotective metabolite accumulation and enhance UV-B stress tolerance. Promoter variation in</w:t>
      </w:r>
      <w:r>
        <w:t xml:space="preserve"> </w:t>
      </w:r>
      <w:r>
        <w:t>OsERF117</w:t>
      </w:r>
      <w:r>
        <w:t xml:space="preserve"> </w:t>
      </w:r>
      <w:r>
        <w:t>defines 10 haplotypes across 4093 rice accessions, with high-expression haplotypes enriched in high-UV-B regions and correlated with adaptive divergence.</w:t>
      </w:r>
      <w:r>
        <w:t xml:space="preserve"> </w:t>
      </w:r>
      <w:r>
        <w:t>OsERF117</w:t>
      </w:r>
      <w:r>
        <w:t xml:space="preserve"> </w:t>
      </w:r>
      <w:r>
        <w:t>is transcriptionally activated by OsNAC3, with a cis-regulatory SNP at an OsNAC3-binding site modulating responsiveness and contributing to subspecies diversification. Genetic and biochemical evidence supports a model in which UV-B–activated OsUVR8 promotes OsNAC3 activity and antagonizes OsCOP1-mediated ubiquitination and degradation in rice. This OsUVR8-OsCOP1-OsNAC3-OsERF117 module reveals how UV-B perception drives regulatory and metabolic diversification, offering targets for breeding UV-B–resilient crops.</w:t>
      </w:r>
    </w:p>
    <w:p>
      <w:pPr>
        <w:spacing w:before="120" w:after="120"/>
      </w:pPr>
      <w:r>
        <w:rPr>
          <w:sz w:val="18"/>
        </w:rPr>
        <w:t>——————————————————————————————————————————————————————————————————————</w:t>
      </w:r>
    </w:p>
    <w:p>
      <w:pPr>
        <w:spacing w:before="160" w:after="40" w:line="240" w:lineRule="auto"/>
      </w:pPr>
      <w:r>
        <w:rPr>
          <w:b/>
        </w:rPr>
        <w:t xml:space="preserve">[1229] </w:t>
      </w:r>
      <w:hyperlink r:id="rId2084">
        <w:r>
          <w:rPr>
            <w:color w:val="1155CC"/>
            <w:u w:val="single"/>
          </w:rPr>
          <w:t>MAP-SNARE相互作用在生长素依赖的生长重塑过程中将皮层微管与胞外分泌融合机器联系起来</w:t>
        </w:r>
      </w:hyperlink>
    </w:p>
    <w:p>
      <w:pPr>
        <w:spacing w:before="0" w:after="80"/>
      </w:pPr>
      <w:r>
        <w:rPr>
          <w:i/>
          <w:sz w:val="20"/>
        </w:rPr>
        <w:t>EN: A MAP-SNARE interaction links cortical microtubules to the exocytic fusion machinery during auxin-dependent growth remodeling</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85">
        <w:r>
          <w:rPr>
            <w:color w:val="1155CC"/>
            <w:u w:val="single"/>
          </w:rPr>
          <w:t>10.1126/sciadv.aef5793</w:t>
        </w:r>
      </w:hyperlink>
    </w:p>
    <w:p>
      <w:pPr>
        <w:spacing w:before="0" w:after="120"/>
      </w:pPr>
      <w:r>
        <w:rPr>
          <w:b/>
        </w:rPr>
        <w:t xml:space="preserve">Notes: </w:t>
      </w:r>
      <w:r>
        <w:t>abstract_source=crossref</w:t>
      </w:r>
    </w:p>
    <w:p>
      <w:pPr>
        <w:spacing w:before="0" w:after="80" w:lineRule="auto" w:line="276"/>
      </w:pPr>
      <w:r>
        <w:rPr>
          <w:b/>
        </w:rPr>
        <w:t xml:space="preserve">摘要（ZH）: </w:t>
      </w:r>
      <w:r>
        <w:t>生长素通过方向性运输建立的局部最大值和组织尺度梯度发挥多种生理效应，而方向性运输依赖于质膜（PM）上生长素转运蛋白的分布和囊泡运输。皮层微管位于质膜下方，并被认为参与运输事件。然而，微管如何在质膜上与末端囊泡运输机器对接仍不清楚。在此，利用拟南芥中依赖生长素的顶端弯钩打开过程，我们鉴定了连接皮层微管与质膜相关SNARE机器的分子桥梁。微管相关蛋白WDL4与质膜Qa-SNARE SYP121相互作用，并通过独立的SNARE结合结构域和微管结合结构域将其连接到皮层微管。这种耦合增强了SYP121与其R-SNARE伙伴VAMP721之间的相互作用。相应地，wdl4突变体中质膜定位的VAMP721信号减弱。破坏WDL4或SYP121会损害生长素外排载体PIN1在质膜的积累和循环，并削弱顶端弯钩的打开。我们的发现阐明了一种机制，即微管相关因子在依赖生长素的生长重塑过程中调控SNARE介导的生长素转运蛋白运输。</w:t>
      </w:r>
    </w:p>
    <w:p>
      <w:pPr>
        <w:spacing w:before="0" w:after="200" w:lineRule="auto" w:line="276"/>
      </w:pPr>
      <w:r>
        <w:rPr>
          <w:b/>
        </w:rPr>
        <w:t xml:space="preserve">Abstract (EN): </w:t>
      </w:r>
      <w:r>
        <w:t>Auxin exerts diverse physiological effects through local maxima and tissue-scale gradients established by directional transport, which depends on the plasma membrane (PM) distribution and vesicular trafficking of auxin transporters. Cortical microtubules are positioned beneath the PM and have been implicated in trafficking events. However, how microtubules interface with terminal vesicle trafficking machinery at the PM remains unclear. Here, using auxin-dependent apical hook opening in Arabidopsis, we identify a molecular bridge linking cortical microtubules to PM-associated SNARE machinery. The microtubule-associated protein WDL4 interacts with the PM Qa-SNARE SYP121 and connects it to cortical microtubules through separate SNARE-binding and microtubule-binding domains. This coupling enhances the interaction between SYP121 and its R-SNARE partner VAMP721. Consistently, PM-localized VAMP721 signals were reduced in</w:t>
      </w:r>
      <w:r>
        <w:t xml:space="preserve"> </w:t>
      </w:r>
      <w:r>
        <w:t>wdl4</w:t>
      </w:r>
      <w:r>
        <w:t xml:space="preserve"> </w:t>
      </w:r>
      <w:r>
        <w:t>mutants. Disruption of WDL4 or SYP121 impaired PM accumulation and recycling of the auxin efflux carrier PIN1 and attenuated apical hook opening. Our findings elucidate a mechanism by which a microtubule-associated factor modulates SNARE-mediated auxin transporter trafficking during auxin-dependent growth remodeling.</w:t>
      </w:r>
    </w:p>
    <w:p>
      <w:pPr>
        <w:spacing w:before="120" w:after="120"/>
      </w:pPr>
      <w:r>
        <w:rPr>
          <w:sz w:val="18"/>
        </w:rPr>
        <w:t>——————————————————————————————————————————————————————————————————————</w:t>
      </w:r>
    </w:p>
    <w:p>
      <w:pPr>
        <w:spacing w:before="160" w:after="40" w:line="240" w:lineRule="auto"/>
      </w:pPr>
      <w:r>
        <w:rPr>
          <w:b/>
        </w:rPr>
        <w:t xml:space="preserve">[1230] </w:t>
      </w:r>
      <w:hyperlink r:id="rId2086">
        <w:r>
          <w:rPr>
            <w:color w:val="1155CC"/>
            <w:u w:val="single"/>
          </w:rPr>
          <w:t>人类皮层网络以通信效率换取计算可靠性</w:t>
        </w:r>
      </w:hyperlink>
    </w:p>
    <w:p>
      <w:pPr>
        <w:spacing w:before="0" w:after="80"/>
      </w:pPr>
      <w:r>
        <w:rPr>
          <w:i/>
          <w:sz w:val="20"/>
        </w:rPr>
        <w:t>EN: Human cortical networks trade communication efficiency for computational reliability</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87">
        <w:r>
          <w:rPr>
            <w:color w:val="1155CC"/>
            <w:u w:val="single"/>
          </w:rPr>
          <w:t>10.1126/sciadv.aef2894</w:t>
        </w:r>
      </w:hyperlink>
    </w:p>
    <w:p>
      <w:pPr>
        <w:spacing w:before="0" w:after="120"/>
      </w:pPr>
      <w:r>
        <w:rPr>
          <w:b/>
        </w:rPr>
        <w:t xml:space="preserve">Notes: </w:t>
      </w:r>
      <w:r>
        <w:t>abstract_source=crossref</w:t>
      </w:r>
    </w:p>
    <w:p>
      <w:pPr>
        <w:spacing w:before="0" w:after="80" w:lineRule="auto" w:line="276"/>
      </w:pPr>
      <w:r>
        <w:rPr>
          <w:b/>
        </w:rPr>
        <w:t xml:space="preserve">摘要（ZH）: </w:t>
      </w:r>
      <w:r>
        <w:t>大脑常被描述为成本高效的通信网络，能在长连接成本与快速通信之间实现最优平衡。受“用进废退”原理启发，我们提出了一个自组织神经单元的博弈论模型，表明大脑在这两方面均非最优。在传播动力学下，区域间对连接性的竞争生成的网络类似于人类皮层，却更高效、更经济。此外，利用储备池计算框架，我们发现两者信息处理能力相当，但人工合成的最优通信网络计算可靠性更低。最后，虚拟损伤揭示了这些网络脆弱的原因：为了优化通信，它们将信息汇聚到由跨模态枢纽组成的、空间聚集的“寡头集团”中。而人脑则采用分布式“富人俱乐部”骨干结构，尽管布线成本更高、通信效率更低，却能更好地抵御针对性攻击。因此，皮层网络以成本和效率换取可靠的计算，凸显了计算可靠性是一个被忽视、甚至可能比布线成本或通信效率更为重要的大脑连接性驱动因素。</w:t>
      </w:r>
    </w:p>
    <w:p>
      <w:pPr>
        <w:spacing w:before="0" w:after="200" w:lineRule="auto" w:line="276"/>
      </w:pPr>
      <w:r>
        <w:rPr>
          <w:b/>
        </w:rPr>
        <w:t xml:space="preserve">Abstract (EN): </w:t>
      </w:r>
      <w:r>
        <w:t>Brains are often described as cost-efficient communication networks that optimally balance long-connection costs against fast communication. Inspired by the “use it or lose it” principle, we present a game-theoretic model of self-organizing neural units showing the brain is suboptimal in both regards. Regional competition for connectivity under propagative dynamics yields networks resembling the human cortex yet more efficient and economical. In addition, using a reservoir computing framework, we find comparable information processing capacity, but synthetic optimal communication networks show lower computational reliability. Last, virtual lesions reveal why these networks are fragile: To optimize communication, they funnel information through a spatially clustered “oligarchy” of transmodal hubs. The human brain instead uses a distributed “rich-club” backbone that better resists targeted attacks, despite higher wiring costs and less efficient communication. Cortical networks thus trade both cost and efficiency for reliable computation, highlighting computational reliability as an overlooked and perhaps even more prominent driver of brain connectivity than wiring cost or communication efficiency.</w:t>
      </w:r>
    </w:p>
    <w:p>
      <w:pPr>
        <w:spacing w:before="120" w:after="120"/>
      </w:pPr>
      <w:r>
        <w:rPr>
          <w:sz w:val="18"/>
        </w:rPr>
        <w:t>——————————————————————————————————————————————————————————————————————</w:t>
      </w:r>
    </w:p>
    <w:p>
      <w:pPr>
        <w:spacing w:before="160" w:after="40" w:line="240" w:lineRule="auto"/>
      </w:pPr>
      <w:r>
        <w:rPr>
          <w:b/>
        </w:rPr>
        <w:t xml:space="preserve">[1231] </w:t>
      </w:r>
      <w:hyperlink r:id="rId2088">
        <w:r>
          <w:rPr>
            <w:color w:val="1155CC"/>
            <w:u w:val="single"/>
          </w:rPr>
          <w:t>劫持pre-tRNA使LTR逆转录转座子得以启动组成型异染色质的形成</w:t>
        </w:r>
      </w:hyperlink>
    </w:p>
    <w:p>
      <w:pPr>
        <w:spacing w:before="0" w:after="80"/>
      </w:pPr>
      <w:r>
        <w:rPr>
          <w:i/>
          <w:sz w:val="20"/>
        </w:rPr>
        <w:t>EN: Hijacking pre-tRNA enables LTR-retrotransposon–initiated constitutive heterochromatin formation</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89">
        <w:r>
          <w:rPr>
            <w:color w:val="1155CC"/>
            <w:u w:val="single"/>
          </w:rPr>
          <w:t>10.1126/sciadv.aef2333</w:t>
        </w:r>
      </w:hyperlink>
    </w:p>
    <w:p>
      <w:pPr>
        <w:spacing w:before="0" w:after="120"/>
      </w:pPr>
      <w:r>
        <w:rPr>
          <w:b/>
        </w:rPr>
        <w:t xml:space="preserve">Notes: </w:t>
      </w:r>
      <w:r>
        <w:t>abstract_source=crossref</w:t>
      </w:r>
    </w:p>
    <w:p>
      <w:pPr>
        <w:spacing w:before="0" w:after="80" w:lineRule="auto" w:line="276"/>
      </w:pPr>
      <w:r>
        <w:rPr>
          <w:b/>
        </w:rPr>
        <w:t xml:space="preserve">摘要（ZH）: </w:t>
      </w:r>
      <w:r>
        <w:t>着丝粒周异染色质是真核染色体的重要组成部分，赋予其特殊的基因组架构并带来广泛的功能影响。尽管它普遍以H3K9me3修饰为标志，但不同物种间潜在的着丝粒周DNA序列差异巨大。在此，通过利用转座报告系统结合全基因组RNA干扰（RNAi）筛选，我们鉴定了一种招募SUV39H甲基转移酶以启动着丝粒周异染色质形成的特化机制。该通路依赖于由Puf68、前体转移RNA（tRNAs）和引物结合位点（PBS）组成的高度有序复合物。Puf68以高亲和力结合前体tRNA 3′尾部的poly-U序列，形成Puf68/前体tRNA复合物，随后与新生长末端重复序列（LTR）逆转录转座子的PBS碱基配对。通过直接相互作用，Puf68将Su(var)3-9招募至这些区域，催化H3K9三甲基化。值得注意的是，Puf68足以在着丝粒周及异位整合的LTR逆转录转座子区域启动异染色质的从头组装。我们的发现不仅揭示了一种此前未被认识的异染色质启动机制，也解答了宿主如何利用新生LTR逆转录转座子转录本这一长期悬而未决的问题。</w:t>
      </w:r>
    </w:p>
    <w:p>
      <w:pPr>
        <w:spacing w:before="0" w:after="200" w:lineRule="auto" w:line="276"/>
      </w:pPr>
      <w:r>
        <w:rPr>
          <w:b/>
        </w:rPr>
        <w:t xml:space="preserve">Abstract (EN): </w:t>
      </w:r>
      <w:r>
        <w:t>Pericentric heterochromatin serves as a fundamental component of eukaryotic chromosomes, endowing specialized genomic architecture with broad functional consequences. Although it is universally marked by H3K9me3 modification, the underlying pericentric DNA sequences diverge substantially across species. Here, by leveraging a transposition reporter system combined with a genome-wide RNA interference (RNAi) screen, we identified a specialized mechanism for recruiting SUV39H methyltransferase to initiate pericentric heterochromatin formation. This pathway depends on a highly ordered complex comprising the Puf68, pre–transfer RNAs (tRNAs), and the primer binding site (PBS). Puf68 binds with high affinity to poly-U tracts in pre-tRNA 3′ trailer, forming a Puf68/pre-tRNA complex that subsequently base-pairs with the PBS of nascent long terminal repeat (LTR)–retrotransposons. Through direct interaction, Puf68 recruits Su(var)3-9 to these regions, catalyzing H3K9 trimethylation. Notably, Puf68 is sufficient to initiate de novo heterochromatin assembly both at pericentric and ectopically integrated LTR-retrotransposon regions. Our findings not only uncover a previously unrecognized mechanism of heterochromatin initiation but also resolve a long-standing question of how hosts harness nascent LTR-retrotransposon transcripts.</w:t>
      </w:r>
    </w:p>
    <w:p>
      <w:pPr>
        <w:spacing w:before="120" w:after="120"/>
      </w:pPr>
      <w:r>
        <w:rPr>
          <w:sz w:val="18"/>
        </w:rPr>
        <w:t>——————————————————————————————————————————————————————————————————————</w:t>
      </w:r>
    </w:p>
    <w:p>
      <w:pPr>
        <w:spacing w:before="160" w:after="40" w:line="240" w:lineRule="auto"/>
      </w:pPr>
      <w:r>
        <w:rPr>
          <w:b/>
        </w:rPr>
        <w:t xml:space="preserve">[1232] </w:t>
      </w:r>
      <w:hyperlink r:id="rId2090">
        <w:r>
          <w:rPr>
            <w:color w:val="1155CC"/>
            <w:u w:val="single"/>
          </w:rPr>
          <w:t>减缓情景下南大洋碳损失加剧</w:t>
        </w:r>
      </w:hyperlink>
    </w:p>
    <w:p>
      <w:pPr>
        <w:spacing w:before="0" w:after="80"/>
      </w:pPr>
      <w:r>
        <w:rPr>
          <w:i/>
          <w:sz w:val="20"/>
        </w:rPr>
        <w:t>EN: Enhanced carbon loss in the Southern Ocean under mitigation scenarios</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91">
        <w:r>
          <w:rPr>
            <w:color w:val="1155CC"/>
            <w:u w:val="single"/>
          </w:rPr>
          <w:t>10.1126/sciadv.aee9228</w:t>
        </w:r>
      </w:hyperlink>
    </w:p>
    <w:p>
      <w:pPr>
        <w:spacing w:before="0" w:after="120"/>
      </w:pPr>
      <w:r>
        <w:rPr>
          <w:b/>
        </w:rPr>
        <w:t xml:space="preserve">Notes: </w:t>
      </w:r>
      <w:r>
        <w:t>abstract_source=crossref</w:t>
      </w:r>
    </w:p>
    <w:p>
      <w:pPr>
        <w:spacing w:before="0" w:after="80" w:lineRule="auto" w:line="276"/>
      </w:pPr>
      <w:r>
        <w:rPr>
          <w:b/>
        </w:rPr>
        <w:t xml:space="preserve">摘要（ZH）: </w:t>
      </w:r>
      <w:r>
        <w:t>南大洋（SO）通过吸收人为二氧化碳（CO2）在全球碳循环中发挥着关键作用。然而，在未来的减缓努力下，这一作用是否会持续仍不确定。利用Community Earth System Model version 2（CESM2）进行的理想化排放驱动模拟，我们发现SO在零排放和负排放阶段从净CO2汇转变为可观的源。这种释放源于海表温度的区域性持续上升以及表面碱度的全球一致性下降。这些变化共同维持了海洋CO2分压（Pco2）的升高，尽管大气CO2在下降，从而逆转了海-气Pco2梯度（</w:t>
      </w:r>
    </w:p>
    <w:p>
      <w:pPr>
        <w:spacing w:before="0" w:after="200" w:lineRule="auto" w:line="276"/>
      </w:pPr>
      <w:r>
        <w:rPr>
          <w:b/>
        </w:rPr>
        <w:t xml:space="preserve">Abstract (EN): </w:t>
      </w:r>
      <w:r>
        <w:t>The Southern Ocean (SO) plays a pivotal role in the global carbon cycle by absorbing anthropogenic carbon dioxide (CO</w:t>
      </w:r>
      <w:r>
        <w:rPr>
          <w:vertAlign w:val="subscript"/>
        </w:rPr>
        <w:t>2</w:t>
      </w:r>
      <w:r>
        <w:t>). Yet, it remains uncertain whether this role will persist under future mitigation efforts. Using idealized emission-driven simulations with the Community Earth System Model version 2 (CESM2), we find that the SO transitions from net CO</w:t>
      </w:r>
      <w:r>
        <w:rPr>
          <w:vertAlign w:val="subscript"/>
        </w:rPr>
        <w:t>2</w:t>
      </w:r>
      <w:r>
        <w:t>sink to a substantial source during zero- and negative-emission phases. This outgassing stems from a persistent regional increase in sea surface temperature and a globally uniform decline in surface alkalinity. Together, these changes maintain elevated oceanic partial pressure of CO</w:t>
      </w:r>
      <w:r>
        <w:rPr>
          <w:vertAlign w:val="subscript"/>
        </w:rPr>
        <w:t>2</w:t>
      </w:r>
      <w:r>
        <w:t>(</w:t>
      </w:r>
      <w:r>
        <w:t xml:space="preserve"> </w:t>
      </w:r>
      <w:r>
        <w:t>P</w:t>
      </w:r>
      <w:r>
        <w:t xml:space="preserve"> </w:t>
      </w:r>
      <w:r>
        <w:t>co</w:t>
      </w:r>
      <w:r>
        <w:t xml:space="preserve"> </w:t>
      </w:r>
      <w:r>
        <w:rPr>
          <w:vertAlign w:val="subscript"/>
        </w:rPr>
        <w:t>2</w:t>
      </w:r>
      <w:r>
        <w:t xml:space="preserve"> </w:t>
      </w:r>
      <w:r>
        <w:t>) despite decreasing atmospheric CO</w:t>
      </w:r>
      <w:r>
        <w:rPr>
          <w:vertAlign w:val="subscript"/>
        </w:rPr>
        <w:t>2</w:t>
      </w:r>
      <w:r>
        <w:t>, reversing the air-sea</w:t>
      </w:r>
      <w:r>
        <w:t xml:space="preserve"> </w:t>
      </w:r>
      <w:r>
        <w:t>P</w:t>
      </w:r>
      <w:r>
        <w:t xml:space="preserve"> </w:t>
      </w:r>
      <w:r>
        <w:t>co</w:t>
      </w:r>
      <w:r>
        <w:t xml:space="preserve"> </w:t>
      </w:r>
      <w:r>
        <w:rPr>
          <w:vertAlign w:val="subscript"/>
        </w:rPr>
        <w:t>2</w:t>
      </w:r>
      <w:r>
        <w:t xml:space="preserve"> </w:t>
      </w:r>
      <w:r>
        <w:t>gradient (</w:t>
      </w:r>
      <w:r>
        <w:t xml:space="preserve"> </w:t>
      </w:r>
      <w:r>
        <w:t>d</w:t>
      </w:r>
      <w:r>
        <w:t xml:space="preserve"> </w:t>
      </w:r>
      <w:r>
        <w:t>P</w:t>
      </w:r>
      <w:r>
        <w:t xml:space="preserve"> </w:t>
      </w:r>
      <w:r>
        <w:t>co</w:t>
      </w:r>
      <w:r>
        <w:t xml:space="preserve"> </w:t>
      </w:r>
      <w:r>
        <w:rPr>
          <w:vertAlign w:val="subscript"/>
        </w:rPr>
        <w:t>2</w:t>
      </w:r>
      <w:r>
        <w:t xml:space="preserve"> </w:t>
      </w:r>
      <w:r>
        <w:t>). Moreover, the SO exhibits a high climatological gas-transfer coefficient, primarily driven by the region’s strong wind speeds and high CO</w:t>
      </w:r>
      <w:r>
        <w:rPr>
          <w:vertAlign w:val="subscript"/>
        </w:rPr>
        <w:t>2</w:t>
      </w:r>
      <w:r>
        <w:t>solubility, which amplifies the</w:t>
      </w:r>
      <w:r>
        <w:t xml:space="preserve"> </w:t>
      </w:r>
      <w:r>
        <w:t>d</w:t>
      </w:r>
      <w:r>
        <w:t xml:space="preserve"> </w:t>
      </w:r>
      <w:r>
        <w:t>P</w:t>
      </w:r>
      <w:r>
        <w:t xml:space="preserve"> </w:t>
      </w:r>
      <w:r>
        <w:t>co</w:t>
      </w:r>
      <w:r>
        <w:t xml:space="preserve"> </w:t>
      </w:r>
      <w:r>
        <w:rPr>
          <w:vertAlign w:val="subscript"/>
        </w:rPr>
        <w:t>2</w:t>
      </w:r>
      <w:r>
        <w:t xml:space="preserve"> </w:t>
      </w:r>
      <w:r>
        <w:t>-driven flux and enhances CO</w:t>
      </w:r>
      <w:r>
        <w:rPr>
          <w:vertAlign w:val="subscript"/>
        </w:rPr>
        <w:t>2</w:t>
      </w:r>
      <w:r>
        <w:t>outgassing. These results indicate that the present-day SO CO</w:t>
      </w:r>
      <w:r>
        <w:rPr>
          <w:vertAlign w:val="subscript"/>
        </w:rPr>
        <w:t>2</w:t>
      </w:r>
      <w:r>
        <w:t>sink may lose its effectiveness during climate mitigation, emphasizing the need to consider regional feedbacks for long-term climate policy effectiveness.</w:t>
      </w:r>
    </w:p>
    <w:p>
      <w:pPr>
        <w:spacing w:before="120" w:after="120"/>
      </w:pPr>
      <w:r>
        <w:rPr>
          <w:sz w:val="18"/>
        </w:rPr>
        <w:t>——————————————————————————————————————————————————————————————————————</w:t>
      </w:r>
    </w:p>
    <w:p>
      <w:pPr>
        <w:spacing w:before="160" w:after="40" w:line="240" w:lineRule="auto"/>
      </w:pPr>
      <w:r>
        <w:rPr>
          <w:b/>
        </w:rPr>
        <w:t xml:space="preserve">[1233] </w:t>
      </w:r>
      <w:hyperlink r:id="rId2092">
        <w:r>
          <w:rPr>
            <w:color w:val="1155CC"/>
            <w:u w:val="single"/>
          </w:rPr>
          <w:t>土星南极附近的十边形波浪</w:t>
        </w:r>
      </w:hyperlink>
    </w:p>
    <w:p>
      <w:pPr>
        <w:spacing w:before="0" w:after="80"/>
      </w:pPr>
      <w:r>
        <w:rPr>
          <w:i/>
          <w:sz w:val="20"/>
        </w:rPr>
        <w:t>EN: A decagon wave around Saturn’s south pole</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93">
        <w:r>
          <w:rPr>
            <w:color w:val="1155CC"/>
            <w:u w:val="single"/>
          </w:rPr>
          <w:t>10.1126/sciadv.aee4251</w:t>
        </w:r>
      </w:hyperlink>
    </w:p>
    <w:p>
      <w:pPr>
        <w:spacing w:before="0" w:after="120"/>
      </w:pPr>
      <w:r>
        <w:rPr>
          <w:b/>
        </w:rPr>
        <w:t xml:space="preserve">Notes: </w:t>
      </w:r>
      <w:r>
        <w:t>abstract_source=crossref</w:t>
      </w:r>
    </w:p>
    <w:p>
      <w:pPr>
        <w:spacing w:before="0" w:after="80" w:lineRule="auto" w:line="276"/>
      </w:pPr>
      <w:r>
        <w:rPr>
          <w:b/>
        </w:rPr>
        <w:t xml:space="preserve">摘要（ZH）: </w:t>
      </w:r>
      <w:r>
        <w:t>土星在其北极附近有一个独特的长期存在、近乎静止的六边形波动，与一股强烈的向东急流相耦合。尽管经过数十年的观测，迄今尚未在土星南半球或其他地方发现类似的波动。2025年获得的地面观测和哈勃空间望远镜（HST）图像揭示了在行星图形学纬度约58°S至63°S存在一个十边形波动。2023年和2024年的HST图像显示了反差较弱的十边形顶点和笔直的边，表明这是一个不断演变的现象。该十边形以每秒2.5米的速度向东移动，远慢于60.5°S处每秒116米的纬向急流，其顶点的经度以32天的周期和4.6°至8.4°的振幅振荡。根据其性质，该十边形可能是一种在垂直方向被俘获、在经向方向上受主导急流曲率约束的大尺度蜿蜒波。浅水模型模拟表明，该十边形可能起源于急流峰值处的空间周期性扰动，也可能由紧邻其北侧的一个暗色反气旋涡旋驱动。</w:t>
      </w:r>
    </w:p>
    <w:p>
      <w:pPr>
        <w:spacing w:before="0" w:after="200" w:lineRule="auto" w:line="276"/>
      </w:pPr>
      <w:r>
        <w:rPr>
          <w:b/>
        </w:rPr>
        <w:t xml:space="preserve">Abstract (EN): </w:t>
      </w:r>
      <w:r>
        <w:t>Saturn has a unique long-lived, nearly stationary hexagon wave close to its north pole that is coupled to an intense eastward jet. Despite decades of observation, no similar wave has been reported so far in the southern hemisphere or elsewhere on Saturn. Ground-based and Hubble Space Telescope (HST) images obtained in 2025 revealed the presence of a decagonal wave at planetographic latitudes ∼58°S to 63°S. HST images in 2023 and 2024 showed vertices with weaker albedo contrasts and linear sides of the decagon, implying an evolving phenomenon. The decagon moves eastward with a velocity of 2.5 meters per second, much slower than the zonal jet at 60.5°S with 116 meters per second, and the longitudes of its vertices oscillate with a period of 32 days and amplitudes of 4.6° to 8.4°. From its properties, the decagon could be a large-scale meandering wave trapped vertically and confined meridionally by the dominant jet curvature. Shallow water model simulations suggest that the decagon may have originated from a spatially periodic disturbance in the jet peak or may have been driven by a dark anticyclonic vortex immediately to the north.</w:t>
      </w:r>
    </w:p>
    <w:p>
      <w:pPr>
        <w:spacing w:before="120" w:after="120"/>
      </w:pPr>
      <w:r>
        <w:rPr>
          <w:sz w:val="18"/>
        </w:rPr>
        <w:t>——————————————————————————————————————————————————————————————————————</w:t>
      </w:r>
    </w:p>
    <w:p>
      <w:pPr>
        <w:spacing w:before="160" w:after="40" w:line="240" w:lineRule="auto"/>
      </w:pPr>
      <w:r>
        <w:rPr>
          <w:b/>
        </w:rPr>
        <w:t xml:space="preserve">[1234] </w:t>
      </w:r>
      <w:hyperlink r:id="rId2094">
        <w:r>
          <w:rPr>
            <w:color w:val="1155CC"/>
            <w:u w:val="single"/>
          </w:rPr>
          <w:t>TRPA1中的单点突变驱动卵生胚胎的热耐受性</w:t>
        </w:r>
      </w:hyperlink>
    </w:p>
    <w:p>
      <w:pPr>
        <w:spacing w:before="0" w:after="80"/>
      </w:pPr>
      <w:r>
        <w:rPr>
          <w:i/>
          <w:sz w:val="20"/>
        </w:rPr>
        <w:t>EN: A single-point mutation in TRPA1 drives heat resilience in oviparous embryos</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95">
        <w:r>
          <w:rPr>
            <w:color w:val="1155CC"/>
            <w:u w:val="single"/>
          </w:rPr>
          <w:t>10.1126/sciadv.aee3948</w:t>
        </w:r>
      </w:hyperlink>
    </w:p>
    <w:p>
      <w:pPr>
        <w:spacing w:before="0" w:after="120"/>
      </w:pPr>
      <w:r>
        <w:rPr>
          <w:b/>
        </w:rPr>
        <w:t xml:space="preserve">Notes: </w:t>
      </w:r>
      <w:r>
        <w:t>abstract_source=crossref</w:t>
      </w:r>
    </w:p>
    <w:p>
      <w:pPr>
        <w:spacing w:before="0" w:after="80" w:lineRule="auto" w:line="276"/>
      </w:pPr>
      <w:r>
        <w:rPr>
          <w:b/>
        </w:rPr>
        <w:t xml:space="preserve">摘要（ZH）: </w:t>
      </w:r>
      <w:r>
        <w:t>脊椎动物感觉系统中物种特异性热适应的分子基础尚不清楚。我们发现，在合弓类-双弓类分化期间，离子通道瞬时受体电位锚蛋白1（TRPA1）孔道结构域中的单个氨基酸变化重新改变了其热敏感性。许多保留祖先残基的卵生脊椎动物的TRPA1表现出热激活，以保护高温下的胚胎发育，而哺乳动物中对天冬氨酸的选择降低了热反应性。阻断卵生胚胎中热激活的TRPA1会损害背根神经节轴突生长，破坏髓鞘形成，并导致孵化时肢体无力。在机制上，TRPA1介导的Ca2+内流触发SP1的核转位，激活CADM1和MDGA1。总之，这些结果揭示了TRPA1在热耐受性中一个意想不到的发育作用，将单一突变事件与热应激下的胚胎存活联系起来，并凸显了离子通道进化在适应中的作用。</w:t>
      </w:r>
    </w:p>
    <w:p>
      <w:pPr>
        <w:spacing w:before="0" w:after="200" w:lineRule="auto" w:line="276"/>
      </w:pPr>
      <w:r>
        <w:rPr>
          <w:b/>
        </w:rPr>
        <w:t xml:space="preserve">Abstract (EN): </w:t>
      </w:r>
      <w:r>
        <w:t>The molecular basis for species-specific thermal adaptation in vertebrate sensory systems is not well understood. We show that a single–amino-acid change in the pore domain of ion channel transient receptor potential ankyrin 1 (TRPA1) during the synapsid-diapsid split rewired its heat sensitivity. Many oviparous vertebrates retaining the ancestral residue display TRPA1 heat activation, protecting embryonic development under high temperatures, whereas selection for an aspartate in mammals reduced thermal responsiveness. Blocking heat-activated TRPA1 in oviparous embryos impaired dorsal-root-ganglion axon growth, disrupted myelination, and caused limb weakness at hatching. Mechanistically, TRPA1-mediated Ca</w:t>
      </w:r>
      <w:r>
        <w:t xml:space="preserve"> </w:t>
      </w:r>
      <w:r>
        <w:t>2+</w:t>
      </w:r>
      <w:r>
        <w:t xml:space="preserve"> </w:t>
      </w:r>
      <w:r>
        <w:t>influx triggers nuclear translocation of SP1, activating</w:t>
      </w:r>
      <w:r>
        <w:t xml:space="preserve"> </w:t>
      </w:r>
      <w:r>
        <w:t>CADM1</w:t>
      </w:r>
      <w:r>
        <w:t xml:space="preserve"> </w:t>
      </w:r>
      <w:r>
        <w:t>and</w:t>
      </w:r>
      <w:r>
        <w:t xml:space="preserve"> </w:t>
      </w:r>
      <w:r>
        <w:t>MDGA1</w:t>
      </w:r>
      <w:r>
        <w:t xml:space="preserve"> </w:t>
      </w:r>
      <w:r>
        <w:t>. Together, these results uncover an unexpected developmental role of TRPA1 in heat resilience, linking a single mutational event to embryonic survival under thermal stress and highlighting ion-channel evolution in adaptation.</w:t>
      </w:r>
    </w:p>
    <w:p>
      <w:pPr>
        <w:spacing w:before="120" w:after="120"/>
      </w:pPr>
      <w:r>
        <w:rPr>
          <w:sz w:val="18"/>
        </w:rPr>
        <w:t>——————————————————————————————————————————————————————————————————————</w:t>
      </w:r>
    </w:p>
    <w:p>
      <w:pPr>
        <w:spacing w:before="160" w:after="40" w:line="240" w:lineRule="auto"/>
      </w:pPr>
      <w:r>
        <w:rPr>
          <w:b/>
        </w:rPr>
        <w:t xml:space="preserve">[1235] </w:t>
      </w:r>
      <w:hyperlink r:id="rId2096">
        <w:r>
          <w:rPr>
            <w:color w:val="1155CC"/>
            <w:u w:val="single"/>
          </w:rPr>
          <w:t>四丁氧基取代的五并苯：一种缺失的碗状环芳烃</w:t>
        </w:r>
      </w:hyperlink>
    </w:p>
    <w:p>
      <w:pPr>
        <w:spacing w:before="0" w:after="80"/>
      </w:pPr>
      <w:r>
        <w:rPr>
          <w:i/>
          <w:sz w:val="20"/>
        </w:rPr>
        <w:t>EN: Tetrabutoxy-substituted quintulene: A missing bowl-shaped cycloarene</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097">
        <w:r>
          <w:rPr>
            <w:color w:val="1155CC"/>
            <w:u w:val="single"/>
          </w:rPr>
          <w:t>10.1126/sciadv.aee3923</w:t>
        </w:r>
      </w:hyperlink>
    </w:p>
    <w:p>
      <w:pPr>
        <w:spacing w:before="0" w:after="120"/>
      </w:pPr>
      <w:r>
        <w:rPr>
          <w:b/>
        </w:rPr>
        <w:t xml:space="preserve">Notes: </w:t>
      </w:r>
      <w:r>
        <w:t>abstract_source=crossref</w:t>
      </w:r>
    </w:p>
    <w:p>
      <w:pPr>
        <w:spacing w:before="0" w:after="80" w:lineRule="auto" w:line="276"/>
      </w:pPr>
      <w:r>
        <w:rPr>
          <w:b/>
        </w:rPr>
        <w:t xml:space="preserve">摘要（ZH）: </w:t>
      </w:r>
      <w:r>
        <w:t>碗烯和薁烯的合成开创了蓬勃发展的碗状芳烃化学领域。Quintulene是环芳烃家族中长期缺失的一员，代表了一类独特的碗状芳香化合物，其曲率源于边缘拓扑和中心空腔。然而，由于其高几何张力，其合成四十多年来一直难以实现。本文报道了通过合理设计的折叠策略合成了四丁氧基取代的quintulene 1。单晶分析证实了其碗状几何结构，碗-碗翻转能垒为19.1 kcal/mol。Quintulene 1呈现Clar型定域芳香性，与其他环芳烃一致，但易发生加氢和过度氧化。值得注意的是，显著的结构张力削弱了quintulene 1苯环片段的局部芳香性，从而实现了几乎定量的五重Diels-Alder反应。这项工作不仅填补了环芳烃化学中的一个关键空白，也凸显了几何张力和电子结构如何重塑弯曲π体系中的反应性。</w:t>
      </w:r>
    </w:p>
    <w:p>
      <w:pPr>
        <w:spacing w:before="0" w:after="200" w:lineRule="auto" w:line="276"/>
      </w:pPr>
      <w:r>
        <w:rPr>
          <w:b/>
        </w:rPr>
        <w:t xml:space="preserve">Abstract (EN): </w:t>
      </w:r>
      <w:r>
        <w:t>The synthesis of corannulene and sumanene has pioneered the burgeoning field of buckybowl chemistry. Quintulene, a long-missing member of cycloarenes family, represents a distinctive type of bowl-shaped aromatics with curvature arising from edge topology and central cavity. Nevertheless, its synthesis has remained elusive for more than 40 years, primarily due to the high geometric strain. Herein we report the synthesis of tetrabutoxy-subtituted quintulene</w:t>
      </w:r>
      <w:r>
        <w:rPr>
          <w:vertAlign w:val="subscript"/>
        </w:rPr>
        <w:t>1</w:t>
      </w:r>
      <w:r>
        <w:t>through a rationally designed fold-in strategy. Single crystal analysis confirms the bowl-shaped geometry with a bowl-to-bowl inversion barrier of 19.1 kcal/mol. Quintulene</w:t>
      </w:r>
      <w:r>
        <w:rPr>
          <w:vertAlign w:val="subscript"/>
        </w:rPr>
        <w:t>1</w:t>
      </w:r>
      <w:r>
        <w:t>adopts a Clar-type localized aromatic character, consistent with other cycloarenes, but prone to hydrogenation and over-oxidation. Remarkably, the substantially structural strain attenuates local aromaticity in the benzenoid segments of quintulene</w:t>
      </w:r>
      <w:r>
        <w:rPr>
          <w:vertAlign w:val="subscript"/>
        </w:rPr>
        <w:t>1</w:t>
      </w:r>
      <w:r>
        <w:t>, enabling an almost quantitative fivefold Diels-Alder reaction. This work not only fills a critical gap in cycloarene chemistry but also underscores how geometric strain and electronic structure can reshape reactivity in curved π-systems.</w:t>
      </w:r>
    </w:p>
    <w:p>
      <w:pPr>
        <w:spacing w:before="120" w:after="120"/>
      </w:pPr>
      <w:r>
        <w:rPr>
          <w:sz w:val="18"/>
        </w:rPr>
        <w:t>——————————————————————————————————————————————————————————————————————</w:t>
      </w:r>
    </w:p>
    <w:p>
      <w:pPr>
        <w:spacing w:before="160" w:after="40" w:line="240" w:lineRule="auto"/>
      </w:pPr>
      <w:r>
        <w:rPr>
          <w:b/>
        </w:rPr>
        <w:t xml:space="preserve">[1236] </w:t>
      </w:r>
      <w:hyperlink r:id="rId2098">
        <w:r>
          <w:rPr>
            <w:color w:val="1155CC"/>
            <w:u w:val="single"/>
          </w:rPr>
          <w:t>靶向CTGF+癌症相关成纤维细胞可破坏胰腺导管腺癌中的肿瘤-基质串扰</w:t>
        </w:r>
      </w:hyperlink>
    </w:p>
    <w:p>
      <w:pPr>
        <w:spacing w:before="0" w:after="80"/>
      </w:pPr>
      <w:r>
        <w:rPr>
          <w:i/>
          <w:sz w:val="20"/>
        </w:rPr>
        <w:t>EN: Targeting CTGF+ cancer-associated fibroblasts disrupts tumor–stroma crosstalk in pancreatic ductal adenocarcinoma</w:t>
      </w:r>
    </w:p>
    <w:p>
      <w:pPr>
        <w:spacing w:before="0" w:after="120"/>
      </w:pPr>
      <w:r>
        <w:rPr>
          <w:b/>
        </w:rPr>
        <w:t xml:space="preserve">Source: </w:t>
      </w:r>
      <w:r>
        <w:t>Proceedings of the National Academy of Sciences: Keyword search for query</w:t>
      </w:r>
      <w:r>
        <w:t xml:space="preserve">    </w:t>
      </w:r>
      <w:r>
        <w:rPr>
          <w:b/>
        </w:rPr>
        <w:t xml:space="preserve">Pub date: </w:t>
      </w:r>
      <w:r>
        <w:t>2026-09-02 07:00:00+00:00</w:t>
      </w:r>
      <w:r>
        <w:t xml:space="preserve">    </w:t>
      </w:r>
      <w:r>
        <w:rPr>
          <w:b/>
        </w:rPr>
        <w:t xml:space="preserve">DOI: </w:t>
      </w:r>
      <w:hyperlink r:id="rId2099">
        <w:r>
          <w:rPr>
            <w:color w:val="1155CC"/>
            <w:u w:val="single"/>
          </w:rPr>
          <w:t>10.1073/pnas.2535905123</w:t>
        </w:r>
      </w:hyperlink>
    </w:p>
    <w:p>
      <w:pPr>
        <w:spacing w:before="0" w:after="120"/>
      </w:pPr>
      <w:r>
        <w:rPr>
          <w:b/>
        </w:rPr>
        <w:t xml:space="preserve">Notes: </w:t>
      </w:r>
      <w:r>
        <w:t>abstract_source=crossref</w:t>
      </w:r>
    </w:p>
    <w:p>
      <w:pPr>
        <w:spacing w:before="0" w:after="80" w:lineRule="auto" w:line="276"/>
      </w:pPr>
      <w:r>
        <w:rPr>
          <w:b/>
        </w:rPr>
        <w:t xml:space="preserve">摘要（ZH）: </w:t>
      </w:r>
      <w:r>
        <w:t>胰腺导管腺癌（PDAC）的特征是严重纤维化的肿瘤微环境（TME），主要由癌症相关成纤维细胞（CAFs）驱动。由于CAFs的高异质性和多样的生物学行为，目前针对CAFs的策略在临床上效果有限。本研究鉴定了一类以结缔组织生长因子（CTGF）高表达为标志的CAFs亚群，该亚群增强肿瘤细胞迁移并与晚期PDAC分期相关。通过结合计算机筛选和功能实验，我们鉴定出DP作为首个靶向CTGF的小分子抑制剂。对DP的结构优化合成了系列衍生物，并从中筛选出最优化合物QX03-46。用QX03-46靶向CTGF+ CAFs显著破坏了CTGF/TGF-β1信号轴并抑制了CAF功能，导致细胞外基质沉积和致炎细胞因子分泌减少。此外，它还增强了抗程序性细胞死亡配体1疗法的疗效，促进更有利的免疫反应。我们的发现阐明了CTGF+ CAFs在PDAC进展中的关键作用，并将QX03-46定位为靶向纤维化TME的有前景的治疗候选药物。</w:t>
      </w:r>
    </w:p>
    <w:p>
      <w:pPr>
        <w:spacing w:before="0" w:after="200" w:lineRule="auto" w:line="276"/>
      </w:pPr>
      <w:r>
        <w:rPr>
          <w:b/>
        </w:rPr>
        <w:t xml:space="preserve">Abstract (EN): </w:t>
      </w:r>
      <w:r>
        <w:t>Pancreatic ductal adenocarcinoma (PDAC) is characterized by a heavily fibrotic tumor microenvironment (TME), primarily driven by cancer-associated fibroblasts (CAFs). Due to the high heterogeneity and diverse biological behaviors of CAFs, the current strategies targeting CAFs have limited benefits in clinic. This study identifies a subset of CAFs marked by high expression of connective tissue growth factor (CTGF), which enhances tumor cell migration and correlates with advanced PDAC stages. By combining in silico screening and functional assays, we identified DP as a first-in-class small-molecule inhibitor targeting CTGF. Structural optimization of DP led to the synthesis of a series of derivatives, from which the optimal compound QX03-46 was identified. Targeting CTGF</w:t>
      </w:r>
      <w:r>
        <w:t xml:space="preserve"> </w:t>
      </w:r>
      <w:r>
        <w:t>+</w:t>
      </w:r>
      <w:r>
        <w:t xml:space="preserve"> </w:t>
      </w:r>
      <w:r>
        <w:t>CAFs with QX03-46 significantly disrupted the CTGF/TGF-β1 signaling axis and suppressed CAF functions, resulting in decreased extracellular matrix deposition and oncogenic cytokine secretion. Furthermore, it enhanced the efficacy of anti-programmed cell death ligand 1 therapy, promoting a more favorable immune response. Our findings illuminate the critical role of CTGF</w:t>
      </w:r>
      <w:r>
        <w:t xml:space="preserve"> </w:t>
      </w:r>
      <w:r>
        <w:t>+</w:t>
      </w:r>
      <w:r>
        <w:t xml:space="preserve"> </w:t>
      </w:r>
      <w:r>
        <w:t>CAFs in PDAC progression and position QX03-46 as a promising therapeutic candidate for targeting the fibrotic TME.</w:t>
      </w:r>
    </w:p>
    <w:p>
      <w:pPr>
        <w:spacing w:before="120" w:after="120"/>
      </w:pPr>
      <w:r>
        <w:rPr>
          <w:sz w:val="18"/>
        </w:rPr>
        <w:t>——————————————————————————————————————————————————————————————————————</w:t>
      </w:r>
    </w:p>
    <w:p>
      <w:pPr>
        <w:spacing w:before="160" w:after="40" w:line="240" w:lineRule="auto"/>
      </w:pPr>
      <w:r>
        <w:rPr>
          <w:b/>
        </w:rPr>
        <w:t xml:space="preserve">[1237] </w:t>
      </w:r>
      <w:hyperlink r:id="rId2100">
        <w:r>
          <w:rPr>
            <w:color w:val="1155CC"/>
            <w:u w:val="single"/>
          </w:rPr>
          <w:t>快速进化的蚜虫瘿效应蛋白表现出类似鞘脂激活蛋白的折叠结构</w:t>
        </w:r>
      </w:hyperlink>
    </w:p>
    <w:p>
      <w:pPr>
        <w:spacing w:before="0" w:after="80"/>
      </w:pPr>
      <w:r>
        <w:rPr>
          <w:i/>
          <w:sz w:val="20"/>
        </w:rPr>
        <w:t>EN: Rapidly evolving aphid gall effector proteins exhibit saposin-like folds</w:t>
      </w:r>
    </w:p>
    <w:p>
      <w:pPr>
        <w:spacing w:before="0" w:after="120"/>
      </w:pPr>
      <w:r>
        <w:rPr>
          <w:b/>
        </w:rPr>
        <w:t xml:space="preserve">Source: </w:t>
      </w:r>
      <w:r>
        <w:t>Proceedings of the National Academy of Sciences: Keyword search for query</w:t>
      </w:r>
      <w:r>
        <w:t xml:space="preserve">    </w:t>
      </w:r>
      <w:r>
        <w:rPr>
          <w:b/>
        </w:rPr>
        <w:t xml:space="preserve">Pub date: </w:t>
      </w:r>
      <w:r>
        <w:t>2026-09-02 07:00:00+00:00</w:t>
      </w:r>
      <w:r>
        <w:t xml:space="preserve">    </w:t>
      </w:r>
      <w:r>
        <w:rPr>
          <w:b/>
        </w:rPr>
        <w:t xml:space="preserve">DOI: </w:t>
      </w:r>
      <w:hyperlink r:id="rId2101">
        <w:r>
          <w:rPr>
            <w:color w:val="1155CC"/>
            <w:u w:val="single"/>
          </w:rPr>
          <w:t>10.1073/pnas.2609639123</w:t>
        </w:r>
      </w:hyperlink>
    </w:p>
    <w:p>
      <w:pPr>
        <w:spacing w:before="0" w:after="120"/>
      </w:pPr>
      <w:r>
        <w:rPr>
          <w:b/>
        </w:rPr>
        <w:t xml:space="preserve">Notes: </w:t>
      </w:r>
      <w:r>
        <w:t>abstract_source=crossref</w:t>
      </w:r>
    </w:p>
    <w:p>
      <w:pPr>
        <w:spacing w:before="0" w:after="80" w:lineRule="auto" w:line="276"/>
      </w:pPr>
      <w:r>
        <w:rPr>
          <w:b/>
        </w:rPr>
        <w:t xml:space="preserve">摘要（ZH）: </w:t>
      </w:r>
      <w:r>
        <w:t>许多昆虫通过注入效应蛋白来操控植物。在这种分子"劫持"的一个极端例子中，Hormaphis cornu蚜虫将bicycle蛋白注入Hamamelis virginiana，促成了被称为虫瘿的新器官的发育。Bicycle蛋白与已知功能的蛋白没有氨基酸序列相似性。在此，我们报道了两种不同bicycle蛋白的晶体结构。两种蛋白都含有saposin样折叠：一种具有多个二硫键，表现出交换的结构域拓扑；另一种没有二硫键，具有两个不同的串联结构域。为探索bicycle蛋白的结构进化，我们尝试用Alphafold2（AF2）和其他深度学习程序预测bicycle蛋白结构。虽然AF2利用现有数据库未能恢复这两个实验结构，但在提供新测序的近缘物种蛋白序列的多序列比对（MSAs）后获得了成功。利用该方法，我们从七种蚜虫物种中生成了2,400个高置信度的bicycle蛋白预测。虽然所有蚜虫bicycle蛋白都含有预测的saposin样折叠，但它们表现出极其多样的结构和物理化学性质。尽管这种多样性阻碍了对结构中编码的保守功能的预测，但它表明bicycle蛋白已进化为靶向多样的植物过程和/或逃避植物免疫监视。我们通过近缘物种蛋白的自定义MSAs对AF2的扩展</w:t>
      </w:r>
    </w:p>
    <w:p>
      <w:pPr>
        <w:spacing w:before="0" w:after="200" w:lineRule="auto" w:line="276"/>
      </w:pPr>
      <w:r>
        <w:rPr>
          <w:b/>
        </w:rPr>
        <w:t xml:space="preserve">Abstract (EN): </w:t>
      </w:r>
      <w:r>
        <w:t>Many insects manipulate plants by injecting effector proteins. In one extreme example of this molecular “hijacking,”</w:t>
      </w:r>
      <w:r>
        <w:t xml:space="preserve"> </w:t>
      </w:r>
      <w:r>
        <w:t>Hormaphis cornu</w:t>
      </w:r>
      <w:r>
        <w:t xml:space="preserve"> </w:t>
      </w:r>
      <w:r>
        <w:t>aphids inject bicycle proteins into</w:t>
      </w:r>
      <w:r>
        <w:t xml:space="preserve"> </w:t>
      </w:r>
      <w:r>
        <w:t>Hamamelis virginiana</w:t>
      </w:r>
      <w:r>
        <w:t xml:space="preserve"> </w:t>
      </w:r>
      <w:r>
        <w:t>, contributing to the development of novel organs called galls. Bicycle proteins share no amino acid sequence similarity with proteins of known function. Here, we report the crystal structures of two divergent bicycle proteins. Both proteins contain saposin-like folds: one with multiple disulfide bonds exhibits a swapped domain topology; the other has no disulfide bonds and possesses two distinct, tandem domains. To explore the structural evolution of bicycle proteins, we attempted to predict bicycle protein structures with Alphafold2 (AF2) and other deep learning programs. While AF2 did not recover the two experimental structures using existing databases, it succeeded when provided with multiple sequence alignments (MSAs) of protein sequences from newly sequenced closely related species. Using this approach, we generated 2,400 high-confidence bicycle protein predictions from seven aphid species. While all aphid bicycle proteins contain predicted saposin-like folds, they display a vast diversity of structural and physicochemical properties. While this diversity thwarts prediction of conserved functions encoded in structure, it suggests that bicycle proteins have evolved to target diverse plant processes and/or to evade plant immune surveillance. Our extension of AF2 with custom MSAs of proteins from closely related species provides a generalizable, powerful approach for predicting structures of rapidly evolving protein families.</w:t>
      </w:r>
    </w:p>
    <w:p>
      <w:pPr>
        <w:spacing w:before="120" w:after="120"/>
      </w:pPr>
      <w:r>
        <w:rPr>
          <w:sz w:val="18"/>
        </w:rPr>
        <w:t>——————————————————————————————————————————————————————————————————————</w:t>
      </w:r>
    </w:p>
    <w:p>
      <w:pPr>
        <w:spacing w:before="160" w:after="40" w:line="240" w:lineRule="auto"/>
      </w:pPr>
      <w:r>
        <w:rPr>
          <w:b/>
        </w:rPr>
        <w:t xml:space="preserve">[1238] </w:t>
      </w:r>
      <w:hyperlink r:id="rId2102">
        <w:r>
          <w:rPr>
            <w:color w:val="1155CC"/>
            <w:u w:val="single"/>
          </w:rPr>
          <w:t>KRAS是丛状神经纤维瘤形成所必需的，并代表已形成肿瘤中一种可靶向的脆弱性</w:t>
        </w:r>
      </w:hyperlink>
    </w:p>
    <w:p>
      <w:pPr>
        <w:spacing w:before="0" w:after="80"/>
      </w:pPr>
      <w:r>
        <w:rPr>
          <w:i/>
          <w:sz w:val="20"/>
        </w:rPr>
        <w:t>EN: KRAS is required for plexiform neurofibroma formation and represents a targetable vulnerability in established tumors</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103">
        <w:r>
          <w:rPr>
            <w:color w:val="1155CC"/>
            <w:u w:val="single"/>
          </w:rPr>
          <w:t>10.1126/sciadv.aeg3475</w:t>
        </w:r>
      </w:hyperlink>
    </w:p>
    <w:p>
      <w:pPr>
        <w:spacing w:before="0" w:after="120"/>
      </w:pPr>
      <w:r>
        <w:rPr>
          <w:b/>
        </w:rPr>
        <w:t xml:space="preserve">Notes: </w:t>
      </w:r>
      <w:r>
        <w:t>abstract_source=crossref</w:t>
      </w:r>
    </w:p>
    <w:p>
      <w:pPr>
        <w:spacing w:before="0" w:after="80" w:lineRule="auto" w:line="276"/>
      </w:pPr>
      <w:r>
        <w:rPr>
          <w:b/>
        </w:rPr>
        <w:t xml:space="preserve">摘要（ZH）: </w:t>
      </w:r>
      <w:r>
        <w:t>1型神经纤维瘤病患者会发展为称为神经纤维瘤的施万细胞肿瘤，其发生于外周神经内，由神经纤维蛋白缺失及随之增强的RAS/RAF/MEK信号驱动。MEK抑制剂对良性神经纤维瘤可实现部分缓解，但受限于毒性和不完全的疗效，因此需要替代策略。利用Dhh-Cre; Nf1 fl/fl神经纤维瘤小鼠模型，我们发现Kras而非Hras的基因消融显著减少了神经纤维瘤的发生，抑制了MAPK激活，并挽救了作为神经纤维瘤形态学标志的受损Remak束。这些发现揭示了NF1缺陷型神经纤维瘤发生过程中RAS同源基因对KRAS的特异性需求。使用BI6674（一种口服生物可利用的KRAS multi抑制剂）进行KRAS药理学抑制，可减小已形成神经纤维瘤的肿瘤体积和增殖，并重塑肿瘤免疫微环境，减少巨噬细胞和树突状细胞。KRAS与MEK抑制联合使用进一步增强肿瘤消退。这些发现表明KRAS对神经纤维瘤的形成至关重要，是一个有前景的治疗靶点，支持对1型神经纤维瘤病患者进行KRAS抑制的临床评估。</w:t>
      </w:r>
    </w:p>
    <w:p>
      <w:pPr>
        <w:spacing w:before="0" w:after="200" w:lineRule="auto" w:line="276"/>
      </w:pPr>
      <w:r>
        <w:rPr>
          <w:b/>
        </w:rPr>
        <w:t xml:space="preserve">Abstract (EN): </w:t>
      </w:r>
      <w:r>
        <w:t>Patients with neurofibromatosis type 1 develop Schwann cell tumors called neurofibromas that arise within peripheral nerves, driven by loss of neurofibromin and consequent increased RAS/RAF/MEK signaling. MEK inhibitors achieve partial responses for benign neurofibromas but are limited by toxicity and incomplete efficacy, necessitating alternative approaches. Using the</w:t>
      </w:r>
      <w:r>
        <w:t xml:space="preserve"> </w:t>
      </w:r>
      <w:r>
        <w:t>Dhh-</w:t>
      </w:r>
      <w:r>
        <w:t>Cre;</w:t>
      </w:r>
      <w:r>
        <w:t xml:space="preserve"> </w:t>
      </w:r>
      <w:r>
        <w:t>Nf1</w:t>
      </w:r>
      <w:r>
        <w:t xml:space="preserve"> </w:t>
      </w:r>
      <w:r>
        <w:t>fl/fl</w:t>
      </w:r>
      <w:r>
        <w:t xml:space="preserve"> </w:t>
      </w:r>
      <w:r>
        <w:t>neurofibroma mouse model, we found that genetic ablation of</w:t>
      </w:r>
      <w:r>
        <w:t xml:space="preserve"> </w:t>
      </w:r>
      <w:r>
        <w:t>Kras</w:t>
      </w:r>
      <w:r>
        <w:t xml:space="preserve"> </w:t>
      </w:r>
      <w:r>
        <w:t>, but not</w:t>
      </w:r>
      <w:r>
        <w:t xml:space="preserve"> </w:t>
      </w:r>
      <w:r>
        <w:t>Hras</w:t>
      </w:r>
      <w:r>
        <w:t xml:space="preserve"> </w:t>
      </w:r>
      <w:r>
        <w:t>, markedly reduced neurofibroma development, inhibited MAPK activation, and rescued disrupted Remak bundles that are a morphologic hallmark of neurofibromas. These findings reveal a RAS paralog–specific requirement for KRAS in NF1-deficient neurofibroma initiation. Pharmacological KRAS inhibition with BI6674, an orally bioavailable KRAS</w:t>
      </w:r>
      <w:r>
        <w:t xml:space="preserve"> </w:t>
      </w:r>
      <w:r>
        <w:t>multi</w:t>
      </w:r>
      <w:r>
        <w:t xml:space="preserve"> </w:t>
      </w:r>
      <w:r>
        <w:t>inhibitor, reduced tumor volume and proliferation in established neurofibromas and remodeled the tumor immune microenvironment, decreasing macrophages and dendritic cells. Combining KRAS and MEK inhibition further enhanced tumor regression. These findings demonstrate that KRAS is essential for neurofibroma formation and represents a promising therapeutic target, supporting clinical evaluation of KRAS inhibition for neurofibromas in patients with neurofibromatosis type 1.</w:t>
      </w:r>
    </w:p>
    <w:p>
      <w:pPr>
        <w:spacing w:before="120" w:after="120"/>
      </w:pPr>
      <w:r>
        <w:rPr>
          <w:sz w:val="18"/>
        </w:rPr>
        <w:t>——————————————————————————————————————————————————————————————————————</w:t>
      </w:r>
    </w:p>
    <w:p>
      <w:pPr>
        <w:spacing w:before="160" w:after="40" w:line="240" w:lineRule="auto"/>
      </w:pPr>
      <w:r>
        <w:rPr>
          <w:b/>
        </w:rPr>
        <w:t xml:space="preserve">[1239] </w:t>
      </w:r>
      <w:hyperlink r:id="rId2104">
        <w:r>
          <w:rPr>
            <w:color w:val="1155CC"/>
            <w:u w:val="single"/>
          </w:rPr>
          <w:t>通过液态泡沫流变学实现柔性电子器件的自适应与可重构转印</w:t>
        </w:r>
      </w:hyperlink>
    </w:p>
    <w:p>
      <w:pPr>
        <w:spacing w:before="0" w:after="80"/>
      </w:pPr>
      <w:r>
        <w:rPr>
          <w:i/>
          <w:sz w:val="20"/>
        </w:rPr>
        <w:t>EN: Self-adaptive and configurable transfer printing of flexible electronics via rheology of liquid foam</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105">
        <w:r>
          <w:rPr>
            <w:color w:val="1155CC"/>
            <w:u w:val="single"/>
          </w:rPr>
          <w:t>10.1126/sciadv.aee2721</w:t>
        </w:r>
      </w:hyperlink>
    </w:p>
    <w:p>
      <w:pPr>
        <w:spacing w:before="0" w:after="120"/>
      </w:pPr>
      <w:r>
        <w:rPr>
          <w:b/>
        </w:rPr>
        <w:t xml:space="preserve">Notes: </w:t>
      </w:r>
      <w:r>
        <w:t>abstract_source=crossref</w:t>
      </w:r>
    </w:p>
    <w:p>
      <w:pPr>
        <w:spacing w:before="0" w:after="80" w:lineRule="auto" w:line="276"/>
      </w:pPr>
      <w:r>
        <w:rPr>
          <w:b/>
        </w:rPr>
        <w:t xml:space="preserve">摘要（ZH）: </w:t>
      </w:r>
      <w:r>
        <w:t>柔性电子器件（FEs）有望赋予物体电子学的优势和功能。关键在于将制造好的FEs从原始刚性基底转移并印刷到目标物上。然而，由于固体或液体印章的机械性能不可改变，现有转印技术的适用场景有限。在此，我们基于液体泡沫独特的流变学特性开发了一种自适应、可重构的转印方法，能够将超薄FEs保形、三维且无创地集成到任意表面上。液体泡沫在固态和液态之间表现出自适应的机械性能，可在弹性行为、塑性行为和动态行为之间自发转换。我们证明，液体泡沫可以无缺陷地支撑保持形状的FEs，以无应力的方式将FEs转变为不规则形貌，并将FEs的应用拓展到半封闭物体（即颅腔）的内表面，而这些在此前几乎无法实现。该方法克服了当前技术的关键瓶颈，为FEs在可穿戴设备和脑机接口领域开辟了众多机遇。</w:t>
      </w:r>
    </w:p>
    <w:p>
      <w:pPr>
        <w:spacing w:before="0" w:after="200" w:lineRule="auto" w:line="276"/>
      </w:pPr>
      <w:r>
        <w:rPr>
          <w:b/>
        </w:rPr>
        <w:t xml:space="preserve">Abstract (EN): </w:t>
      </w:r>
      <w:r>
        <w:t>Flexible electronics (FEs) have the potential to endow objects with the virtues and functionalities of electronics. The key is transferring manufactured FEs from original rigid substrates and printing onto targets. However, existing transfer printing accommodates limited circumstances due to immutable mechanical properties of either solid or liquid stamps. Here, a self-adaptive, configurable transfer printing method is developed based on the unique rheology of liquid foam that enables integration of ultrathin FEs onto arbitrary surfaces conformally, three-dimensionally and non-invasively. The liquid foam exhibits adaptive mechanical properties between solid and liquid, converting among elastic, plastic and dynamic behaviors spontaneously. We demonstrate liquid foam can support FEs with shape maintained prepared with no defect, transform FEs to irregular topographies in a stress-free manner, and extend the reach of FEs to inner surfaces of semi-closed objects i.e., cranial cavity, which were barely feasible before. This approach overcomes key bottlenecks of current technologies and opens numerous opportunities for FEs in wearables and brain-computer interfaces.</w:t>
      </w:r>
    </w:p>
    <w:p>
      <w:pPr>
        <w:spacing w:before="120" w:after="120"/>
      </w:pPr>
      <w:r>
        <w:rPr>
          <w:sz w:val="18"/>
        </w:rPr>
        <w:t>——————————————————————————————————————————————————————————————————————</w:t>
      </w:r>
    </w:p>
    <w:p>
      <w:pPr>
        <w:spacing w:before="160" w:after="40" w:line="240" w:lineRule="auto"/>
      </w:pPr>
      <w:r>
        <w:rPr>
          <w:b/>
        </w:rPr>
        <w:t xml:space="preserve">[1240] </w:t>
      </w:r>
      <w:hyperlink r:id="rId2106">
        <w:r>
          <w:rPr>
            <w:color w:val="1155CC"/>
            <w:u w:val="single"/>
          </w:rPr>
          <w:t>通过Col9 mRNA恢复骨关节炎前软骨基质完整性以阻止骨关节炎进展</w:t>
        </w:r>
      </w:hyperlink>
    </w:p>
    <w:p>
      <w:pPr>
        <w:spacing w:before="0" w:after="80"/>
      </w:pPr>
      <w:r>
        <w:rPr>
          <w:i/>
          <w:sz w:val="20"/>
        </w:rPr>
        <w:t>EN: Restoring pre-osteoarthritis cartilage matrix integrity via Col9 mRNA halts osteoarthritis progression</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107">
        <w:r>
          <w:rPr>
            <w:color w:val="1155CC"/>
            <w:u w:val="single"/>
          </w:rPr>
          <w:t>10.1126/sciadv.aef9739</w:t>
        </w:r>
      </w:hyperlink>
    </w:p>
    <w:p>
      <w:pPr>
        <w:spacing w:before="0" w:after="120"/>
      </w:pPr>
      <w:r>
        <w:rPr>
          <w:b/>
        </w:rPr>
        <w:t xml:space="preserve">Notes: </w:t>
      </w:r>
      <w:r>
        <w:t>abstract_source=crossref</w:t>
      </w:r>
    </w:p>
    <w:p>
      <w:pPr>
        <w:spacing w:before="0" w:after="80" w:lineRule="auto" w:line="276"/>
      </w:pPr>
      <w:r>
        <w:rPr>
          <w:b/>
        </w:rPr>
        <w:t xml:space="preserve">摘要（ZH）: </w:t>
      </w:r>
      <w:r>
        <w:t>骨关节炎（OA）是一种常见的退行性关节疾病，其特征是软骨的进行性破坏。在本研究中，我们试图利用基于纳米压痕的力学测试以及软骨基质中胶原组织结构的评估，来定义骨关节炎前期（pre-OA）状态。弹性模量的降低和粘弹性的受损先于任何明显的组织学退变。这种力学功能障碍主要由II型胶原的早期紊乱所驱动，发生在软骨成分大量耗竭之前。我们随后鉴定出IX型胶原（Col IX），其在pre-OA阶段发挥关键作用。关节腔内注射由聚合物基纳米胶束递送的Col9 mRNA，可将pre-OA软骨恢复为健康的、接近天然的胶原网络结构，并保持软骨力学完整性，最终在大鼠模型中阻止OA的进展。这些发现将粘弹性功能障碍确定为pre-OA软骨的早期生物力学标志，并将Col9 mRNA确立为预防OA发病的潜在抗OA药物。总之，这些结果提供了一个可转化的框架，其中定量的力学-超微结构指标可指导退行性疾病的超早期、症状前干预。</w:t>
      </w:r>
    </w:p>
    <w:p>
      <w:pPr>
        <w:spacing w:before="0" w:after="200" w:lineRule="auto" w:line="276"/>
      </w:pPr>
      <w:r>
        <w:rPr>
          <w:b/>
        </w:rPr>
        <w:t xml:space="preserve">Abstract (EN): </w:t>
      </w:r>
      <w:r>
        <w:t>Osteoarthritis (OA) is a prevalent degenerative joint disease characterized by the progressive breakdown of cartilage. Here, we sought to define a pre-osteoarthritis (pre-OA) state using nanoindentation-based mechanical testing and evaluation of collagen organization in cartilage matrix. The reductions in elastic modulus and impaired viscoelasticity preceded any overt histological degeneration. This mechanical dysfunction was primarily driven by early disorganization of type II collagen, occurring before substantial depletion of cartilage components. We subsequently identified type IX collagen (Col IX), which played a critical role at the pre-OA stage. Intra-articular administration of</w:t>
      </w:r>
      <w:r>
        <w:t xml:space="preserve"> </w:t>
      </w:r>
      <w:r>
        <w:t>Col9</w:t>
      </w:r>
      <w:r>
        <w:t xml:space="preserve"> </w:t>
      </w:r>
      <w:r>
        <w:t>mRNAs delivered by polymer-based nanomicelle restored pre-OA cartilage to a healthy, native-like collagen network architecture and preserved cartilage mechanical integrity, ultimately halting OA progression in the rat model. These findings identify viscoelastic dysfunction as an early biomechanical hallmark of pre-OA cartilage and establish</w:t>
      </w:r>
      <w:r>
        <w:t xml:space="preserve"> </w:t>
      </w:r>
      <w:r>
        <w:t>Col9</w:t>
      </w:r>
      <w:r>
        <w:t xml:space="preserve"> </w:t>
      </w:r>
      <w:r>
        <w:t>mRNA as a potential anti-OA drug to prevent its onset. Together, these results provide a translatable framework in which quantitative mechanical-ultrastructural metrics guide ultra-early, presymptomatic intervention for degenerative diseases.</w:t>
      </w:r>
    </w:p>
    <w:p>
      <w:pPr>
        <w:spacing w:before="120" w:after="120"/>
      </w:pPr>
      <w:r>
        <w:rPr>
          <w:sz w:val="18"/>
        </w:rPr>
        <w:t>——————————————————————————————————————————————————————————————————————</w:t>
      </w:r>
    </w:p>
    <w:p>
      <w:pPr>
        <w:spacing w:before="160" w:after="40" w:line="240" w:lineRule="auto"/>
      </w:pPr>
      <w:r>
        <w:rPr>
          <w:b/>
        </w:rPr>
        <w:t xml:space="preserve">[1241] </w:t>
      </w:r>
      <w:hyperlink r:id="rId2108">
        <w:r>
          <w:rPr>
            <w:color w:val="1155CC"/>
            <w:u w:val="single"/>
          </w:rPr>
          <w:t>海洋渔业中鱼类生产力的骤降往往先于种群崩溃出现</w:t>
        </w:r>
      </w:hyperlink>
    </w:p>
    <w:p>
      <w:pPr>
        <w:spacing w:before="0" w:after="80"/>
      </w:pPr>
      <w:r>
        <w:rPr>
          <w:i/>
          <w:sz w:val="20"/>
        </w:rPr>
        <w:t>EN: Abrupt declines in fish productivity often precede stock collapses in marine fisheries</w:t>
      </w:r>
    </w:p>
    <w:p>
      <w:pPr>
        <w:spacing w:before="0" w:after="120"/>
      </w:pPr>
      <w:r>
        <w:rPr>
          <w:b/>
        </w:rPr>
        <w:t xml:space="preserve">Source: </w:t>
      </w:r>
      <w:r>
        <w:t>AAAS: Science Advances: Table of Contents</w:t>
      </w:r>
      <w:r>
        <w:t xml:space="preserve">    </w:t>
      </w:r>
      <w:r>
        <w:rPr>
          <w:b/>
        </w:rPr>
        <w:t xml:space="preserve">Pub date: </w:t>
      </w:r>
      <w:r>
        <w:t>2026-09-02 07:00:00+00:00</w:t>
      </w:r>
      <w:r>
        <w:t xml:space="preserve">    </w:t>
      </w:r>
      <w:r>
        <w:rPr>
          <w:b/>
        </w:rPr>
        <w:t xml:space="preserve">DOI: </w:t>
      </w:r>
      <w:hyperlink r:id="rId2109">
        <w:r>
          <w:rPr>
            <w:color w:val="1155CC"/>
            <w:u w:val="single"/>
          </w:rPr>
          <w:t>10.1126/sciadv.aed7911</w:t>
        </w:r>
      </w:hyperlink>
    </w:p>
    <w:p>
      <w:pPr>
        <w:spacing w:before="0" w:after="120"/>
      </w:pPr>
      <w:r>
        <w:rPr>
          <w:b/>
        </w:rPr>
        <w:t xml:space="preserve">Notes: </w:t>
      </w:r>
      <w:r>
        <w:t>abstract_source=crossref</w:t>
      </w:r>
    </w:p>
    <w:p>
      <w:pPr>
        <w:spacing w:before="0" w:after="80" w:lineRule="auto" w:line="276"/>
      </w:pPr>
      <w:r>
        <w:rPr>
          <w:b/>
        </w:rPr>
        <w:t xml:space="preserve">摘要（ZH）: </w:t>
      </w:r>
      <w:r>
        <w:t>海洋生物正面临包括气候变化和过度捕捞在内的多重压力，当这些压力导致鱼类生产力出现大幅、突然且持久的转变时，可能会威胁渔业的可持续性。海洋系统突变的报告并不少见，但对其发生情况和驱动因素的全球性评估严重缺乏。在此，我们对全球官方机构评估渔业的鱼类种群生产力时间动态进行了系统分类。在分析的315个鱼类种群中，超过四分之一检测到生产力突变。在变暖速率最高的海域，生产力骤降显著过多，而在捕捞强度较低的情况下，生产力骤升更为可能。我们还证明，在发生转变的种群中，约四分之一的种群在崩溃前约十年即出现生产力骤降。总体而言，我们的结果突出了考虑生产力突变的重要性，以防止在变暖的海洋中鱼类种群崩溃风险不断上升。</w:t>
      </w:r>
    </w:p>
    <w:p>
      <w:pPr>
        <w:spacing w:before="0" w:after="200" w:lineRule="auto" w:line="276"/>
      </w:pPr>
      <w:r>
        <w:rPr>
          <w:b/>
        </w:rPr>
        <w:t xml:space="preserve">Abstract (EN): </w:t>
      </w:r>
      <w:r>
        <w:t>Marine life is under multiple pressures, including climate change and overfishing, which can threaten fishery sustainability especially when it results in large, abrupt, and persistent shifts in fish productivity. Reports of abrupt shifts in marine systems are not uncommon, but a global assessment of their occurrence and drivers is seriously lacking. Here, we systematically classified the temporal dynamics of fish stock productivity from agency-assessed fisheries worldwide. We detected productivity abrupt shift in more than a quarter of the 315 fish stocks analyzed. Abrupt declines were markedly overrepresented in marine regions with highest warming rates, while abrupt increases were more likely under lower fishing intensity. We also demonstrate that abrupt productivity declines preceded stock collapses by about a decade in a quarter of the stocks that shifted. Overall, our results highlight the importance of considering productivity abrupt shifts to prevent an increasing risk of fish population collapse in warming oceans.</w:t>
      </w:r>
    </w:p>
    <w:p>
      <w:pPr>
        <w:spacing w:before="120" w:after="120"/>
      </w:pPr>
      <w:r>
        <w:rPr>
          <w:sz w:val="18"/>
        </w:rPr>
        <w:t>——————————————————————————————————————————————————————————————————————</w:t>
      </w:r>
    </w:p>
    <w:p>
      <w:pPr>
        <w:spacing w:before="160" w:after="40" w:line="240" w:lineRule="auto"/>
      </w:pPr>
      <w:r>
        <w:rPr>
          <w:b/>
        </w:rPr>
        <w:t xml:space="preserve">[1242] </w:t>
      </w:r>
      <w:hyperlink r:id="rId2110">
        <w:r>
          <w:rPr>
            <w:color w:val="1155CC"/>
            <w:u w:val="single"/>
          </w:rPr>
          <w:t>磁场可调的回旋加速器双曲极化激元</w:t>
        </w:r>
      </w:hyperlink>
    </w:p>
    <w:p>
      <w:pPr>
        <w:spacing w:before="0" w:after="80"/>
      </w:pPr>
      <w:r>
        <w:rPr>
          <w:i/>
          <w:sz w:val="20"/>
        </w:rPr>
        <w:t>EN: Magnetic-field-tunable cyclotron hyperbolic polaritons</w:t>
      </w:r>
    </w:p>
    <w:p>
      <w:pPr>
        <w:spacing w:before="0" w:after="120"/>
      </w:pPr>
      <w:r>
        <w:rPr>
          <w:b/>
        </w:rPr>
        <w:t xml:space="preserve">Source: </w:t>
      </w:r>
      <w:r>
        <w:t>Proceedings of the National Academy of Sciences: Keyword search for query</w:t>
      </w:r>
      <w:r>
        <w:t xml:space="preserve">    </w:t>
      </w:r>
      <w:r>
        <w:rPr>
          <w:b/>
        </w:rPr>
        <w:t xml:space="preserve">Pub date: </w:t>
      </w:r>
      <w:r>
        <w:t>2026-09-02 07:00:00+00:00</w:t>
      </w:r>
      <w:r>
        <w:t xml:space="preserve">    </w:t>
      </w:r>
      <w:r>
        <w:rPr>
          <w:b/>
        </w:rPr>
        <w:t xml:space="preserve">DOI: </w:t>
      </w:r>
      <w:hyperlink r:id="rId2111">
        <w:r>
          <w:rPr>
            <w:color w:val="1155CC"/>
            <w:u w:val="single"/>
          </w:rPr>
          <w:t>10.1073/pnas.2538165123</w:t>
        </w:r>
      </w:hyperlink>
    </w:p>
    <w:p>
      <w:pPr>
        <w:spacing w:before="0" w:after="120"/>
      </w:pPr>
      <w:r>
        <w:rPr>
          <w:b/>
        </w:rPr>
        <w:t xml:space="preserve">Notes: </w:t>
      </w:r>
      <w:r>
        <w:t>abstract_source=crossref</w:t>
      </w:r>
    </w:p>
    <w:p>
      <w:pPr>
        <w:spacing w:before="0" w:after="80" w:lineRule="auto" w:line="276"/>
      </w:pPr>
      <w:r>
        <w:rPr>
          <w:b/>
        </w:rPr>
        <w:t xml:space="preserve">摘要（ZH）: </w:t>
      </w:r>
      <w:r>
        <w:t>双曲极化激元通常与结构各向异性或声子Reststrahlen带相关联。在此，我们预测了一类由磁场诱导的载流子回旋运动产生的双曲极化激元。当垂直磁场施加于高迁移率半金属时，回旋响应使面内介电函数在回旋共振频率以下由类金属转变为类绝缘体，而面外响应仍保持金属性。这种各向异性形成了支持场可调回旋双曲极化激元的双曲介电环境。我们建立了包含与其他集体激发耦合的综合性理论框架，并预测了回旋双曲极化激元的特征性太赫兹近场信号，为其未来的实验观测提供了指导。我们的工作确立了回旋运动作为产生双曲极化激元的一条途径，并为磁可编程纳米光子学构建了一个多功能平台。</w:t>
      </w:r>
    </w:p>
    <w:p>
      <w:pPr>
        <w:spacing w:before="0" w:after="200" w:lineRule="auto" w:line="276"/>
      </w:pPr>
      <w:r>
        <w:rPr>
          <w:b/>
        </w:rPr>
        <w:t xml:space="preserve">Abstract (EN): </w:t>
      </w:r>
      <w:r>
        <w:t>Hyperbolic polaritons are conventionally associated with structural anisotropy or phononic Reststrahlen bands. Here, we predict a class of hyperbolic polaritons arising from magnetic-field-induced cyclotron motion of charge carriers. When a perpendicular magnetic field is applied to high-mobility semimetals, the cyclotron response drives the in-plane dielectric function from metallic- to insulating-like below the cyclotron resonance frequency, while the out-of-plane response remains metallic. This anisotropy creates a hyperbolic dielectric environment that supports field-tunable cyclotron hyperbolic polaritons. We develop a comprehensive theoretical framework incorporating coupling to other collective excitations and predict characteristic terahertz near-field signatures of cyclotron hyperbolic polaritons, providing guidance for their future experimental observation. Our work identifies cyclotron motion as a route to hyperbolic polaritons and establishes a versatile platform for magnetically programmable nanophotonics.</w:t>
      </w:r>
    </w:p>
    <w:p>
      <w:pPr>
        <w:spacing w:before="120" w:after="120"/>
      </w:pPr>
      <w:r>
        <w:rPr>
          <w:sz w:val="18"/>
        </w:rPr>
        <w:t>——————————————————————————————————————————————————————————————————————</w:t>
      </w:r>
    </w:p>
    <w:p>
      <w:pPr>
        <w:spacing w:before="160" w:after="40" w:line="240" w:lineRule="auto"/>
      </w:pPr>
      <w:r>
        <w:rPr>
          <w:b/>
        </w:rPr>
        <w:t xml:space="preserve">[1243] </w:t>
      </w:r>
      <w:hyperlink r:id="rId2112">
        <w:r>
          <w:rPr>
            <w:color w:val="1155CC"/>
            <w:u w:val="single"/>
          </w:rPr>
          <w:t>从野生到家养：海马调控与演化的单细胞转录组学视角</w:t>
        </w:r>
      </w:hyperlink>
    </w:p>
    <w:p>
      <w:pPr>
        <w:spacing w:before="0" w:after="80"/>
      </w:pPr>
      <w:r>
        <w:rPr>
          <w:i/>
          <w:sz w:val="20"/>
        </w:rPr>
        <w:t>EN: From wild to domestic: Single-cell transcriptomic perspectives on hippocampal regulation and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2026-09-02 07:00:00+00:00</w:t>
      </w:r>
      <w:r>
        <w:t xml:space="preserve">    </w:t>
      </w:r>
      <w:r>
        <w:rPr>
          <w:b/>
        </w:rPr>
        <w:t xml:space="preserve">DOI: </w:t>
      </w:r>
      <w:hyperlink r:id="rId2113">
        <w:r>
          <w:rPr>
            <w:color w:val="1155CC"/>
            <w:u w:val="single"/>
          </w:rPr>
          <w:t>10.1073/pnas.2602503123</w:t>
        </w:r>
      </w:hyperlink>
    </w:p>
    <w:p>
      <w:pPr>
        <w:spacing w:before="0" w:after="120"/>
      </w:pPr>
      <w:r>
        <w:rPr>
          <w:b/>
        </w:rPr>
        <w:t xml:space="preserve">Notes: </w:t>
      </w:r>
      <w:r>
        <w:t>abstract_source=crossref</w:t>
      </w:r>
    </w:p>
    <w:p>
      <w:pPr>
        <w:spacing w:before="0" w:after="80" w:lineRule="auto" w:line="276"/>
      </w:pPr>
      <w:r>
        <w:rPr>
          <w:b/>
        </w:rPr>
        <w:t xml:space="preserve">摘要（ZH）: </w:t>
      </w:r>
      <w:r>
        <w:t>驯化如何塑造大脑进化仍是一个悬而未决的问题。在本研究中，我们整合了单核RNA测序、群体基因组学和机器学习方法来研究驯化过程中的海马进化。跨物种比较显示，海马细胞类型图谱在脊椎动物物种间高度保守，同时支持鸟类成体海马神经发生的存在。我们进一步发现，驯化和选育可能影响海马的细胞组成和分子调控。我们的发现为驯化影响成体海马神经发生的假说提供了细胞层面的证据。此外，我们发现与神经祖细胞状态和细胞标志物程序相关的基因富集选择信号。其中许多基因作为神经发生的调节因子以及介导压力和恐惧减轻的通路发挥作用。具体而言，我们在FKBP5启动子区发现了选择信号，这可能影响其在神经祖细胞谱系中的表达，并可能在驯化过程中对压力反应的调节发挥作用。总之，这些结果表明驯化与海马重塑相关，是对人类管理环境适应性反应的一部分。本研究为驯化如何重塑大脑提供了细胞和遗传学视角，并为在微进化背景下进一步研究神经进化机制奠定了基础。</w:t>
      </w:r>
    </w:p>
    <w:p>
      <w:pPr>
        <w:spacing w:before="0" w:after="200" w:lineRule="auto" w:line="276"/>
      </w:pPr>
      <w:r>
        <w:rPr>
          <w:b/>
        </w:rPr>
        <w:t xml:space="preserve">Abstract (EN): </w:t>
      </w:r>
      <w:r>
        <w:t>How domestication shapes brain evolution remains an open question. In this study, we integrated single-nucleus RNA sequencing (snRNA-seq), population genomics, and machine learning to investigate the hippocampal evolution under domestication. Across-species comparisons revealed that hippocampal cell type profiles are largely conserved across vertebrate species, while supporting the presence of adult hippocampal neurogenesis in birds. We further found that domestication and selective breeding likely influence the cellular composition and molecular regulation of the hippocampus. Our findings provide cellular evidence supporting the hypothesis that domestication affects adult hippocampal neurogenesis. Additionally, we showed that genes associated with neural progenitor cells (NPC) states and cell-marker programs are enriched for signatures of selection. Many of these genes function as regulators of neurogenesis and pathways mediating stress and fear reduction. Specifically, we identified selection at the</w:t>
      </w:r>
      <w:r>
        <w:t xml:space="preserve"> </w:t>
      </w:r>
      <w:r>
        <w:t>FKBP5</w:t>
      </w:r>
      <w:r>
        <w:t xml:space="preserve"> </w:t>
      </w:r>
      <w:r>
        <w:t>promoter that may influence its expression in the NPC lineage, potentially contributing to stress-response regulation during domestication. Collectively, these results suggest that domestication is associated with hippocampal remodeling as part of an adaptive response to human-managed environments. This study provides a cellular and genetic perspective on how domestication reshapes the brain and offers a basis for further investigation into the mechanisms of neural evolution within the context of microevolution.</w:t>
      </w:r>
    </w:p>
    <w:p>
      <w:pPr>
        <w:spacing w:before="120" w:after="120"/>
      </w:pPr>
      <w:r>
        <w:rPr>
          <w:sz w:val="18"/>
        </w:rPr>
        <w:t>——————————————————————————————————————————————————————————————————————</w:t>
      </w:r>
    </w:p>
    <w:p>
      <w:pPr>
        <w:spacing w:before="160" w:after="40" w:line="240" w:lineRule="auto"/>
      </w:pPr>
      <w:r>
        <w:rPr>
          <w:b/>
        </w:rPr>
        <w:t xml:space="preserve">[1244] </w:t>
      </w:r>
      <w:hyperlink r:id="rId2114">
        <w:r>
          <w:rPr>
            <w:color w:val="1155CC"/>
            <w:u w:val="single"/>
          </w:rPr>
          <w:t>利用真空蒸发冷却实现冰结构的三维打印</w:t>
        </w:r>
      </w:hyperlink>
    </w:p>
    <w:p>
      <w:pPr>
        <w:spacing w:before="0" w:after="80"/>
      </w:pPr>
      <w:r>
        <w:rPr>
          <w:i/>
          <w:sz w:val="20"/>
        </w:rPr>
        <w:t>EN: Three-dimensional printing of ice structures via evaporative cooling in vacuum</w:t>
      </w:r>
    </w:p>
    <w:p>
      <w:pPr>
        <w:spacing w:before="0" w:after="120"/>
      </w:pPr>
      <w:r>
        <w:rPr>
          <w:b/>
        </w:rPr>
        <w:t xml:space="preserve">Source: </w:t>
      </w:r>
      <w:r>
        <w:t>Proceedings of the National Academy of Sciences: Keyword search for query</w:t>
      </w:r>
      <w:r>
        <w:t xml:space="preserve">    </w:t>
      </w:r>
      <w:r>
        <w:rPr>
          <w:b/>
        </w:rPr>
        <w:t xml:space="preserve">Pub date: </w:t>
      </w:r>
      <w:r>
        <w:t>2026-09-02 07:00:00+00:00</w:t>
      </w:r>
      <w:r>
        <w:t xml:space="preserve">    </w:t>
      </w:r>
      <w:r>
        <w:rPr>
          <w:b/>
        </w:rPr>
        <w:t xml:space="preserve">DOI: </w:t>
      </w:r>
      <w:hyperlink r:id="rId2115">
        <w:r>
          <w:rPr>
            <w:color w:val="1155CC"/>
            <w:u w:val="single"/>
          </w:rPr>
          <w:t>10.1073/pnas.2608173123</w:t>
        </w:r>
      </w:hyperlink>
    </w:p>
    <w:p>
      <w:pPr>
        <w:spacing w:before="0" w:after="120"/>
      </w:pPr>
      <w:r>
        <w:rPr>
          <w:b/>
        </w:rPr>
        <w:t xml:space="preserve">Notes: </w:t>
      </w:r>
      <w:r>
        <w:t>abstract_source=crossref</w:t>
      </w:r>
    </w:p>
    <w:p>
      <w:pPr>
        <w:spacing w:before="0" w:after="80" w:lineRule="auto" w:line="276"/>
      </w:pPr>
      <w:r>
        <w:rPr>
          <w:b/>
        </w:rPr>
        <w:t xml:space="preserve">摘要（ZH）: </w:t>
      </w:r>
      <w:r>
        <w:t>我们展示了一种利用蒸发冷却进行冰结构三维打印的方法。微米级水射流被用于在真空腔内进行三维打印。环境压力降低导致挤出的水快速蒸发，吸收潜热，使水迅速冷却至远低于0 °C。水一经沉积，几乎瞬间冻结为稳定的冰结构。我们通过两种不同的沉积技术实现了高保真打印：用于复杂三维结构的逐层沉积（如圣诞树），以及用于直立轮廓的无支撑空中打印（如侧脸轮廓），所有这些均无需低温基础设施、支撑材料或外部制冷。该方法直观展示了基本热力学原理——潜热、蒸发冷却和压力依赖的相变——同时为冰模板微流控和组织工程，甚至地外三维打印提供了一个相对简单且可扩展的平台。</w:t>
      </w:r>
    </w:p>
    <w:p>
      <w:pPr>
        <w:spacing w:before="0" w:after="200" w:lineRule="auto" w:line="276"/>
      </w:pPr>
      <w:r>
        <w:rPr>
          <w:b/>
        </w:rPr>
        <w:t xml:space="preserve">Abstract (EN): </w:t>
      </w:r>
      <w:r>
        <w:t>We demonstrate an approach to three-dimensional (3D) printing of ice structures by exploiting evaporative cooling. A micrometer-sized water jet is used to 3D print inside a vacuum chamber. The reduced ambient pressure leads to rapid evaporation of the extruded water, extracting latent heat, and quickly cooling the water well below 0 °C. Once deposited, the water freezes almost instantaneously into stable ice structures. We achieved high-fidelity printing via two distinct deposition techniques: layer-by-layer deposition for intricate 3D structures (e.g., a Christmas tree), and support-free mid-air printing for upright profiles (e.g., an in profile face), all achieved without cryogenic infrastructure, supporting materials, or external refrigeration. This approach directly visualizes fundamental thermodynamic principles—latent heat, evaporative cooling, and pressure-dependent phase transitions—while offering a relatively simple and scalable platform for ice-templated microfluidics and tissue engineering, or even extraterrestrial 3D printing.</w:t>
      </w:r>
    </w:p>
    <w:p>
      <w:pPr>
        <w:spacing w:before="120" w:after="120"/>
      </w:pPr>
      <w:r>
        <w:rPr>
          <w:sz w:val="18"/>
        </w:rPr>
        <w:t>——————————————————————————————————————————————————————————————————————</w:t>
      </w:r>
    </w:p>
    <w:p>
      <w:pPr>
        <w:spacing w:before="160" w:after="40" w:line="240" w:lineRule="auto"/>
      </w:pPr>
      <w:r>
        <w:rPr>
          <w:b/>
        </w:rPr>
        <w:t xml:space="preserve">[1245] </w:t>
      </w:r>
      <w:hyperlink r:id="rId2116">
        <w:r>
          <w:rPr>
            <w:color w:val="1155CC"/>
            <w:u w:val="single"/>
          </w:rPr>
          <w:t>利用脑源性酮体将神经活动转变为不依赖葡萄糖代谢的运行模式</w:t>
        </w:r>
      </w:hyperlink>
    </w:p>
    <w:p>
      <w:pPr>
        <w:spacing w:before="0" w:after="80"/>
      </w:pPr>
      <w:r>
        <w:rPr>
          <w:i/>
          <w:sz w:val="20"/>
        </w:rPr>
        <w:t>EN: Transforming neural activity to operate without glucose metabolism using brain-derived ketone bodies</w:t>
      </w:r>
    </w:p>
    <w:p>
      <w:pPr>
        <w:spacing w:before="0" w:after="120"/>
      </w:pPr>
      <w:r>
        <w:rPr>
          <w:b/>
        </w:rPr>
        <w:t xml:space="preserve">Source: </w:t>
      </w:r>
      <w:r>
        <w:t>Proceedings of the National Academy of Sciences: Keyword search for query</w:t>
      </w:r>
      <w:r>
        <w:t xml:space="preserve">    </w:t>
      </w:r>
      <w:r>
        <w:rPr>
          <w:b/>
        </w:rPr>
        <w:t xml:space="preserve">Pub date: </w:t>
      </w:r>
      <w:r>
        <w:t>2026-09-02 07:00:00+00:00</w:t>
      </w:r>
      <w:r>
        <w:t xml:space="preserve">    </w:t>
      </w:r>
      <w:r>
        <w:rPr>
          <w:b/>
        </w:rPr>
        <w:t xml:space="preserve">DOI: </w:t>
      </w:r>
      <w:hyperlink r:id="rId2117">
        <w:r>
          <w:rPr>
            <w:color w:val="1155CC"/>
            <w:u w:val="single"/>
          </w:rPr>
          <w:t>10.1073/pnas.2613981123</w:t>
        </w:r>
      </w:hyperlink>
    </w:p>
    <w:p>
      <w:pPr>
        <w:spacing w:before="0" w:after="120"/>
      </w:pPr>
      <w:r>
        <w:rPr>
          <w:b/>
        </w:rPr>
        <w:t xml:space="preserve">Notes: </w:t>
      </w:r>
      <w:r>
        <w:t>abstract_source=crossref</w:t>
      </w:r>
    </w:p>
    <w:p>
      <w:pPr>
        <w:spacing w:before="0" w:after="80" w:lineRule="auto" w:line="276"/>
      </w:pPr>
      <w:r>
        <w:rPr>
          <w:b/>
        </w:rPr>
        <w:t xml:space="preserve">摘要（ZH）: </w:t>
      </w:r>
      <w:r>
        <w:t>脊椎动物的大脑对葡萄糖代谢的紊乱极为敏感，葡萄糖供应不足会导致神经功能障碍。在本研究中，我们发现了一种能够违背这一规律的动物：我们表明，在表面上具有典型葡萄糖需求的青蛙中，其神经回路可以在从冬眠中苏醒后，部分通过转向仅在大脑内产生的酮体来停止代谢葡萄糖。这涉及酮体的合成以及从星形胶质细胞向神经元的运输以支持突触传递，同时伴随控制脂肪酸分解代谢和酮体转运的基因表达的上调。脑源性酮体还可防止缺氧期间活动能力的下降。这些结果揭示了青蛙在经历数月水下冬眠后，在面对严重缺氧和低血糖（这在大多数动物中会严重损害神经功能）时如何重启大脑回路。更广泛地说，它们揭示了脊椎动物的大脑在葡萄糖代谢停止期间有能力作为自身的燃料储备，无缝切换到局部来源的酮体同时维持神经活动。这重新界定了脊椎动物大脑中的葡萄糖代谢：它并非硬性必需，而是一种在某些情况下可以完全放弃的可塑性特征。</w:t>
      </w:r>
    </w:p>
    <w:p>
      <w:pPr>
        <w:spacing w:before="0" w:after="200" w:lineRule="auto" w:line="276"/>
      </w:pPr>
      <w:r>
        <w:rPr>
          <w:b/>
        </w:rPr>
        <w:t xml:space="preserve">Abstract (EN): </w:t>
      </w:r>
      <w:r>
        <w:t>The vertebrate brain is exquisitely sensitive to disruptions in glucose metabolism, and failure of adequate glucose delivery causes neurological dysfunction. Here, we identified an animal with the capacity to defy this rule: We show that neural circuits in frogs, animals with seemingly typical glucose demands, can stop metabolizing glucose by, in part, shifting to ketone bodies made exclusively within the brain after emergence from hibernation. This involves ketone body synthesis and transport from astrocytes to neurons to power synaptic transmission, along with the upregulation of gene expression that controls fatty acid catabolism and ketone body transport. Brain-derived ketone bodies also prevent decrements in activity that occur during hypoxia. These results provide insight into how frogs restart brain circuits following months of underwater hibernation when facing severe hypoxia and hypoglycemia that otherwise strongly impair neural performance in most animals. More broadly, they reveal the vertebrate brain has the capacity to serve as its own fuel reserve during the cessation of glucose metabolism, switching seamlessly to locally sourced ketone bodies while maintaining neural activity. This reframes glucose metabolism in the vertebrate brain not as a hard-wired necessity, but as a plastic trait that can in some cases be entirely abandoned.</w:t>
      </w:r>
    </w:p>
    <w:p>
      <w:pPr>
        <w:spacing w:before="120" w:after="120"/>
      </w:pPr>
      <w:r>
        <w:rPr>
          <w:sz w:val="18"/>
        </w:rPr>
        <w:t>——————————————————————————————————————————————————————————————————————</w:t>
      </w:r>
    </w:p>
    <w:p>
      <w:pPr>
        <w:spacing w:before="160" w:after="40" w:line="240" w:lineRule="auto"/>
      </w:pPr>
      <w:r>
        <w:rPr>
          <w:b/>
        </w:rPr>
        <w:t xml:space="preserve">[1246] </w:t>
      </w:r>
      <w:hyperlink r:id="rId2118">
        <w:r>
          <w:rPr>
            <w:color w:val="1155CC"/>
            <w:u w:val="single"/>
          </w:rPr>
          <w:t>来自假单胞菌噬菌体Njord的冷适应RNA聚合酶可改善治疗性mRNA的合成</w:t>
        </w:r>
      </w:hyperlink>
    </w:p>
    <w:p>
      <w:pPr>
        <w:spacing w:before="0" w:after="80"/>
      </w:pPr>
      <w:r>
        <w:rPr>
          <w:i/>
          <w:sz w:val="20"/>
        </w:rPr>
        <w:t>EN: Cold-adapted RNA polymerase from Pseudomonas phage Njord improves synthesis of therapeutic mRNA</w:t>
      </w:r>
    </w:p>
    <w:p>
      <w:pPr>
        <w:spacing w:before="0" w:after="120"/>
      </w:pPr>
      <w:r>
        <w:rPr>
          <w:b/>
        </w:rPr>
        <w:t xml:space="preserve">Source: </w:t>
      </w:r>
      <w:r>
        <w:t>Proceedings of the National Academy of Sciences: Keyword search for query</w:t>
      </w:r>
      <w:r>
        <w:t xml:space="preserve">    </w:t>
      </w:r>
      <w:r>
        <w:rPr>
          <w:b/>
        </w:rPr>
        <w:t xml:space="preserve">Pub date: </w:t>
      </w:r>
      <w:r>
        <w:t>2026-09-02 07:00:00+00:00</w:t>
      </w:r>
      <w:r>
        <w:t xml:space="preserve">    </w:t>
      </w:r>
      <w:r>
        <w:rPr>
          <w:b/>
        </w:rPr>
        <w:t xml:space="preserve">DOI: </w:t>
      </w:r>
      <w:hyperlink r:id="rId2119">
        <w:r>
          <w:rPr>
            <w:color w:val="1155CC"/>
            <w:u w:val="single"/>
          </w:rPr>
          <w:t>10.1073/pnas.2606667123</w:t>
        </w:r>
      </w:hyperlink>
    </w:p>
    <w:p>
      <w:pPr>
        <w:spacing w:before="0" w:after="120"/>
      </w:pPr>
      <w:r>
        <w:rPr>
          <w:b/>
        </w:rPr>
        <w:t xml:space="preserve">Notes: </w:t>
      </w:r>
      <w:r>
        <w:t>abstract_source=crossref</w:t>
      </w:r>
    </w:p>
    <w:p>
      <w:pPr>
        <w:spacing w:before="0" w:after="80" w:lineRule="auto" w:line="276"/>
      </w:pPr>
      <w:r>
        <w:rPr>
          <w:b/>
        </w:rPr>
        <w:t xml:space="preserve">摘要（ZH）: </w:t>
      </w:r>
      <w:r>
        <w:t>在假单胞菌噬菌体Njord基因组中发现的一种RNA聚合酶为mRNA及其他治疗性核酸的合成提供了一种有前景的工具。Njord RNAP源自海洋微生物生态系统，即使在低温条件下也能高产量的转录RNA。本文介绍了该酶与mRNA合成相关的关键特性，包括转录保真度、启动子特异性、修饰核苷酸的掺入以及RNA的杂质谱。特别关注了污染性双链RNA（dsRNA）物种的形成。对转录反应的分析表明，以DNA为模板的非启动子依赖性转录是可检测dsRNA杂质的主要来源，而Njord RNAP的这种活性极低。鉴于dsRNA在合成mRNA中已知的炎症作用，细胞培养的转录组分析和活体动物研究表明，用Njord RNAP合成的mRNA仅引起极小的免疫反应。这种天然酶能够在常温下高效合成mRNA，并产生基本不含dsRNA的转录产物，为简化mRNA制造工艺提供了重要潜力。</w:t>
      </w:r>
    </w:p>
    <w:p>
      <w:pPr>
        <w:spacing w:before="0" w:after="200" w:lineRule="auto" w:line="276"/>
      </w:pPr>
      <w:r>
        <w:rPr>
          <w:b/>
        </w:rPr>
        <w:t xml:space="preserve">Abstract (EN): </w:t>
      </w:r>
      <w:r>
        <w:t>An RNA polymerase identified in the genome of</w:t>
      </w:r>
      <w:r>
        <w:t xml:space="preserve"> </w:t>
      </w:r>
      <w:r>
        <w:t>Pseudomonas</w:t>
      </w:r>
      <w:r>
        <w:t xml:space="preserve"> </w:t>
      </w:r>
      <w:r>
        <w:t>phage Njord offers a promising tool for the synthesis of mRNA and other therapeutic nucleic acids. Originating from a marine microbial ecosystem, Njord RNAP transcribes RNA at high yield even under low temperature conditions. Key properties of the enzyme relevant to mRNA synthesis are presented including transcriptional fidelity, promoter specificity, incorporation of modified nucleotides, and the impurity profile of the RNA. Specific attention is given to the formation of contaminating double-stranded RNA (dsRNA) species. Analysis of transcription reactions shows that DNA-templated promoter-independent transcription is a major source of detectable dsRNA impurities and that Njord RNAP displays a minimal level of this activity. Consistent with the known inflammatory role of dsRNA in synthetic mRNA, transcriptomic analysis of cell culture and a live animal study demonstrates that mRNA synthesized with Njord RNAP elicits only a minimal immune response. This natural enzyme enables efficient mRNA synthesis at ambient temperature and produces transcripts essentially free of dsRNA, offering significant potential to streamline mRNA manufacturing processes.</w:t>
      </w:r>
    </w:p>
    <w:p>
      <w:pPr>
        <w:spacing w:before="120" w:after="120"/>
      </w:pPr>
      <w:r>
        <w:rPr>
          <w:sz w:val="18"/>
        </w:rPr>
        <w:t>——————————————————————————————————————————————————————————————————————</w:t>
      </w:r>
    </w:p>
    <w:p>
      <w:pPr>
        <w:spacing w:before="160" w:after="40" w:line="240" w:lineRule="auto"/>
      </w:pPr>
      <w:r>
        <w:rPr>
          <w:b/>
        </w:rPr>
        <w:t xml:space="preserve">[1247] </w:t>
      </w:r>
      <w:hyperlink r:id="rId2120">
        <w:r>
          <w:rPr>
            <w:color w:val="1155CC"/>
            <w:u w:val="single"/>
          </w:rPr>
          <w:t>鞭毛毒性：在缺乏PBP1时鞭毛合成对枯草芽孢杆菌具有溶菌作用</w:t>
        </w:r>
      </w:hyperlink>
    </w:p>
    <w:p>
      <w:pPr>
        <w:spacing w:before="0" w:after="80"/>
      </w:pPr>
      <w:r>
        <w:rPr>
          <w:i/>
          <w:sz w:val="20"/>
        </w:rPr>
        <w:t>EN: Flagellar toxicity: Flagellar synthesis is lytic for Bacillus subtilis in the absence of PBP1</w:t>
      </w:r>
    </w:p>
    <w:p>
      <w:pPr>
        <w:spacing w:before="0" w:after="120"/>
      </w:pPr>
      <w:r>
        <w:rPr>
          <w:b/>
        </w:rPr>
        <w:t xml:space="preserve">Source: </w:t>
      </w:r>
      <w:r>
        <w:t>Proceedings of the National Academy of Sciences: Keyword search for query</w:t>
      </w:r>
      <w:r>
        <w:t xml:space="preserve">    </w:t>
      </w:r>
      <w:r>
        <w:rPr>
          <w:b/>
        </w:rPr>
        <w:t xml:space="preserve">Pub date: </w:t>
      </w:r>
      <w:r>
        <w:t>2026-09-02 07:00:00+00:00</w:t>
      </w:r>
      <w:r>
        <w:t xml:space="preserve">    </w:t>
      </w:r>
      <w:r>
        <w:rPr>
          <w:b/>
        </w:rPr>
        <w:t xml:space="preserve">DOI: </w:t>
      </w:r>
      <w:hyperlink r:id="rId2121">
        <w:r>
          <w:rPr>
            <w:color w:val="1155CC"/>
            <w:u w:val="single"/>
          </w:rPr>
          <w:t>10.1073/pnas.2617591123</w:t>
        </w:r>
      </w:hyperlink>
    </w:p>
    <w:p>
      <w:pPr>
        <w:spacing w:before="0" w:after="120"/>
      </w:pPr>
      <w:r>
        <w:rPr>
          <w:b/>
        </w:rPr>
        <w:t xml:space="preserve">Notes: </w:t>
      </w:r>
      <w:r>
        <w:t>abstract_source=crossref</w:t>
      </w:r>
    </w:p>
    <w:p>
      <w:pPr>
        <w:spacing w:before="0" w:after="80" w:lineRule="auto" w:line="276"/>
      </w:pPr>
      <w:r>
        <w:rPr>
          <w:b/>
        </w:rPr>
        <w:t xml:space="preserve">摘要（ZH）: </w:t>
      </w:r>
      <w:r>
        <w:t>鞭毛是大型跨膜被膜纳米机器，但它们如何穿过革兰氏阳性菌的肽聚糖仍知之甚少。最近的一个模型提出，鞭毛基体在膜中扩散，并在肽聚糖中孔径足以容纳轴状的鞭毛杆的位置被捕获。为检验孔径对鞭毛组装的作用，研究者破坏了青霉素结合蛋白1（PBP1/PonA）——一种被认为可降低肽聚糖孔频率和/或孔径的细胞壁合成蛋白。然而，在枯草芽孢杆菌（Bacillus subtilis）祖先菌株中缺失PBP1会导致严重的生长缺陷和依赖于鞭毛合成的细胞裂解。遗传分析表明，毒性源于鞭毛钩的完成，其激活了鞭毛 sigma 因子 SigD。SigD 进而激活一系列肽聚糖降解酶，在PBP1缺失时引起细胞裂解。此外，导致应激反应转录因子Spx高水平表达的突变可减轻毒性，而推定的磷壁酸D-丙氨酰化酶PBPX则是自溶所必需的。总之，我们的结果表明，通常与细胞存活力无关的鞭毛合成会引起细胞壁应激，并在某些条件下导致细胞死亡。此外，由于菌株驯化，鞭毛合成对被膜完整性的代价可能被低估，而各属中跨膜被膜机器的组装可能需要专门的系统来补偿</w:t>
      </w:r>
    </w:p>
    <w:p>
      <w:pPr>
        <w:spacing w:before="0" w:after="200" w:lineRule="auto" w:line="276"/>
      </w:pPr>
      <w:r>
        <w:rPr>
          <w:b/>
        </w:rPr>
        <w:t xml:space="preserve">Abstract (EN): </w:t>
      </w:r>
      <w:r>
        <w:t>Flagella are large transenvelope nanomachines but how they transit the peptidoglycan in gram-positive bacteria is poorly understood. A recent model suggested that flagellar basal bodies diffuse in the membrane and become captured at locations in the peptidoglycan with a pore diameter that could accommodate the axle-like flagellar rod. To test the role of pore size on flagellar assembly, cells were disrupted for penicillin binding protein 1 (PBP1/PonA), a cell wall synthesis protein thought to decrease peptidoglycan pore frequency and/or diameter. The absence of PBP1 in the ancestral strain of</w:t>
      </w:r>
      <w:r>
        <w:t xml:space="preserve"> </w:t>
      </w:r>
      <w:r>
        <w:t>Bacillus subtilis</w:t>
      </w:r>
      <w:r>
        <w:t xml:space="preserve"> </w:t>
      </w:r>
      <w:r>
        <w:t>however resulted in a severe growth defect and cell lysis that was dependent on flagellar synthesis. Genetic analysis indicated that toxicity was due to completion of the flagellar hook, which activated the flagellar sigma factor SigD. SigD, in turn, activated a suite of peptidoglycan degrading enzymes that caused cellular lysis when PBP1 was absent. In addition, mutations that resulted in high levels of the stress response transcription factor Spx could lessen the toxicity, while PBPX, a putative teichoic acid D-alanylase, was required for autolysis. In sum, our results indicate that flagellar synthesis, not normally associated with cell viability, causes cell wall stress and under some conditions, cell death. Moreover, the cost of flagellar synthesis on envelope integrity may be underappreciated due to strain domestication, and specialized systems may be needed to compensate for the assembly of transenvelope machines in general.</w:t>
      </w:r>
    </w:p>
    <w:p>
      <w:pPr>
        <w:spacing w:before="120" w:after="120"/>
      </w:pPr>
      <w:r>
        <w:rPr>
          <w:sz w:val="18"/>
        </w:rPr>
        <w:t>——————————————————————————————————————————————————————————————————————</w:t>
      </w:r>
    </w:p>
    <w:p>
      <w:pPr>
        <w:spacing w:before="160" w:after="40" w:line="240" w:lineRule="auto"/>
      </w:pPr>
      <w:r>
        <w:rPr>
          <w:b/>
        </w:rPr>
        <w:t xml:space="preserve">[1248] </w:t>
      </w:r>
      <w:hyperlink r:id="rId2122">
        <w:r>
          <w:rPr>
            <w:color w:val="1155CC"/>
            <w:u w:val="single"/>
          </w:rPr>
          <w:t>沙门氏菌脂多糖促进小肠对长链脂肪酸的摄取</w:t>
        </w:r>
      </w:hyperlink>
    </w:p>
    <w:p>
      <w:pPr>
        <w:spacing w:before="0" w:after="80"/>
      </w:pPr>
      <w:r>
        <w:rPr>
          <w:i/>
          <w:sz w:val="20"/>
        </w:rPr>
        <w:t>EN: Salmonella lipopolysaccharide stimulates uptake of long-chain fatty acids in the small intestine</w:t>
      </w:r>
    </w:p>
    <w:p>
      <w:pPr>
        <w:spacing w:before="0" w:after="120"/>
      </w:pPr>
      <w:r>
        <w:rPr>
          <w:b/>
        </w:rPr>
        <w:t xml:space="preserve">Source: </w:t>
      </w:r>
      <w:r>
        <w:t>Proceedings of the National Academy of Sciences: Keyword search for query</w:t>
      </w:r>
      <w:r>
        <w:t xml:space="preserve">    </w:t>
      </w:r>
      <w:r>
        <w:rPr>
          <w:b/>
        </w:rPr>
        <w:t xml:space="preserve">Pub date: </w:t>
      </w:r>
      <w:r>
        <w:t>2026-09-02 07:00:00+00:00</w:t>
      </w:r>
      <w:r>
        <w:t xml:space="preserve">    </w:t>
      </w:r>
      <w:r>
        <w:rPr>
          <w:b/>
        </w:rPr>
        <w:t xml:space="preserve">DOI: </w:t>
      </w:r>
      <w:hyperlink r:id="rId2123">
        <w:r>
          <w:rPr>
            <w:color w:val="1155CC"/>
            <w:u w:val="single"/>
          </w:rPr>
          <w:t>10.1073/pnas.2618255123</w:t>
        </w:r>
      </w:hyperlink>
    </w:p>
    <w:p>
      <w:pPr>
        <w:spacing w:before="0" w:after="120"/>
      </w:pPr>
      <w:r>
        <w:rPr>
          <w:b/>
        </w:rPr>
        <w:t xml:space="preserve">Notes: </w:t>
      </w:r>
      <w:r>
        <w:t>abstract_source=crossref</w:t>
      </w:r>
    </w:p>
    <w:p>
      <w:pPr>
        <w:spacing w:before="0" w:after="80" w:lineRule="auto" w:line="276"/>
      </w:pPr>
      <w:r>
        <w:rPr>
          <w:b/>
        </w:rPr>
        <w:t xml:space="preserve">摘要（ZH）: </w:t>
      </w:r>
      <w:r>
        <w:t>肠道细菌病原体在感染期间会深刻改变肠道生理，但其对宿主脂质代谢的影响仍知之甚少。利用质谱脂质组学，我们发现鼠伤寒沙门氏菌感染小鼠肠道会刺激小肠上皮细胞对长链脂肪酸的摄取。这一反应与脂质摄取和转运相关上皮基因表达的增加相吻合，并依赖于长链脂肪酸转运蛋白CD36。脂肪酸的摄取由伤寒沙门氏菌脂多糖（LPS）触发，并因改变LPS酰基链的细菌突变而受损。在机制上，伤寒沙门氏菌通过髓系细胞的Toll样受体4（LPS的受体）诱导脂质吸收。相关共生菌大肠杆菌也通过LPS诱导肠道脂质吸收，尽管程度低于伤寒沙门氏菌。最后，破坏长链脂肪酸吸收会削弱细菌刺激期间的宿主防御，表明细菌诱导的脂质摄取有助于抵御肠道感染。总之，这些发现将革兰氏阴性肠道细菌的LPS确定为肠上皮摄取膳食脂质的关键调节因子。</w:t>
      </w:r>
    </w:p>
    <w:p>
      <w:pPr>
        <w:spacing w:before="0" w:after="200" w:lineRule="auto" w:line="276"/>
      </w:pPr>
      <w:r>
        <w:rPr>
          <w:b/>
        </w:rPr>
        <w:t xml:space="preserve">Abstract (EN): </w:t>
      </w:r>
      <w:r>
        <w:t>Enteric bacterial pathogens profoundly alter intestinal physiology during infection, yet their effects on host lipid metabolism remain poorly understood. Using mass spectrometry lipidomics, we found that infection of the mouse intestine with the bacterial pathogen</w:t>
      </w:r>
      <w:r>
        <w:t xml:space="preserve"> </w:t>
      </w:r>
      <w:r>
        <w:t>Salmonella enterica</w:t>
      </w:r>
      <w:r>
        <w:t xml:space="preserve"> </w:t>
      </w:r>
      <w:r>
        <w:t>serovar Typhimurium (</w:t>
      </w:r>
      <w:r>
        <w:t xml:space="preserve"> </w:t>
      </w:r>
      <w:r>
        <w:t>S</w:t>
      </w:r>
      <w:r>
        <w:t xml:space="preserve"> </w:t>
      </w:r>
      <w:r>
        <w:t>. Typhimurium) stimulates uptake of long-chain fatty acids by small intestinal epithelial cells. This response coincided with increased expression of epithelial genes involved in lipid uptake and transport and required the long-chain fatty acid transporter CD36. Fatty acid uptake was triggered by</w:t>
      </w:r>
      <w:r>
        <w:t xml:space="preserve"> </w:t>
      </w:r>
      <w:r>
        <w:t>S</w:t>
      </w:r>
      <w:r>
        <w:t xml:space="preserve"> </w:t>
      </w:r>
      <w:r>
        <w:t>. Typhimurium lipopolysaccharide (LPS) and was impaired by bacterial mutations that alter LPS acyl chains. Mechanistically,</w:t>
      </w:r>
      <w:r>
        <w:t xml:space="preserve"> </w:t>
      </w:r>
      <w:r>
        <w:t>S</w:t>
      </w:r>
      <w:r>
        <w:t xml:space="preserve"> </w:t>
      </w:r>
      <w:r>
        <w:t>. Typhimurium induced lipid absorption through myeloid cell Toll-like receptor 4, a receptor for LPS.</w:t>
      </w:r>
      <w:r>
        <w:t xml:space="preserve"> </w:t>
      </w:r>
      <w:r>
        <w:t>Escherichia coli</w:t>
      </w:r>
      <w:r>
        <w:t xml:space="preserve"> </w:t>
      </w:r>
      <w:r>
        <w:t>, a related commensal bacterium, also induced intestinal lipid absorption through LPS, although to a lesser extent than</w:t>
      </w:r>
      <w:r>
        <w:t xml:space="preserve"> </w:t>
      </w:r>
      <w:r>
        <w:t>S</w:t>
      </w:r>
      <w:r>
        <w:t xml:space="preserve"> </w:t>
      </w:r>
      <w:r>
        <w:t>. Typhimurium. Finally, disruption of long-chain fatty acid absorption impaired host defense during bacterial stimulation, suggesting that bacteria-induced lipid uptake contributes to protection against enteric infection. Together, these findings identify LPS from Gram-negative intestinal bacteria as a key regulator of dietary lipid uptake by the intestinal epithelium.</w:t>
      </w:r>
    </w:p>
    <w:p>
      <w:pPr>
        <w:spacing w:before="120" w:after="120"/>
      </w:pPr>
      <w:r>
        <w:rPr>
          <w:sz w:val="18"/>
        </w:rPr>
        <w:t>——————————————————————————————————————————————————————————————————————</w:t>
      </w:r>
    </w:p>
    <w:p>
      <w:pPr>
        <w:spacing w:before="160" w:after="40" w:line="240" w:lineRule="auto"/>
      </w:pPr>
      <w:r>
        <w:rPr>
          <w:b/>
        </w:rPr>
        <w:t xml:space="preserve">[1249] </w:t>
      </w:r>
      <w:hyperlink r:id="rId2124">
        <w:r>
          <w:rPr>
            <w:color w:val="1155CC"/>
            <w:u w:val="single"/>
          </w:rPr>
          <w:t>预防性Lalba mRNA-LNP疫苗预防乳腺癌</w:t>
        </w:r>
      </w:hyperlink>
    </w:p>
    <w:p>
      <w:pPr>
        <w:spacing w:before="0" w:after="80"/>
      </w:pPr>
      <w:r>
        <w:rPr>
          <w:i/>
          <w:sz w:val="20"/>
        </w:rPr>
        <w:t>EN: Breast cancer prevention by prophylactic Lalba mRNA-LNP vaccination</w:t>
      </w:r>
    </w:p>
    <w:p>
      <w:pPr>
        <w:spacing w:before="0" w:after="120"/>
      </w:pPr>
      <w:r>
        <w:rPr>
          <w:b/>
        </w:rPr>
        <w:t xml:space="preserve">Source: </w:t>
      </w:r>
      <w:r>
        <w:t>Proceedings of the National Academy of Sciences: Keyword search for query</w:t>
      </w:r>
      <w:r>
        <w:t xml:space="preserve">    </w:t>
      </w:r>
      <w:r>
        <w:rPr>
          <w:b/>
        </w:rPr>
        <w:t xml:space="preserve">Pub date: </w:t>
      </w:r>
      <w:r>
        <w:t>2026-09-02 07:00:00+00:00</w:t>
      </w:r>
      <w:r>
        <w:t xml:space="preserve">    </w:t>
      </w:r>
      <w:r>
        <w:rPr>
          <w:b/>
        </w:rPr>
        <w:t xml:space="preserve">DOI: </w:t>
      </w:r>
      <w:hyperlink r:id="rId2125">
        <w:r>
          <w:rPr>
            <w:color w:val="1155CC"/>
            <w:u w:val="single"/>
          </w:rPr>
          <w:t>10.1073/pnas.2621855123</w:t>
        </w:r>
      </w:hyperlink>
    </w:p>
    <w:p>
      <w:pPr>
        <w:spacing w:before="0" w:after="120"/>
      </w:pPr>
      <w:r>
        <w:rPr>
          <w:b/>
        </w:rPr>
        <w:t xml:space="preserve">Notes: </w:t>
      </w:r>
      <w:r>
        <w:t>abstract_source=crossref</w:t>
      </w:r>
    </w:p>
    <w:p>
      <w:pPr>
        <w:spacing w:before="0" w:after="80" w:lineRule="auto" w:line="276"/>
      </w:pPr>
      <w:r>
        <w:rPr>
          <w:b/>
        </w:rPr>
        <w:t xml:space="preserve">摘要（ZH）: </w:t>
      </w:r>
      <w:r>
        <w:t>肿瘤抑制性免疫在早期肿瘤中比晚期肿瘤更为明显，这使其成为癌症拦截性免疫治疗的理想时机。我们此前描述过，外周T细胞多样性越高，与乳腺导管原位癌中更显著的CD8</w:t>
      </w:r>
      <w:r>
        <w:t xml:space="preserve"> </w:t>
      </w:r>
      <w:r>
        <w:t>+</w:t>
      </w:r>
      <w:r>
        <w:t xml:space="preserve"> </w:t>
      </w:r>
      <w:r>
        <w:t>T细胞浸润相关，提示外周免疫与肿瘤内免疫之间存在密切相互作用。在本研究中，我们开发了脂质纳米颗粒（LNP）包封的表达乳腺管腔祖细胞（LPs）特有的α-乳清蛋白（LALBA）的信使核糖核酸（mRNA）疫苗，以检验通过针对乳腺癌推定起源细胞的预防性接种增强免疫应答是否能抑制肿瘤发生。用N1-甲基假尿苷修饰或未修饰的Lalba mRNA-LNP对远交系Sprague-Dawley大鼠进行接种，可诱导不同程度的LALBA特异性和非特异性免疫应答。该接种抑制了致癌物诱导的乳腺肿瘤发生，并改善了无瘤生存期和总生存期，且对正常乳腺及其他器官无明显毒性。单细胞转录组分析显示，接种降低了免疫反应性早期上皮增生中一个增殖性LP群体的频率。总体而言，我们提供了预防性Lalba mRNA-LNP具有抑制早期乳腺肿瘤病变起始和进展潜力的原理验证。</w:t>
      </w:r>
    </w:p>
    <w:p>
      <w:pPr>
        <w:spacing w:before="0" w:after="200" w:lineRule="auto" w:line="276"/>
      </w:pPr>
      <w:r>
        <w:rPr>
          <w:b/>
        </w:rPr>
        <w:t xml:space="preserve">Abstract (EN): </w:t>
      </w:r>
      <w:r>
        <w:t>Tumor-suppressive immunity is more evident in early-stage compared to advanced tumors making it the ideal point for cancer interceptive immunotherapies. We previously described that higher peripheral T cell diversity is associated with more pronounced CD8</w:t>
      </w:r>
      <w:r>
        <w:t xml:space="preserve"> </w:t>
      </w:r>
      <w:r>
        <w:t>+</w:t>
      </w:r>
      <w:r>
        <w:t xml:space="preserve"> </w:t>
      </w:r>
      <w:r>
        <w:t>T cell infiltration in ductal carcinoma in situ of the breast, implying a close interaction between peripheral and intratumor immunity. Here, we developed lipid nanoparticle (LNP)-encapsulated messenger ribonucleic acid (mRNA) vaccines expressing the alpha-lactalbumin (LALBA) protein unique to mammary luminal progenitors (LPs) to test whether enhancing immune response by prophylactic vaccination against the putative cell-of-origin of breast cancer suppresses tumorigenesis. Vaccination of outbred Sprague-Dawley rats with N1-methylpseudouridine-modified or unmodified Lalba mRNA-LNP induced different degrees of LALBA-specific and nonspecific immune responses. The vaccination suppressed carcinogen-induced mammary tumorigenesis and improved tumor-free and overall survival without obvious toxicity in the normal mammary glands and other organs. Single-cell transcriptomic analysis revealed that vaccination decreases the frequency of a proliferative LP population in immunoreactive early epithelial hyperplasia. Overall, we provide proof of principle that prophylactic Lalba mRNA-LNP has the potential to suppress the initiation and progression of early breast neoplastic lesions.</w:t>
      </w:r>
    </w:p>
    <w:p>
      <w:pPr>
        <w:spacing w:before="120" w:after="120"/>
      </w:pPr>
      <w:r>
        <w:rPr>
          <w:sz w:val="18"/>
        </w:rPr>
        <w:t>——————————————————————————————————————————————————————————————————————</w:t>
      </w:r>
    </w:p>
    <w:p>
      <w:pPr>
        <w:spacing w:before="160" w:after="40" w:line="240" w:lineRule="auto"/>
      </w:pPr>
      <w:r>
        <w:rPr>
          <w:b/>
        </w:rPr>
        <w:t xml:space="preserve">[1250] </w:t>
      </w:r>
      <w:hyperlink r:id="rId2126">
        <w:r>
          <w:rPr>
            <w:color w:val="1155CC"/>
            <w:u w:val="single"/>
          </w:rPr>
          <w:t>凝血因子V和VIII膜结合及其对含磷脂酰丝氨酸膜特异性的结构基础</w:t>
        </w:r>
      </w:hyperlink>
    </w:p>
    <w:p>
      <w:pPr>
        <w:spacing w:before="0" w:after="80"/>
      </w:pPr>
      <w:r>
        <w:rPr>
          <w:i/>
          <w:sz w:val="20"/>
        </w:rPr>
        <w:t>EN: Structural basis for membrane binding by coagulation factors V and VIII and their specificity for phosphatidylserine-containing membranes</w:t>
      </w:r>
    </w:p>
    <w:p>
      <w:pPr>
        <w:spacing w:before="0" w:after="120"/>
      </w:pPr>
      <w:r>
        <w:rPr>
          <w:b/>
        </w:rPr>
        <w:t xml:space="preserve">Source: </w:t>
      </w:r>
      <w:r>
        <w:t>Proceedings of the National Academy of Sciences: Keyword search for query</w:t>
      </w:r>
      <w:r>
        <w:t xml:space="preserve">    </w:t>
      </w:r>
      <w:r>
        <w:rPr>
          <w:b/>
        </w:rPr>
        <w:t xml:space="preserve">Pub date: </w:t>
      </w:r>
      <w:r>
        <w:t>2026-09-02 07:00:00+00:00</w:t>
      </w:r>
      <w:r>
        <w:t xml:space="preserve">    </w:t>
      </w:r>
      <w:r>
        <w:rPr>
          <w:b/>
        </w:rPr>
        <w:t xml:space="preserve">DOI: </w:t>
      </w:r>
      <w:hyperlink r:id="rId2127">
        <w:r>
          <w:rPr>
            <w:color w:val="1155CC"/>
            <w:u w:val="single"/>
          </w:rPr>
          <w:t>10.1073/pnas.2622255123</w:t>
        </w:r>
      </w:hyperlink>
    </w:p>
    <w:p>
      <w:pPr>
        <w:spacing w:before="0" w:after="120"/>
      </w:pPr>
      <w:r>
        <w:rPr>
          <w:b/>
        </w:rPr>
        <w:t xml:space="preserve">Notes: </w:t>
      </w:r>
      <w:r>
        <w:t>abstract_source=crossref</w:t>
      </w:r>
    </w:p>
    <w:p>
      <w:pPr>
        <w:spacing w:before="0" w:after="80" w:lineRule="auto" w:line="276"/>
      </w:pPr>
      <w:r>
        <w:rPr>
          <w:b/>
        </w:rPr>
        <w:t xml:space="preserve">摘要（ZH）: </w:t>
      </w:r>
      <w:r>
        <w:t>活化细胞表面的磷脂酰丝氨酸可作为凝血因子结合以及驱动宿主对血管损伤加速反应的膜依赖性酶复合物组装的信号。在本研究中，我们利用与脂质体结合的蛋白质的单颗粒冷冻电镜技术，确立了凝血因子V和VIII用于膜结合和磷脂特异性的共同机制。这些外周蛋白与膜之间的界面显示盘状结构C1和C2结构域与膜双层界面的磷脂头部基团区域之间存在接触。没有证据表明与膜接触的蛋白环会插入膜核心。这反驳了以往认为蛋白质通过插入膜的疏水核心实现高亲和力结合的模型。我们还解析了与C1和C2结构域内保守口袋结合的磷脂酰丝氨酸头部基团的密度。每个C结构域中的这些单一结合口袋突出了推定氢键网络，该网络有助于对磷脂酰丝氨酸的结合特异性。我们的结果为这些凝血蛋白的蛋白–膜界面提供了高分辨率结构视图，并凸显了在结构研究中使用脂质体作为近似生理膜模拟物的实用性。本工作中确立的原理也可能适用于其他通过可逆膜结合调控功能的生物系统。</w:t>
      </w:r>
    </w:p>
    <w:p>
      <w:pPr>
        <w:spacing w:before="0" w:after="200" w:lineRule="auto" w:line="276"/>
      </w:pPr>
      <w:r>
        <w:rPr>
          <w:b/>
        </w:rPr>
        <w:t xml:space="preserve">Abstract (EN): </w:t>
      </w:r>
      <w:r>
        <w:t>Phosphatidylserine on the surface of activated cells serves as a signal for coagulation factor binding and the membrane-dependent assembly of enzyme complexes that drive the accelerated host response to vascular damage. Here, we use single-particle cryo-EM of liposome-bound proteins to establish common mechanisms utilized by coagulation factors V and VIII for membrane binding and phospholipid specificity. The interface between these peripheral proteins and the membrane shows contacts between the discoidin C1 and C2 domains and the interfacial phospholipid headgroup region of the membrane bilayer. There is no evidence for the insertion of membrane-contacting protein loops into the membrane core. This refutes previous models of high affinity protein binding by insertion into the hydrophobic core of the membrane. We also resolve density for the headgroup of phosphatidylserine bound to conserved pockets within the C1 and C2 domains. These single binding pockets in each C domain highlight the network of putative hydrogen bonds that contribute to binding specificity for phosphatidylserine. Our results now provide a high-resolution structural view of the protein–membrane interface for these coagulation proteins and highlight the utility of using liposomes as near-physiologic membrane mimetics in structural studies. The principles established in this work may also apply to other biological systems wherein function is regulated by reversible membrane binding.</w:t>
      </w:r>
    </w:p>
    <w:p>
      <w:pPr>
        <w:spacing w:before="120" w:after="120"/>
      </w:pPr>
      <w:r>
        <w:rPr>
          <w:sz w:val="18"/>
        </w:rPr>
        <w:t>——————————————————————————————————————————————————————————————————————</w:t>
      </w:r>
    </w:p>
    <w:p>
      <w:pPr>
        <w:spacing w:before="160" w:after="40" w:line="240" w:lineRule="auto"/>
      </w:pPr>
      <w:r>
        <w:rPr>
          <w:b/>
        </w:rPr>
        <w:t xml:space="preserve">[1251] </w:t>
      </w:r>
      <w:hyperlink r:id="rId2128">
        <w:r>
          <w:rPr>
            <w:color w:val="1155CC"/>
            <w:u w:val="single"/>
          </w:rPr>
          <w:t>KRAS突变表达后转录组与合成致死依赖性的变化揭示深层的组织特异性</w:t>
        </w:r>
      </w:hyperlink>
    </w:p>
    <w:p>
      <w:pPr>
        <w:spacing w:before="0" w:after="80"/>
      </w:pPr>
      <w:r>
        <w:rPr>
          <w:i/>
          <w:sz w:val="20"/>
        </w:rPr>
        <w:t>EN: Changes in the transcriptome and synthetic lethal dependencies following KRAS mutant expression reveal profound tissue specificity</w:t>
      </w:r>
    </w:p>
    <w:p>
      <w:pPr>
        <w:spacing w:before="0" w:after="120"/>
      </w:pPr>
      <w:r>
        <w:rPr>
          <w:b/>
        </w:rPr>
        <w:t xml:space="preserve">Source: </w:t>
      </w:r>
      <w:r>
        <w:t>Proceedings of the National Academy of Sciences: Keyword search for query</w:t>
      </w:r>
      <w:r>
        <w:t xml:space="preserve">    </w:t>
      </w:r>
      <w:r>
        <w:rPr>
          <w:b/>
        </w:rPr>
        <w:t xml:space="preserve">Pub date: </w:t>
      </w:r>
      <w:r>
        <w:t>2026-09-02 07:00:00+00:00</w:t>
      </w:r>
      <w:r>
        <w:t xml:space="preserve">    </w:t>
      </w:r>
      <w:r>
        <w:rPr>
          <w:b/>
        </w:rPr>
        <w:t xml:space="preserve">DOI: </w:t>
      </w:r>
      <w:hyperlink r:id="rId2129">
        <w:r>
          <w:rPr>
            <w:color w:val="1155CC"/>
            <w:u w:val="single"/>
          </w:rPr>
          <w:t>10.1073/pnas.2614664123</w:t>
        </w:r>
      </w:hyperlink>
    </w:p>
    <w:p>
      <w:pPr>
        <w:spacing w:before="0" w:after="120"/>
      </w:pPr>
      <w:r>
        <w:rPr>
          <w:b/>
        </w:rPr>
        <w:t xml:space="preserve">Notes: </w:t>
      </w:r>
      <w:r>
        <w:t>abstract_source=crossref</w:t>
      </w:r>
    </w:p>
    <w:p>
      <w:pPr>
        <w:spacing w:before="0" w:after="80" w:lineRule="auto" w:line="276"/>
      </w:pPr>
      <w:r>
        <w:rPr>
          <w:b/>
        </w:rPr>
        <w:t xml:space="preserve">摘要（ZH）: </w:t>
      </w:r>
      <w:r>
        <w:t>致癌性KRAS突变表现出显著的组织限制性趋向性，在胰腺癌、结直肠癌和肺腺癌中高频发生，而在其他谱系中罕见。为何这些特定组织对KRAS转化具有独特的允许性，以及这种背景如何塑造治疗脆弱性，其分子基础仍不明确。在此，我们利用CRISPR介导的基因组工程，在三种原发允许性谱系（肺、结肠和胰腺）以及非允许性乳腺谱系中构建了内源性、条件性KRAS突变的同基因细胞系模型。整合的全基因组CRISPR适合度筛选和比较转录组分析表明，KRAS驱动的合成致死（SL）依赖性深受其起源组织的影响。值得注意的是，我们观察到各谱系之间SL命中结果的重叠极小，允许性细胞系之间仅共享三个基因，表明KRAS癌基因通过不同的、依赖于具体背景的遗传网络发挥作用。在机制上，我们表明KRAS激活诱导了一种普遍的MYC驱动的代谢特征，但维持这种状态所需的特定机制具有谱系限制性。我们鉴定出对白喉酰胺合成通路的依赖，以在KRAS诱导的超翻译状态下维持翻译保真性。这些发现表明，即使由同一癌基因驱动，肿瘤也表现出不同的调控格局和独特的遗传脆弱性。我们的结果为开发具有谱系意识的</w:t>
      </w:r>
    </w:p>
    <w:p>
      <w:pPr>
        <w:spacing w:before="0" w:after="200" w:lineRule="auto" w:line="276"/>
      </w:pPr>
      <w:r>
        <w:rPr>
          <w:b/>
        </w:rPr>
        <w:t xml:space="preserve">Abstract (EN): </w:t>
      </w:r>
      <w:r>
        <w:t>Oncogenic KRAS mutations exhibit a striking tissue-restricted tropism, occurring with high frequency in pancreatic, colorectal, and lung adenocarcinomas while remaining rare in other lineages. The molecular basis for why these specific tissues are uniquely permissive to KRAS transformation, and how this context shapes therapeutic vulnerabilities, remains poorly defined. Here, we utilized CRISPR-mediated genome engineering to generate endogenous, conditional KRAS-mutant isogenic cell line models across three primary permissive lineages (lung, colon, and pancreas) and the nonpermissive breast lineage. Integrated genome-wide CRISPR fitness screens and comparative transcriptome analyses revealed that KRAS-driven synthetic lethal (SL) dependencies are profoundly shaped by their tissue of origin. Strikingly, we observed minimal overlap in SL hits across lineages, with only three genes shared among the permissive lines, suggesting that the</w:t>
      </w:r>
      <w:r>
        <w:t xml:space="preserve"> </w:t>
      </w:r>
      <w:r>
        <w:t>KRAS</w:t>
      </w:r>
      <w:r>
        <w:t xml:space="preserve"> </w:t>
      </w:r>
      <w:r>
        <w:t>oncogene operates through divergent, context-specific genetic networks. Mechanistically, we show that KRAS activation induces a universal MYC-driven metabolic signature, but the specific machinery required to sustain this state is lineage-restricted. We identified a dependency on the diphthamide synthesis pathway to maintain translational fidelity amid a KRAS-induced hypertranslational state. These findings demonstrate that even when driven by the same oncogene, tumors exhibit distinct regulatory landscapes and unique genetic vulnerabilities. Our results provide a framework for developing lineage-aware therapeutic strategies, moving beyond universal KRAS inhibition toward targeted interventions tailored to a tumor’s specific tissue context.</w:t>
      </w:r>
    </w:p>
    <w:p>
      <w:pPr>
        <w:spacing w:before="120" w:after="120"/>
      </w:pPr>
      <w:r>
        <w:rPr>
          <w:sz w:val="18"/>
        </w:rPr>
        <w:t>——————————————————————————————————————————————————————————————————————</w:t>
      </w:r>
    </w:p>
    <w:p>
      <w:pPr>
        <w:spacing w:before="160" w:after="40" w:line="240" w:lineRule="auto"/>
      </w:pPr>
      <w:r>
        <w:rPr>
          <w:b/>
        </w:rPr>
        <w:t xml:space="preserve">[1252] </w:t>
      </w:r>
      <w:hyperlink r:id="rId2130">
        <w:r>
          <w:rPr>
            <w:color w:val="1155CC"/>
            <w:u w:val="single"/>
          </w:rPr>
          <w:t>随机测量工具箱的解析延拓</w:t>
        </w:r>
      </w:hyperlink>
    </w:p>
    <w:p>
      <w:pPr>
        <w:spacing w:before="0" w:after="80"/>
      </w:pPr>
      <w:r>
        <w:rPr>
          <w:i/>
          <w:sz w:val="20"/>
        </w:rPr>
        <w:t>EN: Analytically Continuing the Randomized Measurement Toolbox</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31">
        <w:r>
          <w:rPr>
            <w:color w:val="1155CC"/>
            <w:u w:val="single"/>
          </w:rPr>
          <w:t>10.1103/837t-68bf</w:t>
        </w:r>
      </w:hyperlink>
    </w:p>
    <w:p>
      <w:pPr>
        <w:spacing w:before="0" w:after="120"/>
      </w:pPr>
      <w:r>
        <w:rPr>
          <w:b/>
        </w:rPr>
        <w:t xml:space="preserve">Notes: </w:t>
      </w:r>
      <w:r>
        <w:t>abstract_source=rss_description</w:t>
      </w:r>
    </w:p>
    <w:p>
      <w:pPr>
        <w:spacing w:before="0" w:after="80" w:lineRule="auto" w:line="276"/>
      </w:pPr>
      <w:r>
        <w:rPr>
          <w:b/>
        </w:rPr>
        <w:t xml:space="preserve">摘要（ZH）: </w:t>
      </w:r>
      <w:r>
        <w:t>作者：Akash Vijay、Ayush Raj、Jonah Kudler-Flam、Benoît Vermersch、Andreas Elben 和 Laimei Nie我们开发了一个框架，通过解析延拓方法在随机化测量实验中提取密度矩阵的非多项式解析函数。该方法被称为稳定化解析延拓（SAC），其核心优势在于对统计噪声的稳健性，该噪声源于……[Phys. Rev. Lett. 137, 100202] 发布于2026年9月2日星期三</w:t>
      </w:r>
    </w:p>
    <w:p>
      <w:pPr>
        <w:spacing w:before="0" w:after="200" w:lineRule="auto" w:line="276"/>
      </w:pPr>
      <w:r>
        <w:rPr>
          <w:b/>
        </w:rPr>
        <w:t xml:space="preserve">Abstract (EN): </w:t>
      </w:r>
      <w:r>
        <w:t>Author(s): Akash Vijay, Ayush Raj, Jonah Kudler-Flam, Benoît Vermersch, Andreas Elben, and Laimei NieWe develop a framework for extracting nonpolynomial analytic functions of density matrices in randomized measurement experiments by a method of analytical continuation. A central advantage of this approach, dubbed stabilized analytic continuation (SAC), is its robustness to statistical noise arising…[Phys. Rev. Lett. 137, 100202] Published Wed Sep 02, 2026</w:t>
      </w:r>
    </w:p>
    <w:p>
      <w:pPr>
        <w:spacing w:before="120" w:after="120"/>
      </w:pPr>
      <w:r>
        <w:rPr>
          <w:sz w:val="18"/>
        </w:rPr>
        <w:t>——————————————————————————————————————————————————————————————————————</w:t>
      </w:r>
    </w:p>
    <w:p>
      <w:pPr>
        <w:spacing w:before="160" w:after="40" w:line="240" w:lineRule="auto"/>
      </w:pPr>
      <w:r>
        <w:rPr>
          <w:b/>
        </w:rPr>
        <w:t xml:space="preserve">[1253] </w:t>
      </w:r>
      <w:hyperlink r:id="rId2132">
        <w:r>
          <w:rPr>
            <w:color w:val="1155CC"/>
            <w:u w:val="single"/>
          </w:rPr>
          <w:t>混合金属-介电超表面中飞秒近场增强的Q因子匹配</w:t>
        </w:r>
      </w:hyperlink>
    </w:p>
    <w:p>
      <w:pPr>
        <w:spacing w:before="0" w:after="80"/>
      </w:pPr>
      <w:r>
        <w:rPr>
          <w:i/>
          <w:sz w:val="20"/>
        </w:rPr>
        <w:t>EN: Q-Factor Matching for Femtosecond Near-Field Enhancement in Hybrid Metal-Dielectric Metasurfaces</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33">
        <w:r>
          <w:rPr>
            <w:color w:val="1155CC"/>
            <w:u w:val="single"/>
          </w:rPr>
          <w:t>10.1103/zkdb-qhps</w:t>
        </w:r>
      </w:hyperlink>
    </w:p>
    <w:p>
      <w:pPr>
        <w:spacing w:before="0" w:after="120"/>
      </w:pPr>
      <w:r>
        <w:rPr>
          <w:b/>
        </w:rPr>
        <w:t xml:space="preserve">Notes: </w:t>
      </w:r>
      <w:r>
        <w:t>abstract_source=rss_description</w:t>
      </w:r>
    </w:p>
    <w:p>
      <w:pPr>
        <w:spacing w:before="0" w:after="80" w:lineRule="auto" w:line="276"/>
      </w:pPr>
      <w:r>
        <w:rPr>
          <w:b/>
        </w:rPr>
        <w:t xml:space="preserve">摘要（ZH）: </w:t>
      </w:r>
      <w:r>
        <w:t>作者：Yaolong Li、Xu Shi、Yuxin Zhang、Lin Qiao、Hong Yang、Shufeng Wang、Guowei Lyu、Yasutaka Matsuo、Xiaoyong Hu、Qihuang Gong 和 Hiroaki Misawa在超快纳米光子学中，使腔共振寿命与驱动激光脉冲相匹配比仅最大化腔品质因子能带来显著更强的近场增强。[Phys. Rev. Lett. 137, 106902] 发布于2026年9月2日星期三</w:t>
      </w:r>
    </w:p>
    <w:p>
      <w:pPr>
        <w:spacing w:before="0" w:after="200" w:lineRule="auto" w:line="276"/>
      </w:pPr>
      <w:r>
        <w:rPr>
          <w:b/>
        </w:rPr>
        <w:t xml:space="preserve">Abstract (EN): </w:t>
      </w:r>
      <w:r>
        <w:t>Author(s): Yaolong Li, Xu Shi, Yuxin Zhang, Lin Qiao, Hong Yang, Shufeng Wang, Guowei Lyu, Yasutaka Matsuo, Xiaoyong Hu, Qihuang Gong, and Hiroaki MisawaMatching the cavity resonance lifetime to the driving laser pulse yields significantly greater near-field enhancement in ultrafast nanophotonics than maximizing the cavity quality factor alone.[Phys. Rev. Lett. 137, 106902] Published Wed Sep 02, 2026</w:t>
      </w:r>
    </w:p>
    <w:p>
      <w:pPr>
        <w:spacing w:before="120" w:after="120"/>
      </w:pPr>
      <w:r>
        <w:rPr>
          <w:sz w:val="18"/>
        </w:rPr>
        <w:t>——————————————————————————————————————————————————————————————————————</w:t>
      </w:r>
    </w:p>
    <w:p>
      <w:pPr>
        <w:spacing w:before="160" w:after="40" w:line="240" w:lineRule="auto"/>
      </w:pPr>
      <w:r>
        <w:rPr>
          <w:b/>
        </w:rPr>
        <w:t xml:space="preserve">[1254] </w:t>
      </w:r>
      <w:hyperlink r:id="rId2134">
        <w:r>
          <w:rPr>
            <w:color w:val="1155CC"/>
            <w:u w:val="single"/>
          </w:rPr>
          <w:t>约束$^{48}\mathrm{Ca}$中子皮杂质及其与CREX-PREX之谜的相关性</w:t>
        </w:r>
      </w:hyperlink>
    </w:p>
    <w:p>
      <w:pPr>
        <w:spacing w:before="0" w:after="80"/>
      </w:pPr>
      <w:r>
        <w:rPr>
          <w:i/>
          <w:sz w:val="20"/>
        </w:rPr>
        <w:t>EN: Constraining neutron skin impurity in $^{48}\mathrm{Ca}$ and its relevance for the CREX-PREX puzzle</w:t>
      </w:r>
    </w:p>
    <w:p>
      <w:pPr>
        <w:spacing w:before="0" w:after="120"/>
      </w:pPr>
      <w:r>
        <w:rPr>
          <w:b/>
        </w:rPr>
        <w:t xml:space="preserve">Source: </w:t>
      </w:r>
      <w:r>
        <w:t>Recent Articles in Phys. Rev. C</w:t>
      </w:r>
      <w:r>
        <w:t xml:space="preserve">    </w:t>
      </w:r>
      <w:r>
        <w:rPr>
          <w:b/>
        </w:rPr>
        <w:t xml:space="preserve">Pub date: </w:t>
      </w:r>
      <w:r>
        <w:t>2026-09-02 10:00:00+00:00</w:t>
      </w:r>
      <w:r>
        <w:t xml:space="preserve">    </w:t>
      </w:r>
      <w:r>
        <w:rPr>
          <w:b/>
        </w:rPr>
        <w:t xml:space="preserve">DOI: </w:t>
      </w:r>
      <w:hyperlink r:id="rId2135">
        <w:r>
          <w:rPr>
            <w:color w:val="1155CC"/>
            <w:u w:val="single"/>
          </w:rPr>
          <w:t>10.1103/5mc1-gbjx</w:t>
        </w:r>
      </w:hyperlink>
    </w:p>
    <w:p>
      <w:pPr>
        <w:spacing w:before="0" w:after="120"/>
      </w:pPr>
      <w:r>
        <w:rPr>
          <w:b/>
        </w:rPr>
        <w:t xml:space="preserve">Notes: </w:t>
      </w:r>
      <w:r>
        <w:t>abstract_source=rss_description</w:t>
      </w:r>
    </w:p>
    <w:p>
      <w:pPr>
        <w:spacing w:before="0" w:after="80" w:lineRule="auto" w:line="276"/>
      </w:pPr>
      <w:r>
        <w:rPr>
          <w:b/>
        </w:rPr>
        <w:t xml:space="preserve">摘要（ZH）: </w:t>
      </w:r>
      <w:r>
        <w:t>作者：Phan Nhut Huan本研究探讨了库仑芯极化对$^{48}\mathrm{Ca}$中子密度分布的影响。库仑边界半径位于中子皮区域之前，导致质子混杂，从而确立了中子皮杂质作为密度分布的内禀特征。……[Phys. Rev. C 114, L031601] 发布于2026年9月2日星期三</w:t>
      </w:r>
    </w:p>
    <w:p>
      <w:pPr>
        <w:spacing w:before="0" w:after="200" w:lineRule="auto" w:line="276"/>
      </w:pPr>
      <w:r>
        <w:rPr>
          <w:b/>
        </w:rPr>
        <w:t xml:space="preserve">Abstract (EN): </w:t>
      </w:r>
      <w:r>
        <w:t>Author(s): Phan Nhut HuanThe impact of Coulomb core polarization on the neutron density distribution of $^{48}\mathrm{Ca}$ is investigated. The Coulomb boundary radius is located before the neutron skin region, leading to proton admixture and establishing neutron skin impurity as an intrinsic feature of the density profile.…[Phys. Rev. C 114, L031601] Published Wed Sep 02, 2026</w:t>
      </w:r>
    </w:p>
    <w:p>
      <w:pPr>
        <w:spacing w:before="120" w:after="120"/>
      </w:pPr>
      <w:r>
        <w:rPr>
          <w:sz w:val="18"/>
        </w:rPr>
        <w:t>——————————————————————————————————————————————————————————————————————</w:t>
      </w:r>
    </w:p>
    <w:p>
      <w:pPr>
        <w:spacing w:before="160" w:after="40" w:line="240" w:lineRule="auto"/>
      </w:pPr>
      <w:r>
        <w:rPr>
          <w:b/>
        </w:rPr>
        <w:t xml:space="preserve">[1255] </w:t>
      </w:r>
      <w:hyperlink r:id="rId2136">
        <w:r>
          <w:rPr>
            <w:color w:val="1155CC"/>
            <w:u w:val="single"/>
          </w:rPr>
          <w:t>利用改进的相对论平均场方法约束$^{40}\mathrm{Ca}$中$1{d}_{3/2}–1{f}_{7/2}$能隙的影响</w:t>
        </w:r>
      </w:hyperlink>
    </w:p>
    <w:p>
      <w:pPr>
        <w:spacing w:before="0" w:after="80"/>
      </w:pPr>
      <w:r>
        <w:rPr>
          <w:i/>
          <w:sz w:val="20"/>
        </w:rPr>
        <w:t>EN: Effect of constraining the $1{d}_{3/2}–1{f}_{7/2}$ energy gap in $^{40}\mathrm{Ca}$ using a modified relativistic mean field approach</w:t>
      </w:r>
    </w:p>
    <w:p>
      <w:pPr>
        <w:spacing w:before="0" w:after="120"/>
      </w:pPr>
      <w:r>
        <w:rPr>
          <w:b/>
        </w:rPr>
        <w:t xml:space="preserve">Source: </w:t>
      </w:r>
      <w:r>
        <w:t>Recent Articles in Phys. Rev. C</w:t>
      </w:r>
      <w:r>
        <w:t xml:space="preserve">    </w:t>
      </w:r>
      <w:r>
        <w:rPr>
          <w:b/>
        </w:rPr>
        <w:t xml:space="preserve">Pub date: </w:t>
      </w:r>
      <w:r>
        <w:t>2026-09-02 10:00:00+00:00</w:t>
      </w:r>
      <w:r>
        <w:t xml:space="preserve">    </w:t>
      </w:r>
      <w:r>
        <w:rPr>
          <w:b/>
        </w:rPr>
        <w:t xml:space="preserve">DOI: </w:t>
      </w:r>
      <w:hyperlink r:id="rId2137">
        <w:r>
          <w:rPr>
            <w:color w:val="1155CC"/>
            <w:u w:val="single"/>
          </w:rPr>
          <w:t>10.1103/lxf3-294n</w:t>
        </w:r>
      </w:hyperlink>
    </w:p>
    <w:p>
      <w:pPr>
        <w:spacing w:before="0" w:after="120"/>
      </w:pPr>
      <w:r>
        <w:rPr>
          <w:b/>
        </w:rPr>
        <w:t xml:space="preserve">Notes: </w:t>
      </w:r>
      <w:r>
        <w:t>abstract_source=rss_description</w:t>
      </w:r>
    </w:p>
    <w:p>
      <w:pPr>
        <w:spacing w:before="0" w:after="80" w:lineRule="auto" w:line="276"/>
      </w:pPr>
      <w:r>
        <w:rPr>
          <w:b/>
        </w:rPr>
        <w:t xml:space="preserve">摘要（ZH）: </w:t>
      </w:r>
      <w:r>
        <w:t>作者：Nitin Mahavar 和 A. Bhagwat在推转相对论平均场框架内，研究了基于 ${f}_{7/2}^{n}$ 和 ${d}_{3/2}^{−1}{f}_{7/2}^{n+1}$ 组态的终结态之间的激发能差。发现实验数据与理论预言之间存在差异……[Phys. Rev. C 114, 034302] 发布于2026年9月2日星期三</w:t>
      </w:r>
    </w:p>
    <w:p>
      <w:pPr>
        <w:spacing w:before="0" w:after="200" w:lineRule="auto" w:line="276"/>
      </w:pPr>
      <w:r>
        <w:rPr>
          <w:b/>
        </w:rPr>
        <w:t xml:space="preserve">Abstract (EN): </w:t>
      </w:r>
      <w:r>
        <w:t>Author(s): Nitin Mahavar and A. BhagwatThe excitation energy difference between terminating states based on the ${f}_{7/2}^{n}$ and ${d}_{3/2}^{−1}{f}_{7/2}^{n+1}$ configurations has been studied within the cranked relativistic mean field framework. The discrepancy between the experimental data and the theoretical predictions is found to…[Phys. Rev. C 114, 034302] Published Wed Sep 02, 2026</w:t>
      </w:r>
    </w:p>
    <w:p>
      <w:pPr>
        <w:spacing w:before="120" w:after="120"/>
      </w:pPr>
      <w:r>
        <w:rPr>
          <w:sz w:val="18"/>
        </w:rPr>
        <w:t>——————————————————————————————————————————————————————————————————————</w:t>
      </w:r>
    </w:p>
    <w:p>
      <w:pPr>
        <w:spacing w:before="160" w:after="40" w:line="240" w:lineRule="auto"/>
      </w:pPr>
      <w:r>
        <w:rPr>
          <w:b/>
        </w:rPr>
        <w:t xml:space="preserve">[1256] </w:t>
      </w:r>
      <w:hyperlink r:id="rId2138">
        <w:r>
          <w:rPr>
            <w:color w:val="1155CC"/>
            <w:u w:val="single"/>
          </w:rPr>
          <w:t>在与双光子交换一致的框架下对弹性电子-质子散射中轻中性标量耦合的唯象搜寻</w:t>
        </w:r>
      </w:hyperlink>
    </w:p>
    <w:p>
      <w:pPr>
        <w:spacing w:before="0" w:after="80"/>
      </w:pPr>
      <w:r>
        <w:rPr>
          <w:i/>
          <w:sz w:val="20"/>
        </w:rPr>
        <w:t>EN: Phenomenological search for light neutral scalar couplings in elastic electron-proton scattering within a two-photon-exchange-consistent framework</w:t>
      </w:r>
    </w:p>
    <w:p>
      <w:pPr>
        <w:spacing w:before="0" w:after="120"/>
      </w:pPr>
      <w:r>
        <w:rPr>
          <w:b/>
        </w:rPr>
        <w:t xml:space="preserve">Source: </w:t>
      </w:r>
      <w:r>
        <w:t>Recent Articles in Phys. Rev. C</w:t>
      </w:r>
      <w:r>
        <w:t xml:space="preserve">    </w:t>
      </w:r>
      <w:r>
        <w:rPr>
          <w:b/>
        </w:rPr>
        <w:t xml:space="preserve">Pub date: </w:t>
      </w:r>
      <w:r>
        <w:t>2026-09-02 10:00:00+00:00</w:t>
      </w:r>
      <w:r>
        <w:t xml:space="preserve">    </w:t>
      </w:r>
      <w:r>
        <w:rPr>
          <w:b/>
        </w:rPr>
        <w:t xml:space="preserve">DOI: </w:t>
      </w:r>
      <w:hyperlink r:id="rId2139">
        <w:r>
          <w:rPr>
            <w:color w:val="1155CC"/>
            <w:u w:val="single"/>
          </w:rPr>
          <w:t>10.1103/wtjz-3gjx</w:t>
        </w:r>
      </w:hyperlink>
    </w:p>
    <w:p>
      <w:pPr>
        <w:spacing w:before="0" w:after="120"/>
      </w:pPr>
      <w:r>
        <w:rPr>
          <w:b/>
        </w:rPr>
        <w:t xml:space="preserve">Notes: </w:t>
      </w:r>
      <w:r>
        <w:t>abstract_source=rss_description</w:t>
      </w:r>
    </w:p>
    <w:p>
      <w:pPr>
        <w:spacing w:before="0" w:after="80" w:lineRule="auto" w:line="276"/>
      </w:pPr>
      <w:r>
        <w:rPr>
          <w:b/>
        </w:rPr>
        <w:t xml:space="preserve">摘要（ZH）: </w:t>
      </w:r>
      <w:r>
        <w:t>作者：I. A. Qattan本工作对弹性电子-质子（$ep$）散射的约化非极化截面 ${σ}_{R}(ɛ,{Q}^{2})$ 进行了全面的、与双光子交换（TPE）一致的分析，以寻找来自轻中性标量媒介粒子的可能贡献，并建立定量的……[Phys. Rev. C 114, 035201] 发布于2026年9月2日星期三</w:t>
      </w:r>
    </w:p>
    <w:p>
      <w:pPr>
        <w:spacing w:before="0" w:after="200" w:lineRule="auto" w:line="276"/>
      </w:pPr>
      <w:r>
        <w:rPr>
          <w:b/>
        </w:rPr>
        <w:t xml:space="preserve">Abstract (EN): </w:t>
      </w:r>
      <w:r>
        <w:t>Author(s): I. A. QattanIn this work, a comprehensive, two-photon-exchange (TPE)-consistent analysis of the unpolarized reduced cross section ${σ}_{R}(ɛ,{Q}^{2})$ for elastic electron-proton ($ep$) scattering is performed to search for possible contributions from a light neutral scalar mediator and to establish quantitativ…[Phys. Rev. C 114, 035201] Published Wed Sep 02, 2026</w:t>
      </w:r>
    </w:p>
    <w:p>
      <w:pPr>
        <w:spacing w:before="120" w:after="120"/>
      </w:pPr>
      <w:r>
        <w:rPr>
          <w:sz w:val="18"/>
        </w:rPr>
        <w:t>——————————————————————————————————————————————————————————————————————</w:t>
      </w:r>
    </w:p>
    <w:p>
      <w:pPr>
        <w:spacing w:before="160" w:after="40" w:line="240" w:lineRule="auto"/>
      </w:pPr>
      <w:r>
        <w:rPr>
          <w:b/>
        </w:rPr>
        <w:t xml:space="preserve">[1257] </w:t>
      </w:r>
      <w:hyperlink r:id="rId2140">
        <w:r>
          <w:rPr>
            <w:color w:val="1155CC"/>
            <w:u w:val="single"/>
          </w:rPr>
          <w:t>通过有限de Finetti定理实现对称性驱动的热化</w:t>
        </w:r>
      </w:hyperlink>
    </w:p>
    <w:p>
      <w:pPr>
        <w:spacing w:before="0" w:after="80"/>
      </w:pPr>
      <w:r>
        <w:rPr>
          <w:i/>
          <w:sz w:val="20"/>
        </w:rPr>
        <w:t>EN: Symmetry-Driven Thermalization via Finite de Finetti Theorems</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41">
        <w:r>
          <w:rPr>
            <w:color w:val="1155CC"/>
            <w:u w:val="single"/>
          </w:rPr>
          <w:t>10.1103/df89-tdks</w:t>
        </w:r>
      </w:hyperlink>
    </w:p>
    <w:p>
      <w:pPr>
        <w:spacing w:before="0" w:after="120"/>
      </w:pPr>
      <w:r>
        <w:rPr>
          <w:b/>
        </w:rPr>
        <w:t xml:space="preserve">Notes: </w:t>
      </w:r>
      <w:r>
        <w:t>abstract_source=rss_description</w:t>
      </w:r>
    </w:p>
    <w:p>
      <w:pPr>
        <w:spacing w:before="0" w:after="80" w:lineRule="auto" w:line="276"/>
      </w:pPr>
      <w:r>
        <w:rPr>
          <w:b/>
        </w:rPr>
        <w:t xml:space="preserve">摘要（ZH）: </w:t>
      </w:r>
      <w:r>
        <w:t>作者：Uttam Singh 和 Nicolas J. Cerf 封闭量子系统各子系统中的热行为通常被归因于动力学混沌、量子遍历性、正则典型性或本征态热化假说，这表明热化具有根本上的统计起源。在此，我们提出一种可能的替代机制…[Phys. Rev. Lett. 137, 100402] 发布于2026年9月2日（周三）</w:t>
      </w:r>
    </w:p>
    <w:p>
      <w:pPr>
        <w:spacing w:before="0" w:after="200" w:lineRule="auto" w:line="276"/>
      </w:pPr>
      <w:r>
        <w:rPr>
          <w:b/>
        </w:rPr>
        <w:t xml:space="preserve">Abstract (EN): </w:t>
      </w:r>
      <w:r>
        <w:t>Author(s): Uttam Singh and Nicolas J. CerfThermal behavior in subsystems of closed quantum systems is commonly attributed to dynamical chaos, quantum ergodicity, canonical typicality, or the eigenstate thermalization hypothesis, suggesting a fundamentally statistical origin of thermalization. Here, we propose a potential alternative mechani…[Phys. Rev. Lett. 137, 100402] Published Wed Sep 02, 2026</w:t>
      </w:r>
    </w:p>
    <w:p>
      <w:pPr>
        <w:spacing w:before="120" w:after="120"/>
      </w:pPr>
      <w:r>
        <w:rPr>
          <w:sz w:val="18"/>
        </w:rPr>
        <w:t>——————————————————————————————————————————————————————————————————————</w:t>
      </w:r>
    </w:p>
    <w:p>
      <w:pPr>
        <w:spacing w:before="160" w:after="40" w:line="240" w:lineRule="auto"/>
      </w:pPr>
      <w:r>
        <w:rPr>
          <w:b/>
        </w:rPr>
        <w:t xml:space="preserve">[1258] </w:t>
      </w:r>
      <w:hyperlink r:id="rId2142">
        <w:r>
          <w:rPr>
            <w:color w:val="1155CC"/>
            <w:u w:val="single"/>
          </w:rPr>
          <w:t>利用高保真度Rb-Cs里德堡门进行量子比特症状测量</w:t>
        </w:r>
      </w:hyperlink>
    </w:p>
    <w:p>
      <w:pPr>
        <w:spacing w:before="0" w:after="80"/>
      </w:pPr>
      <w:r>
        <w:rPr>
          <w:i/>
          <w:sz w:val="20"/>
        </w:rPr>
        <w:t>EN: Qubit Syndrome Measurements with a High-Fidelity Rb-Cs Rydberg Gate</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43">
        <w:r>
          <w:rPr>
            <w:color w:val="1155CC"/>
            <w:u w:val="single"/>
          </w:rPr>
          <w:t>10.1103/pvjm-jxd2</w:t>
        </w:r>
      </w:hyperlink>
    </w:p>
    <w:p>
      <w:pPr>
        <w:spacing w:before="0" w:after="120"/>
      </w:pPr>
      <w:r>
        <w:rPr>
          <w:b/>
        </w:rPr>
        <w:t xml:space="preserve">Notes: </w:t>
      </w:r>
      <w:r>
        <w:t>abstract_source=rss_description</w:t>
      </w:r>
    </w:p>
    <w:p>
      <w:pPr>
        <w:spacing w:before="0" w:after="80" w:lineRule="auto" w:line="276"/>
      </w:pPr>
      <w:r>
        <w:rPr>
          <w:b/>
        </w:rPr>
        <w:t xml:space="preserve">摘要（ZH）: </w:t>
      </w:r>
      <w:r>
        <w:t>作者：J. Miles、M. T. Lichtman、A. M. Scott、J. Scott、S. A. Norrell、M. J. Bedalov、D. A. Belknap、D. C. Cole、S. Y. Eubanks、M. Gillette、P. Gokhale、J. Goldwin、M. Iliev、R. A. Jones、K. W. Kuper、D. Mason、P. T. Mitchell、J. D. Murphree、N. A. Neff-Mallon、T. W. Noel、A. G. Radnaev、I. V. Vinogradov 和 M. Saffman我们演示了铷（Rb）原子与铯（Cs）原子之间的异种原子纠缠里德堡门，其保真度为 $\mathcal{F}=0.975±0.002$。双原子阵列可实现原位量子非破坏（QND）量子比特测量，这是量子纠错的一项关键能力。我们演示……[Phys. Rev. Lett. 137, 100601] 发布于 2026年9月2日（星期三）</w:t>
      </w:r>
    </w:p>
    <w:p>
      <w:pPr>
        <w:spacing w:before="0" w:after="200" w:lineRule="auto" w:line="276"/>
      </w:pPr>
      <w:r>
        <w:rPr>
          <w:b/>
        </w:rPr>
        <w:t xml:space="preserve">Abstract (EN): </w:t>
      </w:r>
      <w:r>
        <w:t>Author(s): J. Miles, M. T. Lichtman, A. M. Scott, J. Scott, S. A. Norrell, M. J. Bedalov, D. A. Belknap, D. C. Cole, S. Y. Eubanks, M. Gillette, P. Gokhale, J. Goldwin, M. Iliev, R. A. Jones, K. W. Kuper, D. Mason, P. T. Mitchell, J. D. Murphree, N. A. Neff-Mallon, T. W. Noel, A. G. Radnaev, I. V. Vinogradov, and M. SaffmanWe demonstrate an interspecies entangling Rydberg gate between rubidium (Rb) and cesium (Cs) atoms with fidelity $\mathcal{F}=0.975±0.002$. The two-species atom array enables in-place quantum nondemolition (QND) qubit measurements which are a key capability for quantum error correction. We demonstra…[Phys. Rev. Lett. 137, 100601] Published Wed Sep 02, 2026</w:t>
      </w:r>
    </w:p>
    <w:p>
      <w:pPr>
        <w:spacing w:before="120" w:after="120"/>
      </w:pPr>
      <w:r>
        <w:rPr>
          <w:sz w:val="18"/>
        </w:rPr>
        <w:t>——————————————————————————————————————————————————————————————————————</w:t>
      </w:r>
    </w:p>
    <w:p>
      <w:pPr>
        <w:spacing w:before="160" w:after="40" w:line="240" w:lineRule="auto"/>
      </w:pPr>
      <w:r>
        <w:rPr>
          <w:b/>
        </w:rPr>
        <w:t xml:space="preserve">[1259] </w:t>
      </w:r>
      <w:hyperlink r:id="rId2144">
        <w:r>
          <w:rPr>
            <w:color w:val="1155CC"/>
            <w:u w:val="single"/>
          </w:rPr>
          <w:t>非共线磁体中非相对论性隐藏自旋极化的对称性分类</w:t>
        </w:r>
      </w:hyperlink>
    </w:p>
    <w:p>
      <w:pPr>
        <w:spacing w:before="0" w:after="80"/>
      </w:pPr>
      <w:r>
        <w:rPr>
          <w:i/>
          <w:sz w:val="20"/>
        </w:rPr>
        <w:t>EN: Symmetry Classification of Nonrelativistic Hidden Spin Polarization in Noncollinear Magnets</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45">
        <w:r>
          <w:rPr>
            <w:color w:val="1155CC"/>
            <w:u w:val="single"/>
          </w:rPr>
          <w:t>10.1103/8pg5-pz4z</w:t>
        </w:r>
      </w:hyperlink>
    </w:p>
    <w:p>
      <w:pPr>
        <w:spacing w:before="0" w:after="120"/>
      </w:pPr>
      <w:r>
        <w:rPr>
          <w:b/>
        </w:rPr>
        <w:t xml:space="preserve">Notes: </w:t>
      </w:r>
      <w:r>
        <w:t>abstract_source=rss_description</w:t>
      </w:r>
    </w:p>
    <w:p>
      <w:pPr>
        <w:spacing w:before="0" w:after="80" w:lineRule="auto" w:line="276"/>
      </w:pPr>
      <w:r>
        <w:rPr>
          <w:b/>
        </w:rPr>
        <w:t xml:space="preserve">摘要（ZH）: </w:t>
      </w:r>
      <w:r>
        <w:t>作者：Yuzhong Hu、Pan Zhou、Baoru Pan、PengBo Lyu 和 Lizhong Sun隐藏自旋极化（HSP）是指自旋极化态局域存在而总自旋极化在动量空间中隐藏的现象，其在非磁性和共线磁性系统中已被广泛研究，但在非共线磁体中仍基本未获探索。这里我们建立了一个统一的……[Phys. Rev. Lett. 137, 106704] 发布于2026年9月2日星期三</w:t>
      </w:r>
    </w:p>
    <w:p>
      <w:pPr>
        <w:spacing w:before="0" w:after="200" w:lineRule="auto" w:line="276"/>
      </w:pPr>
      <w:r>
        <w:rPr>
          <w:b/>
        </w:rPr>
        <w:t xml:space="preserve">Abstract (EN): </w:t>
      </w:r>
      <w:r>
        <w:t>Author(s): Yuzhong Hu, Pan Zhou, Baoru Pan, PengBo Lyu, and Lizhong SunHidden spin polarization (HSP), in which spin-polarized states exist locally while the total spin polarization is hidden in momentum space, has been extensively studied in nonmagnetic and collinear magnetic systems but remains largely unexplored in noncollinear magnets. Here we establish a unified s…[Phys. Rev. Lett. 137, 106704] Published Wed Sep 02, 2026</w:t>
      </w:r>
    </w:p>
    <w:p>
      <w:pPr>
        <w:spacing w:before="120" w:after="120"/>
      </w:pPr>
      <w:r>
        <w:rPr>
          <w:sz w:val="18"/>
        </w:rPr>
        <w:t>——————————————————————————————————————————————————————————————————————</w:t>
      </w:r>
    </w:p>
    <w:p>
      <w:pPr>
        <w:spacing w:before="160" w:after="40" w:line="240" w:lineRule="auto"/>
      </w:pPr>
      <w:r>
        <w:rPr>
          <w:b/>
        </w:rPr>
        <w:t xml:space="preserve">[1260] </w:t>
      </w:r>
      <w:hyperlink r:id="rId2146">
        <w:r>
          <w:rPr>
            <w:color w:val="1155CC"/>
            <w:u w:val="single"/>
          </w:rPr>
          <w:t>利用IceCube数据限制eV量级不稳定中微子的参数空间</w:t>
        </w:r>
      </w:hyperlink>
    </w:p>
    <w:p>
      <w:pPr>
        <w:spacing w:before="0" w:after="80"/>
      </w:pPr>
      <w:r>
        <w:rPr>
          <w:i/>
          <w:sz w:val="20"/>
        </w:rPr>
        <w:t>EN: Limiting the Parameter Space for Unstable eV-Scale Neutrinos Using IceCube Data</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47">
        <w:r>
          <w:rPr>
            <w:color w:val="1155CC"/>
            <w:u w:val="single"/>
          </w:rPr>
          <w:t>10.1103/dpjg-54bg</w:t>
        </w:r>
      </w:hyperlink>
    </w:p>
    <w:p>
      <w:pPr>
        <w:spacing w:before="0" w:after="120"/>
      </w:pPr>
      <w:r>
        <w:rPr>
          <w:b/>
        </w:rPr>
        <w:t xml:space="preserve">Notes: </w:t>
      </w:r>
      <w:r>
        <w:t>abstract_source=rss_description</w:t>
      </w:r>
    </w:p>
    <w:p>
      <w:pPr>
        <w:spacing w:before="0" w:after="80" w:lineRule="auto" w:line="276"/>
      </w:pPr>
      <w:r>
        <w:rPr>
          <w:b/>
        </w:rPr>
        <w:t xml:space="preserve">摘要（ZH）: </w:t>
      </w:r>
      <w:r>
        <w:t>作者：R. Abbasi 等（IceCube 合作组）本文（Letter）将最近的 IceCube 惰性中微子搜索扩展到包含不稳定惰性中微子的情形，采用的是一个称为 $3+1+\mathrm{Decay}$ 的模型，该模型在 $3+1$ 模型的基础上引入了惰性中微子衰变为不可见粒子的过程，其耦合常数为 ${g}^{2}$。该模型……[Phys. Rev. Lett. 137, 101801] 发布于 2026年9月2日（星期三）</w:t>
      </w:r>
    </w:p>
    <w:p>
      <w:pPr>
        <w:spacing w:before="0" w:after="200" w:lineRule="auto" w:line="276"/>
      </w:pPr>
      <w:r>
        <w:rPr>
          <w:b/>
        </w:rPr>
        <w:t xml:space="preserve">Abstract (EN): </w:t>
      </w:r>
      <w:r>
        <w:t>Author(s): R. Abbasi et al. (IceCube Collaboration)This Letter extends a recent IceCube sterile neutrino search to include unstable sterile neutrinos within the context of a model termed $3+1+\mathrm{Decay}$, which expands upon the $3+1$ model by introducing sterile neutrino decay to invisible particles with coupling constant ${g}^{2}$. The model is…[Phys. Rev. Lett. 137, 101801] Published Wed Sep 02, 2026</w:t>
      </w:r>
    </w:p>
    <w:p>
      <w:pPr>
        <w:spacing w:before="120" w:after="120"/>
      </w:pPr>
      <w:r>
        <w:rPr>
          <w:sz w:val="18"/>
        </w:rPr>
        <w:t>——————————————————————————————————————————————————————————————————————</w:t>
      </w:r>
    </w:p>
    <w:p>
      <w:pPr>
        <w:spacing w:before="160" w:after="40" w:line="240" w:lineRule="auto"/>
      </w:pPr>
      <w:r>
        <w:rPr>
          <w:b/>
        </w:rPr>
        <w:t xml:space="preserve">[1261] </w:t>
      </w:r>
      <w:hyperlink r:id="rId2148">
        <w:r>
          <w:rPr>
            <w:color w:val="1155CC"/>
            <w:u w:val="single"/>
          </w:rPr>
          <w:t>拓扑绝缘体${\mathrm{Bi}}_{2}{\mathrm{Se}}_{3}$中的太赫兹磁光电流探测其拓扑表面态</w:t>
        </w:r>
      </w:hyperlink>
    </w:p>
    <w:p>
      <w:pPr>
        <w:spacing w:before="0" w:after="80"/>
      </w:pPr>
      <w:r>
        <w:rPr>
          <w:i/>
          <w:sz w:val="20"/>
        </w:rPr>
        <w:t>EN: Terahertz Magneto-Photocurrents in the Topological Insulator ${\mathrm{Bi}}_{2}{\mathrm{Se}}_{3}$ Probe Its Topological Surface States</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49">
        <w:r>
          <w:rPr>
            <w:color w:val="1155CC"/>
            <w:u w:val="single"/>
          </w:rPr>
          <w:t>10.1103/yvbq-rdkz</w:t>
        </w:r>
      </w:hyperlink>
    </w:p>
    <w:p>
      <w:pPr>
        <w:spacing w:before="0" w:after="120"/>
      </w:pPr>
      <w:r>
        <w:rPr>
          <w:b/>
        </w:rPr>
        <w:t xml:space="preserve">Notes: </w:t>
      </w:r>
      <w:r>
        <w:t>abstract_source=rss_description</w:t>
      </w:r>
    </w:p>
    <w:p>
      <w:pPr>
        <w:spacing w:before="0" w:after="80" w:lineRule="auto" w:line="276"/>
      </w:pPr>
      <w:r>
        <w:rPr>
          <w:b/>
        </w:rPr>
        <w:t xml:space="preserve">摘要（ZH）: </w:t>
      </w:r>
      <w:r>
        <w:t>作者：Chihun In、Genaro Bierhance、Deepti Jain、Tom S. Seifert、Oliver Gueckstock、Roberto Mantovan、Seongshik Oh 和 Tobias Kampfrath 我们研究三维拓扑绝缘体中的超快磁光电流。为此，我们在最高达 $0…$ 的外加磁场 ${\mathbit{B}}_{\mathrm{ext}}$ 下，用飞秒激光脉冲激发 ${({\text{In}}_{r}{\text{Bi}}_{1−r})}_{2}{\text{Se}}_{3}$ 薄膜 [Phys. Rev. Lett. 137, 106601] 发布于2026年9月2日（周三）</w:t>
      </w:r>
    </w:p>
    <w:p>
      <w:pPr>
        <w:spacing w:before="0" w:after="200" w:lineRule="auto" w:line="276"/>
      </w:pPr>
      <w:r>
        <w:rPr>
          <w:b/>
        </w:rPr>
        <w:t xml:space="preserve">Abstract (EN): </w:t>
      </w:r>
      <w:r>
        <w:t>Author(s): Chihun In, Genaro Bierhance, Deepti Jain, Tom S. Seifert, Oliver Gueckstock, Roberto Mantovan, Seongshik Oh, and Tobias KampfrathWe study ultrafast magneto-photocurrents in a three-dimensional topological insulator. For this purpose, we excite ${({\text{In}}_{r}{\text{Bi}}_{1−r})}_{2}{\text{Se}}_{3}$ thin films with a femtosecond laser pulse in the presence of an external magnetic field ${\mathbit{B}}_{\mathrm{ext}}$ up to $0…[Phys. Rev. Lett. 137, 106601] Published Wed Sep 02, 2026</w:t>
      </w:r>
    </w:p>
    <w:p>
      <w:pPr>
        <w:spacing w:before="120" w:after="120"/>
      </w:pPr>
      <w:r>
        <w:rPr>
          <w:sz w:val="18"/>
        </w:rPr>
        <w:t>——————————————————————————————————————————————————————————————————————</w:t>
      </w:r>
    </w:p>
    <w:p>
      <w:pPr>
        <w:spacing w:before="160" w:after="40" w:line="240" w:lineRule="auto"/>
      </w:pPr>
      <w:r>
        <w:rPr>
          <w:b/>
        </w:rPr>
        <w:t xml:space="preserve">[1262] </w:t>
      </w:r>
      <w:hyperlink r:id="rId2150">
        <w:r>
          <w:rPr>
            <w:color w:val="1155CC"/>
            <w:u w:val="single"/>
          </w:rPr>
          <w:t>通过同相位与正交交变调制实现纠缠增强的量子计量学</w:t>
        </w:r>
      </w:hyperlink>
    </w:p>
    <w:p>
      <w:pPr>
        <w:spacing w:before="0" w:after="80"/>
      </w:pPr>
      <w:r>
        <w:rPr>
          <w:i/>
          <w:sz w:val="20"/>
        </w:rPr>
        <w:t>EN: Entanglement-Enhanced Quantum Metrology via Alternating In-Phase and Quadrature Modulation</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51">
        <w:r>
          <w:rPr>
            <w:color w:val="1155CC"/>
            <w:u w:val="single"/>
          </w:rPr>
          <w:t>10.1103/djlj-pnlk</w:t>
        </w:r>
      </w:hyperlink>
    </w:p>
    <w:p>
      <w:pPr>
        <w:spacing w:before="0" w:after="120"/>
      </w:pPr>
      <w:r>
        <w:rPr>
          <w:b/>
        </w:rPr>
        <w:t xml:space="preserve">Notes: </w:t>
      </w:r>
      <w:r>
        <w:t>abstract_source=rss_description</w:t>
      </w:r>
    </w:p>
    <w:p>
      <w:pPr>
        <w:spacing w:before="0" w:after="80" w:lineRule="auto" w:line="276"/>
      </w:pPr>
      <w:r>
        <w:rPr>
          <w:b/>
        </w:rPr>
        <w:t xml:space="preserve">摘要（ZH）: </w:t>
      </w:r>
      <w:r>
        <w:t>作者：Jihao Ma、Jiahao Huang 和 Chaohong Lee量子计量学利用量子纠缠来将测量精度提升到超越标准量子极限。虽然非线性相互作用对产生纠缠至关重要，但在信号积累过程中它却变得有害，因此必须被抑制。为应对这一挑战……[Phys. Rev. Lett. 137, 100801] 发布于 2026年9月2日（星期三）</w:t>
      </w:r>
    </w:p>
    <w:p>
      <w:pPr>
        <w:spacing w:before="0" w:after="200" w:lineRule="auto" w:line="276"/>
      </w:pPr>
      <w:r>
        <w:rPr>
          <w:b/>
        </w:rPr>
        <w:t xml:space="preserve">Abstract (EN): </w:t>
      </w:r>
      <w:r>
        <w:t>Author(s): Jihao Ma, Jiahao Huang, and Chaohong LeeQuantum metrology harnesses quantum entanglement to improve measurement precision beyond the standard quantum limit. Although nonlinear interaction is essential for generating entanglement, during signal accumulation, it becomes detrimental and therefore must be suppressed. To address this challenge…[Phys. Rev. Lett. 137, 100801] Published Wed Sep 02, 2026</w:t>
      </w:r>
    </w:p>
    <w:p>
      <w:pPr>
        <w:spacing w:before="120" w:after="120"/>
      </w:pPr>
      <w:r>
        <w:rPr>
          <w:sz w:val="18"/>
        </w:rPr>
        <w:t>——————————————————————————————————————————————————————————————————————</w:t>
      </w:r>
    </w:p>
    <w:p>
      <w:pPr>
        <w:spacing w:before="160" w:after="40" w:line="240" w:lineRule="auto"/>
      </w:pPr>
      <w:r>
        <w:rPr>
          <w:b/>
        </w:rPr>
        <w:t xml:space="preserve">[1263] </w:t>
      </w:r>
      <w:hyperlink r:id="rId2152">
        <w:r>
          <w:rPr>
            <w:color w:val="1155CC"/>
            <w:u w:val="single"/>
          </w:rPr>
          <w:t>${\mathrm{Ta}}_{2}\mathrm{Ni}({\mathrm{S}}_{x}{\mathrm{Se}}_{1−x}{)}_{5}$中软声子输运反常的电子调控</w:t>
        </w:r>
      </w:hyperlink>
    </w:p>
    <w:p>
      <w:pPr>
        <w:spacing w:before="0" w:after="80"/>
      </w:pPr>
      <w:r>
        <w:rPr>
          <w:i/>
          <w:sz w:val="20"/>
        </w:rPr>
        <w:t>EN: Electronic Tuning of the Soft-Phonon Transport Anomaly in ${\mathrm{Ta}}_{2}\mathrm{Ni}({\mathrm{S}}_{x}{\mathrm{Se}}_{1−x}{)}_{5}$</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53">
        <w:r>
          <w:rPr>
            <w:color w:val="1155CC"/>
            <w:u w:val="single"/>
          </w:rPr>
          <w:t>10.1103/l5xq-2yrt</w:t>
        </w:r>
      </w:hyperlink>
    </w:p>
    <w:p>
      <w:pPr>
        <w:spacing w:before="0" w:after="120"/>
      </w:pPr>
      <w:r>
        <w:rPr>
          <w:b/>
        </w:rPr>
        <w:t xml:space="preserve">Notes: </w:t>
      </w:r>
      <w:r>
        <w:t>abstract_source=rss_description</w:t>
      </w:r>
    </w:p>
    <w:p>
      <w:pPr>
        <w:spacing w:before="0" w:after="80" w:lineRule="auto" w:line="276"/>
      </w:pPr>
      <w:r>
        <w:rPr>
          <w:b/>
        </w:rPr>
        <w:t xml:space="preserve">摘要（ZH）: </w:t>
      </w:r>
      <w:r>
        <w:t>作者：Yuan-Shan Zhang、Masahiko Isobe、Hidenori Takagi 和 Dennis Huang 通过硫替代对激子绝缘体候选材料 Ta2NiSe5 的电子结构进行调控，揭示了其高度定向的声子输运反常直接由电子涨落驱动，表明电子相互作用与晶格效应共同促使其相变。[Phys. Rev. Lett. 137, 106503] 发布于2026年9月2日（周三）</w:t>
      </w:r>
    </w:p>
    <w:p>
      <w:pPr>
        <w:spacing w:before="0" w:after="200" w:lineRule="auto" w:line="276"/>
      </w:pPr>
      <w:r>
        <w:rPr>
          <w:b/>
        </w:rPr>
        <w:t xml:space="preserve">Abstract (EN): </w:t>
      </w:r>
      <w:r>
        <w:t>Author(s): Yuan-Shan Zhang, Masahiko Isobe, Hidenori Takagi, and Dennis HuangTuning the electronic structure of the excitonic insulator candidate Ta2NiSe5 via sulfur substitution reveals that its highly directional phonon transport anomaly is directly driven by electronic fluctuations, suggesting that electronic interactions and lattice effects cooperatively contribute to its phase transition.[Phys. Rev. Lett. 137, 106503] Published Wed Sep 02, 2026</w:t>
      </w:r>
    </w:p>
    <w:p>
      <w:pPr>
        <w:spacing w:before="120" w:after="120"/>
      </w:pPr>
      <w:r>
        <w:rPr>
          <w:sz w:val="18"/>
        </w:rPr>
        <w:t>——————————————————————————————————————————————————————————————————————</w:t>
      </w:r>
    </w:p>
    <w:p>
      <w:pPr>
        <w:spacing w:before="160" w:after="40" w:line="240" w:lineRule="auto"/>
      </w:pPr>
      <w:r>
        <w:rPr>
          <w:b/>
        </w:rPr>
        <w:t xml:space="preserve">[1264] </w:t>
      </w:r>
      <w:hyperlink r:id="rId2154">
        <w:r>
          <w:rPr>
            <w:color w:val="1155CC"/>
            <w:u w:val="single"/>
          </w:rPr>
          <w:t>磁性三角自旋液体中的演生规范通量与自旋有序：在Hofstadter-Hubbard模型中的应用</w:t>
        </w:r>
      </w:hyperlink>
    </w:p>
    <w:p>
      <w:pPr>
        <w:spacing w:before="0" w:after="80"/>
      </w:pPr>
      <w:r>
        <w:rPr>
          <w:i/>
          <w:sz w:val="20"/>
        </w:rPr>
        <w:t>EN: Emergent Gauge Flux and Spin Ordering in Magnetized Triangular Spin Liquids: Applications to Hofstadter-Hubbard Model</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55">
        <w:r>
          <w:rPr>
            <w:color w:val="1155CC"/>
            <w:u w:val="single"/>
          </w:rPr>
          <w:t>10.1103/gbnt-vmns</w:t>
        </w:r>
      </w:hyperlink>
    </w:p>
    <w:p>
      <w:pPr>
        <w:spacing w:before="0" w:after="120"/>
      </w:pPr>
      <w:r>
        <w:rPr>
          <w:b/>
        </w:rPr>
        <w:t xml:space="preserve">Notes: </w:t>
      </w:r>
      <w:r>
        <w:t>abstract_source=rss_description</w:t>
      </w:r>
    </w:p>
    <w:p>
      <w:pPr>
        <w:spacing w:before="0" w:after="80" w:lineRule="auto" w:line="276"/>
      </w:pPr>
      <w:r>
        <w:rPr>
          <w:b/>
        </w:rPr>
        <w:t xml:space="preserve">摘要（ZH）: </w:t>
      </w:r>
      <w:r>
        <w:t>作者：Jiahao Yang（杨家豪）、Hao Tian、Si-Yu Pan 和 Gang v. Chen受莫尔超晶格和自旋 $1/2$ 三角晶格反铁磁体最新进展的启发，我们研究了轨道磁通与塞曼耦合在三角自旋液体中产生内部 U(1) 规范通量时是相互竞争还是相互协作。我们证明，轨道磁通有利于手性自旋液体……[Phys. Rev. Lett. 137, 106502] 发布于 2026年9月2日（星期三）</w:t>
      </w:r>
    </w:p>
    <w:p>
      <w:pPr>
        <w:spacing w:before="0" w:after="200" w:lineRule="auto" w:line="276"/>
      </w:pPr>
      <w:r>
        <w:rPr>
          <w:b/>
        </w:rPr>
        <w:t xml:space="preserve">Abstract (EN): </w:t>
      </w:r>
      <w:r>
        <w:t>Author(s): Jiahao Yang (杨家豪), Hao Tian, Si-Yu Pan, and Gang v. ChenMotivated by recent progress in moiré superlattices and spin-$1/2$ triangular-lattice antiferromagnets, we study how orbital magnetic flux and Zeeman coupling compete or cooperate in generating internal U(1) gauge flux in a triangular spin liquid. We show that orbital flux favors a chiral spin liqui…[Phys. Rev. Lett. 137, 106502] Published Wed Sep 02, 2026</w:t>
      </w:r>
    </w:p>
    <w:p>
      <w:pPr>
        <w:spacing w:before="120" w:after="120"/>
      </w:pPr>
      <w:r>
        <w:rPr>
          <w:sz w:val="18"/>
        </w:rPr>
        <w:t>——————————————————————————————————————————————————————————————————————</w:t>
      </w:r>
    </w:p>
    <w:p>
      <w:pPr>
        <w:spacing w:before="160" w:after="40" w:line="240" w:lineRule="auto"/>
      </w:pPr>
      <w:r>
        <w:rPr>
          <w:b/>
        </w:rPr>
        <w:t xml:space="preserve">[1265] </w:t>
      </w:r>
      <w:hyperlink r:id="rId2156">
        <w:r>
          <w:rPr>
            <w:color w:val="1155CC"/>
            <w:u w:val="single"/>
          </w:rPr>
          <w:t>用于时间关联传感的双齿玻色子量子梳</w:t>
        </w:r>
      </w:hyperlink>
    </w:p>
    <w:p>
      <w:pPr>
        <w:spacing w:before="0" w:after="80"/>
      </w:pPr>
      <w:r>
        <w:rPr>
          <w:i/>
          <w:sz w:val="20"/>
        </w:rPr>
        <w:t>EN: Two-Tooth Bosonic Quantum Comb for Temporal-Correlation Sensing</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57">
        <w:r>
          <w:rPr>
            <w:color w:val="1155CC"/>
            <w:u w:val="single"/>
          </w:rPr>
          <w:t>10.1103/6738-xcgc</w:t>
        </w:r>
      </w:hyperlink>
    </w:p>
    <w:p>
      <w:pPr>
        <w:spacing w:before="0" w:after="120"/>
      </w:pPr>
      <w:r>
        <w:rPr>
          <w:b/>
        </w:rPr>
        <w:t xml:space="preserve">Notes: </w:t>
      </w:r>
      <w:r>
        <w:t>abstract_source=rss_description</w:t>
      </w:r>
    </w:p>
    <w:p>
      <w:pPr>
        <w:spacing w:before="0" w:after="80" w:lineRule="auto" w:line="276"/>
      </w:pPr>
      <w:r>
        <w:rPr>
          <w:b/>
        </w:rPr>
        <w:t xml:space="preserve">摘要（ZH）: </w:t>
      </w:r>
      <w:r>
        <w:t>作者：Shaojiang Zhu、Xinyuan You、Alexander Romanenko 和 Anna Grassellino我们利用双齿量子梳（two-tooth quantum comb）表征了开放玻色子系统中相干性输运的因果结构。我们证明，通过将结构化玻色子吸收体与长寿命相干探针之间的顺序相互作用映射到过程张量描述中，该探针可作为一种时间……[Phys. Rev. Lett. 137, 100403] 发布于 2026年9月2日（星期三）</w:t>
      </w:r>
    </w:p>
    <w:p>
      <w:pPr>
        <w:spacing w:before="0" w:after="200" w:lineRule="auto" w:line="276"/>
      </w:pPr>
      <w:r>
        <w:rPr>
          <w:b/>
        </w:rPr>
        <w:t xml:space="preserve">Abstract (EN): </w:t>
      </w:r>
      <w:r>
        <w:t>Author(s): Shaojiang Zhu, Xinyuan You, Alexander Romanenko, and Anna GrassellinoWe characterize the causal structure of coherence transport in open bosonic systems using a two-tooth quantum comb. We show that, by mapping sequential interactions between a structured bosonic absorber and a long-lived coherent probe onto a process-tensor description, the probe functions as a tempo…[Phys. Rev. Lett. 137, 100403] Published Wed Sep 02, 2026</w:t>
      </w:r>
    </w:p>
    <w:p>
      <w:pPr>
        <w:spacing w:before="120" w:after="120"/>
      </w:pPr>
      <w:r>
        <w:rPr>
          <w:sz w:val="18"/>
        </w:rPr>
        <w:t>——————————————————————————————————————————————————————————————————————</w:t>
      </w:r>
    </w:p>
    <w:p>
      <w:pPr>
        <w:spacing w:before="160" w:after="40" w:line="240" w:lineRule="auto"/>
      </w:pPr>
      <w:r>
        <w:rPr>
          <w:b/>
        </w:rPr>
        <w:t xml:space="preserve">[1266] </w:t>
      </w:r>
      <w:hyperlink r:id="rId2158">
        <w:r>
          <w:rPr>
            <w:color w:val="1155CC"/>
            <w:u w:val="single"/>
          </w:rPr>
          <w:t>$^{17}\mathrm{Na}$基态的鉴别及其与$^{17}\mathrm{C}$的镜像对称性破坏</w:t>
        </w:r>
      </w:hyperlink>
    </w:p>
    <w:p>
      <w:pPr>
        <w:spacing w:before="0" w:after="80"/>
      </w:pPr>
      <w:r>
        <w:rPr>
          <w:i/>
          <w:sz w:val="20"/>
        </w:rPr>
        <w:t>EN: Identification of $^{17}\mathrm{Na}$ Ground State and Mirror Symmetry Violation with $^{17}\mathrm{C}$</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59">
        <w:r>
          <w:rPr>
            <w:color w:val="1155CC"/>
            <w:u w:val="single"/>
          </w:rPr>
          <w:t>10.1103/3mqd-58tp</w:t>
        </w:r>
      </w:hyperlink>
    </w:p>
    <w:p>
      <w:pPr>
        <w:spacing w:before="0" w:after="120"/>
      </w:pPr>
      <w:r>
        <w:rPr>
          <w:b/>
        </w:rPr>
        <w:t xml:space="preserve">Notes: </w:t>
      </w:r>
      <w:r>
        <w:t>abstract_source=rss_description</w:t>
      </w:r>
    </w:p>
    <w:p>
      <w:pPr>
        <w:spacing w:before="0" w:after="80" w:lineRule="auto" w:line="276"/>
      </w:pPr>
      <w:r>
        <w:rPr>
          <w:b/>
        </w:rPr>
        <w:t xml:space="preserve">摘要（ZH）: </w:t>
      </w:r>
      <w:r>
        <w:t>作者：L. Ni 等 三质子发射体 $^{17}\mathrm{Na}$ 的基态已被确认。质子与 $^{14}\mathrm{O}$ 残余物之间的能量关联表明其衰变是顺序进行的：先发射一个单质子至 $^{16}\mathrm{Ne}$ 的基态，随后同时……[Phys. Rev. Lett. 137, 102501] 发布于2026年9月2日星期三</w:t>
      </w:r>
    </w:p>
    <w:p>
      <w:pPr>
        <w:spacing w:before="0" w:after="200" w:lineRule="auto" w:line="276"/>
      </w:pPr>
      <w:r>
        <w:rPr>
          <w:b/>
        </w:rPr>
        <w:t xml:space="preserve">Abstract (EN): </w:t>
      </w:r>
      <w:r>
        <w:t>Author(s): L. Ni et al.The ground state of the three-proton emitter $^{17}\mathrm{Na}$ has been identified. Energy correlations between the protons and the $^{14}\mathrm{O}$ residue indicate that its decay is sequential initiated by the emission of a single proton to the ground state of $^{16}\mathrm{Ne}$ followed by simu…[Phys. Rev. Lett. 137, 102501] Published Wed Sep 02, 2026</w:t>
      </w:r>
    </w:p>
    <w:p>
      <w:pPr>
        <w:spacing w:before="120" w:after="120"/>
      </w:pPr>
      <w:r>
        <w:rPr>
          <w:sz w:val="18"/>
        </w:rPr>
        <w:t>——————————————————————————————————————————————————————————————————————</w:t>
      </w:r>
    </w:p>
    <w:p>
      <w:pPr>
        <w:spacing w:before="160" w:after="40" w:line="240" w:lineRule="auto"/>
      </w:pPr>
      <w:r>
        <w:rPr>
          <w:b/>
        </w:rPr>
        <w:t xml:space="preserve">[1267] </w:t>
      </w:r>
      <w:hyperlink r:id="rId2160">
        <w:r>
          <w:rPr>
            <w:color w:val="1155CC"/>
            <w:u w:val="single"/>
          </w:rPr>
          <w:t>用于轻暗物质探测的非常规材料</w:t>
        </w:r>
      </w:hyperlink>
    </w:p>
    <w:p>
      <w:pPr>
        <w:spacing w:before="0" w:after="80"/>
      </w:pPr>
      <w:r>
        <w:rPr>
          <w:i/>
          <w:sz w:val="20"/>
        </w:rPr>
        <w:t>EN: Unconventional Materials for Light Dark Matter Detection</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61">
        <w:r>
          <w:rPr>
            <w:color w:val="1155CC"/>
            <w:u w:val="single"/>
          </w:rPr>
          <w:t>10.1103/jdw6-3556</w:t>
        </w:r>
      </w:hyperlink>
    </w:p>
    <w:p>
      <w:pPr>
        <w:spacing w:before="0" w:after="120"/>
      </w:pPr>
      <w:r>
        <w:rPr>
          <w:b/>
        </w:rPr>
        <w:t xml:space="preserve">Notes: </w:t>
      </w:r>
      <w:r>
        <w:t>abstract_source=rss_description</w:t>
      </w:r>
    </w:p>
    <w:p>
      <w:pPr>
        <w:spacing w:before="0" w:after="80" w:lineRule="auto" w:line="276"/>
      </w:pPr>
      <w:r>
        <w:rPr>
          <w:b/>
        </w:rPr>
        <w:t xml:space="preserve">摘要（ZH）: </w:t>
      </w:r>
      <w:r>
        <w:t>作者：Yonit Hochberg、Dino Novko、Rotem Ovadia 和 Antonio Politano 我们提出使用若干非常规材料作为探测质量低于 MeV 量级暗物质的探测器。这些材料包括在电荷密度波相中具有低能等离激元的过渡金属二硫属化物 ${\mathrm{TiSe}}_{2}$，以及含有……的 ${\mathrm{Sr}}_{2}{\mathrm{RuO}}_{4}$[Phys. Rev. Lett. 137, 101802] 发布于2026年9月2日星期三</w:t>
      </w:r>
    </w:p>
    <w:p>
      <w:pPr>
        <w:spacing w:before="0" w:after="200" w:lineRule="auto" w:line="276"/>
      </w:pPr>
      <w:r>
        <w:rPr>
          <w:b/>
        </w:rPr>
        <w:t xml:space="preserve">Abstract (EN): </w:t>
      </w:r>
      <w:r>
        <w:t>Author(s): Yonit Hochberg, Dino Novko, Rotem Ovadia, and Antonio PolitanoWe propose the use of several unconventional materials as detectors for dark matter with mass beneath the MeV scale. These include the transition-metal dichalcogenide ${\mathrm{TiSe}}_{2}$ hosting a low-energy plasmon in the charge-density-wave phase, ${\mathrm{Sr}}_{2}{\mathrm{RuO}}_{4}$ containing…[Phys. Rev. Lett. 137, 101802] Published Wed Sep 02, 2026</w:t>
      </w:r>
    </w:p>
    <w:p>
      <w:pPr>
        <w:spacing w:before="120" w:after="120"/>
      </w:pPr>
      <w:r>
        <w:rPr>
          <w:sz w:val="18"/>
        </w:rPr>
        <w:t>——————————————————————————————————————————————————————————————————————</w:t>
      </w:r>
    </w:p>
    <w:p>
      <w:pPr>
        <w:spacing w:before="160" w:after="40" w:line="240" w:lineRule="auto"/>
      </w:pPr>
      <w:r>
        <w:rPr>
          <w:b/>
        </w:rPr>
        <w:t xml:space="preserve">[1268] </w:t>
      </w:r>
      <w:hyperlink r:id="rId2162">
        <w:r>
          <w:rPr>
            <w:color w:val="1155CC"/>
            <w:u w:val="single"/>
          </w:rPr>
          <w:t>周期性光与量子发射体周期阵列之间的近距离相互作用</w:t>
        </w:r>
      </w:hyperlink>
    </w:p>
    <w:p>
      <w:pPr>
        <w:spacing w:before="0" w:after="80"/>
      </w:pPr>
      <w:r>
        <w:rPr>
          <w:i/>
          <w:sz w:val="20"/>
        </w:rPr>
        <w:t>EN: Close Encounters between Periodic Light and Periodic Arrays of Quantum Emitters</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63">
        <w:r>
          <w:rPr>
            <w:color w:val="1155CC"/>
            <w:u w:val="single"/>
          </w:rPr>
          <w:t>10.1103/71nx-b83j</w:t>
        </w:r>
      </w:hyperlink>
    </w:p>
    <w:p>
      <w:pPr>
        <w:spacing w:before="0" w:after="120"/>
      </w:pPr>
      <w:r>
        <w:rPr>
          <w:b/>
        </w:rPr>
        <w:t xml:space="preserve">Notes: </w:t>
      </w:r>
      <w:r>
        <w:t>abstract_source=rss_description</w:t>
      </w:r>
    </w:p>
    <w:p>
      <w:pPr>
        <w:spacing w:before="0" w:after="80" w:lineRule="auto" w:line="276"/>
      </w:pPr>
      <w:r>
        <w:rPr>
          <w:b/>
        </w:rPr>
        <w:t xml:space="preserve">摘要（ZH）: </w:t>
      </w:r>
      <w:r>
        <w:t>作者：Frieder Lindel、Carlos J. Sánchez Martínez、Johannes Feist 和 Francisco J. García-Vidal我们引入了晶体极化激元，这是当周期性量子发射体阵列的集体激发与超表面的共振 Bloch 模强耦合时形成的杂化激发。这实现了一个腔 QED 平台，其中周期性光与周期性物质被置于同等地位处理……[Phys. Rev. Lett. 137, 103802] 发布于2026年9月2日星期三</w:t>
      </w:r>
    </w:p>
    <w:p>
      <w:pPr>
        <w:spacing w:before="0" w:after="200" w:lineRule="auto" w:line="276"/>
      </w:pPr>
      <w:r>
        <w:rPr>
          <w:b/>
        </w:rPr>
        <w:t xml:space="preserve">Abstract (EN): </w:t>
      </w:r>
      <w:r>
        <w:t>Author(s): Frieder Lindel, Carlos J. Sánchez Martínez, Johannes Feist, and Francisco J. García-VidalWe introduce crystal polaritons, hybrid excitations formed when the collective excitations of a periodic quantum-emitter array strongly couple to the resonant Bloch modes of a metasurface. This realizes a cavity-QED platform in which periodic light and periodic matter are treated on the same footing…[Phys. Rev. Lett. 137, 103802] Published Wed Sep 02, 2026</w:t>
      </w:r>
    </w:p>
    <w:p>
      <w:pPr>
        <w:spacing w:before="120" w:after="120"/>
      </w:pPr>
      <w:r>
        <w:rPr>
          <w:sz w:val="18"/>
        </w:rPr>
        <w:t>——————————————————————————————————————————————————————————————————————</w:t>
      </w:r>
    </w:p>
    <w:p>
      <w:pPr>
        <w:spacing w:before="160" w:after="40" w:line="240" w:lineRule="auto"/>
      </w:pPr>
      <w:r>
        <w:rPr>
          <w:b/>
        </w:rPr>
        <w:t xml:space="preserve">[1269] </w:t>
      </w:r>
      <w:hyperlink r:id="rId2164">
        <w:r>
          <w:rPr>
            <w:color w:val="1155CC"/>
            <w:u w:val="single"/>
          </w:rPr>
          <w:t>通过空间映射与掩蔽测量低效来优化光机探测</w:t>
        </w:r>
      </w:hyperlink>
    </w:p>
    <w:p>
      <w:pPr>
        <w:spacing w:before="0" w:after="80"/>
      </w:pPr>
      <w:r>
        <w:rPr>
          <w:i/>
          <w:sz w:val="20"/>
        </w:rPr>
        <w:t>EN: Optimizing Optomechanical Detection by Spatially Mapping and Masking Measurement Inefficiency</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65">
        <w:r>
          <w:rPr>
            <w:color w:val="1155CC"/>
            <w:u w:val="single"/>
          </w:rPr>
          <w:t>10.1103/3dxh-3415</w:t>
        </w:r>
      </w:hyperlink>
    </w:p>
    <w:p>
      <w:pPr>
        <w:spacing w:before="0" w:after="120"/>
      </w:pPr>
      <w:r>
        <w:rPr>
          <w:b/>
        </w:rPr>
        <w:t xml:space="preserve">Notes: </w:t>
      </w:r>
      <w:r>
        <w:t>abstract_source=rss_description</w:t>
      </w:r>
    </w:p>
    <w:p>
      <w:pPr>
        <w:spacing w:before="0" w:after="80" w:lineRule="auto" w:line="276"/>
      </w:pPr>
      <w:r>
        <w:rPr>
          <w:b/>
        </w:rPr>
        <w:t xml:space="preserve">摘要（ZH）: </w:t>
      </w:r>
      <w:r>
        <w:t>作者：Youssef Tawfik、Shan Hao 和 Thomas P. Purdy 许多光学测量技术，例如波长尺度粒子的光散射或用光杠杆探测表面运动，都将信息编码在复杂的辐射图案中。提取所有可用信息对许多量子增强传感方案至关重要，但……[Phys. Rev. Lett. 137, 103603] 发布于2026年9月2日星期三</w:t>
      </w:r>
    </w:p>
    <w:p>
      <w:pPr>
        <w:spacing w:before="0" w:after="200" w:lineRule="auto" w:line="276"/>
      </w:pPr>
      <w:r>
        <w:rPr>
          <w:b/>
        </w:rPr>
        <w:t xml:space="preserve">Abstract (EN): </w:t>
      </w:r>
      <w:r>
        <w:t>Author(s): Youssef Tawfik, Shan Hao, and Thomas P. PurdyMany optical measurement techniques, such as light scattering from wavelength-scale particles or detecting motion of a surface with an optical lever, encode information in a complex radiation pattern. Extracting all available information is essential for many quantum-enhanced sensing protocols but i…[Phys. Rev. Lett. 137, 103603] Published Wed Sep 02, 2026</w:t>
      </w:r>
    </w:p>
    <w:p>
      <w:pPr>
        <w:spacing w:before="120" w:after="120"/>
      </w:pPr>
      <w:r>
        <w:rPr>
          <w:sz w:val="18"/>
        </w:rPr>
        <w:t>——————————————————————————————————————————————————————————————————————</w:t>
      </w:r>
    </w:p>
    <w:p>
      <w:pPr>
        <w:spacing w:before="160" w:after="40" w:line="240" w:lineRule="auto"/>
      </w:pPr>
      <w:r>
        <w:rPr>
          <w:b/>
        </w:rPr>
        <w:t xml:space="preserve">[1270] </w:t>
      </w:r>
      <w:hyperlink r:id="rId2166">
        <w:r>
          <w:rPr>
            <w:color w:val="1155CC"/>
            <w:u w:val="single"/>
          </w:rPr>
          <w:t>非对称量子涨落催生量子化跨导</w:t>
        </w:r>
      </w:hyperlink>
    </w:p>
    <w:p>
      <w:pPr>
        <w:spacing w:before="0" w:after="80"/>
      </w:pPr>
      <w:r>
        <w:rPr>
          <w:i/>
          <w:sz w:val="20"/>
        </w:rPr>
        <w:t>EN: Quantized Transconductance Emerges from Nonsymmetric Quantum Fluctuations</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67">
        <w:r>
          <w:rPr>
            <w:color w:val="1155CC"/>
            <w:u w:val="single"/>
          </w:rPr>
          <w:t>10.1103/gx9l-gg4q</w:t>
        </w:r>
      </w:hyperlink>
    </w:p>
    <w:p>
      <w:pPr>
        <w:spacing w:before="0" w:after="120"/>
      </w:pPr>
      <w:r>
        <w:rPr>
          <w:b/>
        </w:rPr>
        <w:t xml:space="preserve">Notes: </w:t>
      </w:r>
      <w:r>
        <w:t>abstract_source=rss_description</w:t>
      </w:r>
    </w:p>
    <w:p>
      <w:pPr>
        <w:spacing w:before="0" w:after="80" w:lineRule="auto" w:line="276"/>
      </w:pPr>
      <w:r>
        <w:rPr>
          <w:b/>
        </w:rPr>
        <w:t xml:space="preserve">摘要（ZH）: </w:t>
      </w:r>
      <w:r>
        <w:t>作者：K. Mertiri 和 Yuli V. Nazarov我们从理论上证明，由非对称电磁环境诱导的弱量子涨落可能导致多端量子接触的量子化跨导，而非接触中的输运阻滞。该结果提示实现量子霍尔相……的可能性。[Phys. Rev. Lett. 137, 106301] 发布于2026年9月2日星期三</w:t>
      </w:r>
    </w:p>
    <w:p>
      <w:pPr>
        <w:spacing w:before="0" w:after="200" w:lineRule="auto" w:line="276"/>
      </w:pPr>
      <w:r>
        <w:rPr>
          <w:b/>
        </w:rPr>
        <w:t xml:space="preserve">Abstract (EN): </w:t>
      </w:r>
      <w:r>
        <w:t>Author(s): K. Mertiri and Yuli V. NazarovWe show theoretically that weak quantum fluctuations induced by a nonsymmetric electromagnetic environment may lead to a quantized transconductance of a multiterminal quantum contact rather than to a blockade of transport in the contact. The result suggests the possibility to realize quantum Hall ph…[Phys. Rev. Lett. 137, 106301] Published Wed Sep 02, 2026</w:t>
      </w:r>
    </w:p>
    <w:p>
      <w:pPr>
        <w:spacing w:before="120" w:after="120"/>
      </w:pPr>
      <w:r>
        <w:rPr>
          <w:sz w:val="18"/>
        </w:rPr>
        <w:t>——————————————————————————————————————————————————————————————————————</w:t>
      </w:r>
    </w:p>
    <w:p>
      <w:pPr>
        <w:spacing w:before="160" w:after="40" w:line="240" w:lineRule="auto"/>
      </w:pPr>
      <w:r>
        <w:rPr>
          <w:b/>
        </w:rPr>
        <w:t xml:space="preserve">[1271] </w:t>
      </w:r>
      <w:hyperlink r:id="rId2168">
        <w:r>
          <w:rPr>
            <w:color w:val="1155CC"/>
            <w:u w:val="single"/>
          </w:rPr>
          <w:t>通过电子机制实现菱方堆叠双层过渡金属二硫属化物中光致瞬态极化反转</w:t>
        </w:r>
      </w:hyperlink>
    </w:p>
    <w:p>
      <w:pPr>
        <w:spacing w:before="0" w:after="80"/>
      </w:pPr>
      <w:r>
        <w:rPr>
          <w:i/>
          <w:sz w:val="20"/>
        </w:rPr>
        <w:t>EN: Light-Induced Transient Polarization Reversal in Rhombohedrally Stacked Bilayer Transition Metal Dichalcogenides via an Electronic Mechanism</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69">
        <w:r>
          <w:rPr>
            <w:color w:val="1155CC"/>
            <w:u w:val="single"/>
          </w:rPr>
          <w:t>10.1103/gb1r-x1cd</w:t>
        </w:r>
      </w:hyperlink>
    </w:p>
    <w:p>
      <w:pPr>
        <w:spacing w:before="0" w:after="120"/>
      </w:pPr>
      <w:r>
        <w:rPr>
          <w:b/>
        </w:rPr>
        <w:t xml:space="preserve">Notes: </w:t>
      </w:r>
      <w:r>
        <w:t>abstract_source=rss_description</w:t>
      </w:r>
    </w:p>
    <w:p>
      <w:pPr>
        <w:spacing w:before="0" w:after="80" w:lineRule="auto" w:line="276"/>
      </w:pPr>
      <w:r>
        <w:rPr>
          <w:b/>
        </w:rPr>
        <w:t xml:space="preserve">摘要（ZH）: </w:t>
      </w:r>
      <w:r>
        <w:t>作者：Xiangzhou Zhu、Stefano Mocatti 和 Matteo Calandra 二维范德华材料中的光致滑移铁电性可通过层间相对运动实现极化控制。然而，极化翻转发生在剪切模式的时间尺度上（数十皮秒），且需要非常大的能量密度，可能损坏样品。我……[Phys. Rev. Lett. 137, 106402] 发布于2026年9月2日星期三</w:t>
      </w:r>
    </w:p>
    <w:p>
      <w:pPr>
        <w:spacing w:before="0" w:after="200" w:lineRule="auto" w:line="276"/>
      </w:pPr>
      <w:r>
        <w:rPr>
          <w:b/>
        </w:rPr>
        <w:t xml:space="preserve">Abstract (EN): </w:t>
      </w:r>
      <w:r>
        <w:t>Author(s): Xiangzhou Zhu, Stefano Mocatti, and Matteo CalandraLight-induced sliding ferroelectricity in two-dimensional van der Waals materials enables polarization control via relative layer motion. However, polarization switching occurs on the timescale of shear modes (tens of picoseconds) and requires very large fluences, potentially damaging the samples. H…[Phys. Rev. Lett. 137, 106402] Published Wed Sep 02, 2026</w:t>
      </w:r>
    </w:p>
    <w:p>
      <w:pPr>
        <w:spacing w:before="120" w:after="120"/>
      </w:pPr>
      <w:r>
        <w:rPr>
          <w:sz w:val="18"/>
        </w:rPr>
        <w:t>——————————————————————————————————————————————————————————————————————</w:t>
      </w:r>
    </w:p>
    <w:p>
      <w:pPr>
        <w:spacing w:before="160" w:after="40" w:line="240" w:lineRule="auto"/>
      </w:pPr>
      <w:r>
        <w:rPr>
          <w:b/>
        </w:rPr>
        <w:t xml:space="preserve">[1272] </w:t>
      </w:r>
      <w:hyperlink r:id="rId2170">
        <w:r>
          <w:rPr>
            <w:color w:val="1155CC"/>
            <w:u w:val="single"/>
          </w:rPr>
          <w:t>三圈下含一个大质量粒子的多腿振幅的红外奇异性</w:t>
        </w:r>
      </w:hyperlink>
    </w:p>
    <w:p>
      <w:pPr>
        <w:spacing w:before="0" w:after="80"/>
      </w:pPr>
      <w:r>
        <w:rPr>
          <w:i/>
          <w:sz w:val="20"/>
        </w:rPr>
        <w:t>EN: Infrared Singularities of Multileg Amplitudes with a Massive Particle at Three Loops</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71">
        <w:r>
          <w:rPr>
            <w:color w:val="1155CC"/>
            <w:u w:val="single"/>
          </w:rPr>
          <w:t>10.1103/6bzh-h122</w:t>
        </w:r>
      </w:hyperlink>
    </w:p>
    <w:p>
      <w:pPr>
        <w:spacing w:before="0" w:after="120"/>
      </w:pPr>
      <w:r>
        <w:rPr>
          <w:b/>
        </w:rPr>
        <w:t xml:space="preserve">Notes: </w:t>
      </w:r>
      <w:r>
        <w:t>abstract_source=rss_description</w:t>
      </w:r>
    </w:p>
    <w:p>
      <w:pPr>
        <w:spacing w:before="0" w:after="80" w:lineRule="auto" w:line="276"/>
      </w:pPr>
      <w:r>
        <w:rPr>
          <w:b/>
        </w:rPr>
        <w:t xml:space="preserve">摘要（ZH）: </w:t>
      </w:r>
      <w:r>
        <w:t>作者：Einan Gardi 和 Zehao Zhu 我们确定了涉及一个有质量带色粒子与任意数量无质量粒子的多腿振幅的完整三圈 QCD 软反常量纲。这是通过一种新策略实现的，该策略基于半无限 Wilson 线关联子的光锥展开，并利用……[Phys. Rev. Lett. 137, 101901] 发布于2026年9月2日星期三</w:t>
      </w:r>
    </w:p>
    <w:p>
      <w:pPr>
        <w:spacing w:before="0" w:after="200" w:lineRule="auto" w:line="276"/>
      </w:pPr>
      <w:r>
        <w:rPr>
          <w:b/>
        </w:rPr>
        <w:t xml:space="preserve">Abstract (EN): </w:t>
      </w:r>
      <w:r>
        <w:t>Author(s): Einan Gardi and Zehao ZhuWe determine the complete three-loop QCD soft anomalous dimension for multileg amplitudes involving a single massive colored particle and any number of massless ones. This is achieved by applying a novel strategy based on a light-cone expansion of correlators of semi-infinite Wilson lines using the …[Phys. Rev. Lett. 137, 101901] Published Wed Sep 02, 2026</w:t>
      </w:r>
    </w:p>
    <w:p>
      <w:pPr>
        <w:spacing w:before="120" w:after="120"/>
      </w:pPr>
      <w:r>
        <w:rPr>
          <w:sz w:val="18"/>
        </w:rPr>
        <w:t>——————————————————————————————————————————————————————————————————————</w:t>
      </w:r>
    </w:p>
    <w:p>
      <w:pPr>
        <w:spacing w:before="160" w:after="40" w:line="240" w:lineRule="auto"/>
      </w:pPr>
      <w:r>
        <w:rPr>
          <w:b/>
        </w:rPr>
        <w:t xml:space="preserve">[1273] </w:t>
      </w:r>
      <w:hyperlink r:id="rId2172">
        <w:r>
          <w:rPr>
            <w:color w:val="1155CC"/>
            <w:u w:val="single"/>
          </w:rPr>
          <w:t>玻色-爱因斯坦凝聚体能增强放射性衰变吗？</w:t>
        </w:r>
      </w:hyperlink>
    </w:p>
    <w:p>
      <w:pPr>
        <w:spacing w:before="0" w:after="80"/>
      </w:pPr>
      <w:r>
        <w:rPr>
          <w:i/>
          <w:sz w:val="20"/>
        </w:rPr>
        <w:t>EN: Can Bose-Einstein Condensates Enhance Radioactive Decay?</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73">
        <w:r>
          <w:rPr>
            <w:color w:val="1155CC"/>
            <w:u w:val="single"/>
          </w:rPr>
          <w:t>10.1103/rnx6-wqpf</w:t>
        </w:r>
      </w:hyperlink>
    </w:p>
    <w:p>
      <w:pPr>
        <w:spacing w:before="0" w:after="120"/>
      </w:pPr>
      <w:r>
        <w:rPr>
          <w:b/>
        </w:rPr>
        <w:t xml:space="preserve">Notes: </w:t>
      </w:r>
      <w:r>
        <w:t>abstract_source=rss_description</w:t>
      </w:r>
    </w:p>
    <w:p>
      <w:pPr>
        <w:spacing w:before="0" w:after="80" w:lineRule="auto" w:line="276"/>
      </w:pPr>
      <w:r>
        <w:rPr>
          <w:b/>
        </w:rPr>
        <w:t xml:space="preserve">摘要（ZH）: </w:t>
      </w:r>
      <w:r>
        <w:t>作者：Hanzhen Lin（林翰桢）、Yu-Kun Lu 和 Wolfgang Ketterle两项研究发现，基本的量子限制排除了先前提出的中微子激光方案。[Phys. Rev. Lett. 137, 101805] 发布于2026年9月2日星期三</w:t>
      </w:r>
    </w:p>
    <w:p>
      <w:pPr>
        <w:spacing w:before="0" w:after="200" w:lineRule="auto" w:line="276"/>
      </w:pPr>
      <w:r>
        <w:rPr>
          <w:b/>
        </w:rPr>
        <w:t xml:space="preserve">Abstract (EN): </w:t>
      </w:r>
      <w:r>
        <w:t>Author(s): Hanzhen Lin (林翰桢), Yu-Kun Lu, and Wolfgang KetterleTwo studies find that fundamental quantum constraints rule out a previously proposed neutrino-laser scheme.[Phys. Rev. Lett. 137, 101805] Published Wed Sep 02, 2026</w:t>
      </w:r>
    </w:p>
    <w:p>
      <w:pPr>
        <w:spacing w:before="120" w:after="120"/>
      </w:pPr>
      <w:r>
        <w:rPr>
          <w:sz w:val="18"/>
        </w:rPr>
        <w:t>——————————————————————————————————————————————————————————————————————</w:t>
      </w:r>
    </w:p>
    <w:p>
      <w:pPr>
        <w:spacing w:before="160" w:after="40" w:line="240" w:lineRule="auto"/>
      </w:pPr>
      <w:r>
        <w:rPr>
          <w:b/>
        </w:rPr>
        <w:t xml:space="preserve">[1274] </w:t>
      </w:r>
      <w:hyperlink r:id="rId2174">
        <w:r>
          <w:rPr>
            <w:color w:val="1155CC"/>
            <w:u w:val="single"/>
          </w:rPr>
          <w:t>利用LZ实验4.2吨·年曝光量通过低能电子反冲寻找新物理</w:t>
        </w:r>
      </w:hyperlink>
    </w:p>
    <w:p>
      <w:pPr>
        <w:spacing w:before="0" w:after="80"/>
      </w:pPr>
      <w:r>
        <w:rPr>
          <w:i/>
          <w:sz w:val="20"/>
        </w:rPr>
        <w:t>EN: Search for New Physics via Low-Energy Electron Recoils with a 4.2 Tonne-Year Exposure from the LZ Experiment</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75">
        <w:r>
          <w:rPr>
            <w:color w:val="1155CC"/>
            <w:u w:val="single"/>
          </w:rPr>
          <w:t>10.1103/wnxl-yf95</w:t>
        </w:r>
      </w:hyperlink>
    </w:p>
    <w:p>
      <w:pPr>
        <w:spacing w:before="0" w:after="120"/>
      </w:pPr>
      <w:r>
        <w:rPr>
          <w:b/>
        </w:rPr>
        <w:t xml:space="preserve">Notes: </w:t>
      </w:r>
      <w:r>
        <w:t>abstract_source=rss_description</w:t>
      </w:r>
    </w:p>
    <w:p>
      <w:pPr>
        <w:spacing w:before="0" w:after="80" w:lineRule="auto" w:line="276"/>
      </w:pPr>
      <w:r>
        <w:rPr>
          <w:b/>
        </w:rPr>
        <w:t xml:space="preserve">摘要（ZH）: </w:t>
      </w:r>
      <w:r>
        <w:t>作者：D. S. Akerib 等（LZ 合作组）我们报告了利用 LUX-ZEPLIN 实验前两次科学运行所收集的数据，通过电子反冲寻找新物理模型的结果，总曝光量为 $4.2\text{ }\text{ }\mathrm{tonne}\text{−}\mathrm{years}$。观测数据与本底……一致[Phys. Rev. Lett. 137, 101803] 发布于 2026年9月2日（星期三）</w:t>
      </w:r>
    </w:p>
    <w:p>
      <w:pPr>
        <w:spacing w:before="0" w:after="200" w:lineRule="auto" w:line="276"/>
      </w:pPr>
      <w:r>
        <w:rPr>
          <w:b/>
        </w:rPr>
        <w:t xml:space="preserve">Abstract (EN): </w:t>
      </w:r>
      <w:r>
        <w:t>Author(s): D. S. Akerib et al. (The LZ Collaboration)We report results from searches for new physics models through electron recoils using data collected by the LUX-ZEPLIN experiment during its first two science runs, with a total exposure of $4.2\text{ }\text{ }\mathrm{tonne}\text{−}\mathrm{years}$. The observed data are consistent with a background-…[Phys. Rev. Lett. 137, 101803] Published Wed Sep 02, 2026</w:t>
      </w:r>
    </w:p>
    <w:p>
      <w:pPr>
        <w:spacing w:before="120" w:after="120"/>
      </w:pPr>
      <w:r>
        <w:rPr>
          <w:sz w:val="18"/>
        </w:rPr>
        <w:t>——————————————————————————————————————————————————————————————————————</w:t>
      </w:r>
    </w:p>
    <w:p>
      <w:pPr>
        <w:spacing w:before="160" w:after="40" w:line="240" w:lineRule="auto"/>
      </w:pPr>
      <w:r>
        <w:rPr>
          <w:b/>
        </w:rPr>
        <w:t xml:space="preserve">[1275] </w:t>
      </w:r>
      <w:hyperlink r:id="rId2176">
        <w:r>
          <w:rPr>
            <w:color w:val="1155CC"/>
            <w:u w:val="single"/>
          </w:rPr>
          <w:t>模糊球面上的Chern-Simons-物质共形场论：Kalmyer-Laughlin手性自旋液体的Higgs相变</w:t>
        </w:r>
      </w:hyperlink>
    </w:p>
    <w:p>
      <w:pPr>
        <w:spacing w:before="0" w:after="80"/>
      </w:pPr>
      <w:r>
        <w:rPr>
          <w:i/>
          <w:sz w:val="20"/>
        </w:rPr>
        <w:t>EN: Chern-Simons-Matter Conformal Field Theory on the Fuzzy Sphere: Higgs Transition of the Kalmeyer-Laughlin Chiral Spin Liquid</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77">
        <w:r>
          <w:rPr>
            <w:color w:val="1155CC"/>
            <w:u w:val="single"/>
          </w:rPr>
          <w:t>10.1103/m64z-bvm3</w:t>
        </w:r>
      </w:hyperlink>
    </w:p>
    <w:p>
      <w:pPr>
        <w:spacing w:before="0" w:after="120"/>
      </w:pPr>
      <w:r>
        <w:rPr>
          <w:b/>
        </w:rPr>
        <w:t xml:space="preserve">Notes: </w:t>
      </w:r>
      <w:r>
        <w:t>abstract_source=rss_description</w:t>
      </w:r>
    </w:p>
    <w:p>
      <w:pPr>
        <w:spacing w:before="0" w:after="80" w:lineRule="auto" w:line="276"/>
      </w:pPr>
      <w:r>
        <w:rPr>
          <w:b/>
        </w:rPr>
        <w:t xml:space="preserve">摘要（ZH）: </w:t>
      </w:r>
      <w:r>
        <w:t>作者：Zheng Zhou（周正）、Chong Wang（王翀）和 Yin-Chen He（何寅琛） 精确对角化提供了强有力的数值证据，表明 Kalmeyer-Laughlin 手性自旋液体与平庸有能隙相之间的 Higgs 相变是连续的，并受一个共形场论支配。[Phys. Rev. Lett. 137, 106504] 发布于2026年9月2日（周三）</w:t>
      </w:r>
    </w:p>
    <w:p>
      <w:pPr>
        <w:spacing w:before="0" w:after="200" w:lineRule="auto" w:line="276"/>
      </w:pPr>
      <w:r>
        <w:rPr>
          <w:b/>
        </w:rPr>
        <w:t xml:space="preserve">Abstract (EN): </w:t>
      </w:r>
      <w:r>
        <w:t>Author(s): Zheng Zhou (周正), Chong Wang (王翀), and Yin-Chen He (何寅琛)Exact diagonalization provides strong numerical evidence that the Higgs transition between a Kalmeyer-Laughlin chiral spin liquid and a trivially gapped phase is continuous and governed by a conformal field theory.[Phys. Rev. Lett. 137, 106504] Published Wed Sep 02, 2026</w:t>
      </w:r>
    </w:p>
    <w:p>
      <w:pPr>
        <w:spacing w:before="120" w:after="120"/>
      </w:pPr>
      <w:r>
        <w:rPr>
          <w:sz w:val="18"/>
        </w:rPr>
        <w:t>——————————————————————————————————————————————————————————————————————</w:t>
      </w:r>
    </w:p>
    <w:p>
      <w:pPr>
        <w:spacing w:before="160" w:after="40" w:line="240" w:lineRule="auto"/>
      </w:pPr>
      <w:r>
        <w:rPr>
          <w:b/>
        </w:rPr>
        <w:t xml:space="preserve">[1276] </w:t>
      </w:r>
      <w:hyperlink r:id="rId2178">
        <w:r>
          <w:rPr>
            <w:color w:val="1155CC"/>
            <w:u w:val="single"/>
          </w:rPr>
          <w:t>超辐射中微子激光器的根本不可能性</w:t>
        </w:r>
      </w:hyperlink>
    </w:p>
    <w:p>
      <w:pPr>
        <w:spacing w:before="0" w:after="80"/>
      </w:pPr>
      <w:r>
        <w:rPr>
          <w:i/>
          <w:sz w:val="20"/>
        </w:rPr>
        <w:t>EN: Fundamental Impossibility of a Superradiant Neutrino Laser</w:t>
      </w:r>
    </w:p>
    <w:p>
      <w:pPr>
        <w:spacing w:before="0" w:after="120"/>
      </w:pPr>
      <w:r>
        <w:rPr>
          <w:b/>
        </w:rPr>
        <w:t xml:space="preserve">Source: </w:t>
      </w:r>
      <w:r>
        <w:t>Recent Articles in Phys. Rev. Lett.</w:t>
      </w:r>
      <w:r>
        <w:t xml:space="preserve">    </w:t>
      </w:r>
      <w:r>
        <w:rPr>
          <w:b/>
        </w:rPr>
        <w:t xml:space="preserve">Pub date: </w:t>
      </w:r>
      <w:r>
        <w:t>2026-09-02 10:00:00+00:00</w:t>
      </w:r>
      <w:r>
        <w:t xml:space="preserve">    </w:t>
      </w:r>
      <w:r>
        <w:rPr>
          <w:b/>
        </w:rPr>
        <w:t xml:space="preserve">DOI: </w:t>
      </w:r>
      <w:hyperlink r:id="rId2179">
        <w:r>
          <w:rPr>
            <w:color w:val="1155CC"/>
            <w:u w:val="single"/>
          </w:rPr>
          <w:t>10.1103/8x7k-rwx2</w:t>
        </w:r>
      </w:hyperlink>
    </w:p>
    <w:p>
      <w:pPr>
        <w:spacing w:before="0" w:after="120"/>
      </w:pPr>
      <w:r>
        <w:rPr>
          <w:b/>
        </w:rPr>
        <w:t xml:space="preserve">Notes: </w:t>
      </w:r>
      <w:r>
        <w:t>abstract_source=rss_description</w:t>
      </w:r>
    </w:p>
    <w:p>
      <w:pPr>
        <w:spacing w:before="0" w:after="80" w:lineRule="auto" w:line="276"/>
      </w:pPr>
      <w:r>
        <w:rPr>
          <w:b/>
        </w:rPr>
        <w:t xml:space="preserve">摘要（ZH）: </w:t>
      </w:r>
      <w:r>
        <w:t>作者：Yu-Kun Lu、Hanzhen Lin（林翰桢）和 Wolfgang Ketterle 两项研究发现，基本的量子约束排除了先前提出的中微子激光方案。[Phys. Rev. Lett. 137, 101804] 发布于2026年9月2日星期三</w:t>
      </w:r>
    </w:p>
    <w:p>
      <w:pPr>
        <w:spacing w:before="0" w:after="200" w:lineRule="auto" w:line="276"/>
      </w:pPr>
      <w:r>
        <w:rPr>
          <w:b/>
        </w:rPr>
        <w:t xml:space="preserve">Abstract (EN): </w:t>
      </w:r>
      <w:r>
        <w:t>Author(s): Yu-Kun Lu, Hanzhen Lin (林翰桢), and Wolfgang KetterleTwo studies find that fundamental quantum constraints rule out a previously proposed neutrino-laser scheme.[Phys. Rev. Lett. 137, 101804] Published Wed Sep 02, 2026</w:t>
      </w:r>
    </w:p>
    <w:p>
      <w:pPr>
        <w:spacing w:before="120" w:after="120"/>
      </w:pPr>
      <w:r>
        <w:rPr>
          <w:sz w:val="18"/>
        </w:rPr>
        <w:t>——————————————————————————————————————————————————————————————————————</w:t>
      </w:r>
    </w:p>
    <w:p>
      <w:pPr>
        <w:spacing w:before="160" w:after="40" w:line="240" w:lineRule="auto"/>
      </w:pPr>
      <w:r>
        <w:rPr>
          <w:b/>
        </w:rPr>
        <w:t xml:space="preserve">[1277] </w:t>
      </w:r>
      <w:hyperlink r:id="rId2180">
        <w:r>
          <w:rPr>
            <w:color w:val="1155CC"/>
            <w:u w:val="single"/>
          </w:rPr>
          <w:t>肿瘤内在的IFNγ信号传导及生态位适应驱动卵巢癌转移中的早期定植</w:t>
        </w:r>
      </w:hyperlink>
    </w:p>
    <w:p>
      <w:pPr>
        <w:spacing w:before="0" w:after="80"/>
      </w:pPr>
      <w:r>
        <w:rPr>
          <w:i/>
          <w:sz w:val="20"/>
        </w:rPr>
        <w:t>EN: Tumor-intrinsic IFNγ signaling and niche adaptation drive early colonization in ovarian cancer metastasis</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使播散性肿瘤细胞在卵巢癌转移过程中得以存活并定植于腹壁龛位的机制仍未被完全理解。在此，我们提出MetTag，这是一种带有时间戳批次标识符的单细胞条形码和转录组 profiling 方法，用于解析播散的时间动态。对MetTag条形码的测序揭示了早期播散克隆在各转移部位的富集，而靶向清除先遣细胞会削弱随后到达细胞的生长。MetTag联合单细胞RNA测序揭示了一条以干扰素γ为中心的独特转录轨迹，该轨迹在先遣克隆中富集。CRISPR/Cas9筛选及随后在先遣细胞中敲除干扰素γ受体1显著降低了转移负荷，凸显了活性干扰素γ信号塑造种植后转移龛位及生长的关键时间窗口。在机制上，肿瘤内在的干扰素γ应答与腹膜巨噬细胞协同保护播散性肿瘤细胞免于失巢凋亡。我们的研究界定了腹膜转移的时间克隆结构，揭示了"先到先得"的播散原则，即先遣细胞的适应性决定了后续定植者的成败。</w:t>
      </w:r>
    </w:p>
    <w:p>
      <w:pPr>
        <w:spacing w:before="0" w:after="200" w:lineRule="auto" w:line="276"/>
      </w:pPr>
      <w:r>
        <w:rPr>
          <w:b/>
        </w:rPr>
        <w:t xml:space="preserve">Abstract (EN): </w:t>
      </w:r>
      <w:r>
        <w:t>The mechanisms enabling disseminating tumor cells to survive and colonize peritoneal niches during ovarian cancer metastasis remain incompletely understood. Here, we present MetTag, a single-cell barcoding and transcriptome profiling approach with time-stamped batch identifiers to resolve temporal dynamics of dissemination. Sequencing of MetTag barcodes reveals enrichment of early-disseminated clones across metastatic sites, and targeted depletion of pioneers diminishes the outgrowth of later arriving cells. MetTag-coupled single-cell RNA sequencing uncovers a distinct interferon-gamma-centric transcriptional trajectory enriched among pioneer clones. CRISPR/Cas9 screening and subsequent interferon-gamma receptor 1 knockout in pioneer cells significantly reduces metastatic burden, highlighting a critical window where active interferon-gamma signaling shapes the post-seeding metastatic niche and outgrowth. Mechanistically, the tumor-intrinsic interferon-gamma response and peritoneal macrophages cooperatively shield disseminating tumor cells from anoikis. Our study defines the temporal clonal architecture of peritoneal metastasis, revealing a first come, first served dissemination principle, where pioneer fitness determines the success of subsequent colonizers.</w:t>
      </w:r>
    </w:p>
    <w:p>
      <w:pPr>
        <w:spacing w:before="120" w:after="120"/>
      </w:pPr>
      <w:r>
        <w:rPr>
          <w:sz w:val="18"/>
        </w:rPr>
        <w:t>——————————————————————————————————————————————————————————————————————</w:t>
      </w:r>
    </w:p>
    <w:p>
      <w:pPr>
        <w:spacing w:before="160" w:after="40" w:line="240" w:lineRule="auto"/>
      </w:pPr>
      <w:r>
        <w:rPr>
          <w:b/>
        </w:rPr>
        <w:t xml:space="preserve">[1278] </w:t>
      </w:r>
      <w:hyperlink r:id="rId2181">
        <w:r>
          <w:rPr>
            <w:color w:val="1155CC"/>
            <w:u w:val="single"/>
          </w:rPr>
          <w:t>抑制聚酰胺结晶解锁超高渗透性和高选择性纳滤膜</w:t>
        </w:r>
      </w:hyperlink>
    </w:p>
    <w:p>
      <w:pPr>
        <w:spacing w:before="0" w:after="80"/>
      </w:pPr>
      <w:r>
        <w:rPr>
          <w:i/>
          <w:sz w:val="20"/>
        </w:rPr>
        <w:t>EN: Suppressing Polyamide Crystallization Unlocks Ultrapermeable and Highly Selective Nanofiltration Membranes</w:t>
      </w:r>
    </w:p>
    <w:p>
      <w:pPr>
        <w:spacing w:before="0" w:after="120"/>
      </w:pPr>
      <w:r>
        <w:rPr>
          <w:b/>
        </w:rPr>
        <w:t xml:space="preserve">Source: </w:t>
      </w:r>
      <w:r>
        <w:t>Physical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纳滤（NF）膜是水净化的关键。然而，其性能仍主要通过经验方法进行优化，因为在可规模化的界面聚合过程中，聚酰胺结晶度仍然难以控制。在本研究中，我们提出了一种在−20 °C下的超低温界面聚合策略，可直接实现聚酰胺链组装，抑制结晶，并形成光滑、无缺陷、完全无定形的选择层。综合表征证实了均一无定形网络的形成，与室温对照相比，水渗透性提高了四倍，Cl-/SO42-选择性提高了三倍，超越了高性能NF膜。光滑的表面还进一步提升了NF膜的抗污染性能。基于真实工业废水实验的生命周期评估表明，使用所制备的膜可将处理成本降低79.1%。这项工作确立了温度控制的链组装作为一种可规模化的NF设计手段，并为下一代水处理膜提供了实用途径。</w:t>
      </w:r>
    </w:p>
    <w:p>
      <w:pPr>
        <w:spacing w:before="0" w:after="200" w:lineRule="auto" w:line="276"/>
      </w:pPr>
      <w:r>
        <w:rPr>
          <w:b/>
        </w:rPr>
        <w:t xml:space="preserve">Abstract (EN): </w:t>
      </w:r>
      <w:r>
        <w:t>Nanofiltration (NF) membranes are essential for water purification. However, their performance is still largely optimized through empirical methods, as polyamide crystallinity remain difficult to control in scalable interfacial polymerization processes. In this study, we introduce an ultra-low-temperature interfacial polymerization strategy at −20 °C that enables direct polyamide chain assembly, suppresses crystallization, and forms a smooth, defect-free, fully amorphous selective layer. Comprehensive characterization confirms the formation of a homogeneous amorphous network, enabling a fourfold increase in water permeability and a threefold improvement in Cl-/SO42- selectivity compared with room-temperature controls, surpassing high-performance NF membranes. The smooth surface further improves the antifouling performance of the NF membrane. Life cycle assessment based on experiments with real industrial wastewater, demonstrate that using the fabricated membrane can reduce treatment costs by 79.1%. This work establishes temperature-controlled chain assembly as a scalable lever for NF design and provides a practical pathway toward next-generation membranes for water treatment.</w:t>
      </w:r>
    </w:p>
    <w:p>
      <w:pPr>
        <w:spacing w:before="120" w:after="120"/>
      </w:pPr>
      <w:r>
        <w:rPr>
          <w:sz w:val="18"/>
        </w:rPr>
        <w:t>——————————————————————————————————————————————————————————————————————</w:t>
      </w:r>
    </w:p>
    <w:p>
      <w:pPr>
        <w:spacing w:before="160" w:after="40" w:line="240" w:lineRule="auto"/>
      </w:pPr>
      <w:r>
        <w:rPr>
          <w:b/>
        </w:rPr>
        <w:t xml:space="preserve">[1279] </w:t>
      </w:r>
      <w:hyperlink r:id="rId2182">
        <w:r>
          <w:rPr>
            <w:color w:val="1155CC"/>
            <w:u w:val="single"/>
          </w:rPr>
          <w:t>大型语言模型生成的情感建议中感知的人性与共情相互分离</w:t>
        </w:r>
      </w:hyperlink>
    </w:p>
    <w:p>
      <w:pPr>
        <w:spacing w:before="0" w:after="80"/>
      </w:pPr>
      <w:r>
        <w:rPr>
          <w:i/>
          <w:sz w:val="20"/>
        </w:rPr>
        <w:t>EN: Perceived humanness and empathy are dissociated in relationship advice generated by a large language model</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区分生成内容与人类撰写的内容正变得越来越困难。我们通过五项研究考察了传达人性的动机和任务特征如何影响人们对文本内容的感知。在研究1–2中，人类和GPT-4撰写情感关系建议或情感关系描述，有的带有、有的不带有“表现得像人类”的指令。新的参与者判断每段文本的来源。结果表明，“表现得像人类”的指令仅能提高GPT-4文本的感知人性，从而缩小了人类的优势。研究3表明，这些效应在“避免听起来像人工智能模型”的指令下依然存在，并在GPT-4和GPT-4o上均可重复。研究4证明GPT模型可以在缺乏人性的情况下产生共情，也可以在缺乏共情的情况下表现出人性。研究5表明，GPT-4通过采用非正式的、口语化的语言及其他表层风格线索来提高感知人性，而人类写作者几乎不做调整。总之，这些研究结果表明，感知人性取决于表现得像人类的动机以及写作产生的情境。</w:t>
      </w:r>
    </w:p>
    <w:p>
      <w:pPr>
        <w:spacing w:before="0" w:after="200" w:lineRule="auto" w:line="276"/>
      </w:pPr>
      <w:r>
        <w:rPr>
          <w:b/>
        </w:rPr>
        <w:t xml:space="preserve">Abstract (EN): </w:t>
      </w:r>
      <w:r>
        <w:t>Differentiating generated and human-written content is increasingly difficult. We examine how incentives to convey humanness and task characteristics shape perceptions of textual content across five studies. In Studies 1–2, humans and GPT-4 write relationship advice or relationship descriptions with or without instructions to appear human. New participants judge each text’s source. Instructions to appear human increase perceived humanness only for GPT-4, reducing the human advantage. Study 3 shows that these effects persist under instructions to avoid sounding like an AI model and replicate across GPT-4 and GPT-4o. Study 4 demonstrates that GPT models can produce empathy without humanness and humanness without empathy. Study 5 shows that GPT-4 increases perceived humanness by adopting informal, conversational language and other surface-level stylistic cues, whereas human writers show little adjustment. Together, the findings indicate that perceived humanness depends on incentives to appear human and the context in which writing is produced.</w:t>
      </w:r>
    </w:p>
    <w:p>
      <w:pPr>
        <w:spacing w:before="120" w:after="120"/>
      </w:pPr>
      <w:r>
        <w:rPr>
          <w:sz w:val="18"/>
        </w:rPr>
        <w:t>——————————————————————————————————————————————————————————————————————</w:t>
      </w:r>
    </w:p>
    <w:p>
      <w:pPr>
        <w:spacing w:before="160" w:after="40" w:line="240" w:lineRule="auto"/>
      </w:pPr>
      <w:r>
        <w:rPr>
          <w:b/>
        </w:rPr>
        <w:t xml:space="preserve">[1280] </w:t>
      </w:r>
      <w:hyperlink r:id="rId2183">
        <w:r>
          <w:rPr>
            <w:color w:val="1155CC"/>
            <w:u w:val="single"/>
          </w:rPr>
          <w:t>基于忆阻器的超低功耗概率图计算实现通信信号处理</w:t>
        </w:r>
      </w:hyperlink>
    </w:p>
    <w:p>
      <w:pPr>
        <w:spacing w:before="0" w:after="80"/>
      </w:pPr>
      <w:r>
        <w:rPr>
          <w:i/>
          <w:sz w:val="20"/>
        </w:rPr>
        <w:t>EN: Ultra-low-power probabilistic graphical computing based on memristors enabling communications signal processing</w:t>
      </w:r>
    </w:p>
    <w:p>
      <w:pPr>
        <w:spacing w:before="0" w:after="120"/>
      </w:pPr>
      <w:r>
        <w:rPr>
          <w:b/>
        </w:rPr>
        <w:t xml:space="preserve">Source: </w:t>
      </w:r>
      <w:r>
        <w:t>Physical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提高基带处理器的能效已成为移动通信中的关键挑战，尤其是对于能量受限的边缘设备而言。传统基带信号处理器中的应用通常采用独立优化的算法架构，且主要依赖数字系统，其能效从根本上受限于频繁的数据移动和计算密集型的动态操作。为了克服现代信号处理中的根本性能耗扩展瓶颈，本文报道了一种基于忆阻器的概率图计算范式，它不仅统一了基于贝叶斯推断的基带信号处理算法框架，还通过基于忆阻器的存内计算实现了能效的大幅提升。结果表明，所提出的方法实现了每比特低于10 pJ的能耗，能效比传统实现方案最高提升11.4倍，同时在代表性应用中保持低于1×10−4的误码率。这些结果为边缘设备中的超低功耗信号处理提供了一条灵活且具有噪声鲁棒性的途径。</w:t>
      </w:r>
    </w:p>
    <w:p>
      <w:pPr>
        <w:spacing w:before="0" w:after="200" w:lineRule="auto" w:line="276"/>
      </w:pPr>
      <w:r>
        <w:rPr>
          <w:b/>
        </w:rPr>
        <w:t xml:space="preserve">Abstract (EN): </w:t>
      </w:r>
      <w:r>
        <w:t>Improving the energy efficiency of baseband processors has become a critical challenge in mobile communications, especially for energy-constrained edge devices. Applications in conventional baseband signal processors usually adopt independently optimized algorithmic architectures and primarily rely on digital systems, whose energy efficiency is fundamentally limited by frequent data movement and computationally intensive dynamic operations. To overcome the fundamental energy-scaling bottleneck in modern signal processing, here we report a probabilistic graphical computing paradigm based on memristors, which not only unifies the framework of Bayesian inference-based baseband signal processing algorithms, but also achieves a substantial improvement in energy efficiency via memristor-based in-memory computing. Results demonstrate that the proposed approach achieves energy consumption below 10 pJ per bit and up to an 11.4-fold improvement in energy efficiency over conventional implementations, while maintaining error rates below 1×10−4 in the representative application. These results provide a flexible, noise-resilient route to ultra-low-power signal processing in edge devices.</w:t>
      </w:r>
    </w:p>
    <w:p>
      <w:pPr>
        <w:spacing w:before="120" w:after="120"/>
      </w:pPr>
      <w:r>
        <w:rPr>
          <w:sz w:val="18"/>
        </w:rPr>
        <w:t>——————————————————————————————————————————————————————————————————————</w:t>
      </w:r>
    </w:p>
    <w:p>
      <w:pPr>
        <w:spacing w:before="160" w:after="40" w:line="240" w:lineRule="auto"/>
      </w:pPr>
      <w:r>
        <w:rPr>
          <w:b/>
        </w:rPr>
        <w:t xml:space="preserve">[1281] </w:t>
      </w:r>
      <w:hyperlink r:id="rId2184">
        <w:r>
          <w:rPr>
            <w:color w:val="1155CC"/>
            <w:u w:val="single"/>
          </w:rPr>
          <w:t>通过三重态能量转移激发非环状三取代烯烃实现非对映选择性和对映选择性[2 + 2]光环加成反应</w:t>
        </w:r>
      </w:hyperlink>
    </w:p>
    <w:p>
      <w:pPr>
        <w:spacing w:before="0" w:after="80"/>
      </w:pPr>
      <w:r>
        <w:rPr>
          <w:i/>
          <w:sz w:val="20"/>
        </w:rPr>
        <w:t>EN: Excitation of acyclic trisubstituted alkenes via triplet energy transfer for diastereo- and enantioselective [2 + 2] photocycloaddition</w:t>
      </w:r>
    </w:p>
    <w:p>
      <w:pPr>
        <w:spacing w:before="0" w:after="120"/>
      </w:pPr>
      <w:r>
        <w:rPr>
          <w:b/>
        </w:rPr>
        <w:t xml:space="preserve">Source: </w:t>
      </w:r>
      <w:r>
        <w:t>Physical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光化学为实现独特的键断裂与键形成提供了一个强大的平台。然而，在抑制持续进行的消旋背景反应的同时实现精确的立体化学控制，仍是该领域的一项根本性挑战。本文报道了一种基于双催化体系、针对2-氰基丙烯酰胺（非环状三取代烯烃）的高对映选择性和非对映选择性[2 + 2]光环加成反应。尽管三线态能量转移对催化剂结合和未结合的底物均无选择性，但通过双Curtin–Hammett动力学控制策略实现了高立体选择性。该方法具有广泛的底物适用范围，可容纳多种芳烃和烯烃，并能够构建α-手性季腈以及连续的季碳立体中心。值得注意的是，从不同E/Z异构体和旋转异构体的混合物中观察到了立体汇聚转化，且去芳构化环加成反应在多种芳香体系中均能高效进行。机理研究支持涉及匹配双自由基中间体快速闭环动力学的途径，其中氰基发挥着关键作用。</w:t>
      </w:r>
    </w:p>
    <w:p>
      <w:pPr>
        <w:spacing w:before="0" w:after="200" w:lineRule="auto" w:line="276"/>
      </w:pPr>
      <w:r>
        <w:rPr>
          <w:b/>
        </w:rPr>
        <w:t xml:space="preserve">Abstract (EN): </w:t>
      </w:r>
      <w:r>
        <w:t>Photochemistry offers a powerful platform for enabling unique bond cleavage and formation. However, achieving precise stereochemical control while suppressing persistent racemic background reactions remains a fundamental challenge in this field. Herein, we report a highly enantio- and diastereoselective [2 + 2] photocycloaddition of 2-cyanoacrylamides—acyclic trisubstituted alkenes—using a dual catalytic system. Despite non-selective triplet energy transfer to both catalyst-bound and unbound substrates, high stereoselectivity is achieved through a dual Curtin–Hammett kinetic control strategy. This method features broad substrate scope, accommodating diverse arenes and alkenes, and enables the construction of α-chiral quaternary nitriles as well as contiguous quaternary stereocenters. Notably, stereoconvergent transformations are observed from mixtures of varied E/Z isomers and rotamers, and dearomative cycloadditions proceed efficiently across a range of aromatic systems. Mechanistic studies support a pathway involving fast ring-closure kinetics of matched diradical intermediates, with the cyano group playing a critical role.</w:t>
      </w:r>
    </w:p>
    <w:p>
      <w:pPr>
        <w:spacing w:before="120" w:after="120"/>
      </w:pPr>
      <w:r>
        <w:rPr>
          <w:sz w:val="18"/>
        </w:rPr>
        <w:t>——————————————————————————————————————————————————————————————————————</w:t>
      </w:r>
    </w:p>
    <w:p>
      <w:pPr>
        <w:spacing w:before="160" w:after="40" w:line="240" w:lineRule="auto"/>
      </w:pPr>
      <w:r>
        <w:rPr>
          <w:b/>
        </w:rPr>
        <w:t xml:space="preserve">[1282] </w:t>
      </w:r>
      <w:hyperlink r:id="rId2185">
        <w:r>
          <w:rPr>
            <w:color w:val="1155CC"/>
            <w:u w:val="single"/>
          </w:rPr>
          <w:t>自组装纤维素纳米晶制备的虹彩、柔性、疏水聚合物复合薄膜</w:t>
        </w:r>
      </w:hyperlink>
    </w:p>
    <w:p>
      <w:pPr>
        <w:spacing w:before="0" w:after="80"/>
      </w:pPr>
      <w:r>
        <w:rPr>
          <w:i/>
          <w:sz w:val="20"/>
        </w:rPr>
        <w:t>EN: Iridescent, Flexible, Hydrophobic Polymer Composite Films from Self-Assembled Cellulose Nanocrystals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186">
        <w:r>
          <w:rPr>
            <w:color w:val="1155CC"/>
            <w:u w:val="single"/>
          </w:rPr>
          <w:t>10.1021/acsami.6c08922</w:t>
        </w:r>
      </w:hyperlink>
    </w:p>
    <w:p>
      <w:pPr>
        <w:spacing w:before="0" w:after="120"/>
      </w:pPr>
      <w:r>
        <w:rPr>
          <w:b/>
        </w:rPr>
        <w:t xml:space="preserve">Notes: </w:t>
      </w:r>
      <w:r>
        <w:t>abstract_source=crossref</w:t>
      </w:r>
    </w:p>
    <w:p>
      <w:pPr>
        <w:spacing w:before="0" w:after="80" w:lineRule="auto" w:line="276"/>
      </w:pPr>
      <w:r>
        <w:rPr>
          <w:b/>
        </w:rPr>
        <w:t xml:space="preserve">摘要（ZH）: </w:t>
      </w:r>
      <w:r>
        <w:t>摘要 纤维素纳米晶体（CNC）因其能够通过手性向列液晶相的凝固形成具有结构色的虹彩薄膜而闻名。然而，CNC 固有的脆性和亲水性使其易碎且容易受潮，从而限制了其多功能性。为了解决这些问题，我们开发了一种创新策略来克服亲水性CNC和疏水性聚己内酯（PCL）之间的不相容性，并制备了一系列疏水性虹彩CNC-PCL复合薄膜。通过薄膜溶胀、溶剂交换和环境干燥，软 PCL 被均匀地捕获在手性向列 CNC 矩阵中，同时组装好的 CNC 的光子结构得到了很好的保留。这些复合材料具有虹彩、柔性和疏水性，使其成为防水光子涂层的有希望的候选材料。此外，通过调整 CNC 矩阵中 PCL 的比例，可以轻松调整它们的结构颜色、柔韧性和疏水性。预计这一新策略将为未来研究人员通过混合光子晶体和疏水性聚合物来开发防水且柔性的光子材料并扩展其应用场景打开大门。</w:t>
      </w:r>
    </w:p>
    <w:p>
      <w:pPr>
        <w:spacing w:before="0" w:after="200" w:lineRule="auto" w:line="276"/>
      </w:pPr>
      <w:r>
        <w:rPr>
          <w:b/>
        </w:rPr>
        <w:t xml:space="preserve">Abstract (EN): </w:t>
      </w:r>
      <w:r>
        <w:t>Cellulose nanocrystals (CNCs) are known for their ability to form iridescent films with structural color via solidification of a chiral nematic liquid crystalline phase. However, the inherent brittleness and hydrophilicity of CNCs make them fragile and susceptible to moisture, limiting their versatility. To address these issues, an innovative strategy has been developed to overcome the incompatibility between hydrophilic CNCs and hydrophobic polycaprolactone (PCL), and a series of hydrophobic iridescent CNC-PCL composite films has been prepared. The soft PCL was homogenously entrapped in the chiral nematic CNC matrix through film swelling, solvent exchange, and ambient drying, while the photonic structure of the assembled CNCs was well retained. These composite materials are iridescent, flexible, and hydrophobic, making them promising candidates for waterproof photonic coatings. Furthermore, their structural color, flexibility, and hydrophobicity were readily adjusted by tuning the proportion of PCL in the CNC matrix. It is expected that this new strategy will open the door for future researchers to develop water-resistant and flexible photonic materials by blending photonic crystals and hydrophobic polymers, as well as expanding their application scenarios.</w:t>
      </w:r>
    </w:p>
    <w:p>
      <w:pPr>
        <w:spacing w:before="120" w:after="120"/>
      </w:pPr>
      <w:r>
        <w:rPr>
          <w:sz w:val="18"/>
        </w:rPr>
        <w:t>——————————————————————————————————————————————————————————————————————</w:t>
      </w:r>
    </w:p>
    <w:p>
      <w:pPr>
        <w:spacing w:before="160" w:after="40" w:line="240" w:lineRule="auto"/>
      </w:pPr>
      <w:r>
        <w:rPr>
          <w:b/>
        </w:rPr>
        <w:t xml:space="preserve">[1283] </w:t>
      </w:r>
      <w:hyperlink r:id="rId2187">
        <w:r>
          <w:rPr>
            <w:color w:val="1155CC"/>
            <w:u w:val="single"/>
          </w:rPr>
          <w:t>通过电子自旋控制氢原子的表面反应</w:t>
        </w:r>
      </w:hyperlink>
    </w:p>
    <w:p>
      <w:pPr>
        <w:spacing w:before="0" w:after="80"/>
      </w:pPr>
      <w:r>
        <w:rPr>
          <w:i/>
          <w:sz w:val="20"/>
        </w:rPr>
        <w:t>EN: Controlling surface reactions of hydrogen atoms by the electron spin</w:t>
      </w:r>
    </w:p>
    <w:p>
      <w:pPr>
        <w:spacing w:before="0" w:after="120"/>
      </w:pPr>
      <w:r>
        <w:rPr>
          <w:b/>
        </w:rPr>
        <w:t xml:space="preserve">Source: </w:t>
      </w:r>
      <w:r>
        <w:t>Physical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气体分子具有多种内部自由度。尽管表面动力学的最新进展已阐明了平动、振动和转动在气-表面反应中的作用，但电子自旋对表面反应的影响仍知之甚少。在此，我们利用自旋极化的原子氢束，演示了 Ni 表面上 H 吸附和抽取反应的自旋依赖性。结果表明，当 H 电子自旋垂直于 Ni(111) 表面磁化方向时，H 吸附受到抑制。此外，在覆盖 D 的表面上，H 抽取反应也表现出相同的自旋偏好。这些发现表明，通过施加外部磁场来控制分子和表面的自旋取向，为调控表面反应速率提供了一种可行手段。</w:t>
      </w:r>
    </w:p>
    <w:p>
      <w:pPr>
        <w:spacing w:before="0" w:after="200" w:lineRule="auto" w:line="276"/>
      </w:pPr>
      <w:r>
        <w:rPr>
          <w:b/>
        </w:rPr>
        <w:t xml:space="preserve">Abstract (EN): </w:t>
      </w:r>
      <w:r>
        <w:t>Gas molecules possess various internal degrees of freedom. Whereas recent advances in surface dynamics have clarified the roles of translational, vibrational and rotational motion in gas-surface reactions, the effect of its electron spin on surface reactions remains poorly understood. Here, we demonstrate the spin dependence of H adsorption and abstraction reactions on a Ni surface using a spin-polarized atomic-hydrogen beam. The results indicate that H adsorption is suppressed when the H electron spin is oriented perpendicular to the magnetization direction of the Ni(111) surface. Furthermore, the same spin preference is observed for the H abstraction reaction on a D-covered surface. These findings suggest that controlling the spin orientation of molecules and surfaces by applying an external magnetic field provides a viable means to modulate surface reaction rates.</w:t>
      </w:r>
    </w:p>
    <w:p>
      <w:pPr>
        <w:spacing w:before="120" w:after="120"/>
      </w:pPr>
      <w:r>
        <w:rPr>
          <w:sz w:val="18"/>
        </w:rPr>
        <w:t>——————————————————————————————————————————————————————————————————————</w:t>
      </w:r>
    </w:p>
    <w:p>
      <w:pPr>
        <w:spacing w:before="160" w:after="40" w:line="240" w:lineRule="auto"/>
      </w:pPr>
      <w:r>
        <w:rPr>
          <w:b/>
        </w:rPr>
        <w:t xml:space="preserve">[1284] </w:t>
      </w:r>
      <w:hyperlink r:id="rId2188">
        <w:r>
          <w:rPr>
            <w:color w:val="1155CC"/>
            <w:u w:val="single"/>
          </w:rPr>
          <w:t>干旱发展特征通过不同的陆-气反馈调节全球干湿急转</w:t>
        </w:r>
      </w:hyperlink>
    </w:p>
    <w:p>
      <w:pPr>
        <w:spacing w:before="0" w:after="80"/>
      </w:pPr>
      <w:r>
        <w:rPr>
          <w:i/>
          <w:sz w:val="20"/>
        </w:rPr>
        <w:t>EN: Drought development characteristics modulate global dry–wet abrupt alternation through distinct land–atmosphere feedbacks</w:t>
      </w:r>
    </w:p>
    <w:p>
      <w:pPr>
        <w:spacing w:before="0" w:after="120"/>
      </w:pPr>
      <w:r>
        <w:rPr>
          <w:b/>
        </w:rPr>
        <w:t xml:space="preserve">Source: </w:t>
      </w:r>
      <w:r>
        <w:t>Earth and environmental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从干旱到极端降水的快速转变可引发级联影响，但先前干旱发展对后续降水的影响仍不明确。我们使用全球事件尺度框架识别了干-湿急转事件，并将其划分为连续的干旱期和湿润期。这些事件约发生在32%的干旱之后，且在1951-2020年期间，所评估的26个IPCC-SREX区域中有58%的区域其频率显著增加。基于模型的分析表明，干旱发展特征为区分后续是否发生极端降水的干旱贡献了25.7%的预测信息。快速而强烈的土壤水分下降与较早、更多对流的降水相关，尤其是在中高纬度气候过渡区域，而 prolonged 且严重的干旱发展则与较晚、更多层状云的降水相关，尤其是在干旱和热带地区。在此，我们表明先前的干旱发展与从干旱到极端降水的、依赖于区域的不同路径相关联，为预见复合型水文极端事件提供了基础。</w:t>
      </w:r>
    </w:p>
    <w:p>
      <w:pPr>
        <w:spacing w:before="0" w:after="200" w:lineRule="auto" w:line="276"/>
      </w:pPr>
      <w:r>
        <w:rPr>
          <w:b/>
        </w:rPr>
        <w:t xml:space="preserve">Abstract (EN): </w:t>
      </w:r>
      <w:r>
        <w:t>Rapid transitions from drought to extreme precipitation can trigger cascading impacts, but the influence of antecedent drought development on subsequent precipitation remains unclear. Dry–wet abrupt alternation events were identified using a global event-scale framework and separated into successive dry and wet phases. These events followed approximately 32% of droughts, and their frequency increased significantly in 58% of the 26 IPCC-SREX regions assessed in 1951-2020. Model-based analysis showed that drought-development characteristics contributed 25.7% of the predictive information distinguishing droughts with and without subsequent extreme precipitation. Rapid and intense soil-moisture decline was associated with earlier, more convective precipitation, particularly in mid- and high-latitude climate-transition regions, whereas prolonged and severe drought development was associated with delayed, more stratiform precipitation, especially in arid and tropical regions. Here, we show that antecedent drought development is linked to distinct, region-dependent pathways from drought to extreme precipitation, providing a basis for anticipating compound hydrological extremes.</w:t>
      </w:r>
    </w:p>
    <w:p>
      <w:pPr>
        <w:spacing w:before="120" w:after="120"/>
      </w:pPr>
      <w:r>
        <w:rPr>
          <w:sz w:val="18"/>
        </w:rPr>
        <w:t>——————————————————————————————————————————————————————————————————————</w:t>
      </w:r>
    </w:p>
    <w:p>
      <w:pPr>
        <w:spacing w:before="160" w:after="40" w:line="240" w:lineRule="auto"/>
      </w:pPr>
      <w:r>
        <w:rPr>
          <w:b/>
        </w:rPr>
        <w:t xml:space="preserve">[1285] </w:t>
      </w:r>
      <w:hyperlink r:id="rId2189">
        <w:r>
          <w:rPr>
            <w:color w:val="1155CC"/>
            <w:u w:val="single"/>
          </w:rPr>
          <w:t>双色超快X射线衍射的无模型图案分离</w:t>
        </w:r>
      </w:hyperlink>
    </w:p>
    <w:p>
      <w:pPr>
        <w:spacing w:before="0" w:after="80"/>
      </w:pPr>
      <w:r>
        <w:rPr>
          <w:i/>
          <w:sz w:val="20"/>
        </w:rPr>
        <w:t>EN: Model-free pattern separation of two-color ultrafast X-ray diffraction</w:t>
      </w:r>
    </w:p>
    <w:p>
      <w:pPr>
        <w:spacing w:before="0" w:after="120"/>
      </w:pPr>
      <w:r>
        <w:rPr>
          <w:b/>
        </w:rPr>
        <w:t xml:space="preserve">Source: </w:t>
      </w:r>
      <w:r>
        <w:t>Physical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利用自由电子激光脉冲进行双色 X 射线成像，将（近）原子空间分辨率与飞秒时间精度相结合，为探测纳米级系统中的超快结构动力学提供了一种强大的方法。第一个 X 射线脉冲捕获物体的初始状态，而第二个延时脉冲记录其随后的演化。一个关键的挑战在于解开同一探测器同时记录的两种模式。我们使用不同光子能量（1 和 1.2 keV）的两个 X 射线脉冲在结构变化的纳米级粒子上演示了这种方法的实现。真空中产生的亚微米氦纳米液滴受到时间间隔高达 750 飞秒的两个 X 射线脉冲的照射。利用成像探测器的高光子能量分辨率，我们通过分析单个像素计数和应用模式识别来分离重叠的衍射信号。氦纳米液滴的球形形状使我们能够通过将径向散射分布与双色场的米氏解拟合来交叉验证这种方法。两种方法之间的出色一致性，特别是在编码高分辨率结构信息的衍射图案的稀疏照明外部区域中，突出了这种方法的质量及其在未来先进 X 射线电影技术中的潜力。</w:t>
      </w:r>
    </w:p>
    <w:p>
      <w:pPr>
        <w:spacing w:before="0" w:after="200" w:lineRule="auto" w:line="276"/>
      </w:pPr>
      <w:r>
        <w:rPr>
          <w:b/>
        </w:rPr>
        <w:t xml:space="preserve">Abstract (EN): </w:t>
      </w:r>
      <w:r>
        <w:t>Two-color X-ray imaging with Free Electron Laser pulses offers a powerful approach for probing ultrafast structural dynamics in nanoscale systems, combining (near-)atomic spatial resolution with femtosecond temporal precision. The first X-ray pulse captures the object’s initial state, while the second, time-delayed pulse records its subsequent evolution. A key challenge lies in disentangling the two patterns simultaneously recorded by the same detector. We demonstrate the realization of this approach on structurally varying nanoscale particles using two X-ray pulses of different photon energies, 1 and 1.2 keV. Sub-micrometer helium nanodroplets generated in vacuum are irradiated by the two X-ray pulses separated in time by up to 750 femtoseconds. Taking advantage of the high photon-energy resolution of the imaging detector, we separate the overlapping diffraction signals by analyzing individual pixel counts and applying pattern recognition. The helium nanodroplets’ spherical shape allows us to cross-validate this approach by fitting the radial scattering profiles with Mie solutions for abichromatic field. The excellent agreement between the two methods, particularly in the sparsely illuminated outer regions of the diffraction patterns where high-resolution structural information is encoded, highlights the quality of this approach and its potential for future advanced X-ray movie techniques.</w:t>
      </w:r>
    </w:p>
    <w:p>
      <w:pPr>
        <w:spacing w:before="120" w:after="120"/>
      </w:pPr>
      <w:r>
        <w:rPr>
          <w:sz w:val="18"/>
        </w:rPr>
        <w:t>——————————————————————————————————————————————————————————————————————</w:t>
      </w:r>
    </w:p>
    <w:p>
      <w:pPr>
        <w:spacing w:before="160" w:after="40" w:line="240" w:lineRule="auto"/>
      </w:pPr>
      <w:r>
        <w:rPr>
          <w:b/>
        </w:rPr>
        <w:t xml:space="preserve">[1286] </w:t>
      </w:r>
      <w:hyperlink r:id="rId2190">
        <w:r>
          <w:rPr>
            <w:color w:val="1155CC"/>
            <w:u w:val="single"/>
          </w:rPr>
          <w:t>古地理对显生宙风化速率的控制及其对气候调节的启示</w:t>
        </w:r>
      </w:hyperlink>
    </w:p>
    <w:p>
      <w:pPr>
        <w:spacing w:before="0" w:after="80"/>
      </w:pPr>
      <w:r>
        <w:rPr>
          <w:i/>
          <w:sz w:val="20"/>
        </w:rPr>
        <w:t>EN: Paleogeographic controls on Phanerozoic weathering rates and implications for climate regulation</w:t>
      </w:r>
    </w:p>
    <w:p>
      <w:pPr>
        <w:spacing w:before="0" w:after="120"/>
      </w:pPr>
      <w:r>
        <w:rPr>
          <w:b/>
        </w:rPr>
        <w:t xml:space="preserve">Source: </w:t>
      </w:r>
      <w:r>
        <w:t>Earth and environmental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地球气候在数十亿年间保持宜居，这一稳定性通常归因于硅酸盐风化的负反馈——即陆地硅酸盐岩石的化学分解，其随气候变暖而加快消耗大气二氧化碳。然而，温度还是水文是这一反馈的主要驱动因素仍不确定。在此，我们表明这两种控制因素会留下地理指纹：在一系列具有随机大陆的气候模拟中，温度控制的风化依赖于热带陆地比例，而水文控制的风化依赖于大陆破碎度。更强的风化会移除更多二氧化碳使行星冷却，因此每种机制都预测温度与其控制性地理因素之间存在反相关。跨越4.8亿年的全球温度重建与热带陆地比例呈反相关，但在大约2.95亿至2亿年前——与超大陆泛古陆重叠的时期——温度与大陆破碎度呈反相关。因此，稳定地球气候的机制可能发生了演化，其中温度控制在大部分时期显然占主导地位。</w:t>
      </w:r>
    </w:p>
    <w:p>
      <w:pPr>
        <w:spacing w:before="0" w:after="200" w:lineRule="auto" w:line="276"/>
      </w:pPr>
      <w:r>
        <w:rPr>
          <w:b/>
        </w:rPr>
        <w:t xml:space="preserve">Abstract (EN): </w:t>
      </w:r>
      <w:r>
        <w:t>Earth’s climate has remained habitable for billions of years, a stability usually attributed to a negative feedback from silicate weathering – the chemical breakdown of silicate rocks on land, which consumes atmospheric carbon dioxide faster as climate warms. However, whether temperature or hydrology primarily drives this feedback remains uncertain. Here we show the two controls leave geographic fingerprints: in an ensemble of climate simulations with randomized continents, temperature-controlled weathering depends on tropical land fraction, whereas hydrology-controlled weathering depends on continental fragmentation. Stronger weathering removes more carbon dioxide, cooling the planet, so each regime predicts anti-correlation between temperature and its controlling geography. Reconstructed global temperatures spanning 480 million years are anti-correlated with tropical land fraction, except from roughly 295 to 200 million years ago – overlapping the supercontinent Pangea – when they anti-correlate with continental fragmentation. The mechanism stabilizing Earth’s climate may thus have evolved, with temperature control apparently dominant for most of this period.</w:t>
      </w:r>
    </w:p>
    <w:p>
      <w:pPr>
        <w:spacing w:before="120" w:after="120"/>
      </w:pPr>
      <w:r>
        <w:rPr>
          <w:sz w:val="18"/>
        </w:rPr>
        <w:t>——————————————————————————————————————————————————————————————————————</w:t>
      </w:r>
    </w:p>
    <w:p>
      <w:pPr>
        <w:spacing w:before="160" w:after="40" w:line="240" w:lineRule="auto"/>
      </w:pPr>
      <w:r>
        <w:rPr>
          <w:b/>
        </w:rPr>
        <w:t xml:space="preserve">[1287] </w:t>
      </w:r>
      <w:hyperlink r:id="rId2191">
        <w:r>
          <w:rPr>
            <w:color w:val="1155CC"/>
            <w:u w:val="single"/>
          </w:rPr>
          <w:t>作者更正：用于口服递送的多细胞自组织益生菌平台增强肠道定植</w:t>
        </w:r>
      </w:hyperlink>
    </w:p>
    <w:p>
      <w:pPr>
        <w:spacing w:before="0" w:after="80"/>
      </w:pPr>
      <w:r>
        <w:rPr>
          <w:i/>
          <w:sz w:val="20"/>
        </w:rPr>
        <w:t>EN: Author Correction: A multicellular self-organized probiotic platform for oral delivery enhances intestinal colonization</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[1288] </w:t>
      </w:r>
      <w:hyperlink r:id="rId2192">
        <w:r>
          <w:rPr>
            <w:color w:val="1155CC"/>
            <w:u w:val="single"/>
          </w:rPr>
          <w:t>作者更正：HTLV-1A/C感染猕猴肺部Rex-orf-I和HBZ mRNA高表达及支气管扩张</w:t>
        </w:r>
      </w:hyperlink>
    </w:p>
    <w:p>
      <w:pPr>
        <w:spacing w:before="0" w:after="80"/>
      </w:pPr>
      <w:r>
        <w:rPr>
          <w:i/>
          <w:sz w:val="20"/>
        </w:rPr>
        <w:t>EN: Author Correction: High expression of Rex-orf-I and HBZ mRNAs and bronchiectasis in lung of HTLV-1A/C infected macaques</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[1289] </w:t>
      </w:r>
      <w:hyperlink r:id="rId2193">
        <w:r>
          <w:rPr>
            <w:color w:val="1155CC"/>
            <w:u w:val="single"/>
          </w:rPr>
          <w:t>空间转录组学中感知微环境的转录组重构</w:t>
        </w:r>
      </w:hyperlink>
    </w:p>
    <w:p>
      <w:pPr>
        <w:spacing w:before="0" w:after="80"/>
      </w:pPr>
      <w:r>
        <w:rPr>
          <w:i/>
          <w:sz w:val="20"/>
        </w:rPr>
        <w:t>EN: Microenvironment-aware transcriptome reconstruction in spatial transcriptomics</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基于成像的空间转录组学提供了单细胞分辨率，但仍局限于靶向基因面板，使转录组的很大一部分和细胞状态变异未被观测。现有方法主要通过空间数据与参考数据集之间的转录比对来推断未测量的基因，这可有效恢复广泛的细胞身份，但可能无法完全捕获细胞类型内依赖情境的变异。在此，我们表明局部微环境组织与细胞身份之外的转录变异相关联，并为转录组重建提供了互补约束。基于这一观察，我们提出Emerge，这是一个感知微环境的框架，将转录身份与局部微环境相结合以重建转录组规模的表达。在跨越神经和肿瘤生态系统的MERFISH和Xenium数据集中，我们表明Emerge改进了对结构性转录变异的恢复，并揭示了细胞状态、生态龛位和细胞间通讯程序之间的协调关系，而这些关系仅被靶向基因面板部分捕获。总之，我们证明Emerge将转录组重建从基因补全扩展到对细胞状态的情境感知恢复。</w:t>
      </w:r>
    </w:p>
    <w:p>
      <w:pPr>
        <w:spacing w:before="0" w:after="200" w:lineRule="auto" w:line="276"/>
      </w:pPr>
      <w:r>
        <w:rPr>
          <w:b/>
        </w:rPr>
        <w:t xml:space="preserve">Abstract (EN): </w:t>
      </w:r>
      <w:r>
        <w:t>Imaging-based spatial transcriptomics provides single-cell resolution, but remains limited to targeted gene panels, leaving much of the transcriptome and cellular-state variation unobserved. Existing approaches infer unmeasured genes primarily through transcriptional alignment between spatial and reference datasets, which effectively recover broad cell identities, but may not fully capture context-dependent variation within cell types. Here we show that local microenvironmental organization is associated with transcriptional variation beyond cell identity and provides complementary constraints for transcriptome reconstruction. Based on this observation, we present Emerge, a microenvironment-aware framework that integrates transcriptional identity with the local microenvironment to reconstruct transcriptome-scale expression. Across MERFISH and Xenium datasets spanning neural and tumor ecosystems, we show that Emerge improves recovery of structured transcriptional variation and reveals coordinated relationships among cellular states, ecological niches and intercellular communication programs that are only partially captured by targeted gene panels. Together, we demonstrate that Emerge extends transcriptome reconstruction from gene completion to context-aware recovery of cellular states.</w:t>
      </w:r>
    </w:p>
    <w:p>
      <w:pPr>
        <w:spacing w:before="120" w:after="120"/>
      </w:pPr>
      <w:r>
        <w:rPr>
          <w:sz w:val="18"/>
        </w:rPr>
        <w:t>——————————————————————————————————————————————————————————————————————</w:t>
      </w:r>
    </w:p>
    <w:p>
      <w:pPr>
        <w:spacing w:before="160" w:after="40" w:line="240" w:lineRule="auto"/>
      </w:pPr>
      <w:r>
        <w:rPr>
          <w:b/>
        </w:rPr>
        <w:t xml:space="preserve">[1290] </w:t>
      </w:r>
      <w:hyperlink r:id="rId2194">
        <w:r>
          <w:rPr>
            <w:color w:val="1155CC"/>
            <w:u w:val="single"/>
          </w:rPr>
          <w:t>抑制性辅助亚基及癫痫相关疾病突变对AMPA受体激活的调控</w:t>
        </w:r>
      </w:hyperlink>
    </w:p>
    <w:p>
      <w:pPr>
        <w:spacing w:before="0" w:after="80"/>
      </w:pPr>
      <w:r>
        <w:rPr>
          <w:i/>
          <w:sz w:val="20"/>
        </w:rPr>
        <w:t>EN: Tuning of AMPA receptor activation by inhibitory auxiliary subunits and epilepsy-associated disease mutations</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AMPA受体（AMPARs）促进兴奋性神经传递，并与神经系统和神经精神疾病相关。神经递质谷氨酸的结合触发AMPAR激活，该过程受增强型和抑制型辅助亚基的调节。尽管增强型辅助亚基的调节作用已被广泛研究，但涉及抑制型亚基的激活过程尚未被考察。本文报道了激活态GluA2 AMPAR单独存在及与抑制型亚基GSG1L或γ5形成复合物的结构。我们的结果表明，门控动力学强烈依赖于辅助亚基的种类，而孔径和电导则不然。我们发现，若辅助亚基在激活过程中促进两个配体结合域二聚体之间界面的收紧，则受体的失活会变慢。此外，我们对癫痫相关疾病突变对AMPAR激活和脱敏动力学的影响进行了功能表征，其影响强烈依赖于所结合辅助亚基的类型。因此，在设计靶向AMPAR的疗法时，必须考虑辅助亚基的调节作用。</w:t>
      </w:r>
    </w:p>
    <w:p>
      <w:pPr>
        <w:spacing w:before="0" w:after="200" w:lineRule="auto" w:line="276"/>
      </w:pPr>
      <w:r>
        <w:rPr>
          <w:b/>
        </w:rPr>
        <w:t xml:space="preserve">Abstract (EN): </w:t>
      </w:r>
      <w:r>
        <w:t>AMPA receptors (AMPARs) facilitate excitatory neurotransmission and are implicated in neurological and neuropsychiatric disorders. Binding of the neurotransmitter glutamate triggers AMPAR activation, which is modulated by potentiating and inhibitory auxiliary subunits. While modulation by potentiating auxiliary subunits has been studied extensively, activation involving inhibitory subunits has not been examined. Here, we present structures of the activated GluA2 AMPAR alone and in complex with inhibitory subunits GSG1L or γ5. Our results suggest that gating kinetics strongly depend on auxiliary subunit identity, while pore size and conductance do not. We find that receptor deactivation becomes slower if an auxiliary subunit promotes tightening of the interface between two ligand-binding domain dimers during activation. In addition, we functionally characterize the effects of epilepsy-associated disease mutations on AMPAR activation and desensitization kinetics, displaying strong dependence on the type of bound auxiliary subunit. Modulation by auxiliary subunits therefore has to be considered when designing AMPAR-targeting therapeutics.</w:t>
      </w:r>
    </w:p>
    <w:p>
      <w:pPr>
        <w:spacing w:before="120" w:after="120"/>
      </w:pPr>
      <w:r>
        <w:rPr>
          <w:sz w:val="18"/>
        </w:rPr>
        <w:t>——————————————————————————————————————————————————————————————————————</w:t>
      </w:r>
    </w:p>
    <w:p>
      <w:pPr>
        <w:spacing w:before="160" w:after="40" w:line="240" w:lineRule="auto"/>
      </w:pPr>
      <w:r>
        <w:rPr>
          <w:b/>
        </w:rPr>
        <w:t xml:space="preserve">[1291] </w:t>
      </w:r>
      <w:hyperlink r:id="rId2195">
        <w:r>
          <w:rPr>
            <w:color w:val="1155CC"/>
            <w:u w:val="single"/>
          </w:rPr>
          <w:t>多个重叠的SNARE复合体驱动果蝇肾细胞的内体成熟</w:t>
        </w:r>
      </w:hyperlink>
    </w:p>
    <w:p>
      <w:pPr>
        <w:spacing w:before="0" w:after="80"/>
      </w:pPr>
      <w:r>
        <w:rPr>
          <w:i/>
          <w:sz w:val="20"/>
        </w:rPr>
        <w:t>EN: Multiple overlapping SNARE complexes drive endosome maturation in Drosophila nephrocytes</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内体成熟决定了内吞货物是被循环还是被降解，但调控早期内体融合的逻辑仍未被完全阐明。尽管通常被描述为由单一SNARE通路介导的线性Rab5向Rab7转变，我们表明早期内体成熟是由多个平行且不可互换的SNARE复合物驱动的。利用果蝇肾细胞作为易于研究的体内模型，我们定义了一个介导同型早期内体融合的Syx12L–Snap29–Ykt6复合物，并鉴定了两个相关的组装体——Syx7L–Snap29–Ykt6和Syx7L–Snap29–Vamp7——它们以不同的Rab需求促进后续的内体和溶酶体融合。当经典的Syx12L通路被破坏时，替代复合物仍保持活性并产生异常的内溶酶体漩涡，这些漩涡在Rab5或早期内体系链缺失时也会形成。因此，不依赖Rab5的膜向溶酶体的进程持续存在，但不足以产生功能完全的降解性细胞器。总之，我们的发现揭示了内体成熟背后的平行融合通路网络。</w:t>
      </w:r>
    </w:p>
    <w:p>
      <w:pPr>
        <w:spacing w:before="0" w:after="200" w:lineRule="auto" w:line="276"/>
      </w:pPr>
      <w:r>
        <w:rPr>
          <w:b/>
        </w:rPr>
        <w:t xml:space="preserve">Abstract (EN): </w:t>
      </w:r>
      <w:r>
        <w:t>Endosomal maturation determines whether internalized cargo is recycled or degraded, yet the logic governing early endosomal fusion remains incompletely defined. Although commonly depicted as a linear Rab5-to-Rab7 transition mediated by a single SNARE pathway, we show that early endosome maturation is driven by multiple parallel, non-interchangeable SNARE complexes. Using Drosophila nephrocytes as a tractable in vivo model, we define a Syx12L–Snap29–Ykt6 complex that mediates homotypic early endosomal fusion and identify two related assemblies–Syx7L–Snap29–Ykt6 and Syx7L–Snap29–Vamp7–that promote later endosomal and lysosomal fusion with distinct Rab requirements. When the canonical Syx12L pathway is disrupted, alternative complexes remain active and generate aberrant endolysosomal swirls which also form in the absence of Rab5 or early endosomal tethers. Thus, Rab5-independent membrane progression toward lysosomes persists but is insufficient to produce fully functional degradative organelles. Together, our findings reveal a network of parallel fusion pathways underlying endosome maturation.</w:t>
      </w:r>
    </w:p>
    <w:p>
      <w:pPr>
        <w:spacing w:before="120" w:after="120"/>
      </w:pPr>
      <w:r>
        <w:rPr>
          <w:sz w:val="18"/>
        </w:rPr>
        <w:t>——————————————————————————————————————————————————————————————————————</w:t>
      </w:r>
    </w:p>
    <w:p>
      <w:pPr>
        <w:spacing w:before="160" w:after="40" w:line="240" w:lineRule="auto"/>
      </w:pPr>
      <w:r>
        <w:rPr>
          <w:b/>
        </w:rPr>
        <w:t xml:space="preserve">[1292] </w:t>
      </w:r>
      <w:hyperlink r:id="rId2196">
        <w:r>
          <w:rPr>
            <w:color w:val="1155CC"/>
            <w:u w:val="single"/>
          </w:rPr>
          <w:t>加权切片逆回归用于空间转录组学数据的可扩展有监督降维</w:t>
        </w:r>
      </w:hyperlink>
    </w:p>
    <w:p>
      <w:pPr>
        <w:spacing w:before="0" w:after="80"/>
      </w:pPr>
      <w:r>
        <w:rPr>
          <w:i/>
          <w:sz w:val="20"/>
        </w:rPr>
        <w:t>EN: Weighted sliced inverse regression for scalable supervised dimensionality reduction of spatial transcriptomics data</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随着空间分辨转录组学生物技术的兴起，对所得数据进行空间感知分析对于最大化生物学理解的进展至关重要。降维是大多数空间转录组学数据分析的第一步，而保留基因表达特征总变异的常用方法通常无法保留具有生物学意义的空间变异。为此，我们开发了加权切片逆回归（wSIR），这是一种充分降维技术，旨在保留空间坐标的预测能力。wSIR适用于多种不同的空间转录组数据集，且具有高度可扩展性，在标准笔记本电脑上两分钟内即可处理超过100,000个细胞。其特征载荷具有可解释性，且新的非空间数据可被投影到wSIR的低维空间中进行下游分析。我们通过人类乳腺癌和小鼠早期胚胎发育的两个案例研究检验了wSIR的性能并证明了其生物学相关性。</w:t>
      </w:r>
    </w:p>
    <w:p>
      <w:pPr>
        <w:spacing w:before="0" w:after="200" w:lineRule="auto" w:line="276"/>
      </w:pPr>
      <w:r>
        <w:rPr>
          <w:b/>
        </w:rPr>
        <w:t xml:space="preserve">Abstract (EN): </w:t>
      </w:r>
      <w:r>
        <w:t>With the rise of spatially resolved transcriptomics biotechnologies, performing spatially-aware analysis of the resulting data is crucial to maximise advances in biological understanding. Dimensionality reduction is a first step in most analyses of spatial transcriptomics data, and common approaches that preserve total variation of gene expression features do not usually preserve biologically meaningful spatial variation. To this end, we develop weighted sliced inverse regression (wSIR), a sufficient dimension reduction technique that aims to retain the predictive power of the spatial coordinates. wSIR is applicable to multiple distinct spatial transcriptomic datasets and is highly scalable, with over 100, 000 cells processed in under two minutes on a standard laptop. The feature loadings are interpretable, and new non-spatial data can be projected into wSIR’s low-dimensional space for downstream analyses. We examine wSIR’s performance and demonstrate its biological relevance through two case studies in human breast cancer and mouse early embryonic development.</w:t>
      </w:r>
    </w:p>
    <w:p>
      <w:pPr>
        <w:spacing w:before="120" w:after="120"/>
      </w:pPr>
      <w:r>
        <w:rPr>
          <w:sz w:val="18"/>
        </w:rPr>
        <w:t>——————————————————————————————————————————————————————————————————————</w:t>
      </w:r>
    </w:p>
    <w:p>
      <w:pPr>
        <w:spacing w:before="160" w:after="40" w:line="240" w:lineRule="auto"/>
      </w:pPr>
      <w:r>
        <w:rPr>
          <w:b/>
        </w:rPr>
        <w:t xml:space="preserve">[1293] </w:t>
      </w:r>
      <w:hyperlink r:id="rId2197">
        <w:r>
          <w:rPr>
            <w:color w:val="1155CC"/>
            <w:u w:val="single"/>
          </w:rPr>
          <w:t>作者更正-含更新(U+C)：微型多用途基因组调控TnpB-ωRNA工具 kit 促进肿瘤免疫治疗</w:t>
        </w:r>
      </w:hyperlink>
    </w:p>
    <w:p>
      <w:pPr>
        <w:spacing w:before="0" w:after="80"/>
      </w:pPr>
      <w:r>
        <w:rPr>
          <w:i/>
          <w:sz w:val="20"/>
        </w:rPr>
        <w:t>EN: Author Correction - with Update (U+C): Miniature and versatile genome regulation TnpB-ωRNA toolkits facilitate cancer immunotherapy</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[1294] </w:t>
      </w:r>
      <w:hyperlink r:id="rId2198">
        <w:r>
          <w:rPr>
            <w:color w:val="1155CC"/>
            <w:u w:val="single"/>
          </w:rPr>
          <w:t>利用嵌入式伊辛机实现动态离散环境的实时黑箱优化</w:t>
        </w:r>
      </w:hyperlink>
    </w:p>
    <w:p>
      <w:pPr>
        <w:spacing w:before="0" w:after="80"/>
      </w:pPr>
      <w:r>
        <w:rPr>
          <w:i/>
          <w:sz w:val="20"/>
        </w:rPr>
        <w:t>EN: Real-time black-box optimization for dynamic discrete environments using embedded Ising machines</w:t>
      </w:r>
    </w:p>
    <w:p>
      <w:pPr>
        <w:spacing w:before="0" w:after="120"/>
      </w:pPr>
      <w:r>
        <w:rPr>
          <w:b/>
        </w:rPr>
        <w:t xml:space="preserve">Source: </w:t>
      </w:r>
      <w:r>
        <w:t>Physical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许多实时系统需要对离散变量进行优化。黑箱优化（BBO）算法和多臂老虎机（MAB）算法通过反复执行动作并观测相应的即时奖励、在没有任何先验知识的情况下进行优化。最近，有研究提出了一种利用Ising机的BBO方法，用于寻找由离散值组合表示的最佳动作，并在静态环境中最大化即时奖励。相比之下，实时系统运行于动态环境中，需要在反复试验中最大化平均奖励的MAB算法。由于离散优化的组合特性导致动作数量极其庞大，传统MAB算法无法在动态离散环境中有效地优化动作。在此，我们展示了一种通过扩展上述BBO方法来最大化动态离散环境平均奖励的启发式方法，其中Ising机在考虑变量间相互作用和环境变化的同时高效地探索动作。我们在具有移动用户的无线通信系统中验证了该方法对动态环境的适应性。</w:t>
      </w:r>
    </w:p>
    <w:p>
      <w:pPr>
        <w:spacing w:before="0" w:after="200" w:lineRule="auto" w:line="276"/>
      </w:pPr>
      <w:r>
        <w:rPr>
          <w:b/>
        </w:rPr>
        <w:t xml:space="preserve">Abstract (EN): </w:t>
      </w:r>
      <w:r>
        <w:t>Many real-time systems require the optimization of discrete variables. Black-box optimization (BBO) algorithms and multi-armed bandit (MAB) algorithms perform optimization by repeatedly taking actions and observing the corresponding immediate rewards without any prior knowledge. Recently, a BBO method using an Ising machine has been proposed to find the best action represented by a combination of discrete values and maximize the immediate reward in static environments. By contrast, real-time systems operate in dynamic environments and necessitate MAB algorithms that maximize the average reward over repeated trials. Due to the enormous number of actions resulting from the combinatorial nature of discrete optimization, conventional MAB algorithms cannot effectively optimize actions for dynamic, discrete environments. Here, we show a heuristic method to maximize the average reward for dynamic discrete environments by extending the BBO method, in which an Ising machine efficiently explores actions while accounting for interactions between variables and environmental changes. We demonstrate the adaptability to dynamic environments of the proposed method in a wireless communication system with moving users.</w:t>
      </w:r>
    </w:p>
    <w:p>
      <w:pPr>
        <w:spacing w:before="120" w:after="120"/>
      </w:pPr>
      <w:r>
        <w:rPr>
          <w:sz w:val="18"/>
        </w:rPr>
        <w:t>——————————————————————————————————————————————————————————————————————</w:t>
      </w:r>
    </w:p>
    <w:p>
      <w:pPr>
        <w:spacing w:before="160" w:after="40" w:line="240" w:lineRule="auto"/>
      </w:pPr>
      <w:r>
        <w:rPr>
          <w:b/>
        </w:rPr>
        <w:t xml:space="preserve">[1295] </w:t>
      </w:r>
      <w:hyperlink r:id="rId2199">
        <w:r>
          <w:rPr>
            <w:color w:val="1155CC"/>
            <w:u w:val="single"/>
          </w:rPr>
          <w:t>利用银纳米团簇实现海水淡化与灭菌的相互强化</w:t>
        </w:r>
      </w:hyperlink>
    </w:p>
    <w:p>
      <w:pPr>
        <w:spacing w:before="0" w:after="80"/>
      </w:pPr>
      <w:r>
        <w:rPr>
          <w:i/>
          <w:sz w:val="20"/>
        </w:rPr>
        <w:t>EN: Using Ag nanoclusters to achieve mutually reinforcing water desalination and sterilization</w:t>
      </w:r>
    </w:p>
    <w:p>
      <w:pPr>
        <w:spacing w:before="0" w:after="120"/>
      </w:pPr>
      <w:r>
        <w:rPr>
          <w:b/>
        </w:rPr>
        <w:t xml:space="preserve">Source: </w:t>
      </w:r>
      <w:r>
        <w:t>Earth and environmental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可持续的水净化需要同时实现脱盐和消毒，但由于两个过程之间的相互干扰，一体化解决方案仍具挑战性。在此，我们报道了一种由合理设计的双功能阳极——嵌入碳纳米纤维中的银纳米簇（Ag NCs@CNF）——驱动的同步电容脱盐-杀菌（CDIS）系统。该电极独特地将高效的氯离子存储与类分子电催化活性相结合，通过原位产生活性物种（RS），实现高容量脱盐（84.25 mgCl g−1）与完全杀菌（&gt;4.0 log降低，检测限）的同步进行。除性能之外，我们还对电容系统中的微生物-离子动力学提供了明确的机制认识。与空间竞争范式相反，我们揭示性能衰减主要源于活菌的静电屏蔽，而失活细胞则经历消除屏蔽的碎片化-聚集过程。值得注意的是，细菌失活通过清除RS和减轻阳极氧化进一步提高了循环稳定性。这项工作建立了一个高效的集成电化学净化平台，并为设计可持续水处理技术提供了理论框架。</w:t>
      </w:r>
    </w:p>
    <w:p>
      <w:pPr>
        <w:spacing w:before="0" w:after="200" w:lineRule="auto" w:line="276"/>
      </w:pPr>
      <w:r>
        <w:rPr>
          <w:b/>
        </w:rPr>
        <w:t xml:space="preserve">Abstract (EN): </w:t>
      </w:r>
      <w:r>
        <w:t>Sustainable water purification requires simultaneous desalination and disinfection, yet integrated solutions remain challenging due to mutual interference between the two processes. Here, we report a synchronous capacitive desalination-sterilization (CDIS) system driven by a rationally engineered dual-functional anode of silver nanoclusters embedded in carbon nanofibers (Ag NCs@CNF). This electrode uniquely combines efficient chloride-ion storage with molecular-ike electrocatalytic activity, enabling concurrent high-capacity desalination (84.25 mgCl g−1) and complete sterilization ( &gt; 4.0 log reduction, detection limit) via in situ reactive species (RS) generation. Beyond performance, we provide the unambiguous mechanistic insight into microbe-ion dynamics in capacitive systems. Contrary to the spatial-competition paradigm, we reveal that performance decay primarily stems from electrostatic shielding by live bacteria, while inactivated cells undergo a fragmentation-aggregation process that eliminates shielding. Remarkably, bacterial inactivation further enhances cycling stability by scavenging RS and mitigating anode oxidation. This work establishes an efficient integrated electrochemical purification platform and offers a theoretical framework for designing sustainable water-treatment technologies.</w:t>
      </w:r>
    </w:p>
    <w:p>
      <w:pPr>
        <w:spacing w:before="120" w:after="120"/>
      </w:pPr>
      <w:r>
        <w:rPr>
          <w:sz w:val="18"/>
        </w:rPr>
        <w:t>——————————————————————————————————————————————————————————————————————</w:t>
      </w:r>
    </w:p>
    <w:p>
      <w:pPr>
        <w:spacing w:before="160" w:after="40" w:line="240" w:lineRule="auto"/>
      </w:pPr>
      <w:r>
        <w:rPr>
          <w:b/>
        </w:rPr>
        <w:t xml:space="preserve">[1296] </w:t>
      </w:r>
      <w:hyperlink r:id="rId2200">
        <w:r>
          <w:rPr>
            <w:color w:val="1155CC"/>
            <w:u w:val="single"/>
          </w:rPr>
          <w:t>巨型反对称交换驱动的非共线笼目磁体</w:t>
        </w:r>
      </w:hyperlink>
    </w:p>
    <w:p>
      <w:pPr>
        <w:spacing w:before="0" w:after="80"/>
      </w:pPr>
      <w:r>
        <w:rPr>
          <w:i/>
          <w:sz w:val="20"/>
        </w:rPr>
        <w:t>EN: Noncollinear kagome magnet driven by giant antisymmetric exchange</w:t>
      </w:r>
    </w:p>
    <w:p>
      <w:pPr>
        <w:spacing w:before="0" w:after="120"/>
      </w:pPr>
      <w:r>
        <w:rPr>
          <w:b/>
        </w:rPr>
        <w:t xml:space="preserve">Source: </w:t>
      </w:r>
      <w:r>
        <w:t>Physical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Kagome 晶格具有量子自旋液体、拓扑韦尔节点和平带等奇异现象。由于关于其磁性特性的报道相互矛盾，kagome 铁磁体 Co3Sn2S2 一直是争论的焦点。在这里，我们使用弱微扰探针（主要是中子散射和穆斯堡尔谱）确定其基态和磁哈密顿量。自旋波谱由一个简单的哈密顿量再现，该哈密顿量由一个大的面内最近邻海森堡相互作用 J 和大约是 J 的三分之一的反对称 Dzyaloshinskii-Moriya 相互作用控制。这个哈密顿量产生一个倾斜的非共线铁磁基态，具有伞形结构，我们的数据显示在低于 TC 的所有温度下都是真实的基态。此外，高于 TC 的自旋敏感性表现出降低的临界指数，类似于其他自旋各向异性系统。我们的研究结果解释了 Co3Sn2S2 的非常规磁性，包括巨大的反常霍尔效应和手性声子的起源。</w:t>
      </w:r>
    </w:p>
    <w:p>
      <w:pPr>
        <w:spacing w:before="0" w:after="200" w:lineRule="auto" w:line="276"/>
      </w:pPr>
      <w:r>
        <w:rPr>
          <w:b/>
        </w:rPr>
        <w:t xml:space="preserve">Abstract (EN): </w:t>
      </w:r>
      <w:r>
        <w:t>Kagome lattices host exotic phenomena such as quantum spin liquids, topological Weyl nodes, and flat bands. The kagome ferromagnet Co3Sn2S2 has been a focus of debate due to conflicting reports on its magnetic character. Here, using weakly perturbative probes—primarily neutron scattering and Mössbauer spectroscopy—we determine its ground state and magnetic Hamiltonian. The spin wave spectrum is reproduced by a simple Hamiltonian dominated by a large in-plane nearest-neighbor Heisenberg interaction J and an antisymmetric Dzyaloshinskii-Moriya interaction that is roughly one third of J. This Hamiltonian yields a canted, noncollinear ferromagnetic ground state with an umbrella-type structure, which our data show to be the true ground state at all temperatures below TC. Additionally, the spin susceptibility above TC exhibits a reduced critical exponent, akin to other spin-anisotropic systems. Our findings explain the unconventional magnetism in Co3Sn2S2, including the giant anomalous Hall effect and the origin of chiral phonons.</w:t>
      </w:r>
    </w:p>
    <w:p>
      <w:pPr>
        <w:spacing w:before="120" w:after="120"/>
      </w:pPr>
      <w:r>
        <w:rPr>
          <w:sz w:val="18"/>
        </w:rPr>
        <w:t>——————————————————————————————————————————————————————————————————————</w:t>
      </w:r>
    </w:p>
    <w:p>
      <w:pPr>
        <w:spacing w:before="160" w:after="40" w:line="240" w:lineRule="auto"/>
      </w:pPr>
      <w:r>
        <w:rPr>
          <w:b/>
        </w:rPr>
        <w:t xml:space="preserve">[1297] </w:t>
      </w:r>
      <w:hyperlink r:id="rId2201">
        <w:r>
          <w:rPr>
            <w:color w:val="1155CC"/>
            <w:u w:val="single"/>
          </w:rPr>
          <w:t>界面氢化物转移用于水的脱卤反应</w:t>
        </w:r>
      </w:hyperlink>
    </w:p>
    <w:p>
      <w:pPr>
        <w:spacing w:before="0" w:after="80"/>
      </w:pPr>
      <w:r>
        <w:rPr>
          <w:i/>
          <w:sz w:val="20"/>
        </w:rPr>
        <w:t>EN: Interfacial hydride transfer for dehalogenation with water</w:t>
      </w:r>
    </w:p>
    <w:p>
      <w:pPr>
        <w:spacing w:before="0" w:after="120"/>
      </w:pPr>
      <w:r>
        <w:rPr>
          <w:b/>
        </w:rPr>
        <w:t xml:space="preserve">Source: </w:t>
      </w:r>
      <w:r>
        <w:t>Earth and environmental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通过用水加氢脱卤来还原有机卤化物对于环境和化学工业至关重要。传统的加氢脱卤通过电子转移途径（例如逐步电子/氢自由基转移，或质子化后的双电子转移）进行，这通常受到有限的脱卤动力学和选择性的阻碍。虽然还原性氢化物（Hδ−）物质的界面转移呈现出引人注目的协同双电子途径，但其应用受到温和条件下难以形成表面氢化物的限制。在这里，我们通过开发机械化学活化的零价铁（ZVI）克服了这一挑战，该零价铁在微量水存在下产生反应性氢化硅（Si–Hδ⁻）物质。微量水诱导 ZVI 腐蚀产生 H2，H2 被原位形成的表面 Siδ+–Oδ⁻ 路易斯对异解裂解，产生亲核 Si–Hδ⁻ 基序。这些基序驱动直接界面氢化物转移，以实现高效加氢脱卤和区域选择性氘化，其速率常数比 ZVI 上传统的基于自由基的氢转移大 2-50 倍。氢化物供体的水介导再生能够对实际卤化地下水进行连续流动净化，并将有机卤化物增值为高纯度氘代产品，选择性为 93.4%。这项工作提出了一个有前途的机械化学平台，提出了一种更可持续的有机卤化物选择性加氢脱卤方法。</w:t>
      </w:r>
    </w:p>
    <w:p>
      <w:pPr>
        <w:spacing w:before="0" w:after="200" w:lineRule="auto" w:line="276"/>
      </w:pPr>
      <w:r>
        <w:rPr>
          <w:b/>
        </w:rPr>
        <w:t xml:space="preserve">Abstract (EN): </w:t>
      </w:r>
      <w:r>
        <w:t>Reductive dehalogenation of organohalides through hydrodehalogenation with water is critical for environmental and chemical industries. Conventional hydrodehalogenation proceeds via electron transfer pathways (e.g., stepwise electron/hydrogen radical transfer, or two-electron transfer followed by protonation), which are often hampered by limited dehalogenation kinetics and selectivity. While the interfacial transfer of reductive hydride (Hδ−) species presents a compelling concerted two-electron pathway, its application has been constrained by the difficult surface hydride formation under mild conditions. Here, we overcome this challenge by developing mechanochemically activated zero-valent iron (ZVI) that generates reactive silicon-hydride (Si–Hδ⁻) species in the presence of trace water. Trace water induces ZVI corrosion to produce H2, which is heterolytically cleaved by in situ formed surface Siδ+–Oδ⁻ Lewis pairs, yielding nucleophilic Si–Hδ⁻ motifs. These motifs drive direct interfacial hydride transfer for highly efficient hydrodehalogenation and regioselective deuteration with rate constants 2-50 times greater than conventional radical-based hydrogen transfer on ZVI. The water-mediated regeneration of the hydride donor enables continuous-flow decontamination of actual halogenated groundwater and valorization of organohalides into high-purity deuterated products with selectivity of 93.4%. This work presents a promising mechanochemical platform that suggests a more sustainable approach for selective hydrodehalogenation of organohalides.</w:t>
      </w:r>
    </w:p>
    <w:p>
      <w:pPr>
        <w:spacing w:before="120" w:after="120"/>
      </w:pPr>
      <w:r>
        <w:rPr>
          <w:sz w:val="18"/>
        </w:rPr>
        <w:t>——————————————————————————————————————————————————————————————————————</w:t>
      </w:r>
    </w:p>
    <w:p>
      <w:pPr>
        <w:spacing w:before="160" w:after="40" w:line="240" w:lineRule="auto"/>
      </w:pPr>
      <w:r>
        <w:rPr>
          <w:b/>
        </w:rPr>
        <w:t xml:space="preserve">[1298] </w:t>
      </w:r>
      <w:hyperlink r:id="rId2202">
        <w:r>
          <w:rPr>
            <w:color w:val="1155CC"/>
            <w:u w:val="single"/>
          </w:rPr>
          <w:t>通过定制氮–氮键构建普遍合成唑类化合物</w:t>
        </w:r>
      </w:hyperlink>
    </w:p>
    <w:p>
      <w:pPr>
        <w:spacing w:before="0" w:after="80"/>
      </w:pPr>
      <w:r>
        <w:rPr>
          <w:i/>
          <w:sz w:val="20"/>
        </w:rPr>
        <w:t>EN: General access to azoles through tailored nitrogen–nitrogen bond construction</w:t>
      </w:r>
    </w:p>
    <w:p>
      <w:pPr>
        <w:spacing w:before="0" w:after="120"/>
      </w:pPr>
      <w:r>
        <w:rPr>
          <w:b/>
        </w:rPr>
        <w:t xml:space="preserve">Source: </w:t>
      </w:r>
      <w:r>
        <w:t>Physical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含有氮-氮键的环状化合物由于其独特的结构和多种化学性质，在化学和药理学中具有非常重要的意义。各种可用的环状氮-含氮化合物由于其稳定性、反应性和生物活性而提供了多种应用，使它们成为从材料科学到药物化学等各种应用的有吸引力的目标。在材料科学中，它们的光学和电子特性使其可用于染料、颜料和光响应材料，在药物化学中，它们为创造具有特定生物功能的药物提供了基础支架，特别是在靶向核酸、酶和受体方面。然而，能够直接构建关键氮-氮键的技术却难以捉摸。在这里，通过公开一种定制的铜介导技术来解决这一限制，该技术能够从常用试剂直接形成氮-氮键。据信，所开发的过程通过脱羧骨架编辑途径进行，涉及碳-氮键断裂和氮-氮键构建，提供了一种模块化方法，可以直接获得广泛的装饰含氮杂环支架以供广泛采用。</w:t>
      </w:r>
    </w:p>
    <w:p>
      <w:pPr>
        <w:spacing w:before="0" w:after="200" w:lineRule="auto" w:line="276"/>
      </w:pPr>
      <w:r>
        <w:rPr>
          <w:b/>
        </w:rPr>
        <w:t xml:space="preserve">Abstract (EN): </w:t>
      </w:r>
      <w:r>
        <w:t>Cyclic compounds containing a nitrogen-nitrogen bond are highly significant in chemistry and pharmacology due to their unique structures and versatile chemical properties. The diverse range of available cyclic nitrogen–nitrogen containing compounds offers numerous applications due to their stability, reactivity, and biological activity, making them attractive targets for diverse applications, from materials science to medicinal chemistry. In materials science, their optical and electronic properties make them useful in dyes, pigments, and photoresponsive materials and in medicinal chemistry they provide a foundational scaffold for creating drugs with specific biological functions, particularly in targeting nucleic acids, enzymes, and receptors. However, technologies that enable direct construction of the key nitrogen–nitrogen bond are elusive. Here, this limitation is addressed by disclosing a tailored copper-mediated technology that enables direct nitrogen–nitrogen bond formation from prevalent reagents. The developed process is believed to proceed through a decarboxylative skeletal editing pathway involving both carbon–nitrogen bond cleavage and nitrogen–nitrogen bond construction, offering a modular approach for straightforward access to a wide set of decorated nitrogen-containing heterocyclic scaffolds for widespread adoption.</w:t>
      </w:r>
    </w:p>
    <w:p>
      <w:pPr>
        <w:spacing w:before="120" w:after="120"/>
      </w:pPr>
      <w:r>
        <w:rPr>
          <w:sz w:val="18"/>
        </w:rPr>
        <w:t>——————————————————————————————————————————————————————————————————————</w:t>
      </w:r>
    </w:p>
    <w:p>
      <w:pPr>
        <w:spacing w:before="160" w:after="40" w:line="240" w:lineRule="auto"/>
      </w:pPr>
      <w:r>
        <w:rPr>
          <w:b/>
        </w:rPr>
        <w:t xml:space="preserve">[1299] </w:t>
      </w:r>
      <w:hyperlink r:id="rId2203">
        <w:r>
          <w:rPr>
            <w:color w:val="1155CC"/>
            <w:u w:val="single"/>
          </w:rPr>
          <w:t>人源NHE6和NHE9的高分辨率结构阐明内体离子与脂质相互作用</w:t>
        </w:r>
      </w:hyperlink>
    </w:p>
    <w:p>
      <w:pPr>
        <w:spacing w:before="0" w:after="80"/>
      </w:pPr>
      <w:r>
        <w:rPr>
          <w:i/>
          <w:sz w:val="20"/>
        </w:rPr>
        <w:t>EN: High-resolution structures of human NHE6 and NHE9 elucidate endosomal ion and lipid interactions</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内体 NHE6 (SLC9A6) 和 NHE9 (SLC9A9) 转运蛋白对于维持内体内 pH 稳态至关重要，其功能障碍与神经系统和神经退行性疾病有关。 NHE6 和 NHE9 被广泛认为是电中性交换器，可将质子的输出与跨细胞膜的钠或钾离子的输入耦合起来，从而形成内部 pH 平衡和微调的质子泄漏途径的基础。在已确定的 13 个 SLC9 家族成员中，只有 NHE6 和 NHE9 靶向内体。尽管它们具有生物学重要性和治疗潜力，但其活性和调节的结构基础仍然难以捉摸。在这里，我们展示了人类 NHE9 和 NHE6 的两个剪接变体的冷冻电镜结构，它们的不同之处在于位于跨膜螺旋 2 和 3 之间的包含 β-发夹基序的环结构域的选择性包含，展示了细胞器 NHE 亚家族内的结构多样性。通过绘制钠结合位点图谱，我们的结果提供了离子传输的机制见解，并且对于 NHE6，我们为保守的 PIP2 介导的调节机制提供了证据。这些发现为理解内体 NHE 功能提供了一个框架，并对阿尔茨海默病和胶质母细胞瘤等疾病具有影响。</w:t>
      </w:r>
    </w:p>
    <w:p>
      <w:pPr>
        <w:spacing w:before="0" w:after="200" w:lineRule="auto" w:line="276"/>
      </w:pPr>
      <w:r>
        <w:rPr>
          <w:b/>
        </w:rPr>
        <w:t xml:space="preserve">Abstract (EN): </w:t>
      </w:r>
      <w:r>
        <w:t>Endosomal NHE6 (SLC9A6) and NHE9 (SLC9A9) transporters are essential for maintaining pH homeostasis within endosomes and their dysfunction has been linked to neurological and neurodegenerative disorders. NHE6 and NHE9 are widely considered to function as electroneutral exchangers that couple the export of protons to the import of sodium or potassium ions across cellular membranes, thereby forming the basis of proton leak pathways for internal pH balancing and fine-tuning. Among the 13 identified SLC9 family members, only NHE6 and NHE9 are targeted to endosomes. Despite their biological importance and therapeutic potential, the structural basis for their activity and regulation remains elusive. Here, we present the cryo-EM structures of human NHE9 and two splice variants of NHE6 that differ by alternative inclusion of the β-hairpin motif-containing loop domain located between transmembrane helices 2 and 3, showcasing structural diversity within the organellar NHE subfamily. By mapping the sodium-binding site, our results provide mechanistic insights into ion transport, and for NHE6 we provide evidence for a conserved PIP2-mediated regulatory mechanism. These findings provide a framework for understanding endosomal NHE function with implications for disorders such as Alzheimer’s disease and glioblastoma.</w:t>
      </w:r>
    </w:p>
    <w:p>
      <w:pPr>
        <w:spacing w:before="120" w:after="120"/>
      </w:pPr>
      <w:r>
        <w:rPr>
          <w:sz w:val="18"/>
        </w:rPr>
        <w:t>——————————————————————————————————————————————————————————————————————</w:t>
      </w:r>
    </w:p>
    <w:p>
      <w:pPr>
        <w:spacing w:before="160" w:after="40" w:line="240" w:lineRule="auto"/>
      </w:pPr>
      <w:r>
        <w:rPr>
          <w:b/>
        </w:rPr>
        <w:t xml:space="preserve">[1300] </w:t>
      </w:r>
      <w:hyperlink r:id="rId2204">
        <w:r>
          <w:rPr>
            <w:color w:val="1155CC"/>
            <w:u w:val="single"/>
          </w:rPr>
          <w:t>对代谢环境响应的异质性驱动磷霉素异质性耐药</w:t>
        </w:r>
      </w:hyperlink>
    </w:p>
    <w:p>
      <w:pPr>
        <w:spacing w:before="0" w:after="80"/>
      </w:pPr>
      <w:r>
        <w:rPr>
          <w:i/>
          <w:sz w:val="20"/>
        </w:rPr>
        <w:t>EN: Heterogeneity in the response to the metabolic environment drives fosfomycin heteroresistance</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异质性耐药是抗生素耐药的一种形式，其中表型不稳定的耐药细胞亚群与占多数的敏感菌群共存。许多异质性耐药机制尚不清楚，细胞外环境对该现象的影响也不得而知。在研究阴沟肠杆菌复合群（Enterobacter cloacae complex）对磷霉素的异质性耐药时，我们观察到葡萄糖的可利用性显著增加了耐药亚群的出现频率。葡萄糖通过代谢物阻遏下调了甘油和磷霉素转运蛋白GlpT的表达。异质性耐药由GlpT单细胞表达的异质性以及作为耐药增强因子的fosA表达共同产生。由于环境葡萄糖对glpT表达的影响，我们观察到在高血糖/糖尿病小鼠模型感染期间耐药亚群更为常见。因此，我们揭示了一种范例，即对环境响应的异质性调节了耐药亚群的频率，这提示在治疗决策中应考虑特定疾病状态下感染的代谢背景可能具有重要意义。</w:t>
      </w:r>
    </w:p>
    <w:p>
      <w:pPr>
        <w:spacing w:before="0" w:after="200" w:lineRule="auto" w:line="276"/>
      </w:pPr>
      <w:r>
        <w:rPr>
          <w:b/>
        </w:rPr>
        <w:t xml:space="preserve">Abstract (EN): </w:t>
      </w:r>
      <w:r>
        <w:t>Heteroresistance is a form of antibiotic resistance in which a phenotypically unstable subpopulation of resistant cells coexists with a majority susceptible population. Many mechanisms of heteroresistance are unclear and the impact of the extracellular environment on this phenomenon is unknown. Studying fosfomycin heteroresistance in Enterobacter cloacae complex, we observed that glucose availability greatly increased the frequency of the resistant subpopulation. Glucose downregulated the glycerol and fosfomycin importer GlpT via catabolite repression. Heteroresistance was generated by heterogeneity in single-cell expression of GlpT, in addition to expression of fosA, which acted as a resistance enhancer. Due to the impact of environmental glucose on glpT expression, we observed that the resistant subpopulation was more frequent during infection in murine models of hyperglycemia/diabetes. Thus, we reveal a paradigm where heterogeneity in response to the environment tunes resistant subpopulation frequency, which suggests that the metabolic context of infection in specific disease states may be important to consider in treatment decisions.</w:t>
      </w:r>
    </w:p>
    <w:p>
      <w:pPr>
        <w:spacing w:before="120" w:after="120"/>
      </w:pPr>
      <w:r>
        <w:rPr>
          <w:sz w:val="18"/>
        </w:rPr>
        <w:t>——————————————————————————————————————————————————————————————————————</w:t>
      </w:r>
    </w:p>
    <w:p>
      <w:pPr>
        <w:spacing w:before="160" w:after="40" w:line="240" w:lineRule="auto"/>
      </w:pPr>
      <w:r>
        <w:rPr>
          <w:b/>
        </w:rPr>
        <w:t xml:space="preserve">[1301] </w:t>
      </w:r>
      <w:hyperlink r:id="rId2205">
        <w:r>
          <w:rPr>
            <w:color w:val="1155CC"/>
            <w:u w:val="single"/>
          </w:rPr>
          <w:t>婴儿肠道中微生物来源的色氨酸代谢物与剖宫产后哮喘风险升高相关</w:t>
        </w:r>
      </w:hyperlink>
    </w:p>
    <w:p>
      <w:pPr>
        <w:spacing w:before="0" w:after="80"/>
      </w:pPr>
      <w:r>
        <w:rPr>
          <w:i/>
          <w:sz w:val="20"/>
        </w:rPr>
        <w:t>EN: Microbial-derived tryptophan metabolites in the infant gut associate with increased risk of asthma following cesarean section</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剖宫产（CS）分娩是儿童哮喘的危险因素，也是生命早期肠道微生物组的强决定因素。据报告，受CS扰动的肠道微生物组在CS与哮喘风险的关联中起中介作用。然而，其潜在机制仍不清楚。在此，我们利用加拿大出生队列（CHILD）中深度表型化的参与者，使用机器学习模型表征了3个月和1岁时的CS微生物组成，并用CS评分描述这种扰动。CS与肠道微生物群组成之间的关联在3个月时更为显著（曲线下面积（AUC）=0.78），并在1岁时减弱（AUC=0.60）。5岁时哮喘风险的增加仅与1岁CS微生物评分相关（比值比1.41，P=0.004；校正比值比1.30，P=0.034），这与我们先前的 work 一致。在此基础上，我们鉴定了与1岁CS微生物评分相关的代谢失衡，其特征为粪便代谢组中色氨酸代谢物升高。这些结果重复了我们先前关于1岁CS微生物特征在CS与哮喘风险关联中中介作用的发现（来自丹麦COPSAC2010队列），并为剖宫产后宿主-微生物相互作用的潜在机制提供了新见解。</w:t>
      </w:r>
    </w:p>
    <w:p>
      <w:pPr>
        <w:spacing w:before="0" w:after="200" w:lineRule="auto" w:line="276"/>
      </w:pPr>
      <w:r>
        <w:rPr>
          <w:b/>
        </w:rPr>
        <w:t xml:space="preserve">Abstract (EN): </w:t>
      </w:r>
      <w:r>
        <w:t>Delivery by cesarean section (CS) is a risk factor for childhood asthma and a strong determinant of the early-life gut microbiome. It has been reported that a CS-perturbed gut microbiome plays a mediating role in the association between CS and asthma risk. However, the underlying mechanisms remain unclear. Here, using deeply phenotyped participants in the Canadian birth cohort (CHILD), we characterized the CS microbial composition at 3 months and 1 year of age using machine learning models and described the perturbation using CS scores. The association between CS and the gut microbiota composition was more pronounced at 3 months (area under the curve (AUC) = 0.78) and attenuated at age 1 year (AUC = 0.60). An increased asthma risk at age 5 years was associated only with 1-year CS microbial scores (Odds ratio 1.41, P = 0.004; adjusted odds ratio 1.30, P = 0.034), consistent with our previous work. Extending this, we identified metabolic imbalances associated with 1-year CS microbial scores, marked by elevated tryptophan metabolites in the stool metabolome. These results replicate our previous findings about the mediating role of the 1-year CS microbial signature in the association between CS and asthma risk from the Danish COPSAC2010 cohort, and provide new insight into the underlying mechanism of host-microbe interaction following cesarean section.</w:t>
      </w:r>
    </w:p>
    <w:p>
      <w:pPr>
        <w:spacing w:before="120" w:after="120"/>
      </w:pPr>
      <w:r>
        <w:rPr>
          <w:sz w:val="18"/>
        </w:rPr>
        <w:t>——————————————————————————————————————————————————————————————————————</w:t>
      </w:r>
    </w:p>
    <w:p>
      <w:pPr>
        <w:spacing w:before="160" w:after="40" w:line="240" w:lineRule="auto"/>
      </w:pPr>
      <w:r>
        <w:rPr>
          <w:b/>
        </w:rPr>
        <w:t xml:space="preserve">[1302] </w:t>
      </w:r>
      <w:hyperlink r:id="rId2206">
        <w:r>
          <w:rPr>
            <w:color w:val="1155CC"/>
            <w:u w:val="single"/>
          </w:rPr>
          <w:t>背角沉默神经元的感觉可塑性是神经病理性疼痛的关键机制</w:t>
        </w:r>
      </w:hyperlink>
    </w:p>
    <w:p>
      <w:pPr>
        <w:spacing w:before="0" w:after="80"/>
      </w:pPr>
      <w:r>
        <w:rPr>
          <w:i/>
          <w:sz w:val="20"/>
        </w:rPr>
        <w:t>EN: Sensory plasticity of dorsal horn silent neurons as a critical mechanism for neuropathic pain</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脊髓背角（DH）整合感觉处理，但在神经损伤后经历关键的可塑性变化，导致机械性异常性疼痛，即“触诱发痛”。有观点提出，神经损伤后，由于脊髓抑制性调控的改变，无害性感觉神经元得以进入背角中伤害感受特异性（NS）回路，从而将触觉转化为疼痛。然而，在这些条件下感觉处理如何被重组以产生这一症状仍不清楚。在本研究中，我们利用小鼠双光子钙成像表明，脊髓去抑制或神经损伤将大多数背角兴奋性神经元转变为高度多模态细胞，并揭示了数量空前的先前沉默的神经元对广泛动态范围（WDR）的感觉模态产生反应。通过计算建模，我们进一步表明，神经病理性疼痛可能并非主要源于兴奋性NS神经元向WDR神经元的转化，而是源于这一先前休眠回路的激活。</w:t>
      </w:r>
    </w:p>
    <w:p>
      <w:pPr>
        <w:spacing w:before="0" w:after="200" w:lineRule="auto" w:line="276"/>
      </w:pPr>
      <w:r>
        <w:rPr>
          <w:b/>
        </w:rPr>
        <w:t xml:space="preserve">Abstract (EN): </w:t>
      </w:r>
      <w:r>
        <w:t>The spinal cord dorsal horn (DH) integrates sensory processing but undergoes critical plasticity following nerve injury, leading to mechanical allodynia, or “touch-evoked pain”. It has been proposed that after nerve injury, innocuous sensory neurons gain access to nociceptive-specific (NS) circuits in the DH due to altered spinal inhibitory controls, thereby converting touch into pain. It is however unclear how sensory processing is reorganized under these conditions to generate this symptom. In this study, we used two-photon calcium imaging in mice to show that spinal disinhibition or nerve injury converts most DH excitatory neurons into highly polymodal cells, and unmasks an unprecedented number of previously silent neurons responding to a wide dynamic range (WDR) of sensory modalities. Using computational modeling, we further show that neuropathic pain likely does not result primarily from the transformation of excitatory NS neurons into WDR neurons, but rather from the activation of this previously dormant circuit.</w:t>
      </w:r>
    </w:p>
    <w:p>
      <w:pPr>
        <w:spacing w:before="120" w:after="120"/>
      </w:pPr>
      <w:r>
        <w:rPr>
          <w:sz w:val="18"/>
        </w:rPr>
        <w:t>——————————————————————————————————————————————————————————————————————</w:t>
      </w:r>
    </w:p>
    <w:p>
      <w:pPr>
        <w:spacing w:before="160" w:after="40" w:line="240" w:lineRule="auto"/>
      </w:pPr>
      <w:r>
        <w:rPr>
          <w:b/>
        </w:rPr>
        <w:t xml:space="preserve">[1303] </w:t>
      </w:r>
      <w:hyperlink r:id="rId2207">
        <w:r>
          <w:rPr>
            <w:color w:val="1155CC"/>
            <w:u w:val="single"/>
          </w:rPr>
          <w:t>儿童期统计学习能力随年龄增长而下降的纵向证据</w:t>
        </w:r>
      </w:hyperlink>
    </w:p>
    <w:p>
      <w:pPr>
        <w:spacing w:before="0" w:after="80"/>
      </w:pPr>
      <w:r>
        <w:rPr>
          <w:i/>
          <w:sz w:val="20"/>
        </w:rPr>
        <w:t>EN: Longitudinal evidence for decreasing statistical learning abilities across childhood</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统计学习使我们能够识别环境中的模式并预测未来事件，从而支持一系列运动、认知和语言技能。尽管其意义重大，但由于缺乏全面的纵向研究，统计学习的发展轨迹一直不明确。横断面研究提示，儿童在11-13岁之前统计学习增强，随后到成年期下降，但确切的结论需要纵向方法。我们的研究通过对同一批参与者在7岁、8岁、11岁和14岁进行统计学习评估来弥补这一空白。利用线性混合模型和潜在类别分析，我们观察到统计学习随年龄下降，并发现较高的执行功能——支撑高阶目标导向行为的认知功能——与这一下降相关。本研究提供了统计学习在幼儿期更为有效的证据，为这一基本认知能力的发展轨迹提供了洞见。</w:t>
      </w:r>
    </w:p>
    <w:p>
      <w:pPr>
        <w:spacing w:before="0" w:after="200" w:lineRule="auto" w:line="276"/>
      </w:pPr>
      <w:r>
        <w:rPr>
          <w:b/>
        </w:rPr>
        <w:t xml:space="preserve">Abstract (EN): </w:t>
      </w:r>
      <w:r>
        <w:t>Statistical learning enables us to identify patterns in our environment and predict future events, thereby supporting a range of motor, cognitive, and linguistic skills. Despite its significance, the developmental trajectory of statistical learning has remained unclear due to a lack of comprehensive longitudinal studies. Cross-sectional research has hinted at enhanced statistical learning in children up to 11-13 years, followed by a decline into adulthood, yet definitive insights require a longitudinal approach. Our study addresses this gap by assessing statistical learning in the same participants at ages 7, 8, 11, and 14. Utilising linear mixed models and latent class analyses, we observe a decline in statistical learning with age, and find that higher executive functions—cognitive functions that underlie higher-order goal-directed behaviour—are associated with this decline. This study provides evidence that statistical learning is more effective in early childhood, offering insights into the developmental trajectory of this fundamental cognitive ability.</w:t>
      </w:r>
    </w:p>
    <w:p>
      <w:pPr>
        <w:spacing w:before="120" w:after="120"/>
      </w:pPr>
      <w:r>
        <w:rPr>
          <w:sz w:val="18"/>
        </w:rPr>
        <w:t>——————————————————————————————————————————————————————————————————————</w:t>
      </w:r>
    </w:p>
    <w:p>
      <w:pPr>
        <w:spacing w:before="160" w:after="40" w:line="240" w:lineRule="auto"/>
      </w:pPr>
      <w:r>
        <w:rPr>
          <w:b/>
        </w:rPr>
        <w:t xml:space="preserve">[1304] </w:t>
      </w:r>
      <w:hyperlink r:id="rId2208">
        <w:r>
          <w:rPr>
            <w:color w:val="1155CC"/>
            <w:u w:val="single"/>
          </w:rPr>
          <w:t>离线生成网络重构通过同化到图式中引导大鼠顿悟式加速学习</w:t>
        </w:r>
      </w:hyperlink>
    </w:p>
    <w:p>
      <w:pPr>
        <w:spacing w:before="0" w:after="80"/>
      </w:pPr>
      <w:r>
        <w:rPr>
          <w:i/>
          <w:sz w:val="20"/>
        </w:rPr>
        <w:t>EN: Offline generative network reconfiguration guides insight-like accelerated learning by assimilation into schema in rats</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复杂的跨模态去新异联想学习通常需要多次编码暴露，但获取联想抽象规则的潜在心理图式能够实现顿悟式的加速新学习。有报告指出，编码后睡眠/休息的离线时期在顿悟学习中发挥主动作用，但其背后的神经元集群机制仍不清楚。我们开发了一项复杂的跨模态学习任务，雄性大鼠经过数周学习六组线索-位置配对联想（PAs）后形成了心理图式，使其能够在一天内快速习得3-6组新的PAs。在海马（HPC）-内侧前额叶（mPFC）集群跨越探索-休息-睡眠状态的同步电生理记录表明，新PAs的加速学习结合了基于HPC地图的线索-位置抽象联想的推理激活，以及与mPFC广义结果编码相协调的离线生成性网络重构。编码后睡眠/休息期间的HPC网络重构可预测3-6组新PAs的顿悟式加速学习，这些新PAs通过涟波协同的细胞集群共激活被快速巩固并转移到mPFC。编码后睡眠/休息期间的HPC涟波干扰阻断了基于图式的加速学习。我们的研究揭示，通过离线预测性的HPC-mPFC生成性网络重构实现的基于地图的联想推理，以同化入图式和系统巩固的方式支持顿悟式加速学习。</w:t>
      </w:r>
    </w:p>
    <w:p>
      <w:pPr>
        <w:spacing w:before="0" w:after="200" w:lineRule="auto" w:line="276"/>
      </w:pPr>
      <w:r>
        <w:rPr>
          <w:b/>
        </w:rPr>
        <w:t xml:space="preserve">Abstract (EN): </w:t>
      </w:r>
      <w:r>
        <w:t>Complex cross-modal de-novo associative learning generally requires numerous encoding exposures, but acquisition of an underlying mental schema of associative abstract rules enables insight-like accelerated new learning. Reports indicate that post-encoding sleep/rest offline epochs play an active role in insight learning, but the supporting neuronal ensemble mechanisms remained elusive. We developed a complex cross-modal learning task where six cue-place paired-associations (PAs) learned by male rats over weeks created a mental schema that enabled rapid within-day acquisition of 3-6 novel PAs. Simultaneous electrophysiological recording of hippocampus (HPC)-medial prefrontal (mPFC) ensembles across exploration-rest-sleep states indicated that accelerated learning of new PAs combined inferential activation of HPC map-based cue-place abstract associations and offline generative network reconfiguration in coordination with mPFC generalized outcome coding. HPC network reconfiguration during post-encoding sleep/rest predicted insight-like accelerated learning of 3-6 new PAs that consolidated and transferred rapidly via ripple-coordinated cell-assembly co-activation to mPFC. HPC ripple disruption during post-encoding sleep/rest prevented schema-based accelerated learning. Our findings reveal that map-based associative inference via offline predictive HPC-mPFC generative network reconfiguration supports insight-like accelerated learning by assimilation into schema and systems consolidation.</w:t>
      </w:r>
    </w:p>
    <w:p>
      <w:pPr>
        <w:spacing w:before="120" w:after="120"/>
      </w:pPr>
      <w:r>
        <w:rPr>
          <w:sz w:val="18"/>
        </w:rPr>
        <w:t>——————————————————————————————————————————————————————————————————————</w:t>
      </w:r>
    </w:p>
    <w:p>
      <w:pPr>
        <w:spacing w:before="160" w:after="40" w:line="240" w:lineRule="auto"/>
      </w:pPr>
      <w:r>
        <w:rPr>
          <w:b/>
        </w:rPr>
        <w:t xml:space="preserve">[1305] </w:t>
      </w:r>
      <w:hyperlink r:id="rId2209">
        <w:r>
          <w:rPr>
            <w:color w:val="1155CC"/>
            <w:u w:val="single"/>
          </w:rPr>
          <w:t>北极热液生物膜中多样的生物合成途径</w:t>
        </w:r>
      </w:hyperlink>
    </w:p>
    <w:p>
      <w:pPr>
        <w:spacing w:before="0" w:after="80"/>
      </w:pPr>
      <w:r>
        <w:rPr>
          <w:i/>
          <w:sz w:val="20"/>
        </w:rPr>
        <w:t>EN: Diverse biosynthetic pathways in Arctic hydrothermal biofilms</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编码多种次级代谢产物的生物合成基因簇（BGCs）在微生物组中普遍存在，并支持关键的生态功能。它们也是新药发现的重要靶标。本研究将基因组解析宏基因组学与长读长Nanopore RNA测序相结合，从此前未知的北极热液喷口生物膜微生物群落中获得了1016个细菌和124个古菌中等至高质量的MAGs。我们从870个宏基因组组装基因组（MAGs）中鉴定出2965个BGCs，其BGCs具有独特而丰富的多样性，其中核糖体合成并经翻译后修饰的肽（RiPPs）在所有样品中占主导地位。已知可编码具有抗菌潜力代谢产物的RiPPs和非核糖体肽合成酶（NRPs）也在表达量最高的转录本之列。萜类虽然表达量较低，但对微生物信号传导和防御具有贡献。值得注意的是，我们在古菌基因组中鉴定到氰化氢（HCN）合成通路，挑战了产氰作用仅限于细菌和真核生物的观点。我们的研究结果表明，微生物对极端环境的适应有利于基于RiPPs的生物合成，并且HCN可能在古菌生态相互作用中发挥作用。此外，北极热液喷口生物膜中的微生物群落为药物发现提供了丰富的独特生物活性化合物资源。</w:t>
      </w:r>
    </w:p>
    <w:p>
      <w:pPr>
        <w:spacing w:before="0" w:after="200" w:lineRule="auto" w:line="276"/>
      </w:pPr>
      <w:r>
        <w:rPr>
          <w:b/>
        </w:rPr>
        <w:t xml:space="preserve">Abstract (EN): </w:t>
      </w:r>
      <w:r>
        <w:t>Biosynthetic gene clusters (BGCs) which encode diverse secondary metabolites are ubiquitous across microbiomes and support critical ecological functions. They also serve as attractive targets for new drug discovery. Here we combined genome-resolved metagenomics with long-read Nanopore RNA sequencing, yielding 1016 bacterial and 124 archaeal medium-to-high quality MAGs from previously unchartered microbial communities in Arctic hydrothermal vent biofilms. We identified 2965 BGCs from 870 metagenome-assembled genomes (MAGs) comprising a distinctive and rich diversity of BGCs, with ribosomally synthesized and post-translationally modified peptides (RiPPs) predominating across all samples. RiPPs and non-ribosomal peptide synthetases (NRPs), also known to encode metabolites with antimicrobial potential, are represented among the most expressed transcripts. Terpenes, though less expressed, contribute to microbial signaling and defense. Notably, we identify hydrogen cyanide (HCN) synthesis pathways in archaeal genomes, challenging the view that cyanogenesis is restricted to bacteria and eukaryotes. Our findings demonstrate that microbial adaptation to extreme environments favors RiPP-based biosynthesis and that HCN may play a role in archaeal ecological interactions. Moreover, microbial communities in Arctic hydrothermal vent biofilms provide a rich reservoir of unique bioactive compounds, with implications for drug discovery.</w:t>
      </w:r>
    </w:p>
    <w:p>
      <w:pPr>
        <w:spacing w:before="120" w:after="120"/>
      </w:pPr>
      <w:r>
        <w:rPr>
          <w:sz w:val="18"/>
        </w:rPr>
        <w:t>——————————————————————————————————————————————————————————————————————</w:t>
      </w:r>
    </w:p>
    <w:p>
      <w:pPr>
        <w:spacing w:before="160" w:after="40" w:line="240" w:lineRule="auto"/>
      </w:pPr>
      <w:r>
        <w:rPr>
          <w:b/>
        </w:rPr>
        <w:t xml:space="preserve">[1306] </w:t>
      </w:r>
      <w:hyperlink r:id="rId2210">
        <w:r>
          <w:rPr>
            <w:color w:val="1155CC"/>
            <w:u w:val="single"/>
          </w:rPr>
          <w:t>Δ9-四氢大麻酚戒断期间外侧缰核神经元对厌恶性刺激编码增强</w:t>
        </w:r>
      </w:hyperlink>
    </w:p>
    <w:p>
      <w:pPr>
        <w:spacing w:before="0" w:after="80"/>
      </w:pPr>
      <w:r>
        <w:rPr>
          <w:i/>
          <w:sz w:val="20"/>
        </w:rPr>
        <w:t>EN: Increased encoding of aversive stimuli by lateral habenula neurons during Δ9-tetrahydrocannabinol withdrawal</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外侧缰核（LHb）整合皮层和基底前脑（BF）的输入，并与负性情感状态相关，但其在戒断大麻相关的负性情感中的作用尚不清楚。本研究中，通过钙光度测量和电生理学方法，检测了大鼠戒断大麻精神活性成分Δ9-四氢大麻酚（Δ9-THC）后对恐惧条件反射（FC）和LHb功能的影响。在Δ9-THC戒断期间，FC相关的LHb钙信号、僵滞行为以及LHb兴奋-抑制（E-I）比值升高，局部GABA释放受损，表明LHb输出神经元发生去抑制。光遗传激活的BF-LHb轴突的GABA释放同样受损，而腹侧被盖区-LHb输入则不受影响。结果表明，Δ9-THC戒断通过去抑制增加LHb兴奋性，导致对初级和条件性厌恶性刺激的恐惧增强。我们的发现提示LHb参与大麻戒断相关的负性情感，并为大麻使用障碍的神经机制提供了见解。</w:t>
      </w:r>
    </w:p>
    <w:p>
      <w:pPr>
        <w:spacing w:before="0" w:after="200" w:lineRule="auto" w:line="276"/>
      </w:pPr>
      <w:r>
        <w:rPr>
          <w:b/>
        </w:rPr>
        <w:t xml:space="preserve">Abstract (EN): </w:t>
      </w:r>
      <w:r>
        <w:t>The lateral habenula (LHb) integrates cortical and basal forebrain (BF) input and is implicated in negative affective states, but its involvement in negative affect associated with cannabis withdrawal is unknown. Here, effects of withdrawal from the psychoactive cannabis constituent, Δ9-tetrahydrocannabinol (Δ9-THC), on fear conditioning (FC) and LHb function were measured in rats using calcium photometry and electrophysiology. FC-associated LHb calcium signals, freezing behavior, and LHb excitatory-inhibitory (E-I) ratios were increased during Δ9-THC withdrawal, and local GABA release was impaired, indicating disinhibition of LHb output neurons. GABA release was also impaired at optogenetically activated BF-LHb axons, and not from ventral tegmental area-LHb inputs. The results indicate that Δ9-THC withdrawal increases LHb excitability through disinhibition, contributing to increased fear of primary and conditioned aversive stimuli. Our findings implicate the LHb in cannabis withdrawal-associated negative affect and offer insight into the neural mechanisms of cannabis use disorder.</w:t>
      </w:r>
    </w:p>
    <w:p>
      <w:pPr>
        <w:spacing w:before="120" w:after="120"/>
      </w:pPr>
      <w:r>
        <w:rPr>
          <w:sz w:val="18"/>
        </w:rPr>
        <w:t>——————————————————————————————————————————————————————————————————————</w:t>
      </w:r>
    </w:p>
    <w:p>
      <w:pPr>
        <w:spacing w:before="160" w:after="40" w:line="240" w:lineRule="auto"/>
      </w:pPr>
      <w:r>
        <w:rPr>
          <w:b/>
        </w:rPr>
        <w:t xml:space="preserve">[1307] </w:t>
      </w:r>
      <w:hyperlink r:id="rId2211">
        <w:r>
          <w:rPr>
            <w:color w:val="1155CC"/>
            <w:u w:val="single"/>
          </w:rPr>
          <w:t>空间转录组学揭示猕猴皮层中分层和细胞类型特异的A-to-I RNA编辑特征</w:t>
        </w:r>
      </w:hyperlink>
    </w:p>
    <w:p>
      <w:pPr>
        <w:spacing w:before="0" w:after="80"/>
      </w:pPr>
      <w:r>
        <w:rPr>
          <w:i/>
          <w:sz w:val="20"/>
        </w:rPr>
        <w:t>EN: Spatial transcriptomics reveals laminar and cell-type-specific A-to-I RNA editing signatures in the macaque cortex</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ADAR介导的A-to-I RNA编辑对正常的神经元功能至关重要。然而，其在大脑皮层中的空间特征在很大程度上尚未被探索。为此，我们开发了SRDRE，一个用于在空间转录组学数据中识别RNA编辑位点的分析框架。通过分析成年猕猴皮层中142个空间标注皮层区域的超过4000万个细胞，我们揭示了分层的和细胞类型特异性的RNA编辑图谱。值得注意的是，神经元RNA编辑水平在视觉和体感系统中与皮层层级相关。小白蛋白神经元在大多数区域表现出最高的编辑活性。此外，我们在离子通道基因中鉴定出灵长类富集的编辑位点， particularly 位于前额叶皮层的兴奋性神经元亚型中。最后，在一项初步的探索性分析中，我们观察到表现出抑郁样行为的猕猴其背外侧前额叶皮层深层RNA编辑发生改变，提示二者之间存在值得进一步研究的潜在联系。这些发现凸显了RNA编辑的作用及其对皮层特化、大脑演化和神经精神疾病的潜在贡献。</w:t>
      </w:r>
    </w:p>
    <w:p>
      <w:pPr>
        <w:spacing w:before="0" w:after="200" w:lineRule="auto" w:line="276"/>
      </w:pPr>
      <w:r>
        <w:rPr>
          <w:b/>
        </w:rPr>
        <w:t xml:space="preserve">Abstract (EN): </w:t>
      </w:r>
      <w:r>
        <w:t>ADAR-mediated A-to-I RNA editing is crucial for proper neuronal function. However, its spatial signatures in the cerebral cortex remain largely unexplored. To address this, we developed SRDRE, an analysis framework for identifying RNA editing sites in spatial transcriptomics data. By analyzing over 40 million cells across 142 spatially annotated cortical regions in the adult macaque cortex, we uncovered laminar and cell-type-specific RNA editing landscapes. Notably, neuronal RNA editing levels correlated with cortical hierarchy in the visual and somatosensory systems. Parvalbumin neurons exhibited the highest editing activity in most regions. Furthermore, we identified primate-enriched sites within ion channel genes, specifically in excitatory neuronal subtypes of the prefrontal cortex. Finally, in a preliminary exploratory analysis, we observed altered RNA editing in deeper layers of the dorsolateral prefrontal cortex in macaques exhibiting depressive-like behaviors, suggesting a potential link that warrants further investigation. These findings underscore the role of RNA editing and its potential contributions to cortical specialization, brain evolution, and neuropsychiatric disorders.</w:t>
      </w:r>
    </w:p>
    <w:p>
      <w:pPr>
        <w:spacing w:before="120" w:after="120"/>
      </w:pPr>
      <w:r>
        <w:rPr>
          <w:sz w:val="18"/>
        </w:rPr>
        <w:t>——————————————————————————————————————————————————————————————————————</w:t>
      </w:r>
    </w:p>
    <w:p>
      <w:pPr>
        <w:spacing w:before="160" w:after="40" w:line="240" w:lineRule="auto"/>
      </w:pPr>
      <w:r>
        <w:rPr>
          <w:b/>
        </w:rPr>
        <w:t xml:space="preserve">[1308] </w:t>
      </w:r>
      <w:hyperlink r:id="rId2212">
        <w:r>
          <w:rPr>
            <w:color w:val="1155CC"/>
            <w:u w:val="single"/>
          </w:rPr>
          <w:t>作者更正：用于调节皮肤炎症的双链RNA和ROS清除纳米平台</w:t>
        </w:r>
      </w:hyperlink>
    </w:p>
    <w:p>
      <w:pPr>
        <w:spacing w:before="0" w:after="80"/>
      </w:pPr>
      <w:r>
        <w:rPr>
          <w:i/>
          <w:sz w:val="20"/>
        </w:rPr>
        <w:t>EN: Author Correction: Double-stranded RNA and ROS scavenging nanoplatform for modulating skin inflammation</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[1309] </w:t>
      </w:r>
      <w:hyperlink r:id="rId2213">
        <w:r>
          <w:rPr>
            <w:color w:val="1155CC"/>
            <w:u w:val="single"/>
          </w:rPr>
          <w:t>小鼠胚胎干细胞中组蛋白H2B赖氨酸108位点特异性动态翻译后乙酰化编程特征</w:t>
        </w:r>
      </w:hyperlink>
    </w:p>
    <w:p>
      <w:pPr>
        <w:spacing w:before="0" w:after="80"/>
      </w:pPr>
      <w:r>
        <w:rPr>
          <w:i/>
          <w:sz w:val="20"/>
        </w:rPr>
        <w:t>EN: Site-specific programming characterizes dynamic post-translational acetylation of histone H2B lysine 108 in mouse embryonic stem cells</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w:t>
      </w:r>
    </w:p>
    <w:p>
      <w:pPr>
        <w:spacing w:before="0" w:after="200" w:lineRule="auto" w:line="276"/>
      </w:pPr>
      <w:r>
        <w:rPr>
          <w:b/>
        </w:rPr>
        <w:t xml:space="preserve">Abstract (EN): </w:t>
      </w:r>
      <w:r>
        <w:t>Dynamic histone modifications are critical for regulating stem cell fate. However, generalized strategies for site-specific programming of histone modifications profiling on unperturbed chromatin in embryonic stem cells (ESCs) remain challenging. In this study, we established a genetic code expansion-based platform in mouse ESCs (mESCs) for site-specific proteomic mapping and functional analysis within native chromatin. Using this platform, we revealed Rps19bp1 promotes Sirt1-mediated deacetylation of histone H2B lysine 108 acetylation (H2B-K108ac). Moreover, Site-specific-AcK revealed that H2B-K108ac induces the formation of H2B puncta and modulates chromatin accessibility. Functionally, elevation of H2B-K108ac via genetic code expansion and the loss of Rps19bp1 cause significant alterations in the expression of genes associated with mESC differentiation. Furthermore, Rps19bp1 deficiency promotes neural differentiation in mESC-derived teratoma. Our study develops a robust platform for linking specific histone acetylation with chromatin dynamics and cell fate determination, which lays a foundation for future exploration of additional histone PTMs in ESCs.</w:t>
      </w:r>
    </w:p>
    <w:p>
      <w:pPr>
        <w:spacing w:before="120" w:after="120"/>
      </w:pPr>
      <w:r>
        <w:rPr>
          <w:sz w:val="18"/>
        </w:rPr>
        <w:t>——————————————————————————————————————————————————————————————————————</w:t>
      </w:r>
    </w:p>
    <w:p>
      <w:pPr>
        <w:spacing w:before="160" w:after="40" w:line="240" w:lineRule="auto"/>
      </w:pPr>
      <w:r>
        <w:rPr>
          <w:b/>
        </w:rPr>
        <w:t xml:space="preserve">[1310] </w:t>
      </w:r>
      <w:hyperlink r:id="rId2214">
        <w:r>
          <w:rPr>
            <w:color w:val="1155CC"/>
            <w:u w:val="single"/>
          </w:rPr>
          <w:t>叶甲虫中 Yellow 蛋白被招募以维持专性共生</w:t>
        </w:r>
      </w:hyperlink>
    </w:p>
    <w:p>
      <w:pPr>
        <w:spacing w:before="0" w:after="80"/>
      </w:pPr>
      <w:r>
        <w:rPr>
          <w:i/>
          <w:sz w:val="20"/>
        </w:rPr>
        <w:t>EN: Yellow protein co-opted to sustain obligate symbiosis in leaf beetles</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w:t>
      </w:r>
    </w:p>
    <w:p>
      <w:pPr>
        <w:spacing w:before="0" w:after="200" w:lineRule="auto" w:line="276"/>
      </w:pPr>
      <w:r>
        <w:rPr>
          <w:b/>
        </w:rPr>
        <w:t xml:space="preserve">Abstract (EN): </w:t>
      </w:r>
      <w:r>
        <w:t>Yellow proteins are best known for their roles in pigmentation, behavior, and development across insects. Here, we uncover their striking evolutionary co-option for a wholly distinct function: sustaining a Paleocene-aged digestive symbiosis in tortoise beetles. We show that a female-specific Yellow forms the gelatinous spheres that encapsulate the bacterium Stammera during vertical transmission, allowing it to subsist extracellularly despite its drastically reduced genome (0.24 Mb) and limited metabolic capacity. Yellow expression is highly localized to symbiont-harboring glands in the ovaries, where the protein is assembled into a matrix and secreted during egg-laying. Functional knockdown of yellow disrupts sphere integrity and compromises symbiont viability under dry conditions, underscoring the protein’s embedding properties and protective role for Stammera. These findings reveal a novel function for an ancient gene family and demonstrate how tortoise beetles have repurposed Yellows to overcome the extreme metabolic constraints faced by their symbionts during extracellular transmission.</w:t>
      </w:r>
    </w:p>
    <w:p>
      <w:pPr>
        <w:spacing w:before="120" w:after="120"/>
      </w:pPr>
      <w:r>
        <w:rPr>
          <w:sz w:val="18"/>
        </w:rPr>
        <w:t>——————————————————————————————————————————————————————————————————————</w:t>
      </w:r>
    </w:p>
    <w:p>
      <w:pPr>
        <w:spacing w:before="160" w:after="40" w:line="240" w:lineRule="auto"/>
      </w:pPr>
      <w:r>
        <w:rPr>
          <w:b/>
        </w:rPr>
        <w:t xml:space="preserve">[1311] </w:t>
      </w:r>
      <w:hyperlink r:id="rId2215">
        <w:r>
          <w:rPr>
            <w:color w:val="1155CC"/>
            <w:u w:val="single"/>
          </w:rPr>
          <w:t>低维离子电子学</w:t>
        </w:r>
      </w:hyperlink>
    </w:p>
    <w:p>
      <w:pPr>
        <w:spacing w:before="0" w:after="80"/>
      </w:pPr>
      <w:r>
        <w:rPr>
          <w:i/>
          <w:sz w:val="20"/>
        </w:rPr>
        <w:t>EN: Low-Dimensional Ionotronics</w:t>
      </w:r>
    </w:p>
    <w:p>
      <w:pPr>
        <w:spacing w:before="0" w:after="120"/>
      </w:pPr>
      <w:r>
        <w:rPr>
          <w:b/>
        </w:rPr>
        <w:t xml:space="preserve">Source: </w:t>
      </w:r>
      <w:r>
        <w:t>Chemical Reviews: Latest Articles (ACS Publications)</w:t>
      </w:r>
      <w:r>
        <w:t xml:space="preserve">    </w:t>
      </w:r>
      <w:r>
        <w:rPr>
          <w:b/>
        </w:rPr>
        <w:t xml:space="preserve">Pub date: </w:t>
      </w:r>
      <w:r>
        <w:t>2026-09-03 00:00:00+00:00</w:t>
      </w:r>
      <w:r>
        <w:t xml:space="preserve">    </w:t>
      </w:r>
      <w:r>
        <w:rPr>
          <w:b/>
        </w:rPr>
        <w:t xml:space="preserve">DOI: </w:t>
      </w:r>
      <w:hyperlink r:id="rId2216">
        <w:r>
          <w:rPr>
            <w:color w:val="1155CC"/>
            <w:u w:val="single"/>
          </w:rPr>
          <w:t>10.1021/acs.chemrev.6c00092</w:t>
        </w:r>
      </w:hyperlink>
    </w:p>
    <w:p>
      <w:pPr>
        <w:spacing w:before="0" w:after="120"/>
      </w:pPr>
      <w:r>
        <w:rPr>
          <w:b/>
        </w:rPr>
        <w:t xml:space="preserve">Notes: </w:t>
      </w:r>
      <w:r>
        <w:t>abstract_source=crossref</w:t>
      </w:r>
    </w:p>
    <w:p>
      <w:pPr>
        <w:spacing w:before="0" w:after="80" w:lineRule="auto" w:line="276"/>
      </w:pPr>
      <w:r>
        <w:rPr>
          <w:b/>
        </w:rPr>
        <w:t xml:space="preserve">摘要（ZH）: </w:t>
      </w:r>
      <w:r>
        <w:t>摘要 离子电子学涵盖了一系列现象和器件，它们或基于电解质介质中电子控制的离子操控，或基于利用离子行为来控制电子功能。尽管这一术语本身出现较晚，但离子电子学的科学基础跨越了一个多世纪的研究。由于在能量存储与收集、机器人驱动、纳米过滤、海水淡化、传感和神经形态计算等领域的广阔应用前景，离子电子学系统近年来受到迅速增长的关注，尤其是在低维电极的背景下。这些先进结构能够深刻改变电极-电解质界面，而离子传输和界面现象在其中发挥着核心作用。此类系统表现出独特的物理特性，这些特性或源于纳米尺度限域效应（将电解质限制在仅几层离子或溶剂分子），或源于石墨烯、碳纳米管和MXenes等限域材料施加的低维电子效应。本综述旨在全面而易于理解地概述支配低维离子电子学系统的基本现象，特别强调决定其性能并促成新兴应用的基础物理。</w:t>
      </w:r>
    </w:p>
    <w:p>
      <w:pPr>
        <w:spacing w:before="0" w:after="200" w:lineRule="auto" w:line="276"/>
      </w:pPr>
      <w:r>
        <w:rPr>
          <w:b/>
        </w:rPr>
        <w:t xml:space="preserve">Abstract (EN): </w:t>
      </w:r>
      <w:r>
        <w:t>Ionotronics encompasses a broad range of phenomena and devices based either on the electron-controlled manipulation of ions in electrolytic media or on the use of ionic behavior to control electronic functionality. Although the term itself is relatively recent, the scientific foundations of ionotronics span more than a century of research. Owing to their promising applications in areas ranging from energy storage and harvesting to robotic actuation, nanofiltration, water desalination, sensing, and neuromorphic computation, ionotronic systems have recently attracted rapidly growing attention, particularly in the context of low-dimensional electrodes. These advanced architectures can profoundly modify the electrode–electrolyte interface, where ion transport and interfacial phenomena play a central role. Such systems exhibit distinctive physics arising either from nanoscale confinement, which restricts the electrolyte to only a few layers of ions or solvent molecules, or from low-dimensional electronic effects imposed by confining materials such as graphene, carbon nanotubes, and MXenes. This Focus Review aims to provide a comprehensive yet accessible overview of the fundamental phenomena governing low-dimensional ionotronic systems, with particular emphasis on the underlying physics that determines their performance and enables emerging applications.</w:t>
      </w:r>
    </w:p>
    <w:p>
      <w:pPr>
        <w:spacing w:before="120" w:after="120"/>
      </w:pPr>
      <w:r>
        <w:rPr>
          <w:sz w:val="18"/>
        </w:rPr>
        <w:t>——————————————————————————————————————————————————————————————————————</w:t>
      </w:r>
    </w:p>
    <w:p>
      <w:pPr>
        <w:spacing w:before="160" w:after="40" w:line="240" w:lineRule="auto"/>
      </w:pPr>
      <w:r>
        <w:rPr>
          <w:b/>
        </w:rPr>
        <w:t xml:space="preserve">[1312] </w:t>
      </w:r>
      <w:hyperlink r:id="rId2217">
        <w:r>
          <w:rPr>
            <w:color w:val="1155CC"/>
            <w:u w:val="single"/>
          </w:rPr>
          <w:t>尿道病原共生菌Actinobaculum massiliense可通过dirAB通路产生雄激素</w:t>
        </w:r>
      </w:hyperlink>
    </w:p>
    <w:p>
      <w:pPr>
        <w:spacing w:before="0" w:after="80"/>
      </w:pPr>
      <w:r>
        <w:rPr>
          <w:i/>
          <w:sz w:val="20"/>
        </w:rPr>
        <w:t>EN: The urinary pathobiont Actinobaculum massiliense can generate androgens via the dirAB pathway</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尽管在人类微生物组计划期间被忽视，但表征健康和疾病状态下的泌尿道微生物群是微生物组科学的新前沿。近期研究已将包括Propionimicrobium lymphophilum和Actinobaculum/Actinotignum spp.在内的细菌分类群的差异丰度与前列腺癌联系起来。在本研究中，我们在前列腺穿刺活检前收集受试者的尿液，并应用人类甾醇生物组发现高通量（HSDH）检测法来鉴定能够生成雄激素的可培养泌尿道细菌。将HSDH检测法应用于尿液样本后，分离出八株对皮质醇侧链裂解（类固醇-17,20-解链酶）、17β-HSDH活性或两者均呈阳性的P. lymphophilum菌株。此外，我们还分离出三株携带DHEA异构酶还原酶（dir）基因的Actinobaculum massiliense菌株。dirA基因编码一种多功能3β/17β-羟基类固醇脱氢酶/Δ4,5-异构酶，dirB基因编码一种17β-羟基类固醇脱氢酶同工酶。结构预测和分子动力学揭示了基于DirA和DirB共有催化三联体但各自结合口袋几何结构不同而可能的催化机制，从而能够预测它们各自的反应。对DirA和DirB的系统发育分析揭示了其在泌尿道共生菌以及水生和陆地环境中与类固醇降解相关细菌中的同源物。综上所述，HSDH检测法的开发和dir通路基因的鉴定提供了方法论基础，并提供了分子</w:t>
      </w:r>
    </w:p>
    <w:p>
      <w:pPr>
        <w:spacing w:before="0" w:after="200" w:lineRule="auto" w:line="276"/>
      </w:pPr>
      <w:r>
        <w:rPr>
          <w:b/>
        </w:rPr>
        <w:t xml:space="preserve">Abstract (EN): </w:t>
      </w:r>
      <w:r>
        <w:t>While overlooked during the Human Microbiome Project, characterizing the urinary microbiota in health and disease is a new frontier in microbiome science. Recent studies have associated differential abundance of bacterial taxa including Propionimicrobium lymphophilum and Actinobaculum/Actinotignum spp. with prostate cancer. In this study, we collected urine from subjects before prostate biopsy and applied a Human Sterolbiome Discovery High-throughput (HSDH) assay to identify culturable urinary bacteria with the ability to generate androgens. Application of the HSDH Assay to urine samples led to the isolation of eight P. lymphophilum strains positive for cortisol side-chain cleavage (steroid-17,20-desmolase), 17β-HSDH activity, or both. In addition, we isolated three strains of Actinobaculum massiliense that carry the DHEA isomerase reductase (dir) genes. The dirA gene encodes a multifunctional 3β/17β-hydroxysteroid dehydrogenase/Δ4,5-isomerase and the dirB gene encodes a 17β-hydroxysteroid dehydrogenase isoform. Structural prediction and molecular dynamics reveal probable catalytic mechanisms based on the shared catalytic triad but distinct binding-pocket geometries of DirA and DirB, which enabled predictions of their respective reactions. Phylogenetic analysis of DirA and DirB revealed homologs in urinary tract commensals and in bacteria associated with steroid degradation in aquatic and terrestrial environments. Taken together, the development of the HSDH Assay and the identification of the dir pathway genes provide the methodological foundation and provide the molecular basis for advancing our understanding of the role of urinary tract bacteria in host endocrine physiology.</w:t>
      </w:r>
    </w:p>
    <w:p>
      <w:pPr>
        <w:spacing w:before="120" w:after="120"/>
      </w:pPr>
      <w:r>
        <w:rPr>
          <w:sz w:val="18"/>
        </w:rPr>
        <w:t>——————————————————————————————————————————————————————————————————————</w:t>
      </w:r>
    </w:p>
    <w:p>
      <w:pPr>
        <w:spacing w:before="160" w:after="40" w:line="240" w:lineRule="auto"/>
      </w:pPr>
      <w:r>
        <w:rPr>
          <w:b/>
        </w:rPr>
        <w:t xml:space="preserve">[1313] </w:t>
      </w:r>
      <w:hyperlink r:id="rId2218">
        <w:r>
          <w:rPr>
            <w:color w:val="1155CC"/>
            <w:u w:val="single"/>
          </w:rPr>
          <w:t>漂浮式开发规模化扩展的十个关键问题</w:t>
        </w:r>
      </w:hyperlink>
    </w:p>
    <w:p>
      <w:pPr>
        <w:spacing w:before="0" w:after="80"/>
      </w:pPr>
      <w:r>
        <w:rPr>
          <w:i/>
          <w:sz w:val="20"/>
        </w:rPr>
        <w:t>EN: Ten critical questions for scaling up floating developments</w:t>
      </w:r>
    </w:p>
    <w:p>
      <w:pPr>
        <w:spacing w:before="0" w:after="120"/>
      </w:pPr>
      <w:r>
        <w:rPr>
          <w:b/>
        </w:rPr>
        <w:t xml:space="preserve">Source: </w:t>
      </w:r>
      <w:r>
        <w:t>Scientific community and society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浮动开发项目可以为沿海、内陆和近海地区的空间稀缺和水资源管理挑战提供气候适应性解决方案。我们提出了十个研究问题，以探索安全、包容、可持续和经济上可行的大规模浮动开发升级的潜力。</w:t>
      </w:r>
    </w:p>
    <w:p>
      <w:pPr>
        <w:spacing w:before="0" w:after="200" w:lineRule="auto" w:line="276"/>
      </w:pPr>
      <w:r>
        <w:rPr>
          <w:b/>
        </w:rPr>
        <w:t xml:space="preserve">Abstract (EN): </w:t>
      </w:r>
      <w:r>
        <w:t>Floating developments may offer climate-adaptive solutions to space scarcity and water management challenges in coastal, inland, and offshore contexts. We present ten research questions to explore the potential for safe, inclusive, sustainable and economically viable upscaling towards large-scale floating developments.</w:t>
      </w:r>
    </w:p>
    <w:p>
      <w:pPr>
        <w:spacing w:before="120" w:after="120"/>
      </w:pPr>
      <w:r>
        <w:rPr>
          <w:sz w:val="18"/>
        </w:rPr>
        <w:t>——————————————————————————————————————————————————————————————————————</w:t>
      </w:r>
    </w:p>
    <w:p>
      <w:pPr>
        <w:spacing w:before="160" w:after="40" w:line="240" w:lineRule="auto"/>
      </w:pPr>
      <w:r>
        <w:rPr>
          <w:b/>
        </w:rPr>
        <w:t xml:space="preserve">[1314] </w:t>
      </w:r>
      <w:hyperlink r:id="rId2219">
        <w:r>
          <w:rPr>
            <w:color w:val="1155CC"/>
            <w:u w:val="single"/>
          </w:rPr>
          <w:t>小鼠空肠肠道再生的时空转录组图谱</w:t>
        </w:r>
      </w:hyperlink>
    </w:p>
    <w:p>
      <w:pPr>
        <w:spacing w:before="0" w:after="80"/>
      </w:pPr>
      <w:r>
        <w:rPr>
          <w:i/>
          <w:sz w:val="20"/>
        </w:rPr>
        <w:t>EN: A spatial and temporal transcriptomic atlas of mouse intestinal regeneration in the jejunum</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肠上皮在损伤后表现出卓越的再生能力，但损伤修复周期的空间和时间动态仍不完全清楚。我们展示了小鼠空肠中电离辐射引起的损伤和修复的空间转录组图谱，以 2 µm 分辨率捕获了辐射后 6 天的 23 个生物样本中约 2600 万个箱中 16,921 个基因的 mRNA。分析揭示了大量或单细胞方法无法检测到的转录模式和生态位信号，包括空间限制的干扰素靶基因激活、早期修复过程中下绒毛的分化轨迹改变、两个转录上不同的隐窝再生细胞群，以及与作为肠道再生标志的超转录一致的整体转录上调，有证据表明超转录延伸到人类克罗恩病。在这项工作中，我们提供了亚细胞 2 µm 分辨率的小鼠肠道再生时空图谱，这将为未来因损伤或癌症治疗引起的炎症性肠病和胃肠道病理的治疗策略提供信息。</w:t>
      </w:r>
    </w:p>
    <w:p>
      <w:pPr>
        <w:spacing w:before="0" w:after="200" w:lineRule="auto" w:line="276"/>
      </w:pPr>
      <w:r>
        <w:rPr>
          <w:b/>
        </w:rPr>
        <w:t xml:space="preserve">Abstract (EN): </w:t>
      </w:r>
      <w:r>
        <w:t>The intestinal epithelium exhibits a remarkable capacity for regeneration following injury, yet the spatial and temporal dynamics of the damage-repair cycle remain incompletely understood. We present a spatial transcriptomics atlas of ionizing radiation-induced injury and repair in the mouse jejunum, capturing mRNA from 16,921 genes across approximately 26 million bins at 2-µm resolution in 23 biological samples spanning six days post-irradiation. Analysis reveals transcriptional patterns and niche signals undetectable by bulk or single-cell approaches, including spatially restricted interferon-target gene activation, an altered differentiation trajectory in the lower villus during early repair, two transcriptionally distinct crypt regenerative cell populations, and global transcriptional upregulation consistent with hypertranscription as a hallmark of intestinal regeneration, with evidence for hypertranscription extending to human Crohn’s disease. In this work, we provide a spatiotemporal atlas of mouse intestinal regeneration at subcellular 2-µm resolution that will inform future therapeutic strategies for inflammatory bowel diseases and gastrointestinal pathologies arising from injury or cancer therapy.</w:t>
      </w:r>
    </w:p>
    <w:p>
      <w:pPr>
        <w:spacing w:before="120" w:after="120"/>
      </w:pPr>
      <w:r>
        <w:rPr>
          <w:sz w:val="18"/>
        </w:rPr>
        <w:t>——————————————————————————————————————————————————————————————————————</w:t>
      </w:r>
    </w:p>
    <w:p>
      <w:pPr>
        <w:spacing w:before="160" w:after="40" w:line="240" w:lineRule="auto"/>
      </w:pPr>
      <w:r>
        <w:rPr>
          <w:b/>
        </w:rPr>
        <w:t xml:space="preserve">[1315] </w:t>
      </w:r>
      <w:hyperlink r:id="rId2220">
        <w:r>
          <w:rPr>
            <w:color w:val="1155CC"/>
            <w:u w:val="single"/>
          </w:rPr>
          <w:t>瑞舒伐他汀激活骨骼肌兰尼碱受体1的结构基础</w:t>
        </w:r>
      </w:hyperlink>
    </w:p>
    <w:p>
      <w:pPr>
        <w:spacing w:before="0" w:after="80"/>
      </w:pPr>
      <w:r>
        <w:rPr>
          <w:i/>
          <w:sz w:val="20"/>
        </w:rPr>
        <w:t>EN: Structural basis for rosuvastatin-induced activation of skeletal muscle ryanodine receptor 1</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他汀类药物疗法用于降低高血胆固醇，已被提出会引起包括肌痛和横纹肌溶解在内的骨骼肌副作用。骨骼肌中的兰尼碱受体1（RyR1）/Ca²⁺释放通道最近被确定为他汀类药物的脱靶结合蛋白。在此，我们报告了RyR1与瑞舒伐他汀复合物的冷冻电子显微镜结构。瑞舒伐他汀占据RyR1孔道区的一个单一结合位点，稳定其开放构象。在闭合构象中，瑞舒伐他汀结合位点被RyR1辅助跨膜螺旋（TMx1-2）占据。结构比较表明，瑞舒伐他汀与辛伐他汀（在Sim-1位点）在RyR1上存在空间位阻重叠，但与阿托伐他汀没有重叠，而所有这些他汀类药物都可能干扰TMx1-2螺旋的构象稳定性。与辛伐他汀和阿托伐他汀不同，瑞舒伐他汀在RyR1上不表现出多个结合位点，同时同样促进RyR1的激活，表明其作为开发对RyR1不良反应最小化的他汀类药物的优选先导结构的潜力。</w:t>
      </w:r>
    </w:p>
    <w:p>
      <w:pPr>
        <w:spacing w:before="0" w:after="200" w:lineRule="auto" w:line="276"/>
      </w:pPr>
      <w:r>
        <w:rPr>
          <w:b/>
        </w:rPr>
        <w:t xml:space="preserve">Abstract (EN): </w:t>
      </w:r>
      <w:r>
        <w:t>Statin therapies, used to lower high blood cholesterol, have been proposed to cause skeletal muscle side effects including myalgia and rhabdomyolysis. The ryanodine receptor 1 (RyR1)/Ca²⁺ release channel in skeletal muscle has recently been identified as an off-target binder of statins. Here, we report the cryo-electron microscopy structure of RyR1 in complex with rosuvastatin. Rosuvastatin occupies a single binding site in the pore region of RyR1 stabilizing the open conformation. In the closed conformation, the rosuvastatin binding site is occupied by the RyR1 auxiliary transmembrane helices (TMx1-2). Structural comparison indicates steric overlap of rosuvastatin with simvastatin (at Sim-1) but not with atorvastatin on RyR1, while all these statins may interfere with the conformational stability of the TMx1-2 helices. In contrast to simvastatin and atorvastatin, rosuvastatin does not exhibit multiple binding sites on RyR1 while similarly promoting RyR1 activation, indicating its potential as a preferable lead structure for developing statins that minimizes adverse side effects on RyR1.</w:t>
      </w:r>
    </w:p>
    <w:p>
      <w:pPr>
        <w:spacing w:before="120" w:after="120"/>
      </w:pPr>
      <w:r>
        <w:rPr>
          <w:sz w:val="18"/>
        </w:rPr>
        <w:t>——————————————————————————————————————————————————————————————————————</w:t>
      </w:r>
    </w:p>
    <w:p>
      <w:pPr>
        <w:spacing w:before="160" w:after="40" w:line="240" w:lineRule="auto"/>
      </w:pPr>
      <w:r>
        <w:rPr>
          <w:b/>
        </w:rPr>
        <w:t xml:space="preserve">[1316] </w:t>
      </w:r>
      <w:hyperlink r:id="rId2221">
        <w:r>
          <w:rPr>
            <w:color w:val="1155CC"/>
            <w:u w:val="single"/>
          </w:rPr>
          <w:t>不同的约束条件与共同的动态过程共同塑造挥发性有机化合物化学多样性的宏演化</w:t>
        </w:r>
      </w:hyperlink>
    </w:p>
    <w:p>
      <w:pPr>
        <w:spacing w:before="0" w:after="80"/>
      </w:pPr>
      <w:r>
        <w:rPr>
          <w:i/>
          <w:sz w:val="20"/>
        </w:rPr>
        <w:t>EN: Distinct constraints but shared dynamics shape the macroevolution of volatile organic compound chemodiversity</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复杂的代谢系统已经在生命之树中进化，产生了显着的化学多样性，但这种多样性背后的结构和进化模式仍然知之甚少。在这里，我们使用从文献中收集的裸子植物叶子挥发性有机化合物（VOC）的综合数据集来研究化学多样性的宏观进化。我们发现化学多样性由一小部分“核心”化合物主导。这些核心挥发性有机化合物虽然数量不多，但分布广泛且丰富。为了了解全貌，我们研究了高维全局化学多样性和主导核心化学多样性的宏观进化。我们发现全球和核心化学多样性都是通过类似的动态演化的：间断进化而不是逐渐漂移。我们还确定了约束中的二分法，其中全局化学多样性表现出弱协方差（反映了高进化不稳定性），而核心化学多样性的特点是高协方差和强集成。我们进行祖先状态重建，发现这个复杂的系统并不是最近的创新；主要的核心挥发性有机化合物在石炭纪之前就已经在祖先谱系中建立了。这些发现不仅揭示了裸子植物VOC系统的层次结构及其潜在的约束和动力学，而且为探索化学多样性的结构和进化动力学提供了框架。</w:t>
      </w:r>
    </w:p>
    <w:p>
      <w:pPr>
        <w:spacing w:before="0" w:after="200" w:lineRule="auto" w:line="276"/>
      </w:pPr>
      <w:r>
        <w:rPr>
          <w:b/>
        </w:rPr>
        <w:t xml:space="preserve">Abstract (EN): </w:t>
      </w:r>
      <w:r>
        <w:t>Complex metabolic systems have evolved across the tree of life, producing remarkable chemodiversity, yet the structure and evolutionary modes underlying this diversity remain poorly understood. Here, we investigate the macroevolution of chemodiversity using a comprehensive dataset of gymnosperm foliage volatile organic compounds (VOCs) collected from the literature. We find that chemodiversity is dominated by a small fraction of “core” compounds. Although few in number, these core VOCs are widespread and abundant. To understand the full picture, we investigate the macroevolution of both high-dimensional global chemodiversity, and the dominant core chemodiversity. We find that both global and core chemodiversity have evolved through similar dynamics: punctuated evolution rather than gradual drift. We also identify a dichotomy in constraint, where global chemodiversity exhibits weak covariance—reflecting high evolutionary lability—and the core chemodiversity is characterized by high covariance and strong integration. We perform ancestral state reconstruction and find that this complex system is not a recent innovation; the major, core VOCs were already established in ancestral lineages prior to the Carboniferous period. These findings not only reveal the hierarchical structure of the gymnosperm VOC system, with its underlying constraints and dynamics, but also provide a framework for exploring the structure and evolutionary dynamics of chemodiversity.</w:t>
      </w:r>
    </w:p>
    <w:p>
      <w:pPr>
        <w:spacing w:before="120" w:after="120"/>
      </w:pPr>
      <w:r>
        <w:rPr>
          <w:sz w:val="18"/>
        </w:rPr>
        <w:t>——————————————————————————————————————————————————————————————————————</w:t>
      </w:r>
    </w:p>
    <w:p>
      <w:pPr>
        <w:spacing w:before="160" w:after="40" w:line="240" w:lineRule="auto"/>
      </w:pPr>
      <w:r>
        <w:rPr>
          <w:b/>
        </w:rPr>
        <w:t xml:space="preserve">[1317] </w:t>
      </w:r>
      <w:hyperlink r:id="rId2222">
        <w:r>
          <w:rPr>
            <w:color w:val="1155CC"/>
            <w:u w:val="single"/>
          </w:rPr>
          <w:t>K-MARVEL：基于K-mer的抗微生物耐药性虚拟探索实验室</w:t>
        </w:r>
      </w:hyperlink>
    </w:p>
    <w:p>
      <w:pPr>
        <w:spacing w:before="0" w:after="80"/>
      </w:pPr>
      <w:r>
        <w:rPr>
          <w:i/>
          <w:sz w:val="20"/>
        </w:rPr>
        <w:t>EN: K-MARVEL: K-Mer-based antimicrobial resistance virtual exploration lab</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抗菌药物耐药性（AMR）的快速传播需要新的计算监测工具。目前用于分析下一代测序数据的方法存在权衡：基于组装的方法计算量大，而直接长读段比对则因高错误率掩盖了赋予耐药性的突变而受阻。在此，我们提出K-MARVEL，一种开源方法，可从短读段和长读段数据集中捕获抗菌药物耐药基因（ARG）和赋予耐药性的突变。K-MARVEL在蛋白质k-mer空间中运行，可容忍核苷酸水平的测序错误。我们在22个细菌物种的209个长读段和205个短读段数据集上对K-MARVEL进行了基准测试，取得了0.976（短读段）和0.958（长读段）的F1分数，在速度和内存使用方面优于基于组装的方法。对于基于同源模型的ARG，K-MARVEL的F1分数高于七种广泛使用的基于短读段的ARG分类器（0.979）和两种广泛使用的基于长读段的分类器（0.961）。K-MARVEL可以直接从原始测序数据中准确鉴定同源ARG以及含有赋予耐药性突变（包括多个变异体）的结构基因。</w:t>
      </w:r>
    </w:p>
    <w:p>
      <w:pPr>
        <w:spacing w:before="0" w:after="200" w:lineRule="auto" w:line="276"/>
      </w:pPr>
      <w:r>
        <w:rPr>
          <w:b/>
        </w:rPr>
        <w:t xml:space="preserve">Abstract (EN): </w:t>
      </w:r>
      <w:r>
        <w:t>The rapid spread of antimicrobial resistance (AMR) necessitates new computational surveillance tools. Current methods for analysis of next-generation sequencing data have trade-offs: assembly-based approaches are computationally intensive, and direct long-read mapping is hampered by high error rates that obscure resistance-conferring mutations. Here, we present K-MARVEL, an open-source method that captures antimicrobial resistance genes (ARGs) and resistance-conferring mutations from both short- and long-read datasets. Operating in protein k-mer space, K-MARVEL tolerates nucleotide-level sequencing errors. We benchmarked K-MARVEL on 209 long-read and 205 short-read datasets across 22 bacterial species and achieved F1-scores of 0.976 (short-read) and 0.958 (long-read), outperforming assembly-based methods in speed and memory usage. K-MARVEL had higher F1-scores than seven widely used short-read-based ARG classifiers (0.979) and two widely used long-read-based classifiers (0.961) for homology-model-based ARGs. K-MARVEL can accurately identify both homologous ARGs and structural genes containing resistance-conferring mutations, including multiple variants, directly from raw sequencing data.</w:t>
      </w:r>
    </w:p>
    <w:p>
      <w:pPr>
        <w:spacing w:before="120" w:after="120"/>
      </w:pPr>
      <w:r>
        <w:rPr>
          <w:sz w:val="18"/>
        </w:rPr>
        <w:t>——————————————————————————————————————————————————————————————————————</w:t>
      </w:r>
    </w:p>
    <w:p>
      <w:pPr>
        <w:spacing w:before="160" w:after="40" w:line="240" w:lineRule="auto"/>
      </w:pPr>
      <w:r>
        <w:rPr>
          <w:b/>
        </w:rPr>
        <w:t xml:space="preserve">[1318] </w:t>
      </w:r>
      <w:hyperlink r:id="rId2223">
        <w:r>
          <w:rPr>
            <w:color w:val="1155CC"/>
            <w:u w:val="single"/>
          </w:rPr>
          <w:t>从出生到成年大脑皮层折叠的基序模式</w:t>
        </w:r>
      </w:hyperlink>
    </w:p>
    <w:p>
      <w:pPr>
        <w:spacing w:before="0" w:after="80"/>
      </w:pPr>
      <w:r>
        <w:rPr>
          <w:i/>
          <w:sz w:val="20"/>
        </w:rPr>
        <w:t>EN: Motifs of brain cortical folding from birth to adulthood</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w:t>
      </w:r>
    </w:p>
    <w:p>
      <w:pPr>
        <w:spacing w:before="0" w:after="200" w:lineRule="auto" w:line="276"/>
      </w:pPr>
      <w:r>
        <w:rPr>
          <w:b/>
        </w:rPr>
        <w:t xml:space="preserve">Abstract (EN): </w:t>
      </w:r>
      <w:r>
        <w:t>Cortical folding of the brain is widely regarded as an interplay between genetic programming and biomechanical forces, closely linked to cytoarchitectonic regionalisation. Abnormal folding patterns are frequently observed in neurodevelopmental conditions and psychiatric disorders. However, significant inter-individual variability of secondary and tertiary folds obscures the detection of shape biomarkers and confounds the investigation of folding-functional relationships. Here, we investigate cortical folding heterogeneity at a fine scale, using Multimodal Surface Matching with Hierarchical Templates (MSM-HT), a hierarchical surface registration, to parse cortical folding patterns into a representative family of distinct anatomical templates. By applying this technique both to young adults from the Human Connectome Project (HCP) and neonates in the Developing HCP and Brain Imaging in Babies (BIBS) cohorts, we identify and characterise common lobe-wise folding patterns: observing consistency across both age groups, with neonatal samples showing less variation. Crucially, we highlight significant hemispheric asymmetry within the temporal lobe in adults, with a consistent trend in neonates. This study provides a critical step towards understanding brain asymmetry and complex relationships between folding and function, offering a robust framework to generalise the uncovered cortical folding motifs across datasets and developmental stages.</w:t>
      </w:r>
    </w:p>
    <w:p>
      <w:pPr>
        <w:spacing w:before="120" w:after="120"/>
      </w:pPr>
      <w:r>
        <w:rPr>
          <w:sz w:val="18"/>
        </w:rPr>
        <w:t>——————————————————————————————————————————————————————————————————————</w:t>
      </w:r>
    </w:p>
    <w:p>
      <w:pPr>
        <w:spacing w:before="160" w:after="40" w:line="240" w:lineRule="auto"/>
      </w:pPr>
      <w:r>
        <w:rPr>
          <w:b/>
        </w:rPr>
        <w:t xml:space="preserve">[1319] </w:t>
      </w:r>
      <w:hyperlink r:id="rId2224">
        <w:r>
          <w:rPr>
            <w:color w:val="1155CC"/>
            <w:u w:val="single"/>
          </w:rPr>
          <w:t>三维打印水凝胶支架中的工程化分级多孔结构增强间充质干细胞治疗慢性糖尿病伤口</w:t>
        </w:r>
      </w:hyperlink>
    </w:p>
    <w:p>
      <w:pPr>
        <w:spacing w:before="0" w:after="80"/>
      </w:pPr>
      <w:r>
        <w:rPr>
          <w:i/>
          <w:sz w:val="20"/>
        </w:rPr>
        <w:t>EN: Engineered Hierarchical Porosity in Three-Dimensional-Printed Hydrogel Scaffolds Enhances Mesenchymal Stem Cell Therapy for Chronic Diabetic Wounds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225">
        <w:r>
          <w:rPr>
            <w:color w:val="1155CC"/>
            <w:u w:val="single"/>
          </w:rPr>
          <w:t>10.1021/acsami.6c16083</w:t>
        </w:r>
      </w:hyperlink>
    </w:p>
    <w:p>
      <w:pPr>
        <w:spacing w:before="0" w:after="120"/>
      </w:pPr>
      <w:r>
        <w:rPr>
          <w:b/>
        </w:rPr>
        <w:t xml:space="preserve">Notes: </w:t>
      </w:r>
      <w:r>
        <w:t>abstract_source=crossref</w:t>
      </w:r>
    </w:p>
    <w:p>
      <w:pPr>
        <w:spacing w:before="0" w:after="80" w:lineRule="auto" w:line="276"/>
      </w:pPr>
      <w:r>
        <w:rPr>
          <w:b/>
        </w:rPr>
        <w:t xml:space="preserve">摘要（ZH）: </w:t>
      </w:r>
      <w:r>
        <w:t>摘要 慢性糖尿病伤口不愈合是一项重大的临床挑战，因为它根源于复杂的病理微环境，包括神经病变、血管病变和慢性炎症。传统的治疗方法无法从根本上解决这些问题。受户外攀岩的启发，本研究开发了一种具有分级孔径的多功能生物活性水凝胶支架（CSP水凝胶），以重塑伤口微环境并促进再生修复。该水凝胶由甲基丙烯酰化壳聚糖（CSMA）和甲基丙烯酰化丝素蛋白（SiMA）通过3D打印和光聚合制成，具有可控的特性：多尺度多孔结构（大孔≥100μm，中孔1-50μm，微孔）</w:t>
      </w:r>
    </w:p>
    <w:p>
      <w:pPr>
        <w:spacing w:before="0" w:after="200" w:lineRule="auto" w:line="276"/>
      </w:pPr>
      <w:r>
        <w:rPr>
          <w:b/>
        </w:rPr>
        <w:t xml:space="preserve">Abstract (EN): </w:t>
      </w:r>
      <w:r>
        <w:t>Unhealing chronic diabetic wounds is a major clinical challenge, as it is rooted in the complex pathological microenvironment, including neuropathy, angiopathy, and chronic inflammation. Traditional treatment methods cannot fundamentally solve these problems. Inspired by outdoor rock climbing, this study developed a multifunctional bioactive hydrogel scaffold with hierarchical pore sizes (CSP hydrogel) to remodel the wound microenvironment and boost regenerative repair. Fabricated through 3D printing and photopolymerization from methacryloylated chitosan (CSMA) and methacryloylated silk fibroin (SiMA), the hydrogel has controlled properties: multi-scale porous structure (macropores ≥100 μm, mesopores 1–50 μm, micropores</w:t>
      </w:r>
    </w:p>
    <w:p>
      <w:pPr>
        <w:spacing w:before="120" w:after="120"/>
      </w:pPr>
      <w:r>
        <w:rPr>
          <w:sz w:val="18"/>
        </w:rPr>
        <w:t>——————————————————————————————————————————————————————————————————————</w:t>
      </w:r>
    </w:p>
    <w:p>
      <w:pPr>
        <w:spacing w:before="160" w:after="40" w:line="240" w:lineRule="auto"/>
      </w:pPr>
      <w:r>
        <w:rPr>
          <w:b/>
        </w:rPr>
        <w:t xml:space="preserve">[1320] </w:t>
      </w:r>
      <w:hyperlink r:id="rId2226">
        <w:r>
          <w:rPr>
            <w:color w:val="1155CC"/>
            <w:u w:val="single"/>
          </w:rPr>
          <w:t>准备好迎接机器人审稿人了吗？</w:t>
        </w:r>
      </w:hyperlink>
    </w:p>
    <w:p>
      <w:pPr>
        <w:spacing w:before="0" w:after="80"/>
      </w:pPr>
      <w:r>
        <w:rPr>
          <w:i/>
          <w:sz w:val="20"/>
        </w:rPr>
        <w:t>EN: Ready for the robot reviewers?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227">
        <w:r>
          <w:rPr>
            <w:color w:val="1155CC"/>
            <w:u w:val="single"/>
          </w:rPr>
          <w:t>10.1126/science.aem0443</w:t>
        </w:r>
      </w:hyperlink>
    </w:p>
    <w:p>
      <w:pPr>
        <w:spacing w:before="0" w:after="120"/>
      </w:pPr>
      <w:r>
        <w:rPr>
          <w:b/>
        </w:rPr>
        <w:t xml:space="preserve">Notes: </w:t>
      </w:r>
      <w:r>
        <w:t>abstract_source=crossref</w:t>
      </w:r>
    </w:p>
    <w:p>
      <w:pPr>
        <w:spacing w:before="0" w:after="80" w:lineRule="auto" w:line="276"/>
      </w:pPr>
      <w:r>
        <w:rPr>
          <w:b/>
        </w:rPr>
        <w:t xml:space="preserve">摘要（ZH）: </w:t>
      </w:r>
      <w:r>
        <w:t>随着人工智能能力的增强，研究人员和出版商正在探索它如何支持同行评审，以及它仍然存在哪些不足</w:t>
      </w:r>
    </w:p>
    <w:p>
      <w:pPr>
        <w:spacing w:before="0" w:after="200" w:lineRule="auto" w:line="276"/>
      </w:pPr>
      <w:r>
        <w:rPr>
          <w:b/>
        </w:rPr>
        <w:t xml:space="preserve">Abstract (EN): </w:t>
      </w:r>
      <w:r>
        <w:t>As AI’s capabilities grow, researchers and publishers are exploring how it can support peer review—and where it still falls short</w:t>
      </w:r>
    </w:p>
    <w:p>
      <w:pPr>
        <w:spacing w:before="120" w:after="120"/>
      </w:pPr>
      <w:r>
        <w:rPr>
          <w:sz w:val="18"/>
        </w:rPr>
        <w:t>——————————————————————————————————————————————————————————————————————</w:t>
      </w:r>
    </w:p>
    <w:p>
      <w:pPr>
        <w:spacing w:before="160" w:after="40" w:line="240" w:lineRule="auto"/>
      </w:pPr>
      <w:r>
        <w:rPr>
          <w:b/>
        </w:rPr>
        <w:t xml:space="preserve">[1321] </w:t>
      </w:r>
      <w:hyperlink r:id="rId2228">
        <w:r>
          <w:rPr>
            <w:color w:val="1155CC"/>
            <w:u w:val="single"/>
          </w:rPr>
          <w:t>力学导向的分子双层半导体逐层转移</w:t>
        </w:r>
      </w:hyperlink>
    </w:p>
    <w:p>
      <w:pPr>
        <w:spacing w:before="0" w:after="80"/>
      </w:pPr>
      <w:r>
        <w:rPr>
          <w:i/>
          <w:sz w:val="20"/>
        </w:rPr>
        <w:t>EN: Mechanics-Guided Layer-by-Layer Transfer of Molecular Bilayer Semiconductors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229">
        <w:r>
          <w:rPr>
            <w:color w:val="1155CC"/>
            <w:u w:val="single"/>
          </w:rPr>
          <w:t>10.1021/acsami.6c12628</w:t>
        </w:r>
      </w:hyperlink>
    </w:p>
    <w:p>
      <w:pPr>
        <w:spacing w:before="0" w:after="120"/>
      </w:pPr>
      <w:r>
        <w:rPr>
          <w:b/>
        </w:rPr>
        <w:t xml:space="preserve">Notes: </w:t>
      </w:r>
      <w:r>
        <w:t>abstract_source=crossref</w:t>
      </w:r>
    </w:p>
    <w:p>
      <w:pPr>
        <w:spacing w:before="0" w:after="80" w:lineRule="auto" w:line="276"/>
      </w:pPr>
      <w:r>
        <w:rPr>
          <w:b/>
        </w:rPr>
        <w:t xml:space="preserve">摘要（ZH）: </w:t>
      </w:r>
      <w:r>
        <w:t>摘要 层控有机薄膜是有机电子器件的重要组成部分。尽管层转移方法对于器件原型设计非常有效，但在此过程中管理裂纹形成具有挑战性。在这项研究中，我们研究了双层型有机半导体（OSC）薄膜的断裂力学，作为开发裂纹抑制转移方法的模型。我们发现裂纹的形成很大程度上取决于薄膜的厚度，并且当薄膜减小到单分子双层（SMB）厚度时，裂纹的形成会受到抑制。厚膜中观察到的裂纹方向性与晶体取向明显相关。这些断裂行为可以通过将宏观弹性模型与分子间相互作用能的计算相结合来定性解释。基于这种理解，我们通过顺序 SMB 传输成功制造了高度有序的多层人工晶格。此外，通过扩展π电子核心来调节分子间相互作用，我们实现了OSC薄膜的直接图案化，甚至在疏液基板上也是如此，为有机薄膜晶体管（OTFT）提供了合适的界面。包含裂纹抑制 SMB 的 OTFT 具有敏锐的开/关切换能力，亚阈值摆幅小于 150 mV dec-1，器件迁移率相对较高，超过 5 cm2 V-1 s-1。这些发现为表面定制和有机器件制造的分子层工程铺平了道路。</w:t>
      </w:r>
    </w:p>
    <w:p>
      <w:pPr>
        <w:spacing w:before="0" w:after="200" w:lineRule="auto" w:line="276"/>
      </w:pPr>
      <w:r>
        <w:rPr>
          <w:b/>
        </w:rPr>
        <w:t xml:space="preserve">Abstract (EN): </w:t>
      </w:r>
      <w:r>
        <w:t>Layer-controlled organic thin films are essential components of organic electronic devices. Although layer-transfer methods are effective for device prototyping, managing crack formation during this process is challenging. In this study, we investigate the fracture mechanics of bilayer-type organic semiconductor (OSC) films as a model for developing a crack-suppressed transfer methodology. We find that crack formation is strongly dependent on film thickness and is suppressed when the film is reduced to a single molecular bilayer (SMB) thickness. The observed crack directionality in thick films is clearly correlated with the crystallographic orientation. These fracture behaviors can be qualitatively explained by combining a macroscopic elasticity model with calculations of intermolecular interaction energies. Based on this understanding, we successfully fabricate highly ordered multilayered artificial lattices through sequential SMB transfers. Furthermore, by expanding the π-electron core to tune intermolecular interactions, we achieve the direct patterning of OSC films, even on lyophobic substrates, providing a suitable interface for organic thin-film transistors (OTFTs). OTFTs incorporating crack-suppressed SMBs exhibit sharp on/off switching with a subthreshold swing of less than 150 mV dec–1 and a relatively high device mobility exceeding 5 cm2 V–1 s–1. These findings pave the way for molecular layer engineering for surface tailoring and organic device manufacturing.</w:t>
      </w:r>
    </w:p>
    <w:p>
      <w:pPr>
        <w:spacing w:before="120" w:after="120"/>
      </w:pPr>
      <w:r>
        <w:rPr>
          <w:sz w:val="18"/>
        </w:rPr>
        <w:t>——————————————————————————————————————————————————————————————————————</w:t>
      </w:r>
    </w:p>
    <w:p>
      <w:pPr>
        <w:spacing w:before="160" w:after="40" w:line="240" w:lineRule="auto"/>
      </w:pPr>
      <w:r>
        <w:rPr>
          <w:b/>
        </w:rPr>
        <w:t xml:space="preserve">[1322] </w:t>
      </w:r>
      <w:hyperlink r:id="rId2230">
        <w:r>
          <w:rPr>
            <w:color w:val="1155CC"/>
            <w:u w:val="single"/>
          </w:rPr>
          <w:t>脊索动物非胚胎发育的多阶段单细胞图谱揭示去分化的芽基创始细胞</w:t>
        </w:r>
      </w:hyperlink>
    </w:p>
    <w:p>
      <w:pPr>
        <w:spacing w:before="0" w:after="80"/>
      </w:pPr>
      <w:r>
        <w:rPr>
          <w:i/>
          <w:sz w:val="20"/>
        </w:rPr>
        <w:t>EN: Multi-stage single-cell atlas of a chordate non-embryonic development unveils dedifferentiating bud founder cells</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群体被囊动物是唯一能够通过非胚胎发育（即出芽）从体组织形成完整功能个体的脊索动物。在Botryllus schlosseri中，出芽由既有个体的围鳃上皮的一部分产生新个体（个虫）。尽管该过程的解剖学已被详细描述，但支撑芽体起始的细胞和分子机制仍不清楚。在此，我们构建了脊索动物非胚胎发育的多阶段单细胞转录组图谱，捕获了个虫的起始与发育。我们鉴定出一类上皮创始细胞群体，其可能通过去分化获得发育潜能，这挑战了长期存在的假说，即由长寿的循环多能干细胞驱动新个虫的形成。尽管一些循环细胞表现出干细胞样的表达谱，这些群体要么是造血限制谱系，要么是生殖系限制谱系。该图谱为理解无性发育以及可能的脊索动物整体再生背后的细胞起源与机制提供了基础资源。</w:t>
      </w:r>
    </w:p>
    <w:p>
      <w:pPr>
        <w:spacing w:before="0" w:after="200" w:lineRule="auto" w:line="276"/>
      </w:pPr>
      <w:r>
        <w:rPr>
          <w:b/>
        </w:rPr>
        <w:t xml:space="preserve">Abstract (EN): </w:t>
      </w:r>
      <w:r>
        <w:t>Colonial tunicates are the only chordates capable of forming fully functional bodies from somatic tissues through non-embryonic development, or budding. In Botryllus schlosseri, budding produces new individuals (zooids) from a portion of the peribranchial epithelium of a preexisting zooid. While the anatomy of this process has been described in detail, the cellular and molecular mechanisms underpinning bud initiation remain elusive. Here, we present a multi-stage single-cell transcriptomic atlas of a non-embryonic development in a chordate, capturing initiation and development of zooids. We identify an epithelial founder cell population that gains developmental potential through possible dedifferentiation, challenging the long-standing hypothesis that a long-lived, circulating pluripotent stem cell drives new zooid formation. Although some circulating cells exhibit stem-like expression profiles, these populations are either hematopoietic or germline restricted lineages. This atlas provides a foundational resource for understanding the cellular origin and mechanisms underlying agametic development and possibly whole-body regeneration in chordates.</w:t>
      </w:r>
    </w:p>
    <w:p>
      <w:pPr>
        <w:spacing w:before="120" w:after="120"/>
      </w:pPr>
      <w:r>
        <w:rPr>
          <w:sz w:val="18"/>
        </w:rPr>
        <w:t>——————————————————————————————————————————————————————————————————————</w:t>
      </w:r>
    </w:p>
    <w:p>
      <w:pPr>
        <w:spacing w:before="160" w:after="40" w:line="240" w:lineRule="auto"/>
      </w:pPr>
      <w:r>
        <w:rPr>
          <w:b/>
        </w:rPr>
        <w:t xml:space="preserve">[1323] </w:t>
      </w:r>
      <w:hyperlink r:id="rId2231">
        <w:r>
          <w:rPr>
            <w:color w:val="1155CC"/>
            <w:u w:val="single"/>
          </w:rPr>
          <w:t>CVD生长的大面积MoS2/WS2垂直异质结构中界面驱动的层间与杂化激子演化</w:t>
        </w:r>
      </w:hyperlink>
    </w:p>
    <w:p>
      <w:pPr>
        <w:spacing w:before="0" w:after="80"/>
      </w:pPr>
      <w:r>
        <w:rPr>
          <w:i/>
          <w:sz w:val="20"/>
        </w:rPr>
        <w:t>EN: Interface-Driven Evolution of Interlayer and Hybrid Excitons in CVD-Grown Large-Area MoS2/WS2 Vertical Heterostructures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232">
        <w:r>
          <w:rPr>
            <w:color w:val="1155CC"/>
            <w:u w:val="single"/>
          </w:rPr>
          <w:t>10.1021/acsami.6c10448</w:t>
        </w:r>
      </w:hyperlink>
    </w:p>
    <w:p>
      <w:pPr>
        <w:spacing w:before="0" w:after="120"/>
      </w:pPr>
      <w:r>
        <w:rPr>
          <w:b/>
        </w:rPr>
        <w:t xml:space="preserve">Notes: </w:t>
      </w:r>
      <w:r>
        <w:t>abstract_source=crossref</w:t>
      </w:r>
    </w:p>
    <w:p>
      <w:pPr>
        <w:spacing w:before="0" w:after="80" w:lineRule="auto" w:line="276"/>
      </w:pPr>
      <w:r>
        <w:rPr>
          <w:b/>
        </w:rPr>
        <w:t xml:space="preserve">摘要（ZH）: </w:t>
      </w:r>
      <w:r>
        <w:t>摘要 通过化学气相沉积 (CVD) 生长的范德华异质结构为光电应用提供了一个可扩展的平台。然而，理解并准确分配它们的激子光谱特征仍然具有挑战性。这是由于界面无序和层间耦合以及重叠光谱特征引起的界面质量变化。在这里，我们使用两种不同的单步 CVD 工艺合成连续的大面积（高达 600 μm）MoS2/WS2 垂直异质结构。这种方法可以对不同界面质量的激子行为进行系统比较。由超低频拉曼光谱支持的温度依赖性光致发光解决了独特的层间激子 (ILE) 光谱特征的演变。在异双层中，ILE 从存在界面无序的局域态演化为通过均匀层间耦合稳定的离域态。值得注意的是，我们发现了一种由强层间电子杂化产生的混合激子，其中心位于 MoS2 和 WS2 的中性 A 激子之间~1.90 eV。重要的是，混合激子的形成与 ILE 辐射发射的抑制相关。通过系统地解开无序捕获、离域和混合激子状态，这项工作为界面驱动的激子跃迁提供了清晰的实验证据。这些发现强调了界面质量在控制可扩展的 MoS2/WS2 异质结构中激子行为中的关键作用。</w:t>
      </w:r>
    </w:p>
    <w:p>
      <w:pPr>
        <w:spacing w:before="0" w:after="200" w:lineRule="auto" w:line="276"/>
      </w:pPr>
      <w:r>
        <w:rPr>
          <w:b/>
        </w:rPr>
        <w:t xml:space="preserve">Abstract (EN): </w:t>
      </w:r>
      <w:r>
        <w:t>Van der Waals heterostructures grown by chemical vapor deposition (CVD) offer a scalable platform for optoelectronic applications. However, understanding and accurately assigning their excitonic spectral features remain challenging. This is due to variable interfacial quality arising from interfacial disorder and interlayer coupling, as well as overlapping spectral signatures. Here, we synthesize continuous, large-area (up to 600 μm) MoS2/WS2 vertical heterostructures using two distinct single-step CVD processes. This approach enables a systematic comparison of excitonic behavior across varying interface qualities. Temperature-dependent photoluminescence, supported by ultra-low-frequency Raman spectroscopy, resolves the evolution of distinct interlayer exciton (ILE) spectral features. In heterobilayers, the ILE evolves from localized states in the presence of interfacial disorder to delocalized states stabilized by uniform interlayer coupling. Notably, we identify a hybrid exciton, arising from strong interlayer electronic hybridization, centered at ∼1.90 eV between the neutral A-excitons of MoS2 and WS2. Importantly, hybrid exciton formation correlates with a suppression of ILE radiative emission. By systematically disentangling disorder-trapped, delocalized, and hybrid excitonic regimes, this work provides clear experimental evidence of interface-driven excitonic transitions. These findings highlight the critical role of interfacial quality in governing excitonic behavior in scalable MoS2/WS2 heterostructures.</w:t>
      </w:r>
    </w:p>
    <w:p>
      <w:pPr>
        <w:spacing w:before="120" w:after="120"/>
      </w:pPr>
      <w:r>
        <w:rPr>
          <w:sz w:val="18"/>
        </w:rPr>
        <w:t>——————————————————————————————————————————————————————————————————————</w:t>
      </w:r>
    </w:p>
    <w:p>
      <w:pPr>
        <w:spacing w:before="160" w:after="40" w:line="240" w:lineRule="auto"/>
      </w:pPr>
      <w:r>
        <w:rPr>
          <w:b/>
        </w:rPr>
        <w:t xml:space="preserve">[1324] </w:t>
      </w:r>
      <w:hyperlink r:id="rId2233">
        <w:r>
          <w:rPr>
            <w:color w:val="1155CC"/>
            <w:u w:val="single"/>
          </w:rPr>
          <w:t>双相浸渍涂敷制备多功能且节材的纳米粒子薄膜</w:t>
        </w:r>
      </w:hyperlink>
    </w:p>
    <w:p>
      <w:pPr>
        <w:spacing w:before="0" w:after="80"/>
      </w:pPr>
      <w:r>
        <w:rPr>
          <w:i/>
          <w:sz w:val="20"/>
        </w:rPr>
        <w:t>EN: Biphasic Dip Coating for Versatile and Material-Efficient Nanoparticle Thin Films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234">
        <w:r>
          <w:rPr>
            <w:color w:val="1155CC"/>
            <w:u w:val="single"/>
          </w:rPr>
          <w:t>10.1021/acsami.6c05752</w:t>
        </w:r>
      </w:hyperlink>
    </w:p>
    <w:p>
      <w:pPr>
        <w:spacing w:before="0" w:after="120"/>
      </w:pPr>
      <w:r>
        <w:rPr>
          <w:b/>
        </w:rPr>
        <w:t xml:space="preserve">Notes: </w:t>
      </w:r>
      <w:r>
        <w:t>abstract_source=crossref</w:t>
      </w:r>
    </w:p>
    <w:p>
      <w:pPr>
        <w:spacing w:before="0" w:after="80" w:lineRule="auto" w:line="276"/>
      </w:pPr>
      <w:r>
        <w:rPr>
          <w:b/>
        </w:rPr>
        <w:t xml:space="preserve">摘要（ZH）: </w:t>
      </w:r>
      <w:r>
        <w:t>摘要：胶体量子点 (cQD) 薄膜是溶液加工光电子学的核心，但在提高材料利用率的同时保持器件性能的可扩展沉积方法仍然有限。在这里，我们采用双相弯液面浸涂策略，能够控制 cQD 薄膜的沉积，同时大大减少所需的活性纳米晶体溶液的体积。在这种方法中，薄的 cQD 层由不混溶的底层支撑，这样薄膜的形成仅发生在活性相的液-气界面。利用这种几何结构，我们制造了 PbS 量子点光电探测器，其在 1200 nm 处的响应度高达 ∼1000 mA/W，与传统的旋涂器件相当。相对于旋涂，双相配置可将活性溶液消耗量减少多达 20 倍，同时保持薄膜质量和可重复的器件性能。质量体积成本分析表明，活性储层的减少将浸涂的经济可行性转变为与实际设备制造更相关的厚度和吞吐量状态。我们进一步将该方法扩展到 CsPbBr3 纳米晶体和弯曲基板，突出了其在材料系统和几何形状中的通用性。总之，这些结果将双相浸涂确立为溶液加工光电子产品的一种材料高效且设备兼容的制造策略。</w:t>
      </w:r>
    </w:p>
    <w:p>
      <w:pPr>
        <w:spacing w:before="0" w:after="200" w:lineRule="auto" w:line="276"/>
      </w:pPr>
      <w:r>
        <w:rPr>
          <w:b/>
        </w:rPr>
        <w:t xml:space="preserve">Abstract (EN): </w:t>
      </w:r>
      <w:r>
        <w:t>Colloidal quantum dot (cQD) thin films are central to solution-processed optoelectronics, yet scalable deposition methods that preserve device performance while improving material utilization remain limited. Here, we adapt a biphasic meniscus dip coating strategy that enables controlled deposition of cQD films while substantially reducing the volume of active nanocrystal solution required. In this approach, a thin cQD layer is supported by an immiscible underlayer, such that film formation occurs exclusively at the liquid–air interface of the active phase. Using this geometry, we fabricate PbS quantum dot photodetectors with responsivities up to ∼1000 mA/W at 1200 nm, comparable to conventional spin-coated devices. Relative to spin coating, the biphasic configuration reduces active solution consumption by up to 20-fold while maintaining film quality and reproducible device performance. A mass-volume cost analysis shows that the reduced active reservoir shifts the economic viability of dip coating into thickness and throughput regimes more relevant to practical device fabrication. We further extend the method to CsPbBr3 nanocrystals and curved substrates, highlighting its generality across material systems and geometries. Together, these results establish biphasic dip coating as a material-efficient and device-compatible manufacturing strategy for solution-processed optoelectronics.</w:t>
      </w:r>
    </w:p>
    <w:p>
      <w:pPr>
        <w:spacing w:before="120" w:after="120"/>
      </w:pPr>
      <w:r>
        <w:rPr>
          <w:sz w:val="18"/>
        </w:rPr>
        <w:t>——————————————————————————————————————————————————————————————————————</w:t>
      </w:r>
    </w:p>
    <w:p>
      <w:pPr>
        <w:spacing w:before="160" w:after="40" w:line="240" w:lineRule="auto"/>
      </w:pPr>
      <w:r>
        <w:rPr>
          <w:b/>
        </w:rPr>
        <w:t xml:space="preserve">[1325] </w:t>
      </w:r>
      <w:hyperlink r:id="rId2235">
        <w:r>
          <w:rPr>
            <w:color w:val="1155CC"/>
            <w:u w:val="single"/>
          </w:rPr>
          <w:t>用于集成环境传感与修复的动态可驱动水凝胶</w:t>
        </w:r>
      </w:hyperlink>
    </w:p>
    <w:p>
      <w:pPr>
        <w:spacing w:before="0" w:after="80"/>
      </w:pPr>
      <w:r>
        <w:rPr>
          <w:i/>
          <w:sz w:val="20"/>
        </w:rPr>
        <w:t>EN: Dynamic Actuatable Hydrogels for Integrated Environmental Sensing and Remediation Applications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236">
        <w:r>
          <w:rPr>
            <w:color w:val="1155CC"/>
            <w:u w:val="single"/>
          </w:rPr>
          <w:t>10.1021/acsami.6c12257</w:t>
        </w:r>
      </w:hyperlink>
    </w:p>
    <w:p>
      <w:pPr>
        <w:spacing w:before="0" w:after="120"/>
      </w:pPr>
      <w:r>
        <w:rPr>
          <w:b/>
        </w:rPr>
        <w:t xml:space="preserve">Notes: </w:t>
      </w:r>
      <w:r>
        <w:t>abstract_source=crossref</w:t>
      </w:r>
    </w:p>
    <w:p>
      <w:pPr>
        <w:spacing w:before="0" w:after="80" w:lineRule="auto" w:line="276"/>
      </w:pPr>
      <w:r>
        <w:rPr>
          <w:b/>
        </w:rPr>
        <w:t xml:space="preserve">摘要（ZH）: </w:t>
      </w:r>
      <w:r>
        <w:t>摘要：基于水凝胶的吸附剂由于其可调节的化学性质、水合网络以及与多功能纳米材料的兼容性，已成为环境修复和传感的多功能材料。然而，传统的静态水凝胶仍然受到扩散限制的质量传输、缓慢的吸附动力学以及污染物检测与修复的有限整合的限制。这篇综述强调了从被动吸附到动态可驱动水凝胶的转变，作为自适应感知-响应-行为材料系统，能够加速污染物捕获、实时监测和自主再生。我们首先讨论静态水凝胶设计原理，包括聚合物组成、纳米材料掺入以及控制吸附能力、选择性、动力学和可重复使用性的结构体系。然后，我们研究动态水凝胶平台，包括内在刺激响应网络、外在驱动复合材料和主动增强质量传输和界面暴露的形状编程结构。特别强调将传感与净化相结合的新兴系统，将可驱动水凝胶定位为自适应环境界面和软机器人材料。对静态和动态系统的比较讨论评估了它们的性能、实际局限性以及水修复、资源回收和集成传感技术的转化潜力。最后，对可扩展性、稳定性和系统集成方面的挑战进行了严格的评估，</w:t>
      </w:r>
    </w:p>
    <w:p>
      <w:pPr>
        <w:spacing w:before="0" w:after="200" w:lineRule="auto" w:line="276"/>
      </w:pPr>
      <w:r>
        <w:rPr>
          <w:b/>
        </w:rPr>
        <w:t xml:space="preserve">Abstract (EN): </w:t>
      </w:r>
      <w:r>
        <w:t>Hydrogel-based adsorbents have emerged as versatile materials for environmental remediation and sensing owing to their tunable chemistries, hydrated networks, and compatibility with multifunctional nanomaterials. However, conventional static hydrogels remain constrained by diffusion-limited mass transport, slow adsorption kinetics, and limited integration of pollutant detection with remediation. This review highlights the emerging shift from passive adsorption toward dynamic and actuatable hydrogels as adaptive sense–respond–act material systems capable of accelerated pollutant capture, real-time monitoring, and autonomous regeneration. We first discuss static hydrogel design principles, including polymer composition, nanomaterial incorporation, and structural architectures that govern adsorption capacity, selectivity, kinetics, and reusability. We then examine dynamic hydrogel platforms, including intrinsically stimuli-responsive networks, extrinsically actuated composites, and shape-programmed architectures that actively enhance mass transport and interfacial exposure. Particular emphasis is placed on emerging systems that integrate sensing with decontamination, positioning actuatable hydrogels as adaptive environmental interfaces and soft robotic materials. A comparative discussion of static and dynamic systems evaluates their performance, practical limitations, and translational potential for water remediation, resource recovery, and integrated sensing technologies. Finally, challenges in scalability, stability, and system integration are critically assessed, and future directions are proposed toward autonomous, intelligent hydrogel platforms for next-generation environmental technologies.</w:t>
      </w:r>
    </w:p>
    <w:p>
      <w:pPr>
        <w:spacing w:before="120" w:after="120"/>
      </w:pPr>
      <w:r>
        <w:rPr>
          <w:sz w:val="18"/>
        </w:rPr>
        <w:t>——————————————————————————————————————————————————————————————————————</w:t>
      </w:r>
    </w:p>
    <w:p>
      <w:pPr>
        <w:spacing w:before="160" w:after="40" w:line="240" w:lineRule="auto"/>
      </w:pPr>
      <w:r>
        <w:rPr>
          <w:b/>
        </w:rPr>
        <w:t xml:space="preserve">[1326] </w:t>
      </w:r>
      <w:hyperlink r:id="rId2237">
        <w:r>
          <w:rPr>
            <w:color w:val="1155CC"/>
            <w:u w:val="single"/>
          </w:rPr>
          <w:t>PEDOT: PSS图案向结构复杂表面的保形转印</w:t>
        </w:r>
      </w:hyperlink>
    </w:p>
    <w:p>
      <w:pPr>
        <w:spacing w:before="0" w:after="80"/>
      </w:pPr>
      <w:r>
        <w:rPr>
          <w:i/>
          <w:sz w:val="20"/>
        </w:rPr>
        <w:t>EN: Conformal Transfer Printing of PEDOT: PSS Patterns onto Structurally Complex Surfaces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238">
        <w:r>
          <w:rPr>
            <w:color w:val="1155CC"/>
            <w:u w:val="single"/>
          </w:rPr>
          <w:t>10.1021/acsami.6c09969</w:t>
        </w:r>
      </w:hyperlink>
    </w:p>
    <w:p>
      <w:pPr>
        <w:spacing w:before="0" w:after="120"/>
      </w:pPr>
      <w:r>
        <w:rPr>
          <w:b/>
        </w:rPr>
        <w:t xml:space="preserve">Notes: </w:t>
      </w:r>
      <w:r>
        <w:t>abstract_source=crossref</w:t>
      </w:r>
    </w:p>
    <w:p>
      <w:pPr>
        <w:spacing w:before="0" w:after="80" w:lineRule="auto" w:line="276"/>
      </w:pPr>
      <w:r>
        <w:rPr>
          <w:b/>
        </w:rPr>
        <w:t xml:space="preserve">摘要（ZH）: </w:t>
      </w:r>
      <w:r>
        <w:t>摘要 在复杂的曲面上制造导电电路对于保形电子产品来说仍然是一个重大挑战，特别是对于软质和增材制造的聚合物基板。我们报告了一种强大的、保形的 GOPS 辅助转移印刷策略，用于将喷墨印刷的 PEDOT:PSS 图案集成到传统上难以印刷和非平面的表面上。在这种方法中，首先在平面聚酰亚胺供体基板上限定导电特征，然后将其转移到目标基板上。将(3-缩水甘油氧基丙基)三甲氧基硅烷 (GOPS) 纳入 PEDOT:PSS 中可促进牢固的共价键合，确保转印图案卓越的界面附着力和结构完整性。该转移工艺与多种非平面基材兼容，包括兼容的 PDMS、曲面玻璃和立体光刻 (SLA) 印刷树脂。虽然在这些基材上直接印刷通常会遇到润湿性差或非平面表面的问题，但这种转移策略产生的连续路径可以保留原始形态和电气性能。转移薄膜表现出优异的稳定性，通过重复弯曲和水浸保持功能而不会分层。作为演示，功能性有机电化学晶体管 (OECT) 通过多步工艺在弯曲 3D 打印基板上制造，独立转移电极和半导体通道，并对 5 至 1000 nM 的多巴胺表现出浓度依赖性响应。这些结果为国际化建立了一条通用途径</w:t>
      </w:r>
    </w:p>
    <w:p>
      <w:pPr>
        <w:spacing w:before="0" w:after="200" w:lineRule="auto" w:line="276"/>
      </w:pPr>
      <w:r>
        <w:rPr>
          <w:b/>
        </w:rPr>
        <w:t xml:space="preserve">Abstract (EN): </w:t>
      </w:r>
      <w:r>
        <w:t>Fabricating conductive circuits on complex curved surfaces remains a significant challenge for conformal electronics, particularly for soft and additively manufactured polymer substrates. We report a robust, conformal GOPS-assisted transfer-printing strategy for integrating inkjet-printed PEDOT:PSS patterns onto traditionally hard-to-print and non-planar surfaces. In this approach, conductive features are first defined on a planar polyimide donor substrate and subsequently transferred to the target substrate. The incorporation of (3-glycidyloxypropyl)trimethoxysilane (GOPS) into PEDOT:PSS facilitates strong covalent bonding, ensuring exceptional interfacial adhesion and structural integrity of transferred patterns. This transfer process is compatible with diverse non-planar substrates, including compliant PDMS, curved glass, and stereolithography (SLA)-printed resins. While direct printing on these substrates often suffers from poor wetting or non-planar surfaces, this transfer strategy yields continuous pathways that preserve the original morphology and electrical performance. Transferred films exhibited excellent stability, maintaining functionality through repetitive bending and aqueous immersion without delamination. As a demonstration, a functional organic electrochemical transistor (OECT) was fabricated on a curved 3D-printed substrate through a multi-step process, independently transferring electrodes and a semiconducting channel, and exhibited concentration-dependent responses to dopamine from 5 to 1000 nM. These results establish a versatile route for integrating printed conductive patterns and functional devices on complex polymer geometries.</w:t>
      </w:r>
    </w:p>
    <w:p>
      <w:pPr>
        <w:spacing w:before="120" w:after="120"/>
      </w:pPr>
      <w:r>
        <w:rPr>
          <w:sz w:val="18"/>
        </w:rPr>
        <w:t>——————————————————————————————————————————————————————————————————————</w:t>
      </w:r>
    </w:p>
    <w:p>
      <w:pPr>
        <w:spacing w:before="160" w:after="40" w:line="240" w:lineRule="auto"/>
      </w:pPr>
      <w:r>
        <w:rPr>
          <w:b/>
        </w:rPr>
        <w:t xml:space="preserve">[1327] </w:t>
      </w:r>
      <w:hyperlink r:id="rId2239">
        <w:r>
          <w:rPr>
            <w:color w:val="1155CC"/>
            <w:u w:val="single"/>
          </w:rPr>
          <w:t>羰基锰类过氧化物酶纳米酶与葡萄糖氧化酶级联，结合卟啉-COFs基光疗与CO介导免疫调节用于糖尿病伤口修复</w:t>
        </w:r>
      </w:hyperlink>
    </w:p>
    <w:p>
      <w:pPr>
        <w:spacing w:before="0" w:after="80"/>
      </w:pPr>
      <w:r>
        <w:rPr>
          <w:i/>
          <w:sz w:val="20"/>
        </w:rPr>
        <w:t>EN: Manganese Carbonyl-Based Peroxidase-like Nanoenzyme Cascading with Glucose Oxidase, Combined with Porphyrin-COFs-Based Phototherapy and CO-Mediated Immunomodulation for Diabetic Wound Repair</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240">
        <w:r>
          <w:rPr>
            <w:color w:val="1155CC"/>
            <w:u w:val="single"/>
          </w:rPr>
          <w:t>10.1021/acsami.6c13461</w:t>
        </w:r>
      </w:hyperlink>
    </w:p>
    <w:p>
      <w:pPr>
        <w:spacing w:before="0" w:after="120"/>
      </w:pPr>
      <w:r>
        <w:rPr>
          <w:b/>
        </w:rPr>
        <w:t xml:space="preserve">Notes: </w:t>
      </w:r>
      <w:r>
        <w:t>abstract_source=crossref</w:t>
      </w:r>
    </w:p>
    <w:p>
      <w:pPr>
        <w:spacing w:before="0" w:after="80" w:lineRule="auto" w:line="276"/>
      </w:pPr>
      <w:r>
        <w:rPr>
          <w:b/>
        </w:rPr>
        <w:t xml:space="preserve">摘要（ZH）: </w:t>
      </w:r>
      <w:r>
        <w:t>摘要 由于血管功能不全、细菌感染和持续炎症，糖尿病伤口仍然是全球健康挑战。在此，我们设计并制备了具有抗菌、抗炎和促进血管生成作用的三重协同纳米酶平台，该平台由卟啉共价有机框架（Por-COF）与葡萄糖氧化酶（GOx）和羰基锰（MnCO）共负载而形成。在近红外照射下，Por-COFs产生大量活性氧（ROS）并产生局部高温。同时，GOx 消耗伤口中的葡萄糖产生葡萄糖酸和 H2O2，从而触发 MnCO 分解为免疫调节性一氧化碳 (CO) 和具有催化活性的 Mn2+/3+ 离子。释放的Mn2+/3+离子通过类过氧化物酶活性催化H2O2产生剧毒·OH，增强细菌消除，而产生的CO改善M1到M2巨噬细胞极化以解决炎症并抑制热休克蛋白以增强PTT功效。这种制备的纳米平台（Por-COF@GOx/MnCO）对大肠杆菌、金黄色葡萄球菌和耐甲氧西林金黄色葡萄球菌的抗菌效率达到99.99%以上，并通过促进血管生成、ROS清除和免疫调节来加速伤口愈合。设计的三重协同纳米平台——整合葡萄糖氧化酶级联基于MnCO的过氧化物酶样活性、光疗和CO免疫调节——显示出作为糖尿病伤口修复治疗策略的巨大潜力。</w:t>
      </w:r>
    </w:p>
    <w:p>
      <w:pPr>
        <w:spacing w:before="0" w:after="200" w:lineRule="auto" w:line="276"/>
      </w:pPr>
      <w:r>
        <w:rPr>
          <w:b/>
        </w:rPr>
        <w:t xml:space="preserve">Abstract (EN): </w:t>
      </w:r>
      <w:r>
        <w:t>Diabetic wounds remain a global health challenge due to vascular insufficiency, bacterial infection, and persistent inflammation. Herein, we designed and prepared a triple-synergistic nanoenzyme platform with antibacterial, anti-inflammatory, and angiogenesis-promoting effects, which was formed by coloading a porphyrin covalent organic framework (Por-COF) with glucose oxidase (GOx) and manganese carbonyl (MnCO). Under near-infrared irradiation, Por-COFs produce a large number of reactive oxygen species (ROS) and localized hyperthermia. Simultaneously, GOx consumes the glucose in wounds to produce gluconic acid and H2O2, which trigger the decomposition of MnCO into immunomodulatory carbon monoxide (CO) and catalytically active Mn2+/3+ ions. The released Mn2+/3+ ions catalyze H2O2 to produce highly toxic •OH through peroxidase-like activity, enhancing bacterial elimination, while the produced CO improves M1-to-M2 macrophage polarization to resolve inflammation and suppresses heat-shock proteins to enhance PTT efficacy. This prepared nanoplatform (Por-COF@GOx/MnCO) achieved more than 99.99% antibacterial efficiency against Escherichia coli, Staphylococcus aureus, and methicillin-resistant Staphylococcus aureus and accelerated wound healing by promoting angiogenesis, ROS scavenging, and immunomodulation. The designed triple-synergistic nanoplatform—integrating glucose oxidase cascading MnCO-based peroxidase-like activity, phototherapy, and CO immunomodulation—shows great potential as a therapeutic strategy for diabetic wound repair.</w:t>
      </w:r>
    </w:p>
    <w:p>
      <w:pPr>
        <w:spacing w:before="120" w:after="120"/>
      </w:pPr>
      <w:r>
        <w:rPr>
          <w:sz w:val="18"/>
        </w:rPr>
        <w:t>——————————————————————————————————————————————————————————————————————</w:t>
      </w:r>
    </w:p>
    <w:p>
      <w:pPr>
        <w:spacing w:before="160" w:after="40" w:line="240" w:lineRule="auto"/>
      </w:pPr>
      <w:r>
        <w:rPr>
          <w:b/>
        </w:rPr>
        <w:t xml:space="preserve">[1328] </w:t>
      </w:r>
      <w:hyperlink r:id="rId2241">
        <w:r>
          <w:rPr>
            <w:color w:val="1155CC"/>
            <w:u w:val="single"/>
          </w:rPr>
          <w:t>大宗商品价格波动对欧洲经济体主权风险的影响：俄乌冲突的案例</w:t>
        </w:r>
      </w:hyperlink>
    </w:p>
    <w:p>
      <w:pPr>
        <w:spacing w:before="0" w:after="80"/>
      </w:pPr>
      <w:r>
        <w:rPr>
          <w:i/>
          <w:sz w:val="20"/>
        </w:rPr>
        <w:t>EN: Impact of commodity prices volatility on the sovereign risk of European economies: the case of the Russo-Ukrainian conflict</w:t>
      </w:r>
    </w:p>
    <w:p>
      <w:pPr>
        <w:spacing w:before="0" w:after="120"/>
      </w:pPr>
      <w:r>
        <w:rPr>
          <w:b/>
        </w:rPr>
        <w:t xml:space="preserve">Source: </w:t>
      </w:r>
      <w:r>
        <w:t>ScienceDirect Publication: Energy Policy</w:t>
      </w:r>
      <w:r>
        <w:t xml:space="preserve">    </w:t>
      </w:r>
      <w:r>
        <w:rPr>
          <w:b/>
        </w:rPr>
        <w:t xml:space="preserve">Pub date: </w:t>
      </w:r>
      <w:r>
        <w:t>2026-09-03 00:00:00+00:00</w:t>
      </w:r>
      <w:r>
        <w:t xml:space="preserve">    </w:t>
      </w:r>
      <w:r>
        <w:rPr>
          <w:b/>
        </w:rPr>
        <w:t xml:space="preserve">DOI: </w:t>
      </w:r>
      <w:hyperlink r:id="rId2242">
        <w:r>
          <w:rPr>
            <w:color w:val="1155CC"/>
            <w:u w:val="single"/>
          </w:rPr>
          <w:t>10.1016/j.enpol.2026.115588</w:t>
        </w:r>
      </w:hyperlink>
    </w:p>
    <w:p>
      <w:pPr>
        <w:spacing w:before="0" w:after="120"/>
      </w:pPr>
      <w:r>
        <w:rPr>
          <w:b/>
        </w:rPr>
        <w:t xml:space="preserve">Notes: </w:t>
      </w:r>
      <w:r>
        <w:t>abstract_source=openalex</w:t>
      </w:r>
    </w:p>
    <w:p>
      <w:pPr>
        <w:spacing w:before="0" w:after="80" w:lineRule="auto" w:line="276"/>
      </w:pPr>
      <w:r>
        <w:rPr>
          <w:b/>
        </w:rPr>
        <w:t xml:space="preserve">摘要（ZH）: </w:t>
      </w:r>
      <w:r>
        <w:t>本文研究了俄罗斯-乌克兰冲突对欧洲经济体大宗商品价格波动与主权风险之间关系的影响。我们重点关注主要农产品（小麦、油菜籽和玉米）和能源商品（石油、天然气和煤炭），研究了欧洲农作物出口和生产国的情况：法国、德国、波兰、罗马尼亚、匈牙利、保加利亚、捷克、意大利、葡萄牙、西班牙、荷兰、丹麦、比利时、芬兰和英国。我们的研究结果表明，溢出效应主要源自主权风险，而大宗商品主要是冲击接收器。自冲突开始以来，天然气溢出的贡献有所增加，而小麦、玉米和煤炭的溢出贡献则有所下降。此外，来自中欧、芬兰的风险传导也加剧。总体而言，研究结果表明，地缘政治紧张局势推动了大宗商品相关风险在欧盟和英国的溢出传播。</w:t>
      </w:r>
    </w:p>
    <w:p>
      <w:pPr>
        <w:spacing w:before="0" w:after="200" w:lineRule="auto" w:line="276"/>
      </w:pPr>
      <w:r>
        <w:rPr>
          <w:b/>
        </w:rPr>
        <w:t xml:space="preserve">Abstract (EN): </w:t>
      </w:r>
      <w:r>
        <w:t>This paper investigates the impact of the Russo-Ukrainian conflict on the relationship between commodity price volatility and sovereign risk in European economies. Focusing on key agricultural commodities (wheat, rapeseed, and maize) and energy commodities (oil, gas, and coal) we examine the situation in European crop exporting and producing countries: France, Germany, Poland, Romania, Hungary, Bulgaria, Czechia, Italy, Portugal, Spain, the Netherlands, Denmark, Belgium, Finland, and the United Kingdom. Our results reveal that the spillovers originate primarily from the sovereign risk, while commodities are mainly shock receivers. Since the conflict began, the contribution of gas spillovers has increased, while that of wheat, maize, and coal has decreased. Moreover, the transmission of risks from Central Europe and Finland has also intensified. Overall, the findings suggest that geopolitical tensions drive the spillover transmission of commodity-related risk across the European Union and the UK.</w:t>
      </w:r>
    </w:p>
    <w:p>
      <w:pPr>
        <w:spacing w:before="120" w:after="120"/>
      </w:pPr>
      <w:r>
        <w:rPr>
          <w:sz w:val="18"/>
        </w:rPr>
        <w:t>——————————————————————————————————————————————————————————————————————</w:t>
      </w:r>
    </w:p>
    <w:p>
      <w:pPr>
        <w:spacing w:before="160" w:after="40" w:line="240" w:lineRule="auto"/>
      </w:pPr>
      <w:r>
        <w:rPr>
          <w:b/>
        </w:rPr>
        <w:t xml:space="preserve">[1329] </w:t>
      </w:r>
      <w:hyperlink r:id="rId2243">
        <w:r>
          <w:rPr>
            <w:color w:val="1155CC"/>
            <w:u w:val="single"/>
          </w:rPr>
          <w:t>一种胚胎来源的肽信号指导拟南芥胚乳极性</w:t>
        </w:r>
      </w:hyperlink>
    </w:p>
    <w:p>
      <w:pPr>
        <w:spacing w:before="0" w:after="80"/>
      </w:pPr>
      <w:r>
        <w:rPr>
          <w:i/>
          <w:sz w:val="20"/>
        </w:rPr>
        <w:t>EN: An embryo-derived peptide signal directs endosperm polarity in Arabidopsis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244">
        <w:r>
          <w:rPr>
            <w:color w:val="1155CC"/>
            <w:u w:val="single"/>
          </w:rPr>
          <w:t>10.1126/science.aed6035</w:t>
        </w:r>
      </w:hyperlink>
    </w:p>
    <w:p>
      <w:pPr>
        <w:spacing w:before="0" w:after="120"/>
      </w:pPr>
      <w:r>
        <w:rPr>
          <w:b/>
        </w:rPr>
        <w:t xml:space="preserve">Notes: </w:t>
      </w:r>
      <w:r>
        <w:t>abstract_source=crossref</w:t>
      </w:r>
    </w:p>
    <w:p>
      <w:pPr>
        <w:spacing w:before="0" w:after="80" w:lineRule="auto" w:line="276"/>
      </w:pPr>
      <w:r>
        <w:rPr>
          <w:b/>
        </w:rPr>
        <w:t xml:space="preserve">摘要（ZH）: </w:t>
      </w:r>
      <w:r>
        <w:t>被子植物种子的形成需要双重受精的产物——胚胎和胚乳的协调发育。胚乳介导从周围母体组织到发育中胚胎的有效营养转移。该功能需要极化的组织组织，表现为早期的极性基因表达和极性细胞化动力学。我们发现受体激酶 HAIKU2 (IKU2) 与转录因子 WRKY10/MINISEED3 (MINI3) 协同作用，通过同源结构域转录因子 WUSCHEL 相关同源盒 8 (WOX8) 和 WOX9 的活性确保稳健的胚乳极性建立。该过程取决于卵细胞受精，并通过肽类病原体诱导肽 7 (PIPL7) 介导，PIPL7 可作为潜在的 IKU2 配体。我们的结果揭示了胚胎和胚乳之间的分子旁分泌对话如何确保最佳的种子发育协调。</w:t>
      </w:r>
    </w:p>
    <w:p>
      <w:pPr>
        <w:spacing w:before="0" w:after="200" w:lineRule="auto" w:line="276"/>
      </w:pPr>
      <w:r>
        <w:rPr>
          <w:b/>
        </w:rPr>
        <w:t xml:space="preserve">Abstract (EN): </w:t>
      </w:r>
      <w:r>
        <w:t>Angiosperm seed formation requires the coordinated development of the products of double fertilization—the embryo and the endosperm. The endosperm mediates efficient nutrient transfer from surrounding maternal tissues to the developing embryo. This function requires a polarized tissue organization, which manifests as early polar gene expression and polar cellularization dynamics. We show that the receptor kinase HAIKU2 (IKU2) acts in coordination with the transcription factor WRKY10/MINISEED3 (MINI3) to ensure robust endosperm polarity establishment through the activity of the homeodomain transcription factors WUSCHEL-RELATED HOMEOBOX 8 (WOX8) and WOX9. This process depends on egg cell fertilization and is mediated through the peptide PATHOGEN-INDUCED PEPTIDE–LIKE 7 (PIPL7), which acts as a potential IKU2 ligand. Our results reveal how a molecular paracrine dialog between the embryo and endosperm ensures optimal seed developmental coordination.</w:t>
      </w:r>
    </w:p>
    <w:p>
      <w:pPr>
        <w:spacing w:before="120" w:after="120"/>
      </w:pPr>
      <w:r>
        <w:rPr>
          <w:sz w:val="18"/>
        </w:rPr>
        <w:t>——————————————————————————————————————————————————————————————————————</w:t>
      </w:r>
    </w:p>
    <w:p>
      <w:pPr>
        <w:spacing w:before="160" w:after="40" w:line="240" w:lineRule="auto"/>
      </w:pPr>
      <w:r>
        <w:rPr>
          <w:b/>
        </w:rPr>
        <w:t xml:space="preserve">[1330] </w:t>
      </w:r>
      <w:hyperlink r:id="rId2245">
        <w:r>
          <w:rPr>
            <w:color w:val="1155CC"/>
            <w:u w:val="single"/>
          </w:rPr>
          <w:t>用于焦亡驱动肿瘤清除的中性粒细胞启发的可编程细菌</w:t>
        </w:r>
      </w:hyperlink>
    </w:p>
    <w:p>
      <w:pPr>
        <w:spacing w:before="0" w:after="80"/>
      </w:pPr>
      <w:r>
        <w:rPr>
          <w:i/>
          <w:sz w:val="20"/>
        </w:rPr>
        <w:t>EN: Neutrophil-Inspired Programmable Bacteria for Pyroptosis-Driven Tumor Eradication</w:t>
      </w:r>
    </w:p>
    <w:p>
      <w:pPr>
        <w:spacing w:before="0" w:after="120"/>
      </w:pPr>
      <w:r>
        <w:rPr>
          <w:b/>
        </w:rPr>
        <w:t xml:space="preserve">Source: </w:t>
      </w:r>
      <w:r>
        <w:t>Journal of the American Chemical Society: Latest Articles (ACS Publications)</w:t>
      </w:r>
      <w:r>
        <w:t xml:space="preserve">    </w:t>
      </w:r>
      <w:r>
        <w:rPr>
          <w:b/>
        </w:rPr>
        <w:t xml:space="preserve">Pub date: </w:t>
      </w:r>
      <w:r>
        <w:t>2026-09-03 00:00:00+00:00</w:t>
      </w:r>
      <w:r>
        <w:t xml:space="preserve">    </w:t>
      </w:r>
      <w:r>
        <w:rPr>
          <w:b/>
        </w:rPr>
        <w:t xml:space="preserve">DOI: </w:t>
      </w:r>
      <w:hyperlink r:id="rId2246">
        <w:r>
          <w:rPr>
            <w:color w:val="1155CC"/>
            <w:u w:val="single"/>
          </w:rPr>
          <w:t>10.1021/jacs.6c16051</w:t>
        </w:r>
      </w:hyperlink>
    </w:p>
    <w:p>
      <w:pPr>
        <w:spacing w:before="0" w:after="120"/>
      </w:pPr>
      <w:r>
        <w:rPr>
          <w:b/>
        </w:rPr>
        <w:t xml:space="preserve">Notes: </w:t>
      </w:r>
      <w:r>
        <w:t>abstract_source=crossref</w:t>
      </w:r>
    </w:p>
    <w:p>
      <w:pPr>
        <w:spacing w:before="0" w:after="80" w:lineRule="auto" w:line="276"/>
      </w:pPr>
      <w:r>
        <w:rPr>
          <w:b/>
        </w:rPr>
        <w:t xml:space="preserve">摘要（ZH）: </w:t>
      </w:r>
      <w:r>
        <w:t>摘要 中性粒细胞代表先天免疫的关键组成部分，具有涉及趋化性、脱颗粒和裂解效应器部署的内在细胞毒性程序。在这里，我们报告了一种通过合成生物学和分子工程开发的中性粒细胞启发的可编程细菌（NPB）系统。非致病性大肠杆菌 MG1655 被编程为执行一个连续的四阶段程序，其灵感来自中性粒细胞的“归巢-爆发-致死”逻辑，具有时空控制的激活：（I）优先归巢到缺氧肿瘤区域； (II) 通过 VHb 介导的 ROS 生成，声动力驱动细菌破坏和按需释放有效负载； (III)颗粒酶B酶原(m-GzmB-T)的肿瘤相关明胶酶响应性激活； (IV)细胞焦亡介导的全身抗肿瘤免疫的增强。 NPB系统结合聚焦超声在小鼠CT26、MC38和EMT6肿瘤模型中表现出一致的抗肿瘤​​功效，同时促进全身抗肿瘤免疫反应和持久的免疫记忆。这项工作展示了利用连续的物理和生化控制机制改造活细菌来执行生物启发的治疗级联的潜力，为精准癌症免疫治疗提供了可编程和模块化平台。</w:t>
      </w:r>
    </w:p>
    <w:p>
      <w:pPr>
        <w:spacing w:before="0" w:after="200" w:lineRule="auto" w:line="276"/>
      </w:pPr>
      <w:r>
        <w:rPr>
          <w:b/>
        </w:rPr>
        <w:t xml:space="preserve">Abstract (EN): </w:t>
      </w:r>
      <w:r>
        <w:t>Neutrophils represent a critical component of innate immunity, possessing intrinsic cytotoxic programs involving chemotaxis, degranulation, and lytic effector deployment. Here we report a neutrophil-inspired programmable bacteria (NPB) system developed via synthetic biology and molecular engineering. The nonpathogenic Escherichia coli MG1655 is programmed to execute a sequential four-stage program inspired by the “homing–bursting–lethality” logic of neutrophils with spatiotemporally controlled activation: (I) Preferential homing to hypoxic tumor regions; (II) Sonodynamic actuation of bacterial disruption and on-demand payload release via VHb-mediated ROS generation; (III) Tumor-associated gelatinase-responsive activation of Granzyme B zymogen (m-GzmB-T); and (IV) Pyroptosis-mediated enhancement of systemic antitumor immunity. The NPB system combined with focused ultrasound exhibited consistent antitumor efficacy across murine CT26, MC38, and EMT6 tumor models, while promoting systemic antitumor immune responses and durable immune memory. This work demonstrates the potential of engineering live bacteria with sequential physical and biochemical control mechanisms to execute bioinspired therapeutic cascades, providing a programmable and modular platform for precision cancer immunotherapy.</w:t>
      </w:r>
    </w:p>
    <w:p>
      <w:pPr>
        <w:spacing w:before="120" w:after="120"/>
      </w:pPr>
      <w:r>
        <w:rPr>
          <w:sz w:val="18"/>
        </w:rPr>
        <w:t>——————————————————————————————————————————————————————————————————————</w:t>
      </w:r>
    </w:p>
    <w:p>
      <w:pPr>
        <w:spacing w:before="160" w:after="40" w:line="240" w:lineRule="auto"/>
      </w:pPr>
      <w:r>
        <w:rPr>
          <w:b/>
        </w:rPr>
        <w:t xml:space="preserve">[1331] </w:t>
      </w:r>
      <w:hyperlink r:id="rId2247">
        <w:r>
          <w:rPr>
            <w:color w:val="1155CC"/>
            <w:u w:val="single"/>
          </w:rPr>
          <w:t>人类中旁系同源补偿的中等流行率及其演化成因</w:t>
        </w:r>
      </w:hyperlink>
    </w:p>
    <w:p>
      <w:pPr>
        <w:spacing w:before="0" w:after="80"/>
      </w:pPr>
      <w:r>
        <w:rPr>
          <w:i/>
          <w:sz w:val="20"/>
        </w:rPr>
        <w:t>EN: Moderate prevalence and evolutionary causes of paralogous compensation in humans</w:t>
      </w:r>
    </w:p>
    <w:p>
      <w:pPr>
        <w:spacing w:before="0" w:after="120"/>
      </w:pPr>
      <w:r>
        <w:rPr>
          <w:b/>
        </w:rPr>
        <w:t xml:space="preserve">Source: </w:t>
      </w:r>
      <w:r>
        <w:t>National Science Review Advance Access</w:t>
      </w:r>
      <w:r>
        <w:t xml:space="preserve">    </w:t>
      </w:r>
      <w:r>
        <w:rPr>
          <w:b/>
        </w:rPr>
        <w:t xml:space="preserve">Pub date: </w:t>
      </w:r>
      <w:r>
        <w:t>2026-09-03 00:00:00+00:00</w:t>
      </w:r>
      <w:r>
        <w:t xml:space="preserve">    </w:t>
      </w:r>
      <w:r>
        <w:rPr>
          <w:b/>
        </w:rPr>
        <w:t xml:space="preserve">DOI: </w:t>
      </w:r>
      <w:hyperlink r:id="rId2248">
        <w:r>
          <w:rPr>
            <w:color w:val="1155CC"/>
            <w:u w:val="single"/>
          </w:rPr>
          <w:t>10.1093/nsr/nwag565</w:t>
        </w:r>
      </w:hyperlink>
    </w:p>
    <w:p>
      <w:pPr>
        <w:spacing w:before="0" w:after="120"/>
      </w:pPr>
      <w:r>
        <w:rPr>
          <w:b/>
        </w:rPr>
        <w:t xml:space="preserve">Notes: </w:t>
      </w:r>
      <w:r>
        <w:t>abstract_source=rss_oup</w:t>
      </w:r>
    </w:p>
    <w:p>
      <w:pPr>
        <w:spacing w:before="0" w:after="80" w:lineRule="auto" w:line="276"/>
      </w:pPr>
      <w:r>
        <w:rPr>
          <w:b/>
        </w:rPr>
        <w:t xml:space="preserve">摘要（ZH）: </w:t>
      </w:r>
      <w:r>
        <w:t>旁系同源补偿驱动遗传稳健性；然而，其在体内</w:t>
      </w:r>
    </w:p>
    <w:p>
      <w:pPr>
        <w:spacing w:before="0" w:after="200" w:lineRule="auto" w:line="276"/>
      </w:pPr>
      <w:r>
        <w:rPr>
          <w:b/>
        </w:rPr>
        <w:t xml:space="preserve">Abstract (EN): </w:t>
      </w:r>
      <w:r>
        <w:t>Paralogous compensation drives genetic robustness; however, its in vivo</w:t>
      </w:r>
    </w:p>
    <w:p>
      <w:pPr>
        <w:spacing w:before="120" w:after="120"/>
      </w:pPr>
      <w:r>
        <w:rPr>
          <w:sz w:val="18"/>
        </w:rPr>
        <w:t>——————————————————————————————————————————————————————————————————————</w:t>
      </w:r>
    </w:p>
    <w:p>
      <w:pPr>
        <w:spacing w:before="160" w:after="40" w:line="240" w:lineRule="auto"/>
      </w:pPr>
      <w:r>
        <w:rPr>
          <w:b/>
        </w:rPr>
        <w:t xml:space="preserve">[1332] </w:t>
      </w:r>
      <w:hyperlink r:id="rId2249">
        <w:r>
          <w:rPr>
            <w:color w:val="1155CC"/>
            <w:u w:val="single"/>
          </w:rPr>
          <w:t>仿生皮脂有机凝胶增强细胞膜流动性以实现无瘢痕伤口愈合</w:t>
        </w:r>
      </w:hyperlink>
    </w:p>
    <w:p>
      <w:pPr>
        <w:spacing w:before="0" w:after="80"/>
      </w:pPr>
      <w:r>
        <w:rPr>
          <w:i/>
          <w:sz w:val="20"/>
        </w:rPr>
        <w:t>EN: Biomimetic sebum organogel enhances cell membrane fluidity for scarless wound healing</w:t>
      </w:r>
    </w:p>
    <w:p>
      <w:pPr>
        <w:spacing w:before="0" w:after="120"/>
      </w:pPr>
      <w:r>
        <w:rPr>
          <w:b/>
        </w:rPr>
        <w:t xml:space="preserve">Source: </w:t>
      </w:r>
      <w:r>
        <w:t>National Science Review Advance Access</w:t>
      </w:r>
      <w:r>
        <w:t xml:space="preserve">    </w:t>
      </w:r>
      <w:r>
        <w:rPr>
          <w:b/>
        </w:rPr>
        <w:t xml:space="preserve">Pub date: </w:t>
      </w:r>
      <w:r>
        <w:t>2026-09-03 00:00:00+00:00</w:t>
      </w:r>
      <w:r>
        <w:t xml:space="preserve">    </w:t>
      </w:r>
      <w:r>
        <w:rPr>
          <w:b/>
        </w:rPr>
        <w:t xml:space="preserve">DOI: </w:t>
      </w:r>
      <w:hyperlink r:id="rId2250">
        <w:r>
          <w:rPr>
            <w:color w:val="1155CC"/>
            <w:u w:val="single"/>
          </w:rPr>
          <w:t>10.1093/nsr/nwag567</w:t>
        </w:r>
      </w:hyperlink>
    </w:p>
    <w:p>
      <w:pPr>
        <w:spacing w:before="0" w:after="120"/>
      </w:pPr>
      <w:r>
        <w:rPr>
          <w:b/>
        </w:rPr>
        <w:t xml:space="preserve">Notes: </w:t>
      </w:r>
      <w:r>
        <w:t>abstract_source=rss_oup</w:t>
      </w:r>
    </w:p>
    <w:p>
      <w:pPr>
        <w:spacing w:before="0" w:after="80" w:lineRule="auto" w:line="276"/>
      </w:pPr>
      <w:r>
        <w:rPr>
          <w:b/>
        </w:rPr>
        <w:t xml:space="preserve">摘要（ZH）: </w:t>
      </w:r>
      <w:r>
        <w:t>伤口疤痕带来了巨大的临床负担和美观，影响着全球数百万人。在此，受人类皮脂的物理保护和信号调节功能的启发，我们开发了一种仿生皮脂有机凝胶，用于无疤痕伤口愈合。这种有机凝胶由磷钨酸钙亚纳米线 (PWC) 和角鲨烯 (Sql)（人类皮脂的天然成分）组成。 PWC 胶化 Sql 具有高粘附力，用于伤口保留和 Sql 释放。释放的 Sql 整合到成纤维细胞的质膜中，增强脂质双层的流动性，通过促进膜相关细胞骨架适应来缓解伤口张力，并随后抑制 Yes 相关蛋白 (YAP) 激活。通过这种机制，仿生皮脂有机凝胶可减少疤痕形成并促进皮肤附属器的再生。我们的研究结果提出了一种预防疤痕的可行策略，并强调细胞膜流动性的调节是减轻一系列疾病的纤维化状况的有希望的目标。</w:t>
      </w:r>
    </w:p>
    <w:p>
      <w:pPr>
        <w:spacing w:before="0" w:after="200" w:lineRule="auto" w:line="276"/>
      </w:pPr>
      <w:r>
        <w:rPr>
          <w:b/>
        </w:rPr>
        <w:t xml:space="preserve">Abstract (EN): </w:t>
      </w:r>
      <w:r>
        <w:t>Wound scars impose a substantial clinical burden and aesthetic appearance, affecting millions of individuals globally. Herein, inspired by the physical protection and signal-regulating functions of human sebum, we developed a biomimetic sebum organogel for scarless wound healing. This organogel is composed of calcium phosphotungstate sub-nanowires (PWC) and squalene (Sql)—a natural component of human sebum. The PWC gelatinize Sql with high adhesion force for wound retention and Sql release. The released Sql integrates into the plasma membrane of fibroblasts, where it enhances lipid bilayer fluidity, relieves wound tension by facilitating membrane-associated cytoskeleton adaptation, and subsequently suppresses Yes-associated protein (YAP) activation. Through this mechanism, the biomimetic sebum organogel reduces scar formation and promotes regeneration of skin appendages. Our findings present an accessible strategy for scar prevention and also highlight the regulation of cellular membrane fluidity as a promising target for mitigating fibrotic conditions across a range of diseases.</w:t>
      </w:r>
    </w:p>
    <w:p>
      <w:pPr>
        <w:spacing w:before="120" w:after="120"/>
      </w:pPr>
      <w:r>
        <w:rPr>
          <w:sz w:val="18"/>
        </w:rPr>
        <w:t>——————————————————————————————————————————————————————————————————————</w:t>
      </w:r>
    </w:p>
    <w:p>
      <w:pPr>
        <w:spacing w:before="160" w:after="40" w:line="240" w:lineRule="auto"/>
      </w:pPr>
      <w:r>
        <w:rPr>
          <w:b/>
        </w:rPr>
        <w:t xml:space="preserve">[1333] </w:t>
      </w:r>
      <w:hyperlink r:id="rId2251">
        <w:r>
          <w:rPr>
            <w:color w:val="1155CC"/>
            <w:u w:val="single"/>
          </w:rPr>
          <w:t>具有层依赖符号变化的三维拓扑自旋织构之间的相互作用调控晶格对称性</w:t>
        </w:r>
      </w:hyperlink>
    </w:p>
    <w:p>
      <w:pPr>
        <w:spacing w:before="0" w:after="80"/>
      </w:pPr>
      <w:r>
        <w:rPr>
          <w:i/>
          <w:sz w:val="20"/>
        </w:rPr>
        <w:t>EN: Interaction Between Three‐Dimensional Topological Spin Textures With Layer‐Dependent Sign Change Tunes Lattice Symmetry</w:t>
      </w:r>
    </w:p>
    <w:p>
      <w:pPr>
        <w:spacing w:before="0" w:after="120"/>
      </w:pPr>
      <w:r>
        <w:rPr>
          <w:b/>
        </w:rPr>
        <w:t xml:space="preserve">Source: </w:t>
      </w:r>
      <w:r>
        <w:t>Advanced Materials</w:t>
      </w:r>
      <w:r>
        <w:t xml:space="preserve">    </w:t>
      </w:r>
      <w:r>
        <w:rPr>
          <w:b/>
        </w:rPr>
        <w:t xml:space="preserve">Pub date: </w:t>
      </w:r>
      <w:r>
        <w:t>2026-09-03 00:00:00+00:00</w:t>
      </w:r>
      <w:r>
        <w:t xml:space="preserve">    </w:t>
      </w:r>
      <w:r>
        <w:rPr>
          <w:b/>
        </w:rPr>
        <w:t xml:space="preserve">DOI: </w:t>
      </w:r>
      <w:hyperlink r:id="rId2252">
        <w:r>
          <w:rPr>
            <w:color w:val="1155CC"/>
            <w:u w:val="single"/>
          </w:rPr>
          <w:t>10.1002/adma.74896</w:t>
        </w:r>
      </w:hyperlink>
    </w:p>
    <w:p>
      <w:pPr>
        <w:spacing w:before="0" w:after="120"/>
      </w:pPr>
      <w:r>
        <w:rPr>
          <w:b/>
        </w:rPr>
        <w:t xml:space="preserve">Notes: </w:t>
      </w:r>
      <w:r>
        <w:t>abstract_source=crossref</w:t>
      </w:r>
    </w:p>
    <w:p>
      <w:pPr>
        <w:spacing w:before="0" w:after="80" w:lineRule="auto" w:line="276"/>
      </w:pPr>
      <w:r>
        <w:rPr>
          <w:b/>
        </w:rPr>
        <w:t xml:space="preserve">摘要（ZH）: </w:t>
      </w:r>
      <w:r>
        <w:t>摘要：三维（3D）拓扑自旋纹理在厚度维度上拥有丰富的内部结构，并能够实现新兴的拓扑现象。然而，它们的层解析纹理和内部奇点是否从根本上改变了层内相互作用超出了刚性管相互作用模型的范围，仍未得到探索。在这里，我们表明，在 3D 混合斯格明子-反斯格明子弦中，依赖于层的拓扑会引起整个薄膜厚度上符号变化的相互作用，从而在每个纹理内的不同层之间以及相邻 3D 弦之间产生吸引力和排斥力之间的切换。这种垂直不对称的吸引-排斥相互作用驱动方形和三角形弦晶格之间的可调过渡，与我们的实验一致。计算模拟将四极布洛赫点识别为内部拓扑连接点，其垂直迁移介导表面附近的排斥斯格明子片段与内部有吸引力的反斯格明子片段之间的层内竞争。我们进一步表明，平均拓扑电荷量化了两个竞争拓扑段的相对厚度分数，并在广泛的磁参数范围内稳健地捕获晶格相界。这些发现强调了拓扑材料中表面体积差异的重要性，并将垂直不对称相互作用确立为 3D 磁系统中拓扑相位控制的内在机制。</w:t>
      </w:r>
    </w:p>
    <w:p>
      <w:pPr>
        <w:spacing w:before="0" w:after="200" w:lineRule="auto" w:line="276"/>
      </w:pPr>
      <w:r>
        <w:rPr>
          <w:b/>
        </w:rPr>
        <w:t xml:space="preserve">Abstract (EN): </w:t>
      </w:r>
      <w:r>
        <w:t>Three‐dimensional (3D) topological spin textures host rich internal structures in thickness dimensions and enable emergent topological phenomena. However, whether their layer‐resolved textures and internal singularities fundamentally modify intralayer interactions lies beyond rigid‐tube interaction models and remains unexplored. Here we show that, in 3D hybrid skyrmion‐antiskyrmion strings, the layer‐dependent topology gives rise to interactions with a sign change across the film thickness, producing a switch between attraction and repulsion both among different layers within each texture and between neighboring 3D strings. This vertically asymmetric attractive‐repulsive interaction drives a tunable transition between square and triangular string lattices, in agreement with our experiment. Computational simulations identify quadrupolar Bloch points as internal topological junctions whose vertical migration mediates the intralayer competition between repulsive skyrmion segments near the surfaces and attractive antiskyrmion segments in the interior. We further show that the averaged topological charge quantifies the relative thickness fractions of the two competing topological segments and robustly captures the lattice phase boundary over a broad range of magnetic parameters. These findings highlight the importance of the surface‐bulk difference in topological materials and establish vertically asymmetric interactions as an intrinsic mechanism for topological phase control in 3D magnetic systems.</w:t>
      </w:r>
    </w:p>
    <w:p>
      <w:pPr>
        <w:spacing w:before="120" w:after="120"/>
      </w:pPr>
      <w:r>
        <w:rPr>
          <w:sz w:val="18"/>
        </w:rPr>
        <w:t>——————————————————————————————————————————————————————————————————————</w:t>
      </w:r>
    </w:p>
    <w:p>
      <w:pPr>
        <w:spacing w:before="160" w:after="40" w:line="240" w:lineRule="auto"/>
      </w:pPr>
      <w:r>
        <w:rPr>
          <w:b/>
        </w:rPr>
        <w:t xml:space="preserve">[1334] </w:t>
      </w:r>
      <w:hyperlink r:id="rId2253">
        <w:r>
          <w:rPr>
            <w:color w:val="1155CC"/>
            <w:u w:val="single"/>
          </w:rPr>
          <w:t>简单两步法合成用于室温长波红外光电探测的HgSe/PbS核-壳胶体量子点</w:t>
        </w:r>
      </w:hyperlink>
    </w:p>
    <w:p>
      <w:pPr>
        <w:spacing w:before="0" w:after="80"/>
      </w:pPr>
      <w:r>
        <w:rPr>
          <w:i/>
          <w:sz w:val="20"/>
        </w:rPr>
        <w:t>EN: HgSe/PbS Core-Shell Colloidal Quantum Dots Synthesized by a Simple Two-Step Method for Room-Temperature Long-Wave Infrared Photodetection</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254">
        <w:r>
          <w:rPr>
            <w:color w:val="1155CC"/>
            <w:u w:val="single"/>
          </w:rPr>
          <w:t>10.1021/acsami.6c13325</w:t>
        </w:r>
      </w:hyperlink>
    </w:p>
    <w:p>
      <w:pPr>
        <w:spacing w:before="0" w:after="120"/>
      </w:pPr>
      <w:r>
        <w:rPr>
          <w:b/>
        </w:rPr>
        <w:t xml:space="preserve">Notes: </w:t>
      </w:r>
      <w:r>
        <w:t>abstract_source=crossref</w:t>
      </w:r>
    </w:p>
    <w:p>
      <w:pPr>
        <w:spacing w:before="0" w:after="80" w:lineRule="auto" w:line="276"/>
      </w:pPr>
      <w:r>
        <w:rPr>
          <w:b/>
        </w:rPr>
        <w:t xml:space="preserve">摘要（ZH）: </w:t>
      </w:r>
      <w:r>
        <w:t>摘要 汞硫属化物 (HgX) 胶体量子点 (CQD)，特别是硒化汞 (HgSe) CQD，由于其通过溶液处理具有出色的带隙可调性，已成为长波红外 (LWIR，8–14 μm) 光电探测器的有前途的候选者。然而，裸 HgSe CQD 的固有局限性——高表面缺陷密度和氧化敏感性——严重损害了其光电性能。本文提出了一种简单的两步方法，通过协同优化用于表面钝化的 PbS 壳厚度和 HgSe 核的抗氧化性，在长波红外区域生长高质量 HgSe/PbS 核壳 CQD。此外，使用基于简单金属-半导体-金属 (MSM) 的光电探测器 Au/(HgSe/PbS)/Au 探索了其在长波红外检测中的应用。结果，在室温下，长波红外光电探测器Au/[HgSe(13 nm)/PbS(5 nm)](1 μm)/Au在25 mW/cm2、10 μm照明下获得了42 mA/W的高响应度和2.41 × 109 Jones的高比探测率。因此，这种简单的两步核壳工程方法为开发下一代长波红外光电子学建立了通用平台。</w:t>
      </w:r>
    </w:p>
    <w:p>
      <w:pPr>
        <w:spacing w:before="0" w:after="200" w:lineRule="auto" w:line="276"/>
      </w:pPr>
      <w:r>
        <w:rPr>
          <w:b/>
        </w:rPr>
        <w:t xml:space="preserve">Abstract (EN): </w:t>
      </w:r>
      <w:r>
        <w:t>Mercury chalcogenides (HgX) colloidal quantum dots (CQDs), particularly mercury selenide (HgSe) CQDs, have emerged as a promising candidate for long-wave infrared (LWIR, 8–14 μm) photodetectors due to their exceptional bandgap tunability by solution processing. Nevertheless, the intrinsic limitations of bare HgSe CQDs—high surface defect density and oxidation susceptibility—severely compromise their optoelectronic performance. In this paper, a simple two-step method to grow high-quality HgSe/PbS core-shell CQDs in the LWIR region by synergistically optimizing the thickness of the PbS shell for surface passivation and the oxidation resistance of the HgSe cores is presented. Further, its applications in LWIR detection are explored using a simple metal–semiconductor–metal (MSM) based photodetector Au/(HgSe/PbS)/Au. As a result, a high responsivity of 42 mA/W with a high specific detectivity of 2.41 × 109 Jones under a 25 mW/cm2, 10 μm illumination is obtained from the LWIR photodetector Au/[HgSe(13 nm)/PbS(5 nm)](1 μm)/Au at room-temperature. Therefore, such a simple two-step method of core-shell engineering approach establishes a versatile platform for developing next-generation LWIR optoelectronics.</w:t>
      </w:r>
    </w:p>
    <w:p>
      <w:pPr>
        <w:spacing w:before="120" w:after="120"/>
      </w:pPr>
      <w:r>
        <w:rPr>
          <w:sz w:val="18"/>
        </w:rPr>
        <w:t>——————————————————————————————————————————————————————————————————————</w:t>
      </w:r>
    </w:p>
    <w:p>
      <w:pPr>
        <w:spacing w:before="160" w:after="40" w:line="240" w:lineRule="auto"/>
      </w:pPr>
      <w:r>
        <w:rPr>
          <w:b/>
        </w:rPr>
        <w:t xml:space="preserve">[1335] </w:t>
      </w:r>
      <w:hyperlink r:id="rId2255">
        <w:r>
          <w:rPr>
            <w:color w:val="1155CC"/>
            <w:u w:val="single"/>
          </w:rPr>
          <w:t>6LiInP2Se6单晶：生长、缺陷结构、α粒子谱学及直接转换X射线响应</w:t>
        </w:r>
      </w:hyperlink>
    </w:p>
    <w:p>
      <w:pPr>
        <w:spacing w:before="0" w:after="80"/>
      </w:pPr>
      <w:r>
        <w:rPr>
          <w:i/>
          <w:sz w:val="20"/>
        </w:rPr>
        <w:t>EN: 6LiInP2Se6 Single Crystals: Growth, Defect Structure, α-Particle Spectroscopy, and Direct-Conversion X-ray Response</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256">
        <w:r>
          <w:rPr>
            <w:color w:val="1155CC"/>
            <w:u w:val="single"/>
          </w:rPr>
          <w:t>10.1021/acsami.6c13974</w:t>
        </w:r>
      </w:hyperlink>
    </w:p>
    <w:p>
      <w:pPr>
        <w:spacing w:before="0" w:after="120"/>
      </w:pPr>
      <w:r>
        <w:rPr>
          <w:b/>
        </w:rPr>
        <w:t xml:space="preserve">Notes: </w:t>
      </w:r>
      <w:r>
        <w:t>abstract_source=crossref</w:t>
      </w:r>
    </w:p>
    <w:p>
      <w:pPr>
        <w:spacing w:before="0" w:after="80" w:lineRule="auto" w:line="276"/>
      </w:pPr>
      <w:r>
        <w:rPr>
          <w:b/>
        </w:rPr>
        <w:t xml:space="preserve">摘要（ZH）: </w:t>
      </w:r>
      <w:r>
        <w:t>摘要 室温半导体晶体结合了高电阻率、高效电荷传输和明确的缺陷景观，是直接转换辐射检测的核心。在这里，我们报告了层状硒磷酸盐 6LiInP2Se6 (LIPSe) 中直接转换 X 射线响应的首次演示。两条晶体生长路线并行推进：针对薄、高纯度薄片进行优化的化学气相传输（CVT），以及采用迭代纯化的布里奇曼-斯托克巴格生长，缩小至厘米尺寸的晶锭。两者都产生具有清洁 (00l) 表面和难以区分的粉末 X 射线衍射、拉曼和微观特征的单晶，以及来自光电子产率光谱的匹配带边缘对准。热受激电流能谱解析的陷阱能级范围为～0.13–0.68 eV，估计总陷阱密度为～1.2 × 1013 cm–3 (CVT) 和～9.8 × 1014 cm–3 (Bridgman)，同时两种晶体都保留了室温操作所需的高体电阻率。在 241Am 照射下，CVT 探测器可通过偏振限制空穴收集提供高分辨率的 α 粒子脉冲高度光谱（~22% 能量分辨率），而布里奇曼探测器则为两种载流子产生约 10–6–10–5 cm2 V–1 的下限单载流子 Hecht μτ 产物。在调制 X 射线照射下，实现了~2.1 × 103 µC Gyair–1 cm–2（CVT，~33 kV cm–1）和~6.5 × 103 µC Gyair–1 cm–2（Bridgman，~22 kV cm–1）的灵敏度，其中较大的 Bridgman 吸收体积抵消了其陷阱限制的传输，从而识别了连续条件下的厚度缩放</w:t>
      </w:r>
    </w:p>
    <w:p>
      <w:pPr>
        <w:spacing w:before="0" w:after="200" w:lineRule="auto" w:line="276"/>
      </w:pPr>
      <w:r>
        <w:rPr>
          <w:b/>
        </w:rPr>
        <w:t xml:space="preserve">Abstract (EN): </w:t>
      </w:r>
      <w:r>
        <w:t>Room-temperature semiconductor crystals combining high resistivity, efficient charge transport, and a well-defined defect landscape are central to direct-conversion radiation detection. Here, we report the first demonstration of direct-conversion X-ray response in the layered selenophosphate 6LiInP2Se6 (LIPSe). Two crystal growth routes are advanced in parallel: chemical vapor transport (CVT), optimized for thin, high-purity flakes, and Bridgman–Stockbarger growth with iterative purification, scaled to centimeter-sized ingots. Both yield single crystals having clean (00l) surfaces and indistinguishable powder X-ray diffraction, Raman, and microscopic signatures, as well as matched band-edge alignment from photoelectron yield spectroscopy. Thermally stimulated current spectroscopy resolves trap levels spanning ∼0.13–0.68 eV, with estimated total trap densities of ∼1.2 × 1013 cm–3 (CVT) and ∼9.8 × 1014 cm–3 (Bridgman), while both crystals retain the high bulk resistivity required for room-temperature operation. Under 241Am irradiation, CVT detectors deliver well-resolved α-particle pulse-height spectra (∼22% energy resolution) with polarization-limited hole collection, while Bridgman detectors yield lower-bound single-carrier Hecht μτ products of ∼10–6–10–5 cm2 V–1 for both carriers. Under modulated X-ray exposure, sensitivities of ∼2.1 × 103 µC Gyair–1 cm–2 (CVT, ∼33 kV cm–1) and ∼6.5 × 103 µC Gyair–1 cm–2 (Bridgman, ∼22 kV cm–1) are achieved, where the larger Bridgman absorption volume offsets its trap-limited transport, identifying thickness scaling under continued defect control as the most direct path forward.</w:t>
      </w:r>
    </w:p>
    <w:p>
      <w:pPr>
        <w:spacing w:before="120" w:after="120"/>
      </w:pPr>
      <w:r>
        <w:rPr>
          <w:sz w:val="18"/>
        </w:rPr>
        <w:t>——————————————————————————————————————————————————————————————————————</w:t>
      </w:r>
    </w:p>
    <w:p>
      <w:pPr>
        <w:spacing w:before="160" w:after="40" w:line="240" w:lineRule="auto"/>
      </w:pPr>
      <w:r>
        <w:rPr>
          <w:b/>
        </w:rPr>
        <w:t xml:space="preserve">[1336] </w:t>
      </w:r>
      <w:hyperlink r:id="rId2257">
        <w:r>
          <w:rPr>
            <w:color w:val="1155CC"/>
            <w:u w:val="single"/>
          </w:rPr>
          <w:t>基于弹性驱动可逆动态键的共形变导电复合薄膜</w:t>
        </w:r>
      </w:hyperlink>
    </w:p>
    <w:p>
      <w:pPr>
        <w:spacing w:before="0" w:after="80"/>
      </w:pPr>
      <w:r>
        <w:rPr>
          <w:i/>
          <w:sz w:val="20"/>
        </w:rPr>
        <w:t>EN: Co-deformable Conductive Composite Films via Elasticity-Driven Reversible Dynamic Bonds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258">
        <w:r>
          <w:rPr>
            <w:color w:val="1155CC"/>
            <w:u w:val="single"/>
          </w:rPr>
          <w:t>10.1021/acsami.6c13774</w:t>
        </w:r>
      </w:hyperlink>
    </w:p>
    <w:p>
      <w:pPr>
        <w:spacing w:before="0" w:after="120"/>
      </w:pPr>
      <w:r>
        <w:rPr>
          <w:b/>
        </w:rPr>
        <w:t xml:space="preserve">Notes: </w:t>
      </w:r>
      <w:r>
        <w:t>abstract_source=crossref</w:t>
      </w:r>
    </w:p>
    <w:p>
      <w:pPr>
        <w:spacing w:before="0" w:after="80" w:lineRule="auto" w:line="276"/>
      </w:pPr>
      <w:r>
        <w:rPr>
          <w:b/>
        </w:rPr>
        <w:t xml:space="preserve">摘要（ZH）: </w:t>
      </w:r>
      <w:r>
        <w:t>摘要 柔性电子器件的蓬勃发展迫切需要具有优异的机械强度、良好的弹性恢复能力和可靠的导电性能的柔性导电材料。本文合理设计了一种紫外光固化聚丙烯酸酯导电复合薄膜（聚丙烯酸酯-AA-ChCl，PAAC），具有可逆氢键赋予的增强弹性恢复能力。首先使用丙烯酸酯单体和乙烯基封端的聚氨酯预聚物作为交联剂，通过紫外线引发聚合制备聚丙烯酸酯（PA）薄膜，该薄膜具有高透明度（&gt;90%）、耐溶剂性（&gt;72 h）、良好的机械强度和耐折叠性。随后，加入了可聚合的低共熔溶剂 (PDES)，特别是丙烯酸/氯化胆碱 (AA/ChCl)。这赋予复合材料稳定的离子电导率，同时保留其原有的机械性能。所得的 PAAC 复合材料作为柔性应变传感器，实现了组件之间优异的兼容性、出色的机械耐久性（14.2 MPa 和 735%）、变形下可靠的导电性（GF = 1.58）以及较低的玻璃化转变温度（Tg = 4.5 °C）。这项工作提出了一种用于制造柔性导电复合材料的简便、可扩展和高性能的策略，为柔性电子、可穿戴设备和环保功能材料的进步提供了新颖的见解。</w:t>
      </w:r>
    </w:p>
    <w:p>
      <w:pPr>
        <w:spacing w:before="0" w:after="200" w:lineRule="auto" w:line="276"/>
      </w:pPr>
      <w:r>
        <w:rPr>
          <w:b/>
        </w:rPr>
        <w:t xml:space="preserve">Abstract (EN): </w:t>
      </w:r>
      <w:r>
        <w:t>The booming development of flexible electronics urgently calls for flexible conductive materials with outstanding mechanical strength, desirable elastic recovery, and reliable conductivity. Herein, a UV-curable polyacrylate conductive composite film (polyacrylate-AA-ChCl, PAAC) is rationally designed, featuring enhanced elastic recovery endowed by reversible hydrogen bonds. A polyacrylate (PA) film is first fabricated via UV-initiated polymerization using acrylate monomers and a vinyl-terminated polyurethane prepolymer as the cross-linker, exhibiting high transparency (&gt;90%), solvent resistance (&gt;72 h), favorable mechanical strength, and folding resistance. Subsequently, a polymerizable deep eutectic solvent (PDES)—specifically, acrylic acid/choline chloride (AA/ChCl)—was incorporated. This endows the composite with stable ionic conductivity while preserving its original mechanical properties. The resultant PAAC composite as a flexible strain sensor achieves excellent compatibility between components, outstanding mechanical durability (14.2 MPa and 735%), reliable conductivity (GF = 1.58) under deformation, and a low glass transition temperature (Tg = 4.5 °C). This work proposes a facile, scalable, and high-performance strategy for fabricating flexible conductive composites, which offers novel insights into the advancement of flexible electronics, wearable devices, and eco-friendly functional materials.</w:t>
      </w:r>
    </w:p>
    <w:p>
      <w:pPr>
        <w:spacing w:before="120" w:after="120"/>
      </w:pPr>
      <w:r>
        <w:rPr>
          <w:sz w:val="18"/>
        </w:rPr>
        <w:t>——————————————————————————————————————————————————————————————————————</w:t>
      </w:r>
    </w:p>
    <w:p>
      <w:pPr>
        <w:spacing w:before="160" w:after="40" w:line="240" w:lineRule="auto"/>
      </w:pPr>
      <w:r>
        <w:rPr>
          <w:b/>
        </w:rPr>
        <w:t xml:space="preserve">[1337] </w:t>
      </w:r>
      <w:hyperlink r:id="rId2259">
        <w:r>
          <w:rPr>
            <w:color w:val="1155CC"/>
            <w:u w:val="single"/>
          </w:rPr>
          <w:t>超越漏斗式高通量筛选：面向多元钙钛矿电催化剂探索的专家引导多尺度联结平台</w:t>
        </w:r>
      </w:hyperlink>
    </w:p>
    <w:p>
      <w:pPr>
        <w:spacing w:before="0" w:after="80"/>
      </w:pPr>
      <w:r>
        <w:rPr>
          <w:i/>
          <w:sz w:val="20"/>
        </w:rPr>
        <w:t>EN: Beyond Funnel-Style High-Throughput Screening: An Expert-Guided Multi-Scale Nexus for Polynary Perovskite Electrocatalyst Exploration</w:t>
      </w:r>
    </w:p>
    <w:p>
      <w:pPr>
        <w:spacing w:before="0" w:after="120"/>
      </w:pPr>
      <w:r>
        <w:rPr>
          <w:b/>
        </w:rPr>
        <w:t xml:space="preserve">Source: </w:t>
      </w:r>
      <w:r>
        <w:t>Journal of the American Chemical Society: Latest Articles (ACS Publications)</w:t>
      </w:r>
      <w:r>
        <w:t xml:space="preserve">    </w:t>
      </w:r>
      <w:r>
        <w:rPr>
          <w:b/>
        </w:rPr>
        <w:t xml:space="preserve">Pub date: </w:t>
      </w:r>
      <w:r>
        <w:t>2026-09-03 00:00:00+00:00</w:t>
      </w:r>
      <w:r>
        <w:t xml:space="preserve">    </w:t>
      </w:r>
      <w:r>
        <w:rPr>
          <w:b/>
        </w:rPr>
        <w:t xml:space="preserve">DOI: </w:t>
      </w:r>
      <w:hyperlink r:id="rId2260">
        <w:r>
          <w:rPr>
            <w:color w:val="1155CC"/>
            <w:u w:val="single"/>
          </w:rPr>
          <w:t>10.1021/jacs.6c11110</w:t>
        </w:r>
      </w:hyperlink>
    </w:p>
    <w:p>
      <w:pPr>
        <w:spacing w:before="0" w:after="120"/>
      </w:pPr>
      <w:r>
        <w:rPr>
          <w:b/>
        </w:rPr>
        <w:t xml:space="preserve">Notes: </w:t>
      </w:r>
      <w:r>
        <w:t>abstract_source=crossref</w:t>
      </w:r>
    </w:p>
    <w:p>
      <w:pPr>
        <w:spacing w:before="0" w:after="80" w:lineRule="auto" w:line="276"/>
      </w:pPr>
      <w:r>
        <w:rPr>
          <w:b/>
        </w:rPr>
        <w:t xml:space="preserve">摘要（ZH）: </w:t>
      </w:r>
      <w:r>
        <w:t>摘要：传统上，探索多元氧化物电催化剂的广阔组成景观受到漏斗式筛选范例的限制，该范例将高保真数据视为二元门而不是信息丰富的训练信号。在这里，我们提出了一个专家指导的 Pr-Sr-Co-Fe 钙钛矿多尺度框架。通过集成原子描述符、实验结构特征和机制通知的电子特征，该框架解决了描述符可访问的多元钙钛矿空间中的这些限制。通过实施“最近网格插值”策略，高保真密度泛函理论计算的计算成本在搜索空间内降低了近2个数量级。两轮主动学习大幅提高了高性能候选者的发现效率（η@10 mA cm–2</w:t>
      </w:r>
    </w:p>
    <w:p>
      <w:pPr>
        <w:spacing w:before="0" w:after="200" w:lineRule="auto" w:line="276"/>
      </w:pPr>
      <w:r>
        <w:rPr>
          <w:b/>
        </w:rPr>
        <w:t xml:space="preserve">Abstract (EN): </w:t>
      </w:r>
      <w:r>
        <w:t>Navigating the vast compositional landscape of polynary oxide electrocatalysts is traditionally limited by funnel-style screening paradigms that treat high-fidelity data as binary gates rather than informative training signals. Here, we present an expert-guided multiscale framework for Pr–Sr–Co-Fe perovskites. By integrating atomic descriptors, experimental structural features, and mechanism-informed electronic features, this framework addresses these limitations within a descriptor-accessible polynary perovskite space. By implementing a “Nearest Grid Interpolation” strategy, the computational cost of high-fidelity density functional theory calculations is reduced by nearly 2 orders of magnitude within the search space. Two rounds of active learning surge the discovery efficiency of high-performance candidates (η@10 mA cm–2</w:t>
      </w:r>
    </w:p>
    <w:p>
      <w:pPr>
        <w:spacing w:before="120" w:after="120"/>
      </w:pPr>
      <w:r>
        <w:rPr>
          <w:sz w:val="18"/>
        </w:rPr>
        <w:t>——————————————————————————————————————————————————————————————————————</w:t>
      </w:r>
    </w:p>
    <w:p>
      <w:pPr>
        <w:spacing w:before="160" w:after="40" w:line="240" w:lineRule="auto"/>
      </w:pPr>
      <w:r>
        <w:rPr>
          <w:b/>
        </w:rPr>
        <w:t xml:space="preserve">[1338] </w:t>
      </w:r>
      <w:hyperlink r:id="rId2261">
        <w:r>
          <w:rPr>
            <w:color w:val="1155CC"/>
            <w:u w:val="single"/>
          </w:rPr>
          <w:t>双位点工程解锁三角烯中的自旋调制与局域场控制的电荷切换</w:t>
        </w:r>
      </w:hyperlink>
    </w:p>
    <w:p>
      <w:pPr>
        <w:spacing w:before="0" w:after="80"/>
      </w:pPr>
      <w:r>
        <w:rPr>
          <w:i/>
          <w:sz w:val="20"/>
        </w:rPr>
        <w:t>EN: Dual-Site Engineering Unlocks Spin Modulation and Local Field-Controlled Charge Switching in Triangulenes</w:t>
      </w:r>
    </w:p>
    <w:p>
      <w:pPr>
        <w:spacing w:before="0" w:after="120"/>
      </w:pPr>
      <w:r>
        <w:rPr>
          <w:b/>
        </w:rPr>
        <w:t xml:space="preserve">Source: </w:t>
      </w:r>
      <w:r>
        <w:t>Journal of the American Chemical Society: Latest Articles (ACS Publications)</w:t>
      </w:r>
      <w:r>
        <w:t xml:space="preserve">    </w:t>
      </w:r>
      <w:r>
        <w:rPr>
          <w:b/>
        </w:rPr>
        <w:t xml:space="preserve">Pub date: </w:t>
      </w:r>
      <w:r>
        <w:t>2026-09-03 00:00:00+00:00</w:t>
      </w:r>
      <w:r>
        <w:t xml:space="preserve">    </w:t>
      </w:r>
      <w:r>
        <w:rPr>
          <w:b/>
        </w:rPr>
        <w:t xml:space="preserve">DOI: </w:t>
      </w:r>
      <w:hyperlink r:id="rId2262">
        <w:r>
          <w:rPr>
            <w:color w:val="1155CC"/>
            <w:u w:val="single"/>
          </w:rPr>
          <w:t>10.1021/jacs.6c08110</w:t>
        </w:r>
      </w:hyperlink>
    </w:p>
    <w:p>
      <w:pPr>
        <w:spacing w:before="0" w:after="120"/>
      </w:pPr>
      <w:r>
        <w:rPr>
          <w:b/>
        </w:rPr>
        <w:t xml:space="preserve">Notes: </w:t>
      </w:r>
      <w:r>
        <w:t>abstract_source=crossref</w:t>
      </w:r>
    </w:p>
    <w:p>
      <w:pPr>
        <w:spacing w:before="0" w:after="80" w:lineRule="auto" w:line="276"/>
      </w:pPr>
      <w:r>
        <w:rPr>
          <w:b/>
        </w:rPr>
        <w:t xml:space="preserve">摘要（ZH）: </w:t>
      </w:r>
      <w:r>
        <w:t>摘要 开壳纳米石墨烯具有高度可调和相关的磁态，为将石墨烯纳米磁体工程化以实现分子级自旋电子学和量子信息技术提供了一个有前途的平台。然而，它们的磁态很大程度上取决于拓扑约束和强电子相关性，限制了对自旋和电荷自由度的独立控制。在这里，我们引入了一种结构双位点工程策略，该策略将本征自旋调制与单个磁性纳米石墨烯中的吸附和场控电荷状态调谐集成在一起，从而实现了先前未证实的多功能控制水平。我们设计并合成了氮、硫协同设计的[3]三角烯（N,S-Tri），其中包含具有互补功能的中心氮掺杂剂和边缘硫取代。中心氮改变了前沿π态的占据，从而调节分子自旋构型，而边缘硫位点微弱地参与低能π态，同时充当调节分子-底物耦合和电荷转移的可调节化学锚。使用低温扫描探针显微镜，我们直接可视化由 Au(111) 吸附位点变化驱动的中性态到阳离子态的切换，或通过局部静电门控的可逆切换。这种双功能设计超越了石墨烯纳米磁体中的静态掺杂或界面电荷转移，实现了自旋和电荷状态的场控动态调制，并开辟了新的领域。</w:t>
      </w:r>
    </w:p>
    <w:p>
      <w:pPr>
        <w:spacing w:before="0" w:after="200" w:lineRule="auto" w:line="276"/>
      </w:pPr>
      <w:r>
        <w:rPr>
          <w:b/>
        </w:rPr>
        <w:t xml:space="preserve">Abstract (EN): </w:t>
      </w:r>
      <w:r>
        <w:t>Open-shell nanographenes, featuring highly tunable and correlated magnetic states, constitute a promising platform for engineering graphene nanomagnets towards molecular-scale spintronics and quantum information technologies. However, their magnetic states are largely dictated by topological constraints and strong electronic correlations, limiting independent control of spin and charge degrees of freedom. Here, we introduce a structural dual-site engineering strategy that integrates intrinsic spin modulation with adsorption- and field-controlled charge state tuning in a single magnetic nanographene, enabling a level of multifunctional control not previously demonstrated. We design and synthesize nitrogen, sulfur-co-engineered [3]triangulene (N,S-Tri), incorporating a central nitrogen dopant and an edge sulfur substitution with complementary functions. The central nitrogen modifies the occupation of the frontier π states and thereby tunes the molecular spin configuration, while the edge sulfur site weakly participates in the low-energy π-state and simultaneously acts as a tunable chemical anchor that regulates molecule–substrate coupling and charge transfer. Using low-temperature scanning probe microscopy, we directly visualize switching from neutral to cationic states, driven by adsorption-site variation on Au(111), or reversible switching by local electrostatic gating. This dual-functional design moves beyond static doping or interface charge transfer in graphene nanomagnets, enabling field-controlled dynamic modulation of spin and charge states, and opening new opportunities for device-oriented applications where molecule–electrode interactions and electrostatic field control play central roles.</w:t>
      </w:r>
    </w:p>
    <w:p>
      <w:pPr>
        <w:spacing w:before="120" w:after="120"/>
      </w:pPr>
      <w:r>
        <w:rPr>
          <w:sz w:val="18"/>
        </w:rPr>
        <w:t>——————————————————————————————————————————————————————————————————————</w:t>
      </w:r>
    </w:p>
    <w:p>
      <w:pPr>
        <w:spacing w:before="160" w:after="40" w:line="240" w:lineRule="auto"/>
      </w:pPr>
      <w:r>
        <w:rPr>
          <w:b/>
        </w:rPr>
        <w:t xml:space="preserve">[1339] </w:t>
      </w:r>
      <w:hyperlink r:id="rId2263">
        <w:r>
          <w:rPr>
            <w:color w:val="1155CC"/>
            <w:u w:val="single"/>
          </w:rPr>
          <w:t>原子级精确的Pt19：具有增强稳定性与电催化活性的最大全有机配体保护铂纳米团簇</w:t>
        </w:r>
      </w:hyperlink>
    </w:p>
    <w:p>
      <w:pPr>
        <w:spacing w:before="0" w:after="80"/>
      </w:pPr>
      <w:r>
        <w:rPr>
          <w:i/>
          <w:sz w:val="20"/>
        </w:rPr>
        <w:t>EN: Atomically Precise Pt19: The Largest All-Organic Ligand–Protected Platinum Nanocluster with Enhanced Stability and Electrocatalytic Activity</w:t>
      </w:r>
    </w:p>
    <w:p>
      <w:pPr>
        <w:spacing w:before="0" w:after="120"/>
      </w:pPr>
      <w:r>
        <w:rPr>
          <w:b/>
        </w:rPr>
        <w:t xml:space="preserve">Source: </w:t>
      </w:r>
      <w:r>
        <w:t>Journal of the American Chemical Society: Latest Articles (ACS Publications)</w:t>
      </w:r>
      <w:r>
        <w:t xml:space="preserve">    </w:t>
      </w:r>
      <w:r>
        <w:rPr>
          <w:b/>
        </w:rPr>
        <w:t xml:space="preserve">Pub date: </w:t>
      </w:r>
      <w:r>
        <w:t>2026-09-03 00:00:00+00:00</w:t>
      </w:r>
      <w:r>
        <w:t xml:space="preserve">    </w:t>
      </w:r>
      <w:r>
        <w:rPr>
          <w:b/>
        </w:rPr>
        <w:t xml:space="preserve">DOI: </w:t>
      </w:r>
      <w:hyperlink r:id="rId2264">
        <w:r>
          <w:rPr>
            <w:color w:val="1155CC"/>
            <w:u w:val="single"/>
          </w:rPr>
          <w:t>10.1021/jacs.6c13812</w:t>
        </w:r>
      </w:hyperlink>
    </w:p>
    <w:p>
      <w:pPr>
        <w:spacing w:before="0" w:after="120"/>
      </w:pPr>
      <w:r>
        <w:rPr>
          <w:b/>
        </w:rPr>
        <w:t xml:space="preserve">Notes: </w:t>
      </w:r>
      <w:r>
        <w:t>abstract_source=crossref</w:t>
      </w:r>
    </w:p>
    <w:p>
      <w:pPr>
        <w:spacing w:before="0" w:after="80" w:lineRule="auto" w:line="276"/>
      </w:pPr>
      <w:r>
        <w:rPr>
          <w:b/>
        </w:rPr>
        <w:t xml:space="preserve">摘要（ZH）: </w:t>
      </w:r>
      <w:r>
        <w:t>摘要 多功能有机配体可以显着提高金属纳米团簇（NC）的稳定性和可调性，因此，全有机配体保护的金属纳米团簇最近引起了广泛的关注。铂（Pt）仍然是各个领域不可或缺的金属，特别是在催化和癌症治疗领域。然而，由于合成上的巨大挑战，全有机配体保护的Pt纳米团簇很少被报道，这阻碍了Pt纳米团簇研究及其实际应用的进展。在此，我们报告了通过配体交换方法的开发，成功合成了迄今为止最大的全有机配体保护的Pt纳米团簇[Pt19(NapNC)27][PF6]2（缩写为Pt19；NapNC：异氰萘）。单晶 X 射线衍射 (SC-XRD) 揭示了面心立方 (FCC) 的非等效结构，这种结构以前从未有过全有机配体保护的 Pt 纳米团簇的记录。与其部分有机母体纳米团簇相比，这种新型纳米团簇在基态和激发态下均表现出显着增强的稳定性。此外，相对于其母体纳米团簇和商业 Pt/C，Pt19 纳米团簇在电催化甲醇氧化反应 (MOR) 中表现出优异的活性。基于其明确的结构，我们深入了解了 Pt19 卓越的 MOR 活性，并首次揭示了电催化 MOR 活性位点的空间和电子偏好。</w:t>
      </w:r>
    </w:p>
    <w:p>
      <w:pPr>
        <w:spacing w:before="0" w:after="200" w:lineRule="auto" w:line="276"/>
      </w:pPr>
      <w:r>
        <w:rPr>
          <w:b/>
        </w:rPr>
        <w:t xml:space="preserve">Abstract (EN): </w:t>
      </w:r>
      <w:r>
        <w:t>Versatile organic ligands can notably enhance the stability and tunability of metal nanoclusters (NCs), and, consequently, all-organic ligand–protected metal nanoclusters have recently attracted widespread attention. Platinum (Pt) remains an indispensable metal in various fields, particularly in catalysis and cancer therapeutics. However, all-organic ligand–protected Pt nanoclusters are rarely reported due to substantial synthesis challenges, which have hindered progress in Pt nanocluster research and their practical applications. Herein, we report the successful synthesis of the largest all-organic ligand–protected Pt nanocluster to date, [Pt19(NapNC)27][PF6]2 (abbreviated as Pt19; NapNC: isocyanonaphthalene), achieved through the development of a ligand-exchange method. Single-crystal X-ray diffraction (SC-XRD) revealed a face-centered cubic (FCC), nonequivalent structure that has not been previously documented for all-organic ligand–protected Pt nanoclusters. Compared with its partially organic parent nanoclusters, this novel nanocluster exhibits considerably enhanced stability in both the ground and excited states. Furthermore, the Pt19 nanocluster demonstrates superior activity in the electrocatalytic methanol oxidation reaction (MOR) relative to its parent nanoclusters and commercial Pt/C. Based on its well-defined structure, we gained deep insights into the exceptional MOR activity of Pt19 and revealed, for the first time, the steric and electronic preferences of the active sites for electrocatalytic MOR.</w:t>
      </w:r>
    </w:p>
    <w:p>
      <w:pPr>
        <w:spacing w:before="120" w:after="120"/>
      </w:pPr>
      <w:r>
        <w:rPr>
          <w:sz w:val="18"/>
        </w:rPr>
        <w:t>——————————————————————————————————————————————————————————————————————</w:t>
      </w:r>
    </w:p>
    <w:p>
      <w:pPr>
        <w:spacing w:before="160" w:after="40" w:line="240" w:lineRule="auto"/>
      </w:pPr>
      <w:r>
        <w:rPr>
          <w:b/>
        </w:rPr>
        <w:t xml:space="preserve">[1340] </w:t>
      </w:r>
      <w:hyperlink r:id="rId2265">
        <w:r>
          <w:rPr>
            <w:color w:val="1155CC"/>
            <w:u w:val="single"/>
          </w:rPr>
          <w:t>从脱氢到衍生化：通过分子催化实现烷烃和烷基官能团化</w:t>
        </w:r>
      </w:hyperlink>
    </w:p>
    <w:p>
      <w:pPr>
        <w:spacing w:before="0" w:after="80"/>
      </w:pPr>
      <w:r>
        <w:rPr>
          <w:i/>
          <w:sz w:val="20"/>
        </w:rPr>
        <w:t>EN: From Dehydrogenation to Derivatization: Functionalization of Alkanes and Alkyl Groups by Molecular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2026-09-03 00:00:00+00:00</w:t>
      </w:r>
      <w:r>
        <w:t xml:space="preserve">    </w:t>
      </w:r>
      <w:r>
        <w:rPr>
          <w:b/>
        </w:rPr>
        <w:t xml:space="preserve">DOI: </w:t>
      </w:r>
      <w:hyperlink r:id="rId2266">
        <w:r>
          <w:rPr>
            <w:color w:val="1155CC"/>
            <w:u w:val="single"/>
          </w:rPr>
          <w:t>10.1021/jacs.6c11696</w:t>
        </w:r>
      </w:hyperlink>
    </w:p>
    <w:p>
      <w:pPr>
        <w:spacing w:before="0" w:after="120"/>
      </w:pPr>
      <w:r>
        <w:rPr>
          <w:b/>
        </w:rPr>
        <w:t xml:space="preserve">Notes: </w:t>
      </w:r>
      <w:r>
        <w:t>abstract_source=crossref</w:t>
      </w:r>
    </w:p>
    <w:p>
      <w:pPr>
        <w:spacing w:before="0" w:after="80" w:lineRule="auto" w:line="276"/>
      </w:pPr>
      <w:r>
        <w:rPr>
          <w:b/>
        </w:rPr>
        <w:t xml:space="preserve">摘要（ZH）: </w:t>
      </w:r>
      <w:r>
        <w:t>摘要 烷烃脱氢已从一项基本的有机金属挑战发展成为一项用于升级丰富的碳氢化合物原料和改性复杂分子的革命性技术。本视角描绘了现代烷烃脱氢的演变，强调了成熟的双电子途径和新兴的自由基介导的反应流形之间的战略分歧。对于结构无偏的简单烷烃的脱氢，研究仍然集中在以钳过渡金属体系为代表的贵金属分子催化剂上，其中活性和区域选择性不仅受催化剂的第一配位球的控制，而且还受到配体支架的微妙影响。相比之下，对于具有电子或热力学差异的C(sp3)-H键的碳氢化合物的脱氢，出现了一种补充范式，其中反应性主要由底物的固有性质决定。键解离能 (BDE) 和键极性的相互作用可以通过多种氢原子转移 (HAT) 试剂（或催化剂）来利用。我们讨论这两种不同的机制如何决定脱氢和脱氢触发的衍生化的范围，其范围超出了小烷烃官能化，延伸到大分子聚烯烃的受控升级循环。通过分析热力学约束、催化剂可持续性和工艺集成之间的相互作用，我们概述了下一代催化脱氢系统的前瞻性路线图。</w:t>
      </w:r>
    </w:p>
    <w:p>
      <w:pPr>
        <w:spacing w:before="0" w:after="200" w:lineRule="auto" w:line="276"/>
      </w:pPr>
      <w:r>
        <w:rPr>
          <w:b/>
        </w:rPr>
        <w:t xml:space="preserve">Abstract (EN): </w:t>
      </w:r>
      <w:r>
        <w:t>Alkane dehydrogenation has evolved from a fundamental organometallic challenge into a transformative technology for upgrading abundant hydrocarbon feedstocks and modifying complex molecules. This Perspective charts the evolution of modern alkane dehydrogenation, emphasizing the strategic divergence between well-established two-electron pathways and emerging radical-mediated reaction manifolds. For the dehydrogenation of structurally unbiased simple alkanes, research remains centered on noble-metal-based molecular catalysts, represented by pincer–transition-metal systems, where activity and regioselectivity are not only governed by catalysts’ first coordination sphere but also subtly affected by ligands’ scaffold. In contrast, for the dehydrogenation of hydrocarbons with electronically or thermodynamically differentiated C(sp3)–H bonds, a complementary paradigm has emerged in which reactivity is mainly dictated by the intrinsic properties of substrates. The interplay of bond dissociation energies (BDEs) and bond polarity can be harnessed by a diverse array of hydrogen atom transfer (HAT) reagents (or catalysts). We discuss how these two distinct mechanisms dictate the scope of both the dehydrogenation and dehydrogenation-triggered derivatization, which extends beyond small alkane functionalizations to controlled upcycling of macromolecular polyolefins. By analyzing the interplay between thermodynamic constraints, catalyst sustainability, and process integration, we outline a forward-looking roadmap for next-generation catalytic dehydrogenation systems.</w:t>
      </w:r>
    </w:p>
    <w:p>
      <w:pPr>
        <w:spacing w:before="120" w:after="120"/>
      </w:pPr>
      <w:r>
        <w:rPr>
          <w:sz w:val="18"/>
        </w:rPr>
        <w:t>——————————————————————————————————————————————————————————————————————</w:t>
      </w:r>
    </w:p>
    <w:p>
      <w:pPr>
        <w:spacing w:before="160" w:after="40" w:line="240" w:lineRule="auto"/>
      </w:pPr>
      <w:r>
        <w:rPr>
          <w:b/>
        </w:rPr>
        <w:t xml:space="preserve">[1341] </w:t>
      </w:r>
      <w:hyperlink r:id="rId2267">
        <w:r>
          <w:rPr>
            <w:color w:val="1155CC"/>
            <w:u w:val="single"/>
          </w:rPr>
          <w:t>SIG-LLM：用于时空多能源需求预测的语义信息门控大语言模型</w:t>
        </w:r>
      </w:hyperlink>
    </w:p>
    <w:p>
      <w:pPr>
        <w:spacing w:before="0" w:after="80"/>
      </w:pPr>
      <w:r>
        <w:rPr>
          <w:i/>
          <w:sz w:val="20"/>
        </w:rPr>
        <w:t>EN: SIG-LLM: A semantics-informed gating LLM for Spatio-temporal multi-energy demand forecasting</w:t>
      </w:r>
    </w:p>
    <w:p>
      <w:pPr>
        <w:spacing w:before="0" w:after="120"/>
      </w:pPr>
      <w:r>
        <w:rPr>
          <w:b/>
        </w:rPr>
        <w:t xml:space="preserve">Source: </w:t>
      </w:r>
      <w:r>
        <w:t>ScienceDirect Publication: Applied Energy</w:t>
      </w:r>
      <w:r>
        <w:t xml:space="preserve">    </w:t>
      </w:r>
      <w:r>
        <w:rPr>
          <w:b/>
        </w:rPr>
        <w:t xml:space="preserve">Pub date: </w:t>
      </w:r>
      <w:r>
        <w:t>2026-09-03 00:00:00+00:00</w:t>
      </w:r>
      <w:r>
        <w:t xml:space="preserve">    </w:t>
      </w:r>
      <w:r>
        <w:rPr>
          <w:b/>
        </w:rPr>
        <w:t xml:space="preserve">DOI: </w:t>
      </w:r>
      <w:hyperlink r:id="rId2268">
        <w:r>
          <w:rPr>
            <w:color w:val="1155CC"/>
            <w:u w:val="single"/>
          </w:rPr>
          <w:t>10.1016/j.apenergy.2026.128781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[1342] </w:t>
      </w:r>
      <w:hyperlink r:id="rId2269">
        <w:r>
          <w:rPr>
            <w:color w:val="1155CC"/>
            <w:u w:val="single"/>
          </w:rPr>
          <w:t>通过双镍/能量转移催化实现非活化烯烃无导向基自由基双碳官能化的模块化平台</w:t>
        </w:r>
      </w:hyperlink>
    </w:p>
    <w:p>
      <w:pPr>
        <w:spacing w:before="0" w:after="80"/>
      </w:pPr>
      <w:r>
        <w:rPr>
          <w:i/>
          <w:sz w:val="20"/>
        </w:rPr>
        <w:t>EN: Modular Platform for Directing-Group-Free Radical Dicarbofunctionalization of Unactivated Alkenes via Dual Nickel/Energy-Transfer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2026-09-03 00:00:00+00:00</w:t>
      </w:r>
      <w:r>
        <w:t xml:space="preserve">    </w:t>
      </w:r>
      <w:r>
        <w:rPr>
          <w:b/>
        </w:rPr>
        <w:t xml:space="preserve">DOI: </w:t>
      </w:r>
      <w:hyperlink r:id="rId2270">
        <w:r>
          <w:rPr>
            <w:color w:val="1155CC"/>
            <w:u w:val="single"/>
          </w:rPr>
          <w:t>10.1021/jacs.6c10952</w:t>
        </w:r>
      </w:hyperlink>
    </w:p>
    <w:p>
      <w:pPr>
        <w:spacing w:before="0" w:after="120"/>
      </w:pPr>
      <w:r>
        <w:rPr>
          <w:b/>
        </w:rPr>
        <w:t xml:space="preserve">Notes: </w:t>
      </w:r>
      <w:r>
        <w:t>abstract_source=crossref</w:t>
      </w:r>
    </w:p>
    <w:p>
      <w:pPr>
        <w:spacing w:before="0" w:after="80" w:lineRule="auto" w:line="276"/>
      </w:pPr>
      <w:r>
        <w:rPr>
          <w:b/>
        </w:rPr>
        <w:t xml:space="preserve">摘要（ZH）: </w:t>
      </w:r>
      <w:r>
        <w:t>摘要 烯烃的多组分交叉偶联反应为构建三维、富含 sp3 的分子结构提供了强大的策略，这是现代药物化学的一个关键目标。然而，在不使用导向基团的情况下对未活化的烯烃进行区域选择性二碳官能化仍然是一个重大挑战。在此，我们报告了一种可见光诱导的镍催化平台，该平台能够使用不同的烷基自由基前体和芳基、乙烯基、酰基、炔基和烷基偶联伙伴对未活化的烯烃进行自由基 1,2-二碳官能化。机理研究支持催化循环，其中多个电子供体-受体（EDA）复合物介导自由基生成、原子转移自由基加成（ATRA）和交叉亲电子偶联（XEC）或双分子均裂取代（SH2）过程。此外，Ni催化剂和自由基前体之间优先形成络合物抑制了不期望的亲电子配偶体的自偶联。值得注意的是，从坚固的金属有机骨架（MOF）Al(OH)fum（fum–=富马酸盐）或Al-fum输送气态自由基前体，例如三氟甲基碘（TFMI），在操作安全性和反应效率方面具有优势，并且MOF通过降低溶液中游离胺（用于自由基生成）的浓度进一步提高反应产率。总的来说，这种灵活的、无导向基团的方法为快速构建结构复杂且药物相关的分子建立了一个通用平台。</w:t>
      </w:r>
    </w:p>
    <w:p>
      <w:pPr>
        <w:spacing w:before="0" w:after="200" w:lineRule="auto" w:line="276"/>
      </w:pPr>
      <w:r>
        <w:rPr>
          <w:b/>
        </w:rPr>
        <w:t xml:space="preserve">Abstract (EN): </w:t>
      </w:r>
      <w:r>
        <w:t>Multicomponent cross-coupling reactions of alkenes offer a powerful strategy for constructing three-dimensional, sp3 -rich molecular architectures, a key objective in modern medicinal chemistry. However, the regioselective dicarbofunctionalization of unactivated alkenes without the use of directing groups remains a significant challenge. Herein, we report a visible-light-induced, Ni-catalyzed platform that enables the radical 1,2-dicarbofunctionalization of unactivated alkenes using diverse alkyl radical precursors and aryl, vinyl, acyl, alkynyl, and alkyl coupling partners. Mechanistic studies support a catalytic cycle in which multiple electron donor–acceptor (EDA) complexes mediate radical generation, atom-transfer radical addition (ATRA), and cross-electrophile coupling (XEC) or bimolecular homolytic substitution (SH2) processes. Additionally, preferential formation of a complex between the Ni catalyst and the radical precursor suppresses undesired homocoupling of the electrophilic partner. Notably, delivery of gaseous radical precursors such as trifluoromethyl iodide (TFMI) from the robust metal–organic framework (MOF) Al(OH)fum (fum– = fumarate) or Al–fum offers advantages in terms of both operational safety and reaction efficiency, and the MOF further boosts the yields of reactions by decreasing the concentration of free amine (employed for radical generation) in solution. Collectively, this flexible, directing-group-free approach establishes a general platform for the rapid construction of structurally complex and pharmaceutically relevant molecules from readily available precursors.</w:t>
      </w:r>
    </w:p>
    <w:p>
      <w:pPr>
        <w:spacing w:before="120" w:after="120"/>
      </w:pPr>
      <w:r>
        <w:rPr>
          <w:sz w:val="18"/>
        </w:rPr>
        <w:t>——————————————————————————————————————————————————————————————————————</w:t>
      </w:r>
    </w:p>
    <w:p>
      <w:pPr>
        <w:spacing w:before="160" w:after="40" w:line="240" w:lineRule="auto"/>
      </w:pPr>
      <w:r>
        <w:rPr>
          <w:b/>
        </w:rPr>
        <w:t xml:space="preserve">[1343] </w:t>
      </w:r>
      <w:hyperlink r:id="rId2271">
        <w:r>
          <w:rPr>
            <w:color w:val="1155CC"/>
            <w:u w:val="single"/>
          </w:rPr>
          <w:t>灵活性市场中的一种自适应谱聚类方法</w:t>
        </w:r>
      </w:hyperlink>
    </w:p>
    <w:p>
      <w:pPr>
        <w:spacing w:before="0" w:after="80"/>
      </w:pPr>
      <w:r>
        <w:rPr>
          <w:i/>
          <w:sz w:val="20"/>
        </w:rPr>
        <w:t>EN: A method for adaptive spectral clustering in flexibility markets</w:t>
      </w:r>
    </w:p>
    <w:p>
      <w:pPr>
        <w:spacing w:before="0" w:after="120"/>
      </w:pPr>
      <w:r>
        <w:rPr>
          <w:b/>
        </w:rPr>
        <w:t xml:space="preserve">Source: </w:t>
      </w:r>
      <w:r>
        <w:t>ScienceDirect Publication: Applied Energy</w:t>
      </w:r>
      <w:r>
        <w:t xml:space="preserve">    </w:t>
      </w:r>
      <w:r>
        <w:rPr>
          <w:b/>
        </w:rPr>
        <w:t xml:space="preserve">Pub date: </w:t>
      </w:r>
      <w:r>
        <w:t>2026-09-03 00:00:00+00:00</w:t>
      </w:r>
      <w:r>
        <w:t xml:space="preserve">    </w:t>
      </w:r>
      <w:r>
        <w:rPr>
          <w:b/>
        </w:rPr>
        <w:t xml:space="preserve">DOI: </w:t>
      </w:r>
      <w:hyperlink r:id="rId2272">
        <w:r>
          <w:rPr>
            <w:color w:val="1155CC"/>
            <w:u w:val="single"/>
          </w:rPr>
          <w:t>10.1016/j.apenergy.2026.128767</w:t>
        </w:r>
      </w:hyperlink>
    </w:p>
    <w:p>
      <w:pPr>
        <w:spacing w:before="0" w:after="120"/>
      </w:pPr>
      <w:r>
        <w:rPr>
          <w:b/>
        </w:rPr>
        <w:t xml:space="preserve">Notes: </w:t>
      </w:r>
      <w:r>
        <w:t>abstract_source=openalex</w:t>
      </w:r>
    </w:p>
    <w:p>
      <w:pPr>
        <w:spacing w:before="0" w:after="80" w:lineRule="auto" w:line="276"/>
      </w:pPr>
      <w:r>
        <w:rPr>
          <w:b/>
        </w:rPr>
        <w:t xml:space="preserve">摘要（ZH）: </w:t>
      </w:r>
      <w:r>
        <w:t>基于市场的框架需要将灵活、精细的资源聚合成稳定的交易产品，以实现高效的电网拥塞管理。需求方灵活性的异构性将拓扑约束与动态用户偏好纠缠在一起，导致静态集群无效。频繁的重新集群可以捕获这些动态，但它会带来操作波动性，并且对于近实时操作来说在数学上仍然难以处理。为了解决这种稳定性与效率的权衡，本文提出了一种网格感知状态自适应混合聚类（SAHC）方法。与严格的拓扑划分不同，SAHC 采用谱方法来捕获网格物理和经济行为之间的非线性相互作用。该框架将日前初始化（带有谱聚类的亲和聚合（AASC））与动态日内引擎集成在一起，该引擎根据谱结构完整性在轻量级有状态更新（Power Iteration Clustering）和无状态重新估计（Nyström 近似）之间自动切换。对 IEEE 33 总线系统在突然行为转变下的模拟表明，SAHC 实现了较低的计算延迟，同时对经济效率的影响较小。该方法实现了与高保真基准相当的灵活性成本，同时相对于全谱分解将计算时间减少了一个数量级以上，从而能够在严格的实时约束下进行操作。这些结果支持 SAHC 作为可扩展的解决方案，确保市场连续性而不受限制</w:t>
      </w:r>
    </w:p>
    <w:p>
      <w:pPr>
        <w:spacing w:before="0" w:after="200" w:lineRule="auto" w:line="276"/>
      </w:pPr>
      <w:r>
        <w:rPr>
          <w:b/>
        </w:rPr>
        <w:t xml:space="preserve">Abstract (EN): </w:t>
      </w:r>
      <w:r>
        <w:t>Market-based frameworks require aggregating flexible, granular resources into stable trading products to achieve efficient grid congestion management. The heterogeneous nature of demand-side flexibility, which entangles topological constraints with dynamic user preferences, renders static clustering ineffective. Frequent reclustering could capture these dynamics, but it introduces operational volatility and remains mathematically intractable for near-real-time operations. To resolve this stability-efficiency trade-off, this paper proposes a grid-aware State-Adaptive Hybrid Clustering (SAHC) method. Unlike rigid topological partitioning, SAHC employs a spectral approach to capture non-linear interactions between grid physics and economic behavior. The framework integrates a day-ahead initialization—Affinity Aggregation with Spectral Clustering (AASC)—with a dynamic intra-day engine that autonomously switches between a lightweight stateful update (Power Iteration Clustering) and a stateless re-estimation (Nyström approximation) based on spectral structural integrity. Simulations on the IEEE 33-bus system under an abrupt behavioral shift demonstrate that SAHC achieves lower computational latency with minor effects on economic efficiency. The approach attains flexibility costs comparable to high-fidelity benchmarks while reducing computation time by more than one order of magnitude relative to full spectral decomposition, enabling operation under strict real-time constraints. These results support SAHC as a scalable solution that ensures market continuity without the limitations of static approaches.</w:t>
      </w:r>
    </w:p>
    <w:p>
      <w:pPr>
        <w:spacing w:before="120" w:after="120"/>
      </w:pPr>
      <w:r>
        <w:rPr>
          <w:sz w:val="18"/>
        </w:rPr>
        <w:t>——————————————————————————————————————————————————————————————————————</w:t>
      </w:r>
    </w:p>
    <w:p>
      <w:pPr>
        <w:spacing w:before="160" w:after="40" w:line="240" w:lineRule="auto"/>
      </w:pPr>
      <w:r>
        <w:rPr>
          <w:b/>
        </w:rPr>
        <w:t xml:space="preserve">[1344] </w:t>
      </w:r>
      <w:hyperlink r:id="rId2273">
        <w:r>
          <w:rPr>
            <w:color w:val="1155CC"/>
            <w:u w:val="single"/>
          </w:rPr>
          <w:t>当铜被超越：通过外球氢键打破Irving–Williams稳定性趋势</w:t>
        </w:r>
      </w:hyperlink>
    </w:p>
    <w:p>
      <w:pPr>
        <w:spacing w:before="0" w:after="80"/>
      </w:pPr>
      <w:r>
        <w:rPr>
          <w:i/>
          <w:sz w:val="20"/>
        </w:rPr>
        <w:t>EN: When Copper Falls: Overriding the Irving–Williams Stability Trend Through Outer-Sphere Hydrogen Bonding</w:t>
      </w:r>
    </w:p>
    <w:p>
      <w:pPr>
        <w:spacing w:before="0" w:after="120"/>
      </w:pPr>
      <w:r>
        <w:rPr>
          <w:b/>
        </w:rPr>
        <w:t xml:space="preserve">Source: </w:t>
      </w:r>
      <w:r>
        <w:t>Journal of the American Chemical Society: Latest Articles (ACS Publications)</w:t>
      </w:r>
      <w:r>
        <w:t xml:space="preserve">    </w:t>
      </w:r>
      <w:r>
        <w:rPr>
          <w:b/>
        </w:rPr>
        <w:t xml:space="preserve">Pub date: </w:t>
      </w:r>
      <w:r>
        <w:t>2026-09-03 00:00:00+00:00</w:t>
      </w:r>
      <w:r>
        <w:t xml:space="preserve">    </w:t>
      </w:r>
      <w:r>
        <w:rPr>
          <w:b/>
        </w:rPr>
        <w:t xml:space="preserve">DOI: </w:t>
      </w:r>
      <w:hyperlink r:id="rId2274">
        <w:r>
          <w:rPr>
            <w:color w:val="1155CC"/>
            <w:u w:val="single"/>
          </w:rPr>
          <w:t>10.1021/jacs.6c10430</w:t>
        </w:r>
      </w:hyperlink>
    </w:p>
    <w:p>
      <w:pPr>
        <w:spacing w:before="0" w:after="120"/>
      </w:pPr>
      <w:r>
        <w:rPr>
          <w:b/>
        </w:rPr>
        <w:t xml:space="preserve">Notes: </w:t>
      </w:r>
      <w:r>
        <w:t>abstract_source=crossref</w:t>
      </w:r>
    </w:p>
    <w:p>
      <w:pPr>
        <w:spacing w:before="0" w:after="80" w:lineRule="auto" w:line="276"/>
      </w:pPr>
      <w:r>
        <w:rPr>
          <w:b/>
        </w:rPr>
        <w:t xml:space="preserve">摘要（ZH）: </w:t>
      </w:r>
      <w:r>
        <w:t>摘要 欧文-威廉姆斯系列 (Mn Zn) 是高自旋二价第一排过渡金属配合物中公认的热力学稳定性趋势。然而，完整的同构 Mn-Zn 系列很少见，而那些能够直接评估确定的二级配位层的系列则更加罕见。因此，外层非共价相互作用是否可以在不改变主要配位环境的情况下改变这种周期性趋势仍然悬而未决。在这里，我们提出了一个完整的同构八面体系列，(allLH)2MCl2 (M = Mn-Zn)，由黄素衍生的二齿配体 allLH 支持。 allLH 提供的外球 N–H…Cl 氢键网络将所有配合物锁定为单一子午异构体，从而实现跨行的直接热力学比较。与经典的欧文-威廉姆斯系列形成鲜明对比，Cu(II) 成为 (allLH)2MCl2 系列中最不稳定的物质。实验和计算分析表明，这种逆转是由刚性氢键支架施加的精细平衡的非共价约束引起的。该支架保留了 (allLH)2CuCl2 的八面体几何形状，但仅部分适应 Jahn-Teller 畸变，导致所得的稳定性不足以抵消外球氢键稳定性的伴随衰减。这项研究表明，通过设计外层非共价相互作用，可以在不改变主要配位环境的情况下克服既定的金属离子稳定性趋势。</w:t>
      </w:r>
    </w:p>
    <w:p>
      <w:pPr>
        <w:spacing w:before="0" w:after="200" w:lineRule="auto" w:line="276"/>
      </w:pPr>
      <w:r>
        <w:rPr>
          <w:b/>
        </w:rPr>
        <w:t xml:space="preserve">Abstract (EN): </w:t>
      </w:r>
      <w:r>
        <w:t>The Irving–Williams series (Mn Zn) is a well-established thermodynamic stability trend among high-spin divalent first-row transition-metal complexes. However, complete isostructural Mn–Zn series are rare, and those that enable direct evaluation of a defined secondary coordination sphere are even rarer. As a result, whether outer-sphere noncovalent interactions can alter this periodic trend without changing the primary coordination environment has remained unresolved. Here, we present a complete isostructural octahedral series, (allLH)2MCl2 (M = Mn–Zn), supported by a flavin-derived bidentate ligand, allLH. An outer-sphere N–H···Cl hydrogen-bonding network provided by allLH locks all complexes into a single meridional isomer, enabling direct thermodynamic comparison across the row. In stark contrast to the classical Irving–Williams series, Cu(II) becomes the least stable species in the (allLH)2MCl2 series. Experimental and computational analyses show that this reversal arises from a finely balanced noncovalent constraint imposed by the rigid hydrogen-bonded scaffold. This scaffold retains the octahedral geometry of (allLH)2CuCl2 but only partially accommodates Jahn–Teller distortion, leaving the resulting stabilization insufficient to offset the accompanying attenuation of outer-sphere hydrogen-bond stabilization. This study demonstrates that a well-established metal-ion stability trend can be overcome by designing outer-sphere noncovalent interactions without altering the primary coordination environment.</w:t>
      </w:r>
    </w:p>
    <w:p>
      <w:pPr>
        <w:spacing w:before="120" w:after="120"/>
      </w:pPr>
      <w:r>
        <w:rPr>
          <w:sz w:val="18"/>
        </w:rPr>
        <w:t>——————————————————————————————————————————————————————————————————————</w:t>
      </w:r>
    </w:p>
    <w:p>
      <w:pPr>
        <w:spacing w:before="160" w:after="40" w:line="240" w:lineRule="auto"/>
      </w:pPr>
      <w:r>
        <w:rPr>
          <w:b/>
        </w:rPr>
        <w:t xml:space="preserve">[1345] </w:t>
      </w:r>
      <w:hyperlink r:id="rId2275">
        <w:r>
          <w:rPr>
            <w:color w:val="1155CC"/>
            <w:u w:val="single"/>
          </w:rPr>
          <w:t>用于可编程寡核苷酸递送的序列明确数字瓶刷聚合物</w:t>
        </w:r>
      </w:hyperlink>
    </w:p>
    <w:p>
      <w:pPr>
        <w:spacing w:before="0" w:after="80"/>
      </w:pPr>
      <w:r>
        <w:rPr>
          <w:i/>
          <w:sz w:val="20"/>
        </w:rPr>
        <w:t>EN: Sequence-defined Digital Bottlebrush Polymers for Programmable Oligonucleotide Delivery</w:t>
      </w:r>
    </w:p>
    <w:p>
      <w:pPr>
        <w:spacing w:before="0" w:after="120"/>
      </w:pPr>
      <w:r>
        <w:rPr>
          <w:b/>
        </w:rPr>
        <w:t xml:space="preserve">Source: </w:t>
      </w:r>
      <w:r>
        <w:t>Journal of the American Chemical Society: Latest Articles (ACS Publications)</w:t>
      </w:r>
      <w:r>
        <w:t xml:space="preserve">    </w:t>
      </w:r>
      <w:r>
        <w:rPr>
          <w:b/>
        </w:rPr>
        <w:t xml:space="preserve">Pub date: </w:t>
      </w:r>
      <w:r>
        <w:t>2026-09-03 00:00:00+00:00</w:t>
      </w:r>
      <w:r>
        <w:t xml:space="preserve">    </w:t>
      </w:r>
      <w:r>
        <w:rPr>
          <w:b/>
        </w:rPr>
        <w:t xml:space="preserve">DOI: </w:t>
      </w:r>
      <w:hyperlink r:id="rId2276">
        <w:r>
          <w:rPr>
            <w:color w:val="1155CC"/>
            <w:u w:val="single"/>
          </w:rPr>
          <w:t>10.1021/jacs.6c09537</w:t>
        </w:r>
      </w:hyperlink>
    </w:p>
    <w:p>
      <w:pPr>
        <w:spacing w:before="0" w:after="120"/>
      </w:pPr>
      <w:r>
        <w:rPr>
          <w:b/>
        </w:rPr>
        <w:t xml:space="preserve">Notes: </w:t>
      </w:r>
      <w:r>
        <w:t>abstract_source=crossref</w:t>
      </w:r>
    </w:p>
    <w:p>
      <w:pPr>
        <w:spacing w:before="0" w:after="80" w:lineRule="auto" w:line="276"/>
      </w:pPr>
      <w:r>
        <w:rPr>
          <w:b/>
        </w:rPr>
        <w:t xml:space="preserve">摘要（ZH）: </w:t>
      </w:r>
      <w:r>
        <w:t>摘要 寡核苷酸疗法具有变革潜力，但其临床转化受到递送障碍的阻碍，包括快速的肾脏/肝脏清除和较差的器官特异性。 Bottlebrush 聚合物缀合物已成为解决这些限制的有前途的载体，但具有均匀主链的传统架构只能实现不可修改的、刚性的生物分布曲线。在这里，我们报告了一个序列定义的“数字”洗瓶刷聚合物库，通过精确设计化学基序的受控位置来改变理化性质（包括脂质、胆固醇和阳离子基团）沿着聚磷酸二酯主链。对数字洗瓶刷聚合物库的系统评估揭示了独特的结构-性能关系，并能够实现器官偏向的系统递送到几个传统上难以到达的组织，包括肌肉和皮肤。在类风湿性关节炎小鼠模型中，单剂靶向 TNF-α 的脾归巢聚合物缀合反义寡核苷酸可显着降低关节炎的严重程度并保持动物体重。这些发现建立了一个通用的设计框架，用于根据特定的治疗应用定制洗瓶刷聚合物。</w:t>
      </w:r>
    </w:p>
    <w:p>
      <w:pPr>
        <w:spacing w:before="0" w:after="200" w:lineRule="auto" w:line="276"/>
      </w:pPr>
      <w:r>
        <w:rPr>
          <w:b/>
        </w:rPr>
        <w:t xml:space="preserve">Abstract (EN): </w:t>
      </w:r>
      <w:r>
        <w:t>Oligonucleotide therapeutics hold transformative potential, yet their clinical translation is hindered by delivery barriers, including rapid renal/hepatic clearance and poor organ specificity. Bottlebrush polymer conjugates have emerged as a promising vector to address these limitations, but conventional architectures with uniform backbones can only achieve an unmodifiable, rigid biodistribution profile. Here, we report a library of sequence-defined “digital” bottlebrush polymers, precisely engineered with controlled placements of chemical motifs that modify physicochemical properties─including lipids, cholesterol, and cationic groups─along a polyphosphodiester backbone. Systematic evaluation of the digital bottlebrush polymer library reveals distinct structure–property relationships and enables organ-biased systemic delivery to several traditionally difficult-to-reach tissues, including muscle and skin. In a mouse model of rheumatoid arthritis, a single dose of a spleen-homing polymer-conjugated antisense oligonucleotide targeting TNF-α significantly reduced arthritis severity and preserved animal body weight. These findings establish a versatile design framework for tailoring bottlebrush polymers to specific therapeutic applications.</w:t>
      </w:r>
    </w:p>
    <w:p>
      <w:pPr>
        <w:spacing w:before="120" w:after="120"/>
      </w:pPr>
      <w:r>
        <w:rPr>
          <w:sz w:val="18"/>
        </w:rPr>
        <w:t>——————————————————————————————————————————————————————————————————————</w:t>
      </w:r>
    </w:p>
    <w:p>
      <w:pPr>
        <w:spacing w:before="160" w:after="40" w:line="240" w:lineRule="auto"/>
      </w:pPr>
      <w:r>
        <w:rPr>
          <w:b/>
        </w:rPr>
        <w:t xml:space="preserve">[1346] </w:t>
      </w:r>
      <w:hyperlink r:id="rId2277">
        <w:r>
          <w:rPr>
            <w:color w:val="1155CC"/>
            <w:u w:val="single"/>
          </w:rPr>
          <w:t>温和条件下氨基喹啉导向的钴催化非活化C(sp3)-H键官能化</w:t>
        </w:r>
      </w:hyperlink>
    </w:p>
    <w:p>
      <w:pPr>
        <w:spacing w:before="0" w:after="80"/>
      </w:pPr>
      <w:r>
        <w:rPr>
          <w:i/>
          <w:sz w:val="20"/>
        </w:rPr>
        <w:t>EN: Cobalt-Catalyzed, Aminoquinoline-Directed Functionalization of Nonactivated C(sp3)-H Bonds under Mild Conditions</w:t>
      </w:r>
    </w:p>
    <w:p>
      <w:pPr>
        <w:spacing w:before="0" w:after="120"/>
      </w:pPr>
      <w:r>
        <w:rPr>
          <w:b/>
        </w:rPr>
        <w:t xml:space="preserve">Source: </w:t>
      </w:r>
      <w:r>
        <w:t>Journal of the American Chemical Society: Latest Articles (ACS Publications)</w:t>
      </w:r>
      <w:r>
        <w:t xml:space="preserve">    </w:t>
      </w:r>
      <w:r>
        <w:rPr>
          <w:b/>
        </w:rPr>
        <w:t xml:space="preserve">Pub date: </w:t>
      </w:r>
      <w:r>
        <w:t>2026-09-03 00:00:00+00:00</w:t>
      </w:r>
      <w:r>
        <w:t xml:space="preserve">    </w:t>
      </w:r>
      <w:r>
        <w:rPr>
          <w:b/>
        </w:rPr>
        <w:t xml:space="preserve">DOI: </w:t>
      </w:r>
      <w:hyperlink r:id="rId2278">
        <w:r>
          <w:rPr>
            <w:color w:val="1155CC"/>
            <w:u w:val="single"/>
          </w:rPr>
          <w:t>10.1021/jacs.6c13556</w:t>
        </w:r>
      </w:hyperlink>
    </w:p>
    <w:p>
      <w:pPr>
        <w:spacing w:before="0" w:after="120"/>
      </w:pPr>
      <w:r>
        <w:rPr>
          <w:b/>
        </w:rPr>
        <w:t xml:space="preserve">Notes: </w:t>
      </w:r>
      <w:r>
        <w:t>abstract_source=crossref</w:t>
      </w:r>
    </w:p>
    <w:p>
      <w:pPr>
        <w:spacing w:before="0" w:after="80" w:lineRule="auto" w:line="276"/>
      </w:pPr>
      <w:r>
        <w:rPr>
          <w:b/>
        </w:rPr>
        <w:t xml:space="preserve">摘要（ZH）: </w:t>
      </w:r>
      <w:r>
        <w:t>摘要 C(sp3)-H键功能化中的第二列和第三列过渡金属催化已经成熟，目前用于复杂天然产物的合成，可以被认为是新合成方法的终极测试。然而，容易获得且丰富的第一行金属主要用于 C(sp2)-H 键的功能化。它们在非活化（不是苄基或α到杂原子）C(sp3)-H键的转化中的应用很少，并且通常受到无法功能化二级C-H键、高反应温度以及需要使用多当量银(I)氧化剂的限制。我们在这里报告了一种钴催化碳氢键功能化的新方法，通过使用双导向基团策略，能够在温和条件下有效激活伯和仲C(sp3)-H键以形成β-或γ-内酰胺。使用锰酸钡作为氧化剂。几种 Co(III) 中间体已被分离出来，并探索了它们的反应性，支持它们参与催化循环。该反应显示出异常高的 C–H 官能化 KIE kH/kD (&gt;11)，允许使用氘作为封闭基团，从而实现放大或可切换的位点选择性。机理研究表明量子隧道效应可能在 C-H 激活步骤中发挥作用。</w:t>
      </w:r>
    </w:p>
    <w:p>
      <w:pPr>
        <w:spacing w:before="0" w:after="200" w:lineRule="auto" w:line="276"/>
      </w:pPr>
      <w:r>
        <w:rPr>
          <w:b/>
        </w:rPr>
        <w:t xml:space="preserve">Abstract (EN): </w:t>
      </w:r>
      <w:r>
        <w:t>Second- and third-row transition metal catalysis in C(sp3)-H bond functionalization is well-established and is currently used in the synthesis of complex natural products, which can be considered the ultimate test of new synthetic methodologies. However, readily available and abundant first-row metals have been mostly employed in the functionalization of C(sp2)-H bonds. Their use in transformations of nonactivated (not benzylic or α to a heteroatom) C(sp3)-H bonds is rare and typically limited by the inability to functionalize secondary C–H bonds, high reaction temperatures, and the need to employ multiple equivalents of silver(I) oxidants. We report here a new approach to cobalt-catalyzed carbon–hydrogen bond functionalization by using a double-directing group strategy, enabling efficient activation of primary and secondary C(sp3)-H bonds under mild conditions to form β- or γ-lactams. Barium manganate is employed as an oxidant. Several Co(III) intermediates have been isolated and their reactivity is explored, supporting their involvement in the catalytic cycle. The reaction shows unusually high KIE kH/kD (&gt;11) for C–H functionalization, allowing the use of deuterium as a blocking group, which enables amplified or switchable site selectivity. Mechanistic studies suggest a possible contribution of quantum tunneling in the C–H activation step.</w:t>
      </w:r>
    </w:p>
    <w:p>
      <w:pPr>
        <w:spacing w:before="120" w:after="120"/>
      </w:pPr>
      <w:r>
        <w:rPr>
          <w:sz w:val="18"/>
        </w:rPr>
        <w:t>——————————————————————————————————————————————————————————————————————</w:t>
      </w:r>
    </w:p>
    <w:p>
      <w:pPr>
        <w:spacing w:before="160" w:after="40" w:line="240" w:lineRule="auto"/>
      </w:pPr>
      <w:r>
        <w:rPr>
          <w:b/>
        </w:rPr>
        <w:t xml:space="preserve">[1347] </w:t>
      </w:r>
      <w:hyperlink r:id="rId2279">
        <w:r>
          <w:rPr>
            <w:color w:val="1155CC"/>
            <w:u w:val="single"/>
          </w:rPr>
          <w:t>通过精细调控有机配体最大化Dy配合物的磁各向异性：对超过2.5万个分子的系统性多参考高通量探索</w:t>
        </w:r>
      </w:hyperlink>
    </w:p>
    <w:p>
      <w:pPr>
        <w:spacing w:before="0" w:after="80"/>
      </w:pPr>
      <w:r>
        <w:rPr>
          <w:i/>
          <w:sz w:val="20"/>
        </w:rPr>
        <w:t>EN: Maximizing the Magnetic Anisotropy of Dy Complexes by Fine-Tuning Organic Ligands: A Systematic Multireference High-Throughput Exploration of over 25k Molecules</w:t>
      </w:r>
    </w:p>
    <w:p>
      <w:pPr>
        <w:spacing w:before="0" w:after="120"/>
      </w:pPr>
      <w:r>
        <w:rPr>
          <w:b/>
        </w:rPr>
        <w:t xml:space="preserve">Source: </w:t>
      </w:r>
      <w:r>
        <w:t>Journal of the American Chemical Society: Latest Articles (ACS Publications)</w:t>
      </w:r>
      <w:r>
        <w:t xml:space="preserve">    </w:t>
      </w:r>
      <w:r>
        <w:rPr>
          <w:b/>
        </w:rPr>
        <w:t xml:space="preserve">Pub date: </w:t>
      </w:r>
      <w:r>
        <w:t>2026-09-03 00:00:00+00:00</w:t>
      </w:r>
      <w:r>
        <w:t xml:space="preserve">    </w:t>
      </w:r>
      <w:r>
        <w:rPr>
          <w:b/>
        </w:rPr>
        <w:t xml:space="preserve">DOI: </w:t>
      </w:r>
      <w:hyperlink r:id="rId2280">
        <w:r>
          <w:rPr>
            <w:color w:val="1155CC"/>
            <w:u w:val="single"/>
          </w:rPr>
          <w:t>10.1021/jacs.6c12194</w:t>
        </w:r>
      </w:hyperlink>
    </w:p>
    <w:p>
      <w:pPr>
        <w:spacing w:before="0" w:after="120"/>
      </w:pPr>
      <w:r>
        <w:rPr>
          <w:b/>
        </w:rPr>
        <w:t xml:space="preserve">Notes: </w:t>
      </w:r>
      <w:r>
        <w:t>abstract_source=crossref</w:t>
      </w:r>
    </w:p>
    <w:p>
      <w:pPr>
        <w:spacing w:before="0" w:after="80" w:lineRule="auto" w:line="276"/>
      </w:pPr>
      <w:r>
        <w:rPr>
          <w:b/>
        </w:rPr>
        <w:t xml:space="preserve">摘要（ZH）: </w:t>
      </w:r>
      <w:r>
        <w:t>摘要 磁性离子配位环境的设计是实现大磁各向异性和慢磁弛豫等性能的关键，但缺乏对这些化合物相关化学空间的系统探索。在这里，我们自动从晶体学数据库中提取单核 Dy 配位配合物的所有条目，并使用多参考从头计算方法来计算其磁各向异性。此外，我们还生成并模拟了 25k 个具有通式 [Dy(H2O)5L2]n+ 和五角双锥配位几何形状的新分子的磁各向异性，该图案因其特性和赋予生成的化合物赋予合成真实性而被选为非常有前途的图案。虽然晶体学数据库的筛选允许自然出现电子结构和配位几何之间的相关性，但通过系统地探索新的有机配体，可以识别晶体场分裂超过 1600 cm-1 的分子。这对应于磁各向异性比 L = tBuPO(NHiPr)2 的参考化合物增加约 100%，比任何已知的五角双锥 Dy 络合物增加约 40%，并接近镝的值。这项工作中提出的系统研究表明，有机配体对 Dy 的第二配位层的微调可以在很大程度上影响磁各向异性，并且自动化高通量筛选能够识别化学基序，统计上能够最大化这种特性，从而为合理和自动化的磁各向异性铺平了道路。</w:t>
      </w:r>
    </w:p>
    <w:p>
      <w:pPr>
        <w:spacing w:before="0" w:after="200" w:lineRule="auto" w:line="276"/>
      </w:pPr>
      <w:r>
        <w:rPr>
          <w:b/>
        </w:rPr>
        <w:t xml:space="preserve">Abstract (EN): </w:t>
      </w:r>
      <w:r>
        <w:t>The design of the coordination environment of magnetic ions is key to achieving properties such as large magnetic anisotropy and slow magnetic relaxation, but a systematic exploration of the relevant chemical space for these compounds is missing. Here, we automatically extract all entries of mononuclear Dy coordination complexes from crystallographic databases and use multireference ab initio methods to compute their magnetic anisotropy. In addition, we generate and simulate magnetic anisotropy for 25k new molecules with the general formula [Dy(H2O)5L2]n+ and pentagonal bipyramidal coordination geometry, a motif selected as very promising for its properties and for imparting synthetic realism to the generated compounds. While the screening of crystallography databases allows for correlations between electronic structure and coordination geometry to naturally emerge, molecules with crystal field splittings over 1600 cm–1 are identified by systematically exploring new organic ligands. This corresponds to a ∼100% increase of magnetic anisotropy over the reference compound with L = tBuPO(NHiPr)2, ∼40% over any known pentagonal bipyramidal Dy complex, and approaching the values of dysprosocenium. The systematic study presented in this work demonstrates the very large extent to which the fine-tuning of Dy’s second coordination sphere by organic ligands can affect magnetic anisotropy, and that automated high-throughput screening is capable of identifying chemical motifs statistically able to maximize such a property, therefore paving the way to the rational and automated design of magnetic molecules beyond established first coordination shell considerations.</w:t>
      </w:r>
    </w:p>
    <w:p>
      <w:pPr>
        <w:spacing w:before="120" w:after="120"/>
      </w:pPr>
      <w:r>
        <w:rPr>
          <w:sz w:val="18"/>
        </w:rPr>
        <w:t>——————————————————————————————————————————————————————————————————————</w:t>
      </w:r>
    </w:p>
    <w:p>
      <w:pPr>
        <w:spacing w:before="160" w:after="40" w:line="240" w:lineRule="auto"/>
      </w:pPr>
      <w:r>
        <w:rPr>
          <w:b/>
        </w:rPr>
        <w:t xml:space="preserve">[1348] </w:t>
      </w:r>
      <w:hyperlink r:id="rId2281">
        <w:r>
          <w:rPr>
            <w:color w:val="1155CC"/>
            <w:u w:val="single"/>
          </w:rPr>
          <w:t>人源Argonaute-2对有机基5′-磷酸的可编程识别</w:t>
        </w:r>
      </w:hyperlink>
    </w:p>
    <w:p>
      <w:pPr>
        <w:spacing w:before="0" w:after="80"/>
      </w:pPr>
      <w:r>
        <w:rPr>
          <w:i/>
          <w:sz w:val="20"/>
        </w:rPr>
        <w:t>EN: Programmable Recognition of Organyl 5′-Phosphates by Human Argonaute-2</w:t>
      </w:r>
    </w:p>
    <w:p>
      <w:pPr>
        <w:spacing w:before="0" w:after="120"/>
      </w:pPr>
      <w:r>
        <w:rPr>
          <w:b/>
        </w:rPr>
        <w:t xml:space="preserve">Source: </w:t>
      </w:r>
      <w:r>
        <w:t>Journal of the American Chemical Society: Latest Articles (ACS Publications)</w:t>
      </w:r>
      <w:r>
        <w:t xml:space="preserve">    </w:t>
      </w:r>
      <w:r>
        <w:rPr>
          <w:b/>
        </w:rPr>
        <w:t xml:space="preserve">Pub date: </w:t>
      </w:r>
      <w:r>
        <w:t>2026-09-03 00:00:00+00:00</w:t>
      </w:r>
      <w:r>
        <w:t xml:space="preserve">    </w:t>
      </w:r>
      <w:r>
        <w:rPr>
          <w:b/>
        </w:rPr>
        <w:t xml:space="preserve">DOI: </w:t>
      </w:r>
      <w:hyperlink r:id="rId2282">
        <w:r>
          <w:rPr>
            <w:color w:val="1155CC"/>
            <w:u w:val="single"/>
          </w:rPr>
          <w:t>10.1021/jacs.6c03647</w:t>
        </w:r>
      </w:hyperlink>
    </w:p>
    <w:p>
      <w:pPr>
        <w:spacing w:before="0" w:after="120"/>
      </w:pPr>
      <w:r>
        <w:rPr>
          <w:b/>
        </w:rPr>
        <w:t xml:space="preserve">Notes: </w:t>
      </w:r>
      <w:r>
        <w:t>abstract_source=crossref</w:t>
      </w:r>
    </w:p>
    <w:p>
      <w:pPr>
        <w:spacing w:before="0" w:after="80" w:lineRule="auto" w:line="276"/>
      </w:pPr>
      <w:r>
        <w:rPr>
          <w:b/>
        </w:rPr>
        <w:t xml:space="preserve">摘要（ZH）: </w:t>
      </w:r>
      <w:r>
        <w:t>摘要 为了实现 RNA 干扰 (RNAi)，Argonaute (AGO) 蛋白通过必需的 5'-磷酸 (5'-P) 识别并加载 RNA 引导链。然而，尽管 AGO2 对小干扰 RNA (siRNA) 药物设计很重要，但控制 AGO2 对化学修饰 5'-P 结构耐受性的结构特征仍然不清楚。此外，降解酶也识别 5'-P，但很少有立体电子特征能够区分 AGO2 识别和竞争性降解途径。在这里，我们表明 AGO2 容纳的 5'-P 衍生物范围比之前认识的要广泛得多，并且选择的 5'-P 模拟物可以利用与蛋白质的新相互作用来增强引导锚定。通过 35 个有机取代基的系统多样化，我们探究了引导锚定和酶敏感性的结构决定因素。我们的分析发现了以前未表征的 5'-P 模拟物，包括甲基和苯基炔丙基 5'-磷酸酯 (5'-PO-Me、5'-PO-PhPrp)、苯基炔丙基 5'-硫代磷酸酯 (5'-PS-PhPrp) 和 5'-甲磺酰氨基磷酸酯 (5'-MsPA)，它们可保持细胞中 AGO2 的有效负载，同时抑制磷酸酶介导的降解。我们进一步发现 5'-核酸外切酶敏感性很大程度上取决于规范的 5' 磷酸化学而不是空间可及性。 5'-PO-PhPrp 引导物：AGO2 复合物的结构分析表明，苯基炔丙基取代基在芳香侧链簇 (Y529/F811/Y815) 内形成 π 堆积网络，而扩展的 5'-P 取代基则通过 ro 容纳。</w:t>
      </w:r>
    </w:p>
    <w:p>
      <w:pPr>
        <w:spacing w:before="0" w:after="200" w:lineRule="auto" w:line="276"/>
      </w:pPr>
      <w:r>
        <w:rPr>
          <w:b/>
        </w:rPr>
        <w:t xml:space="preserve">Abstract (EN): </w:t>
      </w:r>
      <w:r>
        <w:t>To effectuate RNA interference (RNAi), Argonaute (AGO) proteins recognize and load RNA guide strands by their requisite 5′-phosphate (5′-P). However, the structural features that govern AGO2 tolerance for chemically modified 5′-P architectures remain poorly defined, despite their importance for small interfering RNA (siRNA) drug design. Moreover, degradative enzymes also recognize 5′-P, yet few stereoelectronic features are known to differentiate AGO2 recognition from competing degradation pathways. Here, we show that AGO2 accommodates a substantially broader range of 5′-P derivatives than previously recognized, and that select 5′-P mimics can exploit novel interactions with the protein to reinforce guide anchoring. Through systematic diversification of 35 organic substituents, we interrogated structural determinants of guide anchoring and enzymatic susceptibility. Our analysis identified previously uncharacterized 5′-P mimics, including methyl and phenylpropargyl 5′-phosphates (5′-PO-Me, 5′-PO-PhPrp), phenylpropargyl 5′-phosphorothioate (5′-PS-PhPrp), and 5′-mesylphosphoramidate (5′-MsPA), that preserve efficient AGO2 loading in cells while inhibiting phosphatase-mediated degradation. We further found that 5′-exonuclease susceptibility depends strongly on canonical 5′ phosphate chemistry rather than steric accessibility. Structural analysis of a 5′-PO-PhPrp guide:AGO2 complex shows that the phenylpropargyl substituent engages a π-stacking network within a cluster of aromatic side chains (Y529/F811/Y815), while extended 5′-P substituents are accommodated through rotation of the 5′-P and coordinated rearrangement of water molecules within the 5′-P binding pocket. Collectively, these findings reveal the structural basis for plasticity of guide anchoring in AGO2 and establish chemically programmable 5′-end interactions as a general strategy for modulating oligonucleotide stability and activity.</w:t>
      </w:r>
    </w:p>
    <w:p>
      <w:pPr>
        <w:spacing w:before="120" w:after="120"/>
      </w:pPr>
      <w:r>
        <w:rPr>
          <w:sz w:val="18"/>
        </w:rPr>
        <w:t>——————————————————————————————————————————————————————————————————————</w:t>
      </w:r>
    </w:p>
    <w:p>
      <w:pPr>
        <w:spacing w:before="160" w:after="40" w:line="240" w:lineRule="auto"/>
      </w:pPr>
      <w:r>
        <w:rPr>
          <w:b/>
        </w:rPr>
        <w:t xml:space="preserve">[1349] </w:t>
      </w:r>
      <w:hyperlink r:id="rId2283">
        <w:r>
          <w:rPr>
            <w:color w:val="1155CC"/>
            <w:u w:val="single"/>
          </w:rPr>
          <w:t>镓掺杂IGTO纳米纤维晶体管中维度与缺陷协同工程用于双波段神经形态视觉与光学加密</w:t>
        </w:r>
      </w:hyperlink>
    </w:p>
    <w:p>
      <w:pPr>
        <w:spacing w:before="0" w:after="80"/>
      </w:pPr>
      <w:r>
        <w:rPr>
          <w:i/>
          <w:sz w:val="20"/>
        </w:rPr>
        <w:t>EN: Synergistic Dimensional and Defect Engineering in Ga-Doped IGTO Nanofiber Transistors for Dual-Band Neuromorphic Vision and Optical Encryption</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284">
        <w:r>
          <w:rPr>
            <w:color w:val="1155CC"/>
            <w:u w:val="single"/>
          </w:rPr>
          <w:t>10.1021/acsami.6c12888</w:t>
        </w:r>
      </w:hyperlink>
    </w:p>
    <w:p>
      <w:pPr>
        <w:spacing w:before="0" w:after="120"/>
      </w:pPr>
      <w:r>
        <w:rPr>
          <w:b/>
        </w:rPr>
        <w:t xml:space="preserve">Notes: </w:t>
      </w:r>
      <w:r>
        <w:t>abstract_source=crossref</w:t>
      </w:r>
    </w:p>
    <w:p>
      <w:pPr>
        <w:spacing w:before="0" w:after="80" w:lineRule="auto" w:line="276"/>
      </w:pPr>
      <w:r>
        <w:rPr>
          <w:b/>
        </w:rPr>
        <w:t xml:space="preserve">摘要（ZH）: </w:t>
      </w:r>
      <w:r>
        <w:t>摘要 在这里，我们报告了一种协同策略，将一维（1D）纳米结构与精确的 Ga 掺杂相结合，以制造高性能氧化铟镓锡（IGTO）纳米纤维场效应晶体管（FET）。优化的 5% Ga 掺杂通过强 G-O 键有效抑制氧空位（从 38.8% 降至 29.7%），实现 2.79 cm2 V-1 s-1 的优异迁移率、4.15 × 107 的高开/关比、0.50 V/dec 的陡峭亚阈值摆幅以及卓越的偏置应力稳定性，从而克服了氧化物半导体中经典的迁移率与稳定性权衡。除了卓越的电气特性之外，IGTO 纳米纤维 FET 还具有可调谐的双波段光响应（340 nm 紫外光和 430 nm 可见光），可成功模拟基本的突触行为，包括兴奋性突触后电流、成对脉冲促进以及短期到长期记忆转换。利用这种波长选择性响应性，我们进一步演示了针对 MNIST 数字的概念验证光学加密解密系统，识别精度达到 95%。这项工作建立了“尺寸控制、精确掺杂和缺陷工程”范例，展示了 IGTO 纳米纤维作为神经形态视觉系统和安全光电应用的多功能平台的巨大潜力。</w:t>
      </w:r>
    </w:p>
    <w:p>
      <w:pPr>
        <w:spacing w:before="0" w:after="200" w:lineRule="auto" w:line="276"/>
      </w:pPr>
      <w:r>
        <w:rPr>
          <w:b/>
        </w:rPr>
        <w:t xml:space="preserve">Abstract (EN): </w:t>
      </w:r>
      <w:r>
        <w:t>Here, we report a synergistic strategy that integrates one-dimensional (1D) nanostructuring with precise Ga doping to fabricate high-performance indium-gallium-tin oxide (IGTO) nanofiber field-effect transistors (FETs). The optimized 5% Ga doping effectively suppresses oxygen vacancies (from 38.8 to 29.7%) via strong G–O bonds, enabling an excellent mobility of 2.79 cm2 V–1 s–1, a high on/off ratio of 4.15 × 107, a steep subthreshold swing of 0.50 V/dec, and remarkable bias-stress stability, thereby overcoming the classic mobility-stability trade-off in oxide semiconductors. Beyond the superior electrical characteristics, the IGTO nanofiber FETs exhibit a tunable dual-band photoresponse (340 nm UV and 430 nm visible), which successfully emulates essential synaptic behaviors, including excitatory postsynaptic currents, paired-pulse facilitation, and short-term to long-term memory transitions. Capitalizing on this wavelength-selective responsivity, we further demonstrate a proof-of-concept optical encryption-decryption system for MNIST digits, achieving a recognition accuracy of 95%. This work establishes a “dimensional control, precise doping, and defect engineering” paradigm, showcasing the great potential of IGTO nanofibers as a versatile platform for neuromorphic vision systems and secure optoelectronic applications.</w:t>
      </w:r>
    </w:p>
    <w:p>
      <w:pPr>
        <w:spacing w:before="120" w:after="120"/>
      </w:pPr>
      <w:r>
        <w:rPr>
          <w:sz w:val="18"/>
        </w:rPr>
        <w:t>——————————————————————————————————————————————————————————————————————</w:t>
      </w:r>
    </w:p>
    <w:p>
      <w:pPr>
        <w:spacing w:before="160" w:after="40" w:line="240" w:lineRule="auto"/>
      </w:pPr>
      <w:r>
        <w:rPr>
          <w:b/>
        </w:rPr>
        <w:t xml:space="preserve">[1350] </w:t>
      </w:r>
      <w:hyperlink r:id="rId2285">
        <w:r>
          <w:rPr>
            <w:color w:val="1155CC"/>
            <w:u w:val="single"/>
          </w:rPr>
          <w:t>从p型到n型：轴向取代硅氧烷硅酞菁的氯代诱导电子与结构调控</w:t>
        </w:r>
      </w:hyperlink>
    </w:p>
    <w:p>
      <w:pPr>
        <w:spacing w:before="0" w:after="80"/>
      </w:pPr>
      <w:r>
        <w:rPr>
          <w:i/>
          <w:sz w:val="20"/>
        </w:rPr>
        <w:t>EN: From p -Type to n -Type: Chlorination-Induced Electronic and Structural Modulation of Axially Substituted Siloxane Silicon Phthalocyanines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286">
        <w:r>
          <w:rPr>
            <w:color w:val="1155CC"/>
            <w:u w:val="single"/>
          </w:rPr>
          <w:t>10.1021/acsami.6c11582</w:t>
        </w:r>
      </w:hyperlink>
    </w:p>
    <w:p>
      <w:pPr>
        <w:spacing w:before="0" w:after="120"/>
      </w:pPr>
      <w:r>
        <w:rPr>
          <w:b/>
        </w:rPr>
        <w:t xml:space="preserve">Notes: </w:t>
      </w:r>
      <w:r>
        <w:t>abstract_source=crossref</w:t>
      </w:r>
    </w:p>
    <w:p>
      <w:pPr>
        <w:spacing w:before="0" w:after="80" w:lineRule="auto" w:line="276"/>
      </w:pPr>
      <w:r>
        <w:rPr>
          <w:b/>
        </w:rPr>
        <w:t xml:space="preserve">摘要（ZH）: </w:t>
      </w:r>
      <w:r>
        <w:t>摘要 空气稳定的n型有机半导体的开发仍然是有机薄膜晶体管（OTFT）技术的一个关键挑战。带有轴向硅氧烷取代基的硅酞菁（SiPcs）最近实现了创纪录的载流子迁移率，但由于其相对较高的前沿轨道能量而表现出p型行为。在此，我们报告了两种新型氯化硅氧烷硅酞菁 (Si4O)2SiPcCl8 和 (Si4O)2SiPcCl16 的合成、表征和 OTFT 集成，旨在降低最低未占分子轨道 (LUMO) 能量并实现 n 型传输。外围氯化有效地将 LUMO 水平分别降低至 -3.8 和 -4.0 eV，从而确认了所需的电子调制。单晶 X 射线衍射表明，氯化通过两种不同的机制破坏了母体未氯化衍生物中观察到的密集 π 堆积：(Si4O)2SiPcCl8 中分子间分离的增加和 (Si4O)2SiPcCl16 中严重的核心扭曲。这些结构扰动直接影响器件性能：(Si4O)2SiPcCl8 OTFT 的平均电子迁移率达到 1.6 × 10−2 cm2 V−1 s−1，与性能最好的烷基取代 SiPc 之一相当，而高度扭曲的 (Si4O)2SiPcCl16 衍生物表现出较低的迁移率。通过粉末 X 射线衍射和原子力显微镜进行的薄膜表征，并通过密度泛函理论计算证实，(Si4O)2SiPcCl8 薄膜采用了良好的织构，与高迁移率 cr 对齐。</w:t>
      </w:r>
    </w:p>
    <w:p>
      <w:pPr>
        <w:spacing w:before="0" w:after="200" w:lineRule="auto" w:line="276"/>
      </w:pPr>
      <w:r>
        <w:rPr>
          <w:b/>
        </w:rPr>
        <w:t xml:space="preserve">Abstract (EN): </w:t>
      </w:r>
      <w:r>
        <w:t>The development of air-stable n-type organic semiconductors remains a critical challenge for organic thin-film transistor (OTFT) technologies. Silicon phthalocyanines (SiPcs) bearing axial siloxane substituents have recently achieved record charge carrier mobilities but exhibit p-type behavior due to their relatively high-lying frontier orbital energies. Herein, we report the synthesis, characterization, and OTFT integration of two new chlorinated siloxane silicon phthalocyanines, (Si4O)2SiPcCl8 and (Si4O)2SiPcCl16, designed to lower the lowest unoccupied molecular orbital (LUMO) energy and enable n-type transport. Peripheral chlorination effectively reduces the LUMO levels to −3.8 and −4.0 eV, respectively, confirming the desired electronic modulation. Single-crystal X-ray diffraction reveals that chlorination disrupts the dense π-stacking observed in the parent unchlorinated derivative through two distinct mechanisms: increased intermolecular separation in (Si4O)2SiPcCl8 and severe core distortion in (Si4O)2SiPcCl16. These structural perturbations directly impact device performance: (Si4O)2SiPcCl8 OTFTs achieve average electron mobilities of 1.6 × 10−2 cm2 V−1 s−1, comparable to one of the best-performing alkyl-substituted SiPcs, while the highly distorted (Si4O)2SiPcCl16 derivative exhibits an order-of-magnitude lower mobility. Thin-film characterization by powder X-ray diffraction and atomic force microscopy, corroborated by density functional theory calculations, demonstrates that the (Si4O)2SiPcCl8 films adopt a favorable texture aligning the high-mobility crystallographic axis parallel to the substrate. This work establishes clear structure−property relationships for chlorinated SiPcs and provides a rational framework for the design of high-performance n-type phthalocyanine semiconductors.</w:t>
      </w:r>
    </w:p>
    <w:p>
      <w:pPr>
        <w:spacing w:before="120" w:after="120"/>
      </w:pPr>
      <w:r>
        <w:rPr>
          <w:sz w:val="18"/>
        </w:rPr>
        <w:t>——————————————————————————————————————————————————————————————————————</w:t>
      </w:r>
    </w:p>
    <w:p>
      <w:pPr>
        <w:spacing w:before="160" w:after="40" w:line="240" w:lineRule="auto"/>
      </w:pPr>
      <w:r>
        <w:rPr>
          <w:b/>
        </w:rPr>
        <w:t xml:space="preserve">[1351] </w:t>
      </w:r>
      <w:hyperlink r:id="rId2287">
        <w:r>
          <w:rPr>
            <w:color w:val="1155CC"/>
            <w:u w:val="single"/>
          </w:rPr>
          <w:t>用于防污和抗菌保护的UV固化生物基双疏涂层仿生界面策略</w:t>
        </w:r>
      </w:hyperlink>
    </w:p>
    <w:p>
      <w:pPr>
        <w:spacing w:before="0" w:after="80"/>
      </w:pPr>
      <w:r>
        <w:rPr>
          <w:i/>
          <w:sz w:val="20"/>
        </w:rPr>
        <w:t>EN: A Biomimetic Interfacial Strategy of UV-Curable Bio-Based Amphiphobic Coatings for Antifouling and Antibacterial Protection</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288">
        <w:r>
          <w:rPr>
            <w:color w:val="1155CC"/>
            <w:u w:val="single"/>
          </w:rPr>
          <w:t>10.1021/acsami.6c11815</w:t>
        </w:r>
      </w:hyperlink>
    </w:p>
    <w:p>
      <w:pPr>
        <w:spacing w:before="0" w:after="120"/>
      </w:pPr>
      <w:r>
        <w:rPr>
          <w:b/>
        </w:rPr>
        <w:t xml:space="preserve">Notes: </w:t>
      </w:r>
      <w:r>
        <w:t>abstract_source=crossref</w:t>
      </w:r>
    </w:p>
    <w:p>
      <w:pPr>
        <w:spacing w:before="0" w:after="80" w:lineRule="auto" w:line="276"/>
      </w:pPr>
      <w:r>
        <w:rPr>
          <w:b/>
        </w:rPr>
        <w:t xml:space="preserve">摘要（ZH）: </w:t>
      </w:r>
      <w:r>
        <w:t>摘要 表面保护对于海洋设备和医疗植入物等先进系统至关重要，在这些系统中，污垢和微生物沉积会导致不可逆的退化。然而，开发集多功能（例如两亲性和防污性）、环境相容性和耐用性于一体的保护涂层仍然具有挑战性。受甲虫角质层结构的启发，引入了生物启发的自发界面重构策略来构建多功能涂层，该涂层可将低表面能富集与生物活性分子相互作用协同作用。按照这一策略，通过快速、环保的紫外线固化工艺（5 分钟内）制造了生物基双疏抗菌涂层 (PCGBF@GT)。蓖麻油衍生树脂中氟化链段的自发迁移提供了强大的双疏性和防污性。同时，甲基丙烯酸缩水甘油酯改性单宁酸（GT）的引入引入了氢键相互作用和正zeta电位，稳定了界面并对大肠杆菌（99.92±0.90％）和金黄色葡萄球菌（99.83±0.06％）具有广谱抗菌活性。这项工作展示了一条可持续的、受生物启发的途径，为海洋和生物医学应用提供高性能保护涂层。</w:t>
      </w:r>
    </w:p>
    <w:p>
      <w:pPr>
        <w:spacing w:before="0" w:after="200" w:lineRule="auto" w:line="276"/>
      </w:pPr>
      <w:r>
        <w:rPr>
          <w:b/>
        </w:rPr>
        <w:t xml:space="preserve">Abstract (EN): </w:t>
      </w:r>
      <w:r>
        <w:t>Surface protection is critical for advanced systems such as marine equipment and medical implants, where fouling and microbial deposition cause irreversible degradation. However, developing protective coatings that integrate multifunctionality (e.g., amphiphobicity and antifouling), environmental compatibility, and durability remains challenging. Inspired by beetle cuticle architecture, a bioinspired spontaneous interfacial reconfiguration strategy was introduced to construct a multifunctional coating that synergizes low-surface-energy enrichment with bioactive molecular interactions. Following this strategy, a bio-based amphiphobic and antibacterial coating (PCGBF@GT) was fabricated via a rapid, environmentally benign UV-curing process (within 5 min). Spontaneous migration of fluorinated segments in the castor oil-derived resin provides robust amphiphobicity and fouling resistance. Meanwhile, the incorporation of glycidyl methacrylate-modified tannic acid (GT) introduces hydrogen-bonding interactions and positive zeta potential, stabilizing the interface and enabling broad-spectrum antibacterial activity against Escherichia coli (99.92 ± 0.90%) and Staphylococcus aureus (99.83 ± 0.06%). This work demonstrates a sustainable, bioinspired pathway toward high-performance protective coatings for marine and biomedical applications.</w:t>
      </w:r>
    </w:p>
    <w:p>
      <w:pPr>
        <w:spacing w:before="120" w:after="120"/>
      </w:pPr>
      <w:r>
        <w:rPr>
          <w:sz w:val="18"/>
        </w:rPr>
        <w:t>——————————————————————————————————————————————————————————————————————</w:t>
      </w:r>
    </w:p>
    <w:p>
      <w:pPr>
        <w:spacing w:before="160" w:after="40" w:line="240" w:lineRule="auto"/>
      </w:pPr>
      <w:r>
        <w:rPr>
          <w:b/>
        </w:rPr>
        <w:t xml:space="preserve">[1352] </w:t>
      </w:r>
      <w:hyperlink r:id="rId2289">
        <w:r>
          <w:rPr>
            <w:color w:val="1155CC"/>
            <w:u w:val="single"/>
          </w:rPr>
          <w:t>应变调控的界面输运决定顶接触与边接触n/p型金属-过渡金属硫族化合物（TMD）结的接触电阻</w:t>
        </w:r>
      </w:hyperlink>
    </w:p>
    <w:p>
      <w:pPr>
        <w:spacing w:before="0" w:after="80"/>
      </w:pPr>
      <w:r>
        <w:rPr>
          <w:i/>
          <w:sz w:val="20"/>
        </w:rPr>
        <w:t>EN: Strain-Controlled Interfacial Transport Governs Contact Resistance in Top and Edge n/p-Type Metal-TMD Junctions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290">
        <w:r>
          <w:rPr>
            <w:color w:val="1155CC"/>
            <w:u w:val="single"/>
          </w:rPr>
          <w:t>10.1021/acsami.6c10548</w:t>
        </w:r>
      </w:hyperlink>
    </w:p>
    <w:p>
      <w:pPr>
        <w:spacing w:before="0" w:after="120"/>
      </w:pPr>
      <w:r>
        <w:rPr>
          <w:b/>
        </w:rPr>
        <w:t xml:space="preserve">Notes: </w:t>
      </w:r>
      <w:r>
        <w:t>abstract_source=crossref</w:t>
      </w:r>
    </w:p>
    <w:p>
      <w:pPr>
        <w:spacing w:before="0" w:after="80" w:lineRule="auto" w:line="276"/>
      </w:pPr>
      <w:r>
        <w:rPr>
          <w:b/>
        </w:rPr>
        <w:t xml:space="preserve">摘要（ZH）: </w:t>
      </w:r>
      <w:r>
        <w:t>摘要 二维 (2D) 金属-半导体界面的接触电阻仍然是限制过渡金属二硫属化物 (TMD) 晶体管性能的关键瓶颈。应变工程可以降低接触电阻，但仍然缺乏将应变引起的电子结构变化与界面载流子注入联系起来的预测框架。在这里，我们开发了一个多尺度框架，将第一原理计算与分析传输模型相结合，以量化金属-TMD 结中应变相关的接触电阻。我们研究了实验可达到的应变范围从 –1% 到 +1% 的顶部和边缘几何形状中的 n 型 Au/MoS2 和 p 型 Pd/WSe2 接触。拉伸应变可将 n 型接触电阻降低高达 46%/%ε，而压缩应变可将 p 型电阻降低高达 34%/%ε。由于直接界面杂化，边缘接触的性能比顶部接触高约 2 倍。在最佳应变和掺杂条件下，Au/MoS2 和 Pd/WSe2 的室温接触电阻分别达到 0.32–0.74 和 0.51–0.84 kΩ·μm。这些结果在数量上与替代金属接触的实验和基准一致，为超低电阻 2D-TMD 晶体管建立了预测框架。</w:t>
      </w:r>
    </w:p>
    <w:p>
      <w:pPr>
        <w:spacing w:before="0" w:after="200" w:lineRule="auto" w:line="276"/>
      </w:pPr>
      <w:r>
        <w:rPr>
          <w:b/>
        </w:rPr>
        <w:t xml:space="preserve">Abstract (EN): </w:t>
      </w:r>
      <w:r>
        <w:t>Contact resistance at two-dimensional (2D) metal-semiconductor interfaces remains a key bottleneck limiting transition-metal dichalcogenide (TMD) transistor performance. Strain engineering can reduce contact resistance, yet a predictive framework linking strain-induced electronic structure changes to interfacial carrier injection remains lacking. Here, we develop a multiscale framework combining first-principles calculations with analytical transport models to quantify strain-dependent contact resistance in metal-TMD junctions. We investigate n-type Au/MoS2 and p-type Pd/WSe2 contacts in top and edge geometries within experimentally accessible strain ranging from –1 to +1%. Tensile strain reduces n-type contact resistance by up to 46%/%ε, whereas compressive strain lowers p-type resistance by up to 34%/%ε. Edge contacts outperform top contacts by ∼2× due to direct interfacial hybridization. Under optimal strain and doping, room-temperature contact resistance reaches 0.32–0.74 and 0.51–0.84 kΩ·μm for Au/MoS2 and Pd/WSe2, respectively. These results quantitatively agree with experiments and benchmarks across alternative metal contacts, establishing a predictive framework for ultralow-resistance 2D-TMD transistors.</w:t>
      </w:r>
    </w:p>
    <w:p>
      <w:pPr>
        <w:spacing w:before="120" w:after="120"/>
      </w:pPr>
      <w:r>
        <w:rPr>
          <w:sz w:val="18"/>
        </w:rPr>
        <w:t>——————————————————————————————————————————————————————————————————————</w:t>
      </w:r>
    </w:p>
    <w:p>
      <w:pPr>
        <w:spacing w:before="160" w:after="40" w:line="240" w:lineRule="auto"/>
      </w:pPr>
      <w:r>
        <w:rPr>
          <w:b/>
        </w:rPr>
        <w:t xml:space="preserve">[1353] </w:t>
      </w:r>
      <w:hyperlink r:id="rId2291">
        <w:r>
          <w:rPr>
            <w:color w:val="1155CC"/>
            <w:u w:val="single"/>
          </w:rPr>
          <w:t>Oxoisoaporphine半夹锇(II)衍生物：天然肿瘤化学免疫疗法的催化触发器</w:t>
        </w:r>
      </w:hyperlink>
    </w:p>
    <w:p>
      <w:pPr>
        <w:spacing w:before="0" w:after="80"/>
      </w:pPr>
      <w:r>
        <w:rPr>
          <w:i/>
          <w:sz w:val="20"/>
        </w:rPr>
        <w:t>EN: Oxoisoaporphine Half-Sandwich Osmium(II) Derivative: A Catalytic Trigger for Innate Tumor Chemoimmunotherapy</w:t>
      </w:r>
    </w:p>
    <w:p>
      <w:pPr>
        <w:spacing w:before="0" w:after="120"/>
      </w:pPr>
      <w:r>
        <w:rPr>
          <w:b/>
        </w:rPr>
        <w:t xml:space="preserve">Source: </w:t>
      </w:r>
      <w:r>
        <w:t>Journal of the American Chemical Society: Latest Articles (ACS Publications)</w:t>
      </w:r>
      <w:r>
        <w:t xml:space="preserve">    </w:t>
      </w:r>
      <w:r>
        <w:rPr>
          <w:b/>
        </w:rPr>
        <w:t xml:space="preserve">Pub date: </w:t>
      </w:r>
      <w:r>
        <w:t>2026-09-03 00:00:00+00:00</w:t>
      </w:r>
      <w:r>
        <w:t xml:space="preserve">    </w:t>
      </w:r>
      <w:r>
        <w:rPr>
          <w:b/>
        </w:rPr>
        <w:t xml:space="preserve">DOI: </w:t>
      </w:r>
      <w:hyperlink r:id="rId2292">
        <w:r>
          <w:rPr>
            <w:color w:val="1155CC"/>
            <w:u w:val="single"/>
          </w:rPr>
          <w:t>10.1021/jacs.6c15572</w:t>
        </w:r>
      </w:hyperlink>
    </w:p>
    <w:p>
      <w:pPr>
        <w:spacing w:before="0" w:after="120"/>
      </w:pPr>
      <w:r>
        <w:rPr>
          <w:b/>
        </w:rPr>
        <w:t xml:space="preserve">Notes: </w:t>
      </w:r>
      <w:r>
        <w:t>abstract_source=crossref</w:t>
      </w:r>
    </w:p>
    <w:p>
      <w:pPr>
        <w:spacing w:before="0" w:after="80" w:lineRule="auto" w:line="276"/>
      </w:pPr>
      <w:r>
        <w:rPr>
          <w:b/>
        </w:rPr>
        <w:t xml:space="preserve">摘要（ZH）: </w:t>
      </w:r>
      <w:r>
        <w:t>摘要化学免疫疗法，特别是诱导肿瘤特异性抗肿瘤免疫反应的策略，已成为改善癌症治疗的一种有前景的方法。尽管如此，只有有限数量的药物可以成功地刺激体内抗肿瘤免疫反应。最近的研究强调了金属抗癌剂在化学免疫疗法中的潜力。在此，我们报道了一种半夹心锇(II)络合物Os-1，它通过自催化氢化物从辅酶NADH转移到氧气来充当H2O2生成的催化剂。持续的 H2O2 自给生成会破坏肿瘤氧化还原稳态并诱导 DNA 损伤，从而激活 cGAS-STING 信号通路。 Os-1 在体外表现出强大的细胞毒性，并在体内引发强大的抗肿瘤免疫反应。此外，Os-1 与 PD-1 抑制剂联合使用时表现出协同抗肿瘤生长作用。据我们所知，这项研究首次描述了小分子金属催化剂的合理设计，该催化剂可在癌细胞中原位产生H2O2，从而克服氧化疗法的外源添加剂瓶颈。这种自给自足的系统不仅促进氧化损伤，还激活 cGAS-STING 通路，从而整合协同氧化和免疫治疗作用。</w:t>
      </w:r>
    </w:p>
    <w:p>
      <w:pPr>
        <w:spacing w:before="0" w:after="200" w:lineRule="auto" w:line="276"/>
      </w:pPr>
      <w:r>
        <w:rPr>
          <w:b/>
        </w:rPr>
        <w:t xml:space="preserve">Abstract (EN): </w:t>
      </w:r>
      <w:r>
        <w:t>Chemoimmunotherapy, particularly strategies that induce a tumor specific antitumor immune response, has emerged as a promising approach to improved cancer treatment. Nonetheless, only a limited number of drugs can successfully stimulate an antitumor immune response in vivo. Recent studies have highlighted the potential of metal-based anticancer agents in chemoimmunotherapy. Herein, we report a half-sandwich osmium(II) complex, Os-1, which acts as a catalyst for H2O2 generation through autocatalytic hydride transfer from coenzyme NADH to oxygen. Sustained H2O2 self-supply generation disrupts tumor redox homeostasis and induces DNA damage, leading to the activation of the cGAS-STING signaling pathway. Os-1 demonstrates potent cytotoxicity in vitro and elicits a robust antitumor immune response in vivo. Furthermore, Os-1 exhibits a synergistic antitumor growth effect when combined with a PD-1 inhibitor. To the best of our knowledge, this study is the first to describe the rational design of a small-molecule metal catalyst that provides for the in situ generation of H2O2 in cancer cells, thus overcoming the exogenous-additive bottleneck of oxidative therapy. This self-sufficient system not only promotes oxidative damage but also activates the cGAS-STING pathway, thereby integrating synergistically oxidative and immunotherapeutic actions.</w:t>
      </w:r>
    </w:p>
    <w:p>
      <w:pPr>
        <w:spacing w:before="120" w:after="120"/>
      </w:pPr>
      <w:r>
        <w:rPr>
          <w:sz w:val="18"/>
        </w:rPr>
        <w:t>——————————————————————————————————————————————————————————————————————</w:t>
      </w:r>
    </w:p>
    <w:p>
      <w:pPr>
        <w:spacing w:before="160" w:after="40" w:line="240" w:lineRule="auto"/>
      </w:pPr>
      <w:r>
        <w:rPr>
          <w:b/>
        </w:rPr>
        <w:t xml:space="preserve">[1354] </w:t>
      </w:r>
      <w:hyperlink r:id="rId2293">
        <w:r>
          <w:rPr>
            <w:color w:val="1155CC"/>
            <w:u w:val="single"/>
          </w:rPr>
          <w:t>极性纤锌矿NbAlN：用于极化工程GaN异质结构的过渡金属氮化物合金</w:t>
        </w:r>
      </w:hyperlink>
    </w:p>
    <w:p>
      <w:pPr>
        <w:spacing w:before="0" w:after="80"/>
      </w:pPr>
      <w:r>
        <w:rPr>
          <w:i/>
          <w:sz w:val="20"/>
        </w:rPr>
        <w:t>EN: Polar Wurtzite NbAlN: A Transition‐Metal Nitride Alloy for Polarization‐Engineered GaN Heterostructures</w:t>
      </w:r>
    </w:p>
    <w:p>
      <w:pPr>
        <w:spacing w:before="0" w:after="120"/>
      </w:pPr>
      <w:r>
        <w:rPr>
          <w:b/>
        </w:rPr>
        <w:t xml:space="preserve">Source: </w:t>
      </w:r>
      <w:r>
        <w:t>Advanced Materials</w:t>
      </w:r>
      <w:r>
        <w:t xml:space="preserve">    </w:t>
      </w:r>
      <w:r>
        <w:rPr>
          <w:b/>
        </w:rPr>
        <w:t xml:space="preserve">Pub date: </w:t>
      </w:r>
      <w:r>
        <w:t>2026-09-03 00:00:00+00:00</w:t>
      </w:r>
      <w:r>
        <w:t xml:space="preserve">    </w:t>
      </w:r>
      <w:r>
        <w:rPr>
          <w:b/>
        </w:rPr>
        <w:t xml:space="preserve">DOI: </w:t>
      </w:r>
      <w:hyperlink r:id="rId2294">
        <w:r>
          <w:rPr>
            <w:color w:val="1155CC"/>
            <w:u w:val="single"/>
          </w:rPr>
          <w:t>10.1002/adma.74756</w:t>
        </w:r>
      </w:hyperlink>
    </w:p>
    <w:p>
      <w:pPr>
        <w:spacing w:before="0" w:after="120"/>
      </w:pPr>
      <w:r>
        <w:rPr>
          <w:b/>
        </w:rPr>
        <w:t xml:space="preserve">Notes: </w:t>
      </w:r>
      <w:r>
        <w:t>abstract_source=crossref</w:t>
      </w:r>
    </w:p>
    <w:p>
      <w:pPr>
        <w:spacing w:before="0" w:after="80" w:lineRule="auto" w:line="276"/>
      </w:pPr>
      <w:r>
        <w:rPr>
          <w:b/>
        </w:rPr>
        <w:t xml:space="preserve">摘要（ZH）: </w:t>
      </w:r>
      <w:r>
        <w:t>摘要 铁电 ScAlN 的发现引发了对新型极性纤锌矿合金的探索；然而，掺入过渡金属仍然是一项艰巨的挑战。在这里，我们演示了纤锌矿相 NbAlN 的合成，这是一种与 GaN 基异质结构高度兼容的极性过渡金属氮化物合金。尽管元素 Nb 具有很强的金属特性，我们还是获得了相干外延 NbAlN 薄膜，该薄膜保留了纤锌矿晶体结构和底层 GaN 的金属极性，如环形明场扫描透射电子显微镜直接观察到的那样。铌的掺入会引起单调晶格膨胀，并产生相干的富铌纳米级区域，这些区域容纳在连续的纤锌矿框架内。从功能上讲，NbAlN 势垒引起 AlN/GaN 异质界面处二维电子气密度的显着增强，这与金属极性 NbAlN 势垒的极化相关载流子调制一致。这项研究表明，d 电子过渡金属可以集成到极性氮化物系统中，而不会影响其功能不对称性，使 NbAlN 成为极性氮化物异质结构和载流子密度设计的 GaN 电子器件的有前途的构建模块。</w:t>
      </w:r>
    </w:p>
    <w:p>
      <w:pPr>
        <w:spacing w:before="0" w:after="200" w:lineRule="auto" w:line="276"/>
      </w:pPr>
      <w:r>
        <w:rPr>
          <w:b/>
        </w:rPr>
        <w:t xml:space="preserve">Abstract (EN): </w:t>
      </w:r>
      <w:r>
        <w:t>The discovery of ferroelectric ScAlN sparked a search for new polar wurtzite alloys; however, incorporating transition metals remains a formidable challenge. Here, we demonstrate the synthesis of wurtzite‐phase NbAlN, a polar transition‐metal nitride alloy that is highly compatible with GaN‐based heterostructures. Despite the strong metallic character of elemental Nb, we achieved coherent epitaxial NbAlN films that preserve the wurtzite crystal structure and metal polarity of the underlying GaN, as directly visualized by annular bright‐field scanning transmission electron microscopy. Nb incorporation induces a monotonic lattice expansion and produces coherent Nb‐enriched nanoscale regions that are accommodated within the continuous wurtzite framework. Functionally, NbAlN barriers induce a substantial enhancement in the two‐dimensional electron gas density at the AlN/GaN heterointerface, consistent with polarization‐related carrier modulation by the metal‐polar NbAlN barrier. This study demonstrates that d ‐electron transition metals can be integrated into polar nitride systems without compromising their functional asymmetry, making NbAlN a promising building block for polar nitride heterostructures and carrier‐density‐engineered GaN electronics.</w:t>
      </w:r>
    </w:p>
    <w:p>
      <w:pPr>
        <w:spacing w:before="120" w:after="120"/>
      </w:pPr>
      <w:r>
        <w:rPr>
          <w:sz w:val="18"/>
        </w:rPr>
        <w:t>——————————————————————————————————————————————————————————————————————</w:t>
      </w:r>
    </w:p>
    <w:p>
      <w:pPr>
        <w:spacing w:before="160" w:after="40" w:line="240" w:lineRule="auto"/>
      </w:pPr>
      <w:r>
        <w:rPr>
          <w:b/>
        </w:rPr>
        <w:t xml:space="preserve">[1355] </w:t>
      </w:r>
      <w:hyperlink r:id="rId2295">
        <w:r>
          <w:rPr>
            <w:color w:val="1155CC"/>
            <w:u w:val="single"/>
          </w:rPr>
          <w:t>欧洲山顶植物灭绝速率上升</w:t>
        </w:r>
      </w:hyperlink>
    </w:p>
    <w:p>
      <w:pPr>
        <w:spacing w:before="0" w:after="80"/>
      </w:pPr>
      <w:r>
        <w:rPr>
          <w:i/>
          <w:sz w:val="20"/>
        </w:rPr>
        <w:t>EN: Rising plant extinction rates on European mountain summits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296">
        <w:r>
          <w:rPr>
            <w:color w:val="1155CC"/>
            <w:u w:val="single"/>
          </w:rPr>
          <w:t>10.1126/science.aed2974</w:t>
        </w:r>
      </w:hyperlink>
    </w:p>
    <w:p>
      <w:pPr>
        <w:spacing w:before="0" w:after="120"/>
      </w:pPr>
      <w:r>
        <w:rPr>
          <w:b/>
        </w:rPr>
        <w:t xml:space="preserve">Notes: </w:t>
      </w:r>
      <w:r>
        <w:t>abstract_source=crossref</w:t>
      </w:r>
    </w:p>
    <w:p>
      <w:pPr>
        <w:spacing w:before="0" w:after="80" w:lineRule="auto" w:line="276"/>
      </w:pPr>
      <w:r>
        <w:rPr>
          <w:b/>
        </w:rPr>
        <w:t xml:space="preserve">摘要（ZH）: </w:t>
      </w:r>
      <w:r>
        <w:t>气候变化增加了高山生态系统中植物物种的丰富度。然而，这种多样性丰富在多大程度上掩盖了常驻物种的灭绝动态仍然难以捉摸。在这项研究中，我们使用了欧洲 62 个山峰 896 个永久植被地块的植物区系再调查数据，结果表明，过去 21 年来，局部物种灭绝有所增加。灭绝率随着变暖的程度而上升，物种更有可能在低海拔范围边缘和经历更强的嗜热作用的群落中灭绝。此外，局部灭绝与之前的丰度下降显着相关，这可以作为早期预警信号。这些发现表明，尽管植物物种丰富度不断增加，但林线以上的植物群落面临着其最具特征物种的加速但迄今为止被忽视的损失。</w:t>
      </w:r>
    </w:p>
    <w:p>
      <w:pPr>
        <w:spacing w:before="0" w:after="200" w:lineRule="auto" w:line="276"/>
      </w:pPr>
      <w:r>
        <w:rPr>
          <w:b/>
        </w:rPr>
        <w:t xml:space="preserve">Abstract (EN): </w:t>
      </w:r>
      <w:r>
        <w:t>Climate change increases plant species richness in alpine ecosystems. However, to what extent this diversity enrichment masks extinction dynamics of resident species remains elusive. In this study, we used floristic resurvey data from 896 permanent vegetation plots across 62 European mountain summits to show that local extinctions have increased over the past 21 years. Extinction rates rose with the magnitude of warming, and species were more likely to go extinct toward their low-elevation range margins and in communities undergoing stronger thermophilization. Moreover, local extinctions were significantly related to preceding abundance declines, which can serve as an early warning signal. These findings suggest that despite increasing plant species richness, plant assemblages above the treeline face an accelerating but so far neglected loss of their most characteristic species.</w:t>
      </w:r>
    </w:p>
    <w:p>
      <w:pPr>
        <w:spacing w:before="120" w:after="120"/>
      </w:pPr>
      <w:r>
        <w:rPr>
          <w:sz w:val="18"/>
        </w:rPr>
        <w:t>——————————————————————————————————————————————————————————————————————</w:t>
      </w:r>
    </w:p>
    <w:p>
      <w:pPr>
        <w:spacing w:before="160" w:after="40" w:line="240" w:lineRule="auto"/>
      </w:pPr>
      <w:r>
        <w:rPr>
          <w:b/>
        </w:rPr>
        <w:t xml:space="preserve">[1356] </w:t>
      </w:r>
      <w:hyperlink r:id="rId2297">
        <w:r>
          <w:rPr>
            <w:color w:val="1155CC"/>
            <w:u w:val="single"/>
          </w:rPr>
          <w:t>并非如此温和的定植者</w:t>
        </w:r>
      </w:hyperlink>
    </w:p>
    <w:p>
      <w:pPr>
        <w:spacing w:before="0" w:after="80"/>
      </w:pPr>
      <w:r>
        <w:rPr>
          <w:i/>
          <w:sz w:val="20"/>
        </w:rPr>
        <w:t>EN: Not such a benign colonizer</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298">
        <w:r>
          <w:rPr>
            <w:color w:val="1155CC"/>
            <w:u w:val="single"/>
          </w:rPr>
          <w:t>10.1126/science.aek8246</w:t>
        </w:r>
      </w:hyperlink>
    </w:p>
    <w:p>
      <w:pPr>
        <w:spacing w:before="0" w:after="120"/>
      </w:pPr>
      <w:r>
        <w:rPr>
          <w:b/>
        </w:rPr>
        <w:t xml:space="preserve">Notes: </w:t>
      </w:r>
      <w:r>
        <w:t>abstract_source=crossref</w:t>
      </w:r>
    </w:p>
    <w:p>
      <w:pPr>
        <w:spacing w:before="0" w:after="80" w:lineRule="auto" w:line="276"/>
      </w:pPr>
      <w:r>
        <w:rPr>
          <w:b/>
        </w:rPr>
        <w:t xml:space="preserve">摘要（ZH）: </w:t>
      </w:r>
      <w:r>
        <w:t>艰难梭菌调节婴儿肠道炎症和干细胞功能</w:t>
      </w:r>
    </w:p>
    <w:p>
      <w:pPr>
        <w:spacing w:before="0" w:after="200" w:lineRule="auto" w:line="276"/>
      </w:pPr>
      <w:r>
        <w:rPr>
          <w:b/>
        </w:rPr>
        <w:t xml:space="preserve">Abstract (EN): </w:t>
      </w:r>
      <w:r>
        <w:t>Clostridioides difficile modulates inflammation and stem cell functions in the infant gut</w:t>
      </w:r>
    </w:p>
    <w:p>
      <w:pPr>
        <w:spacing w:before="120" w:after="120"/>
      </w:pPr>
      <w:r>
        <w:rPr>
          <w:sz w:val="18"/>
        </w:rPr>
        <w:t>——————————————————————————————————————————————————————————————————————</w:t>
      </w:r>
    </w:p>
    <w:p>
      <w:pPr>
        <w:spacing w:before="160" w:after="40" w:line="240" w:lineRule="auto"/>
      </w:pPr>
      <w:r>
        <w:rPr>
          <w:b/>
        </w:rPr>
        <w:t xml:space="preserve">[1357] </w:t>
      </w:r>
      <w:hyperlink r:id="rId2299">
        <w:r>
          <w:rPr>
            <w:color w:val="1155CC"/>
            <w:u w:val="single"/>
          </w:rPr>
          <w:t>他刊要览</w:t>
        </w:r>
      </w:hyperlink>
    </w:p>
    <w:p>
      <w:pPr>
        <w:spacing w:before="0" w:after="80"/>
      </w:pPr>
      <w:r>
        <w:rPr>
          <w:i/>
          <w:sz w:val="20"/>
        </w:rPr>
        <w:t>EN: In Other Journals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00">
        <w:r>
          <w:rPr>
            <w:color w:val="1155CC"/>
            <w:u w:val="single"/>
          </w:rPr>
          <w:t>10.1126/science.aem0117</w:t>
        </w:r>
      </w:hyperlink>
    </w:p>
    <w:p>
      <w:pPr>
        <w:spacing w:before="0" w:after="120"/>
      </w:pPr>
      <w:r>
        <w:rPr>
          <w:b/>
        </w:rPr>
        <w:t xml:space="preserve">Notes: </w:t>
      </w:r>
      <w:r>
        <w:t>abstract_source=crossref</w:t>
      </w:r>
    </w:p>
    <w:p>
      <w:pPr>
        <w:spacing w:before="0" w:after="80" w:lineRule="auto" w:line="276"/>
      </w:pPr>
      <w:r>
        <w:rPr>
          <w:b/>
        </w:rPr>
        <w:t xml:space="preserve">摘要（ZH）: </w:t>
      </w:r>
      <w:r>
        <w:t>编辑精选当前科学文献</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[1358] </w:t>
      </w:r>
      <w:hyperlink r:id="rId2301">
        <w:r>
          <w:rPr>
            <w:color w:val="1155CC"/>
            <w:u w:val="single"/>
          </w:rPr>
          <w:t>赛洛西宾通过保护线粒体运输预防化疗诱导的周围神经病变</w:t>
        </w:r>
      </w:hyperlink>
    </w:p>
    <w:p>
      <w:pPr>
        <w:spacing w:before="0" w:after="80"/>
      </w:pPr>
      <w:r>
        <w:rPr>
          <w:i/>
          <w:sz w:val="20"/>
        </w:rPr>
        <w:t>EN: Psilocybin prevents chemotherapy-induced peripheral neuropathy through mitochondrial trafficking preservation</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02">
        <w:r>
          <w:rPr>
            <w:color w:val="1155CC"/>
            <w:u w:val="single"/>
          </w:rPr>
          <w:t>10.1126/science.aec6116</w:t>
        </w:r>
      </w:hyperlink>
    </w:p>
    <w:p>
      <w:pPr>
        <w:spacing w:before="0" w:after="120"/>
      </w:pPr>
      <w:r>
        <w:rPr>
          <w:b/>
        </w:rPr>
        <w:t xml:space="preserve">Notes: </w:t>
      </w:r>
      <w:r>
        <w:t>abstract_source=crossref</w:t>
      </w:r>
    </w:p>
    <w:p>
      <w:pPr>
        <w:spacing w:before="0" w:after="80" w:lineRule="auto" w:line="276"/>
      </w:pPr>
      <w:r>
        <w:rPr>
          <w:b/>
        </w:rPr>
        <w:t xml:space="preserve">摘要（ZH）: </w:t>
      </w:r>
      <w:r>
        <w:t>化疗引起的周围神经病变 (CIPN) 是一种致残且通常不可逆的毒性，影响数百万患者，限制挽救生命的癌症治疗，并且缺乏经过验证的治疗方法。在这项工作中，我们表明，在基于铂类和紫杉烷的模型中，化疗前只需服用两剂裸盖菇素即可持久预防 CIPN 的发作，包括重复化疗周期，而不会损害抗肿瘤功效。在外周，裸盖菇素通过轴突线粒体运输和分布保存、TrkB-Akt-PAK5-MAP2-KIF5B 通路和亲合蛋白锚定线粒体的再动员来维持触觉敏感性和表皮内神经纤维末梢。其核心是使内侧前额皮质突触活动以及皮质α和β脑电图能力正常化。这种外周轴突能量平衡的稳定使裸盖菇素成为 CIPN 的一流预防剂，同时还能保留中枢神经功能。鉴于裸盖菇素已确定的安全性，这些发现支持将临床评估作为预防 CIPN 的策略。</w:t>
      </w:r>
    </w:p>
    <w:p>
      <w:pPr>
        <w:spacing w:before="0" w:after="200" w:lineRule="auto" w:line="276"/>
      </w:pPr>
      <w:r>
        <w:rPr>
          <w:b/>
        </w:rPr>
        <w:t xml:space="preserve">Abstract (EN): </w:t>
      </w:r>
      <w:r>
        <w:t>Chemotherapy-induced peripheral neuropathy (CIPN) is a disabling, often irreversible toxicity that affects millions of patients, limits life-saving cancer therapy, and lacks proven treatment. In this work, we show that as little as two doses of psilocybin before chemotherapy durably prevented the onset of CIPN across platinum- and taxane-based models, including repeated chemotherapy cycles, without impairing antitumor efficacy. Peripherally, psilocybin maintained tactile sensitivity and intraepidermal nerve fiber endings through axonal mitochondrial trafficking and distribution preservation, through the TrkB-Akt-PAK5-MAP2-KIF5B pathway and remobilization of syntaphilin-anchored mitochondria. Centrally, it normalized medial prefrontal cortical synaptic activity and cortical alpha and beta electroencephalography power. This stabilization of peripheral axonal energy balance establishes psilocybin as a first-in-class prophylactic agent for CIPN while also preserving central neural function. Given psilocybin’s established safety, these discoveries support clinical evaluation as a strategy to prevent CIPN.</w:t>
      </w:r>
    </w:p>
    <w:p>
      <w:pPr>
        <w:spacing w:before="120" w:after="120"/>
      </w:pPr>
      <w:r>
        <w:rPr>
          <w:sz w:val="18"/>
        </w:rPr>
        <w:t>——————————————————————————————————————————————————————————————————————</w:t>
      </w:r>
    </w:p>
    <w:p>
      <w:pPr>
        <w:spacing w:before="160" w:after="40" w:line="240" w:lineRule="auto"/>
      </w:pPr>
      <w:r>
        <w:rPr>
          <w:b/>
        </w:rPr>
        <w:t xml:space="preserve">[1359] </w:t>
      </w:r>
      <w:hyperlink r:id="rId2303">
        <w:r>
          <w:rPr>
            <w:color w:val="1155CC"/>
            <w:u w:val="single"/>
          </w:rPr>
          <w:t>加利福尼亚州将就160亿美元研究经费投票</w:t>
        </w:r>
      </w:hyperlink>
    </w:p>
    <w:p>
      <w:pPr>
        <w:spacing w:before="0" w:after="80"/>
      </w:pPr>
      <w:r>
        <w:rPr>
          <w:i/>
          <w:sz w:val="20"/>
        </w:rPr>
        <w:t>EN: California to vote on $16 billion to boost research</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04">
        <w:r>
          <w:rPr>
            <w:color w:val="1155CC"/>
            <w:u w:val="single"/>
          </w:rPr>
          <w:t>10.1126/science.aem0439</w:t>
        </w:r>
      </w:hyperlink>
    </w:p>
    <w:p>
      <w:pPr>
        <w:spacing w:before="0" w:after="120"/>
      </w:pPr>
      <w:r>
        <w:rPr>
          <w:b/>
        </w:rPr>
        <w:t xml:space="preserve">Notes: </w:t>
      </w:r>
      <w:r>
        <w:t>abstract_source=crossref</w:t>
      </w:r>
    </w:p>
    <w:p>
      <w:pPr>
        <w:spacing w:before="0" w:after="80" w:lineRule="auto" w:line="276"/>
      </w:pPr>
      <w:r>
        <w:rPr>
          <w:b/>
        </w:rPr>
        <w:t xml:space="preserve">摘要（ZH）: </w:t>
      </w:r>
      <w:r>
        <w:t>在特朗普领导下削减联邦科学经费后，提出了两项​​州投票提案</w:t>
      </w:r>
    </w:p>
    <w:p>
      <w:pPr>
        <w:spacing w:before="0" w:after="200" w:lineRule="auto" w:line="276"/>
      </w:pPr>
      <w:r>
        <w:rPr>
          <w:b/>
        </w:rPr>
        <w:t xml:space="preserve">Abstract (EN): </w:t>
      </w:r>
      <w:r>
        <w:t>Two state ballot proposals come in wake of federal science funding cuts under Trump</w:t>
      </w:r>
    </w:p>
    <w:p>
      <w:pPr>
        <w:spacing w:before="120" w:after="120"/>
      </w:pPr>
      <w:r>
        <w:rPr>
          <w:sz w:val="18"/>
        </w:rPr>
        <w:t>——————————————————————————————————————————————————————————————————————</w:t>
      </w:r>
    </w:p>
    <w:p>
      <w:pPr>
        <w:spacing w:before="160" w:after="40" w:line="240" w:lineRule="auto"/>
      </w:pPr>
      <w:r>
        <w:rPr>
          <w:b/>
        </w:rPr>
        <w:t xml:space="preserve">[1360] </w:t>
      </w:r>
      <w:hyperlink r:id="rId2305">
        <w:r>
          <w:rPr>
            <w:color w:val="1155CC"/>
            <w:u w:val="single"/>
          </w:rPr>
          <w:t>通过动态硼酸酯键密度调控的高效自修复弹性体用于关节运动监测</w:t>
        </w:r>
      </w:hyperlink>
    </w:p>
    <w:p>
      <w:pPr>
        <w:spacing w:before="0" w:after="80"/>
      </w:pPr>
      <w:r>
        <w:rPr>
          <w:i/>
          <w:sz w:val="20"/>
        </w:rPr>
        <w:t>EN: High-Efficiency, Self-Healing Elastomer via Dynamic Boronic Ester Bond Density Regulation for Joint Motion Monitoring</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306">
        <w:r>
          <w:rPr>
            <w:color w:val="1155CC"/>
            <w:u w:val="single"/>
          </w:rPr>
          <w:t>10.1021/acsami.6c10779</w:t>
        </w:r>
      </w:hyperlink>
    </w:p>
    <w:p>
      <w:pPr>
        <w:spacing w:before="0" w:after="120"/>
      </w:pPr>
      <w:r>
        <w:rPr>
          <w:b/>
        </w:rPr>
        <w:t xml:space="preserve">Notes: </w:t>
      </w:r>
      <w:r>
        <w:t>abstract_source=crossref</w:t>
      </w:r>
    </w:p>
    <w:p>
      <w:pPr>
        <w:spacing w:before="0" w:after="80" w:lineRule="auto" w:line="276"/>
      </w:pPr>
      <w:r>
        <w:rPr>
          <w:b/>
        </w:rPr>
        <w:t xml:space="preserve">摘要（ZH）: </w:t>
      </w:r>
      <w:r>
        <w:t>摘要：基于弹性体的柔性可拉伸传感器在人机界面、生理监测和软机器人等领域具有广阔的应用前景，引起了人们广泛的研究兴趣。尽管弹性体在透明度、机械强度和自修复性之间存在典型的权衡，但其根源在于分子链流动性的相互冲突的要求，阻碍了可穿戴设备和顺应电子领域的广泛应用前景。这项工作展示了聚硼硅氧烷/聚二甲基硅氧烷互穿网络 (PBS/PDMS IPN)，它成功地协调了这些特性。所得的多功能弹性体表现出有效的自修复性（1 psi 下 15 分钟内拉伸强度恢复 97.8%）和高达 93% 的透光率。高分子量羟基封端的PDMS (PDMS-OH) 带来的能量耗散进一步增强了粘合力，赋予多功能弹性体优异的粘合性能。这种多功能弹性体与共晶镓铟（EGaIn）集成形成应力传感器，可实现高精度人体运动监测，展示了其在先进可穿戴医疗传感器方面的潜力。</w:t>
      </w:r>
    </w:p>
    <w:p>
      <w:pPr>
        <w:spacing w:before="0" w:after="200" w:lineRule="auto" w:line="276"/>
      </w:pPr>
      <w:r>
        <w:rPr>
          <w:b/>
        </w:rPr>
        <w:t xml:space="preserve">Abstract (EN): </w:t>
      </w:r>
      <w:r>
        <w:t>Elastomer-based flexible and stretchable sensors have attracted considerable research interest for promising applications in areas, such as human–machine interfaces, physiological monitoring, and soft robotics. Despite the typical trade-off between transparency, mechanical strength, and self-healing in elastomers, which is rooted in conflicting requirements for molecular chain mobility, impeding this broad application prospects in wearable devices and the conformable electronics field. This work demonstrates a polyborosiloxane/polydimethylsiloxane interpenetrating network (PBS/PDMS IPN) that successfully reconciles these properties. The resulting multifunctional elastomer exhibits both effective self-healing (97.8% recovery of tensile strength in 15 min under 1 psi) and a transmittance up to 93%. The energy dissipation imparted by high-molecular-weight hydroxy-terminated PDMS (PDMS-OH) further enhances adhesion, granting the multifunctional elastomer superior bonding performance. The multifunctional elastomer is integrated with eutectic gallium–indium (EGaIn) to form a stress sensor, which enables high-accuracy human motion monitoring, showcasing its potential for advanced wearable medical sensors.</w:t>
      </w:r>
    </w:p>
    <w:p>
      <w:pPr>
        <w:spacing w:before="120" w:after="120"/>
      </w:pPr>
      <w:r>
        <w:rPr>
          <w:sz w:val="18"/>
        </w:rPr>
        <w:t>——————————————————————————————————————————————————————————————————————</w:t>
      </w:r>
    </w:p>
    <w:p>
      <w:pPr>
        <w:spacing w:before="160" w:after="40" w:line="240" w:lineRule="auto"/>
      </w:pPr>
      <w:r>
        <w:rPr>
          <w:b/>
        </w:rPr>
        <w:t xml:space="preserve">[1361] </w:t>
      </w:r>
      <w:hyperlink r:id="rId2307">
        <w:r>
          <w:rPr>
            <w:color w:val="1155CC"/>
            <w:u w:val="single"/>
          </w:rPr>
          <w:t>二维红外光谱揭示原始催化淀粉样蛋白的独特活性位点动力学</w:t>
        </w:r>
      </w:hyperlink>
    </w:p>
    <w:p>
      <w:pPr>
        <w:spacing w:before="0" w:after="80"/>
      </w:pPr>
      <w:r>
        <w:rPr>
          <w:i/>
          <w:sz w:val="20"/>
        </w:rPr>
        <w:t>EN: Distinct Active-Site Dynamics of Primitive Catalytic Amyloids Revealed by Two-Dimensional Infrared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2026-09-03 00:00:00+00:00</w:t>
      </w:r>
      <w:r>
        <w:t xml:space="preserve">    </w:t>
      </w:r>
      <w:r>
        <w:rPr>
          <w:b/>
        </w:rPr>
        <w:t xml:space="preserve">DOI: </w:t>
      </w:r>
      <w:hyperlink r:id="rId2308">
        <w:r>
          <w:rPr>
            <w:color w:val="1155CC"/>
            <w:u w:val="single"/>
          </w:rPr>
          <w:t>10.1021/jacs.6c11881</w:t>
        </w:r>
      </w:hyperlink>
    </w:p>
    <w:p>
      <w:pPr>
        <w:spacing w:before="0" w:after="120"/>
      </w:pPr>
      <w:r>
        <w:rPr>
          <w:b/>
        </w:rPr>
        <w:t xml:space="preserve">Notes: </w:t>
      </w:r>
      <w:r>
        <w:t>abstract_source=crossref</w:t>
      </w:r>
    </w:p>
    <w:p>
      <w:pPr>
        <w:spacing w:before="0" w:after="80" w:lineRule="auto" w:line="276"/>
      </w:pPr>
      <w:r>
        <w:rPr>
          <w:b/>
        </w:rPr>
        <w:t xml:space="preserve">摘要（ZH）: </w:t>
      </w:r>
      <w:r>
        <w:t>摘要 催化淀粉样蛋白被认为是现代酶的进化前体，但其独特催化特性背后的活性位点动力学仍不清楚。在这里，我们结合叠氮化物红外探针和二维红外（2D-IR）光谱来表征原始催化淀粉样蛋白的活性位点动力学，并将其与具有代表性的现代酶人类碳酸酐酶II（CAII）进行比较。淀粉样蛋白中 Zn2+ 结合的叠氮化物表现出约 30 cm-1 的蓝移和比游离叠氮化物长 2 倍的振动寿命，确立了振动寿命作为金属配位的敏感报告分子。中心线斜率 (CLS) 分析揭示了结合叠氮化物中不存在皮秒动力学，这表明刚性淀粉样蛋白支架缺乏 CAII 中存在的快速水合和侧链运动。此外，2D-IR 线宽分析表明淀粉样蛋白具有约 2 倍的不均匀加宽。这种明显的活性位点异质性与淀粉样蛋白的催化效率降低相关，而 CAII 通过均匀且动态优化的活性位点实现了高活性。这种对比揭示了两种进化上不同的催化策略：构象选择与调谐动力学。</w:t>
      </w:r>
    </w:p>
    <w:p>
      <w:pPr>
        <w:spacing w:before="0" w:after="200" w:lineRule="auto" w:line="276"/>
      </w:pPr>
      <w:r>
        <w:rPr>
          <w:b/>
        </w:rPr>
        <w:t xml:space="preserve">Abstract (EN): </w:t>
      </w:r>
      <w:r>
        <w:t>Catalytic amyloids are proposed evolutionary precursors of modern enzymes, yet the active-site dynamics underlying their distinct catalytic properties remain unclear. Here, we combine azide infrared probes and two-dimensional infrared (2D-IR) spectroscopy to characterize the active-site dynamics of primitive catalytic amyloids and compare them with human carbonic anhydrase II (CAII), a representative modern enzyme. The Zn2+-bound azide in amyloids exhibits a ∼30 cm–1 blue shift and a 2-fold longer vibrational lifetime than free azide, establishing vibrational lifetime as a sensitive reporter of metal coordination. Center Line Slope (CLS) analysis reveals the absence of picosecond dynamics in bound azide, indicating that rigid amyloid scaffolds lack the rapid hydration and side-chain motions present in CAII. Furthermore, 2D-IR linewidth analysis shows that amyloids possess ∼2-fold greater inhomogeneous broadening. Such pronounced active-site heterogeneity correlates with reduced catalytic efficiency in amyloids, whereas CAII achieves high activity through a homogeneous and dynamically optimized active site. This contrast reveals two evolutionarily divergent catalytic strategies: conformational selection versus tuned dynamics.</w:t>
      </w:r>
    </w:p>
    <w:p>
      <w:pPr>
        <w:spacing w:before="120" w:after="120"/>
      </w:pPr>
      <w:r>
        <w:rPr>
          <w:sz w:val="18"/>
        </w:rPr>
        <w:t>——————————————————————————————————————————————————————————————————————</w:t>
      </w:r>
    </w:p>
    <w:p>
      <w:pPr>
        <w:spacing w:before="160" w:after="40" w:line="240" w:lineRule="auto"/>
      </w:pPr>
      <w:r>
        <w:rPr>
          <w:b/>
        </w:rPr>
        <w:t xml:space="preserve">[1362] </w:t>
      </w:r>
      <w:hyperlink r:id="rId2309">
        <w:r>
          <w:rPr>
            <w:color w:val="1155CC"/>
            <w:u w:val="single"/>
          </w:rPr>
          <w:t>偏向单体的工业规模胶体光子薄膜制备</w:t>
        </w:r>
      </w:hyperlink>
    </w:p>
    <w:p>
      <w:pPr>
        <w:spacing w:before="0" w:after="80"/>
      </w:pPr>
      <w:r>
        <w:rPr>
          <w:i/>
          <w:sz w:val="20"/>
        </w:rPr>
        <w:t>EN: Monomer-biased manufacture of industrial-scale colloidal photonic films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10">
        <w:r>
          <w:rPr>
            <w:color w:val="1155CC"/>
            <w:u w:val="single"/>
          </w:rPr>
          <w:t>10.1126/science.aed8723</w:t>
        </w:r>
      </w:hyperlink>
    </w:p>
    <w:p>
      <w:pPr>
        <w:spacing w:before="0" w:after="120"/>
      </w:pPr>
      <w:r>
        <w:rPr>
          <w:b/>
        </w:rPr>
        <w:t xml:space="preserve">Notes: </w:t>
      </w:r>
      <w:r>
        <w:t>abstract_source=crossref</w:t>
      </w:r>
    </w:p>
    <w:p>
      <w:pPr>
        <w:spacing w:before="0" w:after="80" w:lineRule="auto" w:line="276"/>
      </w:pPr>
      <w:r>
        <w:rPr>
          <w:b/>
        </w:rPr>
        <w:t xml:space="preserve">摘要（ZH）: </w:t>
      </w:r>
      <w:r>
        <w:t>自然界中的复杂功能是由简单构建块的有序组装产生的。由于高能垒和有限的组装控制，在快速环境条件下将胶体聚集体转化为工业规模的光子晶体仍然具有挑战性。在这项研究中，常见的单体充当介质，可以在几秒钟内降低这些障碍并偏置环境剪切诱导的排序。这使得原位加工与具有可调机械性能的胶体光子晶体薄膜的卷对卷制造兼容。坚固的 15 微米厚的薄膜包含超分子基质，可以以每分钟 25 米的速度生产长达 4000 米、宽 1.3 米的薄膜。它们将生动的结构色彩和高透明度（&gt; 90％）与机械鲁棒性和快速自修复结合在一起，展示了高质量胶体光子材料的可扩展途径。</w:t>
      </w:r>
    </w:p>
    <w:p>
      <w:pPr>
        <w:spacing w:before="0" w:after="200" w:lineRule="auto" w:line="276"/>
      </w:pPr>
      <w:r>
        <w:rPr>
          <w:b/>
        </w:rPr>
        <w:t xml:space="preserve">Abstract (EN): </w:t>
      </w:r>
      <w:r>
        <w:t>Complex functions in nature arise from the ordered assembly of simple building blocks. Transformation of colloidal aggregates into industrial-scale photonic crystals under rapid ambient conditions remains challenging owing to high energy barriers and limited assembly control. In this study, common monomers act as mediators that lower these barriers and bias ambient shear-induced ordering within seconds. This enables in situ processing compatible with roll-to-roll manufacturing of colloidal photonic crystal films with tunable mechanical properties. Robust 15-micrometer-thick films, incorporating a supramolecular matrix, can be produced up to 4000 meters long and 1.3 meters wide at a rate of 25 meters per minute. These combine vivid structural color and high transparency (&gt;90%) with mechanical robustness and rapid self-healing, demonstrating a scalable route to high-quality colloidal photonic materials.</w:t>
      </w:r>
    </w:p>
    <w:p>
      <w:pPr>
        <w:spacing w:before="120" w:after="120"/>
      </w:pPr>
      <w:r>
        <w:rPr>
          <w:sz w:val="18"/>
        </w:rPr>
        <w:t>——————————————————————————————————————————————————————————————————————</w:t>
      </w:r>
    </w:p>
    <w:p>
      <w:pPr>
        <w:spacing w:before="160" w:after="40" w:line="240" w:lineRule="auto"/>
      </w:pPr>
      <w:r>
        <w:rPr>
          <w:b/>
        </w:rPr>
        <w:t xml:space="preserve">[1363] </w:t>
      </w:r>
      <w:hyperlink r:id="rId2311">
        <w:r>
          <w:rPr>
            <w:color w:val="1155CC"/>
            <w:u w:val="single"/>
          </w:rPr>
          <w:t>老龄化人群队列中基因表达与代谢组学的纵向动态</w:t>
        </w:r>
      </w:hyperlink>
    </w:p>
    <w:p>
      <w:pPr>
        <w:spacing w:before="0" w:after="80"/>
      </w:pPr>
      <w:r>
        <w:rPr>
          <w:i/>
          <w:sz w:val="20"/>
        </w:rPr>
        <w:t>EN: Longitudinal dynamics of gene expression and metabolomics in an aging population cohort</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12">
        <w:r>
          <w:rPr>
            <w:color w:val="1155CC"/>
            <w:u w:val="single"/>
          </w:rPr>
          <w:t>10.1126/science.aed6452</w:t>
        </w:r>
      </w:hyperlink>
    </w:p>
    <w:p>
      <w:pPr>
        <w:spacing w:before="0" w:after="120"/>
      </w:pPr>
      <w:r>
        <w:rPr>
          <w:b/>
        </w:rPr>
        <w:t xml:space="preserve">Notes: </w:t>
      </w:r>
      <w:r>
        <w:t>abstract_source=crossref</w:t>
      </w:r>
    </w:p>
    <w:p>
      <w:pPr>
        <w:spacing w:before="0" w:after="80" w:lineRule="auto" w:line="276"/>
      </w:pPr>
      <w:r>
        <w:rPr>
          <w:b/>
        </w:rPr>
        <w:t xml:space="preserve">摘要（ZH）: </w:t>
      </w:r>
      <w:r>
        <w:t>多组学分析提供了分子水平上的全面生理学概述，但对其时空动态的了解在人类群体中仍然有限。我们对 8 年来 335 名女性的纵向全血基因表达和代谢水平进行了分析。 5061 个基因和 181 种代谢物的水平随着时间的推移而发生变化，个体的轨迹往往与群体水平的趋势不同。纵向可变基因显示出细胞类型特异性和衰老相关途径的富集，包括心脏代谢和神经退行性疾病。纵向轨迹进一步受到遗传、昼夜节律、季节性和环境污染物暴露的影响。综合分析揭示了广泛的静态和时变的跨组学连接。纵向分析可以在分子水平上洞察与年龄相关的疾病的时间演变，并且了解这些纵向模式内的个体差异对于未来的精准医学方法至关重要。</w:t>
      </w:r>
    </w:p>
    <w:p>
      <w:pPr>
        <w:spacing w:before="0" w:after="200" w:lineRule="auto" w:line="276"/>
      </w:pPr>
      <w:r>
        <w:rPr>
          <w:b/>
        </w:rPr>
        <w:t xml:space="preserve">Abstract (EN): </w:t>
      </w:r>
      <w:r>
        <w:t>Multiomic profiling provides a comprehensive physiological overview at the molecular level, but understanding of its spatiotemporal dynamics remains limited in human populations. We profiled longitudinal whole-blood gene expression and metabolite levels in 335 females over 8 years. Levels of 5061 genes and 181 metabolites changed over time, with individual trajectories often diverging from population-level trends. Longitudinally variable genes showed cell type specificity and enrichment for aging-relevant pathways, including cardiometabolic and neurodegenerative disorders. Longitudinal trajectories were further shaped by genetics, circadian rhythm, seasonality, and environmental pollutant exposures. Integrative analyses revealed extensive static and time-variable cross-omic connectivity. Longitudinal profiling offers insight into the temporal evolution of age-related conditions at the molecular level, and understanding individual variation within these longitudinal patterns will be essential for future precision medicine approaches.</w:t>
      </w:r>
    </w:p>
    <w:p>
      <w:pPr>
        <w:spacing w:before="120" w:after="120"/>
      </w:pPr>
      <w:r>
        <w:rPr>
          <w:sz w:val="18"/>
        </w:rPr>
        <w:t>——————————————————————————————————————————————————————————————————————</w:t>
      </w:r>
    </w:p>
    <w:p>
      <w:pPr>
        <w:spacing w:before="160" w:after="40" w:line="240" w:lineRule="auto"/>
      </w:pPr>
      <w:r>
        <w:rPr>
          <w:b/>
        </w:rPr>
        <w:t xml:space="preserve">[1364] </w:t>
      </w:r>
      <w:hyperlink r:id="rId2313">
        <w:r>
          <w:rPr>
            <w:color w:val="1155CC"/>
            <w:u w:val="single"/>
          </w:rPr>
          <w:t>科学家如何揭开西藏和尼泊尔毁灭性洪灾的成因</w:t>
        </w:r>
      </w:hyperlink>
    </w:p>
    <w:p>
      <w:pPr>
        <w:spacing w:before="0" w:after="80"/>
      </w:pPr>
      <w:r>
        <w:rPr>
          <w:i/>
          <w:sz w:val="20"/>
        </w:rPr>
        <w:t>EN: How scientists unraveled the causes of the devastating flood in Tibet and Nepal</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14">
        <w:r>
          <w:rPr>
            <w:color w:val="1155CC"/>
            <w:u w:val="single"/>
          </w:rPr>
          <w:t>10.1126/science.aem0437</w:t>
        </w:r>
      </w:hyperlink>
    </w:p>
    <w:p>
      <w:pPr>
        <w:spacing w:before="0" w:after="120"/>
      </w:pPr>
      <w:r>
        <w:rPr>
          <w:b/>
        </w:rPr>
        <w:t xml:space="preserve">Notes: </w:t>
      </w:r>
      <w:r>
        <w:t>abstract_source=crossref</w:t>
      </w:r>
    </w:p>
    <w:p>
      <w:pPr>
        <w:spacing w:before="0" w:after="80" w:lineRule="auto" w:line="276"/>
      </w:pPr>
      <w:r>
        <w:rPr>
          <w:b/>
        </w:rPr>
        <w:t xml:space="preserve">摘要（ZH）: </w:t>
      </w:r>
      <w:r>
        <w:t>全球合作揭示了巨大的滑坡可能引发了一系列事件</w:t>
      </w:r>
    </w:p>
    <w:p>
      <w:pPr>
        <w:spacing w:before="0" w:after="200" w:lineRule="auto" w:line="276"/>
      </w:pPr>
      <w:r>
        <w:rPr>
          <w:b/>
        </w:rPr>
        <w:t xml:space="preserve">Abstract (EN): </w:t>
      </w:r>
      <w:r>
        <w:t>Global cooperation revealed a huge landslide likely initiated the cascade of events</w:t>
      </w:r>
    </w:p>
    <w:p>
      <w:pPr>
        <w:spacing w:before="120" w:after="120"/>
      </w:pPr>
      <w:r>
        <w:rPr>
          <w:sz w:val="18"/>
        </w:rPr>
        <w:t>——————————————————————————————————————————————————————————————————————</w:t>
      </w:r>
    </w:p>
    <w:p>
      <w:pPr>
        <w:spacing w:before="160" w:after="40" w:line="240" w:lineRule="auto"/>
      </w:pPr>
      <w:r>
        <w:rPr>
          <w:b/>
        </w:rPr>
        <w:t xml:space="preserve">[1365] </w:t>
      </w:r>
      <w:hyperlink r:id="rId2315">
        <w:r>
          <w:rPr>
            <w:color w:val="1155CC"/>
            <w:u w:val="single"/>
          </w:rPr>
          <w:t>脑刺激致力于改善女性健康</w:t>
        </w:r>
      </w:hyperlink>
    </w:p>
    <w:p>
      <w:pPr>
        <w:spacing w:before="0" w:after="80"/>
      </w:pPr>
      <w:r>
        <w:rPr>
          <w:i/>
          <w:sz w:val="20"/>
        </w:rPr>
        <w:t>EN: Brain stimulation takes aim at improving women’s health</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16">
        <w:r>
          <w:rPr>
            <w:color w:val="1155CC"/>
            <w:u w:val="single"/>
          </w:rPr>
          <w:t>10.1126/science.aem0442</w:t>
        </w:r>
      </w:hyperlink>
    </w:p>
    <w:p>
      <w:pPr>
        <w:spacing w:before="0" w:after="120"/>
      </w:pPr>
      <w:r>
        <w:rPr>
          <w:b/>
        </w:rPr>
        <w:t xml:space="preserve">Notes: </w:t>
      </w:r>
      <w:r>
        <w:t>abstract_source=crossref</w:t>
      </w:r>
    </w:p>
    <w:p>
      <w:pPr>
        <w:spacing w:before="0" w:after="80" w:lineRule="auto" w:line="276"/>
      </w:pPr>
      <w:r>
        <w:rPr>
          <w:b/>
        </w:rPr>
        <w:t xml:space="preserve">摘要（ZH）: </w:t>
      </w:r>
      <w:r>
        <w:t>非侵入性技术试验招募孕妇和产后妇女</w:t>
      </w:r>
    </w:p>
    <w:p>
      <w:pPr>
        <w:spacing w:before="0" w:after="200" w:lineRule="auto" w:line="276"/>
      </w:pPr>
      <w:r>
        <w:rPr>
          <w:b/>
        </w:rPr>
        <w:t xml:space="preserve">Abstract (EN): </w:t>
      </w:r>
      <w:r>
        <w:t>Trials of noninvasive technologies enroll pregnant and postpartum women</w:t>
      </w:r>
    </w:p>
    <w:p>
      <w:pPr>
        <w:spacing w:before="120" w:after="120"/>
      </w:pPr>
      <w:r>
        <w:rPr>
          <w:sz w:val="18"/>
        </w:rPr>
        <w:t>——————————————————————————————————————————————————————————————————————</w:t>
      </w:r>
    </w:p>
    <w:p>
      <w:pPr>
        <w:spacing w:before="160" w:after="40" w:line="240" w:lineRule="auto"/>
      </w:pPr>
      <w:r>
        <w:rPr>
          <w:b/>
        </w:rPr>
        <w:t xml:space="preserve">[1366] </w:t>
      </w:r>
      <w:hyperlink r:id="rId2317">
        <w:r>
          <w:rPr>
            <w:color w:val="1155CC"/>
            <w:u w:val="single"/>
          </w:rPr>
          <w:t>化学气相沉积聚合物薄膜中的自发极化产生强大电场</w:t>
        </w:r>
      </w:hyperlink>
    </w:p>
    <w:p>
      <w:pPr>
        <w:spacing w:before="0" w:after="80"/>
      </w:pPr>
      <w:r>
        <w:rPr>
          <w:i/>
          <w:sz w:val="20"/>
        </w:rPr>
        <w:t>EN: Spontaneous polarization in chemical vapor–deposited polymer films creates large electric fields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18">
        <w:r>
          <w:rPr>
            <w:color w:val="1155CC"/>
            <w:u w:val="single"/>
          </w:rPr>
          <w:t>10.1126/science.aeg9547</w:t>
        </w:r>
      </w:hyperlink>
    </w:p>
    <w:p>
      <w:pPr>
        <w:spacing w:before="0" w:after="120"/>
      </w:pPr>
      <w:r>
        <w:rPr>
          <w:b/>
        </w:rPr>
        <w:t xml:space="preserve">Notes: </w:t>
      </w:r>
      <w:r>
        <w:t>abstract_source=crossref</w:t>
      </w:r>
    </w:p>
    <w:p>
      <w:pPr>
        <w:spacing w:before="0" w:after="80" w:lineRule="auto" w:line="276"/>
      </w:pPr>
      <w:r>
        <w:rPr>
          <w:b/>
        </w:rPr>
        <w:t xml:space="preserve">摘要（ZH）: </w:t>
      </w:r>
      <w:r>
        <w:t>永久极化聚合物薄膜中受控的表面电势越来越受到电子、传感和生物医学设备的关注。传统的聚合物薄膜需要外部电场或沉积后处理，限制了精度和可扩展性。在这里，我们报告了通过引发化学气相沉积（iCVD）聚合的聚合物薄膜的自发极化。表面电势在薄膜生长过程中自发出现，与薄膜厚度成线性比例，并在环境条件下保持稳定。它们的大小可通过沉积参数调节，聚合引发剂的选择决定极性。无溶剂、单步 iCVD 工艺可在复杂的几何形状和大面积上实现机械坚固、均匀的涂层。我们的研究结果建立了一种简单、通用的途径，无需后处理即可获得本质偏振聚合物薄膜，为将电场直接集成到纳米级功能器件或表面驱动过程中提供了新的机会。</w:t>
      </w:r>
    </w:p>
    <w:p>
      <w:pPr>
        <w:spacing w:before="0" w:after="200" w:lineRule="auto" w:line="276"/>
      </w:pPr>
      <w:r>
        <w:rPr>
          <w:b/>
        </w:rPr>
        <w:t xml:space="preserve">Abstract (EN): </w:t>
      </w:r>
      <w:r>
        <w:t>Controlled surface potentials in permanently polarized polymer films are of increasing interest for electronics, sensing, and biomedical devices. Conventional polymer films require external electric fields or postdeposition treatments, limiting precision and scalability. Here, we report a spontaneous polarization in polymer thin films polymerized through initiated chemical vapor deposition (iCVD). Surface potentials emerge spontaneously during film growth, scale linearly with film thickness, and remain stable under ambient conditions. Their magnitude is tunable through deposition parameters, and polymerization initiator choice determines the polarity. The solvent-free, single-step iCVD process enables mechanically robust, uniform coatings on complex geometries and large areas. Our findings establish a simple, versatile route to intrinsically polarized polymer films without postprocessing, opening new opportunities for direct integration of electric fields into functional devices or surface-driven processes at the nanoscale.</w:t>
      </w:r>
    </w:p>
    <w:p>
      <w:pPr>
        <w:spacing w:before="120" w:after="120"/>
      </w:pPr>
      <w:r>
        <w:rPr>
          <w:sz w:val="18"/>
        </w:rPr>
        <w:t>——————————————————————————————————————————————————————————————————————</w:t>
      </w:r>
    </w:p>
    <w:p>
      <w:pPr>
        <w:spacing w:before="160" w:after="40" w:line="240" w:lineRule="auto"/>
      </w:pPr>
      <w:r>
        <w:rPr>
          <w:b/>
        </w:rPr>
        <w:t xml:space="preserve">[1367] </w:t>
      </w:r>
      <w:hyperlink r:id="rId2319">
        <w:r>
          <w:rPr>
            <w:color w:val="1155CC"/>
            <w:u w:val="single"/>
          </w:rPr>
          <w:t>复制的人类染色体的构象不对称性</w:t>
        </w:r>
      </w:hyperlink>
    </w:p>
    <w:p>
      <w:pPr>
        <w:spacing w:before="0" w:after="80"/>
      </w:pPr>
      <w:r>
        <w:rPr>
          <w:i/>
          <w:sz w:val="20"/>
        </w:rPr>
        <w:t>EN: Conformational asymmetry of replicated human chromosomes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20">
        <w:r>
          <w:rPr>
            <w:color w:val="1155CC"/>
            <w:u w:val="single"/>
          </w:rPr>
          <w:t>10.1126/science.aea4611</w:t>
        </w:r>
      </w:hyperlink>
    </w:p>
    <w:p>
      <w:pPr>
        <w:spacing w:before="0" w:after="120"/>
      </w:pPr>
      <w:r>
        <w:rPr>
          <w:b/>
        </w:rPr>
        <w:t xml:space="preserve">Notes: </w:t>
      </w:r>
      <w:r>
        <w:t>abstract_source=crossref</w:t>
      </w:r>
    </w:p>
    <w:p>
      <w:pPr>
        <w:spacing w:before="0" w:after="80" w:lineRule="auto" w:line="276"/>
      </w:pPr>
      <w:r>
        <w:rPr>
          <w:b/>
        </w:rPr>
        <w:t xml:space="preserve">摘要（ZH）: </w:t>
      </w:r>
      <w:r>
        <w:t>DNA复制产生具有相同序列的姐妹染色单体，但其机制基本上是不对称的：染色单体继承相反方向的链，而分叉通过不同的前导链和滞后链机制合成新链。这种复制不对称如何影响染色体组织尚不清楚。通过姐妹染色单体敏感构象分析，我们发现人类姐妹染色单体在遗传 DNA 链的 5′→3′ 方向上始终错位。这种转变在没有粘连蛋白介导的环挤出的情况下持续存在，但在粘连破坏时消失。聚合物模型表明，粘性粘连蛋白的适度方向错位可以解释观察到的转变，并且我们提出了两种模型来解释这种错位如何源于复制叉不对称。姐妹染色单体之间的这种寄存器转移对于 DNA 修复期间的同源性搜索具有影响。</w:t>
      </w:r>
    </w:p>
    <w:p>
      <w:pPr>
        <w:spacing w:before="0" w:after="200" w:lineRule="auto" w:line="276"/>
      </w:pPr>
      <w:r>
        <w:rPr>
          <w:b/>
        </w:rPr>
        <w:t xml:space="preserve">Abstract (EN): </w:t>
      </w:r>
      <w:r>
        <w:t>DNA replication generates sister chromatids with identical sequence, yet its mechanism is fundamentally asymmetric: Chromatids inherit strands of opposite orientation, whereas forks synthesize new strands by distinct leading- and lagging-strand mechanisms. How this replication asymmetry affects chromosome organization is unknown. Using sister chromatid–sensitive conformation analysis, we found that human sister chromatids are consistently misaligned in the 5′→3′ direction of inherited DNA strands. This shift persisted without cohesin-mediated loop extrusion but was lost upon disruption of cohesion. Polymer modeling showed that modest directional misalignment of cohesive cohesins can explain the observed shift, and we propose two models for how such misalignment could originate from replication fork asymmetry. This register shift between sister chromatids has implications for homology search during DNA repair.</w:t>
      </w:r>
    </w:p>
    <w:p>
      <w:pPr>
        <w:spacing w:before="120" w:after="120"/>
      </w:pPr>
      <w:r>
        <w:rPr>
          <w:sz w:val="18"/>
        </w:rPr>
        <w:t>——————————————————————————————————————————————————————————————————————</w:t>
      </w:r>
    </w:p>
    <w:p>
      <w:pPr>
        <w:spacing w:before="160" w:after="40" w:line="240" w:lineRule="auto"/>
      </w:pPr>
      <w:r>
        <w:rPr>
          <w:b/>
        </w:rPr>
        <w:t xml:space="preserve">[1368] </w:t>
      </w:r>
      <w:hyperlink r:id="rId2321">
        <w:r>
          <w:rPr>
            <w:color w:val="1155CC"/>
            <w:u w:val="single"/>
          </w:rPr>
          <w:t>肿瘤窃取T细胞信号</w:t>
        </w:r>
      </w:hyperlink>
    </w:p>
    <w:p>
      <w:pPr>
        <w:spacing w:before="0" w:after="80"/>
      </w:pPr>
      <w:r>
        <w:rPr>
          <w:i/>
          <w:sz w:val="20"/>
        </w:rPr>
        <w:t>EN: Tumors steal a signal from T cells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22">
        <w:r>
          <w:rPr>
            <w:color w:val="1155CC"/>
            <w:u w:val="single"/>
          </w:rPr>
          <w:t>10.1126/science.aek5854</w:t>
        </w:r>
      </w:hyperlink>
    </w:p>
    <w:p>
      <w:pPr>
        <w:spacing w:before="0" w:after="120"/>
      </w:pPr>
      <w:r>
        <w:rPr>
          <w:b/>
        </w:rPr>
        <w:t xml:space="preserve">Notes: </w:t>
      </w:r>
      <w:r>
        <w:t>abstract_source=crossref</w:t>
      </w:r>
    </w:p>
    <w:p>
      <w:pPr>
        <w:spacing w:before="0" w:after="80" w:lineRule="auto" w:line="276"/>
      </w:pPr>
      <w:r>
        <w:rPr>
          <w:b/>
        </w:rPr>
        <w:t xml:space="preserve">摘要（ZH）: </w:t>
      </w:r>
      <w:r>
        <w:t>肿瘤释放的抗氧化剂会抑制 T 细胞免疫</w:t>
      </w:r>
    </w:p>
    <w:p>
      <w:pPr>
        <w:spacing w:before="0" w:after="200" w:lineRule="auto" w:line="276"/>
      </w:pPr>
      <w:r>
        <w:rPr>
          <w:b/>
        </w:rPr>
        <w:t xml:space="preserve">Abstract (EN): </w:t>
      </w:r>
      <w:r>
        <w:t>An antioxidant released by tumors dampens T cell immunity</w:t>
      </w:r>
    </w:p>
    <w:p>
      <w:pPr>
        <w:spacing w:before="120" w:after="120"/>
      </w:pPr>
      <w:r>
        <w:rPr>
          <w:sz w:val="18"/>
        </w:rPr>
        <w:t>——————————————————————————————————————————————————————————————————————</w:t>
      </w:r>
    </w:p>
    <w:p>
      <w:pPr>
        <w:spacing w:before="160" w:after="40" w:line="240" w:lineRule="auto"/>
      </w:pPr>
      <w:r>
        <w:rPr>
          <w:b/>
        </w:rPr>
        <w:t xml:space="preserve">[1369] </w:t>
      </w:r>
      <w:hyperlink r:id="rId2323">
        <w:r>
          <w:rPr>
            <w:color w:val="1155CC"/>
            <w:u w:val="single"/>
          </w:rPr>
          <w:t>空间分辨单细胞图谱揭示动物心脏的宏观演化轨迹</w:t>
        </w:r>
      </w:hyperlink>
    </w:p>
    <w:p>
      <w:pPr>
        <w:spacing w:before="0" w:after="80"/>
      </w:pPr>
      <w:r>
        <w:rPr>
          <w:i/>
          <w:sz w:val="20"/>
        </w:rPr>
        <w:t>EN: Spatially resolved single-cell atlas reveals the macroevolutionary trajectory of animal hearts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24">
        <w:r>
          <w:rPr>
            <w:color w:val="1155CC"/>
            <w:u w:val="single"/>
          </w:rPr>
          <w:t>10.1126/science.adw0855</w:t>
        </w:r>
      </w:hyperlink>
    </w:p>
    <w:p>
      <w:pPr>
        <w:spacing w:before="0" w:after="120"/>
      </w:pPr>
      <w:r>
        <w:rPr>
          <w:b/>
        </w:rPr>
        <w:t xml:space="preserve">Notes: </w:t>
      </w:r>
      <w:r>
        <w:t>abstract_source=crossref</w:t>
      </w:r>
    </w:p>
    <w:p>
      <w:pPr>
        <w:spacing w:before="0" w:after="80" w:lineRule="auto" w:line="276"/>
      </w:pPr>
      <w:r>
        <w:rPr>
          <w:b/>
        </w:rPr>
        <w:t xml:space="preserve">摘要（ZH）: </w:t>
      </w:r>
      <w:r>
        <w:t>动物心脏在适应性进化过程中表现出不同的解剖结构。在这里，我们展示了来自脊索动物、节肢动物和软体动物 27 个物种的成年心脏的多组学图谱。联合分析表明，双边对称动物心脏共享一个核心基因库，采用逐步“附加”方法作为通用进化策略。 “原心脏”由关键细胞类型组成，包括心肌细胞、成纤维细胞、内皮细胞和神经细胞，它们在随着生活环境的变化和心血管系统的相应适应而进化的同时保持核心特征。此外，我们揭示了进化上保守的心肌细胞状态动态可能与心脏发育和应激反应相关。最后，我们确定了一个共同的分子程序，支持心室从心室基础演化而来。这项工作为理解心脏进化的内在机制建立了资源。</w:t>
      </w:r>
    </w:p>
    <w:p>
      <w:pPr>
        <w:spacing w:before="0" w:after="200" w:lineRule="auto" w:line="276"/>
      </w:pPr>
      <w:r>
        <w:rPr>
          <w:b/>
        </w:rPr>
        <w:t xml:space="preserve">Abstract (EN): </w:t>
      </w:r>
      <w:r>
        <w:t>Animal hearts display diverse anatomical structures during adaptive evolution. Here, we present a multiomics atlas of adult hearts from 27 species across chordates, arthropods, and mollusks. Joint analysis indicates that Bilateria hearts share a core gene repertoire, taking a stepwise “add-on” approach as a universal evolutionary strategy. The “proto-heart” is populated by key cell types, including cardiomyocytes, fibroblasts, endothelial cells, and neural cells, which maintained core signatures while evolving with shifts in living environments and corresponding adaptations in the cardiovascular system. Additionally, we reveal an evolutionarily conserved cardiomyocyte state dynamic potentially linked to cardiac development and stress responses. Finally, we identify a common molecular program underpinning chamber evolution from a ventricular foundation. This work establishes a resource for understanding the intrinsic mechanisms of heart evolution.</w:t>
      </w:r>
    </w:p>
    <w:p>
      <w:pPr>
        <w:spacing w:before="120" w:after="120"/>
      </w:pPr>
      <w:r>
        <w:rPr>
          <w:sz w:val="18"/>
        </w:rPr>
        <w:t>——————————————————————————————————————————————————————————————————————</w:t>
      </w:r>
    </w:p>
    <w:p>
      <w:pPr>
        <w:spacing w:before="160" w:after="40" w:line="240" w:lineRule="auto"/>
      </w:pPr>
      <w:r>
        <w:rPr>
          <w:b/>
        </w:rPr>
        <w:t xml:space="preserve">[1370] </w:t>
      </w:r>
      <w:hyperlink r:id="rId2325">
        <w:r>
          <w:rPr>
            <w:color w:val="1155CC"/>
            <w:u w:val="single"/>
          </w:rPr>
          <w:t>附近一颗位于宜居带的岩质系外行星大气中逸出的氦</w:t>
        </w:r>
      </w:hyperlink>
    </w:p>
    <w:p>
      <w:pPr>
        <w:spacing w:before="0" w:after="80"/>
      </w:pPr>
      <w:r>
        <w:rPr>
          <w:i/>
          <w:sz w:val="20"/>
        </w:rPr>
        <w:t>EN: Helium escaping from the atmosphere of a nearby rocky exoplanet orbiting in a habitable zone</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26">
        <w:r>
          <w:rPr>
            <w:color w:val="1155CC"/>
            <w:u w:val="single"/>
          </w:rPr>
          <w:t>10.1126/science.aea9708</w:t>
        </w:r>
      </w:hyperlink>
    </w:p>
    <w:p>
      <w:pPr>
        <w:spacing w:before="0" w:after="120"/>
      </w:pPr>
      <w:r>
        <w:rPr>
          <w:b/>
        </w:rPr>
        <w:t xml:space="preserve">Notes: </w:t>
      </w:r>
      <w:r>
        <w:t>abstract_source=crossref</w:t>
      </w:r>
    </w:p>
    <w:p>
      <w:pPr>
        <w:spacing w:before="0" w:after="80" w:lineRule="auto" w:line="276"/>
      </w:pPr>
      <w:r>
        <w:rPr>
          <w:b/>
        </w:rPr>
        <w:t xml:space="preserve">摘要（ZH）: </w:t>
      </w:r>
      <w:r>
        <w:t>对高辐射气态巨行星的观测表明，氦气从其大气层中逸出。关于岩石系外行星上存在大气层的证据有限，也许是因为它们已经逃逸了。我们报告了 LHS 1140b 的近红外光谱观测，这是一颗在附近低质量恒星的宜居带内运行的岩石系外行星。传输光谱显示了从行星大气层逸出的氦气的吸收。 2024 年检测到氦吸收，但 2025 年未检测到，这表明大气逃逸随时间变化。我们将这些结果解释为表明高层大气以氦为主且氢贫乏，其他挥发性物质被困在较低海拔，这与大气分馏模型一致。 LHS 1140c 是同一系统中一颗更小、辐射更强烈的系外行星，没有检测到氦吸收。</w:t>
      </w:r>
    </w:p>
    <w:p>
      <w:pPr>
        <w:spacing w:before="0" w:after="200" w:lineRule="auto" w:line="276"/>
      </w:pPr>
      <w:r>
        <w:rPr>
          <w:b/>
        </w:rPr>
        <w:t xml:space="preserve">Abstract (EN): </w:t>
      </w:r>
      <w:r>
        <w:t>Observations of highly irradiated gas giant exoplanets have shown helium escaping from their atmospheres. There is limited evidence for atmospheres on rocky exoplanets, perhaps because they have already escaped. We report near-infrared spectroscopic observations of LHS 1140b, a rocky exoplanet that orbits in the habitable zone of a nearby low-mass star. The transit spectra show absorption by helium escaping from the planet’s atmosphere. Helium absorption is detected in 2024 but not in 2025, indicating time-variable atmospheric escape. We interpret these results as indicating an upper atmosphere dominated by helium and depleted in hydrogen, with other volatile species trapped at lower altitudes, which is consistent with atmospheric fractionation models. No helium absorption is detected for LHS 1140c, a smaller and more strongly irradiated exoplanet in the same system.</w:t>
      </w:r>
    </w:p>
    <w:p>
      <w:pPr>
        <w:spacing w:before="120" w:after="120"/>
      </w:pPr>
      <w:r>
        <w:rPr>
          <w:sz w:val="18"/>
        </w:rPr>
        <w:t>——————————————————————————————————————————————————————————————————————</w:t>
      </w:r>
    </w:p>
    <w:p>
      <w:pPr>
        <w:spacing w:before="160" w:after="40" w:line="240" w:lineRule="auto"/>
      </w:pPr>
      <w:r>
        <w:rPr>
          <w:b/>
        </w:rPr>
        <w:t xml:space="preserve">[1371] </w:t>
      </w:r>
      <w:hyperlink r:id="rId2327">
        <w:r>
          <w:rPr>
            <w:color w:val="1155CC"/>
            <w:u w:val="single"/>
          </w:rPr>
          <w:t>迷幻剂作为预防性神经保护剂</w:t>
        </w:r>
      </w:hyperlink>
    </w:p>
    <w:p>
      <w:pPr>
        <w:spacing w:before="0" w:after="80"/>
      </w:pPr>
      <w:r>
        <w:rPr>
          <w:i/>
          <w:sz w:val="20"/>
        </w:rPr>
        <w:t>EN: Psychedelics as prophylactic neuroprotectants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28">
        <w:r>
          <w:rPr>
            <w:color w:val="1155CC"/>
            <w:u w:val="single"/>
          </w:rPr>
          <w:t>10.1126/science.aek3865</w:t>
        </w:r>
      </w:hyperlink>
    </w:p>
    <w:p>
      <w:pPr>
        <w:spacing w:before="0" w:after="120"/>
      </w:pPr>
      <w:r>
        <w:rPr>
          <w:b/>
        </w:rPr>
        <w:t xml:space="preserve">Notes: </w:t>
      </w:r>
      <w:r>
        <w:t>abstract_source=crossref</w:t>
      </w:r>
    </w:p>
    <w:p>
      <w:pPr>
        <w:spacing w:before="0" w:after="80" w:lineRule="auto" w:line="276"/>
      </w:pPr>
      <w:r>
        <w:rPr>
          <w:b/>
        </w:rPr>
        <w:t xml:space="preserve">摘要（ZH）: </w:t>
      </w:r>
      <w:r>
        <w:t>某些蘑菇中发现的化合物可防止化疗期间的神经损伤</w:t>
      </w:r>
    </w:p>
    <w:p>
      <w:pPr>
        <w:spacing w:before="0" w:after="200" w:lineRule="auto" w:line="276"/>
      </w:pPr>
      <w:r>
        <w:rPr>
          <w:b/>
        </w:rPr>
        <w:t xml:space="preserve">Abstract (EN): </w:t>
      </w:r>
      <w:r>
        <w:t>A compound found in certain mushrooms prevents nerve damage during chemotherapy</w:t>
      </w:r>
    </w:p>
    <w:p>
      <w:pPr>
        <w:spacing w:before="120" w:after="120"/>
      </w:pPr>
      <w:r>
        <w:rPr>
          <w:sz w:val="18"/>
        </w:rPr>
        <w:t>——————————————————————————————————————————————————————————————————————</w:t>
      </w:r>
    </w:p>
    <w:p>
      <w:pPr>
        <w:spacing w:before="160" w:after="40" w:line="240" w:lineRule="auto"/>
      </w:pPr>
      <w:r>
        <w:rPr>
          <w:b/>
        </w:rPr>
        <w:t xml:space="preserve">[1372] </w:t>
      </w:r>
      <w:hyperlink r:id="rId2329">
        <w:r>
          <w:rPr>
            <w:color w:val="1155CC"/>
            <w:u w:val="single"/>
          </w:rPr>
          <w:t>用于病原菌蛋白识别的合成植物免疫受体的可编程设计</w:t>
        </w:r>
      </w:hyperlink>
    </w:p>
    <w:p>
      <w:pPr>
        <w:spacing w:before="0" w:after="80"/>
      </w:pPr>
      <w:r>
        <w:rPr>
          <w:i/>
          <w:sz w:val="20"/>
        </w:rPr>
        <w:t>EN: Programmable design of synthetic plant immune receptors for pathogen protein recognition</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30">
        <w:r>
          <w:rPr>
            <w:color w:val="1155CC"/>
            <w:u w:val="single"/>
          </w:rPr>
          <w:t>10.1126/science.aee1792</w:t>
        </w:r>
      </w:hyperlink>
    </w:p>
    <w:p>
      <w:pPr>
        <w:spacing w:before="0" w:after="120"/>
      </w:pPr>
      <w:r>
        <w:rPr>
          <w:b/>
        </w:rPr>
        <w:t xml:space="preserve">Notes: </w:t>
      </w:r>
      <w:r>
        <w:t>abstract_source=crossref</w:t>
      </w:r>
    </w:p>
    <w:p>
      <w:pPr>
        <w:spacing w:before="0" w:after="80" w:lineRule="auto" w:line="276"/>
      </w:pPr>
      <w:r>
        <w:rPr>
          <w:b/>
        </w:rPr>
        <w:t xml:space="preserve">摘要（ZH）: </w:t>
      </w:r>
      <w:r>
        <w:t>天然植物免疫受体的多样性和识别范围有限，阻碍了针对快速进化的病原体的抗性育种。在这里，我们报告了合成植物免疫受体（SPIR）的可编程设计。从头设计的针对病原体蛋白的结合模块被移植到植物免疫受体的整合诱饵结构域中。 SPIR 可识别源自病毒、细菌、真菌和卵菌病原体的蛋白质。通过将人工智能引导的蛋白质设计与植物定向进化相结合，增强了免疫激活，同时减少了自身激活，从而提高了它们的性能。 SPIR 表现出高度的靶标特异性，并且可以堆叠用于病原体蛋白的多重识别。病毒靶向 SPIR 对植物病毒的感染性克隆做出反应，而表达 SPIR 的转基因植物则具有抗病性。这项工作为植物免疫的有效工程建立了一个多功能平台。</w:t>
      </w:r>
    </w:p>
    <w:p>
      <w:pPr>
        <w:spacing w:before="0" w:after="200" w:lineRule="auto" w:line="276"/>
      </w:pPr>
      <w:r>
        <w:rPr>
          <w:b/>
        </w:rPr>
        <w:t xml:space="preserve">Abstract (EN): </w:t>
      </w:r>
      <w:r>
        <w:t>The limited diversity and recognition scope of natural plant immune receptors impede resistance breeding against rapidly evolving pathogens. Here, we report the programmable design of synthetic plant immune receptors (SPIRs). De novo–designed binding modules targeting pathogen proteins were grafted into the integrated decoy domain of a plant immune receptor. SPIRs recognized proteins derived from viral, bacterial, fungal, and oomycete pathogens. Their performance was improved by combining artificial intelligence–guided protein design with in planta–directed evolution, enhancing immune activation while reducing autoactivation. The SPIRs exhibited high target specificity and could be stacked for multiplexed recognition of pathogen proteins. Viral-targeting SPIRs responded to infectious clones of plant viruses, and transgenic plants expressing SPIRs conferred disease resistance. This work establishes a versatile platform for the efficient engineering of plant immunity.</w:t>
      </w:r>
    </w:p>
    <w:p>
      <w:pPr>
        <w:spacing w:before="120" w:after="120"/>
      </w:pPr>
      <w:r>
        <w:rPr>
          <w:sz w:val="18"/>
        </w:rPr>
        <w:t>——————————————————————————————————————————————————————————————————————</w:t>
      </w:r>
    </w:p>
    <w:p>
      <w:pPr>
        <w:spacing w:before="160" w:after="40" w:line="240" w:lineRule="auto"/>
      </w:pPr>
      <w:r>
        <w:rPr>
          <w:b/>
        </w:rPr>
        <w:t xml:space="preserve">[1373] </w:t>
      </w:r>
      <w:hyperlink r:id="rId2331">
        <w:r>
          <w:rPr>
            <w:color w:val="1155CC"/>
            <w:u w:val="single"/>
          </w:rPr>
          <w:t>俄罗斯押注新研究设施以建立对外联系</w:t>
        </w:r>
      </w:hyperlink>
    </w:p>
    <w:p>
      <w:pPr>
        <w:spacing w:before="0" w:after="80"/>
      </w:pPr>
      <w:r>
        <w:rPr>
          <w:i/>
          <w:sz w:val="20"/>
        </w:rPr>
        <w:t>EN: Russia bets on new research facilities to build foreign ties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32">
        <w:r>
          <w:rPr>
            <w:color w:val="1155CC"/>
            <w:u w:val="single"/>
          </w:rPr>
          <w:t>10.1126/science.aem0440</w:t>
        </w:r>
      </w:hyperlink>
    </w:p>
    <w:p>
      <w:pPr>
        <w:spacing w:before="0" w:after="120"/>
      </w:pPr>
      <w:r>
        <w:rPr>
          <w:b/>
        </w:rPr>
        <w:t xml:space="preserve">Notes: </w:t>
      </w:r>
      <w:r>
        <w:t>abstract_source=crossref</w:t>
      </w:r>
    </w:p>
    <w:p>
      <w:pPr>
        <w:spacing w:before="0" w:after="80" w:lineRule="auto" w:line="276"/>
      </w:pPr>
      <w:r>
        <w:rPr>
          <w:b/>
        </w:rPr>
        <w:t xml:space="preserve">摘要（ZH）: </w:t>
      </w:r>
      <w:r>
        <w:t>一个新的同步加速器和另外两个“大型项目”可以推动新的合作</w:t>
      </w:r>
    </w:p>
    <w:p>
      <w:pPr>
        <w:spacing w:before="0" w:after="200" w:lineRule="auto" w:line="276"/>
      </w:pPr>
      <w:r>
        <w:rPr>
          <w:b/>
        </w:rPr>
        <w:t xml:space="preserve">Abstract (EN): </w:t>
      </w:r>
      <w:r>
        <w:t>A new synchrotron and two other “megaprojects” could fuel new collaborations</w:t>
      </w:r>
    </w:p>
    <w:p>
      <w:pPr>
        <w:spacing w:before="120" w:after="120"/>
      </w:pPr>
      <w:r>
        <w:rPr>
          <w:sz w:val="18"/>
        </w:rPr>
        <w:t>——————————————————————————————————————————————————————————————————————</w:t>
      </w:r>
    </w:p>
    <w:p>
      <w:pPr>
        <w:spacing w:before="160" w:after="40" w:line="240" w:lineRule="auto"/>
      </w:pPr>
      <w:r>
        <w:rPr>
          <w:b/>
        </w:rPr>
        <w:t xml:space="preserve">[1374] </w:t>
      </w:r>
      <w:hyperlink r:id="rId2333">
        <w:r>
          <w:rPr>
            <w:color w:val="1155CC"/>
            <w:u w:val="single"/>
          </w:rPr>
          <w:t>大规模开GLP-1s（非）预期后果</w:t>
        </w:r>
      </w:hyperlink>
    </w:p>
    <w:p>
      <w:pPr>
        <w:spacing w:before="0" w:after="80"/>
      </w:pPr>
      <w:r>
        <w:rPr>
          <w:i/>
          <w:sz w:val="20"/>
        </w:rPr>
        <w:t>EN: (Un)intended consequences of mass-prescribing GLP-1s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34">
        <w:r>
          <w:rPr>
            <w:color w:val="1155CC"/>
            <w:u w:val="single"/>
          </w:rPr>
          <w:t>10.1126/science.ael8715</w:t>
        </w:r>
      </w:hyperlink>
    </w:p>
    <w:p>
      <w:pPr>
        <w:spacing w:before="0" w:after="120"/>
      </w:pPr>
      <w:r>
        <w:rPr>
          <w:b/>
        </w:rPr>
        <w:t xml:space="preserve">Notes: </w:t>
      </w:r>
      <w:r>
        <w:t>abstract_source=crossref</w:t>
      </w:r>
    </w:p>
    <w:p>
      <w:pPr>
        <w:spacing w:before="0" w:after="80" w:lineRule="auto" w:line="276"/>
      </w:pPr>
      <w:r>
        <w:rPr>
          <w:b/>
        </w:rPr>
        <w:t xml:space="preserve">摘要（ZH）: </w:t>
      </w:r>
      <w:r>
        <w:t>胰高血糖素样肽-1 (GLP-1) 药物疗法已经淹没了有关肥胖的公众讨论，这一点都不为过。大量的科学论文、新闻文章和社交媒体帖子争论 GLP-1 受体激动剂的功效、可负担性和适当性，不仅可以治疗肥胖，还可以治疗皮肤病、勃起功能障碍、怀孕和成瘾。为了消除噪音，世界卫生组织 (WHO) 最近发布了首个全球指南，推荐 GLP-1 治疗肥胖，同时承诺制定一个全球框架，确保全球 10 亿受影响人群“公平获得”这些药物。更深入地说，该指南还倡导“强有力的人口政策”，以解决不健康食品环境中肥胖的根本原因。然而，使这些努力变得复杂的是，世卫组织的建议是在制药公司、争夺 GLP-1 细分市场的食品公司以及为所谓的 GLP-1 生活方式推广补充剂和远程医疗计划的健康公司之间充满竞争压力的时候提出的。这种商业环境很容易产生意想不到的后果，从而阻碍公平获得这些药物。</w:t>
      </w:r>
    </w:p>
    <w:p>
      <w:pPr>
        <w:spacing w:before="0" w:after="200" w:lineRule="auto" w:line="276"/>
      </w:pPr>
      <w:r>
        <w:rPr>
          <w:b/>
        </w:rPr>
        <w:t xml:space="preserve">Abstract (EN): </w:t>
      </w:r>
      <w:r>
        <w:t>It is difficult to overstate how much glucagon-like peptide-1 (GLP-1) pharmacotherapies have inundated the public discourse on obesity. An avalanche of scientific papers, news articles, and social media posts debate the efficacy, affordability, and appropriateness of GLP-1 receptor agonists not just for obesity but also skin disease, erectile dysfunction, pregnancy, and addiction. Attempting to cut through the noise, the World Health Organization (WHO) recently published the first-ever global guidelines recommending GLP-1s for the treatment of obesity, while committing to develop a global framework ensuring “fair access” to these medicines for the 1 billion people affected worldwide. Going deeper, the guidelines also advocate for “robust populationlevel policies” to address the root causes of obesity in unhealthy food environments. However, to complicate these efforts, WHO’s recommendations unfold at a time rife with competitive pressures among pharmaceutical companies, food companies vying for the GLP-1 market segment, and wellness companies promoting supplements and telemedicine programs for what is being billed as a GLP-1 lifestyle. This commercial milieu is ripe for unintended consequences that conspire against fair access to these medicines.</w:t>
      </w:r>
    </w:p>
    <w:p>
      <w:pPr>
        <w:spacing w:before="120" w:after="120"/>
      </w:pPr>
      <w:r>
        <w:rPr>
          <w:sz w:val="18"/>
        </w:rPr>
        <w:t>——————————————————————————————————————————————————————————————————————</w:t>
      </w:r>
    </w:p>
    <w:p>
      <w:pPr>
        <w:spacing w:before="160" w:after="40" w:line="240" w:lineRule="auto"/>
      </w:pPr>
      <w:r>
        <w:rPr>
          <w:b/>
        </w:rPr>
        <w:t xml:space="preserve">[1375] </w:t>
      </w:r>
      <w:hyperlink r:id="rId2335">
        <w:r>
          <w:rPr>
            <w:color w:val="1155CC"/>
            <w:u w:val="single"/>
          </w:rPr>
          <w:t>量子光学自旋玻璃中的高容量联想记忆</w:t>
        </w:r>
      </w:hyperlink>
    </w:p>
    <w:p>
      <w:pPr>
        <w:spacing w:before="0" w:after="80"/>
      </w:pPr>
      <w:r>
        <w:rPr>
          <w:i/>
          <w:sz w:val="20"/>
        </w:rPr>
        <w:t>EN: High-capacity associative memory in a quantum-optical spin glass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36">
        <w:r>
          <w:rPr>
            <w:color w:val="1155CC"/>
            <w:u w:val="single"/>
          </w:rPr>
          <w:t>10.1126/science.aec3917</w:t>
        </w:r>
      </w:hyperlink>
    </w:p>
    <w:p>
      <w:pPr>
        <w:spacing w:before="0" w:after="120"/>
      </w:pPr>
      <w:r>
        <w:rPr>
          <w:b/>
        </w:rPr>
        <w:t xml:space="preserve">Notes: </w:t>
      </w:r>
      <w:r>
        <w:t>abstract_source=crossref</w:t>
      </w:r>
    </w:p>
    <w:p>
      <w:pPr>
        <w:spacing w:before="0" w:after="80" w:lineRule="auto" w:line="276"/>
      </w:pPr>
      <w:r>
        <w:rPr>
          <w:b/>
        </w:rPr>
        <w:t xml:space="preserve">摘要（ZH）: </w:t>
      </w:r>
      <w:r>
        <w:t>Hopfield 神经网络使用全耦合自旋来存储记忆，并通过平衡动力学调用这些记忆。存储太多会妨碍回忆，因为当网络变成旋转玻璃时，挫折会导致指数数量的虚假模式出现。尽管如此，在量子光学非平衡动力学下，记忆回忆可以恢复，甚至增强，因为虚假模式现在可以充当可靠的记忆。我们通过实验观察了由原子和光子制成的驱动耗散自旋玻璃中具有高存储容量的联想存储器。在十六旋转网络中，其容量比 Hebbian 学习下的 Hopfield 模型高出七倍。原子运动通过动态修改类似于神经网络中短期突触可塑性的连接性来提高容量，从而实现了量子光学系统中学习的先驱。</w:t>
      </w:r>
    </w:p>
    <w:p>
      <w:pPr>
        <w:spacing w:before="0" w:after="200" w:lineRule="auto" w:line="276"/>
      </w:pPr>
      <w:r>
        <w:rPr>
          <w:b/>
        </w:rPr>
        <w:t xml:space="preserve">Abstract (EN): </w:t>
      </w:r>
      <w:r>
        <w:t>The Hopfield neural network stores memories using all-to-all-coupled spins and recalls those memories through equilibrium dynamics. Storing too many hampers recall because frustration causes an exponential number of spurious patterns to arise as the network becomes a spin glass. Despite this, memory recall can be restored, and even enhanced, under quantum-optical nonequilibrium dynamics because spurious patterns can now serve as reliable memories. We experimentally observe associative memory with high storage capacity in a driven-dissipative spin glass made of atoms and photons. The capacity surpasses that of the Hopfield model under Hebbian learning by up to seven-fold in a sixteen-spin network. Atomic motion boosts capacity by dynamically modifying connectivity akin to short-term synaptic plasticity in neural networks, realizing a precursor to learning in a quantum-optical system.</w:t>
      </w:r>
    </w:p>
    <w:p>
      <w:pPr>
        <w:spacing w:before="120" w:after="120"/>
      </w:pPr>
      <w:r>
        <w:rPr>
          <w:sz w:val="18"/>
        </w:rPr>
        <w:t>——————————————————————————————————————————————————————————————————————</w:t>
      </w:r>
    </w:p>
    <w:p>
      <w:pPr>
        <w:spacing w:before="160" w:after="40" w:line="240" w:lineRule="auto"/>
      </w:pPr>
      <w:r>
        <w:rPr>
          <w:b/>
        </w:rPr>
        <w:t xml:space="preserve">[1376] </w:t>
      </w:r>
      <w:hyperlink r:id="rId2337">
        <w:r>
          <w:rPr>
            <w:color w:val="1155CC"/>
            <w:u w:val="single"/>
          </w:rPr>
          <w:t>利用纠缠重子-反重子系统测量Λ粒子电偶极矩</w:t>
        </w:r>
      </w:hyperlink>
    </w:p>
    <w:p>
      <w:pPr>
        <w:spacing w:before="0" w:after="80"/>
      </w:pPr>
      <w:r>
        <w:rPr>
          <w:i/>
          <w:sz w:val="20"/>
        </w:rPr>
        <w:t>EN: Measurement of the Λ electric dipole moment with an entangled baryon-antibaryon system</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38">
        <w:r>
          <w:rPr>
            <w:color w:val="1155CC"/>
            <w:u w:val="single"/>
          </w:rPr>
          <w:t>10.1126/science.adx7334</w:t>
        </w:r>
      </w:hyperlink>
    </w:p>
    <w:p>
      <w:pPr>
        <w:spacing w:before="0" w:after="120"/>
      </w:pPr>
      <w:r>
        <w:rPr>
          <w:b/>
        </w:rPr>
        <w:t xml:space="preserve">Notes: </w:t>
      </w:r>
      <w:r>
        <w:t>abstract_source=crossref</w:t>
      </w:r>
    </w:p>
    <w:p>
      <w:pPr>
        <w:spacing w:before="0" w:after="80" w:lineRule="auto" w:line="276"/>
      </w:pPr>
      <w:r>
        <w:rPr>
          <w:b/>
        </w:rPr>
        <w:t xml:space="preserve">摘要（ZH）: </w:t>
      </w:r>
      <w:r>
        <w:t>宇宙中物质相对反物质的主导地位一直推动着对违反电荷宇称对称性的标准模型之外的新物理学的追求。奇异重子（超子）仍然是一个很大程度上未被探索的领域，其中超子和新物理学粒子之间的相互作用可能会产生不平凡的电偶极矩（EDM）。然而，由于超子 EDM 的寿命较短，通过自旋进动直接测量超子 EDM 非常具有挑战性。在这项工作中，我们介绍了一种使用纠缠 Λ Λ ¯ 系统提取最轻超子 Λ 的 EDM 的方法。我们的结果与零一致，比 20 世纪 80 年代建立的可比统计数据上限提高了三个数量级，为潜在的新物理学提供了严格的约束。</w:t>
      </w:r>
    </w:p>
    <w:p>
      <w:pPr>
        <w:spacing w:before="0" w:after="200" w:lineRule="auto" w:line="276"/>
      </w:pPr>
      <w:r>
        <w:rPr>
          <w:b/>
        </w:rPr>
        <w:t xml:space="preserve">Abstract (EN): </w:t>
      </w:r>
      <w:r>
        <w:t>The dominance of matter over antimatter in the Universe has consistently driven the pursuit of new physics beyond the Standard Model that violates charge-parity symmetry. Strange baryons (hyperons) remain a largely unexplored territory in which interactions between hyperons and particles from new physics could induce a nontrivial electric dipole moment (EDM). However, direct measurements of hyperon EDMs through spin precession are highly challenging owing to their short lifetimes. In this work, we introduce a method to extract the EDM of the lightest hyperon, Λ, using the entangled Λ Λ ¯ system. Our result is consistent with zero, achieving a three-orders-of-magnitude improvement over the previous upper limit established in the 1980s with comparable statistics, providing stringent constraints on potential new physics.</w:t>
      </w:r>
    </w:p>
    <w:p>
      <w:pPr>
        <w:spacing w:before="120" w:after="120"/>
      </w:pPr>
      <w:r>
        <w:rPr>
          <w:sz w:val="18"/>
        </w:rPr>
        <w:t>——————————————————————————————————————————————————————————————————————</w:t>
      </w:r>
    </w:p>
    <w:p>
      <w:pPr>
        <w:spacing w:before="160" w:after="40" w:line="240" w:lineRule="auto"/>
      </w:pPr>
      <w:r>
        <w:rPr>
          <w:b/>
        </w:rPr>
        <w:t xml:space="preserve">[1377] </w:t>
      </w:r>
      <w:hyperlink r:id="rId2339">
        <w:r>
          <w:rPr>
            <w:color w:val="1155CC"/>
            <w:u w:val="single"/>
          </w:rPr>
          <w:t>肿瘤源性抗氧化物通过剥夺T细胞的活性氧抑制免疫</w:t>
        </w:r>
      </w:hyperlink>
    </w:p>
    <w:p>
      <w:pPr>
        <w:spacing w:before="0" w:after="80"/>
      </w:pPr>
      <w:r>
        <w:rPr>
          <w:i/>
          <w:sz w:val="20"/>
        </w:rPr>
        <w:t>EN: Tumor-derived antioxidants suppress immunity by depriving T cells of reactive oxygen species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40">
        <w:r>
          <w:rPr>
            <w:color w:val="1155CC"/>
            <w:u w:val="single"/>
          </w:rPr>
          <w:t>10.1126/science.adz8203</w:t>
        </w:r>
      </w:hyperlink>
    </w:p>
    <w:p>
      <w:pPr>
        <w:spacing w:before="0" w:after="120"/>
      </w:pPr>
      <w:r>
        <w:rPr>
          <w:b/>
        </w:rPr>
        <w:t xml:space="preserve">Notes: </w:t>
      </w:r>
      <w:r>
        <w:t>abstract_source=crossref</w:t>
      </w:r>
    </w:p>
    <w:p>
      <w:pPr>
        <w:spacing w:before="0" w:after="80" w:lineRule="auto" w:line="276"/>
      </w:pPr>
      <w:r>
        <w:rPr>
          <w:b/>
        </w:rPr>
        <w:t xml:space="preserve">摘要（ZH）: </w:t>
      </w:r>
      <w:r>
        <w:t>活性氧（ROS）会促进基因组不稳定性并促进癌症中的致癌信号传导，但抗氧化疗法迄今为止未能改善或恶化癌症结果。新数据表明，T 细胞依赖 ROS 进行信号转导。在这项研究中，我们证明肿瘤利用这种依赖性，将抗氧化酶释放到肿瘤环境中来抑制 T 细胞介导的抗肿瘤免疫。肿瘤间质液具有强大的抗氧化活性，与抗氧化酶过氧化还原蛋白 1 (PRDX1) 的富集有关。细胞外 PRDX1 剥夺 T 细胞的 ROS，防止 T 细胞受体驱动的激酶信号传导和效应器功能所需的磷酸酶氧化失活。 Prdx1 在癌症免疫编辑时上调，肿瘤内 PRDX1 的缺失可增强抗肿瘤免疫力和免疫治疗反应。这些发现定义了肿瘤免疫抑制的氧化还原依赖性机制，该机制可能适合治疗干预。</w:t>
      </w:r>
    </w:p>
    <w:p>
      <w:pPr>
        <w:spacing w:before="0" w:after="200" w:lineRule="auto" w:line="276"/>
      </w:pPr>
      <w:r>
        <w:rPr>
          <w:b/>
        </w:rPr>
        <w:t xml:space="preserve">Abstract (EN): </w:t>
      </w:r>
      <w:r>
        <w:t>Reactive oxygen species (ROS) promote genomic instability and fuel oncogenic signaling in cancer, but antioxidant therapies have so far failed to improve, or worsen, cancer outcomes. Emerging data suggest that T cells depend on ROS for signal transduction. In this study, we show that tumors exploit this dependency, releasing antioxidant enzymes into the tumor environment to suppress T cell–mediated antitumor immunity. The interstitial fluid of tumors possesses potent antioxidant activity, associated with enrichment of the antioxidant enzyme peroxiredoxin 1 (PRDX1). Extracellular PRDX1 deprives T cells of ROS, preventing oxidative inactivation of phosphatases required for T cell receptor–driven kinase signaling and effector function. Prdx1 is up-regulated upon cancer immunoediting, and loss of PRDX1 within tumors enhances antitumor immunity and immunotherapy responses. These findings define a redox-dependent mechanism of tumor immunosuppression that is potentially amenable to therapeutic intervention.</w:t>
      </w:r>
    </w:p>
    <w:p>
      <w:pPr>
        <w:spacing w:before="120" w:after="120"/>
      </w:pPr>
      <w:r>
        <w:rPr>
          <w:sz w:val="18"/>
        </w:rPr>
        <w:t>——————————————————————————————————————————————————————————————————————</w:t>
      </w:r>
    </w:p>
    <w:p>
      <w:pPr>
        <w:spacing w:before="160" w:after="40" w:line="240" w:lineRule="auto"/>
      </w:pPr>
      <w:r>
        <w:rPr>
          <w:b/>
        </w:rPr>
        <w:t xml:space="preserve">[1378] </w:t>
      </w:r>
      <w:hyperlink r:id="rId2341">
        <w:r>
          <w:rPr>
            <w:color w:val="1155CC"/>
            <w:u w:val="single"/>
          </w:rPr>
          <w:t>锁定取向的分子偶极子</w:t>
        </w:r>
      </w:hyperlink>
    </w:p>
    <w:p>
      <w:pPr>
        <w:spacing w:before="0" w:after="80"/>
      </w:pPr>
      <w:r>
        <w:rPr>
          <w:i/>
          <w:sz w:val="20"/>
        </w:rPr>
        <w:t>EN: Locking aligned molecular dipoles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42">
        <w:r>
          <w:rPr>
            <w:color w:val="1155CC"/>
            <w:u w:val="single"/>
          </w:rPr>
          <w:t>10.1126/science.aek6900</w:t>
        </w:r>
      </w:hyperlink>
    </w:p>
    <w:p>
      <w:pPr>
        <w:spacing w:before="0" w:after="120"/>
      </w:pPr>
      <w:r>
        <w:rPr>
          <w:b/>
        </w:rPr>
        <w:t xml:space="preserve">Notes: </w:t>
      </w:r>
      <w:r>
        <w:t>abstract_source=crossref</w:t>
      </w:r>
    </w:p>
    <w:p>
      <w:pPr>
        <w:spacing w:before="0" w:after="80" w:lineRule="auto" w:line="276"/>
      </w:pPr>
      <w:r>
        <w:rPr>
          <w:b/>
        </w:rPr>
        <w:t xml:space="preserve">摘要（ZH）: </w:t>
      </w:r>
      <w:r>
        <w:t>分子构建块自发组织成具有大表面电势的薄膜</w:t>
      </w:r>
    </w:p>
    <w:p>
      <w:pPr>
        <w:spacing w:before="0" w:after="200" w:lineRule="auto" w:line="276"/>
      </w:pPr>
      <w:r>
        <w:rPr>
          <w:b/>
        </w:rPr>
        <w:t xml:space="preserve">Abstract (EN): </w:t>
      </w:r>
      <w:r>
        <w:t>Molecular building blocks spontaneously organize into a thin film with a large surface potential</w:t>
      </w:r>
    </w:p>
    <w:p>
      <w:pPr>
        <w:spacing w:before="120" w:after="120"/>
      </w:pPr>
      <w:r>
        <w:rPr>
          <w:sz w:val="18"/>
        </w:rPr>
        <w:t>——————————————————————————————————————————————————————————————————————</w:t>
      </w:r>
    </w:p>
    <w:p>
      <w:pPr>
        <w:spacing w:before="160" w:after="40" w:line="240" w:lineRule="auto"/>
      </w:pPr>
      <w:r>
        <w:rPr>
          <w:b/>
        </w:rPr>
        <w:t xml:space="preserve">[1379] </w:t>
      </w:r>
      <w:hyperlink r:id="rId2343">
        <w:r>
          <w:rPr>
            <w:color w:val="1155CC"/>
            <w:u w:val="single"/>
          </w:rPr>
          <w:t>生命早期艰难梭菌定植重塑发育中的肠道</w:t>
        </w:r>
      </w:hyperlink>
    </w:p>
    <w:p>
      <w:pPr>
        <w:spacing w:before="0" w:after="80"/>
      </w:pPr>
      <w:r>
        <w:rPr>
          <w:i/>
          <w:sz w:val="20"/>
        </w:rPr>
        <w:t>EN: Early-life colonization with Clostridioides difficile remodels the developing gut</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44">
        <w:r>
          <w:rPr>
            <w:color w:val="1155CC"/>
            <w:u w:val="single"/>
          </w:rPr>
          <w:t>10.1126/science.ady2886</w:t>
        </w:r>
      </w:hyperlink>
    </w:p>
    <w:p>
      <w:pPr>
        <w:spacing w:before="0" w:after="120"/>
      </w:pPr>
      <w:r>
        <w:rPr>
          <w:b/>
        </w:rPr>
        <w:t xml:space="preserve">Notes: </w:t>
      </w:r>
      <w:r>
        <w:t>abstract_source=crossref</w:t>
      </w:r>
    </w:p>
    <w:p>
      <w:pPr>
        <w:spacing w:before="0" w:after="80" w:lineRule="auto" w:line="276"/>
      </w:pPr>
      <w:r>
        <w:rPr>
          <w:b/>
        </w:rPr>
        <w:t xml:space="preserve">摘要（ZH）: </w:t>
      </w:r>
      <w:r>
        <w:t>艰难梭菌会在成人中引起严重疾病，但通常在无症状的情况下定植于婴儿。生命早期定植对宿主发育的影响仍然未知。在新生小鼠模型中，艰难梭菌定植促进了肠上皮的促炎和组织修复反应，丰富了损伤相关的肠干细胞群，并使分化偏向分泌谱系。尽管有短暂的定植，但生命早期接触艰难梭菌会导致成年后的持续变化。上皮反应是毒素依赖性的，因为非产毒菌株的定植或母体接种艰难梭菌靶向信使 RNA-脂质纳米颗粒疫苗可以保护新生儿。人类婴儿肠上皮细胞对艰难梭菌毒素敏感，定植婴儿的活检显示肠干细胞行为发生改变。这项研究将艰难梭菌重新定义为一种未被充分认识的早期病原体，对宿主发育具有持久影响。</w:t>
      </w:r>
    </w:p>
    <w:p>
      <w:pPr>
        <w:spacing w:before="0" w:after="200" w:lineRule="auto" w:line="276"/>
      </w:pPr>
      <w:r>
        <w:rPr>
          <w:b/>
        </w:rPr>
        <w:t xml:space="preserve">Abstract (EN): </w:t>
      </w:r>
      <w:r>
        <w:t>Clostridioides difficile causes severe disease in adults but commonly colonizes infants asymptomatically. The consequences of early-life colonization on host development remain unknown. In a neonatal mouse model, C. difficile colonization drove proinflammatory and tissue repair responses in the intestinal epithelium, enriching injury-associated intestinal stem cell populations and skewing differentiation toward secretory lineages. Despite transient colonization, exposure to C. difficile early in life led to persistent changes into adulthood. Epithelial responses were toxin dependent, as colonization with nontoxigenic strains or maternal vaccination with a C. difficile –targeted messenger RNA–lipid nanoparticle vaccine protected neonates. Human infant intestinal epithelial cells were sensitive to C. difficile toxins, and biopsies from colonized infants exhibited altered intestinal stem cell behavior. This study redefines C. difficile as an underappreciated early-life pathogen with lasting effects on host development.</w:t>
      </w:r>
    </w:p>
    <w:p>
      <w:pPr>
        <w:spacing w:before="120" w:after="120"/>
      </w:pPr>
      <w:r>
        <w:rPr>
          <w:sz w:val="18"/>
        </w:rPr>
        <w:t>——————————————————————————————————————————————————————————————————————</w:t>
      </w:r>
    </w:p>
    <w:p>
      <w:pPr>
        <w:spacing w:before="160" w:after="40" w:line="240" w:lineRule="auto"/>
      </w:pPr>
      <w:r>
        <w:rPr>
          <w:b/>
        </w:rPr>
        <w:t xml:space="preserve">[1380] </w:t>
      </w:r>
      <w:hyperlink r:id="rId2345">
        <w:r>
          <w:rPr>
            <w:color w:val="1155CC"/>
            <w:u w:val="single"/>
          </w:rPr>
          <w:t>微管结合区域内赖氨酸残基294和311的修饰改变Tau蛋白聚集与微管蛋白结合平衡</w:t>
        </w:r>
      </w:hyperlink>
    </w:p>
    <w:p>
      <w:pPr>
        <w:spacing w:before="0" w:after="80"/>
      </w:pPr>
      <w:r>
        <w:rPr>
          <w:i/>
          <w:sz w:val="20"/>
        </w:rPr>
        <w:t>EN: Modifications of Lysine Residues 294 and 311 Within the Microtubule‐Binding Region Alter Tau Aggregation and Tubulin Binding Equilibria</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2346">
        <w:r>
          <w:rPr>
            <w:color w:val="1155CC"/>
            <w:u w:val="single"/>
          </w:rPr>
          <w:t>10.1002/anie.1521091</w:t>
        </w:r>
      </w:hyperlink>
    </w:p>
    <w:p>
      <w:pPr>
        <w:spacing w:before="0" w:after="120"/>
      </w:pPr>
      <w:r>
        <w:rPr>
          <w:b/>
        </w:rPr>
        <w:t xml:space="preserve">Notes: </w:t>
      </w:r>
      <w:r>
        <w:t>abstract_source=crossref</w:t>
      </w:r>
    </w:p>
    <w:p>
      <w:pPr>
        <w:spacing w:before="0" w:after="80" w:lineRule="auto" w:line="276"/>
      </w:pPr>
      <w:r>
        <w:rPr>
          <w:b/>
        </w:rPr>
        <w:t xml:space="preserve">摘要（ZH）: </w:t>
      </w:r>
      <w:r>
        <w:t>摘要 微管相关蛋白 Tau 的功能障碍是阿尔茨海默病和相关 tau 病的一个核心特征，但位点特异性赖氨酸修饰如何调节 Tau 的功能和病理状态仍知之甚少。在这里，我们将蛋白质半合成与全长 Tau 的片段同位素标记和核磁共振波谱相结合，剖析 Tau 微管结合区域内的赖氨酸乙酰化和羧甲基化如何调节其与微管蛋白、微管和淀粉样蛋白组装的相互作用。赖氨酸 294 的位点特异性修饰可延迟 Tau 介导的微管蛋白聚合和原纤维形成，而赖氨酸 311 的乙酰化则发挥更温和的作用，但会改变原纤维形态。片段同位素标记的 Tau 变体的核磁共振波谱表明，单个赖氨酸乙酰化不会明显削弱 Tau 与预先形成的微管的结合；然而，二价乙酰化可能通过累积电荷中和来减少微管结合。总之，这些结果表明赖氨酸乙酰化以位点和价态依赖的方式在功能状态之间重新分配 Tau。我们的研究有助于建立一个将组合赖氨酸修饰与 Tau 功能障碍联系起来的机制框架，并强调区域解析结构方法在破译本质无序蛋白质中翻译后修饰依赖性平衡的效用。</w:t>
      </w:r>
    </w:p>
    <w:p>
      <w:pPr>
        <w:spacing w:before="0" w:after="200" w:lineRule="auto" w:line="276"/>
      </w:pPr>
      <w:r>
        <w:rPr>
          <w:b/>
        </w:rPr>
        <w:t xml:space="preserve">Abstract (EN): </w:t>
      </w:r>
      <w:r>
        <w:t>Dysfunction of the microtubule‐associated protein Tau is a central feature of Alzheimer's disease and related tauopathies, yet how site‐specific lysine modifications modulate the functional and pathological states of Tau remains poorly understood. Here, we combine protein semi‐synthesis with segmental isotope labelling and NMR spectroscopy of full‐length Tau, to dissect how lysine acetylation and carboxymethylation within the microtubule‐binding region of Tau regulate its interactions with tubulin, microtubules, and amyloid assembly. Site‐specific modification at lysine 294 delays Tau‐mediated tubulin polymerization and fibril formation, whereas acetylation at lysine 311 exerts more moderate effects, but alters fibril morphology. NMR spectroscopy of segmentally isotope‐labelled Tau variants indicates that single lysine acetylation does not measurably weaken Tau binding to pre‐formed microtubules; however, bivalent acetylation reduces microtubule binding, possibly by cumulative charge neutralization. Together, these results indicate that lysine acetylation redistributes Tau between functional states in a site‐ and valency‐dependent manner. Our study helps to establish a mechanistic framework linking combinatorial lysine modifications to Tau dysfunction and highlights the utility of region‐resolved structural approaches to decipher posttranslational modification–dependent equilibria in intrinsically disordered proteins.</w:t>
      </w:r>
    </w:p>
    <w:p>
      <w:pPr>
        <w:spacing w:before="120" w:after="120"/>
      </w:pPr>
      <w:r>
        <w:rPr>
          <w:sz w:val="18"/>
        </w:rPr>
        <w:t>——————————————————————————————————————————————————————————————————————</w:t>
      </w:r>
    </w:p>
    <w:p>
      <w:pPr>
        <w:spacing w:before="160" w:after="40" w:line="240" w:lineRule="auto"/>
      </w:pPr>
      <w:r>
        <w:rPr>
          <w:b/>
        </w:rPr>
        <w:t xml:space="preserve">[1381] </w:t>
      </w:r>
      <w:hyperlink r:id="rId2347">
        <w:r>
          <w:rPr>
            <w:color w:val="1155CC"/>
            <w:u w:val="single"/>
          </w:rPr>
          <w:t>双重锁定策略实现铝-吡咯骨架对间二甲苯的高选择性分离</w:t>
        </w:r>
      </w:hyperlink>
    </w:p>
    <w:p>
      <w:pPr>
        <w:spacing w:before="0" w:after="80"/>
      </w:pPr>
      <w:r>
        <w:rPr>
          <w:i/>
          <w:sz w:val="20"/>
        </w:rPr>
        <w:t>EN: A Dual Locking Strategy Enables Highly Selective meta ‐Xylene Separation With an Aluminum‐Pyrrolic Framework</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2348">
        <w:r>
          <w:rPr>
            <w:color w:val="1155CC"/>
            <w:u w:val="single"/>
          </w:rPr>
          <w:t>10.1002/anie.4842714</w:t>
        </w:r>
      </w:hyperlink>
    </w:p>
    <w:p>
      <w:pPr>
        <w:spacing w:before="0" w:after="120"/>
      </w:pPr>
      <w:r>
        <w:rPr>
          <w:b/>
        </w:rPr>
        <w:t xml:space="preserve">Notes: </w:t>
      </w:r>
      <w:r>
        <w:t>abstract_source=crossref</w:t>
      </w:r>
    </w:p>
    <w:p>
      <w:pPr>
        <w:spacing w:before="0" w:after="80" w:lineRule="auto" w:line="276"/>
      </w:pPr>
      <w:r>
        <w:rPr>
          <w:b/>
        </w:rPr>
        <w:t xml:space="preserve">摘要（ZH）: </w:t>
      </w:r>
      <w:r>
        <w:t>摘要 由于二甲苯异构体几乎相同的物理化学性质，有效分离二甲苯异构体仍然是一个重大挑战。在这里，我们报告了铝-吡咯框架（Al-PyDC）中的双重锁定策略，其V形配体具有AlO 6 链和吡咯双重识别位点，可同时稳定V形间二甲苯（mX）。这种双重锁定效应促进了mX在有限通道内的密集堆积，从而导致mX（4.0 mmol g -1 ）的高吸附容量，远高于邻二甲苯（oX，2.5 mmol g -1 ）和对二甲苯（pX，2.0 mmol g -1 ）。模拟和固态核磁共振波谱进一步证实，与 pX 相比，mX 与 AlO 6 链和吡咯配体具有更强的锁定相互作用。值得注意的是，双重锁定效应是温度依赖性的，升高的温度会加速分子扩散，从而削弱识别的有效性。因此，Al-PyDC 在环境温度（303 K）下的气相突破测量中实现了 8.0 的优异 mX/pX 选择性，优于大多数 MOF 同类产品。此外，采用具有V形AlO 6 -苯基-AlO 6 双锁定位点的同构CAU-10-H作为对照材料来阐明活性位点在分子识别中的作用。这种双重锁定策略为增强具有挑战性的异构体分离的吸附能力和选择性提供了有效的方法。</w:t>
      </w:r>
    </w:p>
    <w:p>
      <w:pPr>
        <w:spacing w:before="0" w:after="200" w:lineRule="auto" w:line="276"/>
      </w:pPr>
      <w:r>
        <w:rPr>
          <w:b/>
        </w:rPr>
        <w:t xml:space="preserve">Abstract (EN): </w:t>
      </w:r>
      <w:r>
        <w:t>Efficient separation of xylene isomers remains a significant challenge due to their nearly identical physicochemical properties. Here, we report a dual locking strategy in an aluminum–pyrrolic framework (Al‐PyDC) with V‐shaped ligand featured AlO 6 chains and pyrrole dual recognition sites that simultaneously stabilize the V‐shaped meta ‐xylene (mX). This dual‐locking effect promotes dense packing of mX within confined channels, resulting in a high adsorption capacity for mX (4.0 mmol g −1 ), which is much higher than that for ortho ‐xylene (oX, 2.5 mmol g −1 ) and para ‐xylene (pX, 2.0 mmol g −1 ). The simulations and solid‐state NMR spectroscopy further confirmed that mX experienced stronger locking interactions with the AlO 6 chains and pyrrolic ligands compared to pX. Notably, the dual locking effect was temperature‐dependent, and elevated temperature accelerated molecular diffusion, thereby weakening the effectiveness of the recognition. Hence, Al‐PyDC achieved an excellent mX/pX selectivity of 8.0 in vapor‐phase breakthrough measurements at ambient temperature (303 K), which outperformed most of the MOF counterparts. Additionally, the isomorphic CAU‐10‐H with V‐shaped AlO 6 –phenyl–AlO 6 dual locking sites was employed as a control material to elucidate the role of active‐site in molecular recognition. This dual locking strategy offered an effective approach for enhancing the adsorption capacity and selectivity for challenging isomer separations.</w:t>
      </w:r>
    </w:p>
    <w:p>
      <w:pPr>
        <w:spacing w:before="120" w:after="120"/>
      </w:pPr>
      <w:r>
        <w:rPr>
          <w:sz w:val="18"/>
        </w:rPr>
        <w:t>——————————————————————————————————————————————————————————————————————</w:t>
      </w:r>
    </w:p>
    <w:p>
      <w:pPr>
        <w:spacing w:before="160" w:after="40" w:line="240" w:lineRule="auto"/>
      </w:pPr>
      <w:r>
        <w:rPr>
          <w:b/>
        </w:rPr>
        <w:t xml:space="preserve">[1382] </w:t>
      </w:r>
      <w:hyperlink r:id="rId2349">
        <w:r>
          <w:rPr>
            <w:color w:val="1155CC"/>
            <w:u w:val="single"/>
          </w:rPr>
          <w:t>来自珊瑚来源细菌的广谱细胞包膜活性Marinocyclin抗生素对多粘菌素耐药菌有效</w:t>
        </w:r>
      </w:hyperlink>
    </w:p>
    <w:p>
      <w:pPr>
        <w:spacing w:before="0" w:after="80"/>
      </w:pPr>
      <w:r>
        <w:rPr>
          <w:i/>
          <w:sz w:val="20"/>
        </w:rPr>
        <w:t>EN: Broad‐Spectrum, Cell Envelope‐Active Marinocyclin Antibiotics From a Coral‐Derived Bacterium Are Effective Against Colistin‐Resistant Bacteria</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2350">
        <w:r>
          <w:rPr>
            <w:color w:val="1155CC"/>
            <w:u w:val="single"/>
          </w:rPr>
          <w:t>10.1002/anie.7705008</w:t>
        </w:r>
      </w:hyperlink>
    </w:p>
    <w:p>
      <w:pPr>
        <w:spacing w:before="0" w:after="120"/>
      </w:pPr>
      <w:r>
        <w:rPr>
          <w:b/>
        </w:rPr>
        <w:t xml:space="preserve">Notes: </w:t>
      </w:r>
      <w:r>
        <w:t>abstract_source=crossref</w:t>
      </w:r>
    </w:p>
    <w:p>
      <w:pPr>
        <w:spacing w:before="0" w:after="80" w:lineRule="auto" w:line="276"/>
      </w:pPr>
      <w:r>
        <w:rPr>
          <w:b/>
        </w:rPr>
        <w:t xml:space="preserve">摘要（ZH）: </w:t>
      </w:r>
      <w:r>
        <w:t>摘要 海洋细菌属 Aquimarina 包含多种成员，具有大量天然产物生物合成基因簇，但特征化合物很少。在这里，我们报告了一类具有特殊抗生素活性的新型脂肽，称为 marinocyclins，从与八珊瑚 Eunicella labiata 相关的 Aquimarina megaterium EL43 中分离出来。主要同源物 marinocyclin A 对多种耐药革兰氏阴性和革兰氏阳性病原体（包括 ESKAPE 细菌）表现出有效且一致的活性。该天然产物有效地破坏了细菌的外膜和内膜，导致细胞快速透化和裂解。这种活性特征是由结合脂多糖、富含细菌膜的阴离子磷脂和肽聚糖前体的能力介导的。真核细胞毒性需要比抗菌活性更高的剂量。基因组数据表明马林环素的非核糖体生物合成起源。这些发现将 marinocyclins 定位为一种有前景的抗生素开发新支架，并凸显了 Aquimarina spp 的潜力。作为新型抗生素的来源。马林环素的进一步药物化学优化可以增强其原核选择性，以产生治疗耐药病原体引起的感染的先导化合物。</w:t>
      </w:r>
    </w:p>
    <w:p>
      <w:pPr>
        <w:spacing w:before="0" w:after="200" w:lineRule="auto" w:line="276"/>
      </w:pPr>
      <w:r>
        <w:rPr>
          <w:b/>
        </w:rPr>
        <w:t xml:space="preserve">Abstract (EN): </w:t>
      </w:r>
      <w:r>
        <w:t>The marine bacterial genus Aquimarina comprises diverse members with numerous natural product biosynthetic gene clusters but few characterized compounds. Here we report a novel class of lipopeptides with exceptional antibiotic activity, named marinocyclins, isolated from Aquimarina megaterium EL43 associated with the octocoral Eunicella labiata . The major congener marinocyclin A exhibited potent and uniform activity against a broad panel of drug‐resistant gram‐negative and gram‐positive pathogens, including ESKAPE bacteria. The natural product efficiently compromised the outer and inner bacterial membranes, leading to rapid cell permeabilization and lysis. This activity profile was mediated by the ability to bind lipopolysaccharides, anionic phospholipids enriched in bacterial membranes, and peptidoglycan precursors. Eukaryotic cytotoxicity required higher doses than antibacterial activity. Genomic data suggest a nonribosomal biosynthetic origin for marinocyclins. These findings position marinocyclins as a promising new scaffold for antibiotic development and highlight the potential of Aquimarina spp. as a source of novel antibiotics. Further medicinal chemistry optimization of marinocyclins could enhance their prokaryotic selectivity to generate leads for treating infections caused by drug‐resistant pathogens.</w:t>
      </w:r>
    </w:p>
    <w:p>
      <w:pPr>
        <w:spacing w:before="120" w:after="120"/>
      </w:pPr>
      <w:r>
        <w:rPr>
          <w:sz w:val="18"/>
        </w:rPr>
        <w:t>——————————————————————————————————————————————————————————————————————</w:t>
      </w:r>
    </w:p>
    <w:p>
      <w:pPr>
        <w:spacing w:before="160" w:after="40" w:line="240" w:lineRule="auto"/>
      </w:pPr>
      <w:r>
        <w:rPr>
          <w:b/>
        </w:rPr>
        <w:t xml:space="preserve">[1383] </w:t>
      </w:r>
      <w:hyperlink r:id="rId2351">
        <w:r>
          <w:rPr>
            <w:color w:val="1155CC"/>
            <w:u w:val="single"/>
          </w:rPr>
          <w:t>未培养的疣微菌门共生体的非经典Peloruside A生物合成</w:t>
        </w:r>
      </w:hyperlink>
    </w:p>
    <w:p>
      <w:pPr>
        <w:spacing w:before="0" w:after="80"/>
      </w:pPr>
      <w:r>
        <w:rPr>
          <w:i/>
          <w:sz w:val="20"/>
        </w:rPr>
        <w:t>EN: Noncanonical Peloruside A Biosynthesis by an Uncultivated Verrucomicrobiota Symbiont</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2352">
        <w:r>
          <w:rPr>
            <w:color w:val="1155CC"/>
            <w:u w:val="single"/>
          </w:rPr>
          <w:t>10.1002/anie.2011872</w:t>
        </w:r>
      </w:hyperlink>
    </w:p>
    <w:p>
      <w:pPr>
        <w:spacing w:before="0" w:after="120"/>
      </w:pPr>
      <w:r>
        <w:rPr>
          <w:b/>
        </w:rPr>
        <w:t xml:space="preserve">Notes: </w:t>
      </w:r>
      <w:r>
        <w:t>abstract_source=crossref</w:t>
      </w:r>
    </w:p>
    <w:p>
      <w:pPr>
        <w:spacing w:before="0" w:after="80" w:lineRule="auto" w:line="276"/>
      </w:pPr>
      <w:r>
        <w:rPr>
          <w:b/>
        </w:rPr>
        <w:t xml:space="preserve">摘要（ZH）: </w:t>
      </w:r>
      <w:r>
        <w:t>摘要 Peloruside A 是一种在海洋海绵 Mycale hentscheli 中发现的聚酮化合物大环内酯，由于其能够稳定非紫杉烷结合位点的微管蛋白，因此是一种有前途的抗癌药物候选物。人们做出了大量努力，通过化学合成和海水养殖来改善这种稀缺物质的供应，但尚未实现可持续生产。最近的微生物组测序表明，细菌生产者负责所有 M. hentscheli 生物活性化合物的产生，但 Peloruside 生产者的身份仍然未知。此外，在计算机中鉴定了一种候选的盘苷聚酮合酶（PKS），但其高度异常的结构阻碍了对药理学上重要的环外双键的可靠生物合成预测。在这里，我们揭示了一个异常复杂的模块化 PKS 途径，包括非延长酮合酶 (KS)、两种内部硫酯酶 (TE) 和乙酰辅酶 A 连接酶，该连接酶协调 ​​O 乙酰化/消除、乙酰辅酶 A 回收和构型校对以促进选择性 Z 双键掺入。第一个内部 TE 属于先前表征的 O 酰化 TE 家族，但包含促进双功能酰化/消除活性的关键氨基酸取代。此外，我们确定了 Peloruside 的生产者为“Candidatus Pelorusia oculta”，它是疣微生物门中生化尚未充分探索的 Lentisphaeria 类的成员。本工作为异源海藻苷的生产提供了生化和微生物学基础。</w:t>
      </w:r>
    </w:p>
    <w:p>
      <w:pPr>
        <w:spacing w:before="0" w:after="200" w:lineRule="auto" w:line="276"/>
      </w:pPr>
      <w:r>
        <w:rPr>
          <w:b/>
        </w:rPr>
        <w:t xml:space="preserve">Abstract (EN): </w:t>
      </w:r>
      <w:r>
        <w:t>Peloruside A, a polyketide macrolide identified in the marine sponge Mycale hentscheli , is a promising anticancer drug candidate due to its ability to stabilize tubulin at a nontaxoid binding site. Substantial efforts were made to improve the supply of this scarce substance through chemical synthesis and mariculture, however, sustainable production has yet to be achieved. Recent microbiome sequencing suggested that bacterial producers are responsible for all M. hentscheli bioactive compounds, but the identity of the peloruside producer remained unknown. Furthermore, a candidate peloruside polyketide synthase (PKS) was identified in silico, but its highly aberrant architecture prevented a confident biosynthetic prediction for the pharmacologically important exocyclic double bond. Here, we reveal an unusually complex modular PKS pathway comprising nonelongating ketosynthases (KSs), two internal thioesterases (TEs), and an acetyl coenzyme A ligase that orchestrate O ‐acetylation/elimination, acetyl‐CoA recycling, and configurational proof‐reading to facilitate selective Z ‐double bond incorporation. The first internal TE falls into a previously characterized O ‐acylating TE family but contains key amino acid substitutions that facilitate bifunctional acylation/elimination activity. Furthermore, we identified the peloruside producer as ‘ Candidatus Pelorusia occulta’, a member of the biochemically underexplored Lentisphaeria class within the phylum Verrucomicrobiota. This work provides the biochemical and microbiological foundation for heterologous peloruside production.</w:t>
      </w:r>
    </w:p>
    <w:p>
      <w:pPr>
        <w:spacing w:before="120" w:after="120"/>
      </w:pPr>
      <w:r>
        <w:rPr>
          <w:sz w:val="18"/>
        </w:rPr>
        <w:t>——————————————————————————————————————————————————————————————————————</w:t>
      </w:r>
    </w:p>
    <w:p>
      <w:pPr>
        <w:spacing w:before="160" w:after="40" w:line="240" w:lineRule="auto"/>
      </w:pPr>
      <w:r>
        <w:rPr>
          <w:b/>
        </w:rPr>
        <w:t xml:space="preserve">[1384] </w:t>
      </w:r>
      <w:hyperlink r:id="rId2353">
        <w:r>
          <w:rPr>
            <w:color w:val="1155CC"/>
            <w:u w:val="single"/>
          </w:rPr>
          <w:t>在钙钛矿铁电体中实现全波长光激发热电用于长波红外探测</w:t>
        </w:r>
      </w:hyperlink>
    </w:p>
    <w:p>
      <w:pPr>
        <w:spacing w:before="0" w:after="80"/>
      </w:pPr>
      <w:r>
        <w:rPr>
          <w:i/>
          <w:sz w:val="20"/>
        </w:rPr>
        <w:t>EN: Achieve the Full‐Wavelength Photoexcited Pyroelectricity in Perovskite Ferroelectric for Long‐Wave Infrared Detection</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2354">
        <w:r>
          <w:rPr>
            <w:color w:val="1155CC"/>
            <w:u w:val="single"/>
          </w:rPr>
          <w:t>10.1002/anie.1197888</w:t>
        </w:r>
      </w:hyperlink>
    </w:p>
    <w:p>
      <w:pPr>
        <w:spacing w:before="0" w:after="120"/>
      </w:pPr>
      <w:r>
        <w:rPr>
          <w:b/>
        </w:rPr>
        <w:t xml:space="preserve">Notes: </w:t>
      </w:r>
      <w:r>
        <w:t>abstract_source=crossref</w:t>
      </w:r>
    </w:p>
    <w:p>
      <w:pPr>
        <w:spacing w:before="0" w:after="80" w:lineRule="auto" w:line="276"/>
      </w:pPr>
      <w:r>
        <w:rPr>
          <w:b/>
        </w:rPr>
        <w:t xml:space="preserve">摘要（ZH）: </w:t>
      </w:r>
      <w:r>
        <w:t>摘要：铁电材料已成为一类有前途的光电候选材料，因为它们具有强光偏振耦合，可产生令人着迷的物理属性。特别是，源自光致自发偏振（ P s ）变化的光激发热释电具有超宽带光电探测甚至长波红外光学区域的潜力。我们首次在二维钙钛矿铁电体 (4-乙基苯胺) 2 (乙基铵) 2 Pb 3 Br 10 (1) 中呈现全波长可切换的光生热释电效应，覆盖紫外到长波红外光谱范围。它是一种高温铁电体（T c = 390 K），具有优异的热电性，包括大的热电系数和品质因数。引人注目的是，在从紫外线（266 nm）到长波红外（12.5 µm）区域的照射下，1 中获得了鲁棒的全波长光激发热释电响应，远远超出了其固有的光学带隙。这些 P s 依赖的光活性可以通过电极化进行电切换和控制。因此，基于晶体的器件 1 可以实现超宽带光电探测，这一点已通过对人体辐射的高灵敏响应得到验证。作为第一份关于钙钛矿铁电体全波长光激发热释电的报告，我们的研究强调了新一代宽带光电器件的一种有前景的策略。</w:t>
      </w:r>
    </w:p>
    <w:p>
      <w:pPr>
        <w:spacing w:before="0" w:after="200" w:lineRule="auto" w:line="276"/>
      </w:pPr>
      <w:r>
        <w:rPr>
          <w:b/>
        </w:rPr>
        <w:t xml:space="preserve">Abstract (EN): </w:t>
      </w:r>
      <w:r>
        <w:t>Ferroelectric materials have emerged as a promising class of optoelectronic candidates, due to their strong light‐polarization couplings that lead to fascinating physical attributes. Especially, photoexcited pyroelectricity originating from light‐induced variation of spontaneous polarization ( P s ) holds potentials for ultra‐broadband photodetection even up to long‐wave infrared optical region. For the first time, we present the full‐wavelength switchable photoexcited pyroelectric effects in a two‐dimensional perovskite ferroelectric, (4‐ethylanilinium) 2 (ethylammonium) 2 Pb 3 Br 10 ( 1 ), covering ultraviolet to long‐wave infrared spectral range. It is a high‐temperature ferroelectric ( T c = 390 K) with superior pyroelectricity, including large pyroelectric coefficients and figure‐of‐merits. Strikingly, robust full‐wavelength photoexcited pyroelectric responses are obtained in 1 under irradiation from ultraviolet (266 nm) to long‐wave infrared (12.5 µm) region, far beyond its intrinsic optical bandgap. These P s ‐dependent photoactivities can be electrically switched and controlled by electric poling. Thus, crystal‐based device of 1 allows ultrabroadband photodetection, as verified by highly‐sensitive response to human radiation. As the first report on full‐wavelength photoexcited pyroelectricity in perovskite ferroelectrics, our study highlights a promising strategy for new‐generation broadband optoelectronic devices.</w:t>
      </w:r>
    </w:p>
    <w:p>
      <w:pPr>
        <w:spacing w:before="120" w:after="120"/>
      </w:pPr>
      <w:r>
        <w:rPr>
          <w:sz w:val="18"/>
        </w:rPr>
        <w:t>——————————————————————————————————————————————————————————————————————</w:t>
      </w:r>
    </w:p>
    <w:p>
      <w:pPr>
        <w:spacing w:before="160" w:after="40" w:line="240" w:lineRule="auto"/>
      </w:pPr>
      <w:r>
        <w:rPr>
          <w:b/>
        </w:rPr>
        <w:t xml:space="preserve">[1385] </w:t>
      </w:r>
      <w:hyperlink r:id="rId2355">
        <w:r>
          <w:rPr>
            <w:color w:val="1155CC"/>
            <w:u w:val="single"/>
          </w:rPr>
          <w:t>为重工业构建可扩展的气候联盟</w:t>
        </w:r>
      </w:hyperlink>
    </w:p>
    <w:p>
      <w:pPr>
        <w:spacing w:before="0" w:after="80"/>
      </w:pPr>
      <w:r>
        <w:rPr>
          <w:i/>
          <w:sz w:val="20"/>
        </w:rPr>
        <w:t>EN: Building a scalable climate coalition for heavy industry</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56">
        <w:r>
          <w:rPr>
            <w:color w:val="1155CC"/>
            <w:u w:val="single"/>
          </w:rPr>
          <w:t>10.1126/science.aef7190</w:t>
        </w:r>
      </w:hyperlink>
    </w:p>
    <w:p>
      <w:pPr>
        <w:spacing w:before="0" w:after="120"/>
      </w:pPr>
      <w:r>
        <w:rPr>
          <w:b/>
        </w:rPr>
        <w:t xml:space="preserve">Notes: </w:t>
      </w:r>
      <w:r>
        <w:t>abstract_source=crossref</w:t>
      </w:r>
    </w:p>
    <w:p>
      <w:pPr>
        <w:spacing w:before="0" w:after="80" w:lineRule="auto" w:line="276"/>
      </w:pPr>
      <w:r>
        <w:rPr>
          <w:b/>
        </w:rPr>
        <w:t xml:space="preserve">摘要（ZH）: </w:t>
      </w:r>
      <w:r>
        <w:t>可以减少排放，对生产影响最小，同时产生数十亿美元的公共收入</w:t>
      </w:r>
    </w:p>
    <w:p>
      <w:pPr>
        <w:spacing w:before="0" w:after="200" w:lineRule="auto" w:line="276"/>
      </w:pPr>
      <w:r>
        <w:rPr>
          <w:b/>
        </w:rPr>
        <w:t xml:space="preserve">Abstract (EN): </w:t>
      </w:r>
      <w:r>
        <w:t>Emissions could be reduced, with minimal impact on production, while generating billions in public revenues</w:t>
      </w:r>
    </w:p>
    <w:p>
      <w:pPr>
        <w:spacing w:before="120" w:after="120"/>
      </w:pPr>
      <w:r>
        <w:rPr>
          <w:sz w:val="18"/>
        </w:rPr>
        <w:t>——————————————————————————————————————————————————————————————————————</w:t>
      </w:r>
    </w:p>
    <w:p>
      <w:pPr>
        <w:spacing w:before="160" w:after="40" w:line="240" w:lineRule="auto"/>
      </w:pPr>
      <w:r>
        <w:rPr>
          <w:b/>
        </w:rPr>
        <w:t xml:space="preserve">[1386] </w:t>
      </w:r>
      <w:hyperlink r:id="rId2357">
        <w:r>
          <w:rPr>
            <w:color w:val="1155CC"/>
            <w:u w:val="single"/>
          </w:rPr>
          <w:t>杂化铌氧化物氟化物中的可逆对称性切换、巨双折射与紫外二次谐波产生</w:t>
        </w:r>
      </w:hyperlink>
    </w:p>
    <w:p>
      <w:pPr>
        <w:spacing w:before="0" w:after="80"/>
      </w:pPr>
      <w:r>
        <w:rPr>
          <w:i/>
          <w:sz w:val="20"/>
        </w:rPr>
        <w:t>EN: Reversible Symmetry Switching, Giant Birefringence, and UV Second‐Harmonic Generation in Hybrid Niobium Oxyfluorides</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2358">
        <w:r>
          <w:rPr>
            <w:color w:val="1155CC"/>
            <w:u w:val="single"/>
          </w:rPr>
          <w:t>10.1002/anie.9788311</w:t>
        </w:r>
      </w:hyperlink>
    </w:p>
    <w:p>
      <w:pPr>
        <w:spacing w:before="0" w:after="120"/>
      </w:pPr>
      <w:r>
        <w:rPr>
          <w:b/>
        </w:rPr>
        <w:t xml:space="preserve">Notes: </w:t>
      </w:r>
      <w:r>
        <w:t>abstract_source=crossref</w:t>
      </w:r>
    </w:p>
    <w:p>
      <w:pPr>
        <w:spacing w:before="0" w:after="80" w:lineRule="auto" w:line="276"/>
      </w:pPr>
      <w:r>
        <w:rPr>
          <w:b/>
        </w:rPr>
        <w:t xml:space="preserve">摘要（ZH）: </w:t>
      </w:r>
      <w:r>
        <w:t>摘要：同时表现出大光学各向异性和宽带隙的双折射晶体对于先进光子技术来说是非常理想的，但这些特性通常是相互制约的，因为增强双折射的结构特征通常会损害光学透明度。在此，我们报告了四种新的杂化铌氟氧化物菲咯啉化合物，[Hphen]NbOF 4 ∙H 2 O ( NP1 )、α-[Hphen]NbOF 4 ( NP2 )、β-[Hphen]NbOF 4 ( NP3 ) 和 [Hphen] 2 NbOF 5 ( NP4 )，这是通过合成条件的系统变化获得的。中心对称水合相 NP1 的热脱水通过可逆晶体间转变产生非中心对称（NCS）脱水相 NP2，双折射率在 546 nm 处从 0.354 增加到 0.419。进一步优化后的 NP3 表现出 1.2 × KDP 的增强二次谐波生成 (SHG) 响应，而 NP2 的二次谐波生成 (SHG) 响应为 0.09 × KDP。引人注目的是，从一维链型氟氧化铌骨架（NP1-NP3）到孤立NbOF 5 单元（NP4）的零维结构的转变消除了菲咯啉排列的几何限制，实现了π共轭发色团的近共面排列以及铌基晶体在546 nm处创纪录的高双折射率0.618。所有四种化合物都保留了 3.2-3.3 eV 的宽光学带隙，表明在单一材料系列中可以同时实现巨大的双折射和紫外线透明度。这些结果将框架维度确立为克服选择之间权衡的可行策略</w:t>
      </w:r>
    </w:p>
    <w:p>
      <w:pPr>
        <w:spacing w:before="0" w:after="200" w:lineRule="auto" w:line="276"/>
      </w:pPr>
      <w:r>
        <w:rPr>
          <w:b/>
        </w:rPr>
        <w:t xml:space="preserve">Abstract (EN): </w:t>
      </w:r>
      <w:r>
        <w:t>Birefringent crystals that simultaneously exhibit large optical anisotropy and wide band gaps are highly desirable for advanced photonic technologies, yet these properties are often mutually constrained because structural features that enhance birefringence often compromise optical transparency. Herein, we report four new hybrid niobium oxyfluoride phenanthroline compounds, [Hphen]NbOF 4 ∙H 2 O ( NP1 ), α‐[Hphen]NbOF 4 ( NP2 ), β‐[Hphen]NbOF 4 ( NP3 ), and [Hphen] 2 NbOF 5 ( NP4 ), obtained through systematic variation of synthetic conditions. Thermal dehydration of centrosymmetric hydrated phase NP1 yields noncentrosymmetric (NCS) dehydrated phase NP2 through reversible crystal‐to‐crystal transformation, with birefringence increasing from 0.354 to 0.419 at 546 nm. Further optimization affords NP3 , which exhibits an enhanced second‐harmonic generation (SHG) response of 1.2 × KDP, compared with 0.09 × KDP for NP2 . Strikingly, transformation from a one‐dimensional chain‐type niobium oxyfluoride framework ( NP1–NP3 ) to a zero‐dimensional structure of isolated NbOF 5 units ( NP4 ) removes geometric constraints on phenanthroline alignment, enabling near‐coplanar arrangement of π‐conjugated chromophores and a record‐high birefringence of 0.618 at 546 nm for a Nb‐based crystal. All four compounds retain wide optical band gaps of 3.2–3.3 eV, demonstrating that giant birefringence and UV transparency are simultaneously achievable within a single material family. These results establish framework dimensionality as a viable strategy for overcoming the trade‐off between optical anisotropy and transparency.</w:t>
      </w:r>
    </w:p>
    <w:p>
      <w:pPr>
        <w:spacing w:before="120" w:after="120"/>
      </w:pPr>
      <w:r>
        <w:rPr>
          <w:sz w:val="18"/>
        </w:rPr>
        <w:t>——————————————————————————————————————————————————————————————————————</w:t>
      </w:r>
    </w:p>
    <w:p>
      <w:pPr>
        <w:spacing w:before="160" w:after="40" w:line="240" w:lineRule="auto"/>
      </w:pPr>
      <w:r>
        <w:rPr>
          <w:b/>
        </w:rPr>
        <w:t xml:space="preserve">[1387] </w:t>
      </w:r>
      <w:hyperlink r:id="rId2359">
        <w:r>
          <w:rPr>
            <w:color w:val="1155CC"/>
            <w:u w:val="single"/>
          </w:rPr>
          <w:t>Ni催化下配体控制的异戊二烯与腙的化学发散性调聚和氢官能化反应</w:t>
        </w:r>
      </w:hyperlink>
    </w:p>
    <w:p>
      <w:pPr>
        <w:spacing w:before="0" w:after="80"/>
      </w:pPr>
      <w:r>
        <w:rPr>
          <w:i/>
          <w:sz w:val="20"/>
        </w:rPr>
        <w:t>EN: Ligand‐Controlled Chemodivergent Telomerization and Hydrofunctionalization of Isoprene With Hydrazones Under Ni Catalysis</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2360">
        <w:r>
          <w:rPr>
            <w:color w:val="1155CC"/>
            <w:u w:val="single"/>
          </w:rPr>
          <w:t>10.1002/anie.4023427</w:t>
        </w:r>
      </w:hyperlink>
    </w:p>
    <w:p>
      <w:pPr>
        <w:spacing w:before="0" w:after="120"/>
      </w:pPr>
      <w:r>
        <w:rPr>
          <w:b/>
        </w:rPr>
        <w:t xml:space="preserve">Notes: </w:t>
      </w:r>
      <w:r>
        <w:t>abstract_source=crossref</w:t>
      </w:r>
    </w:p>
    <w:p>
      <w:pPr>
        <w:spacing w:before="0" w:after="80" w:lineRule="auto" w:line="276"/>
      </w:pPr>
      <w:r>
        <w:rPr>
          <w:b/>
        </w:rPr>
        <w:t xml:space="preserve">摘要（ZH）: </w:t>
      </w:r>
      <w:r>
        <w:t>摘要 萜类化合物是结构最多样化和生物学相关的天然产物家族之一，但使用散装原料开发可控仿生合成策略仍然是一个严峻的挑战。异戊二烯是一种丰富且原子经济的结构单元，对于萜类化合物的合成具有巨大的前景，但其四个电子和空间相似的烯属碳通常导致催化转化中的区域选择性差和不可控的化学选择性。在这项研究中，我们报道了一种用于构建萜类化合物的镍催化化学发散调聚和氢官能化反应，其中精确的配体控制能够选择性地调节反应性。利用腙介导的羰基反相反应中苄基的原位形成，具有大空间位阻和给电子特性的三芳基膦配体促进调聚，而氢官能化则受益于体积较小的吸电子三芳基膦配体和 BEt 3 的组合。机理研究和密度泛函理论计算验证了配体空间和电子控制的化学选择性，以及 BEt 3 在增强区域选择性中的作用。此外，该方案创造了一系列增值萜类化合物，所有这些都适合进一步的结构衍生化。这种温和、操作简单的催化歧管能够轻松获得非天然萜类化合物，并拓宽萜烯框架的可利用化学空间。</w:t>
      </w:r>
    </w:p>
    <w:p>
      <w:pPr>
        <w:spacing w:before="0" w:after="200" w:lineRule="auto" w:line="276"/>
      </w:pPr>
      <w:r>
        <w:rPr>
          <w:b/>
        </w:rPr>
        <w:t xml:space="preserve">Abstract (EN): </w:t>
      </w:r>
      <w:r>
        <w:t>Terpenoids represent one of the most structurally diverse and biologically relevant families of natural products, yet the development of controllable biomimetic synthetic strategies using bulk feedstocks remains a critical challenge. Isoprene, an abundant and atom‐economical building block, holds great promise for terpenoid synthesis, but its four electronically and sterically similar olefinic carbons generally lead to poor regioselectivity and uncontrollable chemoselectivity in catalytic transformations. In this study, we reported a nickel‐catalyzed chemodivergent telomerization and hydrofunctionalization reaction for constructing terpenoids, wherein precise ligand control enables selective reactivity tuning. Leveraging the in situ formation of benzyl group from hydrazone‐mediated carbonyl umpolung reaction, telomerization is promoted by triarylphosphine ligand featuring both large steric hindrance and electron‐donating characteristics, while hydrofunctionalization benefits from the combination of less bulky, electron‐withdrawing triarylphosphine ligand and BEt 3 . Mechanistic studies and density functional theory calculations validate the chemoselectivity governed by ligand sterics and electronics, as well as the role of BEt 3 in enhancing regioselectivity. Moreover, this protocol created a series of value‐added terpenoids, all of which are amenable to further structural derivatizations. This mild, operationally simple catalytic manifold enables facile access to unnatural terpenoids and broadens the accessible chemical space of terpene frameworks.</w:t>
      </w:r>
    </w:p>
    <w:p>
      <w:pPr>
        <w:spacing w:before="120" w:after="120"/>
      </w:pPr>
      <w:r>
        <w:rPr>
          <w:sz w:val="18"/>
        </w:rPr>
        <w:t>——————————————————————————————————————————————————————————————————————</w:t>
      </w:r>
    </w:p>
    <w:p>
      <w:pPr>
        <w:spacing w:before="160" w:after="40" w:line="240" w:lineRule="auto"/>
      </w:pPr>
      <w:r>
        <w:rPr>
          <w:b/>
        </w:rPr>
        <w:t xml:space="preserve">[1388] </w:t>
      </w:r>
      <w:hyperlink r:id="rId2361">
        <w:r>
          <w:rPr>
            <w:color w:val="1155CC"/>
            <w:u w:val="single"/>
          </w:rPr>
          <w:t>氧作为电子受体实现海水中高效光催化乙炔氢氯化反应</w:t>
        </w:r>
      </w:hyperlink>
    </w:p>
    <w:p>
      <w:pPr>
        <w:spacing w:before="0" w:after="80"/>
      </w:pPr>
      <w:r>
        <w:rPr>
          <w:i/>
          <w:sz w:val="20"/>
        </w:rPr>
        <w:t>EN: Oxygen Serves as an Electron Acceptor for Efficient Photocatalytic Acetylene Hydrochlorination in Seawater</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2362">
        <w:r>
          <w:rPr>
            <w:color w:val="1155CC"/>
            <w:u w:val="single"/>
          </w:rPr>
          <w:t>10.1002/anie.9030516</w:t>
        </w:r>
      </w:hyperlink>
    </w:p>
    <w:p>
      <w:pPr>
        <w:spacing w:before="0" w:after="120"/>
      </w:pPr>
      <w:r>
        <w:rPr>
          <w:b/>
        </w:rPr>
        <w:t xml:space="preserve">Notes: </w:t>
      </w:r>
      <w:r>
        <w:t>abstract_source=crossref</w:t>
      </w:r>
    </w:p>
    <w:p>
      <w:pPr>
        <w:spacing w:before="0" w:after="80" w:lineRule="auto" w:line="276"/>
      </w:pPr>
      <w:r>
        <w:rPr>
          <w:b/>
        </w:rPr>
        <w:t xml:space="preserve">摘要（ZH）: </w:t>
      </w:r>
      <w:r>
        <w:t>摘要 以H 2 O为氢源、Cl - 为海水中氯源的光催化乙炔氢氯化反应是传统热催化乙炔氢氯化反应的一种非常有前景的替代方案，但由于光生电子和空穴的快速复合以及低H + 和Cl - 浓度导致的氧化还原动力学缓慢，其性能严重不佳。在这里，我们报道了海水中 O 2 加速的光催化乙炔氢氯化反应，其中 O 2 作为有效的电子受体，快速消耗光生电子。因此，在含有 O 2 的模拟海水中，在 420 nm 发光二极管（LED）照射下，所制成的管状氮化碳光催化剂（MTA-C 3 N 4 ）显着提高了氯乙烯单体（VCM）的产率，达到 567.0 µmol g cat -1 h -1 ，比不含 O 2 的海水高约 66 倍。即使在天然海水中，MTA-C 3 N 4 也能在 10 天内保持稳定的 VCM 生产率 433.3 µmol g cat -1 h -1 。机理研究表明，O 2 作为电子受体抑制电荷复合并促进空穴的形成，从而加速空穴驱动的氯化物氧化动力学，生成用于选择性乙炔氢氯化的*Cl。这项工作不仅揭示了分子氧在光氧化还原动力学中的重要作用，而且为增强光催化性能提供了一种有吸引力的策略。</w:t>
      </w:r>
    </w:p>
    <w:p>
      <w:pPr>
        <w:spacing w:before="0" w:after="200" w:lineRule="auto" w:line="276"/>
      </w:pPr>
      <w:r>
        <w:rPr>
          <w:b/>
        </w:rPr>
        <w:t xml:space="preserve">Abstract (EN): </w:t>
      </w:r>
      <w:r>
        <w:t>The photocatalytic acetylene hydrochlorination with H 2 O as hydrogen source and Cl – as chlorine source in seawater is a highly promising alternative to traditional thermocatalytic acetylene hydrochlorination, but seriously suffers from poor performance due to the rapid recombination of photogenerated electrons and holes as well as the sluggish redox kinetics caused by low H + and Cl – concentrations. Here, we report an O 2 ‐accelerated photocatalytic acetylene hydrochlorination in seawater, where the O 2 serves as an efficient electron acceptor for rapidly consuming photo‐generated electrons. Consequently, the as‐fabricated tubular carbon nitride photocatalyst (MTA‐C 3 N 4 ) delivers a substantially enhanced vinyl chloride monomer (VCM) production rate of 567.0 µmol g cat −1 h −1 under 420 nm light‐emitting diode (LED) irradiation in simulated seawater with O 2 , which is ∼66‐fold higher than that without O 2 . Even in natural seawater, the MTA‐C 3 N 4 maintains a stable VCM production rate of 433.3 µmol g cat −1 h −1 over 10 days. Mechanistic studies reveal that O 2 acts as an electron acceptor to suppress charge recombination and promote the formation of holes, thereby accelerating the hole‐driven chloride oxidation kinetics to generate *Cl for selective acetylene hydrochlorination. This work not only reveals the vital role of molecular oxygen in photoredox kinetics, but also provides an appealing strategy for enhancing photocatalytic performance.</w:t>
      </w:r>
    </w:p>
    <w:p>
      <w:pPr>
        <w:spacing w:before="120" w:after="120"/>
      </w:pPr>
      <w:r>
        <w:rPr>
          <w:sz w:val="18"/>
        </w:rPr>
        <w:t>——————————————————————————————————————————————————————————————————————</w:t>
      </w:r>
    </w:p>
    <w:p>
      <w:pPr>
        <w:spacing w:before="160" w:after="40" w:line="240" w:lineRule="auto"/>
      </w:pPr>
      <w:r>
        <w:rPr>
          <w:b/>
        </w:rPr>
        <w:t xml:space="preserve">[1389] </w:t>
      </w:r>
      <w:hyperlink r:id="rId2363">
        <w:r>
          <w:rPr>
            <w:color w:val="1155CC"/>
            <w:u w:val="single"/>
          </w:rPr>
          <w:t>超级雄鱼成为战胜入侵者的新策略</w:t>
        </w:r>
      </w:hyperlink>
    </w:p>
    <w:p>
      <w:pPr>
        <w:spacing w:before="0" w:after="80"/>
      </w:pPr>
      <w:r>
        <w:rPr>
          <w:i/>
          <w:sz w:val="20"/>
        </w:rPr>
        <w:t>EN: Supermale fish become new tactic for vanquishing invaders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64">
        <w:r>
          <w:rPr>
            <w:color w:val="1155CC"/>
            <w:u w:val="single"/>
          </w:rPr>
          <w:t>10.1126/science.aem0438</w:t>
        </w:r>
      </w:hyperlink>
    </w:p>
    <w:p>
      <w:pPr>
        <w:spacing w:before="0" w:after="120"/>
      </w:pPr>
      <w:r>
        <w:rPr>
          <w:b/>
        </w:rPr>
        <w:t xml:space="preserve">Notes: </w:t>
      </w:r>
      <w:r>
        <w:t>abstract_source=crossref</w:t>
      </w:r>
    </w:p>
    <w:p>
      <w:pPr>
        <w:spacing w:before="0" w:after="80" w:lineRule="auto" w:line="276"/>
      </w:pPr>
      <w:r>
        <w:rPr>
          <w:b/>
        </w:rPr>
        <w:t xml:space="preserve">摘要（ZH）: </w:t>
      </w:r>
      <w:r>
        <w:t>孵化场饲养的具有双 Y 染色体的鳟鱼可以消灭入侵种群</w:t>
      </w:r>
    </w:p>
    <w:p>
      <w:pPr>
        <w:spacing w:before="0" w:after="200" w:lineRule="auto" w:line="276"/>
      </w:pPr>
      <w:r>
        <w:rPr>
          <w:b/>
        </w:rPr>
        <w:t xml:space="preserve">Abstract (EN): </w:t>
      </w:r>
      <w:r>
        <w:t>Hatchery-raised trout with double Y chromosomes can eradicate invasive populations</w:t>
      </w:r>
    </w:p>
    <w:p>
      <w:pPr>
        <w:spacing w:before="120" w:after="120"/>
      </w:pPr>
      <w:r>
        <w:rPr>
          <w:sz w:val="18"/>
        </w:rPr>
        <w:t>——————————————————————————————————————————————————————————————————————</w:t>
      </w:r>
    </w:p>
    <w:p>
      <w:pPr>
        <w:spacing w:before="160" w:after="40" w:line="240" w:lineRule="auto"/>
      </w:pPr>
      <w:r>
        <w:rPr>
          <w:b/>
        </w:rPr>
        <w:t xml:space="preserve">[1390] </w:t>
      </w:r>
      <w:hyperlink r:id="rId2365">
        <w:r>
          <w:rPr>
            <w:color w:val="1155CC"/>
            <w:u w:val="single"/>
          </w:rPr>
          <w:t>介观尺度的聚合物表面活性剂:用超薄片和丝包装液滴</w:t>
        </w:r>
      </w:hyperlink>
    </w:p>
    <w:p>
      <w:pPr>
        <w:spacing w:before="0" w:after="80"/>
      </w:pPr>
      <w:r>
        <w:rPr>
          <w:i/>
          <w:sz w:val="20"/>
        </w:rPr>
        <w:t>EN: Polymer Surfactants at the Mesoscale: Packaging Liquid Droplets with Ultrathin Sheets and Filaments</w:t>
      </w:r>
    </w:p>
    <w:p>
      <w:pPr>
        <w:spacing w:before="0" w:after="120"/>
      </w:pPr>
      <w:r>
        <w:rPr>
          <w:b/>
        </w:rPr>
        <w:t xml:space="preserve">Source: </w:t>
      </w:r>
      <w:r>
        <w:t>Journal of the American Chemical Society: Latest Articles (ACS Publications)</w:t>
      </w:r>
      <w:r>
        <w:t xml:space="preserve">    </w:t>
      </w:r>
      <w:r>
        <w:rPr>
          <w:b/>
        </w:rPr>
        <w:t xml:space="preserve">Pub date: </w:t>
      </w:r>
      <w:r>
        <w:t>2026-09-03 00:00:00+00:00</w:t>
      </w:r>
      <w:r>
        <w:t xml:space="preserve">    </w:t>
      </w:r>
      <w:r>
        <w:rPr>
          <w:b/>
        </w:rPr>
        <w:t xml:space="preserve">DOI: </w:t>
      </w:r>
      <w:hyperlink r:id="rId2366">
        <w:r>
          <w:rPr>
            <w:color w:val="1155CC"/>
            <w:u w:val="single"/>
          </w:rPr>
          <w:t>10.1021/jacs.6c11589</w:t>
        </w:r>
      </w:hyperlink>
    </w:p>
    <w:p>
      <w:pPr>
        <w:spacing w:before="0" w:after="120"/>
      </w:pPr>
      <w:r>
        <w:rPr>
          <w:b/>
        </w:rPr>
        <w:t xml:space="preserve">Notes: </w:t>
      </w:r>
      <w:r>
        <w:t>abstract_source=crossref</w:t>
      </w:r>
    </w:p>
    <w:p>
      <w:pPr>
        <w:spacing w:before="0" w:after="80" w:lineRule="auto" w:line="276"/>
      </w:pPr>
      <w:r>
        <w:rPr>
          <w:b/>
        </w:rPr>
        <w:t xml:space="preserve">摘要（ZH）: </w:t>
      </w:r>
      <w:r>
        <w:t>摘要：我们描述了聚合物化学和材料平台的设计，用于制造介观聚合物表面活性剂（MPS）结构，如超细丝和片材，它们在流体和流体界面处表现出定制的特性。通过将功能性聚合物与光触发化学转化和光刻方法相结合，发现这些 MPS 结构在水包油滴的界面上分离并组装。使用可交联的荧光聚合物，我们的 MPS 制剂在 Si/SiO2 基底上产生了预定形状的物体，这些物体在从基底释放后，作为延伸的附属物（对于 MPS 细丝）或作为包裹整个液滴表面的超薄膜（对于 MPS 片材）粘附到液滴界面。利用 MPS 结构，通过策略性地改变流体相的体积比和从基底释放的方法，实现了基于液滴的定制组件。总体而言，这项对静态和动态介观聚合物表面活性剂的研究产生了广泛的流体结构和界面配置，包括单独包裹的液滴、液滴-MPS网络和捕获在非平衡形状中的液滴。因此，这些发现利用功能性、程序化结构将界面上的聚合物化学基础科学转化为介观尺度。</w:t>
      </w:r>
    </w:p>
    <w:p>
      <w:pPr>
        <w:spacing w:before="0" w:after="200" w:lineRule="auto" w:line="276"/>
      </w:pPr>
      <w:r>
        <w:rPr>
          <w:b/>
        </w:rPr>
        <w:t xml:space="preserve">Abstract (EN): </w:t>
      </w:r>
      <w:r>
        <w:t>We describe the design of a polymer chemistry and materials platform to fabricate mesoscale polymer surfactant (MPS) structures, as ultrathin filaments and sheets, which exhibit tailored properties in fluids and at fluidic interfaces. By coupling functional polymers with light-triggered chemical transformations and photolithographic methods, these MPS structures were found to segregate to, and assemble at, the interface of oil-in-water droplets. Using cross-linkable, fluorescent polymers, our MPS preparation produced objects of predetermined shapes on Si/SiO2 substrates which, upon release from the substrate, adhered to droplet interfaces as extended appendages (for MPS filaments) or as ultrathin films that wrapped the entire droplet surface (for MPS sheets). With MPS structures, tailored droplet-based assemblies were realized by strategically varying both the volume ratios of the fluid phases and methods of release from the substrate. Overall, this study of static and dynamic mesoscale polymer surfactants produces a breadth of fluidic structures and interfacial configurations, including individually wrapped droplets, droplet-MPS networks, and droplets trapped in nonequilibrium shapes. These findings thus translate the fundamental science of polymer chemistry at interfaces to the mesoscale using functional, programmed structures.</w:t>
      </w:r>
    </w:p>
    <w:p>
      <w:pPr>
        <w:spacing w:before="120" w:after="120"/>
      </w:pPr>
      <w:r>
        <w:rPr>
          <w:sz w:val="18"/>
        </w:rPr>
        <w:t>——————————————————————————————————————————————————————————————————————</w:t>
      </w:r>
    </w:p>
    <w:p>
      <w:pPr>
        <w:spacing w:before="160" w:after="40" w:line="240" w:lineRule="auto"/>
      </w:pPr>
      <w:r>
        <w:rPr>
          <w:b/>
        </w:rPr>
        <w:t xml:space="preserve">[1391] </w:t>
      </w:r>
      <w:hyperlink r:id="rId2367">
        <w:r>
          <w:rPr>
            <w:color w:val="1155CC"/>
            <w:u w:val="single"/>
          </w:rPr>
          <w:t>担忧海豹因禽流感大量死亡，澳大利亚着手撤离亚南极科考站</w:t>
        </w:r>
      </w:hyperlink>
    </w:p>
    <w:p>
      <w:pPr>
        <w:spacing w:before="0" w:after="80"/>
      </w:pPr>
      <w:r>
        <w:rPr>
          <w:i/>
          <w:sz w:val="20"/>
        </w:rPr>
        <w:t>EN: Fearing seal die-off from bird flu, Australia moves to evacuate sub-Antarctic research station</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68">
        <w:r>
          <w:rPr>
            <w:color w:val="1155CC"/>
            <w:u w:val="single"/>
          </w:rPr>
          <w:t>10.1126/science.aem0441</w:t>
        </w:r>
      </w:hyperlink>
    </w:p>
    <w:p>
      <w:pPr>
        <w:spacing w:before="0" w:after="120"/>
      </w:pPr>
      <w:r>
        <w:rPr>
          <w:b/>
        </w:rPr>
        <w:t xml:space="preserve">Notes: </w:t>
      </w:r>
      <w:r>
        <w:t>abstract_source=crossref</w:t>
      </w:r>
    </w:p>
    <w:p>
      <w:pPr>
        <w:spacing w:before="0" w:after="80" w:lineRule="auto" w:line="276"/>
      </w:pPr>
      <w:r>
        <w:rPr>
          <w:b/>
        </w:rPr>
        <w:t xml:space="preserve">摘要（ZH）: </w:t>
      </w:r>
      <w:r>
        <w:t>官员称，目睹幼崽死亡可能会影响工作人员的心理健康</w:t>
      </w:r>
    </w:p>
    <w:p>
      <w:pPr>
        <w:spacing w:before="0" w:after="200" w:lineRule="auto" w:line="276"/>
      </w:pPr>
      <w:r>
        <w:rPr>
          <w:b/>
        </w:rPr>
        <w:t xml:space="preserve">Abstract (EN): </w:t>
      </w:r>
      <w:r>
        <w:t>Watching pups’ deaths could affect the mental health of staff, officials say</w:t>
      </w:r>
    </w:p>
    <w:p>
      <w:pPr>
        <w:spacing w:before="120" w:after="120"/>
      </w:pPr>
      <w:r>
        <w:rPr>
          <w:sz w:val="18"/>
        </w:rPr>
        <w:t>——————————————————————————————————————————————————————————————————————</w:t>
      </w:r>
    </w:p>
    <w:p>
      <w:pPr>
        <w:spacing w:before="160" w:after="40" w:line="240" w:lineRule="auto"/>
      </w:pPr>
      <w:r>
        <w:rPr>
          <w:b/>
        </w:rPr>
        <w:t xml:space="preserve">[1392] </w:t>
      </w:r>
      <w:hyperlink r:id="rId2369">
        <w:r>
          <w:rPr>
            <w:color w:val="1155CC"/>
            <w:u w:val="single"/>
          </w:rPr>
          <w:t>不均一的TCR链配对约束决定表位识别</w:t>
        </w:r>
      </w:hyperlink>
    </w:p>
    <w:p>
      <w:pPr>
        <w:spacing w:before="0" w:after="80"/>
      </w:pPr>
      <w:r>
        <w:rPr>
          <w:i/>
          <w:sz w:val="20"/>
        </w:rPr>
        <w:t>EN: Uneven TCR chain pairing constraints govern epitope recognition</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70">
        <w:r>
          <w:rPr>
            <w:color w:val="1155CC"/>
            <w:u w:val="single"/>
          </w:rPr>
          <w:t>10.1126/science.adx3863</w:t>
        </w:r>
      </w:hyperlink>
    </w:p>
    <w:p>
      <w:pPr>
        <w:spacing w:before="0" w:after="120"/>
      </w:pPr>
      <w:r>
        <w:rPr>
          <w:b/>
        </w:rPr>
        <w:t xml:space="preserve">Notes: </w:t>
      </w:r>
      <w:r>
        <w:t>abstract_source=crossref</w:t>
      </w:r>
    </w:p>
    <w:p>
      <w:pPr>
        <w:spacing w:before="0" w:after="80" w:lineRule="auto" w:line="276"/>
      </w:pPr>
      <w:r>
        <w:rPr>
          <w:b/>
        </w:rPr>
        <w:t xml:space="preserve">摘要（ZH）: </w:t>
      </w:r>
      <w:r>
        <w:t>独立重组 T 细胞受体 (TCR) α 链和 β 链的组合配对对于 TCR 库多样化至关重要。尽管一条链中的序列基序与表位识别相关，但单链在多大程度上决定特异性仍不清楚。在这里，我们通过强制将各个链与数十万个合作伙伴配对来系统地测试 TCR 链耦合约束。尽管大多数链稳定配对，但表位特异性的保留很少且高度可变，10 个表位中相容伴侣的频率范围为约 10 至 70,000 个表位特异性 TCR。我们的工作阐明了 TCR 链的独特贡献，强调了单链数据的局限性，并为完善 TCR 肽主要组织相容性复合体特异性推断提供了实验和分析框架。</w:t>
      </w:r>
    </w:p>
    <w:p>
      <w:pPr>
        <w:spacing w:before="0" w:after="200" w:lineRule="auto" w:line="276"/>
      </w:pPr>
      <w:r>
        <w:rPr>
          <w:b/>
        </w:rPr>
        <w:t xml:space="preserve">Abstract (EN): </w:t>
      </w:r>
      <w:r>
        <w:t>Combinatorial pairing of independently recombined T cell receptor (TCR) α- and β-chains is central to diversifying the TCR repertoire. Although sequence motifs in one chain correlate with epitope recognition, the extent to which a single chain dictates specificity remains unclear. Here, we systematically tested TCR chain coupling constraints by enforcing the pairing of individual chains with hundreds of thousands of partners. Although most chains paired stably, the preservation of epitope specificity was rare and highly variable, with the frequency of compatible partners ranging from ~10 to 70,000 epitope-specific TCRs across 10 epitopes. Our work illuminates the distinct contributions of TCR chains, highlights the limitations of single-chain data, and provides an experimental and analytical framework for refining TCR-peptide-major histocompatibility complex specificity inference.</w:t>
      </w:r>
    </w:p>
    <w:p>
      <w:pPr>
        <w:spacing w:before="120" w:after="120"/>
      </w:pPr>
      <w:r>
        <w:rPr>
          <w:sz w:val="18"/>
        </w:rPr>
        <w:t>——————————————————————————————————————————————————————————————————————</w:t>
      </w:r>
    </w:p>
    <w:p>
      <w:pPr>
        <w:spacing w:before="160" w:after="40" w:line="240" w:lineRule="auto"/>
      </w:pPr>
      <w:r>
        <w:rPr>
          <w:b/>
        </w:rPr>
        <w:t xml:space="preserve">[1393] </w:t>
      </w:r>
      <w:hyperlink r:id="rId2371">
        <w:r>
          <w:rPr>
            <w:color w:val="1155CC"/>
            <w:u w:val="single"/>
          </w:rPr>
          <w:t>科学期刊栏目</w:t>
        </w:r>
      </w:hyperlink>
    </w:p>
    <w:p>
      <w:pPr>
        <w:spacing w:before="0" w:after="80"/>
      </w:pPr>
      <w:r>
        <w:rPr>
          <w:i/>
          <w:sz w:val="20"/>
        </w:rPr>
        <w:t>EN: In Science Journals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72">
        <w:r>
          <w:rPr>
            <w:color w:val="1155CC"/>
            <w:u w:val="single"/>
          </w:rPr>
          <w:t>10.1126/science.aem0116</w:t>
        </w:r>
      </w:hyperlink>
    </w:p>
    <w:p>
      <w:pPr>
        <w:spacing w:before="0" w:after="120"/>
      </w:pPr>
      <w:r>
        <w:rPr>
          <w:b/>
        </w:rPr>
        <w:t xml:space="preserve">Notes: </w:t>
      </w:r>
      <w:r>
        <w:t>abstract_source=crossref</w:t>
      </w:r>
    </w:p>
    <w:p>
      <w:pPr>
        <w:spacing w:before="0" w:after="80" w:lineRule="auto" w:line="276"/>
      </w:pPr>
      <w:r>
        <w:rPr>
          <w:b/>
        </w:rPr>
        <w:t xml:space="preserve">摘要（ZH）: </w:t>
      </w:r>
      <w:r>
        <w:t>Science 系列期刊的亮点</w:t>
      </w:r>
    </w:p>
    <w:p>
      <w:pPr>
        <w:spacing w:before="0" w:after="200" w:lineRule="auto" w:line="276"/>
      </w:pPr>
      <w:r>
        <w:rPr>
          <w:b/>
        </w:rPr>
        <w:t xml:space="preserve">Abstract (EN): </w:t>
      </w:r>
      <w:r>
        <w:t>Highlights from the Science family of journals</w:t>
      </w:r>
    </w:p>
    <w:p>
      <w:pPr>
        <w:spacing w:before="120" w:after="120"/>
      </w:pPr>
      <w:r>
        <w:rPr>
          <w:sz w:val="18"/>
        </w:rPr>
        <w:t>——————————————————————————————————————————————————————————————————————</w:t>
      </w:r>
    </w:p>
    <w:p>
      <w:pPr>
        <w:spacing w:before="160" w:after="40" w:line="240" w:lineRule="auto"/>
      </w:pPr>
      <w:r>
        <w:rPr>
          <w:b/>
        </w:rPr>
        <w:t xml:space="preserve">[1394] </w:t>
      </w:r>
      <w:hyperlink r:id="rId2373">
        <w:r>
          <w:rPr>
            <w:color w:val="1155CC"/>
            <w:u w:val="single"/>
          </w:rPr>
          <w:t>丘脑NRXN1介导的向人类皮质祖细胞的输入驱动兴奋性神经发生</w:t>
        </w:r>
      </w:hyperlink>
    </w:p>
    <w:p>
      <w:pPr>
        <w:spacing w:before="0" w:after="80"/>
      </w:pPr>
      <w:r>
        <w:rPr>
          <w:i/>
          <w:sz w:val="20"/>
        </w:rPr>
        <w:t>EN: Thalamic NRXN1-mediated input to human cortical progenitors drives excitatory neurogenesis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74">
        <w:r>
          <w:rPr>
            <w:color w:val="1155CC"/>
            <w:u w:val="single"/>
          </w:rPr>
          <w:t>10.1126/science.ady5180</w:t>
        </w:r>
      </w:hyperlink>
    </w:p>
    <w:p>
      <w:pPr>
        <w:spacing w:before="0" w:after="120"/>
      </w:pPr>
      <w:r>
        <w:rPr>
          <w:b/>
        </w:rPr>
        <w:t xml:space="preserve">Notes: </w:t>
      </w:r>
      <w:r>
        <w:t>abstract_source=crossref</w:t>
      </w:r>
    </w:p>
    <w:p>
      <w:pPr>
        <w:spacing w:before="0" w:after="80" w:lineRule="auto" w:line="276"/>
      </w:pPr>
      <w:r>
        <w:rPr>
          <w:b/>
        </w:rPr>
        <w:t xml:space="preserve">摘要（ZH）: </w:t>
      </w:r>
      <w:r>
        <w:t>人类大脑皮层通过来自皮层内部和其他大脑区域（包括丘脑）的协调信号而发育。然而，丘脑神经元投射如何影响早期人类皮质发育仍然不太清楚。在这项研究中，我们融合了皮质和丘脑类器官，以研究丘脑输入如何影响人类皮质细胞的成熟。使用单核 RNA 测序和细胞成像，我们发现丘脑输入增加了皮质兴奋性神经元的产生。我们确定 neurexin-1 (NRXN1) 是丘脑轴突和皮质外放射状胶质细胞之间物理接触的介体。丘脑 NRXN1 的基因敲除减少了这些接触并减弱了上层兴奋性神经元的产生。这些发现揭示了丘脑输入调节人类皮质祖细胞并塑造发育过程中兴奋性神经元产生的机制。</w:t>
      </w:r>
    </w:p>
    <w:p>
      <w:pPr>
        <w:spacing w:before="0" w:after="200" w:lineRule="auto" w:line="276"/>
      </w:pPr>
      <w:r>
        <w:rPr>
          <w:b/>
        </w:rPr>
        <w:t xml:space="preserve">Abstract (EN): </w:t>
      </w:r>
      <w:r>
        <w:t>The human cerebral cortex develops through coordinated signals from within the cortex and from other brain regions, including the thalamus. However, how thalamic neuronal projections influence early human cortical development remains less well-understood. In this study, we fused cortical and thalamic organoids to investigate how thalamic input shapes the maturation of human cortical cells. Using single-nuclei RNA-sequencing and cellular imaging, we found that thalamic input increases the production of cortical excitatory neurons. We identify neurexin-1 (NRXN1) as a mediator of physical contact between thalamic axons and cortical outer radial glia. Genetic knockout of thalamic NRXN1 reduced these contacts and attenuated the production of upper-layer excitatory neurons. These findings reveal a mechanism by which thalamic input regulates human cortical progenitors and shapes excitatory neuron production during development.</w:t>
      </w:r>
    </w:p>
    <w:p>
      <w:pPr>
        <w:spacing w:before="120" w:after="120"/>
      </w:pPr>
      <w:r>
        <w:rPr>
          <w:sz w:val="18"/>
        </w:rPr>
        <w:t>——————————————————————————————————————————————————————————————————————</w:t>
      </w:r>
    </w:p>
    <w:p>
      <w:pPr>
        <w:spacing w:before="160" w:after="40" w:line="240" w:lineRule="auto"/>
      </w:pPr>
      <w:r>
        <w:rPr>
          <w:b/>
        </w:rPr>
        <w:t xml:space="preserve">[1395] </w:t>
      </w:r>
      <w:hyperlink r:id="rId2338">
        <w:r>
          <w:rPr>
            <w:color w:val="1155CC"/>
            <w:u w:val="single"/>
          </w:rPr>
          <w:t>利用纠缠重子-反重子系统测量Λ粒子电偶极矩</w:t>
        </w:r>
      </w:hyperlink>
    </w:p>
    <w:p>
      <w:pPr>
        <w:spacing w:before="0" w:after="80"/>
      </w:pPr>
      <w:r>
        <w:rPr>
          <w:i/>
          <w:sz w:val="20"/>
        </w:rPr>
        <w:t>EN: Measurement of the Λ electric dipole moment with an entangled baryon-antibaryon system</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38">
        <w:r>
          <w:rPr>
            <w:color w:val="1155CC"/>
            <w:u w:val="single"/>
          </w:rPr>
          <w:t>10.1126/science.adx7334</w:t>
        </w:r>
      </w:hyperlink>
    </w:p>
    <w:p>
      <w:pPr>
        <w:spacing w:before="0" w:after="120"/>
      </w:pPr>
      <w:r>
        <w:rPr>
          <w:b/>
        </w:rPr>
        <w:t xml:space="preserve">Notes: </w:t>
      </w:r>
      <w:r>
        <w:t>abstract_source=crossref</w:t>
      </w:r>
    </w:p>
    <w:p>
      <w:pPr>
        <w:spacing w:before="0" w:after="80" w:lineRule="auto" w:line="276"/>
      </w:pPr>
      <w:r>
        <w:rPr>
          <w:b/>
        </w:rPr>
        <w:t xml:space="preserve">摘要（ZH）: </w:t>
      </w:r>
      <w:r>
        <w:t>宇宙中物质相对反物质的主导地位一直推动着对违反电荷宇称对称性的标准模型之外的新物理学的追求。奇异重子（超子）仍然是一个很大程度上未被探索的领域，其中超子和新物理学粒子之间的相互作用可能会产生不平凡的电偶极矩（EDM）。然而，由于超子 EDM 的寿命较短，通过自旋进动直接测量超子 EDM 非常具有挑战性。在这项工作中，我们介绍了一种使用纠缠 Λ Λ ¯ 系统提取最轻超子 Λ 的 EDM 的方法。我们的结果与零一致，比 20 世纪 80 年代建立的可比统计数据上限提高了三个数量级，为潜在的新物理学提供了严格的约束。</w:t>
      </w:r>
    </w:p>
    <w:p>
      <w:pPr>
        <w:spacing w:before="0" w:after="200" w:lineRule="auto" w:line="276"/>
      </w:pPr>
      <w:r>
        <w:rPr>
          <w:b/>
        </w:rPr>
        <w:t xml:space="preserve">Abstract (EN): </w:t>
      </w:r>
      <w:r>
        <w:t>The dominance of matter over antimatter in the Universe has consistently driven the pursuit of new physics beyond the Standard Model that violates charge-parity symmetry. Strange baryons (hyperons) remain a largely unexplored territory in which interactions between hyperons and particles from new physics could induce a nontrivial electric dipole moment (EDM). However, direct measurements of hyperon EDMs through spin precession are highly challenging owing to their short lifetimes. In this work, we introduce a method to extract the EDM of the lightest hyperon, Λ, using the entangled Λ Λ ¯ system. Our result is consistent with zero, achieving a three-orders-of-magnitude improvement over the previous upper limit established in the 1980s with comparable statistics, providing stringent constraints on potential new physics.</w:t>
      </w:r>
    </w:p>
    <w:p>
      <w:pPr>
        <w:spacing w:before="120" w:after="120"/>
      </w:pPr>
      <w:r>
        <w:rPr>
          <w:sz w:val="18"/>
        </w:rPr>
        <w:t>——————————————————————————————————————————————————————————————————————</w:t>
      </w:r>
    </w:p>
    <w:p>
      <w:pPr>
        <w:spacing w:before="160" w:after="40" w:line="240" w:lineRule="auto"/>
      </w:pPr>
      <w:r>
        <w:rPr>
          <w:b/>
        </w:rPr>
        <w:t xml:space="preserve">[1396] </w:t>
      </w:r>
      <w:hyperlink r:id="rId2375">
        <w:r>
          <w:rPr>
            <w:color w:val="1155CC"/>
            <w:u w:val="single"/>
          </w:rPr>
          <w:t>多层热障涂层的结构优化</w:t>
        </w:r>
      </w:hyperlink>
    </w:p>
    <w:p>
      <w:pPr>
        <w:spacing w:before="0" w:after="80"/>
      </w:pPr>
      <w:r>
        <w:rPr>
          <w:i/>
          <w:sz w:val="20"/>
        </w:rPr>
        <w:t>EN: Architectural Optimization of Multilayer Thermal Barrier Coatings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376">
        <w:r>
          <w:rPr>
            <w:color w:val="1155CC"/>
            <w:u w:val="single"/>
          </w:rPr>
          <w:t>10.1021/acsami.6c14239</w:t>
        </w:r>
      </w:hyperlink>
    </w:p>
    <w:p>
      <w:pPr>
        <w:spacing w:before="0" w:after="120"/>
      </w:pPr>
      <w:r>
        <w:rPr>
          <w:b/>
        </w:rPr>
        <w:t xml:space="preserve">Notes: </w:t>
      </w:r>
      <w:r>
        <w:t>abstract_source=crossref</w:t>
      </w:r>
    </w:p>
    <w:p>
      <w:pPr>
        <w:spacing w:before="0" w:after="80" w:lineRule="auto" w:line="276"/>
      </w:pPr>
      <w:r>
        <w:rPr>
          <w:b/>
        </w:rPr>
        <w:t xml:space="preserve">摘要（ZH）: </w:t>
      </w:r>
      <w:r>
        <w:t>摘要 多层热障涂层在调控涂层性能方面提供了更大的灵活性，但可能的材料组合和层构型数量庞大，仅通过实验试错进行结构优化变得越来越困难。在本研究中，我们对实验生成的数据集进行了分析，该数据集涵盖单层、双层、多层、梯度、变厚度以及物理混合涂层结构，其中包含常规氧化钇稳定氧化锆（YSZ）、纳米结构YSZ和氧化铈氧化钇稳定氧化锆（CYSZ），并利用机器学习研究涂层结构与降解相关性能之间的关系。我们针对多种降解响应建立了代理模型，并结合模型解释、一致性评估和多目标优化，考察了成分、层排列和厚度分布对涂层行为的影响。分析表明，不同的降解指标从不同角度反映涂层性能，在优化过程中不应等同对待。研究还识别了对抗降解性和耐久性影响最大的结构变量，从而能够从实验数据中确定实用的结构层面设计趋势。对所研究的450 μm结构进行的全局性能-相对成本筛选，选出了YSZ/纳米结构YSZ双层结构作为平衡性能与成本、同时降低最终降解并保持高循环性能的实用候选方案。</w:t>
      </w:r>
    </w:p>
    <w:p>
      <w:pPr>
        <w:spacing w:before="0" w:after="200" w:lineRule="auto" w:line="276"/>
      </w:pPr>
      <w:r>
        <w:rPr>
          <w:b/>
        </w:rPr>
        <w:t xml:space="preserve">Abstract (EN): </w:t>
      </w:r>
      <w:r>
        <w:t>Multilayer thermal barrier coatings provide greater flexibility for tailoring coating performance, but the large number of possible material combinations and layer configurations makes architectural optimization increasingly difficult through experimental trial and error alone. In this study, an experimentally generated dataset spanning single-layer, bilayer, multilayer, graded, variable-thickness, and physically mixed coating architectures containing conventional yttria stabilized zirconia (YSZ), nanostructured YSZ, and ceria yttria stabilized zirconia (CYSZ) was analyzed using machine learning to investigate the relationship between coating architecture and degradation-related performance. Surrogate models were developed for multiple degradation responses and combined with model interpretation, consistency assessment, and multiobjective optimization to examine the influence of composition, layer arrangement, and thickness distribution on coating behavior. The analysis showed that different degradation metrics provide distinct perspectives on coating performance and should not be treated equally during optimization. It also identified the architectural variables with the greatest influence on degradation resistance and durability, allowing practical architecture level design trends to be identified from the experimental data. Global performance–relative-cost screening of the investigated 450 μm architectures selected a YSZ/nanostructured YSZ bilayer as a practical candidate for balancing performance and cost while reducing final degradation and preserving high cyclic durability, making it technically viable for further development and engineering applications.</w:t>
      </w:r>
    </w:p>
    <w:p>
      <w:pPr>
        <w:spacing w:before="120" w:after="120"/>
      </w:pPr>
      <w:r>
        <w:rPr>
          <w:sz w:val="18"/>
        </w:rPr>
        <w:t>——————————————————————————————————————————————————————————————————————</w:t>
      </w:r>
    </w:p>
    <w:p>
      <w:pPr>
        <w:spacing w:before="160" w:after="40" w:line="240" w:lineRule="auto"/>
      </w:pPr>
      <w:r>
        <w:rPr>
          <w:b/>
        </w:rPr>
        <w:t xml:space="preserve">[1397] </w:t>
      </w:r>
      <w:hyperlink r:id="rId2306">
        <w:r>
          <w:rPr>
            <w:color w:val="1155CC"/>
            <w:u w:val="single"/>
          </w:rPr>
          <w:t>通过动态硼酸酯键密度调控制备高效自修复弹性体用于关节运动监测</w:t>
        </w:r>
      </w:hyperlink>
    </w:p>
    <w:p>
      <w:pPr>
        <w:spacing w:before="0" w:after="80"/>
      </w:pPr>
      <w:r>
        <w:rPr>
          <w:i/>
          <w:sz w:val="20"/>
        </w:rPr>
        <w:t>EN: High-Efficiency, Self-Healing Elastomer via Dynamic Boronic Ester Bond Density Regulation for Joint Motion Monitoring</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306">
        <w:r>
          <w:rPr>
            <w:color w:val="1155CC"/>
            <w:u w:val="single"/>
          </w:rPr>
          <w:t>10.1021/acsami.6c10779</w:t>
        </w:r>
      </w:hyperlink>
    </w:p>
    <w:p>
      <w:pPr>
        <w:spacing w:before="0" w:after="120"/>
      </w:pPr>
      <w:r>
        <w:rPr>
          <w:b/>
        </w:rPr>
        <w:t xml:space="preserve">Notes: </w:t>
      </w:r>
      <w:r>
        <w:t>abstract_source=crossref</w:t>
      </w:r>
    </w:p>
    <w:p>
      <w:pPr>
        <w:spacing w:before="0" w:after="80" w:lineRule="auto" w:line="276"/>
      </w:pPr>
      <w:r>
        <w:rPr>
          <w:b/>
        </w:rPr>
        <w:t xml:space="preserve">摘要（ZH）: </w:t>
      </w:r>
      <w:r>
        <w:t>摘要：基于弹性体的柔性可拉伸传感器在人机界面、生理监测和软机器人等领域具有广阔的应用前景，引起了人们广泛的研究兴趣。尽管弹性体在透明度、机械强度和自修复性之间存在典型的权衡，但其根源在于分子链流动性的相互冲突的要求，阻碍了可穿戴设备和顺应电子领域的广泛应用前景。这项工作展示了聚硼硅氧烷/聚二甲基硅氧烷互穿网络 (PBS/PDMS IPN)，它成功地协调了这些特性。所得的多功能弹性体表现出有效的自修复性（1 psi 下 15 分钟内拉伸强度恢复 97.8%）和高达 93% 的透光率。高分子量羟基封端的PDMS (PDMS-OH) 带来的能量耗散进一步增强了粘合力，赋予多功能弹性体优异的粘合性能。这种多功能弹性体与共晶镓铟（EGaIn）集成形成应力传感器，可实现高精度人体运动监测，展示了其在先进可穿戴医疗传感器方面的潜力。</w:t>
      </w:r>
    </w:p>
    <w:p>
      <w:pPr>
        <w:spacing w:before="0" w:after="200" w:lineRule="auto" w:line="276"/>
      </w:pPr>
      <w:r>
        <w:rPr>
          <w:b/>
        </w:rPr>
        <w:t xml:space="preserve">Abstract (EN): </w:t>
      </w:r>
      <w:r>
        <w:t>Elastomer-based flexible and stretchable sensors have attracted considerable research interest for promising applications in areas, such as human–machine interfaces, physiological monitoring, and soft robotics. Despite the typical trade-off between transparency, mechanical strength, and self-healing in elastomers, which is rooted in conflicting requirements for molecular chain mobility, impeding this broad application prospects in wearable devices and the conformable electronics field. This work demonstrates a polyborosiloxane/polydimethylsiloxane interpenetrating network (PBS/PDMS IPN) that successfully reconciles these properties. The resulting multifunctional elastomer exhibits both effective self-healing (97.8% recovery of tensile strength in 15 min under 1 psi) and a transmittance up to 93%. The energy dissipation imparted by high-molecular-weight hydroxy-terminated PDMS (PDMS-OH) further enhances adhesion, granting the multifunctional elastomer superior bonding performance. The multifunctional elastomer is integrated with eutectic gallium–indium (EGaIn) to form a stress sensor, which enables high-accuracy human motion monitoring, showcasing its potential for advanced wearable medical sensors.</w:t>
      </w:r>
    </w:p>
    <w:p>
      <w:pPr>
        <w:spacing w:before="120" w:after="120"/>
      </w:pPr>
      <w:r>
        <w:rPr>
          <w:sz w:val="18"/>
        </w:rPr>
        <w:t>——————————————————————————————————————————————————————————————————————</w:t>
      </w:r>
    </w:p>
    <w:p>
      <w:pPr>
        <w:spacing w:before="160" w:after="40" w:line="240" w:lineRule="auto"/>
      </w:pPr>
      <w:r>
        <w:rPr>
          <w:b/>
        </w:rPr>
        <w:t xml:space="preserve">[1398] </w:t>
      </w:r>
      <w:hyperlink r:id="rId2232">
        <w:r>
          <w:rPr>
            <w:color w:val="1155CC"/>
            <w:u w:val="single"/>
          </w:rPr>
          <w:t>CVD生长大面积MoS2/WS2垂直异质结中界面驱动的层间激子与杂化激子演化</w:t>
        </w:r>
      </w:hyperlink>
    </w:p>
    <w:p>
      <w:pPr>
        <w:spacing w:before="0" w:after="80"/>
      </w:pPr>
      <w:r>
        <w:rPr>
          <w:i/>
          <w:sz w:val="20"/>
        </w:rPr>
        <w:t>EN: Interface-Driven Evolution of Interlayer and Hybrid Excitons in CVD-Grown Large-Area MoS2/WS2 Vertical Heterostructures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232">
        <w:r>
          <w:rPr>
            <w:color w:val="1155CC"/>
            <w:u w:val="single"/>
          </w:rPr>
          <w:t>10.1021/acsami.6c10448</w:t>
        </w:r>
      </w:hyperlink>
    </w:p>
    <w:p>
      <w:pPr>
        <w:spacing w:before="0" w:after="120"/>
      </w:pPr>
      <w:r>
        <w:rPr>
          <w:b/>
        </w:rPr>
        <w:t xml:space="preserve">Notes: </w:t>
      </w:r>
      <w:r>
        <w:t>abstract_source=crossref</w:t>
      </w:r>
    </w:p>
    <w:p>
      <w:pPr>
        <w:spacing w:before="0" w:after="80" w:lineRule="auto" w:line="276"/>
      </w:pPr>
      <w:r>
        <w:rPr>
          <w:b/>
        </w:rPr>
        <w:t xml:space="preserve">摘要（ZH）: </w:t>
      </w:r>
      <w:r>
        <w:t>摘要 通过化学气相沉积 (CVD) 生长的范德华异质结构为光电应用提供了一个可扩展的平台。然而，理解并准确分配它们的激子光谱特征仍然具有挑战性。这是由于界面无序和层间耦合以及重叠光谱特征引起的界面质量变化。在这里，我们使用两种不同的单步 CVD 工艺合成连续的大面积（高达 600 μm）MoS2/WS2 垂直异质结构。这种方法可以对不同界面质量的激子行为进行系统比较。由超低频拉曼光谱支持的温度依赖性光致发光解决了独特的层间激子 (ILE) 光谱特征的演变。在异双层中，ILE 从存在界面无序的局域态演化为通过均匀层间耦合稳定的离域态。值得注意的是，我们发现了一种由强层间电子杂化产生的混合激子，其中心位于 MoS2 和 WS2 的中性 A 激子之间~1.90 eV。重要的是，混合激子的形成与 ILE 辐射发射的抑制相关。通过系统地解开无序捕获、离域和混合激子状态，这项工作为界面驱动的激子跃迁提供了清晰的实验证据。这些发现强调了界面质量在控制可扩展的 MoS2/WS2 异质结构中激子行为中的关键作用。</w:t>
      </w:r>
    </w:p>
    <w:p>
      <w:pPr>
        <w:spacing w:before="0" w:after="200" w:lineRule="auto" w:line="276"/>
      </w:pPr>
      <w:r>
        <w:rPr>
          <w:b/>
        </w:rPr>
        <w:t xml:space="preserve">Abstract (EN): </w:t>
      </w:r>
      <w:r>
        <w:t>Van der Waals heterostructures grown by chemical vapor deposition (CVD) offer a scalable platform for optoelectronic applications. However, understanding and accurately assigning their excitonic spectral features remain challenging. This is due to variable interfacial quality arising from interfacial disorder and interlayer coupling, as well as overlapping spectral signatures. Here, we synthesize continuous, large-area (up to 600 μm) MoS2/WS2 vertical heterostructures using two distinct single-step CVD processes. This approach enables a systematic comparison of excitonic behavior across varying interface qualities. Temperature-dependent photoluminescence, supported by ultra-low-frequency Raman spectroscopy, resolves the evolution of distinct interlayer exciton (ILE) spectral features. In heterobilayers, the ILE evolves from localized states in the presence of interfacial disorder to delocalized states stabilized by uniform interlayer coupling. Notably, we identify a hybrid exciton, arising from strong interlayer electronic hybridization, centered at ∼1.90 eV between the neutral A-excitons of MoS2 and WS2. Importantly, hybrid exciton formation correlates with a suppression of ILE radiative emission. By systematically disentangling disorder-trapped, delocalized, and hybrid excitonic regimes, this work provides clear experimental evidence of interface-driven excitonic transitions. These findings highlight the critical role of interfacial quality in governing excitonic behavior in scalable MoS2/WS2 heterostructures.</w:t>
      </w:r>
    </w:p>
    <w:p>
      <w:pPr>
        <w:spacing w:before="120" w:after="120"/>
      </w:pPr>
      <w:r>
        <w:rPr>
          <w:sz w:val="18"/>
        </w:rPr>
        <w:t>——————————————————————————————————————————————————————————————————————</w:t>
      </w:r>
    </w:p>
    <w:p>
      <w:pPr>
        <w:spacing w:before="160" w:after="40" w:line="240" w:lineRule="auto"/>
      </w:pPr>
      <w:r>
        <w:rPr>
          <w:b/>
        </w:rPr>
        <w:t xml:space="preserve">[1399] </w:t>
      </w:r>
      <w:hyperlink r:id="rId2225">
        <w:r>
          <w:rPr>
            <w:color w:val="1155CC"/>
            <w:u w:val="single"/>
          </w:rPr>
          <w:t>三维打印水凝胶支架的工程化分级孔隙结构增强间充质干细胞治疗慢性糖尿病创面</w:t>
        </w:r>
      </w:hyperlink>
    </w:p>
    <w:p>
      <w:pPr>
        <w:spacing w:before="0" w:after="80"/>
      </w:pPr>
      <w:r>
        <w:rPr>
          <w:i/>
          <w:sz w:val="20"/>
        </w:rPr>
        <w:t>EN: Engineered Hierarchical Porosity in Three-Dimensional-Printed Hydrogel Scaffolds Enhances Mesenchymal Stem Cell Therapy for Chronic Diabetic Wounds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225">
        <w:r>
          <w:rPr>
            <w:color w:val="1155CC"/>
            <w:u w:val="single"/>
          </w:rPr>
          <w:t>10.1021/acsami.6c16083</w:t>
        </w:r>
      </w:hyperlink>
    </w:p>
    <w:p>
      <w:pPr>
        <w:spacing w:before="0" w:after="120"/>
      </w:pPr>
      <w:r>
        <w:rPr>
          <w:b/>
        </w:rPr>
        <w:t xml:space="preserve">Notes: </w:t>
      </w:r>
      <w:r>
        <w:t>abstract_source=crossref</w:t>
      </w:r>
    </w:p>
    <w:p>
      <w:pPr>
        <w:spacing w:before="0" w:after="80" w:lineRule="auto" w:line="276"/>
      </w:pPr>
      <w:r>
        <w:rPr>
          <w:b/>
        </w:rPr>
        <w:t xml:space="preserve">摘要（ZH）: </w:t>
      </w:r>
      <w:r>
        <w:t>摘要 慢性糖尿病伤口不愈合是一项重大的临床挑战，因为它根源于复杂的病理微环境，包括神经病变、血管病变和慢性炎症。传统的治疗方法无法从根本上解决这些问题。受户外攀岩的启发，本研究开发了一种具有分级孔径的多功能生物活性水凝胶支架（CSP水凝胶），以重塑伤口微环境并促进再生修复。该水凝胶由甲基丙烯酰化壳聚糖（CSMA）和甲基丙烯酰化丝素蛋白（SiMA）通过3D打印和光聚合制成，具有可控的特性：多尺度多孔结构（大孔≥100μm，中孔1-50μm，微孔）</w:t>
      </w:r>
    </w:p>
    <w:p>
      <w:pPr>
        <w:spacing w:before="0" w:after="200" w:lineRule="auto" w:line="276"/>
      </w:pPr>
      <w:r>
        <w:rPr>
          <w:b/>
        </w:rPr>
        <w:t xml:space="preserve">Abstract (EN): </w:t>
      </w:r>
      <w:r>
        <w:t>Unhealing chronic diabetic wounds is a major clinical challenge, as it is rooted in the complex pathological microenvironment, including neuropathy, angiopathy, and chronic inflammation. Traditional treatment methods cannot fundamentally solve these problems. Inspired by outdoor rock climbing, this study developed a multifunctional bioactive hydrogel scaffold with hierarchical pore sizes (CSP hydrogel) to remodel the wound microenvironment and boost regenerative repair. Fabricated through 3D printing and photopolymerization from methacryloylated chitosan (CSMA) and methacryloylated silk fibroin (SiMA), the hydrogel has controlled properties: multi-scale porous structure (macropores ≥100 μm, mesopores 1–50 μm, micropores</w:t>
      </w:r>
    </w:p>
    <w:p>
      <w:pPr>
        <w:spacing w:before="120" w:after="120"/>
      </w:pPr>
      <w:r>
        <w:rPr>
          <w:sz w:val="18"/>
        </w:rPr>
        <w:t>——————————————————————————————————————————————————————————————————————</w:t>
      </w:r>
    </w:p>
    <w:p>
      <w:pPr>
        <w:spacing w:before="160" w:after="40" w:line="240" w:lineRule="auto"/>
      </w:pPr>
      <w:r>
        <w:rPr>
          <w:b/>
        </w:rPr>
        <w:t xml:space="preserve">[1400] </w:t>
      </w:r>
      <w:hyperlink r:id="rId2284">
        <w:r>
          <w:rPr>
            <w:color w:val="1155CC"/>
            <w:u w:val="single"/>
          </w:rPr>
          <w:t>Ga掺杂IGTO纳米纤维晶体管中的尺寸与缺陷协同工程用于双波段神经形态视觉与光学加密</w:t>
        </w:r>
      </w:hyperlink>
    </w:p>
    <w:p>
      <w:pPr>
        <w:spacing w:before="0" w:after="80"/>
      </w:pPr>
      <w:r>
        <w:rPr>
          <w:i/>
          <w:sz w:val="20"/>
        </w:rPr>
        <w:t>EN: Synergistic Dimensional and Defect Engineering in Ga-Doped IGTO Nanofiber Transistors for Dual-Band Neuromorphic Vision and Optical Encryption</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284">
        <w:r>
          <w:rPr>
            <w:color w:val="1155CC"/>
            <w:u w:val="single"/>
          </w:rPr>
          <w:t>10.1021/acsami.6c12888</w:t>
        </w:r>
      </w:hyperlink>
    </w:p>
    <w:p>
      <w:pPr>
        <w:spacing w:before="0" w:after="120"/>
      </w:pPr>
      <w:r>
        <w:rPr>
          <w:b/>
        </w:rPr>
        <w:t xml:space="preserve">Notes: </w:t>
      </w:r>
      <w:r>
        <w:t>abstract_source=crossref</w:t>
      </w:r>
    </w:p>
    <w:p>
      <w:pPr>
        <w:spacing w:before="0" w:after="80" w:lineRule="auto" w:line="276"/>
      </w:pPr>
      <w:r>
        <w:rPr>
          <w:b/>
        </w:rPr>
        <w:t xml:space="preserve">摘要（ZH）: </w:t>
      </w:r>
      <w:r>
        <w:t>摘要 在这里，我们报告了一种协同策略，将一维（1D）纳米结构与精确的 Ga 掺杂相结合，以制造高性能氧化铟镓锡（IGTO）纳米纤维场效应晶体管（FET）。优化的 5% Ga 掺杂通过强 G-O 键有效抑制氧空位（从 38.8% 降至 29.7%），实现 2.79 cm2 V-1 s-1 的优异迁移率、4.15 × 107 的高开/关比、0.50 V/dec 的陡峭亚阈值摆幅以及卓越的偏置应力稳定性，从而克服了氧化物半导体中经典的迁移率与稳定性权衡。除了卓越的电气特性之外，IGTO 纳米纤维 FET 还具有可调谐的双波段光响应（340 nm 紫外光和 430 nm 可见光），可成功模拟基本的突触行为，包括兴奋性突触后电流、成对脉冲促进以及短期到长期记忆转换。利用这种波长选择性响应性，我们进一步演示了针对 MNIST 数字的概念验证光学加密解密系统，识别精度达到 95%。这项工作建立了“尺寸控制、精确掺杂和缺陷工程”范例，展示了 IGTO 纳米纤维作为神经形态视觉系统和安全光电应用的多功能平台的巨大潜力。</w:t>
      </w:r>
    </w:p>
    <w:p>
      <w:pPr>
        <w:spacing w:before="0" w:after="200" w:lineRule="auto" w:line="276"/>
      </w:pPr>
      <w:r>
        <w:rPr>
          <w:b/>
        </w:rPr>
        <w:t xml:space="preserve">Abstract (EN): </w:t>
      </w:r>
      <w:r>
        <w:t>Here, we report a synergistic strategy that integrates one-dimensional (1D) nanostructuring with precise Ga doping to fabricate high-performance indium-gallium-tin oxide (IGTO) nanofiber field-effect transistors (FETs). The optimized 5% Ga doping effectively suppresses oxygen vacancies (from 38.8 to 29.7%) via strong G–O bonds, enabling an excellent mobility of 2.79 cm2 V–1 s–1, a high on/off ratio of 4.15 × 107, a steep subthreshold swing of 0.50 V/dec, and remarkable bias-stress stability, thereby overcoming the classic mobility-stability trade-off in oxide semiconductors. Beyond the superior electrical characteristics, the IGTO nanofiber FETs exhibit a tunable dual-band photoresponse (340 nm UV and 430 nm visible), which successfully emulates essential synaptic behaviors, including excitatory postsynaptic currents, paired-pulse facilitation, and short-term to long-term memory transitions. Capitalizing on this wavelength-selective responsivity, we further demonstrate a proof-of-concept optical encryption-decryption system for MNIST digits, achieving a recognition accuracy of 95%. This work establishes a “dimensional control, precise doping, and defect engineering” paradigm, showcasing the great potential of IGTO nanofibers as a versatile platform for neuromorphic vision systems and secure optoelectronic applications.</w:t>
      </w:r>
    </w:p>
    <w:p>
      <w:pPr>
        <w:spacing w:before="120" w:after="120"/>
      </w:pPr>
      <w:r>
        <w:rPr>
          <w:sz w:val="18"/>
        </w:rPr>
        <w:t>——————————————————————————————————————————————————————————————————————</w:t>
      </w:r>
    </w:p>
    <w:p>
      <w:pPr>
        <w:spacing w:before="160" w:after="40" w:line="240" w:lineRule="auto"/>
      </w:pPr>
      <w:r>
        <w:rPr>
          <w:b/>
        </w:rPr>
        <w:t xml:space="preserve">[1401] </w:t>
      </w:r>
      <w:hyperlink r:id="rId2254">
        <w:r>
          <w:rPr>
            <w:color w:val="1155CC"/>
            <w:u w:val="single"/>
          </w:rPr>
          <w:t>简单两步法合成HgSe/PbS核壳胶体量子点用于室温长波红外光电探测</w:t>
        </w:r>
      </w:hyperlink>
    </w:p>
    <w:p>
      <w:pPr>
        <w:spacing w:before="0" w:after="80"/>
      </w:pPr>
      <w:r>
        <w:rPr>
          <w:i/>
          <w:sz w:val="20"/>
        </w:rPr>
        <w:t>EN: HgSe/PbS Core-Shell Colloidal Quantum Dots Synthesized by a Simple Two-Step Method for Room-Temperature Long-Wave Infrared Photodetection</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254">
        <w:r>
          <w:rPr>
            <w:color w:val="1155CC"/>
            <w:u w:val="single"/>
          </w:rPr>
          <w:t>10.1021/acsami.6c13325</w:t>
        </w:r>
      </w:hyperlink>
    </w:p>
    <w:p>
      <w:pPr>
        <w:spacing w:before="0" w:after="120"/>
      </w:pPr>
      <w:r>
        <w:rPr>
          <w:b/>
        </w:rPr>
        <w:t xml:space="preserve">Notes: </w:t>
      </w:r>
      <w:r>
        <w:t>abstract_source=crossref</w:t>
      </w:r>
    </w:p>
    <w:p>
      <w:pPr>
        <w:spacing w:before="0" w:after="80" w:lineRule="auto" w:line="276"/>
      </w:pPr>
      <w:r>
        <w:rPr>
          <w:b/>
        </w:rPr>
        <w:t xml:space="preserve">摘要（ZH）: </w:t>
      </w:r>
      <w:r>
        <w:t>摘要 汞硫属化物 (HgX) 胶体量子点 (CQD)，特别是硒化汞 (HgSe) CQD，由于其通过溶液处理具有出色的带隙可调性，已成为长波红外 (LWIR，8–14 μm) 光电探测器的有前途的候选者。然而，裸 HgSe CQD 的固有局限性——高表面缺陷密度和氧化敏感性——严重损害了其光电性能。本文提出了一种简单的两步方法，通过协同优化用于表面钝化的 PbS 壳厚度和 HgSe 核的抗氧化性，在长波红外区域生长高质量 HgSe/PbS 核壳 CQD。此外，使用基于简单金属-半导体-金属 (MSM) 的光电探测器 Au/(HgSe/PbS)/Au 探索了其在长波红外检测中的应用。结果，在室温下，长波红外光电探测器Au/[HgSe(13 nm)/PbS(5 nm)](1 μm)/Au在25 mW/cm2、10 μm照明下获得了42 mA/W的高响应度和2.41 × 109 Jones的高比探测率。因此，这种简单的两步核壳工程方法为开发下一代长波红外光电子学建立了通用平台。</w:t>
      </w:r>
    </w:p>
    <w:p>
      <w:pPr>
        <w:spacing w:before="0" w:after="200" w:lineRule="auto" w:line="276"/>
      </w:pPr>
      <w:r>
        <w:rPr>
          <w:b/>
        </w:rPr>
        <w:t xml:space="preserve">Abstract (EN): </w:t>
      </w:r>
      <w:r>
        <w:t>Mercury chalcogenides (HgX) colloidal quantum dots (CQDs), particularly mercury selenide (HgSe) CQDs, have emerged as a promising candidate for long-wave infrared (LWIR, 8–14 μm) photodetectors due to their exceptional bandgap tunability by solution processing. Nevertheless, the intrinsic limitations of bare HgSe CQDs—high surface defect density and oxidation susceptibility—severely compromise their optoelectronic performance. In this paper, a simple two-step method to grow high-quality HgSe/PbS core-shell CQDs in the LWIR region by synergistically optimizing the thickness of the PbS shell for surface passivation and the oxidation resistance of the HgSe cores is presented. Further, its applications in LWIR detection are explored using a simple metal–semiconductor–metal (MSM) based photodetector Au/(HgSe/PbS)/Au. As a result, a high responsivity of 42 mA/W with a high specific detectivity of 2.41 × 109 Jones under a 25 mW/cm2, 10 μm illumination is obtained from the LWIR photodetector Au/[HgSe(13 nm)/PbS(5 nm)](1 μm)/Au at room-temperature. Therefore, such a simple two-step method of core-shell engineering approach establishes a versatile platform for developing next-generation LWIR optoelectronics.</w:t>
      </w:r>
    </w:p>
    <w:p>
      <w:pPr>
        <w:spacing w:before="120" w:after="120"/>
      </w:pPr>
      <w:r>
        <w:rPr>
          <w:sz w:val="18"/>
        </w:rPr>
        <w:t>——————————————————————————————————————————————————————————————————————</w:t>
      </w:r>
    </w:p>
    <w:p>
      <w:pPr>
        <w:spacing w:before="160" w:after="40" w:line="240" w:lineRule="auto"/>
      </w:pPr>
      <w:r>
        <w:rPr>
          <w:b/>
        </w:rPr>
        <w:t xml:space="preserve">[1402] </w:t>
      </w:r>
      <w:hyperlink r:id="rId2258">
        <w:r>
          <w:rPr>
            <w:color w:val="1155CC"/>
            <w:u w:val="single"/>
          </w:rPr>
          <w:t>通过弹性驱动的可逆动态键实现共形变导电复合薄膜</w:t>
        </w:r>
      </w:hyperlink>
    </w:p>
    <w:p>
      <w:pPr>
        <w:spacing w:before="0" w:after="80"/>
      </w:pPr>
      <w:r>
        <w:rPr>
          <w:i/>
          <w:sz w:val="20"/>
        </w:rPr>
        <w:t>EN: Co-deformable Conductive Composite Films via Elasticity-Driven Reversible Dynamic Bonds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258">
        <w:r>
          <w:rPr>
            <w:color w:val="1155CC"/>
            <w:u w:val="single"/>
          </w:rPr>
          <w:t>10.1021/acsami.6c13774</w:t>
        </w:r>
      </w:hyperlink>
    </w:p>
    <w:p>
      <w:pPr>
        <w:spacing w:before="0" w:after="120"/>
      </w:pPr>
      <w:r>
        <w:rPr>
          <w:b/>
        </w:rPr>
        <w:t xml:space="preserve">Notes: </w:t>
      </w:r>
      <w:r>
        <w:t>abstract_source=crossref</w:t>
      </w:r>
    </w:p>
    <w:p>
      <w:pPr>
        <w:spacing w:before="0" w:after="80" w:lineRule="auto" w:line="276"/>
      </w:pPr>
      <w:r>
        <w:rPr>
          <w:b/>
        </w:rPr>
        <w:t xml:space="preserve">摘要（ZH）: </w:t>
      </w:r>
      <w:r>
        <w:t>摘要 柔性电子器件的蓬勃发展迫切需要具有优异的机械强度、良好的弹性恢复能力和可靠的导电性能的柔性导电材料。本文合理设计了一种紫外光固化聚丙烯酸酯导电复合薄膜（聚丙烯酸酯-AA-ChCl，PAAC），具有可逆氢键赋予的增强弹性恢复能力。首先使用丙烯酸酯单体和乙烯基封端的聚氨酯预聚物作为交联剂，通过紫外线引发聚合制备聚丙烯酸酯（PA）薄膜，该薄膜具有高透明度（&gt;90%）、耐溶剂性（&gt;72 h）、良好的机械强度和耐折叠性。随后，加入了可聚合的低共熔溶剂 (PDES)，特别是丙烯酸/氯化胆碱 (AA/ChCl)。这赋予复合材料稳定的离子电导率，同时保留其原有的机械性能。所得的 PAAC 复合材料作为柔性应变传感器，实现了组件之间优异的兼容性、出色的机械耐久性（14.2 MPa 和 735%）、变形下可靠的导电性（GF = 1.58）以及较低的玻璃化转变温度（Tg = 4.5 °C）。这项工作提出了一种用于制造柔性导电复合材料的简便、可扩展和高性能的策略，为柔性电子、可穿戴设备和环保功能材料的进步提供了新颖的见解。</w:t>
      </w:r>
    </w:p>
    <w:p>
      <w:pPr>
        <w:spacing w:before="0" w:after="200" w:lineRule="auto" w:line="276"/>
      </w:pPr>
      <w:r>
        <w:rPr>
          <w:b/>
        </w:rPr>
        <w:t xml:space="preserve">Abstract (EN): </w:t>
      </w:r>
      <w:r>
        <w:t>The booming development of flexible electronics urgently calls for flexible conductive materials with outstanding mechanical strength, desirable elastic recovery, and reliable conductivity. Herein, a UV-curable polyacrylate conductive composite film (polyacrylate-AA-ChCl, PAAC) is rationally designed, featuring enhanced elastic recovery endowed by reversible hydrogen bonds. A polyacrylate (PA) film is first fabricated via UV-initiated polymerization using acrylate monomers and a vinyl-terminated polyurethane prepolymer as the cross-linker, exhibiting high transparency (&gt;90%), solvent resistance (&gt;72 h), favorable mechanical strength, and folding resistance. Subsequently, a polymerizable deep eutectic solvent (PDES)—specifically, acrylic acid/choline chloride (AA/ChCl)—was incorporated. This endows the composite with stable ionic conductivity while preserving its original mechanical properties. The resultant PAAC composite as a flexible strain sensor achieves excellent compatibility between components, outstanding mechanical durability (14.2 MPa and 735%), reliable conductivity (GF = 1.58) under deformation, and a low glass transition temperature (Tg = 4.5 °C). This work proposes a facile, scalable, and high-performance strategy for fabricating flexible conductive composites, which offers novel insights into the advancement of flexible electronics, wearable devices, and eco-friendly functional materials.</w:t>
      </w:r>
    </w:p>
    <w:p>
      <w:pPr>
        <w:spacing w:before="120" w:after="120"/>
      </w:pPr>
      <w:r>
        <w:rPr>
          <w:sz w:val="18"/>
        </w:rPr>
        <w:t>——————————————————————————————————————————————————————————————————————</w:t>
      </w:r>
    </w:p>
    <w:p>
      <w:pPr>
        <w:spacing w:before="160" w:after="40" w:line="240" w:lineRule="auto"/>
      </w:pPr>
      <w:r>
        <w:rPr>
          <w:b/>
        </w:rPr>
        <w:t xml:space="preserve">[1403] </w:t>
      </w:r>
      <w:hyperlink r:id="rId2256">
        <w:r>
          <w:rPr>
            <w:color w:val="1155CC"/>
            <w:u w:val="single"/>
          </w:rPr>
          <w:t>6LiInP2Se6单晶：生长、缺陷结构、α粒子能谱及直接转换X射线响应</w:t>
        </w:r>
      </w:hyperlink>
    </w:p>
    <w:p>
      <w:pPr>
        <w:spacing w:before="0" w:after="80"/>
      </w:pPr>
      <w:r>
        <w:rPr>
          <w:i/>
          <w:sz w:val="20"/>
        </w:rPr>
        <w:t>EN: 6LiInP2Se6 Single Crystals: Growth, Defect Structure, α-Particle Spectroscopy, and Direct-Conversion X-ray Response</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256">
        <w:r>
          <w:rPr>
            <w:color w:val="1155CC"/>
            <w:u w:val="single"/>
          </w:rPr>
          <w:t>10.1021/acsami.6c13974</w:t>
        </w:r>
      </w:hyperlink>
    </w:p>
    <w:p>
      <w:pPr>
        <w:spacing w:before="0" w:after="120"/>
      </w:pPr>
      <w:r>
        <w:rPr>
          <w:b/>
        </w:rPr>
        <w:t xml:space="preserve">Notes: </w:t>
      </w:r>
      <w:r>
        <w:t>abstract_source=crossref</w:t>
      </w:r>
    </w:p>
    <w:p>
      <w:pPr>
        <w:spacing w:before="0" w:after="80" w:lineRule="auto" w:line="276"/>
      </w:pPr>
      <w:r>
        <w:rPr>
          <w:b/>
        </w:rPr>
        <w:t xml:space="preserve">摘要（ZH）: </w:t>
      </w:r>
      <w:r>
        <w:t>摘要 室温半导体晶体结合了高电阻率、高效电荷传输和明确的缺陷景观，是直接转换辐射检测的核心。在这里，我们报告了层状硒磷酸盐 6LiInP2Se6 (LIPSe) 中直接转换 X 射线响应的首次演示。两条晶体生长路线并行推进：针对薄、高纯度薄片进行优化的化学气相传输（CVT），以及采用迭代纯化的布里奇曼-斯托克巴格生长，缩小至厘米尺寸的晶锭。两者都产生具有清洁 (00l) 表面和难以区分的粉末 X 射线衍射、拉曼和微观特征的单晶，以及来自光电子产率光谱的匹配带边缘对准。热受激电流能谱解析的陷阱能级范围为～0.13–0.68 eV，估计总陷阱密度为～1.2 × 1013 cm–3 (CVT) 和～9.8 × 1014 cm–3 (Bridgman)，同时两种晶体都保留了室温操作所需的高体电阻率。在 241Am 照射下，CVT 探测器可通过偏振限制空穴收集提供高分辨率的 α 粒子脉冲高度光谱（~22% 能量分辨率），而布里奇曼探测器则为两种载流子产生约 10–6–10–5 cm2 V–1 的下限单载流子 Hecht μτ 产物。在调制 X 射线照射下，实现了~2.1 × 103 µC Gyair–1 cm–2（CVT，~33 kV cm–1）和~6.5 × 103 µC Gyair–1 cm–2（Bridgman，~22 kV cm–1）的灵敏度，其中较大的 Bridgman 吸收体积抵消了其陷阱限制的传输，从而识别了连续条件下的厚度缩放</w:t>
      </w:r>
    </w:p>
    <w:p>
      <w:pPr>
        <w:spacing w:before="0" w:after="200" w:lineRule="auto" w:line="276"/>
      </w:pPr>
      <w:r>
        <w:rPr>
          <w:b/>
        </w:rPr>
        <w:t xml:space="preserve">Abstract (EN): </w:t>
      </w:r>
      <w:r>
        <w:t>Room-temperature semiconductor crystals combining high resistivity, efficient charge transport, and a well-defined defect landscape are central to direct-conversion radiation detection. Here, we report the first demonstration of direct-conversion X-ray response in the layered selenophosphate 6LiInP2Se6 (LIPSe). Two crystal growth routes are advanced in parallel: chemical vapor transport (CVT), optimized for thin, high-purity flakes, and Bridgman–Stockbarger growth with iterative purification, scaled to centimeter-sized ingots. Both yield single crystals having clean (00l) surfaces and indistinguishable powder X-ray diffraction, Raman, and microscopic signatures, as well as matched band-edge alignment from photoelectron yield spectroscopy. Thermally stimulated current spectroscopy resolves trap levels spanning ∼0.13–0.68 eV, with estimated total trap densities of ∼1.2 × 1013 cm–3 (CVT) and ∼9.8 × 1014 cm–3 (Bridgman), while both crystals retain the high bulk resistivity required for room-temperature operation. Under 241Am irradiation, CVT detectors deliver well-resolved α-particle pulse-height spectra (∼22% energy resolution) with polarization-limited hole collection, while Bridgman detectors yield lower-bound single-carrier Hecht μτ products of ∼10–6–10–5 cm2 V–1 for both carriers. Under modulated X-ray exposure, sensitivities of ∼2.1 × 103 µC Gyair–1 cm–2 (CVT, ∼33 kV cm–1) and ∼6.5 × 103 µC Gyair–1 cm–2 (Bridgman, ∼22 kV cm–1) are achieved, where the larger Bridgman absorption volume offsets its trap-limited transport, identifying thickness scaling under continued defect control as the most direct path forward.</w:t>
      </w:r>
    </w:p>
    <w:p>
      <w:pPr>
        <w:spacing w:before="120" w:after="120"/>
      </w:pPr>
      <w:r>
        <w:rPr>
          <w:sz w:val="18"/>
        </w:rPr>
        <w:t>——————————————————————————————————————————————————————————————————————</w:t>
      </w:r>
    </w:p>
    <w:p>
      <w:pPr>
        <w:spacing w:before="160" w:after="40" w:line="240" w:lineRule="auto"/>
      </w:pPr>
      <w:r>
        <w:rPr>
          <w:b/>
        </w:rPr>
        <w:t xml:space="preserve">[1404] </w:t>
      </w:r>
      <w:hyperlink r:id="rId2229">
        <w:r>
          <w:rPr>
            <w:color w:val="1155CC"/>
            <w:u w:val="single"/>
          </w:rPr>
          <w:t>力学引导的分子双层半导体逐层转移</w:t>
        </w:r>
      </w:hyperlink>
    </w:p>
    <w:p>
      <w:pPr>
        <w:spacing w:before="0" w:after="80"/>
      </w:pPr>
      <w:r>
        <w:rPr>
          <w:i/>
          <w:sz w:val="20"/>
        </w:rPr>
        <w:t>EN: Mechanics-Guided Layer-by-Layer Transfer of Molecular Bilayer Semiconductors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229">
        <w:r>
          <w:rPr>
            <w:color w:val="1155CC"/>
            <w:u w:val="single"/>
          </w:rPr>
          <w:t>10.1021/acsami.6c12628</w:t>
        </w:r>
      </w:hyperlink>
    </w:p>
    <w:p>
      <w:pPr>
        <w:spacing w:before="0" w:after="120"/>
      </w:pPr>
      <w:r>
        <w:rPr>
          <w:b/>
        </w:rPr>
        <w:t xml:space="preserve">Notes: </w:t>
      </w:r>
      <w:r>
        <w:t>abstract_source=crossref</w:t>
      </w:r>
    </w:p>
    <w:p>
      <w:pPr>
        <w:spacing w:before="0" w:after="80" w:lineRule="auto" w:line="276"/>
      </w:pPr>
      <w:r>
        <w:rPr>
          <w:b/>
        </w:rPr>
        <w:t xml:space="preserve">摘要（ZH）: </w:t>
      </w:r>
      <w:r>
        <w:t>摘要 层控有机薄膜是有机电子器件的重要组成部分。尽管层转移方法对于器件原型设计非常有效，但在此过程中管理裂纹形成具有挑战性。在这项研究中，我们研究了双层型有机半导体（OSC）薄膜的断裂力学，作为开发裂纹抑制转移方法的模型。我们发现裂纹的形成很大程度上取决于薄膜的厚度，并且当薄膜减小到单分子双层（SMB）厚度时，裂纹的形成会受到抑制。厚膜中观察到的裂纹方向性与晶体取向明显相关。这些断裂行为可以通过将宏观弹性模型与分子间相互作用能的计算相结合来定性解释。基于这种理解，我们通过顺序 SMB 传输成功制造了高度有序的多层人工晶格。此外，通过扩展π电子核心来调节分子间相互作用，我们实现了OSC薄膜的直接图案化，甚至在疏液基板上也是如此，为有机薄膜晶体管（OTFT）提供了合适的界面。包含裂纹抑制 SMB 的 OTFT 具有敏锐的开/关切换能力，亚阈值摆幅小于 150 mV dec-1，器件迁移率相对较高，超过 5 cm2 V-1 s-1。这些发现为表面定制和有机器件制造的分子层工程铺平了道路。</w:t>
      </w:r>
    </w:p>
    <w:p>
      <w:pPr>
        <w:spacing w:before="0" w:after="200" w:lineRule="auto" w:line="276"/>
      </w:pPr>
      <w:r>
        <w:rPr>
          <w:b/>
        </w:rPr>
        <w:t xml:space="preserve">Abstract (EN): </w:t>
      </w:r>
      <w:r>
        <w:t>Layer-controlled organic thin films are essential components of organic electronic devices. Although layer-transfer methods are effective for device prototyping, managing crack formation during this process is challenging. In this study, we investigate the fracture mechanics of bilayer-type organic semiconductor (OSC) films as a model for developing a crack-suppressed transfer methodology. We find that crack formation is strongly dependent on film thickness and is suppressed when the film is reduced to a single molecular bilayer (SMB) thickness. The observed crack directionality in thick films is clearly correlated with the crystallographic orientation. These fracture behaviors can be qualitatively explained by combining a macroscopic elasticity model with calculations of intermolecular interaction energies. Based on this understanding, we successfully fabricate highly ordered multilayered artificial lattices through sequential SMB transfers. Furthermore, by expanding the π-electron core to tune intermolecular interactions, we achieve the direct patterning of OSC films, even on lyophobic substrates, providing a suitable interface for organic thin-film transistors (OTFTs). OTFTs incorporating crack-suppressed SMBs exhibit sharp on/off switching with a subthreshold swing of less than 150 mV dec–1 and a relatively high device mobility exceeding 5 cm2 V–1 s–1. These findings pave the way for molecular layer engineering for surface tailoring and organic device manufacturing.</w:t>
      </w:r>
    </w:p>
    <w:p>
      <w:pPr>
        <w:spacing w:before="120" w:after="120"/>
      </w:pPr>
      <w:r>
        <w:rPr>
          <w:sz w:val="18"/>
        </w:rPr>
        <w:t>——————————————————————————————————————————————————————————————————————</w:t>
      </w:r>
    </w:p>
    <w:p>
      <w:pPr>
        <w:spacing w:before="160" w:after="40" w:line="240" w:lineRule="auto"/>
      </w:pPr>
      <w:r>
        <w:rPr>
          <w:b/>
        </w:rPr>
        <w:t xml:space="preserve">[1405] </w:t>
      </w:r>
      <w:hyperlink r:id="rId2376">
        <w:r>
          <w:rPr>
            <w:color w:val="1155CC"/>
            <w:u w:val="single"/>
          </w:rPr>
          <w:t>多层热障涂层架构优化</w:t>
        </w:r>
      </w:hyperlink>
    </w:p>
    <w:p>
      <w:pPr>
        <w:spacing w:before="0" w:after="80"/>
      </w:pPr>
      <w:r>
        <w:rPr>
          <w:i/>
          <w:sz w:val="20"/>
        </w:rPr>
        <w:t>EN: Architectural Optimization of Multilayer Thermal Barrier Coatings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376">
        <w:r>
          <w:rPr>
            <w:color w:val="1155CC"/>
            <w:u w:val="single"/>
          </w:rPr>
          <w:t>10.1021/acsami.6c14239</w:t>
        </w:r>
      </w:hyperlink>
    </w:p>
    <w:p>
      <w:pPr>
        <w:spacing w:before="0" w:after="120"/>
      </w:pPr>
      <w:r>
        <w:rPr>
          <w:b/>
        </w:rPr>
        <w:t xml:space="preserve">Notes: </w:t>
      </w:r>
      <w:r>
        <w:t>abstract_source=crossref</w:t>
      </w:r>
    </w:p>
    <w:p>
      <w:pPr>
        <w:spacing w:before="0" w:after="80" w:lineRule="auto" w:line="276"/>
      </w:pPr>
      <w:r>
        <w:rPr>
          <w:b/>
        </w:rPr>
        <w:t xml:space="preserve">摘要（ZH）: </w:t>
      </w:r>
      <w:r>
        <w:t>摘要 多层热障涂层为定制涂层性能提供了更大的灵活性，但大量可能的材料组合和层配置使得仅通过实验试错来优化结构变得越来越困难。在本研究中，使用机器学习分析了实验生成的数据集，涵盖单层、双层、多层、分级、可变厚度和物理混合涂层结构，其中包含传统氧化钇稳定氧化锆（YSZ）、纳米结构YSZ和二氧化钇氧化钇稳定氧化锆（CYSZ），以研究涂层结构与降解相关性能之间的关系。针对多种降解响应开发了替代模型，并结合模型解释、一致性评估和多目标优化来检查成分、层排列和厚度分布对涂层行为的影响。分析表明，不同的降解指标对涂层性能提供了不同的视角，在优化过程中不应同等对待。它还确定了对抗降解性和耐久性影响最大的架构变量，从而可以从实验数据中识别实际的架构级别设计趋势。对所研究的 450 μm 架构进行全局性能相对成本筛选，选择 YSZ/纳米结构 YSZ 双层作为平衡性能和成本同时减少最终退化并保持高循环的实用候选者</w:t>
      </w:r>
    </w:p>
    <w:p>
      <w:pPr>
        <w:spacing w:before="0" w:after="200" w:lineRule="auto" w:line="276"/>
      </w:pPr>
      <w:r>
        <w:rPr>
          <w:b/>
        </w:rPr>
        <w:t xml:space="preserve">Abstract (EN): </w:t>
      </w:r>
      <w:r>
        <w:t>Multilayer thermal barrier coatings provide greater flexibility for tailoring coating performance, but the large number of possible material combinations and layer configurations makes architectural optimization increasingly difficult through experimental trial and error alone. In this study, an experimentally generated dataset spanning single-layer, bilayer, multilayer, graded, variable-thickness, and physically mixed coating architectures containing conventional yttria stabilized zirconia (YSZ), nanostructured YSZ, and ceria yttria stabilized zirconia (CYSZ) was analyzed using machine learning to investigate the relationship between coating architecture and degradation-related performance. Surrogate models were developed for multiple degradation responses and combined with model interpretation, consistency assessment, and multiobjective optimization to examine the influence of composition, layer arrangement, and thickness distribution on coating behavior. The analysis showed that different degradation metrics provide distinct perspectives on coating performance and should not be treated equally during optimization. It also identified the architectural variables with the greatest influence on degradation resistance and durability, allowing practical architecture level design trends to be identified from the experimental data. Global performance–relative-cost screening of the investigated 450 μm architectures selected a YSZ/nanostructured YSZ bilayer as a practical candidate for balancing performance and cost while reducing final degradation and preserving high cyclic durability, making it technically viable for further development and engineering applications.</w:t>
      </w:r>
    </w:p>
    <w:p>
      <w:pPr>
        <w:spacing w:before="120" w:after="120"/>
      </w:pPr>
      <w:r>
        <w:rPr>
          <w:sz w:val="18"/>
        </w:rPr>
        <w:t>——————————————————————————————————————————————————————————————————————</w:t>
      </w:r>
    </w:p>
    <w:p>
      <w:pPr>
        <w:spacing w:before="160" w:after="40" w:line="240" w:lineRule="auto"/>
      </w:pPr>
      <w:r>
        <w:rPr>
          <w:b/>
        </w:rPr>
        <w:t xml:space="preserve">[1406] </w:t>
      </w:r>
      <w:hyperlink r:id="rId2377">
        <w:r>
          <w:rPr>
            <w:color w:val="1155CC"/>
            <w:u w:val="single"/>
          </w:rPr>
          <w:t>利用高极性原子层沉积薄膜的自激活直接键合实现3D集成</w:t>
        </w:r>
      </w:hyperlink>
    </w:p>
    <w:p>
      <w:pPr>
        <w:spacing w:before="0" w:after="80"/>
      </w:pPr>
      <w:r>
        <w:rPr>
          <w:i/>
          <w:sz w:val="20"/>
        </w:rPr>
        <w:t>EN: Self-Activated Direct Bonding with a Highly Polar Atomic-Layer-Deposited Film for 3D Integration</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377">
        <w:r>
          <w:rPr>
            <w:color w:val="1155CC"/>
            <w:u w:val="single"/>
          </w:rPr>
          <w:t>10.1021/acsami.6c08143</w:t>
        </w:r>
      </w:hyperlink>
    </w:p>
    <w:p>
      <w:pPr>
        <w:spacing w:before="0" w:after="120"/>
      </w:pPr>
      <w:r>
        <w:rPr>
          <w:b/>
        </w:rPr>
        <w:t xml:space="preserve">Notes: </w:t>
      </w:r>
      <w:r>
        <w:t>abstract_source=crossref</w:t>
      </w:r>
    </w:p>
    <w:p>
      <w:pPr>
        <w:spacing w:before="0" w:after="80" w:lineRule="auto" w:line="276"/>
      </w:pPr>
      <w:r>
        <w:rPr>
          <w:b/>
        </w:rPr>
        <w:t xml:space="preserve">摘要（ZH）: </w:t>
      </w:r>
      <w:r>
        <w:t>摘要 我们报告了一种以前未知的键合方式：“自激活、无等离子体”直接晶圆键合，通过 300 毫米晶圆上的原子层沉积 (ALD) Al2O3 实现。直接键合是所有先进三维 (3D) 互补金属氧化物半导体 (CMOS) 和异质小芯片架构的基础，但电介质表面被认为需要强力等离子体激活或化学机械抛光 (CMP) 才能实现足够的反应性。我们的结果推翻了这个假设。 ALD-Al2O3 无需任何预处理即可自发形成牢固、无空隙的键合，为后续晶圆加工提供足够的实用键合性能。使用一整套界面探针（双悬臂梁测量、X射线光电子能谱、X射线反射率、热解吸光谱、水接触角动力学、超灵敏和频发生光谱和透射电子显微镜），我们发现了致密、高极性的Al-OH网络，该网络由Al3+的路易斯酸性和非晶低温ALD结构稳定，作为键形成的内在驱动力。无论排队时间如何，这些网络及其重新排列都会持续存在，从而创建从氢键连接到共价键合的稳健、无激活的途径。工艺级工程，包括沉积后退火 (PDA) 和氧化物缓冲插入，进一步提高了强度和可靠性。这一发现证明了使用低温 ALD-Al2O3 进行自激活、无等离子体键合的潜力，作为一种新途径</w:t>
      </w:r>
    </w:p>
    <w:p>
      <w:pPr>
        <w:spacing w:before="0" w:after="200" w:lineRule="auto" w:line="276"/>
      </w:pPr>
      <w:r>
        <w:rPr>
          <w:b/>
        </w:rPr>
        <w:t xml:space="preserve">Abstract (EN): </w:t>
      </w:r>
      <w:r>
        <w:t>We report a previously unknown bonding regime: “self-activated, plasma-free” direct wafer bonding, enabled by atomic-layer-deposited (ALD) Al2O3 on 300-mm wafers. Direct bonding underpins all advanced three-dimensional (3D) complementary metal-oxide-semiconductor (CMOS) and heterogeneous chiplet architectures, yet dielectric surfaces have been assumed to require aggressive plasma activation or chemical mechanical polishing (CMP) to achieve sufficient reactivity. Our results overturn this assumption. ALD-Al2O3 spontaneously forms strong, void-free bonds without any pre-treatment, delivering practical bonding performance sufficient for subsequent wafer processing. Using a comprehensive suite of interfacial probes (double-cantilever-beam measurements, X-ray photoelectron spectroscopy, X-ray reflectivity, thermal desorption spectroscopy, water-contact-angle dynamics, ultra-sensitive sum-frequency generation spectroscopy, and transmission electron microscopy), we uncover dense, highly polar Al–OH networks, stabilized by the Lewis acidity of Al3+ and the amorphous low-temperature ALD structure, as the intrinsic driver of bond formation. These networks and their rearrangement persist irrespective of queue time, creating a robust, activation-free pathway from hydrogen-bond attachment to covalent bonding. Process-level engineering, including post-deposition annealing (PDA) and oxide-buffer insertion, further boosts strength and reliability. This discovery demonstrates the potential of self-activated, plasma-free bonding using low-temperature ALD-Al2O3 as a new route toward simplified and damage-mitigated 3D integration and advanced semiconductor packaging.</w:t>
      </w:r>
    </w:p>
    <w:p>
      <w:pPr>
        <w:spacing w:before="120" w:after="120"/>
      </w:pPr>
      <w:r>
        <w:rPr>
          <w:sz w:val="18"/>
        </w:rPr>
        <w:t>——————————————————————————————————————————————————————————————————————</w:t>
      </w:r>
    </w:p>
    <w:p>
      <w:pPr>
        <w:spacing w:before="160" w:after="40" w:line="240" w:lineRule="auto"/>
      </w:pPr>
      <w:r>
        <w:rPr>
          <w:b/>
        </w:rPr>
        <w:t xml:space="preserve">[1407] </w:t>
      </w:r>
      <w:hyperlink r:id="rId2378">
        <w:r>
          <w:rPr>
            <w:color w:val="1155CC"/>
            <w:u w:val="single"/>
          </w:rPr>
          <w:t>PIP2结合变构位点阻断人类视杆细胞CNG通道的激活</w:t>
        </w:r>
      </w:hyperlink>
    </w:p>
    <w:p>
      <w:pPr>
        <w:spacing w:before="0" w:after="80"/>
      </w:pPr>
      <w:r>
        <w:rPr>
          <w:i/>
          <w:sz w:val="20"/>
        </w:rPr>
        <w:t>EN: PIP2 binding at allosteric site blocks activation in human rod CNG channels</w:t>
      </w:r>
    </w:p>
    <w:p>
      <w:pPr>
        <w:spacing w:before="0" w:after="120"/>
      </w:pPr>
      <w:r>
        <w:rPr>
          <w:b/>
        </w:rPr>
        <w:t xml:space="preserve">Source: </w:t>
      </w:r>
      <w:r>
        <w:t>Biological sciences : Nature Communications subject feeds</w:t>
      </w:r>
      <w:r>
        <w:t xml:space="preserve">    </w:t>
      </w:r>
      <w:r>
        <w:rPr>
          <w:b/>
        </w:rPr>
        <w:t xml:space="preserve">Pub date: </w:t>
      </w:r>
      <w:r>
        <w:t>2026-09-03 00:00:00+00:00</w:t>
      </w:r>
    </w:p>
    <w:p>
      <w:pPr>
        <w:spacing w:before="0" w:after="120"/>
      </w:pPr>
      <w:r>
        <w:rPr>
          <w:b/>
        </w:rPr>
        <w:t xml:space="preserve">Notes: </w:t>
      </w:r>
      <w:r>
        <w:t>abstract_source=nature_html</w:t>
      </w:r>
    </w:p>
    <w:p>
      <w:pPr>
        <w:spacing w:before="0" w:after="80" w:lineRule="auto" w:line="276"/>
      </w:pPr>
      <w:r>
        <w:rPr>
          <w:b/>
        </w:rPr>
        <w:t xml:space="preserve">摘要（ZH）: </w:t>
      </w:r>
      <w:r>
        <w:t>4,5-二磷酸磷脂酰肌醇 (PIP2) 是一种调节多个离子通道的信号脂质。据报道，在视杆环核苷酸门控 (CNG) 通道中，PIP2 可以抑制活性，控制光敏感性和动态范围。视杆外节 (ROS) 膜中 PIP2 水平较低的报道对这种抑制的生理相关性提出了质疑，而且其潜在机制仍不清楚。在这里，我们定义了 PIP2 抑制人 CNGA1（主要杆状 CNG 通道亚基）的机制。纯化的、脂质体重构的 CNGA1 通道的通量测定和单通道电生理学表明，在估计的 ROS 膜 PIP2 浓度下具有抑制作用。脂质纳米圆盘中无 PIP2 通道的冷冻电镜结构捕获闭合、中间和开放构象，而 PIP2 则不存在开放状态。 PIP2 结合在电压传感、孔和 C 连接域之间的界面处，稳定闭合状态并在空间上防止通道打开。我们的研究结果确立了 PIP2 抑制的生理相关性和结构机制，并为治疗靶向提供了抑制变构位点。</w:t>
      </w:r>
    </w:p>
    <w:p>
      <w:pPr>
        <w:spacing w:before="0" w:after="200" w:lineRule="auto" w:line="276"/>
      </w:pPr>
      <w:r>
        <w:rPr>
          <w:b/>
        </w:rPr>
        <w:t xml:space="preserve">Abstract (EN): </w:t>
      </w:r>
      <w:r>
        <w:t>Phosphatidylinositol-4,5-bisphosphate (PIP2) is a signaling lipid that regulates multiple ion channels. In rod cyclic nucleotide-gated (CNG) channels, PIP2 was reported to inhibit activity, controlling light sensitivity and dynamic range. Reports of low PIP2 levels in rod outer segment (ROS) membranes questioned the physiological relevance of such inhibition, and the underlying mechanism remained unclear. Here we define the mechanism of PIP2 inhibition of human CNGA1, the principal rod CNG channel subunit. Flux assays and single-channel electrophysiology of purified, liposome-reconstituted CNGA1 channels demonstrate inhibition at PIP2 concentrations estimated for ROS membranes. Cryo-EM structures of PIP2-free channels in lipid nanodiscs capture closed, intermediate, and open conformations, whereas the open state is absent with PIP2. PIP2 binds at the interface between voltage-sensing, pore, and C-linker domains, stabilizing closed states and sterically preventing channel opening. Our findings establish the physiological relevance and structural mechanism of PIP2 inhibition, and provide an inhibitory allosteric site for therapeutic targeting.</w:t>
      </w:r>
    </w:p>
    <w:p>
      <w:pPr>
        <w:spacing w:before="120" w:after="120"/>
      </w:pPr>
      <w:r>
        <w:rPr>
          <w:sz w:val="18"/>
        </w:rPr>
        <w:t>——————————————————————————————————————————————————————————————————————</w:t>
      </w:r>
    </w:p>
    <w:p>
      <w:pPr>
        <w:spacing w:before="160" w:after="40" w:line="240" w:lineRule="auto"/>
      </w:pPr>
      <w:r>
        <w:rPr>
          <w:b/>
        </w:rPr>
        <w:t xml:space="preserve">[1408] </w:t>
      </w:r>
      <w:hyperlink r:id="rId2379">
        <w:r>
          <w:rPr>
            <w:color w:val="1155CC"/>
            <w:u w:val="single"/>
          </w:rPr>
          <w:t>手性驱动的左手螺旋纳米纤维：通过大位阻萘二甲酰亚胺AIEgens的螺旋聚集实现CPL发射放大</w:t>
        </w:r>
      </w:hyperlink>
    </w:p>
    <w:p>
      <w:pPr>
        <w:spacing w:before="0" w:after="80"/>
      </w:pPr>
      <w:r>
        <w:rPr>
          <w:i/>
          <w:sz w:val="20"/>
        </w:rPr>
        <w:t>EN: Chirality-Driven Left-Handed Helical Nanofibers with Amplified CPL Emission via Helicoidal Aggregation of Bulky Naphthalimide AIEgens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379">
        <w:r>
          <w:rPr>
            <w:color w:val="1155CC"/>
            <w:u w:val="single"/>
          </w:rPr>
          <w:t>10.1021/acsami.6c10731</w:t>
        </w:r>
      </w:hyperlink>
    </w:p>
    <w:p>
      <w:pPr>
        <w:spacing w:before="0" w:after="120"/>
      </w:pPr>
      <w:r>
        <w:rPr>
          <w:b/>
        </w:rPr>
        <w:t xml:space="preserve">Notes: </w:t>
      </w:r>
      <w:r>
        <w:t>abstract_source=crossref</w:t>
      </w:r>
    </w:p>
    <w:p>
      <w:pPr>
        <w:spacing w:before="0" w:after="80" w:lineRule="auto" w:line="276"/>
      </w:pPr>
      <w:r>
        <w:rPr>
          <w:b/>
        </w:rPr>
        <w:t xml:space="preserve">摘要（ZH）: </w:t>
      </w:r>
      <w:r>
        <w:t>摘要：我们报道了通过带有手性尿素部分的手性萘酰亚胺衍生物的自组装制备了左手螺旋纤维，通过扫描电子显微镜成像，具有增强的圆偏振发光（CPL）信号，其在高含水量的有机溶剂混合物中表现出聚集诱导发射发光（AIE）。螺旋纤维由特定的分子相互作用、核心染料的特定几何形状以及取代基的固有手性驱动。值得注意的是，NMI衍生物的对映体对（R，R和S，S）显示出镜像圆二色性（CD）信号，但两者都发出相同旋向的圆偏振发光（CPL），这归因于聚集状态下的超分子相互作用。此外，这些有机左手纤维充当银纳米颗粒生长的手性模板。使用能量色散 X 射线光谱 (FESEM-EDX) 进行元素分析证实了金属化过程。这项工作强调了合理设计手性聚集诱导发射发光体及其作为合成金属覆盖物的支架的策略。</w:t>
      </w:r>
    </w:p>
    <w:p>
      <w:pPr>
        <w:spacing w:before="0" w:after="200" w:lineRule="auto" w:line="276"/>
      </w:pPr>
      <w:r>
        <w:rPr>
          <w:b/>
        </w:rPr>
        <w:t xml:space="preserve">Abstract (EN): </w:t>
      </w:r>
      <w:r>
        <w:t>We report the preparation of left-handed helical fibers, imaged by scanning electron microscopy, with enhanced circularly polarized luminescence (CPL) signals, by the self-assembly of chiral naphthalimide derivatives bearing chiral urea moieties, which exhibit aggregation-induced emission luminescence (AIE) in mixtures of organic solvents with high water content. The helical fibers are driven by specific molecular interactions, the particular geometry of the core dye, and the inherent chirality of the substituents. Notably, enantiomeric pairs (R,R and S,S) of the NMI derivatives displayed mirror-image circular dichroism (CD) signals but both emitted circularly polarized luminescence (CPL) of the same handedness, attributed to the supramolecular interactions at the aggregated state. Furthermore, these organic left-handed fibers served as chiral templates for the growth of silver nanoparticles. The metallization process was confirmed by elemental analysis using energy-dispersive X-ray spectroscopy (FESEM-EDX). This work highlights a strategy for the rational design of chiral aggregation-induced emission luminogens and their use as scaffolds for the synthesis of metal coverings.</w:t>
      </w:r>
    </w:p>
    <w:p>
      <w:pPr>
        <w:spacing w:before="120" w:after="120"/>
      </w:pPr>
      <w:r>
        <w:rPr>
          <w:sz w:val="18"/>
        </w:rPr>
        <w:t>——————————————————————————————————————————————————————————————————————</w:t>
      </w:r>
    </w:p>
    <w:p>
      <w:pPr>
        <w:spacing w:before="160" w:after="40" w:line="240" w:lineRule="auto"/>
      </w:pPr>
      <w:r>
        <w:rPr>
          <w:b/>
        </w:rPr>
        <w:t xml:space="preserve">[1409] </w:t>
      </w:r>
      <w:hyperlink r:id="rId2380">
        <w:r>
          <w:rPr>
            <w:color w:val="1155CC"/>
            <w:u w:val="single"/>
          </w:rPr>
          <w:t>12英寸晶圆上300周期Si/SiGe超晶格：生长、结构完整性及与3D DRAM应用相关的挑战</w:t>
        </w:r>
      </w:hyperlink>
    </w:p>
    <w:p>
      <w:pPr>
        <w:spacing w:before="0" w:after="80"/>
      </w:pPr>
      <w:r>
        <w:rPr>
          <w:i/>
          <w:sz w:val="20"/>
        </w:rPr>
        <w:t>EN: 300-Period Si/SiGe Superlattices on 12-inch Wafers: Growth, Structural Integrity, and Challenges Relevant to 3D DRAM Application</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380">
        <w:r>
          <w:rPr>
            <w:color w:val="1155CC"/>
            <w:u w:val="single"/>
          </w:rPr>
          <w:t>10.1021/acsami.6c12625</w:t>
        </w:r>
      </w:hyperlink>
    </w:p>
    <w:p>
      <w:pPr>
        <w:spacing w:before="0" w:after="120"/>
      </w:pPr>
      <w:r>
        <w:rPr>
          <w:b/>
        </w:rPr>
        <w:t xml:space="preserve">Notes: </w:t>
      </w:r>
      <w:r>
        <w:t>abstract_source=crossref</w:t>
      </w:r>
    </w:p>
    <w:p>
      <w:pPr>
        <w:spacing w:before="0" w:after="80" w:lineRule="auto" w:line="276"/>
      </w:pPr>
      <w:r>
        <w:rPr>
          <w:b/>
        </w:rPr>
        <w:t xml:space="preserve">摘要（ZH）: </w:t>
      </w:r>
      <w:r>
        <w:t>摘要 为了克服传统动态随机存取存储器（DRAM）的缩放限制，三维DRAM（3D DRAM）被提出作为下一代高密度存储器。多周期Si/SiGe超晶格（SL）是垂直堆叠沟道结构的关键候选材料，但其高周期堆叠能力受到结构完整性和晶体质量退化的限制。在这项工作中，使用减压化学气相沉积 (RPCVD) 在 12 英寸硅片上生长了具有不同 Ge 含量（~ 25 和~ 15%）的 300 周期 Si/SiGe SL，总膜厚度超过~ 14 μm。首先制造了 Si/Si0.75Ge0.25 SL 并进行了系统表征，揭示了部分应变弛豫、垂直周期性退化和晶圆内不均匀性。随后，在优化的工艺条件下生长了有效Ge含量降低的300周期Si/Si0.85Ge0.15 SL。与Si/Si0.75Ge0.25结构相比，Si/Si0.85Ge0.15 SL表现出改进的层间厚度控制、更稳定的成分分布以及增强的晶圆内均匀性。然而，仍然观察到部分应变松弛和螺纹位错。总体而言，这项工作为 12 英寸晶圆上 300 周期 Si/SiGe SL 的退化演变、优化潜力和剩余局限性提供了实验见解，为未来 3D DRAM 应用进一步扩展 Si/SiGe 外延提供了指导。</w:t>
      </w:r>
    </w:p>
    <w:p>
      <w:pPr>
        <w:spacing w:before="0" w:after="200" w:lineRule="auto" w:line="276"/>
      </w:pPr>
      <w:r>
        <w:rPr>
          <w:b/>
        </w:rPr>
        <w:t xml:space="preserve">Abstract (EN): </w:t>
      </w:r>
      <w:r>
        <w:t>To overcome the scaling limits of conventional dynamic random-access memory (DRAM), three-dimensional DRAM (3D DRAM) has been proposed for next-generation high-density memory. Multi-period Si/SiGe superlattices (SLs) are key candidates for vertically stacked channel structures, but their high-period stacking capability is limited by degradation of structural integrity and crystalline quality. In this work, 300-period Si/SiGe SLs with different Ge contents (∼ 25 and ∼ 15%) were grown on 12-inch Si wafers using reduced-pressure chemical vapor deposition (RPCVD), achieving total film thicknesses exceeding ∼ 14 μm. A Si/Si0.75Ge0.25 SL was first fabricated and systematically characterized, revealing partial strain relaxation, degradation of vertical periodicity, and within-wafer non-uniformity. Subsequently, a 300-period Si/Si0.85Ge0.15 SL with reduced effective Ge content was grown under optimized process conditions. Compared with the Si/Si0.75Ge0.25 structure, the Si/Si0.85Ge0.15 SL exhibits improved layer-to-layer thickness control, more stable composition profiles, and enhanced within-wafer uniformity. However, partial strain relaxation and threading dislocations are still observed. Overall, this work provides experimental insights into the degradation evolution, optimization potential, and remaining limitations of 300-period Si/SiGe SLs on 12-inch wafers, offering guidance for further scaling of Si/SiGe epitaxy toward future 3D DRAM applications.</w:t>
      </w:r>
    </w:p>
    <w:p>
      <w:pPr>
        <w:spacing w:before="120" w:after="120"/>
      </w:pPr>
      <w:r>
        <w:rPr>
          <w:sz w:val="18"/>
        </w:rPr>
        <w:t>——————————————————————————————————————————————————————————————————————</w:t>
      </w:r>
    </w:p>
    <w:p>
      <w:pPr>
        <w:spacing w:before="160" w:after="40" w:line="240" w:lineRule="auto"/>
      </w:pPr>
      <w:r>
        <w:rPr>
          <w:b/>
        </w:rPr>
        <w:t xml:space="preserve">[1410] </w:t>
      </w:r>
      <w:hyperlink r:id="rId2381">
        <w:r>
          <w:rPr>
            <w:color w:val="1155CC"/>
            <w:u w:val="single"/>
          </w:rPr>
          <w:t>互补型不对称氟化紫精与共轭苯基紫精用于具有高循环稳定性的黑色电致变色器件</w:t>
        </w:r>
      </w:hyperlink>
    </w:p>
    <w:p>
      <w:pPr>
        <w:spacing w:before="0" w:after="80"/>
      </w:pPr>
      <w:r>
        <w:rPr>
          <w:i/>
          <w:sz w:val="20"/>
        </w:rPr>
        <w:t>EN: Complementary Asymmetric Fluorinated Viologen and Conjugated Phenyl Viologen for Black Electrochromic Devices with High Cycling Stability</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381">
        <w:r>
          <w:rPr>
            <w:color w:val="1155CC"/>
            <w:u w:val="single"/>
          </w:rPr>
          <w:t>10.1021/acsami.6c13289</w:t>
        </w:r>
      </w:hyperlink>
    </w:p>
    <w:p>
      <w:pPr>
        <w:spacing w:before="0" w:after="120"/>
      </w:pPr>
      <w:r>
        <w:rPr>
          <w:b/>
        </w:rPr>
        <w:t xml:space="preserve">Notes: </w:t>
      </w:r>
      <w:r>
        <w:t>abstract_source=crossref</w:t>
      </w:r>
    </w:p>
    <w:p>
      <w:pPr>
        <w:spacing w:before="0" w:after="80" w:lineRule="auto" w:line="276"/>
      </w:pPr>
      <w:r>
        <w:rPr>
          <w:b/>
        </w:rPr>
        <w:t xml:space="preserve">摘要（ZH）: </w:t>
      </w:r>
      <w:r>
        <w:t>摘要 黑色电致变色器件 (ECD) 具有宽带可见光吸收和视觉中性黑暗状态，对于智能窗户、显示器和自适应光管理系统极具吸引力。然而，实现具有高光学对比度、快速切换和长期循环稳定性的高质量黑色电致变色仍然具有挑战性，这主要是由于传统紫精系统固有的不平衡光谱吸收和自由基阳离子二聚化问题。在这里，我们通过结合分子设计和光谱叠加工程的策略解决了传统的基于紫罗碱的电致变色器件的局限性。氟化苯甲基紫精衍生物 1-(4-氟苯甲基)–1′-(3,5-双(三氟甲基)苯甲基)–4,4′-联吡啶鎓二(四氟硼酸盐) (TFBV) 旨在抑制自由基阳离子聚集并提高氧化还原稳定性。为了补偿 TFBV 在 450–550 nm 区域的弱吸收，引入了具有扩展 π 共轭的氰基苯基取代的紫精（1,1′-双（4-氰基苯基）–4,4′-联吡啶双（四氟硼酸盐）（CPV））作为互补发色团，从而实现红移和平衡的可见光吸收。受益于 TFBV 和 CPV 的协同吸收，优化后的 ECD 在可见光区域表现出高达 81.1% 的漂白态透过率、5.2% 的低着色态透过率以及 75.9% 的大光学对比度。该器件还表现出快速切换，显色和漂白时间分别为 4.4 和 4.1 秒，显色效率高达 2</w:t>
      </w:r>
    </w:p>
    <w:p>
      <w:pPr>
        <w:spacing w:before="0" w:after="200" w:lineRule="auto" w:line="276"/>
      </w:pPr>
      <w:r>
        <w:rPr>
          <w:b/>
        </w:rPr>
        <w:t xml:space="preserve">Abstract (EN): </w:t>
      </w:r>
      <w:r>
        <w:t>Black electrochromic devices (ECDs) that offer broadband visible-light absorption and a visually neutral dark state are highly attractive for smart windows, displays, and adaptive light-management systems. However, achieving high-quality black electrochromism with high optical contrast, fast switching, and long-term cycling stability remains challenging, primarily owing to the unbalanced spectral absorption and radical-cation dimerization issues inherent in conventional viologen-based systems. Herein, we address the limitations of conventional viologen-based electrochromic devices via a strategy integrating molecular design and spectral superposition engineering. A fluorinated benzyl viologen derivative, 1-(4-fluorobenzyl)–1′-(3,5-bis(trifluoromethyl)benzyl)–4,4′-bipyridinium di(tetrafluoroborate) (TFBV), is designed to suppress radical-cation aggregation and improve redox stability. To compensate for the weak absorption of TFBV in the 450–550 nm region, a cyanophenyl-substituted viologen (1,1′-bis(4-cyanophenyl)–4,4′-bipyridinium bis(tetrafluoroborate) (CPV)) with extended π-conjugation is introduced as a complementary chromophore, enabling red-shifted and balanced visible-light absorption. Benefiting from the synergistic absorption of TFBV and CPV, the optimized ECD exhibits a high bleached-state transmittance of 81.1%, a low colored-state transmittance of 5.2%, and a large optical contrast of 75.9% across the visible region. The device also shows rapid switching with coloration and bleaching times of 4.4 and 4.1 s, respectively, a high coloration efficiency of 218.65 cm2 C–1, and excellent cycling stability with 99.8% contrast retention after 10,000 cycles. Furthermore, a prototype smart window based on TFBV/CPV exhibits effective light and heat regulation. This work presents an effective molecular design strategy for stable, fast-response black ECDs and expands the potential of viologen-based materials for energy-saving smart windows.</w:t>
      </w:r>
    </w:p>
    <w:p>
      <w:pPr>
        <w:spacing w:before="120" w:after="120"/>
      </w:pPr>
      <w:r>
        <w:rPr>
          <w:sz w:val="18"/>
        </w:rPr>
        <w:t>——————————————————————————————————————————————————————————————————————</w:t>
      </w:r>
    </w:p>
    <w:p>
      <w:pPr>
        <w:spacing w:before="160" w:after="40" w:line="240" w:lineRule="auto"/>
      </w:pPr>
      <w:r>
        <w:rPr>
          <w:b/>
        </w:rPr>
        <w:t xml:space="preserve">[1411] </w:t>
      </w:r>
      <w:hyperlink r:id="rId2382">
        <w:r>
          <w:rPr>
            <w:color w:val="1155CC"/>
            <w:u w:val="single"/>
          </w:rPr>
          <w:t>衬底偏切对MoS2在蓝宝石上外延生长的影响</w:t>
        </w:r>
      </w:hyperlink>
    </w:p>
    <w:p>
      <w:pPr>
        <w:spacing w:before="0" w:after="80"/>
      </w:pPr>
      <w:r>
        <w:rPr>
          <w:i/>
          <w:sz w:val="20"/>
        </w:rPr>
        <w:t>EN: Effect of Substrate Miscut on the Epitaxial Growth of MoS2 on Sapphire</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382">
        <w:r>
          <w:rPr>
            <w:color w:val="1155CC"/>
            <w:u w:val="single"/>
          </w:rPr>
          <w:t>10.1021/acsami.6c13549</w:t>
        </w:r>
      </w:hyperlink>
    </w:p>
    <w:p>
      <w:pPr>
        <w:spacing w:before="0" w:after="120"/>
      </w:pPr>
      <w:r>
        <w:rPr>
          <w:b/>
        </w:rPr>
        <w:t xml:space="preserve">Notes: </w:t>
      </w:r>
      <w:r>
        <w:t>abstract_source=crossref</w:t>
      </w:r>
    </w:p>
    <w:p>
      <w:pPr>
        <w:spacing w:before="0" w:after="80" w:lineRule="auto" w:line="276"/>
      </w:pPr>
      <w:r>
        <w:rPr>
          <w:b/>
        </w:rPr>
        <w:t xml:space="preserve">摘要（ZH）: </w:t>
      </w:r>
      <w:r>
        <w:t>摘要 研究了衬底误切角和生长温度对c面蓝宝石衬底上有机金属化学气相沉积(MOCVD)制备的MoS2单层外延生长和性能的综合影响。增加朝向 M 轴的误切角度会产生具有更高台阶密度的刻面台阶-平台表面，并减少蓝宝石表面上的平台宽度，同时促进生长过程中明显的台阶聚束。这些误切引起的表面重建强烈调节MoS2的生长，导致双层域密度、尺寸、形态和外延排列的系统变化，而不会显着改变生长速率。全面的结构、光学和电子特性表明，在 1000 °C 下在误切最低 (0.2°) 的蓝宝石上生长可产生最高质量的单层 MoS2，面内 X 射线衍射 φ 扫描峰的半高全宽较低、低温下光致发光光谱中的缺陷束缚激子发射最小化以及优异的场效应晶体管性能证明了这一点。相比之下，1° 误切基板会促进双层域密度的增加，这可能是由于蓝宝石阶梯聚束的增加，使其适合受控双层 MoS2 生长。然而，进一步将斜切增加到 4° 或将生长温度降低到 950 °C 会导致结构、光学和电学性能显着下降。这些结果强调了基板错切的重要性及其在控制 MoS2 外延生长中的作用，提供了价值</w:t>
      </w:r>
    </w:p>
    <w:p>
      <w:pPr>
        <w:spacing w:before="0" w:after="200" w:lineRule="auto" w:line="276"/>
      </w:pPr>
      <w:r>
        <w:rPr>
          <w:b/>
        </w:rPr>
        <w:t xml:space="preserve">Abstract (EN): </w:t>
      </w:r>
      <w:r>
        <w:t>The combined effects of substrate miscut angle and growth temperature on the epitaxial growth and properties of MoS2 monolayers synthesized by metalorganic chemical vapor deposition (MOCVD) on c-plane sapphire substrates were investigated. Increasing the miscut angle toward the M-axis produces faceted step–terrace surfaces with higher step density and reduced terrace width on the sapphire surface, while promoting pronounced step bunching during growth. These miscut-induced surface reconstructions strongly modulate MoS2 growth, leading to systematic changes in bilayer domain density, size, morphology, and epitaxial alignment without significantly altering the growth rate. Comprehensive structural, optical, and electronic characterizations reveal that growth at 1000 °C on the lowest miscut (0.2°) sapphire yields the highest quality monolayer MoS2, as evidenced by the low full width at half-maximum of the in-plane X-ray diffraction φ-scan peaks, minimized defect-bound exciton emission in photoluminescence spectra at cryogenic temperatures, and superior field-effect transistor performance. In contrast, 1° miscut substrates promote increased bilayer domain density, likely due to increased step bunching of the sapphire, making them suitable for controlled bilayer MoS2 growth. However, further increasing the miscut to 4° or lowering the growth temperature to 950 °C results in significantly degraded structural, optical, and electrical properties. These results highlight the importance of substrate miscut and its role in governing the epitaxial growth of MoS2, offering valuable guidance for the scalable synthesis of high-quality two-dimensional MoS2 films.</w:t>
      </w:r>
    </w:p>
    <w:p>
      <w:pPr>
        <w:spacing w:before="120" w:after="120"/>
      </w:pPr>
      <w:r>
        <w:rPr>
          <w:sz w:val="18"/>
        </w:rPr>
        <w:t>——————————————————————————————————————————————————————————————————————</w:t>
      </w:r>
    </w:p>
    <w:p>
      <w:pPr>
        <w:spacing w:before="160" w:after="40" w:line="240" w:lineRule="auto"/>
      </w:pPr>
      <w:r>
        <w:rPr>
          <w:b/>
        </w:rPr>
        <w:t xml:space="preserve">[1412] </w:t>
      </w:r>
      <w:hyperlink r:id="rId2383">
        <w:r>
          <w:rPr>
            <w:color w:val="1155CC"/>
            <w:u w:val="single"/>
          </w:rPr>
          <w:t>可拉伸Ag光栅中应变调控的等离激元激发与拉曼散射实现可调表面增强拉曼散射</w:t>
        </w:r>
      </w:hyperlink>
    </w:p>
    <w:p>
      <w:pPr>
        <w:spacing w:before="0" w:after="80"/>
      </w:pPr>
      <w:r>
        <w:rPr>
          <w:i/>
          <w:sz w:val="20"/>
        </w:rPr>
        <w:t>EN: Strain-Regulated Plasmonic Excitation and Raman Scattering for Tunable Surface-Enhanced Raman Scattering in a Stretchable Ag Grating</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383">
        <w:r>
          <w:rPr>
            <w:color w:val="1155CC"/>
            <w:u w:val="single"/>
          </w:rPr>
          <w:t>10.1021/acsami.6c09171</w:t>
        </w:r>
      </w:hyperlink>
    </w:p>
    <w:p>
      <w:pPr>
        <w:spacing w:before="0" w:after="120"/>
      </w:pPr>
      <w:r>
        <w:rPr>
          <w:b/>
        </w:rPr>
        <w:t xml:space="preserve">Notes: </w:t>
      </w:r>
      <w:r>
        <w:t>abstract_source=crossref</w:t>
      </w:r>
    </w:p>
    <w:p>
      <w:pPr>
        <w:spacing w:before="0" w:after="80" w:lineRule="auto" w:line="276"/>
      </w:pPr>
      <w:r>
        <w:rPr>
          <w:b/>
        </w:rPr>
        <w:t xml:space="preserve">摘要（ZH）: </w:t>
      </w:r>
      <w:r>
        <w:t>摘要：柔性等离子体基底对于共形和原位表面增强拉曼散射（SERS）检测具有吸引力。然而，尽管无间隙金属纳米结构易于制造且光谱可调，但其在应变可调谐 SERS 方面受到的关注有限。本文报道了一种位于正弦聚二甲基硅氧烷 (PDMS) 基底上的可拉伸银光栅，它能够对等离子体响应和拉曼散射进行应变调节调制。垂直 (εx) 和平行 (εy) 施加到光栅线的应变会引起明显的形态变化，导致相对于 532 nm 激发波长的相反光谱偏移。在纵向拉伸下，局部场增强表现出对应变的非单调依赖性，并在 εy = 10% 时达到最大值，尽管等离子共振在较大应变下进一步向激发波长蓝移。电磁模拟和珀塞尔因子分析表明，拉伸同时调节激发场增强和等离子体介导的拉曼散射。这种激发散射调制在 εy = 10% 时产生最强的结晶紫 SERS 响应，从而实现 10−11 mol/L 的检测限。此外，该基材在 60 个拉伸循环中保持了高再现性，RSD = 4.5%，凸显了其机械可调和灵活分子传感的潜力。</w:t>
      </w:r>
    </w:p>
    <w:p>
      <w:pPr>
        <w:spacing w:before="0" w:after="200" w:lineRule="auto" w:line="276"/>
      </w:pPr>
      <w:r>
        <w:rPr>
          <w:b/>
        </w:rPr>
        <w:t xml:space="preserve">Abstract (EN): </w:t>
      </w:r>
      <w:r>
        <w:t>Flexible plasmonic substrates are attractive for conformal and in situ surface-enhanced Raman scattering (SERS) detection; however, gap-free metallic nanostructures have received limited attention for strain-tunable SERS despite their facile fabrication and spectral tunability. This paper reports a stretchable Ag grating on a sinusoidal polydimethylsiloxane (PDMS) substrate that enables strain-regulated modulation of plasmonic response and Raman scattering. Strain applied perpendicular (εx) and parallel (εy) to the grating lines induces distinct morphological changes, leading to opposite spectral shifts relative to the 532 nm excitation wavelength. Under longitudinal stretching, the local-field enhancement exhibits a nonmonotonic dependence on strain and reaches its maximum at εy = 10%, although the plasmon resonance further blueshifts toward the excitation wavelength at larger strains. Electromagnetic simulations and Purcell-factor analysis reveal that stretching simultaneously regulates excitation-field enhancement and plasmon-mediated Raman scattering. This excitation−scattering modulation produces the strongest SERS response for crystal violet at εy = 10%, enabling a detection limit of 10−11 mol/L. Moreover, the substrate maintains high reproducibility, with an RSD = 4.5% over 60 stretching cycles, highlighting its potential for mechanically tunable and flexible molecular sensing.</w:t>
      </w:r>
    </w:p>
    <w:p>
      <w:pPr>
        <w:spacing w:before="120" w:after="120"/>
      </w:pPr>
      <w:r>
        <w:rPr>
          <w:sz w:val="18"/>
        </w:rPr>
        <w:t>——————————————————————————————————————————————————————————————————————</w:t>
      </w:r>
    </w:p>
    <w:p>
      <w:pPr>
        <w:spacing w:before="160" w:after="40" w:line="240" w:lineRule="auto"/>
      </w:pPr>
      <w:r>
        <w:rPr>
          <w:b/>
        </w:rPr>
        <w:t xml:space="preserve">[1413] </w:t>
      </w:r>
      <w:hyperlink r:id="rId2384">
        <w:r>
          <w:rPr>
            <w:color w:val="1155CC"/>
            <w:u w:val="single"/>
          </w:rPr>
          <w:t>通过阳离子有序周期性调控钙钛矿氧化物界面：实验解析的原子结构与预测的磁耦合</w:t>
        </w:r>
      </w:hyperlink>
    </w:p>
    <w:p>
      <w:pPr>
        <w:spacing w:before="0" w:after="80"/>
      </w:pPr>
      <w:r>
        <w:rPr>
          <w:i/>
          <w:sz w:val="20"/>
        </w:rPr>
        <w:t>EN: Perovskite Oxide Interfaces Tailored by Cation Ordering Periodicities: Experimentally Resolved Atomic Structure and Predicted Magnetic Coupling</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384">
        <w:r>
          <w:rPr>
            <w:color w:val="1155CC"/>
            <w:u w:val="single"/>
          </w:rPr>
          <w:t>10.1021/acsami.6c08939</w:t>
        </w:r>
      </w:hyperlink>
    </w:p>
    <w:p>
      <w:pPr>
        <w:spacing w:before="0" w:after="120"/>
      </w:pPr>
      <w:r>
        <w:rPr>
          <w:b/>
        </w:rPr>
        <w:t xml:space="preserve">Notes: </w:t>
      </w:r>
      <w:r>
        <w:t>abstract_source=crossref</w:t>
      </w:r>
    </w:p>
    <w:p>
      <w:pPr>
        <w:spacing w:before="0" w:after="80" w:lineRule="auto" w:line="276"/>
      </w:pPr>
      <w:r>
        <w:rPr>
          <w:b/>
        </w:rPr>
        <w:t xml:space="preserve">摘要（ZH）: </w:t>
      </w:r>
      <w:r>
        <w:t>摘要 由于合成方面的挑战和缺乏足够的母相，由具有不同 B 位有序周期的钙钛矿氧化物形成的磁耦合界面尚未得到广泛研究。在这里，我们使用像差校正分析扫描透射电子显微镜来识别钙钛矿氧化物界面的原子结构和化学性质，该界面在原子尺度上表现出不同的 B 位有序周期性。该界面由 1:1 B 位有序双钙钛矿 Sr2Fe1+xRe1–xO6 和 1:2 B 位有序三钙钛矿 Sr3Fe2ReO9 形成。对超晶格模型的第一性原理计算与实验观察到的 B 位有序周期的相同调制表明，界面处 Fe 和 Re 原子之间的磁耦合导致铁磁性特征，这与母相的反铁磁性性质相反。结果表明，通过调整 B 位有序周期来调节钙钛矿氧化物界面的界面磁性，可以潜在地应用于具有磁性工程界面的超晶格薄膜的外延生长。</w:t>
      </w:r>
    </w:p>
    <w:p>
      <w:pPr>
        <w:spacing w:before="0" w:after="200" w:lineRule="auto" w:line="276"/>
      </w:pPr>
      <w:r>
        <w:rPr>
          <w:b/>
        </w:rPr>
        <w:t xml:space="preserve">Abstract (EN): </w:t>
      </w:r>
      <w:r>
        <w:t>Magnetically coupled interfaces formed from perovskite oxides with different B-site ordering periodicities have not been studied extensively due to challenges in synthesis and a lack of adequate parent phases. Here, we use aberration-corrected analytical scanning transmission electron microscopy to identify the atomic structure and chemistry of a perovskite oxide interface that exhibits different B-site ordering periodicity on the atomic scale. The interface is formed from the 1:1 B-site-ordered double-perovskite Sr2Fe1+xRe1–xO6 and the 1:2 B-site-ordered triple-perovskite Sr3Fe2ReO9. First-principles calculations on the superlattice model with the same modulation of B-site ordering periodicity observed experimentally show that magnetic coupling between Fe and Re atoms at the interface results in characteristics of ferromagnetism, in contrast to the antiferromagnetic nature of the parent phases. The results suggest that tailoring of B-site ordering periodicity for tuning interfacial magnetism at perovskite oxide interfaces can be potentially applied in epitaxial growth of superlattice thin films with magnetically engineered interfaces.</w:t>
      </w:r>
    </w:p>
    <w:p>
      <w:pPr>
        <w:spacing w:before="120" w:after="120"/>
      </w:pPr>
      <w:r>
        <w:rPr>
          <w:sz w:val="18"/>
        </w:rPr>
        <w:t>——————————————————————————————————————————————————————————————————————</w:t>
      </w:r>
    </w:p>
    <w:p>
      <w:pPr>
        <w:spacing w:before="160" w:after="40" w:line="240" w:lineRule="auto"/>
      </w:pPr>
      <w:r>
        <w:rPr>
          <w:b/>
        </w:rPr>
        <w:t xml:space="preserve">[1414] </w:t>
      </w:r>
      <w:hyperlink r:id="rId2385">
        <w:r>
          <w:rPr>
            <w:color w:val="1155CC"/>
            <w:u w:val="single"/>
          </w:rPr>
          <w:t>镁功能化水凝胶递送CAR T细胞增强腹膜转移治疗</w:t>
        </w:r>
      </w:hyperlink>
    </w:p>
    <w:p>
      <w:pPr>
        <w:spacing w:before="0" w:after="80"/>
      </w:pPr>
      <w:r>
        <w:rPr>
          <w:i/>
          <w:sz w:val="20"/>
        </w:rPr>
        <w:t>EN: Delivery of CAR T Cells in a Magnesium-Functionated Hydrogel Boosts Peritoneal Metastasis Treatment</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385">
        <w:r>
          <w:rPr>
            <w:color w:val="1155CC"/>
            <w:u w:val="single"/>
          </w:rPr>
          <w:t>10.1021/acsami.6c06142</w:t>
        </w:r>
      </w:hyperlink>
    </w:p>
    <w:p>
      <w:pPr>
        <w:spacing w:before="0" w:after="120"/>
      </w:pPr>
      <w:r>
        <w:rPr>
          <w:b/>
        </w:rPr>
        <w:t xml:space="preserve">Notes: </w:t>
      </w:r>
      <w:r>
        <w:t>abstract_source=crossref</w:t>
      </w:r>
    </w:p>
    <w:p>
      <w:pPr>
        <w:spacing w:before="0" w:after="80" w:lineRule="auto" w:line="276"/>
      </w:pPr>
      <w:r>
        <w:rPr>
          <w:b/>
        </w:rPr>
        <w:t xml:space="preserve">摘要（ZH）: </w:t>
      </w:r>
      <w:r>
        <w:t>摘要 由于肿瘤微环境中的抑制因素，嵌合抗原受体 (CAR) T 细胞在实体瘤中的疗效有限。在这项研究中，我们确定细胞外镁 (Mg2+) 作为 CAR T 活性的药理学调节调节剂。补充 Mg2+ 可增加早期激活并增强细胞毒性读数，包括 IFN-γ 分泌和靶细胞裂解。为了定位这一线索，我们设计了一种通过 Mg2+ 离子交联的磷酸化透明质酸水凝胶（HA-Mg 凝胶），它形成了原位富含 Mg2+ 的生态位。在这个利基中，CAR T 细胞在肿瘤-T 细胞界面处表现出增强的肌动蛋白聚合，并在体外表现出增强的激活和效应功能。在 Capan-2 腹膜转移模型中，腹膜内给予 CAR T@HA-Mg Gel 产生了持久的肿瘤控制，并与对照组相比显着延长了生存期。这些发现将细胞外 Mg2+ 定位为 CAR T 活性的调节剂，并提出了一种生物材料引导的非遗传策略来改善实体瘤的 CAR T 细胞疗法。</w:t>
      </w:r>
    </w:p>
    <w:p>
      <w:pPr>
        <w:spacing w:before="0" w:after="200" w:lineRule="auto" w:line="276"/>
      </w:pPr>
      <w:r>
        <w:rPr>
          <w:b/>
        </w:rPr>
        <w:t xml:space="preserve">Abstract (EN): </w:t>
      </w:r>
      <w:r>
        <w:t>Chimeric antigen receptor (CAR) T cells show limited efficacy in solid tumors due to suppressive factors in the tumor microenvironment. In this study, we identified extracellular magnesium (Mg2+) as a pharmacologically modulable regulator of CAR T activity. Mg2+ supplementation increased early activation and augmented cytotoxic readouts, including IFN-γ secretion and target-cell lysis. To localize this cue, we engineered a phosphorylated hyaluronic-acid hydrogel ionically cross-linked by Mg2+ (HA-Mg Gel), which forms an in situ Mg2+-rich niche. In this niche, CAR T cells exhibit reinforced actin polymerization at the tumor-T-cell interface and show enhanced activation and effector function in vitro. In a Capan-2 peritoneal metastasis model, intraperitoneal administration of CAR T@HA-Mg Gel produced durable tumor control and significantly prolonged survival compared with controls. These findings position extracellular Mg2+ as a modulator of CAR T activity and present a biomaterial-guided, nongenetic strategy to improve CAR T-cell therapy for solid tumors.</w:t>
      </w:r>
    </w:p>
    <w:p>
      <w:pPr>
        <w:spacing w:before="120" w:after="120"/>
      </w:pPr>
      <w:r>
        <w:rPr>
          <w:sz w:val="18"/>
        </w:rPr>
        <w:t>——————————————————————————————————————————————————————————————————————</w:t>
      </w:r>
    </w:p>
    <w:p>
      <w:pPr>
        <w:spacing w:before="160" w:after="40" w:line="240" w:lineRule="auto"/>
      </w:pPr>
      <w:r>
        <w:rPr>
          <w:b/>
        </w:rPr>
        <w:t xml:space="preserve">[1415] </w:t>
      </w:r>
      <w:hyperlink r:id="rId2386">
        <w:r>
          <w:rPr>
            <w:color w:val="1155CC"/>
            <w:u w:val="single"/>
          </w:rPr>
          <w:t>MXene/MoS2-离子液体异质结构的应力诱导电子/原子界面演化实现环氧涂层自适应润滑</w:t>
        </w:r>
      </w:hyperlink>
    </w:p>
    <w:p>
      <w:pPr>
        <w:spacing w:before="0" w:after="80"/>
      </w:pPr>
      <w:r>
        <w:rPr>
          <w:i/>
          <w:sz w:val="20"/>
        </w:rPr>
        <w:t>EN: Stress-Induced Electronic/Atomic Interfacial Evolution of MXene/MoS2-Ionic Liquid Heterostructures Enables Adaptive Lubrication in Epoxy Coatings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386">
        <w:r>
          <w:rPr>
            <w:color w:val="1155CC"/>
            <w:u w:val="single"/>
          </w:rPr>
          <w:t>10.1021/acsami.6c15497</w:t>
        </w:r>
      </w:hyperlink>
    </w:p>
    <w:p>
      <w:pPr>
        <w:spacing w:before="0" w:after="120"/>
      </w:pPr>
      <w:r>
        <w:rPr>
          <w:b/>
        </w:rPr>
        <w:t xml:space="preserve">Notes: </w:t>
      </w:r>
      <w:r>
        <w:t>abstract_source=crossref</w:t>
      </w:r>
    </w:p>
    <w:p>
      <w:pPr>
        <w:spacing w:before="0" w:after="80" w:lineRule="auto" w:line="276"/>
      </w:pPr>
      <w:r>
        <w:rPr>
          <w:b/>
        </w:rPr>
        <w:t xml:space="preserve">摘要（ZH）: </w:t>
      </w:r>
      <w:r>
        <w:t>摘要 MXene/MoS2异质结构聚合物涂层的摩擦学性能受到对电子/原子界面演化的不完全理解以及对摩擦条件下动态接触应力的自适应响应不足的限制，限制了承载能力、润滑效率和长期耐久性的实现。在此，通过集成壳聚糖封装的MXene/MoS2-[APMIM]Br离子液体（IL）异质结构，合理设计了多尺度分级混合填料（MSIC），然后将其掺入环氧树脂（EP）中以制备自润滑复合涂层（MSICP）。纳米摩擦学测试表明，MSIC 比单独的 MXene 和 MoS2 表现出更低且更均匀的摩擦，而 MSICP 显着降低了磨损深度、磨损体积和界面粘附力。密度泛函理论 (DFT) 计算和分子动力学 (MD) 模拟表明，连续的界面相互作用演化可提高摩擦学性能。具体来说，滑动引发 IL 介导的边界润滑，并进一步过渡到范德华辅助的 MXene/MoS2 异质结构剪切，最终在暴露的 MXene 表面产生强极性粘附。这种演变抑制了直接的固-固接触，并最大限度地减少了电子-云重叠，从而减少了界面剪切和粘附。在宏观尺度上，与 EP 相比，含有 2 wt% MSIC 的涂层的磨损率 (3.7 × 10–4 mm3/N m) 降低了 70.4%，证实了纳米尺度的有效转化</w:t>
      </w:r>
    </w:p>
    <w:p>
      <w:pPr>
        <w:spacing w:before="0" w:after="200" w:lineRule="auto" w:line="276"/>
      </w:pPr>
      <w:r>
        <w:rPr>
          <w:b/>
        </w:rPr>
        <w:t xml:space="preserve">Abstract (EN): </w:t>
      </w:r>
      <w:r>
        <w:t>The tribological performance of MXene/MoS2 heterostructure-based polymer coatings is limited by an incomplete understanding of electronic/atomic interfacial evolution, as well as an insufficient adaptive response to dynamic contact stress under friction conditions, which restricts the realization of load-bearing capacity, lubrication efficiency, and long-term durability. Herein, a multiscale hierarchical hybrid filler (MSIC) is rationally designed by integrating a chitosan-encapsulated MXene/MoS2-[APMIM]Br ionic liquid (IL) heterostructure, and then incorporated into epoxy (EP) to fabricate the self-lubricating composite coatings (MSICP). Nanotribological tests demonstrate that the MSIC exhibits lower and more uniform friction than individual MXene and MoS2, while MSICP significantly reduces wear depth, wear volume, and interfacial adhesion. Density functional theory (DFT) calculations and molecular dynamics (MD) simulations reveal that the sequential interfacial interaction evolution drives enhanced tribological performance. Specifically, sliding initiates IL-mediated boundary lubrication, and further transitions to van der Waals-assisted MXene/MoS2 heterostructure shearing, eventually concluding with strong polar adhesion at exposed MXene surfaces. This evolution suppresses direct solid-solid contact and minimizes electron-cloud overlap, thus reducing interfacial shear and adhesion. At the macroscale, the coating containing 2 wt % MSIC achieves a 70.4% reduction in wear rate (3.7 × 10–4 mm3/N m) compared with EP, confirming the effective translation of nanoscale interfacial regulation into bulk mechanical reinforcement. Machine learning (ML) identifies filler content as the dominant friction-governing factor. Notably, increased filler concentration maintains continuous low-shear channels and buffers plastic deformation, which triggers chitosan microcracking to facilitate on-demand IL release. This work provides a guided strategy for designing high-performance MXene/MoS2 heterostructure-based polymer coatings for wear protection of moving parts in precision machinery systems.</w:t>
      </w:r>
    </w:p>
    <w:p>
      <w:pPr>
        <w:spacing w:before="120" w:after="120"/>
      </w:pPr>
      <w:r>
        <w:rPr>
          <w:sz w:val="18"/>
        </w:rPr>
        <w:t>——————————————————————————————————————————————————————————————————————</w:t>
      </w:r>
    </w:p>
    <w:p>
      <w:pPr>
        <w:spacing w:before="160" w:after="40" w:line="240" w:lineRule="auto"/>
      </w:pPr>
      <w:r>
        <w:rPr>
          <w:b/>
        </w:rPr>
        <w:t xml:space="preserve">[1416] </w:t>
      </w:r>
      <w:hyperlink r:id="rId2387">
        <w:r>
          <w:rPr>
            <w:color w:val="1155CC"/>
            <w:u w:val="single"/>
          </w:rPr>
          <w:t>评估表面处理对氟化硅酞菁有机混合离子-电子导体的影响</w:t>
        </w:r>
      </w:hyperlink>
    </w:p>
    <w:p>
      <w:pPr>
        <w:spacing w:before="0" w:after="80"/>
      </w:pPr>
      <w:r>
        <w:rPr>
          <w:i/>
          <w:sz w:val="20"/>
        </w:rPr>
        <w:t>EN: Evaluating the Impact of Surface Treatments on a Fluorinated Silicon Phthalocyanine Organic Mixed Ionic-Electronic Conductor</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387">
        <w:r>
          <w:rPr>
            <w:color w:val="1155CC"/>
            <w:u w:val="single"/>
          </w:rPr>
          <w:t>10.1021/acsami.6c11871</w:t>
        </w:r>
      </w:hyperlink>
    </w:p>
    <w:p>
      <w:pPr>
        <w:spacing w:before="0" w:after="120"/>
      </w:pPr>
      <w:r>
        <w:rPr>
          <w:b/>
        </w:rPr>
        <w:t xml:space="preserve">Notes: </w:t>
      </w:r>
      <w:r>
        <w:t>abstract_source=crossref</w:t>
      </w:r>
    </w:p>
    <w:p>
      <w:pPr>
        <w:spacing w:before="0" w:after="80" w:lineRule="auto" w:line="276"/>
      </w:pPr>
      <w:r>
        <w:rPr>
          <w:b/>
        </w:rPr>
        <w:t xml:space="preserve">摘要（ZH）: </w:t>
      </w:r>
      <w:r>
        <w:t>摘要：小分子有机混合离子电子导体 (OMIEC) 因其批次间差异极小，为制造可靠的有机电化学晶体管 (OECT) 提供了一种有趣的聚合物替代品。器件的环境和操作稳定性仍然是一个重要问题，特别是在 n 型 OMIEC 中，这促使分子设计具有较低 LUMO 水平和更紧密分子间力的材料。在这项工作中，我们将实现这些目标的通用策略（氟化）应用于我们之前开发的硅酞菁 OMIEC，并使用基于硅烷的表面处理作为案例研究，研究表面处理对小分子 OECT 性能的影响。与非氟化材料相比，在 SiO2 上制造的双(2-[2-(2-甲氧基乙氧基)乙氧基]乙酸)硅四氟酞菁 (MEEA-F4SiPc) OECT 表现出较低的阈值电压 (VT)（0.406 ± 0.056 V）和更好的循环稳定性。 EIS 和拉曼光谱证明，使用表面处理可以在膨胀时更快地吸收离子。尽管这也通过更快的 τon 值导致 OECT 的瞬态特性略有改善，但 OECT 的稳态特性没有变化。本研究建议将表面处理作为改善小分子 OECT 性能的策略。</w:t>
      </w:r>
    </w:p>
    <w:p>
      <w:pPr>
        <w:spacing w:before="0" w:after="200" w:lineRule="auto" w:line="276"/>
      </w:pPr>
      <w:r>
        <w:rPr>
          <w:b/>
        </w:rPr>
        <w:t xml:space="preserve">Abstract (EN): </w:t>
      </w:r>
      <w:r>
        <w:t>Small-molecule organic mixed ionic-electronic conductors (OMIECs) offer an interesting alternative to polymers for the fabrication of reliable organic electrochemical transistors (OECTs) thanks to their minimal batch-to-batch variability. The environmental and operational stability of the devices remains a significant issue, particularly in n-type OMIECs, prompting the molecular design of materials with lower LUMO levels and tighter intermolecular forces. In this work, we apply a common strategy that achieves these goals, fluorination, to our previously developed silicon phthalocyanine OMIEC and use silane-based surface treatments as a case study for the effect of surface treatment on the performance of small-molecule OECTs. When compared to the non-fluorinated material, bis(2-[2-(2-methoxyethoxy)ethoxy]acetate) silicon tetrafluoro phthalocyanine (MEEA-F4SiPc) OECTs fabricated on SiO2 demonstrate a lower threshold voltage (VT) at 0.406 ± 0.056 V and better cycling stability. Using surface treatments resulted in faster uptake of ions when swelling as evidenced by EIS and Raman spectroscopy. Though this also resulted in slight improvements in the transient characteristics of the OECTs through faster τon values, the steady-state characteristics of the OECTs were unchanged. This study suggests surface treatment as a strategy for improved small-molecule OECT performance.</w:t>
      </w:r>
    </w:p>
    <w:p>
      <w:pPr>
        <w:spacing w:before="120" w:after="120"/>
      </w:pPr>
      <w:r>
        <w:rPr>
          <w:sz w:val="18"/>
        </w:rPr>
        <w:t>——————————————————————————————————————————————————————————————————————</w:t>
      </w:r>
    </w:p>
    <w:p>
      <w:pPr>
        <w:spacing w:before="160" w:after="40" w:line="240" w:lineRule="auto"/>
      </w:pPr>
      <w:r>
        <w:rPr>
          <w:b/>
        </w:rPr>
        <w:t xml:space="preserve">[1417] </w:t>
      </w:r>
      <w:hyperlink r:id="rId2388">
        <w:r>
          <w:rPr>
            <w:color w:val="1155CC"/>
            <w:u w:val="single"/>
          </w:rPr>
          <w:t>手性富集碳纳米管中具有栅极可调光响应的应变工程分子内结</w:t>
        </w:r>
      </w:hyperlink>
    </w:p>
    <w:p>
      <w:pPr>
        <w:spacing w:before="0" w:after="80"/>
      </w:pPr>
      <w:r>
        <w:rPr>
          <w:i/>
          <w:sz w:val="20"/>
        </w:rPr>
        <w:t>EN: Strain-Engineered Intramolecular Junctions in Chirality-Enriched Carbon Nanotubes with Gate-Tunable Photoresponse</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388">
        <w:r>
          <w:rPr>
            <w:color w:val="1155CC"/>
            <w:u w:val="single"/>
          </w:rPr>
          <w:t>10.1021/acsami.6c07783</w:t>
        </w:r>
      </w:hyperlink>
    </w:p>
    <w:p>
      <w:pPr>
        <w:spacing w:before="0" w:after="120"/>
      </w:pPr>
      <w:r>
        <w:rPr>
          <w:b/>
        </w:rPr>
        <w:t xml:space="preserve">Notes: </w:t>
      </w:r>
      <w:r>
        <w:t>abstract_source=crossref</w:t>
      </w:r>
    </w:p>
    <w:p>
      <w:pPr>
        <w:spacing w:before="0" w:after="80" w:lineRule="auto" w:line="276"/>
      </w:pPr>
      <w:r>
        <w:rPr>
          <w:b/>
        </w:rPr>
        <w:t xml:space="preserve">摘要（ZH）: </w:t>
      </w:r>
      <w:r>
        <w:t>摘要 应变工程是调制半导体电子和光学特性的关键方法，从而实现低维材料的能带工程。在这项工作中，我们报告了一种基于手性富集的单壁碳纳米管（SWCNT）的应变工程光电检测架构，该架构能够实现手性敏感的能带结构调制、分子内结（IMJ）形成和栅极可调光谱光响应。高度可调的台阶结构旨在在 SWCNT IMJ 器件中引入良好控制的单轴应变，从而实现机械变形和光电行为之间的系统关联。与传统的块体材料或二维半导体不同，外部应变通常会引起其带隙的单调变化，我们发现基于 SWCNT IMJ 的器件在单轴应变增加的情况下，光响应光谱表现出明显的、依赖于手性的变化。从光谱中提取的能带隙定量地遵循理论预测的应变-带隙关系，并且不同手性指数具有不同的趋势。此外，静电门控提供光电流幅度和光谱响应曲线的连续可调性，显示器件光响应的主动调制。这些结果表明，手性丰富的 SWCNT 薄膜中的应变工程 IMJ 可以作为能带工程和栅极可调光响应的通用方法，为实现多功能和可重构低维提供了一条实用途径。</w:t>
      </w:r>
    </w:p>
    <w:p>
      <w:pPr>
        <w:spacing w:before="0" w:after="200" w:lineRule="auto" w:line="276"/>
      </w:pPr>
      <w:r>
        <w:rPr>
          <w:b/>
        </w:rPr>
        <w:t xml:space="preserve">Abstract (EN): </w:t>
      </w:r>
      <w:r>
        <w:t>Strain engineering serves as a pivotal method for modulating the electronic and optical properties of semiconductors, thereby realizing energy band engineering in low-dimensional materials. In this work, we report a strain-engineered photodetection architecture based on chirality-enriched single-walled carbon nanotubes (SWCNTs) that enables chirality-sensitive energy-band structure modulation, intramolecular junction (IMJ) formation, and gate-tunable spectral photoresponse. Height-tunable step structures are designed to introduce well-controlled uniaxial strain in SWCNT IMJ devices, allowing systematic correlation between mechanical deformation and optoelectronic behavior. Unlike conventional bulk materials or two-dimensional semiconductors, for which external strain typically induces a monotonic shift of their bandgaps, we find that devices based on SWCNT IMJs exhibit pronounced, chirality-dependent changes in photoresponse spectra under increasing uniaxial strain. The energy bandgaps extracted from spectra quantitatively follow the theoretically predicted strain–bandgap relationships with various trends for different chiral indices. Furthermore, electrostatic gating provides continuous tunability of both photocurrent amplitude and spectral response profile, showing active modulation of device photoresponse. These results demonstrate that strain-engineered IMJs in chirality-enriched SWCNT films can serve as a general method for energy band engineering and gate-tunable photoresponse, offering a practical route toward multifunctional and reconfigurable low-dimensional optoelectronic devices.</w:t>
      </w:r>
    </w:p>
    <w:p>
      <w:pPr>
        <w:spacing w:before="120" w:after="120"/>
      </w:pPr>
      <w:r>
        <w:rPr>
          <w:sz w:val="18"/>
        </w:rPr>
        <w:t>——————————————————————————————————————————————————————————————————————</w:t>
      </w:r>
    </w:p>
    <w:p>
      <w:pPr>
        <w:spacing w:before="160" w:after="40" w:line="240" w:lineRule="auto"/>
      </w:pPr>
      <w:r>
        <w:rPr>
          <w:b/>
        </w:rPr>
        <w:t xml:space="preserve">[1418] </w:t>
      </w:r>
      <w:hyperlink r:id="rId2290">
        <w:r>
          <w:rPr>
            <w:color w:val="1155CC"/>
            <w:u w:val="single"/>
          </w:rPr>
          <w:t>应变调控的界面输运决定顶面和侧面n/p型金属-TMD结的接触电阻</w:t>
        </w:r>
      </w:hyperlink>
    </w:p>
    <w:p>
      <w:pPr>
        <w:spacing w:before="0" w:after="80"/>
      </w:pPr>
      <w:r>
        <w:rPr>
          <w:i/>
          <w:sz w:val="20"/>
        </w:rPr>
        <w:t>EN: Strain-Controlled Interfacial Transport Governs Contact Resistance in Top and Edge n/p-Type Metal-TMD Junctions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290">
        <w:r>
          <w:rPr>
            <w:color w:val="1155CC"/>
            <w:u w:val="single"/>
          </w:rPr>
          <w:t>10.1021/acsami.6c10548</w:t>
        </w:r>
      </w:hyperlink>
    </w:p>
    <w:p>
      <w:pPr>
        <w:spacing w:before="0" w:after="120"/>
      </w:pPr>
      <w:r>
        <w:rPr>
          <w:b/>
        </w:rPr>
        <w:t xml:space="preserve">Notes: </w:t>
      </w:r>
      <w:r>
        <w:t>abstract_source=crossref</w:t>
      </w:r>
    </w:p>
    <w:p>
      <w:pPr>
        <w:spacing w:before="0" w:after="80" w:lineRule="auto" w:line="276"/>
      </w:pPr>
      <w:r>
        <w:rPr>
          <w:b/>
        </w:rPr>
        <w:t xml:space="preserve">摘要（ZH）: </w:t>
      </w:r>
      <w:r>
        <w:t>摘要 二维 (2D) 金属-半导体界面的接触电阻仍然是限制过渡金属二硫属化物 (TMD) 晶体管性能的关键瓶颈。应变工程可以降低接触电阻，但仍然缺乏将应变引起的电子结构变化与界面载流子注入联系起来的预测框架。在这里，我们开发了一个多尺度框架，将第一原理计算与分析传输模型相结合，以量化金属-TMD 结中应变相关的接触电阻。我们研究了实验可达到的应变范围从 –1% 到 +1% 的顶部和边缘几何形状中的 n 型 Au/MoS2 和 p 型 Pd/WSe2 接触。拉伸应变可将 n 型接触电阻降低高达 46%/%ε，而压缩应变可将 p 型电阻降低高达 34%/%ε。由于直接界面杂化，边缘接触的性能比顶部接触高约 2 倍。在最佳应变和掺杂条件下，Au/MoS2 和 Pd/WSe2 的室温接触电阻分别达到 0.32–0.74 和 0.51–0.84 kΩ·μm。这些结果在数量上与替代金属接触的实验和基准一致，为超低电阻 2D-TMD 晶体管建立了预测框架。</w:t>
      </w:r>
    </w:p>
    <w:p>
      <w:pPr>
        <w:spacing w:before="0" w:after="200" w:lineRule="auto" w:line="276"/>
      </w:pPr>
      <w:r>
        <w:rPr>
          <w:b/>
        </w:rPr>
        <w:t xml:space="preserve">Abstract (EN): </w:t>
      </w:r>
      <w:r>
        <w:t>Contact resistance at two-dimensional (2D) metal-semiconductor interfaces remains a key bottleneck limiting transition-metal dichalcogenide (TMD) transistor performance. Strain engineering can reduce contact resistance, yet a predictive framework linking strain-induced electronic structure changes to interfacial carrier injection remains lacking. Here, we develop a multiscale framework combining first-principles calculations with analytical transport models to quantify strain-dependent contact resistance in metal-TMD junctions. We investigate n-type Au/MoS2 and p-type Pd/WSe2 contacts in top and edge geometries within experimentally accessible strain ranging from –1 to +1%. Tensile strain reduces n-type contact resistance by up to 46%/%ε, whereas compressive strain lowers p-type resistance by up to 34%/%ε. Edge contacts outperform top contacts by ∼2× due to direct interfacial hybridization. Under optimal strain and doping, room-temperature contact resistance reaches 0.32–0.74 and 0.51–0.84 kΩ·μm for Au/MoS2 and Pd/WSe2, respectively. These results quantitatively agree with experiments and benchmarks across alternative metal contacts, establishing a predictive framework for ultralow-resistance 2D-TMD transistors.</w:t>
      </w:r>
    </w:p>
    <w:p>
      <w:pPr>
        <w:spacing w:before="120" w:after="120"/>
      </w:pPr>
      <w:r>
        <w:rPr>
          <w:sz w:val="18"/>
        </w:rPr>
        <w:t>——————————————————————————————————————————————————————————————————————</w:t>
      </w:r>
    </w:p>
    <w:p>
      <w:pPr>
        <w:spacing w:before="160" w:after="40" w:line="240" w:lineRule="auto"/>
      </w:pPr>
      <w:r>
        <w:rPr>
          <w:b/>
        </w:rPr>
        <w:t xml:space="preserve">[1419] </w:t>
      </w:r>
      <w:hyperlink r:id="rId2288">
        <w:r>
          <w:rPr>
            <w:color w:val="1155CC"/>
            <w:u w:val="single"/>
          </w:rPr>
          <w:t>用于防污和抗菌保护的UV固化生物基双疏性涂层的仿生界面策略</w:t>
        </w:r>
      </w:hyperlink>
    </w:p>
    <w:p>
      <w:pPr>
        <w:spacing w:before="0" w:after="80"/>
      </w:pPr>
      <w:r>
        <w:rPr>
          <w:i/>
          <w:sz w:val="20"/>
        </w:rPr>
        <w:t>EN: A Biomimetic Interfacial Strategy of UV-Curable Bio-Based Amphiphobic Coatings for Antifouling and Antibacterial Protection</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288">
        <w:r>
          <w:rPr>
            <w:color w:val="1155CC"/>
            <w:u w:val="single"/>
          </w:rPr>
          <w:t>10.1021/acsami.6c11815</w:t>
        </w:r>
      </w:hyperlink>
    </w:p>
    <w:p>
      <w:pPr>
        <w:spacing w:before="0" w:after="120"/>
      </w:pPr>
      <w:r>
        <w:rPr>
          <w:b/>
        </w:rPr>
        <w:t xml:space="preserve">Notes: </w:t>
      </w:r>
      <w:r>
        <w:t>abstract_source=crossref</w:t>
      </w:r>
    </w:p>
    <w:p>
      <w:pPr>
        <w:spacing w:before="0" w:after="80" w:lineRule="auto" w:line="276"/>
      </w:pPr>
      <w:r>
        <w:rPr>
          <w:b/>
        </w:rPr>
        <w:t xml:space="preserve">摘要（ZH）: </w:t>
      </w:r>
      <w:r>
        <w:t>摘要 表面保护对于海洋设备和医疗植入物等先进系统至关重要，在这些系统中，污垢和微生物沉积会导致不可逆的退化。然而，开发集多功能（例如两亲性和防污性）、环境相容性和耐用性于一体的保护涂层仍然具有挑战性。受甲虫角质层结构的启发，引入了生物启发的自发界面重构策略来构建多功能涂层，该涂层可将低表面能富集与生物活性分子相互作用协同作用。按照这一策略，通过快速、环保的紫外线固化工艺（5 分钟内）制造了生物基双疏抗菌涂层 (PCGBF@GT)。蓖麻油衍生树脂中氟化链段的自发迁移提供了强大的双疏性和防污性。同时，甲基丙烯酸缩水甘油酯改性单宁酸（GT）的引入引入了氢键相互作用和正zeta电位，稳定了界面并对大肠杆菌（99.92±0.90％）和金黄色葡萄球菌（99.83±0.06％）具有广谱抗菌活性。这项工作展示了一条可持续的、受生物启发的途径，为海洋和生物医学应用提供高性能保护涂层。</w:t>
      </w:r>
    </w:p>
    <w:p>
      <w:pPr>
        <w:spacing w:before="0" w:after="200" w:lineRule="auto" w:line="276"/>
      </w:pPr>
      <w:r>
        <w:rPr>
          <w:b/>
        </w:rPr>
        <w:t xml:space="preserve">Abstract (EN): </w:t>
      </w:r>
      <w:r>
        <w:t>Surface protection is critical for advanced systems such as marine equipment and medical implants, where fouling and microbial deposition cause irreversible degradation. However, developing protective coatings that integrate multifunctionality (e.g., amphiphobicity and antifouling), environmental compatibility, and durability remains challenging. Inspired by beetle cuticle architecture, a bioinspired spontaneous interfacial reconfiguration strategy was introduced to construct a multifunctional coating that synergizes low-surface-energy enrichment with bioactive molecular interactions. Following this strategy, a bio-based amphiphobic and antibacterial coating (PCGBF@GT) was fabricated via a rapid, environmentally benign UV-curing process (within 5 min). Spontaneous migration of fluorinated segments in the castor oil-derived resin provides robust amphiphobicity and fouling resistance. Meanwhile, the incorporation of glycidyl methacrylate-modified tannic acid (GT) introduces hydrogen-bonding interactions and positive zeta potential, stabilizing the interface and enabling broad-spectrum antibacterial activity against Escherichia coli (99.92 ± 0.90%) and Staphylococcus aureus (99.83 ± 0.06%). This work demonstrates a sustainable, bioinspired pathway toward high-performance protective coatings for marine and biomedical applications.</w:t>
      </w:r>
    </w:p>
    <w:p>
      <w:pPr>
        <w:spacing w:before="120" w:after="120"/>
      </w:pPr>
      <w:r>
        <w:rPr>
          <w:sz w:val="18"/>
        </w:rPr>
        <w:t>——————————————————————————————————————————————————————————————————————</w:t>
      </w:r>
    </w:p>
    <w:p>
      <w:pPr>
        <w:spacing w:before="160" w:after="40" w:line="240" w:lineRule="auto"/>
      </w:pPr>
      <w:r>
        <w:rPr>
          <w:b/>
        </w:rPr>
        <w:t xml:space="preserve">[1420] </w:t>
      </w:r>
      <w:hyperlink r:id="rId2286">
        <w:r>
          <w:rPr>
            <w:color w:val="1155CC"/>
            <w:u w:val="single"/>
          </w:rPr>
          <w:t>从p型到n型:轴向取代硅氧烷酞菁硅的氯化诱导电子与结构调控</w:t>
        </w:r>
      </w:hyperlink>
    </w:p>
    <w:p>
      <w:pPr>
        <w:spacing w:before="0" w:after="80"/>
      </w:pPr>
      <w:r>
        <w:rPr>
          <w:i/>
          <w:sz w:val="20"/>
        </w:rPr>
        <w:t>EN: From p -Type to n -Type: Chlorination-Induced Electronic and Structural Modulation of Axially Substituted Siloxane Silicon Phthalocyanines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286">
        <w:r>
          <w:rPr>
            <w:color w:val="1155CC"/>
            <w:u w:val="single"/>
          </w:rPr>
          <w:t>10.1021/acsami.6c11582</w:t>
        </w:r>
      </w:hyperlink>
    </w:p>
    <w:p>
      <w:pPr>
        <w:spacing w:before="0" w:after="120"/>
      </w:pPr>
      <w:r>
        <w:rPr>
          <w:b/>
        </w:rPr>
        <w:t xml:space="preserve">Notes: </w:t>
      </w:r>
      <w:r>
        <w:t>abstract_source=crossref</w:t>
      </w:r>
    </w:p>
    <w:p>
      <w:pPr>
        <w:spacing w:before="0" w:after="80" w:lineRule="auto" w:line="276"/>
      </w:pPr>
      <w:r>
        <w:rPr>
          <w:b/>
        </w:rPr>
        <w:t xml:space="preserve">摘要（ZH）: </w:t>
      </w:r>
      <w:r>
        <w:t>摘要 空气稳定的n型有机半导体的开发仍然是有机薄膜晶体管（OTFT）技术的一个关键挑战。带有轴向硅氧烷取代基的硅酞菁（SiPcs）最近实现了创纪录的载流子迁移率，但由于其相对较高的前沿轨道能量而表现出p型行为。在此，我们报告了两种新型氯化硅氧烷硅酞菁 (Si4O)2SiPcCl8 和 (Si4O)2SiPcCl16 的合成、表征和 OTFT 集成，旨在降低最低未占分子轨道 (LUMO) 能量并实现 n 型传输。外围氯化有效地将 LUMO 水平分别降低至 -3.8 和 -4.0 eV，从而确认了所需的电子调制。单晶 X 射线衍射表明，氯化通过两种不同的机制破坏了母体未氯化衍生物中观察到的密集 π 堆积：(Si4O)2SiPcCl8 中分子间分离的增加和 (Si4O)2SiPcCl16 中严重的核心扭曲。这些结构扰动直接影响器件性能：(Si4O)2SiPcCl8 OTFT 的平均电子迁移率达到 1.6 × 10−2 cm2 V−1 s−1，与性能最好的烷基取代 SiPc 之一相当，而高度扭曲的 (Si4O)2SiPcCl16 衍生物表现出较低的迁移率。通过粉末 X 射线衍射和原子力显微镜进行的薄膜表征，并通过密度泛函理论计算证实，(Si4O)2SiPcCl8 薄膜采用了良好的织构，与高迁移率 cr 对齐。</w:t>
      </w:r>
    </w:p>
    <w:p>
      <w:pPr>
        <w:spacing w:before="0" w:after="200" w:lineRule="auto" w:line="276"/>
      </w:pPr>
      <w:r>
        <w:rPr>
          <w:b/>
        </w:rPr>
        <w:t xml:space="preserve">Abstract (EN): </w:t>
      </w:r>
      <w:r>
        <w:t>The development of air-stable n-type organic semiconductors remains a critical challenge for organic thin-film transistor (OTFT) technologies. Silicon phthalocyanines (SiPcs) bearing axial siloxane substituents have recently achieved record charge carrier mobilities but exhibit p-type behavior due to their relatively high-lying frontier orbital energies. Herein, we report the synthesis, characterization, and OTFT integration of two new chlorinated siloxane silicon phthalocyanines, (Si4O)2SiPcCl8 and (Si4O)2SiPcCl16, designed to lower the lowest unoccupied molecular orbital (LUMO) energy and enable n-type transport. Peripheral chlorination effectively reduces the LUMO levels to −3.8 and −4.0 eV, respectively, confirming the desired electronic modulation. Single-crystal X-ray diffraction reveals that chlorination disrupts the dense π-stacking observed in the parent unchlorinated derivative through two distinct mechanisms: increased intermolecular separation in (Si4O)2SiPcCl8 and severe core distortion in (Si4O)2SiPcCl16. These structural perturbations directly impact device performance: (Si4O)2SiPcCl8 OTFTs achieve average electron mobilities of 1.6 × 10−2 cm2 V−1 s−1, comparable to one of the best-performing alkyl-substituted SiPcs, while the highly distorted (Si4O)2SiPcCl16 derivative exhibits an order-of-magnitude lower mobility. Thin-film characterization by powder X-ray diffraction and atomic force microscopy, corroborated by density functional theory calculations, demonstrates that the (Si4O)2SiPcCl8 films adopt a favorable texture aligning the high-mobility crystallographic axis parallel to the substrate. This work establishes clear structure−property relationships for chlorinated SiPcs and provides a rational framework for the design of high-performance n-type phthalocyanine semiconductors.</w:t>
      </w:r>
    </w:p>
    <w:p>
      <w:pPr>
        <w:spacing w:before="120" w:after="120"/>
      </w:pPr>
      <w:r>
        <w:rPr>
          <w:sz w:val="18"/>
        </w:rPr>
        <w:t>——————————————————————————————————————————————————————————————————————</w:t>
      </w:r>
    </w:p>
    <w:p>
      <w:pPr>
        <w:spacing w:before="160" w:after="40" w:line="240" w:lineRule="auto"/>
      </w:pPr>
      <w:r>
        <w:rPr>
          <w:b/>
        </w:rPr>
        <w:t xml:space="preserve">[1421] </w:t>
      </w:r>
      <w:hyperlink r:id="rId2246">
        <w:r>
          <w:rPr>
            <w:color w:val="1155CC"/>
            <w:u w:val="single"/>
          </w:rPr>
          <w:t>仿中性粒细胞的可编程细菌通过细胞焦亡驱动肿瘤清除</w:t>
        </w:r>
      </w:hyperlink>
    </w:p>
    <w:p>
      <w:pPr>
        <w:spacing w:before="0" w:after="80"/>
      </w:pPr>
      <w:r>
        <w:rPr>
          <w:i/>
          <w:sz w:val="20"/>
        </w:rPr>
        <w:t>EN: Neutrophil-Inspired Programmable Bacteria for Pyroptosis-Driven Tumor Eradication</w:t>
      </w:r>
    </w:p>
    <w:p>
      <w:pPr>
        <w:spacing w:before="0" w:after="120"/>
      </w:pPr>
      <w:r>
        <w:rPr>
          <w:b/>
        </w:rPr>
        <w:t xml:space="preserve">Source: </w:t>
      </w:r>
      <w:r>
        <w:t>Journal of the American Chemical Society</w:t>
      </w:r>
      <w:r>
        <w:t xml:space="preserve">    </w:t>
      </w:r>
      <w:r>
        <w:rPr>
          <w:b/>
        </w:rPr>
        <w:t xml:space="preserve">Pub date: </w:t>
      </w:r>
      <w:r>
        <w:t>2026-09-03 00:00:00+00:00</w:t>
      </w:r>
      <w:r>
        <w:t xml:space="preserve">    </w:t>
      </w:r>
      <w:r>
        <w:rPr>
          <w:b/>
        </w:rPr>
        <w:t xml:space="preserve">DOI: </w:t>
      </w:r>
      <w:hyperlink r:id="rId2246">
        <w:r>
          <w:rPr>
            <w:color w:val="1155CC"/>
            <w:u w:val="single"/>
          </w:rPr>
          <w:t>10.1021/jacs.6c16051</w:t>
        </w:r>
      </w:hyperlink>
    </w:p>
    <w:p>
      <w:pPr>
        <w:spacing w:before="0" w:after="120"/>
      </w:pPr>
      <w:r>
        <w:rPr>
          <w:b/>
        </w:rPr>
        <w:t xml:space="preserve">Notes: </w:t>
      </w:r>
      <w:r>
        <w:t>abstract_source=crossref</w:t>
      </w:r>
    </w:p>
    <w:p>
      <w:pPr>
        <w:spacing w:before="0" w:after="80" w:lineRule="auto" w:line="276"/>
      </w:pPr>
      <w:r>
        <w:rPr>
          <w:b/>
        </w:rPr>
        <w:t xml:space="preserve">摘要（ZH）: </w:t>
      </w:r>
      <w:r>
        <w:t>摘要 中性粒细胞代表先天免疫的关键组成部分，具有涉及趋化性、脱颗粒和裂解效应器部署的内在细胞毒性程序。在这里，我们报告了一种通过合成生物学和分子工程开发的中性粒细胞启发的可编程细菌（NPB）系统。非致病性大肠杆菌 MG1655 被编程为执行一个连续的四阶段程序，其灵感来自中性粒细胞的“归巢-爆发-致死”逻辑，具有时空控制的激活：（I）优先归巢到缺氧肿瘤区域； (II) 通过 VHb 介导的 ROS 生成，声动力驱动细菌破坏和按需释放有效负载； (III)颗粒酶B酶原(m-GzmB-T)的肿瘤相关明胶酶响应性激活； (IV)细胞焦亡介导的全身抗肿瘤免疫的增强。 NPB系统结合聚焦超声在小鼠CT26、MC38和EMT6肿瘤模型中表现出一致的抗肿瘤​​功效，同时促进全身抗肿瘤免疫反应和持久的免疫记忆。这项工作展示了利用连续的物理和生化控制机制改造活细菌来执行生物启发的治疗级联的潜力，为精准癌症免疫治疗提供了可编程和模块化平台。</w:t>
      </w:r>
    </w:p>
    <w:p>
      <w:pPr>
        <w:spacing w:before="0" w:after="200" w:lineRule="auto" w:line="276"/>
      </w:pPr>
      <w:r>
        <w:rPr>
          <w:b/>
        </w:rPr>
        <w:t xml:space="preserve">Abstract (EN): </w:t>
      </w:r>
      <w:r>
        <w:t>Neutrophils represent a critical component of innate immunity, possessing intrinsic cytotoxic programs involving chemotaxis, degranulation, and lytic effector deployment. Here we report a neutrophil-inspired programmable bacteria (NPB) system developed via synthetic biology and molecular engineering. The nonpathogenic Escherichia coli MG1655 is programmed to execute a sequential four-stage program inspired by the “homing–bursting–lethality” logic of neutrophils with spatiotemporally controlled activation: (I) Preferential homing to hypoxic tumor regions; (II) Sonodynamic actuation of bacterial disruption and on-demand payload release via VHb-mediated ROS generation; (III) Tumor-associated gelatinase-responsive activation of Granzyme B zymogen (m-GzmB-T); and (IV) Pyroptosis-mediated enhancement of systemic antitumor immunity. The NPB system combined with focused ultrasound exhibited consistent antitumor efficacy across murine CT26, MC38, and EMT6 tumor models, while promoting systemic antitumor immune responses and durable immune memory. This work demonstrates the potential of engineering live bacteria with sequential physical and biochemical control mechanisms to execute bioinspired therapeutic cascades, providing a programmable and modular platform for precision cancer immunotherapy.</w:t>
      </w:r>
    </w:p>
    <w:p>
      <w:pPr>
        <w:spacing w:before="120" w:after="120"/>
      </w:pPr>
      <w:r>
        <w:rPr>
          <w:sz w:val="18"/>
        </w:rPr>
        <w:t>——————————————————————————————————————————————————————————————————————</w:t>
      </w:r>
    </w:p>
    <w:p>
      <w:pPr>
        <w:spacing w:before="160" w:after="40" w:line="240" w:lineRule="auto"/>
      </w:pPr>
      <w:r>
        <w:rPr>
          <w:b/>
        </w:rPr>
        <w:t xml:space="preserve">[1422] </w:t>
      </w:r>
      <w:hyperlink r:id="rId2366">
        <w:r>
          <w:rPr>
            <w:color w:val="1155CC"/>
            <w:u w:val="single"/>
          </w:rPr>
          <w:t>介观尺度的聚合物表面活性剂：用超薄片和细丝包装液滴</w:t>
        </w:r>
      </w:hyperlink>
    </w:p>
    <w:p>
      <w:pPr>
        <w:spacing w:before="0" w:after="80"/>
      </w:pPr>
      <w:r>
        <w:rPr>
          <w:i/>
          <w:sz w:val="20"/>
        </w:rPr>
        <w:t>EN: Polymer Surfactants at the Mesoscale: Packaging Liquid Droplets with Ultrathin Sheets and Filaments</w:t>
      </w:r>
    </w:p>
    <w:p>
      <w:pPr>
        <w:spacing w:before="0" w:after="120"/>
      </w:pPr>
      <w:r>
        <w:rPr>
          <w:b/>
        </w:rPr>
        <w:t xml:space="preserve">Source: </w:t>
      </w:r>
      <w:r>
        <w:t>Journal of the American Chemical Society</w:t>
      </w:r>
      <w:r>
        <w:t xml:space="preserve">    </w:t>
      </w:r>
      <w:r>
        <w:rPr>
          <w:b/>
        </w:rPr>
        <w:t xml:space="preserve">Pub date: </w:t>
      </w:r>
      <w:r>
        <w:t>2026-09-03 00:00:00+00:00</w:t>
      </w:r>
      <w:r>
        <w:t xml:space="preserve">    </w:t>
      </w:r>
      <w:r>
        <w:rPr>
          <w:b/>
        </w:rPr>
        <w:t xml:space="preserve">DOI: </w:t>
      </w:r>
      <w:hyperlink r:id="rId2366">
        <w:r>
          <w:rPr>
            <w:color w:val="1155CC"/>
            <w:u w:val="single"/>
          </w:rPr>
          <w:t>10.1021/jacs.6c11589</w:t>
        </w:r>
      </w:hyperlink>
    </w:p>
    <w:p>
      <w:pPr>
        <w:spacing w:before="0" w:after="120"/>
      </w:pPr>
      <w:r>
        <w:rPr>
          <w:b/>
        </w:rPr>
        <w:t xml:space="preserve">Notes: </w:t>
      </w:r>
      <w:r>
        <w:t>abstract_source=crossref</w:t>
      </w:r>
    </w:p>
    <w:p>
      <w:pPr>
        <w:spacing w:before="0" w:after="80" w:lineRule="auto" w:line="276"/>
      </w:pPr>
      <w:r>
        <w:rPr>
          <w:b/>
        </w:rPr>
        <w:t xml:space="preserve">摘要（ZH）: </w:t>
      </w:r>
      <w:r>
        <w:t>摘要：我们描述了聚合物化学和材料平台的设计，用于制造介观聚合物表面活性剂（MPS）结构，如超细丝和片材，它们在流体和流体界面处表现出定制的特性。通过将功能性聚合物与光触发化学转化和光刻方法相结合，发现这些 MPS 结构在水包油滴的界面上分离并组装。使用可交联的荧光聚合物，我们的 MPS 制剂在 Si/SiO2 基底上产生了预定形状的物体，这些物体在从基底释放后，作为延伸的附属物（对于 MPS 细丝）或作为包裹整个液滴表面的超薄膜（对于 MPS 片材）粘附到液滴界面。利用 MPS 结构，通过策略性地改变流体相的体积比和从基底释放的方法，实现了基于液滴的定制组件。总体而言，这项对静态和动态介观聚合物表面活性剂的研究产生了广泛的流体结构和界面配置，包括单独包裹的液滴、液滴-MPS网络和捕获在非平衡形状中的液滴。因此，这些发现利用功能性、程序化结构将界面上的聚合物化学基础科学转化为介观尺度。</w:t>
      </w:r>
    </w:p>
    <w:p>
      <w:pPr>
        <w:spacing w:before="0" w:after="200" w:lineRule="auto" w:line="276"/>
      </w:pPr>
      <w:r>
        <w:rPr>
          <w:b/>
        </w:rPr>
        <w:t xml:space="preserve">Abstract (EN): </w:t>
      </w:r>
      <w:r>
        <w:t>We describe the design of a polymer chemistry and materials platform to fabricate mesoscale polymer surfactant (MPS) structures, as ultrathin filaments and sheets, which exhibit tailored properties in fluids and at fluidic interfaces. By coupling functional polymers with light-triggered chemical transformations and photolithographic methods, these MPS structures were found to segregate to, and assemble at, the interface of oil-in-water droplets. Using cross-linkable, fluorescent polymers, our MPS preparation produced objects of predetermined shapes on Si/SiO2 substrates which, upon release from the substrate, adhered to droplet interfaces as extended appendages (for MPS filaments) or as ultrathin films that wrapped the entire droplet surface (for MPS sheets). With MPS structures, tailored droplet-based assemblies were realized by strategically varying both the volume ratios of the fluid phases and methods of release from the substrate. Overall, this study of static and dynamic mesoscale polymer surfactants produces a breadth of fluidic structures and interfacial configurations, including individually wrapped droplets, droplet-MPS networks, and droplets trapped in nonequilibrium shapes. These findings thus translate the fundamental science of polymer chemistry at interfaces to the mesoscale using functional, programmed structures.</w:t>
      </w:r>
    </w:p>
    <w:p>
      <w:pPr>
        <w:spacing w:before="120" w:after="120"/>
      </w:pPr>
      <w:r>
        <w:rPr>
          <w:sz w:val="18"/>
        </w:rPr>
        <w:t>——————————————————————————————————————————————————————————————————————</w:t>
      </w:r>
    </w:p>
    <w:p>
      <w:pPr>
        <w:spacing w:before="160" w:after="40" w:line="240" w:lineRule="auto"/>
      </w:pPr>
      <w:r>
        <w:rPr>
          <w:b/>
        </w:rPr>
        <w:t xml:space="preserve">[1423] </w:t>
      </w:r>
      <w:hyperlink r:id="rId2308">
        <w:r>
          <w:rPr>
            <w:color w:val="1155CC"/>
            <w:u w:val="single"/>
          </w:rPr>
          <w:t>二维红外光谱揭示原始催化淀粉样蛋白的不同活性位点动力学</w:t>
        </w:r>
      </w:hyperlink>
    </w:p>
    <w:p>
      <w:pPr>
        <w:spacing w:before="0" w:after="80"/>
      </w:pPr>
      <w:r>
        <w:rPr>
          <w:i/>
          <w:sz w:val="20"/>
        </w:rPr>
        <w:t>EN: Distinct Active-Site Dynamics of Primitive Catalytic Amyloids Revealed by Two-Dimensional Infrared Spectroscopy</w:t>
      </w:r>
    </w:p>
    <w:p>
      <w:pPr>
        <w:spacing w:before="0" w:after="120"/>
      </w:pPr>
      <w:r>
        <w:rPr>
          <w:b/>
        </w:rPr>
        <w:t xml:space="preserve">Source: </w:t>
      </w:r>
      <w:r>
        <w:t>Journal of the American Chemical Society</w:t>
      </w:r>
      <w:r>
        <w:t xml:space="preserve">    </w:t>
      </w:r>
      <w:r>
        <w:rPr>
          <w:b/>
        </w:rPr>
        <w:t xml:space="preserve">Pub date: </w:t>
      </w:r>
      <w:r>
        <w:t>2026-09-03 00:00:00+00:00</w:t>
      </w:r>
      <w:r>
        <w:t xml:space="preserve">    </w:t>
      </w:r>
      <w:r>
        <w:rPr>
          <w:b/>
        </w:rPr>
        <w:t xml:space="preserve">DOI: </w:t>
      </w:r>
      <w:hyperlink r:id="rId2308">
        <w:r>
          <w:rPr>
            <w:color w:val="1155CC"/>
            <w:u w:val="single"/>
          </w:rPr>
          <w:t>10.1021/jacs.6c11881</w:t>
        </w:r>
      </w:hyperlink>
    </w:p>
    <w:p>
      <w:pPr>
        <w:spacing w:before="0" w:after="120"/>
      </w:pPr>
      <w:r>
        <w:rPr>
          <w:b/>
        </w:rPr>
        <w:t xml:space="preserve">Notes: </w:t>
      </w:r>
      <w:r>
        <w:t>abstract_source=crossref</w:t>
      </w:r>
    </w:p>
    <w:p>
      <w:pPr>
        <w:spacing w:before="0" w:after="80" w:lineRule="auto" w:line="276"/>
      </w:pPr>
      <w:r>
        <w:rPr>
          <w:b/>
        </w:rPr>
        <w:t xml:space="preserve">摘要（ZH）: </w:t>
      </w:r>
      <w:r>
        <w:t>摘要 催化淀粉样蛋白被认为是现代酶的进化前体，但其独特催化特性背后的活性位点动力学仍不清楚。在这里，我们结合叠氮化物红外探针和二维红外（2D-IR）光谱来表征原始催化淀粉样蛋白的活性位点动力学，并将其与具有代表性的现代酶人类碳酸酐酶II（CAII）进行比较。淀粉样蛋白中 Zn2+ 结合的叠氮化物表现出约 30 cm-1 的蓝移和比游离叠氮化物长 2 倍的振动寿命，确立了振动寿命作为金属配位的敏感报告分子。中心线斜率 (CLS) 分析揭示了结合叠氮化物中不存在皮秒动力学，这表明刚性淀粉样蛋白支架缺乏 CAII 中存在的快速水合和侧链运动。此外，2D-IR 线宽分析表明淀粉样蛋白具有约 2 倍的不均匀加宽。这种明显的活性位点异质性与淀粉样蛋白的催化效率降低相关，而 CAII 通过均匀且动态优化的活性位点实现了高活性。这种对比揭示了两种进化上不同的催化策略：构象选择与调谐动力学。</w:t>
      </w:r>
    </w:p>
    <w:p>
      <w:pPr>
        <w:spacing w:before="0" w:after="200" w:lineRule="auto" w:line="276"/>
      </w:pPr>
      <w:r>
        <w:rPr>
          <w:b/>
        </w:rPr>
        <w:t xml:space="preserve">Abstract (EN): </w:t>
      </w:r>
      <w:r>
        <w:t>Catalytic amyloids are proposed evolutionary precursors of modern enzymes, yet the active-site dynamics underlying their distinct catalytic properties remain unclear. Here, we combine azide infrared probes and two-dimensional infrared (2D-IR) spectroscopy to characterize the active-site dynamics of primitive catalytic amyloids and compare them with human carbonic anhydrase II (CAII), a representative modern enzyme. The Zn2+-bound azide in amyloids exhibits a ∼30 cm–1 blue shift and a 2-fold longer vibrational lifetime than free azide, establishing vibrational lifetime as a sensitive reporter of metal coordination. Center Line Slope (CLS) analysis reveals the absence of picosecond dynamics in bound azide, indicating that rigid amyloid scaffolds lack the rapid hydration and side-chain motions present in CAII. Furthermore, 2D-IR linewidth analysis shows that amyloids possess ∼2-fold greater inhomogeneous broadening. Such pronounced active-site heterogeneity correlates with reduced catalytic efficiency in amyloids, whereas CAII achieves high activity through a homogeneous and dynamically optimized active site. This contrast reveals two evolutionarily divergent catalytic strategies: conformational selection versus tuned dynamics.</w:t>
      </w:r>
    </w:p>
    <w:p>
      <w:pPr>
        <w:spacing w:before="120" w:after="120"/>
      </w:pPr>
      <w:r>
        <w:rPr>
          <w:sz w:val="18"/>
        </w:rPr>
        <w:t>——————————————————————————————————————————————————————————————————————</w:t>
      </w:r>
    </w:p>
    <w:p>
      <w:pPr>
        <w:spacing w:before="160" w:after="40" w:line="240" w:lineRule="auto"/>
      </w:pPr>
      <w:r>
        <w:rPr>
          <w:b/>
        </w:rPr>
        <w:t xml:space="preserve">[1424] </w:t>
      </w:r>
      <w:hyperlink r:id="rId2216">
        <w:r>
          <w:rPr>
            <w:color w:val="1155CC"/>
            <w:u w:val="single"/>
          </w:rPr>
          <w:t>低维离子电子学</w:t>
        </w:r>
      </w:hyperlink>
    </w:p>
    <w:p>
      <w:pPr>
        <w:spacing w:before="0" w:after="80"/>
      </w:pPr>
      <w:r>
        <w:rPr>
          <w:i/>
          <w:sz w:val="20"/>
        </w:rPr>
        <w:t>EN: Low-Dimensional Ionotronics</w:t>
      </w:r>
    </w:p>
    <w:p>
      <w:pPr>
        <w:spacing w:before="0" w:after="120"/>
      </w:pPr>
      <w:r>
        <w:rPr>
          <w:b/>
        </w:rPr>
        <w:t xml:space="preserve">Source: </w:t>
      </w:r>
      <w:r>
        <w:t>Chemical Reviews</w:t>
      </w:r>
      <w:r>
        <w:t xml:space="preserve">    </w:t>
      </w:r>
      <w:r>
        <w:rPr>
          <w:b/>
        </w:rPr>
        <w:t xml:space="preserve">Pub date: </w:t>
      </w:r>
      <w:r>
        <w:t>2026-09-03 00:00:00+00:00</w:t>
      </w:r>
      <w:r>
        <w:t xml:space="preserve">    </w:t>
      </w:r>
      <w:r>
        <w:rPr>
          <w:b/>
        </w:rPr>
        <w:t xml:space="preserve">DOI: </w:t>
      </w:r>
      <w:hyperlink r:id="rId2216">
        <w:r>
          <w:rPr>
            <w:color w:val="1155CC"/>
            <w:u w:val="single"/>
          </w:rPr>
          <w:t>10.1021/acs.chemrev.6c00092</w:t>
        </w:r>
      </w:hyperlink>
    </w:p>
    <w:p>
      <w:pPr>
        <w:spacing w:before="0" w:after="120"/>
      </w:pPr>
      <w:r>
        <w:rPr>
          <w:b/>
        </w:rPr>
        <w:t xml:space="preserve">Notes: </w:t>
      </w:r>
      <w:r>
        <w:t>abstract_source=crossref</w:t>
      </w:r>
    </w:p>
    <w:p>
      <w:pPr>
        <w:spacing w:before="0" w:after="80" w:lineRule="auto" w:line="276"/>
      </w:pPr>
      <w:r>
        <w:rPr>
          <w:b/>
        </w:rPr>
        <w:t xml:space="preserve">摘要（ZH）: </w:t>
      </w:r>
      <w:r>
        <w:t>摘要 离子电子学涵盖了广泛的现象和设备，这些现象和设备要么基于电解介质中离子的电子控制操纵，要么基于使用离子行为来控制电子功能。尽管该术语本身相对较新，但离子电子学的科学基础跨越了一个多世纪的研究。由于其在能量存储和收集、机器人驱动、纳滤、海水淡化、传感和神经形态计算等领域的前景广阔的应用，离子电子系统最近引起了越来越多的关注，特别是在低维电极的背景下。这些先进的架构可以深刻地改变电极-电解质界面，其中离子传输和界面现象起着核心作用。此类系统表现出独特的物理特性，要么源于纳米级约束，将电解质限制为仅几层离子或溶剂分子，要么源于石墨烯、碳纳米管和 MXene 等约束材料所施加的低维电子效应。本焦点评论旨在对控制低维离子电子系统的基本现象提供全面且易于理解的概述，特别强调决定其性能并实现新兴应用的基础物理。</w:t>
      </w:r>
    </w:p>
    <w:p>
      <w:pPr>
        <w:spacing w:before="0" w:after="200" w:lineRule="auto" w:line="276"/>
      </w:pPr>
      <w:r>
        <w:rPr>
          <w:b/>
        </w:rPr>
        <w:t xml:space="preserve">Abstract (EN): </w:t>
      </w:r>
      <w:r>
        <w:t>Ionotronics encompasses a broad range of phenomena and devices based either on the electron-controlled manipulation of ions in electrolytic media or on the use of ionic behavior to control electronic functionality. Although the term itself is relatively recent, the scientific foundations of ionotronics span more than a century of research. Owing to their promising applications in areas ranging from energy storage and harvesting to robotic actuation, nanofiltration, water desalination, sensing, and neuromorphic computation, ionotronic systems have recently attracted rapidly growing attention, particularly in the context of low-dimensional electrodes. These advanced architectures can profoundly modify the electrode–electrolyte interface, where ion transport and interfacial phenomena play a central role. Such systems exhibit distinctive physics arising either from nanoscale confinement, which restricts the electrolyte to only a few layers of ions or solvent molecules, or from low-dimensional electronic effects imposed by confining materials such as graphene, carbon nanotubes, and MXenes. This Focus Review aims to provide a comprehensive yet accessible overview of the fundamental phenomena governing low-dimensional ionotronic systems, with particular emphasis on the underlying physics that determines their performance and enables emerging applications.</w:t>
      </w:r>
    </w:p>
    <w:p>
      <w:pPr>
        <w:spacing w:before="120" w:after="120"/>
      </w:pPr>
      <w:r>
        <w:rPr>
          <w:sz w:val="18"/>
        </w:rPr>
        <w:t>——————————————————————————————————————————————————————————————————————</w:t>
      </w:r>
    </w:p>
    <w:p>
      <w:pPr>
        <w:spacing w:before="160" w:after="40" w:line="240" w:lineRule="auto"/>
      </w:pPr>
      <w:r>
        <w:rPr>
          <w:b/>
        </w:rPr>
        <w:t xml:space="preserve">[1425] </w:t>
      </w:r>
      <w:hyperlink r:id="rId2389">
        <w:r>
          <w:rPr>
            <w:color w:val="1155CC"/>
            <w:u w:val="single"/>
          </w:rPr>
          <w:t>用于电化学体系表征的原位拉曼光谱</w:t>
        </w:r>
      </w:hyperlink>
    </w:p>
    <w:p>
      <w:pPr>
        <w:spacing w:before="0" w:after="80"/>
      </w:pPr>
      <w:r>
        <w:rPr>
          <w:i/>
          <w:sz w:val="20"/>
        </w:rPr>
        <w:t>EN: In situ Raman spectroscopy for characterization of electrochemical systems</w:t>
      </w:r>
    </w:p>
    <w:p>
      <w:pPr>
        <w:spacing w:before="0" w:after="120"/>
      </w:pPr>
      <w:r>
        <w:rPr>
          <w:b/>
        </w:rPr>
        <w:t xml:space="preserve">Source: </w:t>
      </w:r>
      <w:r>
        <w:t>Nature Reviews Clean Technology</w:t>
      </w:r>
      <w:r>
        <w:t xml:space="preserve">    </w:t>
      </w:r>
      <w:r>
        <w:rPr>
          <w:b/>
        </w:rPr>
        <w:t xml:space="preserve">Pub date: </w:t>
      </w:r>
      <w:r>
        <w:t>2026-09-03 00:00:00+00:00</w:t>
      </w:r>
      <w:r>
        <w:t xml:space="preserve">    </w:t>
      </w:r>
      <w:r>
        <w:rPr>
          <w:b/>
        </w:rPr>
        <w:t xml:space="preserve">DOI: </w:t>
      </w:r>
      <w:hyperlink r:id="rId2390">
        <w:r>
          <w:rPr>
            <w:color w:val="1155CC"/>
            <w:u w:val="single"/>
          </w:rPr>
          <w:t>10.1038/s44359-026-00214-w</w:t>
        </w:r>
      </w:hyperlink>
    </w:p>
    <w:p>
      <w:pPr>
        <w:spacing w:before="0" w:after="120"/>
      </w:pPr>
      <w:r>
        <w:rPr>
          <w:b/>
        </w:rPr>
        <w:t xml:space="preserve">Notes: </w:t>
      </w:r>
      <w:r>
        <w:t>abstract_source=rss_nature</w:t>
      </w:r>
    </w:p>
    <w:p>
      <w:pPr>
        <w:spacing w:before="0" w:after="80" w:lineRule="auto" w:line="276"/>
      </w:pPr>
      <w:r>
        <w:rPr>
          <w:b/>
        </w:rPr>
        <w:t xml:space="preserve">摘要（ZH）: </w:t>
      </w:r>
      <w:r>
        <w:t>Shwetha Prakash 解释了如何使用原位拉曼光谱来实时研究电化学过程。</w:t>
      </w:r>
    </w:p>
    <w:p>
      <w:pPr>
        <w:spacing w:before="0" w:after="200" w:lineRule="auto" w:line="276"/>
      </w:pPr>
      <w:r>
        <w:rPr>
          <w:b/>
        </w:rPr>
        <w:t xml:space="preserve">Abstract (EN): </w:t>
      </w:r>
      <w:r>
        <w:t>Shwetha Prakash explains how in situ Raman spectroscopy can be used to study electrochemical processes in real time.</w:t>
      </w:r>
    </w:p>
    <w:p>
      <w:pPr>
        <w:spacing w:before="120" w:after="120"/>
      </w:pPr>
      <w:r>
        <w:rPr>
          <w:sz w:val="18"/>
        </w:rPr>
        <w:t>——————————————————————————————————————————————————————————————————————</w:t>
      </w:r>
    </w:p>
    <w:p>
      <w:pPr>
        <w:spacing w:before="160" w:after="40" w:line="240" w:lineRule="auto"/>
      </w:pPr>
      <w:r>
        <w:rPr>
          <w:b/>
        </w:rPr>
        <w:t xml:space="preserve">[1426] </w:t>
      </w:r>
      <w:hyperlink r:id="rId2391">
        <w:r>
          <w:rPr>
            <w:color w:val="1155CC"/>
            <w:u w:val="single"/>
          </w:rPr>
          <w:t>扩展研究计划的国家对学术不端行为实施严厉处罚</w:t>
        </w:r>
      </w:hyperlink>
    </w:p>
    <w:p>
      <w:pPr>
        <w:spacing w:before="0" w:after="80"/>
      </w:pPr>
      <w:r>
        <w:rPr>
          <w:i/>
          <w:sz w:val="20"/>
        </w:rPr>
        <w:t>EN: Nations expanding their research programmes impose sweeping penalties for malpractice</w:t>
      </w:r>
    </w:p>
    <w:p>
      <w:pPr>
        <w:spacing w:before="0" w:after="120"/>
      </w:pPr>
      <w:r>
        <w:rPr>
          <w:b/>
        </w:rPr>
        <w:t xml:space="preserve">Source: </w:t>
      </w:r>
      <w:r>
        <w:t>Nature</w:t>
      </w:r>
      <w:r>
        <w:t xml:space="preserve">    </w:t>
      </w:r>
      <w:r>
        <w:rPr>
          <w:b/>
        </w:rPr>
        <w:t xml:space="preserve">Pub date: </w:t>
      </w:r>
      <w:r>
        <w:t>2026-09-03 00:00:00+00:00</w:t>
      </w:r>
      <w:r>
        <w:t xml:space="preserve">    </w:t>
      </w:r>
      <w:r>
        <w:rPr>
          <w:b/>
        </w:rPr>
        <w:t xml:space="preserve">DOI: </w:t>
      </w:r>
      <w:hyperlink r:id="rId2392">
        <w:r>
          <w:rPr>
            <w:color w:val="1155CC"/>
            <w:u w:val="single"/>
          </w:rPr>
          <w:t>10.1038/d41586-026-02517-1</w:t>
        </w:r>
      </w:hyperlink>
    </w:p>
    <w:p>
      <w:pPr>
        <w:spacing w:before="0" w:after="120"/>
      </w:pPr>
      <w:r>
        <w:rPr>
          <w:b/>
        </w:rPr>
        <w:t xml:space="preserve">Notes: </w:t>
      </w:r>
      <w:r>
        <w:t>abstract_source=rss_nature</w:t>
      </w:r>
    </w:p>
    <w:p>
      <w:pPr>
        <w:spacing w:before="0" w:after="80" w:lineRule="auto" w:line="276"/>
      </w:pPr>
      <w:r>
        <w:rPr>
          <w:b/>
        </w:rPr>
        <w:t xml:space="preserve">摘要（ZH）: </w:t>
      </w:r>
      <w:r>
        <w:t>印度、秘鲁和越南正在推出政策，限制违反研究诚信准则的科学家的机会。</w:t>
      </w:r>
    </w:p>
    <w:p>
      <w:pPr>
        <w:spacing w:before="0" w:after="200" w:lineRule="auto" w:line="276"/>
      </w:pPr>
      <w:r>
        <w:rPr>
          <w:b/>
        </w:rPr>
        <w:t xml:space="preserve">Abstract (EN): </w:t>
      </w:r>
      <w:r>
        <w:t>India, Peru and Vietnam are rolling out policies that limit opportunities for scientists who fall foul of research-integrity guidelines.</w:t>
      </w:r>
    </w:p>
    <w:p>
      <w:pPr>
        <w:spacing w:before="120" w:after="120"/>
      </w:pPr>
      <w:r>
        <w:rPr>
          <w:sz w:val="18"/>
        </w:rPr>
        <w:t>——————————————————————————————————————————————————————————————————————</w:t>
      </w:r>
    </w:p>
    <w:p>
      <w:pPr>
        <w:spacing w:before="160" w:after="40" w:line="240" w:lineRule="auto"/>
      </w:pPr>
      <w:r>
        <w:rPr>
          <w:b/>
        </w:rPr>
        <w:t xml:space="preserve">[1427] </w:t>
      </w:r>
      <w:hyperlink r:id="rId2393">
        <w:r>
          <w:rPr>
            <w:color w:val="1155CC"/>
            <w:u w:val="single"/>
          </w:rPr>
          <w:t>埋藏的内裤和接吻的新定义获得2026年搞笑诺贝尔奖</w:t>
        </w:r>
      </w:hyperlink>
    </w:p>
    <w:p>
      <w:pPr>
        <w:spacing w:before="0" w:after="80"/>
      </w:pPr>
      <w:r>
        <w:rPr>
          <w:i/>
          <w:sz w:val="20"/>
        </w:rPr>
        <w:t>EN: Buried underpants and a new definition of kissing win 2026 Ig Nobel prizes</w:t>
      </w:r>
    </w:p>
    <w:p>
      <w:pPr>
        <w:spacing w:before="0" w:after="120"/>
      </w:pPr>
      <w:r>
        <w:rPr>
          <w:b/>
        </w:rPr>
        <w:t xml:space="preserve">Source: </w:t>
      </w:r>
      <w:r>
        <w:t>Nature</w:t>
      </w:r>
      <w:r>
        <w:t xml:space="preserve">    </w:t>
      </w:r>
      <w:r>
        <w:rPr>
          <w:b/>
        </w:rPr>
        <w:t xml:space="preserve">Pub date: </w:t>
      </w:r>
      <w:r>
        <w:t>2026-09-03 00:00:00+00:00</w:t>
      </w:r>
      <w:r>
        <w:t xml:space="preserve">    </w:t>
      </w:r>
      <w:r>
        <w:rPr>
          <w:b/>
        </w:rPr>
        <w:t xml:space="preserve">DOI: </w:t>
      </w:r>
      <w:hyperlink r:id="rId2394">
        <w:r>
          <w:rPr>
            <w:color w:val="1155CC"/>
            <w:u w:val="single"/>
          </w:rPr>
          <w:t>10.1038/d41586-026-02650-x</w:t>
        </w:r>
      </w:hyperlink>
    </w:p>
    <w:p>
      <w:pPr>
        <w:spacing w:before="0" w:after="120"/>
      </w:pPr>
      <w:r>
        <w:rPr>
          <w:b/>
        </w:rPr>
        <w:t xml:space="preserve">Notes: </w:t>
      </w:r>
      <w:r>
        <w:t>abstract_source=rss_nature</w:t>
      </w:r>
    </w:p>
    <w:p>
      <w:pPr>
        <w:spacing w:before="0" w:after="80" w:lineRule="auto" w:line="276"/>
      </w:pPr>
      <w:r>
        <w:rPr>
          <w:b/>
        </w:rPr>
        <w:t xml:space="preserve">摘要（ZH）: </w:t>
      </w:r>
      <w:r>
        <w:t>这些奖项突出了奇怪、有趣和不可思议的研究，这些研究也能让你思考。</w:t>
      </w:r>
    </w:p>
    <w:p>
      <w:pPr>
        <w:spacing w:before="0" w:after="200" w:lineRule="auto" w:line="276"/>
      </w:pPr>
      <w:r>
        <w:rPr>
          <w:b/>
        </w:rPr>
        <w:t xml:space="preserve">Abstract (EN): </w:t>
      </w:r>
      <w:r>
        <w:t>The awards highlight weird, funny and improbable research that also makes you think.</w:t>
      </w:r>
    </w:p>
    <w:p>
      <w:pPr>
        <w:spacing w:before="120" w:after="120"/>
      </w:pPr>
      <w:r>
        <w:rPr>
          <w:sz w:val="18"/>
        </w:rPr>
        <w:t>——————————————————————————————————————————————————————————————————————</w:t>
      </w:r>
    </w:p>
    <w:p>
      <w:pPr>
        <w:spacing w:before="160" w:after="40" w:line="240" w:lineRule="auto"/>
      </w:pPr>
      <w:r>
        <w:rPr>
          <w:b/>
        </w:rPr>
        <w:t xml:space="preserve">[1428] </w:t>
      </w:r>
      <w:hyperlink r:id="rId2395">
        <w:r>
          <w:rPr>
            <w:color w:val="1155CC"/>
            <w:u w:val="single"/>
          </w:rPr>
          <w:t>魔蘑菇化合物在小鼠体内阻断化疗的一种严重副作用</w:t>
        </w:r>
      </w:hyperlink>
    </w:p>
    <w:p>
      <w:pPr>
        <w:spacing w:before="0" w:after="80"/>
      </w:pPr>
      <w:r>
        <w:rPr>
          <w:i/>
          <w:sz w:val="20"/>
        </w:rPr>
        <w:t>EN: Magic-mushroom compound blocks a severe side effect of chemotherapy, in mice</w:t>
      </w:r>
    </w:p>
    <w:p>
      <w:pPr>
        <w:spacing w:before="0" w:after="120"/>
      </w:pPr>
      <w:r>
        <w:rPr>
          <w:b/>
        </w:rPr>
        <w:t xml:space="preserve">Source: </w:t>
      </w:r>
      <w:r>
        <w:t>Nature</w:t>
      </w:r>
      <w:r>
        <w:t xml:space="preserve">    </w:t>
      </w:r>
      <w:r>
        <w:rPr>
          <w:b/>
        </w:rPr>
        <w:t xml:space="preserve">Pub date: </w:t>
      </w:r>
      <w:r>
        <w:t>2026-09-03 00:00:00+00:00</w:t>
      </w:r>
      <w:r>
        <w:t xml:space="preserve">    </w:t>
      </w:r>
      <w:r>
        <w:rPr>
          <w:b/>
        </w:rPr>
        <w:t xml:space="preserve">DOI: </w:t>
      </w:r>
      <w:hyperlink r:id="rId2396">
        <w:r>
          <w:rPr>
            <w:color w:val="1155CC"/>
            <w:u w:val="single"/>
          </w:rPr>
          <w:t>10.1038/d41586-026-02744-6</w:t>
        </w:r>
      </w:hyperlink>
    </w:p>
    <w:p>
      <w:pPr>
        <w:spacing w:before="0" w:after="120"/>
      </w:pPr>
      <w:r>
        <w:rPr>
          <w:b/>
        </w:rPr>
        <w:t xml:space="preserve">Notes: </w:t>
      </w:r>
      <w:r>
        <w:t>abstract_source=rss_nature</w:t>
      </w:r>
    </w:p>
    <w:p>
      <w:pPr>
        <w:spacing w:before="0" w:after="80" w:lineRule="auto" w:line="276"/>
      </w:pPr>
      <w:r>
        <w:rPr>
          <w:b/>
        </w:rPr>
        <w:t xml:space="preserve">摘要（ZH）: </w:t>
      </w:r>
      <w:r>
        <w:t>研究表明，裸盖菇素作用于神经，可预防称为周围神经病变的疼痛性疾病。</w:t>
      </w:r>
    </w:p>
    <w:p>
      <w:pPr>
        <w:spacing w:before="0" w:after="200" w:lineRule="auto" w:line="276"/>
      </w:pPr>
      <w:r>
        <w:rPr>
          <w:b/>
        </w:rPr>
        <w:t xml:space="preserve">Abstract (EN): </w:t>
      </w:r>
      <w:r>
        <w:t>Study shows that psilocybin acts on nerves to prevent the painful condition called peripheral neuropathy.</w:t>
      </w:r>
    </w:p>
    <w:p>
      <w:pPr>
        <w:spacing w:before="120" w:after="120"/>
      </w:pPr>
      <w:r>
        <w:rPr>
          <w:sz w:val="18"/>
        </w:rPr>
        <w:t>——————————————————————————————————————————————————————————————————————</w:t>
      </w:r>
    </w:p>
    <w:p>
      <w:pPr>
        <w:spacing w:before="160" w:after="40" w:line="240" w:lineRule="auto"/>
      </w:pPr>
      <w:r>
        <w:rPr>
          <w:b/>
        </w:rPr>
        <w:t xml:space="preserve">[1429] </w:t>
      </w:r>
      <w:hyperlink r:id="rId2397">
        <w:r>
          <w:rPr>
            <w:color w:val="1155CC"/>
            <w:u w:val="single"/>
          </w:rPr>
          <w:t>体内构建的免疫疗法缓解多发性硬化症</w:t>
        </w:r>
      </w:hyperlink>
    </w:p>
    <w:p>
      <w:pPr>
        <w:spacing w:before="0" w:after="80"/>
      </w:pPr>
      <w:r>
        <w:rPr>
          <w:i/>
          <w:sz w:val="20"/>
        </w:rPr>
        <w:t>EN: Immune therapy engineered inside the body eases multiple sclerosis</w:t>
      </w:r>
    </w:p>
    <w:p>
      <w:pPr>
        <w:spacing w:before="0" w:after="120"/>
      </w:pPr>
      <w:r>
        <w:rPr>
          <w:b/>
        </w:rPr>
        <w:t xml:space="preserve">Source: </w:t>
      </w:r>
      <w:r>
        <w:t>Nature</w:t>
      </w:r>
      <w:r>
        <w:t xml:space="preserve">    </w:t>
      </w:r>
      <w:r>
        <w:rPr>
          <w:b/>
        </w:rPr>
        <w:t xml:space="preserve">Pub date: </w:t>
      </w:r>
      <w:r>
        <w:t>2026-09-03 00:00:00+00:00</w:t>
      </w:r>
      <w:r>
        <w:t xml:space="preserve">    </w:t>
      </w:r>
      <w:r>
        <w:rPr>
          <w:b/>
        </w:rPr>
        <w:t xml:space="preserve">DOI: </w:t>
      </w:r>
      <w:hyperlink r:id="rId2398">
        <w:r>
          <w:rPr>
            <w:color w:val="1155CC"/>
            <w:u w:val="single"/>
          </w:rPr>
          <w:t>10.1038/d41586-026-02765-1</w:t>
        </w:r>
      </w:hyperlink>
    </w:p>
    <w:p>
      <w:pPr>
        <w:spacing w:before="0" w:after="120"/>
      </w:pPr>
      <w:r>
        <w:rPr>
          <w:b/>
        </w:rPr>
        <w:t xml:space="preserve">Notes: </w:t>
      </w:r>
      <w:r>
        <w:t>abstract_source=rss_nature</w:t>
      </w:r>
    </w:p>
    <w:p>
      <w:pPr>
        <w:spacing w:before="0" w:after="80" w:lineRule="auto" w:line="276"/>
      </w:pPr>
      <w:r>
        <w:rPr>
          <w:b/>
        </w:rPr>
        <w:t xml:space="preserve">摘要（ZH）: </w:t>
      </w:r>
      <w:r>
        <w:t>一项小型试验的结果表明，经过修饰的病毒可以指示免疫系统消灭致病细胞。</w:t>
      </w:r>
    </w:p>
    <w:p>
      <w:pPr>
        <w:spacing w:before="0" w:after="200" w:lineRule="auto" w:line="276"/>
      </w:pPr>
      <w:r>
        <w:rPr>
          <w:b/>
        </w:rPr>
        <w:t xml:space="preserve">Abstract (EN): </w:t>
      </w:r>
      <w:r>
        <w:t>Results from a small trial suggest a modified virus can instruct the immune system to wipe out disease-causing cells.</w:t>
      </w:r>
    </w:p>
    <w:p>
      <w:pPr>
        <w:spacing w:before="120" w:after="120"/>
      </w:pPr>
      <w:r>
        <w:rPr>
          <w:sz w:val="18"/>
        </w:rPr>
        <w:t>——————————————————————————————————————————————————————————————————————</w:t>
      </w:r>
    </w:p>
    <w:p>
      <w:pPr>
        <w:spacing w:before="160" w:after="40" w:line="240" w:lineRule="auto"/>
      </w:pPr>
      <w:r>
        <w:rPr>
          <w:b/>
        </w:rPr>
        <w:t xml:space="preserve">[1430] </w:t>
      </w:r>
      <w:hyperlink r:id="rId2399">
        <w:r>
          <w:rPr>
            <w:color w:val="1155CC"/>
            <w:u w:val="single"/>
          </w:rPr>
          <w:t>通过钯催化脱羧重排实现酮的同系化</w:t>
        </w:r>
      </w:hyperlink>
    </w:p>
    <w:p>
      <w:pPr>
        <w:spacing w:before="0" w:after="80"/>
      </w:pPr>
      <w:r>
        <w:rPr>
          <w:i/>
          <w:sz w:val="20"/>
        </w:rPr>
        <w:t>EN: Ketone homologation via palladium-catalysed decarboxylative rearrangement</w:t>
      </w:r>
    </w:p>
    <w:p>
      <w:pPr>
        <w:spacing w:before="0" w:after="120"/>
      </w:pPr>
      <w:r>
        <w:rPr>
          <w:b/>
        </w:rPr>
        <w:t xml:space="preserve">Source: </w:t>
      </w:r>
      <w:r>
        <w:t>Nature</w:t>
      </w:r>
      <w:r>
        <w:t xml:space="preserve">    </w:t>
      </w:r>
      <w:r>
        <w:rPr>
          <w:b/>
        </w:rPr>
        <w:t xml:space="preserve">Pub date: </w:t>
      </w:r>
      <w:r>
        <w:t>2026-09-03 00:00:00+00:00</w:t>
      </w:r>
      <w:r>
        <w:t xml:space="preserve">    </w:t>
      </w:r>
      <w:r>
        <w:rPr>
          <w:b/>
        </w:rPr>
        <w:t xml:space="preserve">DOI: </w:t>
      </w:r>
      <w:hyperlink r:id="rId2400">
        <w:r>
          <w:rPr>
            <w:color w:val="1155CC"/>
            <w:u w:val="single"/>
          </w:rPr>
          <w:t>10.1038/s41586-026-11091-5</w:t>
        </w:r>
      </w:hyperlink>
    </w:p>
    <w:p>
      <w:pPr>
        <w:spacing w:before="0" w:after="120"/>
      </w:pPr>
      <w:r>
        <w:rPr>
          <w:b/>
        </w:rPr>
        <w:t xml:space="preserve">Notes: </w:t>
      </w:r>
      <w:r>
        <w:t>abstract_source=rss_nature</w:t>
      </w:r>
    </w:p>
    <w:p>
      <w:pPr>
        <w:spacing w:before="0" w:after="80" w:lineRule="auto" w:line="276"/>
      </w:pPr>
      <w:r>
        <w:rPr>
          <w:b/>
        </w:rPr>
        <w:t xml:space="preserve">摘要（ZH）: </w:t>
      </w:r>
      <w:r>
        <w:t>通过钯催化脱羧重排进行酮同系化</w:t>
      </w:r>
    </w:p>
    <w:p>
      <w:pPr>
        <w:spacing w:before="0" w:after="200" w:lineRule="auto" w:line="276"/>
      </w:pPr>
      <w:r>
        <w:rPr>
          <w:b/>
        </w:rPr>
        <w:t xml:space="preserve">Abstract (EN): </w:t>
      </w:r>
      <w:r>
        <w:t>Ketone homologation via palladium-catalysed decarboxylative rearrangement</w:t>
      </w:r>
    </w:p>
    <w:p>
      <w:pPr>
        <w:spacing w:before="120" w:after="120"/>
      </w:pPr>
      <w:r>
        <w:rPr>
          <w:sz w:val="18"/>
        </w:rPr>
        <w:t>——————————————————————————————————————————————————————————————————————</w:t>
      </w:r>
    </w:p>
    <w:p>
      <w:pPr>
        <w:spacing w:before="160" w:after="40" w:line="240" w:lineRule="auto"/>
      </w:pPr>
      <w:r>
        <w:rPr>
          <w:b/>
        </w:rPr>
        <w:t xml:space="preserve">[1431] </w:t>
      </w:r>
      <w:hyperlink r:id="rId2401">
        <w:r>
          <w:rPr>
            <w:color w:val="1155CC"/>
            <w:u w:val="single"/>
          </w:rPr>
          <w:t>激子凝聚体的缺陷束缚态作为Yu–Shiba–Rusinov态的类比</w:t>
        </w:r>
      </w:hyperlink>
    </w:p>
    <w:p>
      <w:pPr>
        <w:spacing w:before="0" w:after="80"/>
      </w:pPr>
      <w:r>
        <w:rPr>
          <w:i/>
          <w:sz w:val="20"/>
        </w:rPr>
        <w:t>EN: Defect-bound states of exciton condensate as an analogue of the Yu–Shiba–Rusinov state</w:t>
      </w:r>
    </w:p>
    <w:p>
      <w:pPr>
        <w:spacing w:before="0" w:after="120"/>
      </w:pPr>
      <w:r>
        <w:rPr>
          <w:b/>
        </w:rPr>
        <w:t xml:space="preserve">Source: </w:t>
      </w:r>
      <w:r>
        <w:t>Nature Nanotechnology</w:t>
      </w:r>
      <w:r>
        <w:t xml:space="preserve">    </w:t>
      </w:r>
      <w:r>
        <w:rPr>
          <w:b/>
        </w:rPr>
        <w:t xml:space="preserve">Pub date: </w:t>
      </w:r>
      <w:r>
        <w:t>2026-09-03 00:00:00+00:00</w:t>
      </w:r>
      <w:r>
        <w:t xml:space="preserve">    </w:t>
      </w:r>
      <w:r>
        <w:rPr>
          <w:b/>
        </w:rPr>
        <w:t xml:space="preserve">DOI: </w:t>
      </w:r>
      <w:hyperlink r:id="rId2402">
        <w:r>
          <w:rPr>
            <w:color w:val="1155CC"/>
            <w:u w:val="single"/>
          </w:rPr>
          <w:t>10.1038/s41565-026-02267-1</w:t>
        </w:r>
      </w:hyperlink>
    </w:p>
    <w:p>
      <w:pPr>
        <w:spacing w:before="0" w:after="120"/>
      </w:pPr>
      <w:r>
        <w:rPr>
          <w:b/>
        </w:rPr>
        <w:t xml:space="preserve">Notes: </w:t>
      </w:r>
      <w:r>
        <w:t>abstract_source=rss_nature</w:t>
      </w:r>
    </w:p>
    <w:p>
      <w:pPr>
        <w:spacing w:before="0" w:after="80" w:lineRule="auto" w:line="276"/>
      </w:pPr>
      <w:r>
        <w:rPr>
          <w:b/>
        </w:rPr>
        <w:t xml:space="preserve">摘要（ZH）: </w:t>
      </w:r>
      <w:r>
        <w:t>量子激子凝聚体中的杂质会产生束缚电子态，如 Ta2Pd3Te5 所示，类似于超导体中的自旋杂质，从而能够对激子量子物质进行微观控制。</w:t>
      </w:r>
    </w:p>
    <w:p>
      <w:pPr>
        <w:spacing w:before="0" w:after="200" w:lineRule="auto" w:line="276"/>
      </w:pPr>
      <w:r>
        <w:rPr>
          <w:b/>
        </w:rPr>
        <w:t xml:space="preserve">Abstract (EN): </w:t>
      </w:r>
      <w:r>
        <w:t>Impurities in a quantum exciton condensate create bound electronic states, as visualized in Ta2Pd3Te5, that are analogous to spin impurities in superconductors, enabling microscopic control of excitonic quantum matter.</w:t>
      </w:r>
    </w:p>
    <w:p>
      <w:pPr>
        <w:spacing w:before="120" w:after="120"/>
      </w:pPr>
      <w:r>
        <w:rPr>
          <w:sz w:val="18"/>
        </w:rPr>
        <w:t>——————————————————————————————————————————————————————————————————————</w:t>
      </w:r>
    </w:p>
    <w:p>
      <w:pPr>
        <w:spacing w:before="160" w:after="40" w:line="240" w:lineRule="auto"/>
      </w:pPr>
      <w:r>
        <w:rPr>
          <w:b/>
        </w:rPr>
        <w:t xml:space="preserve">[1432] </w:t>
      </w:r>
      <w:hyperlink r:id="rId2282">
        <w:r>
          <w:rPr>
            <w:color w:val="1155CC"/>
            <w:u w:val="single"/>
          </w:rPr>
          <w:t>人Argonaute-2对有机基5′-磷酸酯的可编程识别</w:t>
        </w:r>
      </w:hyperlink>
    </w:p>
    <w:p>
      <w:pPr>
        <w:spacing w:before="0" w:after="80"/>
      </w:pPr>
      <w:r>
        <w:rPr>
          <w:i/>
          <w:sz w:val="20"/>
        </w:rPr>
        <w:t>EN: Programmable Recognition of Organyl 5′-Phosphates by Human Argonaute-2</w:t>
      </w:r>
    </w:p>
    <w:p>
      <w:pPr>
        <w:spacing w:before="0" w:after="120"/>
      </w:pPr>
      <w:r>
        <w:rPr>
          <w:b/>
        </w:rPr>
        <w:t xml:space="preserve">Source: </w:t>
      </w:r>
      <w:r>
        <w:t>Journal of the American Chemical Society</w:t>
      </w:r>
      <w:r>
        <w:t xml:space="preserve">    </w:t>
      </w:r>
      <w:r>
        <w:rPr>
          <w:b/>
        </w:rPr>
        <w:t xml:space="preserve">Pub date: </w:t>
      </w:r>
      <w:r>
        <w:t>2026-09-03 00:00:00+00:00</w:t>
      </w:r>
      <w:r>
        <w:t xml:space="preserve">    </w:t>
      </w:r>
      <w:r>
        <w:rPr>
          <w:b/>
        </w:rPr>
        <w:t xml:space="preserve">DOI: </w:t>
      </w:r>
      <w:hyperlink r:id="rId2282">
        <w:r>
          <w:rPr>
            <w:color w:val="1155CC"/>
            <w:u w:val="single"/>
          </w:rPr>
          <w:t>10.1021/jacs.6c03647</w:t>
        </w:r>
      </w:hyperlink>
    </w:p>
    <w:p>
      <w:pPr>
        <w:spacing w:before="0" w:after="120"/>
      </w:pPr>
      <w:r>
        <w:rPr>
          <w:b/>
        </w:rPr>
        <w:t xml:space="preserve">Notes: </w:t>
      </w:r>
      <w:r>
        <w:t>abstract_source=crossref</w:t>
      </w:r>
    </w:p>
    <w:p>
      <w:pPr>
        <w:spacing w:before="0" w:after="80" w:lineRule="auto" w:line="276"/>
      </w:pPr>
      <w:r>
        <w:rPr>
          <w:b/>
        </w:rPr>
        <w:t xml:space="preserve">摘要（ZH）: </w:t>
      </w:r>
      <w:r>
        <w:t>摘要 为了实现 RNA 干扰 (RNAi)，Argonaute (AGO) 蛋白通过必需的 5'-磷酸 (5'-P) 识别并加载 RNA 引导链。然而，尽管 AGO2 对小干扰 RNA (siRNA) 药物设计很重要，但控制 AGO2 对化学修饰 5'-P 结构耐受性的结构特征仍然不清楚。此外，降解酶也识别 5'-P，但很少有立体电子特征能够区分 AGO2 识别和竞争性降解途径。在这里，我们表明 AGO2 容纳的 5'-P 衍生物范围比之前认识的要广泛得多，并且选择的 5'-P 模拟物可以利用与蛋白质的新相互作用来增强引导锚定。通过 35 个有机取代基的系统多样化，我们探究了引导锚定和酶敏感性的结构决定因素。我们的分析发现了以前未表征的 5'-P 模拟物，包括甲基和苯基炔丙基 5'-磷酸酯 (5'-PO-Me、5'-PO-PhPrp)、苯基炔丙基 5'-硫代磷酸酯 (5'-PS-PhPrp) 和 5'-甲磺酰氨基磷酸酯 (5'-MsPA)，它们可保持细胞中 AGO2 的有效负载，同时抑制磷酸酶介导的降解。我们进一步发现 5'-核酸外切酶敏感性很大程度上取决于规范的 5' 磷酸化学而不是空间可及性。 5'-PO-PhPrp 引导物：AGO2 复合物的结构分析表明，苯基炔丙基取代基在芳香侧链簇 (Y529/F811/Y815) 内形成 π 堆积网络，而扩展的 5'-P 取代基则通过 ro 容纳。</w:t>
      </w:r>
    </w:p>
    <w:p>
      <w:pPr>
        <w:spacing w:before="0" w:after="200" w:lineRule="auto" w:line="276"/>
      </w:pPr>
      <w:r>
        <w:rPr>
          <w:b/>
        </w:rPr>
        <w:t xml:space="preserve">Abstract (EN): </w:t>
      </w:r>
      <w:r>
        <w:t>To effectuate RNA interference (RNAi), Argonaute (AGO) proteins recognize and load RNA guide strands by their requisite 5′-phosphate (5′-P). However, the structural features that govern AGO2 tolerance for chemically modified 5′-P architectures remain poorly defined, despite their importance for small interfering RNA (siRNA) drug design. Moreover, degradative enzymes also recognize 5′-P, yet few stereoelectronic features are known to differentiate AGO2 recognition from competing degradation pathways. Here, we show that AGO2 accommodates a substantially broader range of 5′-P derivatives than previously recognized, and that select 5′-P mimics can exploit novel interactions with the protein to reinforce guide anchoring. Through systematic diversification of 35 organic substituents, we interrogated structural determinants of guide anchoring and enzymatic susceptibility. Our analysis identified previously uncharacterized 5′-P mimics, including methyl and phenylpropargyl 5′-phosphates (5′-PO-Me, 5′-PO-PhPrp), phenylpropargyl 5′-phosphorothioate (5′-PS-PhPrp), and 5′-mesylphosphoramidate (5′-MsPA), that preserve efficient AGO2 loading in cells while inhibiting phosphatase-mediated degradation. We further found that 5′-exonuclease susceptibility depends strongly on canonical 5′ phosphate chemistry rather than steric accessibility. Structural analysis of a 5′-PO-PhPrp guide:AGO2 complex shows that the phenylpropargyl substituent engages a π-stacking network within a cluster of aromatic side chains (Y529/F811/Y815), while extended 5′-P substituents are accommodated through rotation of the 5′-P and coordinated rearrangement of water molecules within the 5′-P binding pocket. Collectively, these findings reveal the structural basis for plasticity of guide anchoring in AGO2 and establish chemically programmable 5′-end interactions as a general strategy for modulating oligonucleotide stability and activity.</w:t>
      </w:r>
    </w:p>
    <w:p>
      <w:pPr>
        <w:spacing w:before="120" w:after="120"/>
      </w:pPr>
      <w:r>
        <w:rPr>
          <w:sz w:val="18"/>
        </w:rPr>
        <w:t>——————————————————————————————————————————————————————————————————————</w:t>
      </w:r>
    </w:p>
    <w:p>
      <w:pPr>
        <w:spacing w:before="160" w:after="40" w:line="240" w:lineRule="auto"/>
      </w:pPr>
      <w:r>
        <w:rPr>
          <w:b/>
        </w:rPr>
        <w:t xml:space="preserve">[1433] </w:t>
      </w:r>
      <w:hyperlink r:id="rId2186">
        <w:r>
          <w:rPr>
            <w:color w:val="1155CC"/>
            <w:u w:val="single"/>
          </w:rPr>
          <w:t>基于自组装纤维素纳米晶体的虹彩、柔性、疏水聚合物复合薄膜</w:t>
        </w:r>
      </w:hyperlink>
    </w:p>
    <w:p>
      <w:pPr>
        <w:spacing w:before="0" w:after="80"/>
      </w:pPr>
      <w:r>
        <w:rPr>
          <w:i/>
          <w:sz w:val="20"/>
        </w:rPr>
        <w:t>EN: Iridescent, Flexible, Hydrophobic Polymer Composite Films from Self-Assembled Cellulose Nanocrystals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186">
        <w:r>
          <w:rPr>
            <w:color w:val="1155CC"/>
            <w:u w:val="single"/>
          </w:rPr>
          <w:t>10.1021/acsami.6c08922</w:t>
        </w:r>
      </w:hyperlink>
    </w:p>
    <w:p>
      <w:pPr>
        <w:spacing w:before="0" w:after="120"/>
      </w:pPr>
      <w:r>
        <w:rPr>
          <w:b/>
        </w:rPr>
        <w:t xml:space="preserve">Notes: </w:t>
      </w:r>
      <w:r>
        <w:t>abstract_source=crossref</w:t>
      </w:r>
    </w:p>
    <w:p>
      <w:pPr>
        <w:spacing w:before="0" w:after="80" w:lineRule="auto" w:line="276"/>
      </w:pPr>
      <w:r>
        <w:rPr>
          <w:b/>
        </w:rPr>
        <w:t xml:space="preserve">摘要（ZH）: </w:t>
      </w:r>
      <w:r>
        <w:t>摘要 纤维素纳米晶体（CNC）因其能够通过手性向列液晶相的凝固形成具有结构色的虹彩薄膜而闻名。然而，CNC 固有的脆性和亲水性使其易碎且容易受潮，从而限制了其多功能性。为了解决这些问题，我们开发了一种创新策略来克服亲水性CNC和疏水性聚己内酯（PCL）之间的不相容性，并制备了一系列疏水性虹彩CNC-PCL复合薄膜。通过薄膜溶胀、溶剂交换和环境干燥，软 PCL 被均匀地捕获在手性向列 CNC 矩阵中，同时组装好的 CNC 的光子结构得到了很好的保留。这些复合材料具有虹彩、柔性和疏水性，使其成为防水光子涂层的有希望的候选材料。此外，通过调整 CNC 矩阵中 PCL 的比例，可以轻松调整它们的结构颜色、柔韧性和疏水性。预计这一新策略将为未来研究人员通过混合光子晶体和疏水性聚合物来开发防水且柔性的光子材料并扩展其应用场景打开大门。</w:t>
      </w:r>
    </w:p>
    <w:p>
      <w:pPr>
        <w:spacing w:before="0" w:after="200" w:lineRule="auto" w:line="276"/>
      </w:pPr>
      <w:r>
        <w:rPr>
          <w:b/>
        </w:rPr>
        <w:t xml:space="preserve">Abstract (EN): </w:t>
      </w:r>
      <w:r>
        <w:t>Cellulose nanocrystals (CNCs) are known for their ability to form iridescent films with structural color via solidification of a chiral nematic liquid crystalline phase. However, the inherent brittleness and hydrophilicity of CNCs make them fragile and susceptible to moisture, limiting their versatility. To address these issues, an innovative strategy has been developed to overcome the incompatibility between hydrophilic CNCs and hydrophobic polycaprolactone (PCL), and a series of hydrophobic iridescent CNC-PCL composite films has been prepared. The soft PCL was homogenously entrapped in the chiral nematic CNC matrix through film swelling, solvent exchange, and ambient drying, while the photonic structure of the assembled CNCs was well retained. These composite materials are iridescent, flexible, and hydrophobic, making them promising candidates for waterproof photonic coatings. Furthermore, their structural color, flexibility, and hydrophobicity were readily adjusted by tuning the proportion of PCL in the CNC matrix. It is expected that this new strategy will open the door for future researchers to develop water-resistant and flexible photonic materials by blending photonic crystals and hydrophobic polymers, as well as expanding their application scenarios.</w:t>
      </w:r>
    </w:p>
    <w:p>
      <w:pPr>
        <w:spacing w:before="120" w:after="120"/>
      </w:pPr>
      <w:r>
        <w:rPr>
          <w:sz w:val="18"/>
        </w:rPr>
        <w:t>——————————————————————————————————————————————————————————————————————</w:t>
      </w:r>
    </w:p>
    <w:p>
      <w:pPr>
        <w:spacing w:before="160" w:after="40" w:line="240" w:lineRule="auto"/>
      </w:pPr>
      <w:r>
        <w:rPr>
          <w:b/>
        </w:rPr>
        <w:t xml:space="preserve">[1434] </w:t>
      </w:r>
      <w:hyperlink r:id="rId2266">
        <w:r>
          <w:rPr>
            <w:color w:val="1155CC"/>
            <w:u w:val="single"/>
          </w:rPr>
          <w:t>从脱氢到衍生化：分子催化实现烷烃和烷基官能团化</w:t>
        </w:r>
      </w:hyperlink>
    </w:p>
    <w:p>
      <w:pPr>
        <w:spacing w:before="0" w:after="80"/>
      </w:pPr>
      <w:r>
        <w:rPr>
          <w:i/>
          <w:sz w:val="20"/>
        </w:rPr>
        <w:t>EN: From Dehydrogenation to Derivatization: Functionalization of Alkanes and Alkyl Groups by Molecular Catalysis</w:t>
      </w:r>
    </w:p>
    <w:p>
      <w:pPr>
        <w:spacing w:before="0" w:after="120"/>
      </w:pPr>
      <w:r>
        <w:rPr>
          <w:b/>
        </w:rPr>
        <w:t xml:space="preserve">Source: </w:t>
      </w:r>
      <w:r>
        <w:t>Journal of the American Chemical Society</w:t>
      </w:r>
      <w:r>
        <w:t xml:space="preserve">    </w:t>
      </w:r>
      <w:r>
        <w:rPr>
          <w:b/>
        </w:rPr>
        <w:t xml:space="preserve">Pub date: </w:t>
      </w:r>
      <w:r>
        <w:t>2026-09-03 00:00:00+00:00</w:t>
      </w:r>
      <w:r>
        <w:t xml:space="preserve">    </w:t>
      </w:r>
      <w:r>
        <w:rPr>
          <w:b/>
        </w:rPr>
        <w:t xml:space="preserve">DOI: </w:t>
      </w:r>
      <w:hyperlink r:id="rId2266">
        <w:r>
          <w:rPr>
            <w:color w:val="1155CC"/>
            <w:u w:val="single"/>
          </w:rPr>
          <w:t>10.1021/jacs.6c11696</w:t>
        </w:r>
      </w:hyperlink>
    </w:p>
    <w:p>
      <w:pPr>
        <w:spacing w:before="0" w:after="120"/>
      </w:pPr>
      <w:r>
        <w:rPr>
          <w:b/>
        </w:rPr>
        <w:t xml:space="preserve">Notes: </w:t>
      </w:r>
      <w:r>
        <w:t>abstract_source=crossref</w:t>
      </w:r>
    </w:p>
    <w:p>
      <w:pPr>
        <w:spacing w:before="0" w:after="80" w:lineRule="auto" w:line="276"/>
      </w:pPr>
      <w:r>
        <w:rPr>
          <w:b/>
        </w:rPr>
        <w:t xml:space="preserve">摘要（ZH）: </w:t>
      </w:r>
      <w:r>
        <w:t>摘要 烷烃脱氢已从一项基本的有机金属挑战发展成为一项用于升级丰富的碳氢化合物原料和改性复杂分子的革命性技术。本视角描绘了现代烷烃脱氢的演变，强调了成熟的双电子途径和新兴的自由基介导的反应流形之间的战略分歧。对于结构无偏的简单烷烃的脱氢，研究仍然集中在以钳过渡金属体系为代表的贵金属分子催化剂上，其中活性和区域选择性不仅受催化剂的第一配位球的控制，而且还受到配体支架的微妙影响。相比之下，对于具有电子或热力学差异的C(sp3)-H键的碳氢化合物的脱氢，出现了一种补充范式，其中反应性主要由底物的固有性质决定。键解离能 (BDE) 和键极性的相互作用可以通过多种氢原子转移 (HAT) 试剂（或催化剂）来利用。我们讨论这两种不同的机制如何决定脱氢和脱氢触发的衍生化的范围，其范围超出了小烷烃官能化，延伸到大分子聚烯烃的受控升级循环。通过分析热力学约束、催化剂可持续性和工艺集成之间的相互作用，我们概述了下一代催化脱氢系统的前瞻性路线图。</w:t>
      </w:r>
    </w:p>
    <w:p>
      <w:pPr>
        <w:spacing w:before="0" w:after="200" w:lineRule="auto" w:line="276"/>
      </w:pPr>
      <w:r>
        <w:rPr>
          <w:b/>
        </w:rPr>
        <w:t xml:space="preserve">Abstract (EN): </w:t>
      </w:r>
      <w:r>
        <w:t>Alkane dehydrogenation has evolved from a fundamental organometallic challenge into a transformative technology for upgrading abundant hydrocarbon feedstocks and modifying complex molecules. This Perspective charts the evolution of modern alkane dehydrogenation, emphasizing the strategic divergence between well-established two-electron pathways and emerging radical-mediated reaction manifolds. For the dehydrogenation of structurally unbiased simple alkanes, research remains centered on noble-metal-based molecular catalysts, represented by pincer–transition-metal systems, where activity and regioselectivity are not only governed by catalysts’ first coordination sphere but also subtly affected by ligands’ scaffold. In contrast, for the dehydrogenation of hydrocarbons with electronically or thermodynamically differentiated C(sp3)–H bonds, a complementary paradigm has emerged in which reactivity is mainly dictated by the intrinsic properties of substrates. The interplay of bond dissociation energies (BDEs) and bond polarity can be harnessed by a diverse array of hydrogen atom transfer (HAT) reagents (or catalysts). We discuss how these two distinct mechanisms dictate the scope of both the dehydrogenation and dehydrogenation-triggered derivatization, which extends beyond small alkane functionalizations to controlled upcycling of macromolecular polyolefins. By analyzing the interplay between thermodynamic constraints, catalyst sustainability, and process integration, we outline a forward-looking roadmap for next-generation catalytic dehydrogenation systems.</w:t>
      </w:r>
    </w:p>
    <w:p>
      <w:pPr>
        <w:spacing w:before="120" w:after="120"/>
      </w:pPr>
      <w:r>
        <w:rPr>
          <w:sz w:val="18"/>
        </w:rPr>
        <w:t>——————————————————————————————————————————————————————————————————————</w:t>
      </w:r>
    </w:p>
    <w:p>
      <w:pPr>
        <w:spacing w:before="160" w:after="40" w:line="240" w:lineRule="auto"/>
      </w:pPr>
      <w:r>
        <w:rPr>
          <w:b/>
        </w:rPr>
        <w:t xml:space="preserve">[1435] </w:t>
      </w:r>
      <w:hyperlink r:id="rId2234">
        <w:r>
          <w:rPr>
            <w:color w:val="1155CC"/>
            <w:u w:val="single"/>
          </w:rPr>
          <w:t>用于通用且节约材料的纳米粒子薄膜的双相浸渍涂膜法</w:t>
        </w:r>
      </w:hyperlink>
    </w:p>
    <w:p>
      <w:pPr>
        <w:spacing w:before="0" w:after="80"/>
      </w:pPr>
      <w:r>
        <w:rPr>
          <w:i/>
          <w:sz w:val="20"/>
        </w:rPr>
        <w:t>EN: Biphasic Dip Coating for Versatile and Material-Efficient Nanoparticle Thin Films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234">
        <w:r>
          <w:rPr>
            <w:color w:val="1155CC"/>
            <w:u w:val="single"/>
          </w:rPr>
          <w:t>10.1021/acsami.6c05752</w:t>
        </w:r>
      </w:hyperlink>
    </w:p>
    <w:p>
      <w:pPr>
        <w:spacing w:before="0" w:after="120"/>
      </w:pPr>
      <w:r>
        <w:rPr>
          <w:b/>
        </w:rPr>
        <w:t xml:space="preserve">Notes: </w:t>
      </w:r>
      <w:r>
        <w:t>abstract_source=crossref</w:t>
      </w:r>
    </w:p>
    <w:p>
      <w:pPr>
        <w:spacing w:before="0" w:after="80" w:lineRule="auto" w:line="276"/>
      </w:pPr>
      <w:r>
        <w:rPr>
          <w:b/>
        </w:rPr>
        <w:t xml:space="preserve">摘要（ZH）: </w:t>
      </w:r>
      <w:r>
        <w:t>摘要：胶体量子点 (cQD) 薄膜是溶液加工光电子学的核心，但在提高材料利用率的同时保持器件性能的可扩展沉积方法仍然有限。在这里，我们采用双相弯液面浸涂策略，能够控制 cQD 薄膜的沉积，同时大大减少所需的活性纳米晶体溶液的体积。在这种方法中，薄的 cQD 层由不混溶的底层支撑，这样薄膜的形成仅发生在活性相的液-气界面。利用这种几何结构，我们制造了 PbS 量子点光电探测器，其在 1200 nm 处的响应度高达 ∼1000 mA/W，与传统的旋涂器件相当。相对于旋涂，双相配置可将活性溶液消耗量减少多达 20 倍，同时保持薄膜质量和可重复的器件性能。质量体积成本分析表明，活性储层的减少将浸涂的经济可行性转变为与实际设备制造更相关的厚度和吞吐量状态。我们进一步将该方法扩展到 CsPbBr3 纳米晶体和弯曲基板，突出了其在材料系统和几何形状中的通用性。总之，这些结果将双相浸涂确立为溶液加工光电子产品的一种材料高效且设备兼容的制造策略。</w:t>
      </w:r>
    </w:p>
    <w:p>
      <w:pPr>
        <w:spacing w:before="0" w:after="200" w:lineRule="auto" w:line="276"/>
      </w:pPr>
      <w:r>
        <w:rPr>
          <w:b/>
        </w:rPr>
        <w:t xml:space="preserve">Abstract (EN): </w:t>
      </w:r>
      <w:r>
        <w:t>Colloidal quantum dot (cQD) thin films are central to solution-processed optoelectronics, yet scalable deposition methods that preserve device performance while improving material utilization remain limited. Here, we adapt a biphasic meniscus dip coating strategy that enables controlled deposition of cQD films while substantially reducing the volume of active nanocrystal solution required. In this approach, a thin cQD layer is supported by an immiscible underlayer, such that film formation occurs exclusively at the liquid–air interface of the active phase. Using this geometry, we fabricate PbS quantum dot photodetectors with responsivities up to ∼1000 mA/W at 1200 nm, comparable to conventional spin-coated devices. Relative to spin coating, the biphasic configuration reduces active solution consumption by up to 20-fold while maintaining film quality and reproducible device performance. A mass-volume cost analysis shows that the reduced active reservoir shifts the economic viability of dip coating into thickness and throughput regimes more relevant to practical device fabrication. We further extend the method to CsPbBr3 nanocrystals and curved substrates, highlighting its generality across material systems and geometries. Together, these results establish biphasic dip coating as a material-efficient and device-compatible manufacturing strategy for solution-processed optoelectronics.</w:t>
      </w:r>
    </w:p>
    <w:p>
      <w:pPr>
        <w:spacing w:before="120" w:after="120"/>
      </w:pPr>
      <w:r>
        <w:rPr>
          <w:sz w:val="18"/>
        </w:rPr>
        <w:t>——————————————————————————————————————————————————————————————————————</w:t>
      </w:r>
    </w:p>
    <w:p>
      <w:pPr>
        <w:spacing w:before="160" w:after="40" w:line="240" w:lineRule="auto"/>
      </w:pPr>
      <w:r>
        <w:rPr>
          <w:b/>
        </w:rPr>
        <w:t xml:space="preserve">[1436] </w:t>
      </w:r>
      <w:hyperlink r:id="rId2236">
        <w:r>
          <w:rPr>
            <w:color w:val="1155CC"/>
            <w:u w:val="single"/>
          </w:rPr>
          <w:t>用于集成环境传感与修复应用的动态驱动水凝胶</w:t>
        </w:r>
      </w:hyperlink>
    </w:p>
    <w:p>
      <w:pPr>
        <w:spacing w:before="0" w:after="80"/>
      </w:pPr>
      <w:r>
        <w:rPr>
          <w:i/>
          <w:sz w:val="20"/>
        </w:rPr>
        <w:t>EN: Dynamic Actuatable Hydrogels for Integrated Environmental Sensing and Remediation Applications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236">
        <w:r>
          <w:rPr>
            <w:color w:val="1155CC"/>
            <w:u w:val="single"/>
          </w:rPr>
          <w:t>10.1021/acsami.6c12257</w:t>
        </w:r>
      </w:hyperlink>
    </w:p>
    <w:p>
      <w:pPr>
        <w:spacing w:before="0" w:after="120"/>
      </w:pPr>
      <w:r>
        <w:rPr>
          <w:b/>
        </w:rPr>
        <w:t xml:space="preserve">Notes: </w:t>
      </w:r>
      <w:r>
        <w:t>abstract_source=crossref</w:t>
      </w:r>
    </w:p>
    <w:p>
      <w:pPr>
        <w:spacing w:before="0" w:after="80" w:lineRule="auto" w:line="276"/>
      </w:pPr>
      <w:r>
        <w:rPr>
          <w:b/>
        </w:rPr>
        <w:t xml:space="preserve">摘要（ZH）: </w:t>
      </w:r>
      <w:r>
        <w:t>摘要：基于水凝胶的吸附剂由于其可调节的化学性质、水合网络以及与多功能纳米材料的兼容性，已成为环境修复和传感的多功能材料。然而，传统的静态水凝胶仍然受到扩散限制的质量传输、缓慢的吸附动力学以及污染物检测与修复的有限整合的限制。这篇综述强调了从被动吸附到动态可驱动水凝胶的转变，作为自适应感知-响应-行为材料系统，能够加速污染物捕获、实时监测和自主再生。我们首先讨论静态水凝胶设计原理，包括聚合物组成、纳米材料掺入以及控制吸附能力、选择性、动力学和可重复使用性的结构体系。然后，我们研究动态水凝胶平台，包括内在刺激响应网络、外在驱动复合材料和主动增强质量传输和界面暴露的形状编程结构。特别强调将传感与净化相结合的新兴系统，将可驱动水凝胶定位为自适应环境界面和软机器人材料。对静态和动态系统的比较讨论评估了它们的性能、实际局限性以及水修复、资源回收和集成传感技术的转化潜力。最后，对可扩展性、稳定性和系统集成方面的挑战进行了严格的评估，</w:t>
      </w:r>
    </w:p>
    <w:p>
      <w:pPr>
        <w:spacing w:before="0" w:after="200" w:lineRule="auto" w:line="276"/>
      </w:pPr>
      <w:r>
        <w:rPr>
          <w:b/>
        </w:rPr>
        <w:t xml:space="preserve">Abstract (EN): </w:t>
      </w:r>
      <w:r>
        <w:t>Hydrogel-based adsorbents have emerged as versatile materials for environmental remediation and sensing owing to their tunable chemistries, hydrated networks, and compatibility with multifunctional nanomaterials. However, conventional static hydrogels remain constrained by diffusion-limited mass transport, slow adsorption kinetics, and limited integration of pollutant detection with remediation. This review highlights the emerging shift from passive adsorption toward dynamic and actuatable hydrogels as adaptive sense–respond–act material systems capable of accelerated pollutant capture, real-time monitoring, and autonomous regeneration. We first discuss static hydrogel design principles, including polymer composition, nanomaterial incorporation, and structural architectures that govern adsorption capacity, selectivity, kinetics, and reusability. We then examine dynamic hydrogel platforms, including intrinsically stimuli-responsive networks, extrinsically actuated composites, and shape-programmed architectures that actively enhance mass transport and interfacial exposure. Particular emphasis is placed on emerging systems that integrate sensing with decontamination, positioning actuatable hydrogels as adaptive environmental interfaces and soft robotic materials. A comparative discussion of static and dynamic systems evaluates their performance, practical limitations, and translational potential for water remediation, resource recovery, and integrated sensing technologies. Finally, challenges in scalability, stability, and system integration are critically assessed, and future directions are proposed toward autonomous, intelligent hydrogel platforms for next-generation environmental technologies.</w:t>
      </w:r>
    </w:p>
    <w:p>
      <w:pPr>
        <w:spacing w:before="120" w:after="120"/>
      </w:pPr>
      <w:r>
        <w:rPr>
          <w:sz w:val="18"/>
        </w:rPr>
        <w:t>——————————————————————————————————————————————————————————————————————</w:t>
      </w:r>
    </w:p>
    <w:p>
      <w:pPr>
        <w:spacing w:before="160" w:after="40" w:line="240" w:lineRule="auto"/>
      </w:pPr>
      <w:r>
        <w:rPr>
          <w:b/>
        </w:rPr>
        <w:t xml:space="preserve">[1437] </w:t>
      </w:r>
      <w:hyperlink r:id="rId2238">
        <w:r>
          <w:rPr>
            <w:color w:val="1155CC"/>
            <w:u w:val="single"/>
          </w:rPr>
          <w:t>PEDOT: PSS图案向结构复杂表面的保形转印</w:t>
        </w:r>
      </w:hyperlink>
    </w:p>
    <w:p>
      <w:pPr>
        <w:spacing w:before="0" w:after="80"/>
      </w:pPr>
      <w:r>
        <w:rPr>
          <w:i/>
          <w:sz w:val="20"/>
        </w:rPr>
        <w:t>EN: Conformal Transfer Printing of PEDOT: PSS Patterns onto Structurally Complex Surfaces</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238">
        <w:r>
          <w:rPr>
            <w:color w:val="1155CC"/>
            <w:u w:val="single"/>
          </w:rPr>
          <w:t>10.1021/acsami.6c09969</w:t>
        </w:r>
      </w:hyperlink>
    </w:p>
    <w:p>
      <w:pPr>
        <w:spacing w:before="0" w:after="120"/>
      </w:pPr>
      <w:r>
        <w:rPr>
          <w:b/>
        </w:rPr>
        <w:t xml:space="preserve">Notes: </w:t>
      </w:r>
      <w:r>
        <w:t>abstract_source=crossref</w:t>
      </w:r>
    </w:p>
    <w:p>
      <w:pPr>
        <w:spacing w:before="0" w:after="80" w:lineRule="auto" w:line="276"/>
      </w:pPr>
      <w:r>
        <w:rPr>
          <w:b/>
        </w:rPr>
        <w:t xml:space="preserve">摘要（ZH）: </w:t>
      </w:r>
      <w:r>
        <w:t>摘要 在复杂的曲面上制造导电电路对于保形电子产品来说仍然是一个重大挑战，特别是对于软质和增材制造的聚合物基板。我们报告了一种强大的、保形的 GOPS 辅助转移印刷策略，用于将喷墨印刷的 PEDOT:PSS 图案集成到传统上难以印刷和非平面的表面上。在这种方法中，首先在平面聚酰亚胺供体基板上限定导电特征，然后将其转移到目标基板上。将(3-缩水甘油氧基丙基)三甲氧基硅烷 (GOPS) 纳入 PEDOT:PSS 中可促进牢固的共价键合，确保转印图案卓越的界面附着力和结构完整性。该转移工艺与多种非平面基材兼容，包括兼容的 PDMS、曲面玻璃和立体光刻 (SLA) 印刷树脂。虽然在这些基材上直接印刷通常会遇到润湿性差或非平面表面的问题，但这种转移策略产生的连续路径可以保留原始形态和电气性能。转移薄膜表现出优异的稳定性，通过重复弯曲和水浸保持功能而不会分层。作为演示，功能性有机电化学晶体管 (OECT) 通过多步工艺在弯曲 3D 打印基板上制造，独立转移电极和半导体通道，并对 5 至 1000 nM 的多巴胺表现出浓度依赖性响应。这些结果为国际化建立了一条通用途径</w:t>
      </w:r>
    </w:p>
    <w:p>
      <w:pPr>
        <w:spacing w:before="0" w:after="200" w:lineRule="auto" w:line="276"/>
      </w:pPr>
      <w:r>
        <w:rPr>
          <w:b/>
        </w:rPr>
        <w:t xml:space="preserve">Abstract (EN): </w:t>
      </w:r>
      <w:r>
        <w:t>Fabricating conductive circuits on complex curved surfaces remains a significant challenge for conformal electronics, particularly for soft and additively manufactured polymer substrates. We report a robust, conformal GOPS-assisted transfer-printing strategy for integrating inkjet-printed PEDOT:PSS patterns onto traditionally hard-to-print and non-planar surfaces. In this approach, conductive features are first defined on a planar polyimide donor substrate and subsequently transferred to the target substrate. The incorporation of (3-glycidyloxypropyl)trimethoxysilane (GOPS) into PEDOT:PSS facilitates strong covalent bonding, ensuring exceptional interfacial adhesion and structural integrity of transferred patterns. This transfer process is compatible with diverse non-planar substrates, including compliant PDMS, curved glass, and stereolithography (SLA)-printed resins. While direct printing on these substrates often suffers from poor wetting or non-planar surfaces, this transfer strategy yields continuous pathways that preserve the original morphology and electrical performance. Transferred films exhibited excellent stability, maintaining functionality through repetitive bending and aqueous immersion without delamination. As a demonstration, a functional organic electrochemical transistor (OECT) was fabricated on a curved 3D-printed substrate through a multi-step process, independently transferring electrodes and a semiconducting channel, and exhibited concentration-dependent responses to dopamine from 5 to 1000 nM. These results establish a versatile route for integrating printed conductive patterns and functional devices on complex polymer geometries.</w:t>
      </w:r>
    </w:p>
    <w:p>
      <w:pPr>
        <w:spacing w:before="120" w:after="120"/>
      </w:pPr>
      <w:r>
        <w:rPr>
          <w:sz w:val="18"/>
        </w:rPr>
        <w:t>——————————————————————————————————————————————————————————————————————</w:t>
      </w:r>
    </w:p>
    <w:p>
      <w:pPr>
        <w:spacing w:before="160" w:after="40" w:line="240" w:lineRule="auto"/>
      </w:pPr>
      <w:r>
        <w:rPr>
          <w:b/>
        </w:rPr>
        <w:t xml:space="preserve">[1438] </w:t>
      </w:r>
      <w:hyperlink r:id="rId2240">
        <w:r>
          <w:rPr>
            <w:color w:val="1155CC"/>
            <w:u w:val="single"/>
          </w:rPr>
          <w:t>羰基锰类过氧化物酶纳米酶与葡萄糖氧化酶级联，结合基于卟啉-COFs的光疗和CO介导的免疫调节用于糖尿病伤口修复</w:t>
        </w:r>
      </w:hyperlink>
    </w:p>
    <w:p>
      <w:pPr>
        <w:spacing w:before="0" w:after="80"/>
      </w:pPr>
      <w:r>
        <w:rPr>
          <w:i/>
          <w:sz w:val="20"/>
        </w:rPr>
        <w:t>EN: Manganese Carbonyl-Based Peroxidase-like Nanoenzyme Cascading with Glucose Oxidase, Combined with Porphyrin-COFs-Based Phototherapy and CO-Mediated Immunomodulation for Diabetic Wound Repair</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240">
        <w:r>
          <w:rPr>
            <w:color w:val="1155CC"/>
            <w:u w:val="single"/>
          </w:rPr>
          <w:t>10.1021/acsami.6c13461</w:t>
        </w:r>
      </w:hyperlink>
    </w:p>
    <w:p>
      <w:pPr>
        <w:spacing w:before="0" w:after="120"/>
      </w:pPr>
      <w:r>
        <w:rPr>
          <w:b/>
        </w:rPr>
        <w:t xml:space="preserve">Notes: </w:t>
      </w:r>
      <w:r>
        <w:t>abstract_source=crossref</w:t>
      </w:r>
    </w:p>
    <w:p>
      <w:pPr>
        <w:spacing w:before="0" w:after="80" w:lineRule="auto" w:line="276"/>
      </w:pPr>
      <w:r>
        <w:rPr>
          <w:b/>
        </w:rPr>
        <w:t xml:space="preserve">摘要（ZH）: </w:t>
      </w:r>
      <w:r>
        <w:t>摘要 由于血管功能不全、细菌感染和持续炎症，糖尿病伤口仍然是全球健康挑战。在此，我们设计并制备了具有抗菌、抗炎和促进血管生成作用的三重协同纳米酶平台，该平台由卟啉共价有机框架（Por-COF）与葡萄糖氧化酶（GOx）和羰基锰（MnCO）共负载而形成。在近红外照射下，Por-COFs产生大量活性氧（ROS）并产生局部高温。同时，GOx 消耗伤口中的葡萄糖产生葡萄糖酸和 H2O2，从而触发 MnCO 分解为免疫调节性一氧化碳 (CO) 和具有催化活性的 Mn2+/3+ 离子。释放的Mn2+/3+离子通过类过氧化物酶活性催化H2O2产生剧毒·OH，增强细菌消除，而产生的CO改善M1到M2巨噬细胞极化以解决炎症并抑制热休克蛋白以增强PTT功效。这种制备的纳米平台（Por-COF@GOx/MnCO）对大肠杆菌、金黄色葡萄球菌和耐甲氧西林金黄色葡萄球菌的抗菌效率达到99.99%以上，并通过促进血管生成、ROS清除和免疫调节来加速伤口愈合。设计的三重协同纳米平台——整合葡萄糖氧化酶级联基于MnCO的过氧化物酶样活性、光疗和CO免疫调节——显示出作为糖尿病伤口修复治疗策略的巨大潜力。</w:t>
      </w:r>
    </w:p>
    <w:p>
      <w:pPr>
        <w:spacing w:before="0" w:after="200" w:lineRule="auto" w:line="276"/>
      </w:pPr>
      <w:r>
        <w:rPr>
          <w:b/>
        </w:rPr>
        <w:t xml:space="preserve">Abstract (EN): </w:t>
      </w:r>
      <w:r>
        <w:t>Diabetic wounds remain a global health challenge due to vascular insufficiency, bacterial infection, and persistent inflammation. Herein, we designed and prepared a triple-synergistic nanoenzyme platform with antibacterial, anti-inflammatory, and angiogenesis-promoting effects, which was formed by coloading a porphyrin covalent organic framework (Por-COF) with glucose oxidase (GOx) and manganese carbonyl (MnCO). Under near-infrared irradiation, Por-COFs produce a large number of reactive oxygen species (ROS) and localized hyperthermia. Simultaneously, GOx consumes the glucose in wounds to produce gluconic acid and H2O2, which trigger the decomposition of MnCO into immunomodulatory carbon monoxide (CO) and catalytically active Mn2+/3+ ions. The released Mn2+/3+ ions catalyze H2O2 to produce highly toxic •OH through peroxidase-like activity, enhancing bacterial elimination, while the produced CO improves M1-to-M2 macrophage polarization to resolve inflammation and suppresses heat-shock proteins to enhance PTT efficacy. This prepared nanoplatform (Por-COF@GOx/MnCO) achieved more than 99.99% antibacterial efficiency against Escherichia coli, Staphylococcus aureus, and methicillin-resistant Staphylococcus aureus and accelerated wound healing by promoting angiogenesis, ROS scavenging, and immunomodulation. The designed triple-synergistic nanoplatform—integrating glucose oxidase cascading MnCO-based peroxidase-like activity, phototherapy, and CO immunomodulation—shows great potential as a therapeutic strategy for diabetic wound repair.</w:t>
      </w:r>
    </w:p>
    <w:p>
      <w:pPr>
        <w:spacing w:before="120" w:after="120"/>
      </w:pPr>
      <w:r>
        <w:rPr>
          <w:sz w:val="18"/>
        </w:rPr>
        <w:t>——————————————————————————————————————————————————————————————————————</w:t>
      </w:r>
    </w:p>
    <w:p>
      <w:pPr>
        <w:spacing w:before="160" w:after="40" w:line="240" w:lineRule="auto"/>
      </w:pPr>
      <w:r>
        <w:rPr>
          <w:b/>
        </w:rPr>
        <w:t xml:space="preserve">[1439] </w:t>
      </w:r>
      <w:hyperlink r:id="rId2274">
        <w:r>
          <w:rPr>
            <w:color w:val="1155CC"/>
            <w:u w:val="single"/>
          </w:rPr>
          <w:t>当铜跌落时：通过外球氢键颠覆Irving–Williams稳定性趋势</w:t>
        </w:r>
      </w:hyperlink>
    </w:p>
    <w:p>
      <w:pPr>
        <w:spacing w:before="0" w:after="80"/>
      </w:pPr>
      <w:r>
        <w:rPr>
          <w:i/>
          <w:sz w:val="20"/>
        </w:rPr>
        <w:t>EN: When Copper Falls: Overriding the Irving–Williams Stability Trend Through Outer-Sphere Hydrogen Bonding</w:t>
      </w:r>
    </w:p>
    <w:p>
      <w:pPr>
        <w:spacing w:before="0" w:after="120"/>
      </w:pPr>
      <w:r>
        <w:rPr>
          <w:b/>
        </w:rPr>
        <w:t xml:space="preserve">Source: </w:t>
      </w:r>
      <w:r>
        <w:t>Journal of the American Chemical Society</w:t>
      </w:r>
      <w:r>
        <w:t xml:space="preserve">    </w:t>
      </w:r>
      <w:r>
        <w:rPr>
          <w:b/>
        </w:rPr>
        <w:t xml:space="preserve">Pub date: </w:t>
      </w:r>
      <w:r>
        <w:t>2026-09-03 00:00:00+00:00</w:t>
      </w:r>
      <w:r>
        <w:t xml:space="preserve">    </w:t>
      </w:r>
      <w:r>
        <w:rPr>
          <w:b/>
        </w:rPr>
        <w:t xml:space="preserve">DOI: </w:t>
      </w:r>
      <w:hyperlink r:id="rId2274">
        <w:r>
          <w:rPr>
            <w:color w:val="1155CC"/>
            <w:u w:val="single"/>
          </w:rPr>
          <w:t>10.1021/jacs.6c10430</w:t>
        </w:r>
      </w:hyperlink>
    </w:p>
    <w:p>
      <w:pPr>
        <w:spacing w:before="0" w:after="120"/>
      </w:pPr>
      <w:r>
        <w:rPr>
          <w:b/>
        </w:rPr>
        <w:t xml:space="preserve">Notes: </w:t>
      </w:r>
      <w:r>
        <w:t>abstract_source=crossref</w:t>
      </w:r>
    </w:p>
    <w:p>
      <w:pPr>
        <w:spacing w:before="0" w:after="80" w:lineRule="auto" w:line="276"/>
      </w:pPr>
      <w:r>
        <w:rPr>
          <w:b/>
        </w:rPr>
        <w:t xml:space="preserve">摘要（ZH）: </w:t>
      </w:r>
      <w:r>
        <w:t>摘要 欧文-威廉姆斯系列 (Mn Zn) 是高自旋二价第一排过渡金属配合物中公认的热力学稳定性趋势。然而，完整的同构 Mn-Zn 系列很少见，而那些能够直接评估确定的二级配位层的系列则更加罕见。因此，外层非共价相互作用是否可以在不改变主要配位环境的情况下改变这种周期性趋势仍然悬而未决。在这里，我们提出了一个完整的同构八面体系列，(allLH)2MCl2 (M = Mn-Zn)，由黄素衍生的二齿配体 allLH 支持。 allLH 提供的外球 N–H…Cl 氢键网络将所有配合物锁定为单一子午异构体，从而实现跨行的直接热力学比较。与经典的欧文-威廉姆斯系列形成鲜明对比，Cu(II) 成为 (allLH)2MCl2 系列中最不稳定的物质。实验和计算分析表明，这种逆转是由刚性氢键支架施加的精细平衡的非共价约束引起的。该支架保留了 (allLH)2CuCl2 的八面体几何形状，但仅部分适应 Jahn-Teller 畸变，导致所得的稳定性不足以抵消外球氢键稳定性的伴随衰减。这项研究表明，通过设计外层非共价相互作用，可以在不改变主要配位环境的情况下克服既定的金属离子稳定性趋势。</w:t>
      </w:r>
    </w:p>
    <w:p>
      <w:pPr>
        <w:spacing w:before="0" w:after="200" w:lineRule="auto" w:line="276"/>
      </w:pPr>
      <w:r>
        <w:rPr>
          <w:b/>
        </w:rPr>
        <w:t xml:space="preserve">Abstract (EN): </w:t>
      </w:r>
      <w:r>
        <w:t>The Irving–Williams series (Mn Zn) is a well-established thermodynamic stability trend among high-spin divalent first-row transition-metal complexes. However, complete isostructural Mn–Zn series are rare, and those that enable direct evaluation of a defined secondary coordination sphere are even rarer. As a result, whether outer-sphere noncovalent interactions can alter this periodic trend without changing the primary coordination environment has remained unresolved. Here, we present a complete isostructural octahedral series, (allLH)2MCl2 (M = Mn–Zn), supported by a flavin-derived bidentate ligand, allLH. An outer-sphere N–H···Cl hydrogen-bonding network provided by allLH locks all complexes into a single meridional isomer, enabling direct thermodynamic comparison across the row. In stark contrast to the classical Irving–Williams series, Cu(II) becomes the least stable species in the (allLH)2MCl2 series. Experimental and computational analyses show that this reversal arises from a finely balanced noncovalent constraint imposed by the rigid hydrogen-bonded scaffold. This scaffold retains the octahedral geometry of (allLH)2CuCl2 but only partially accommodates Jahn–Teller distortion, leaving the resulting stabilization insufficient to offset the accompanying attenuation of outer-sphere hydrogen-bond stabilization. This study demonstrates that a well-established metal-ion stability trend can be overcome by designing outer-sphere noncovalent interactions without altering the primary coordination environment.</w:t>
      </w:r>
    </w:p>
    <w:p>
      <w:pPr>
        <w:spacing w:before="120" w:after="120"/>
      </w:pPr>
      <w:r>
        <w:rPr>
          <w:sz w:val="18"/>
        </w:rPr>
        <w:t>——————————————————————————————————————————————————————————————————————</w:t>
      </w:r>
    </w:p>
    <w:p>
      <w:pPr>
        <w:spacing w:before="160" w:after="40" w:line="240" w:lineRule="auto"/>
      </w:pPr>
      <w:r>
        <w:rPr>
          <w:b/>
        </w:rPr>
        <w:t xml:space="preserve">[1440] </w:t>
      </w:r>
      <w:hyperlink r:id="rId2276">
        <w:r>
          <w:rPr>
            <w:color w:val="1155CC"/>
            <w:u w:val="single"/>
          </w:rPr>
          <w:t>序列明确的数字瓶刷状聚合物用于可编程寡核苷酸递送</w:t>
        </w:r>
      </w:hyperlink>
    </w:p>
    <w:p>
      <w:pPr>
        <w:spacing w:before="0" w:after="80"/>
      </w:pPr>
      <w:r>
        <w:rPr>
          <w:i/>
          <w:sz w:val="20"/>
        </w:rPr>
        <w:t>EN: Sequence-defined Digital Bottlebrush Polymers for Programmable Oligonucleotide Delivery</w:t>
      </w:r>
    </w:p>
    <w:p>
      <w:pPr>
        <w:spacing w:before="0" w:after="120"/>
      </w:pPr>
      <w:r>
        <w:rPr>
          <w:b/>
        </w:rPr>
        <w:t xml:space="preserve">Source: </w:t>
      </w:r>
      <w:r>
        <w:t>Journal of the American Chemical Society</w:t>
      </w:r>
      <w:r>
        <w:t xml:space="preserve">    </w:t>
      </w:r>
      <w:r>
        <w:rPr>
          <w:b/>
        </w:rPr>
        <w:t xml:space="preserve">Pub date: </w:t>
      </w:r>
      <w:r>
        <w:t>2026-09-03 00:00:00+00:00</w:t>
      </w:r>
      <w:r>
        <w:t xml:space="preserve">    </w:t>
      </w:r>
      <w:r>
        <w:rPr>
          <w:b/>
        </w:rPr>
        <w:t xml:space="preserve">DOI: </w:t>
      </w:r>
      <w:hyperlink r:id="rId2276">
        <w:r>
          <w:rPr>
            <w:color w:val="1155CC"/>
            <w:u w:val="single"/>
          </w:rPr>
          <w:t>10.1021/jacs.6c09537</w:t>
        </w:r>
      </w:hyperlink>
    </w:p>
    <w:p>
      <w:pPr>
        <w:spacing w:before="0" w:after="120"/>
      </w:pPr>
      <w:r>
        <w:rPr>
          <w:b/>
        </w:rPr>
        <w:t xml:space="preserve">Notes: </w:t>
      </w:r>
      <w:r>
        <w:t>abstract_source=crossref</w:t>
      </w:r>
    </w:p>
    <w:p>
      <w:pPr>
        <w:spacing w:before="0" w:after="80" w:lineRule="auto" w:line="276"/>
      </w:pPr>
      <w:r>
        <w:rPr>
          <w:b/>
        </w:rPr>
        <w:t xml:space="preserve">摘要（ZH）: </w:t>
      </w:r>
      <w:r>
        <w:t>摘要 寡核苷酸疗法具有变革潜力，但其临床转化受到递送障碍的阻碍，包括快速的肾脏/肝脏清除和较差的器官特异性。 Bottlebrush 聚合物缀合物已成为解决这些限制的有前途的载体，但具有均匀主链的传统架构只能实现不可修改的、刚性的生物分布曲线。在这里，我们报告了一个序列定义的“数字”洗瓶刷聚合物库，通过精确设计化学基序的受控位置来改变理化性质（包括脂质、胆固醇和阳离子基团）沿着聚磷酸二酯主链。对数字洗瓶刷聚合物库的系统评估揭示了独特的结构-性能关系，并能够实现器官偏向的系统递送到几个传统上难以到达的组织，包括肌肉和皮肤。在类风湿性关节炎小鼠模型中，单剂靶向 TNF-α 的脾归巢聚合物缀合反义寡核苷酸可显着降低关节炎的严重程度并保持动物体重。这些发现建立了一个通用的设计框架，用于根据特定的治疗应用定制洗瓶刷聚合物。</w:t>
      </w:r>
    </w:p>
    <w:p>
      <w:pPr>
        <w:spacing w:before="0" w:after="200" w:lineRule="auto" w:line="276"/>
      </w:pPr>
      <w:r>
        <w:rPr>
          <w:b/>
        </w:rPr>
        <w:t xml:space="preserve">Abstract (EN): </w:t>
      </w:r>
      <w:r>
        <w:t>Oligonucleotide therapeutics hold transformative potential, yet their clinical translation is hindered by delivery barriers, including rapid renal/hepatic clearance and poor organ specificity. Bottlebrush polymer conjugates have emerged as a promising vector to address these limitations, but conventional architectures with uniform backbones can only achieve an unmodifiable, rigid biodistribution profile. Here, we report a library of sequence-defined “digital” bottlebrush polymers, precisely engineered with controlled placements of chemical motifs that modify physicochemical properties─including lipids, cholesterol, and cationic groups─along a polyphosphodiester backbone. Systematic evaluation of the digital bottlebrush polymer library reveals distinct structure–property relationships and enables organ-biased systemic delivery to several traditionally difficult-to-reach tissues, including muscle and skin. In a mouse model of rheumatoid arthritis, a single dose of a spleen-homing polymer-conjugated antisense oligonucleotide targeting TNF-α significantly reduced arthritis severity and preserved animal body weight. These findings establish a versatile design framework for tailoring bottlebrush polymers to specific therapeutic applications.</w:t>
      </w:r>
    </w:p>
    <w:p>
      <w:pPr>
        <w:spacing w:before="120" w:after="120"/>
      </w:pPr>
      <w:r>
        <w:rPr>
          <w:sz w:val="18"/>
        </w:rPr>
        <w:t>——————————————————————————————————————————————————————————————————————</w:t>
      </w:r>
    </w:p>
    <w:p>
      <w:pPr>
        <w:spacing w:before="160" w:after="40" w:line="240" w:lineRule="auto"/>
      </w:pPr>
      <w:r>
        <w:rPr>
          <w:b/>
        </w:rPr>
        <w:t xml:space="preserve">[1441] </w:t>
      </w:r>
      <w:hyperlink r:id="rId2278">
        <w:r>
          <w:rPr>
            <w:color w:val="1155CC"/>
            <w:u w:val="single"/>
          </w:rPr>
          <w:t>温和条件下钴催化、氨基喹啉导向的非活化C(sp3)-H键官能化</w:t>
        </w:r>
      </w:hyperlink>
    </w:p>
    <w:p>
      <w:pPr>
        <w:spacing w:before="0" w:after="80"/>
      </w:pPr>
      <w:r>
        <w:rPr>
          <w:i/>
          <w:sz w:val="20"/>
        </w:rPr>
        <w:t>EN: Cobalt-Catalyzed, Aminoquinoline-Directed Functionalization of Nonactivated C(sp3)-H Bonds under Mild Conditions</w:t>
      </w:r>
    </w:p>
    <w:p>
      <w:pPr>
        <w:spacing w:before="0" w:after="120"/>
      </w:pPr>
      <w:r>
        <w:rPr>
          <w:b/>
        </w:rPr>
        <w:t xml:space="preserve">Source: </w:t>
      </w:r>
      <w:r>
        <w:t>Journal of the American Chemical Society</w:t>
      </w:r>
      <w:r>
        <w:t xml:space="preserve">    </w:t>
      </w:r>
      <w:r>
        <w:rPr>
          <w:b/>
        </w:rPr>
        <w:t xml:space="preserve">Pub date: </w:t>
      </w:r>
      <w:r>
        <w:t>2026-09-03 00:00:00+00:00</w:t>
      </w:r>
      <w:r>
        <w:t xml:space="preserve">    </w:t>
      </w:r>
      <w:r>
        <w:rPr>
          <w:b/>
        </w:rPr>
        <w:t xml:space="preserve">DOI: </w:t>
      </w:r>
      <w:hyperlink r:id="rId2278">
        <w:r>
          <w:rPr>
            <w:color w:val="1155CC"/>
            <w:u w:val="single"/>
          </w:rPr>
          <w:t>10.1021/jacs.6c13556</w:t>
        </w:r>
      </w:hyperlink>
    </w:p>
    <w:p>
      <w:pPr>
        <w:spacing w:before="0" w:after="120"/>
      </w:pPr>
      <w:r>
        <w:rPr>
          <w:b/>
        </w:rPr>
        <w:t xml:space="preserve">Notes: </w:t>
      </w:r>
      <w:r>
        <w:t>abstract_source=crossref</w:t>
      </w:r>
    </w:p>
    <w:p>
      <w:pPr>
        <w:spacing w:before="0" w:after="80" w:lineRule="auto" w:line="276"/>
      </w:pPr>
      <w:r>
        <w:rPr>
          <w:b/>
        </w:rPr>
        <w:t xml:space="preserve">摘要（ZH）: </w:t>
      </w:r>
      <w:r>
        <w:t>摘要 C(sp3)-H键功能化中的第二列和第三列过渡金属催化已经成熟，目前用于复杂天然产物的合成，可以被认为是新合成方法的终极测试。然而，容易获得且丰富的第一行金属主要用于 C(sp2)-H 键的功能化。它们在非活化（不是苄基或α到杂原子）C(sp3)-H键的转化中的应用很少，并且通常受到无法功能化二级C-H键、高反应温度以及需要使用多当量银(I)氧化剂的限制。我们在这里报告了一种钴催化碳氢键功能化的新方法，通过使用双导向基团策略，能够在温和条件下有效激活伯和仲C(sp3)-H键以形成β-或γ-内酰胺。使用锰酸钡作为氧化剂。几种 Co(III) 中间体已被分离出来，并探索了它们的反应性，支持它们参与催化循环。该反应显示出异常高的 C–H 官能化 KIE kH/kD (&gt;11)，允许使用氘作为封闭基团，从而实现放大或可切换的位点选择性。机理研究表明量子隧道效应可能在 C-H 激活步骤中发挥作用。</w:t>
      </w:r>
    </w:p>
    <w:p>
      <w:pPr>
        <w:spacing w:before="0" w:after="200" w:lineRule="auto" w:line="276"/>
      </w:pPr>
      <w:r>
        <w:rPr>
          <w:b/>
        </w:rPr>
        <w:t xml:space="preserve">Abstract (EN): </w:t>
      </w:r>
      <w:r>
        <w:t>Second- and third-row transition metal catalysis in C(sp3)-H bond functionalization is well-established and is currently used in the synthesis of complex natural products, which can be considered the ultimate test of new synthetic methodologies. However, readily available and abundant first-row metals have been mostly employed in the functionalization of C(sp2)-H bonds. Their use in transformations of nonactivated (not benzylic or α to a heteroatom) C(sp3)-H bonds is rare and typically limited by the inability to functionalize secondary C–H bonds, high reaction temperatures, and the need to employ multiple equivalents of silver(I) oxidants. We report here a new approach to cobalt-catalyzed carbon–hydrogen bond functionalization by using a double-directing group strategy, enabling efficient activation of primary and secondary C(sp3)-H bonds under mild conditions to form β- or γ-lactams. Barium manganate is employed as an oxidant. Several Co(III) intermediates have been isolated and their reactivity is explored, supporting their involvement in the catalytic cycle. The reaction shows unusually high KIE kH/kD (&gt;11) for C–H functionalization, allowing the use of deuterium as a blocking group, which enables amplified or switchable site selectivity. Mechanistic studies suggest a possible contribution of quantum tunneling in the C–H activation step.</w:t>
      </w:r>
    </w:p>
    <w:p>
      <w:pPr>
        <w:spacing w:before="120" w:after="120"/>
      </w:pPr>
      <w:r>
        <w:rPr>
          <w:sz w:val="18"/>
        </w:rPr>
        <w:t>——————————————————————————————————————————————————————————————————————</w:t>
      </w:r>
    </w:p>
    <w:p>
      <w:pPr>
        <w:spacing w:before="160" w:after="40" w:line="240" w:lineRule="auto"/>
      </w:pPr>
      <w:r>
        <w:rPr>
          <w:b/>
        </w:rPr>
        <w:t xml:space="preserve">[1442] </w:t>
      </w:r>
      <w:hyperlink r:id="rId2280">
        <w:r>
          <w:rPr>
            <w:color w:val="1155CC"/>
            <w:u w:val="single"/>
          </w:rPr>
          <w:t>通过精细调节有机配体最大化Dy配合物的磁各向异性：对超过2.5万个分子的系统性多参考高通量探索</w:t>
        </w:r>
      </w:hyperlink>
    </w:p>
    <w:p>
      <w:pPr>
        <w:spacing w:before="0" w:after="80"/>
      </w:pPr>
      <w:r>
        <w:rPr>
          <w:i/>
          <w:sz w:val="20"/>
        </w:rPr>
        <w:t>EN: Maximizing the Magnetic Anisotropy of Dy Complexes by Fine-Tuning Organic Ligands: A Systematic Multireference High-Throughput Exploration of over 25k Molecules</w:t>
      </w:r>
    </w:p>
    <w:p>
      <w:pPr>
        <w:spacing w:before="0" w:after="120"/>
      </w:pPr>
      <w:r>
        <w:rPr>
          <w:b/>
        </w:rPr>
        <w:t xml:space="preserve">Source: </w:t>
      </w:r>
      <w:r>
        <w:t>Journal of the American Chemical Society</w:t>
      </w:r>
      <w:r>
        <w:t xml:space="preserve">    </w:t>
      </w:r>
      <w:r>
        <w:rPr>
          <w:b/>
        </w:rPr>
        <w:t xml:space="preserve">Pub date: </w:t>
      </w:r>
      <w:r>
        <w:t>2026-09-03 00:00:00+00:00</w:t>
      </w:r>
      <w:r>
        <w:t xml:space="preserve">    </w:t>
      </w:r>
      <w:r>
        <w:rPr>
          <w:b/>
        </w:rPr>
        <w:t xml:space="preserve">DOI: </w:t>
      </w:r>
      <w:hyperlink r:id="rId2280">
        <w:r>
          <w:rPr>
            <w:color w:val="1155CC"/>
            <w:u w:val="single"/>
          </w:rPr>
          <w:t>10.1021/jacs.6c12194</w:t>
        </w:r>
      </w:hyperlink>
    </w:p>
    <w:p>
      <w:pPr>
        <w:spacing w:before="0" w:after="120"/>
      </w:pPr>
      <w:r>
        <w:rPr>
          <w:b/>
        </w:rPr>
        <w:t xml:space="preserve">Notes: </w:t>
      </w:r>
      <w:r>
        <w:t>abstract_source=crossref</w:t>
      </w:r>
    </w:p>
    <w:p>
      <w:pPr>
        <w:spacing w:before="0" w:after="80" w:lineRule="auto" w:line="276"/>
      </w:pPr>
      <w:r>
        <w:rPr>
          <w:b/>
        </w:rPr>
        <w:t xml:space="preserve">摘要（ZH）: </w:t>
      </w:r>
      <w:r>
        <w:t>摘要 磁性离子配位环境的设计是实现大磁各向异性和慢磁弛豫等性能的关键，但缺乏对这些化合物相关化学空间的系统探索。在这里，我们自动从晶体学数据库中提取单核 Dy 配位配合物的所有条目，并使用多参考从头计算方法来计算其磁各向异性。此外，我们还生成并模拟了 25k 个具有通式 [Dy(H2O)5L2]n+ 和五角双锥配位几何形状的新分子的磁各向异性，该图案因其特性和赋予生成的化合物赋予合成真实性而被选为非常有前途的图案。虽然晶体学数据库的筛选允许自然出现电子结构和配位几何之间的相关性，但通过系统地探索新的有机配体，可以识别晶体场分裂超过 1600 cm-1 的分子。这对应于磁各向异性比 L = tBuPO(NHiPr)2 的参考化合物增加约 100%，比任何已知的五角双锥 Dy 络合物增加约 40%，并接近镝的值。这项工作中提出的系统研究表明，有机配体对 Dy 的第二配位层的微调可以在很大程度上影响磁各向异性，并且自动化高通量筛选能够识别化学基序，统计上能够最大化这种特性，从而为合理和自动化的磁各向异性铺平了道路。</w:t>
      </w:r>
    </w:p>
    <w:p>
      <w:pPr>
        <w:spacing w:before="0" w:after="200" w:lineRule="auto" w:line="276"/>
      </w:pPr>
      <w:r>
        <w:rPr>
          <w:b/>
        </w:rPr>
        <w:t xml:space="preserve">Abstract (EN): </w:t>
      </w:r>
      <w:r>
        <w:t>The design of the coordination environment of magnetic ions is key to achieving properties such as large magnetic anisotropy and slow magnetic relaxation, but a systematic exploration of the relevant chemical space for these compounds is missing. Here, we automatically extract all entries of mononuclear Dy coordination complexes from crystallographic databases and use multireference ab initio methods to compute their magnetic anisotropy. In addition, we generate and simulate magnetic anisotropy for 25k new molecules with the general formula [Dy(H2O)5L2]n+ and pentagonal bipyramidal coordination geometry, a motif selected as very promising for its properties and for imparting synthetic realism to the generated compounds. While the screening of crystallography databases allows for correlations between electronic structure and coordination geometry to naturally emerge, molecules with crystal field splittings over 1600 cm–1 are identified by systematically exploring new organic ligands. This corresponds to a ∼100% increase of magnetic anisotropy over the reference compound with L = tBuPO(NHiPr)2, ∼40% over any known pentagonal bipyramidal Dy complex, and approaching the values of dysprosocenium. The systematic study presented in this work demonstrates the very large extent to which the fine-tuning of Dy’s second coordination sphere by organic ligands can affect magnetic anisotropy, and that automated high-throughput screening is capable of identifying chemical motifs statistically able to maximize such a property, therefore paving the way to the rational and automated design of magnetic molecules beyond established first coordination shell considerations.</w:t>
      </w:r>
    </w:p>
    <w:p>
      <w:pPr>
        <w:spacing w:before="120" w:after="120"/>
      </w:pPr>
      <w:r>
        <w:rPr>
          <w:sz w:val="18"/>
        </w:rPr>
        <w:t>——————————————————————————————————————————————————————————————————————</w:t>
      </w:r>
    </w:p>
    <w:p>
      <w:pPr>
        <w:spacing w:before="160" w:after="40" w:line="240" w:lineRule="auto"/>
      </w:pPr>
      <w:r>
        <w:rPr>
          <w:b/>
        </w:rPr>
        <w:t xml:space="preserve">[1443] </w:t>
      </w:r>
      <w:hyperlink r:id="rId104">
        <w:r>
          <w:rPr>
            <w:color w:val="1155CC"/>
            <w:u w:val="single"/>
          </w:rPr>
          <w:t>通过单颗粒电极解析Al–S电池中的电催化硫还原反应</w:t>
        </w:r>
      </w:hyperlink>
    </w:p>
    <w:p>
      <w:pPr>
        <w:spacing w:before="0" w:after="80"/>
      </w:pPr>
      <w:r>
        <w:rPr>
          <w:i/>
          <w:sz w:val="20"/>
        </w:rPr>
        <w:t>EN: Deciphering Electrocatalytic Sulfur Reduction Reactions in Al–S Batteries via Single-Particle Electrodes</w:t>
      </w:r>
    </w:p>
    <w:p>
      <w:pPr>
        <w:spacing w:before="0" w:after="120"/>
      </w:pPr>
      <w:r>
        <w:rPr>
          <w:b/>
        </w:rPr>
        <w:t xml:space="preserve">Source: </w:t>
      </w:r>
      <w:r>
        <w:t>Journal of the American Chemical Society</w:t>
      </w:r>
      <w:r>
        <w:t xml:space="preserve">    </w:t>
      </w:r>
      <w:r>
        <w:rPr>
          <w:b/>
        </w:rPr>
        <w:t xml:space="preserve">Pub date: </w:t>
      </w:r>
      <w:r>
        <w:t>2026-09-03 00:00:00+00:00</w:t>
      </w:r>
      <w:r>
        <w:t xml:space="preserve">    </w:t>
      </w:r>
      <w:r>
        <w:rPr>
          <w:b/>
        </w:rPr>
        <w:t xml:space="preserve">DOI: </w:t>
      </w:r>
      <w:hyperlink r:id="rId104">
        <w:r>
          <w:rPr>
            <w:color w:val="1155CC"/>
            <w:u w:val="single"/>
          </w:rPr>
          <w:t>10.1021/jacs.6c08648</w:t>
        </w:r>
      </w:hyperlink>
    </w:p>
    <w:p>
      <w:pPr>
        <w:spacing w:before="0" w:after="120"/>
      </w:pPr>
      <w:r>
        <w:rPr>
          <w:b/>
        </w:rPr>
        <w:t xml:space="preserve">Notes: </w:t>
      </w:r>
      <w:r>
        <w:t>abstract_source=crossref</w:t>
      </w:r>
    </w:p>
    <w:p>
      <w:pPr>
        <w:spacing w:before="0" w:after="80" w:lineRule="auto" w:line="276"/>
      </w:pPr>
      <w:r>
        <w:rPr>
          <w:b/>
        </w:rPr>
        <w:t xml:space="preserve">摘要（ZH）: </w:t>
      </w:r>
      <w:r>
        <w:t>摘要 动力学缓慢的硫还原反应（SRR）控制着超高容量铝硫电池的性能，而破译SRR过程对于合理地电催化反应动力学以释放其全部能量输出至关重要。为了克服这一挑战，开发了一种单颗粒电化学方法来研究钴/镍和氮共掺杂石墨烯（CoNi-NG）电催化剂上的 SRR 过程。 SRR过程涉及S8→Al2S8→Al2S4→Al2S3的主要路线和Al2S8→Al2S6→Al2S4的次要路线，其中Al2S4转化控制整个SRR动力学，而Al2S4由于其最快的生成和最慢的消耗而对穿梭效应贡献最大。 CoNi-NG 通过 Ni-to-Co 电子转移提高 Co d 轨道能级，以加速多硫化物的裂解，从而使决定速率的 Al2S4 转化的交换电流密度加倍。因此，硫复合材料（S@CoNi-NG）电极的比容量为~1480 mAh gsulfur-1。这种用于定量解读电催化 SRR 的单粒子方法为合理增强电池性能提供了机械指导。</w:t>
      </w:r>
    </w:p>
    <w:p>
      <w:pPr>
        <w:spacing w:before="0" w:after="200" w:lineRule="auto" w:line="276"/>
      </w:pPr>
      <w:r>
        <w:rPr>
          <w:b/>
        </w:rPr>
        <w:t xml:space="preserve">Abstract (EN): </w:t>
      </w:r>
      <w:r>
        <w:t>The kinetically sluggish sulfur reduction reaction (SRR) governs the performance of ultrahigh-capacity aluminum–sulfur batteries, while deciphering the SRR process is critical for rationally electrocatalyzing reaction kinetics to unlock their full energy output. To overcome this challenge, a single-particle electrochemical methodology has been developed to investigate the SRR process on a cobalt/nickel and nitrogen codoped graphene (CoNi-NG) electrocatalyst. The SRR process involves a major route of S8 → Al2S8 → Al2S4 → Al2S3 with a minor route of Al2S8 → Al2S6 → Al2S4, where Al2S4 conversion governs the overall SRR kinetics and Al2S4 contributes the most to the shuttle effect owing to its fastest generation and slowest consumption. The CoNi-NG raises the Co d-orbital energy level via Ni-to-Co electron transfer to accelerate cleavage of polysulfides, which doubles the exchange current density of rate-determining Al2S4 conversion. Consequently, the sulfur composite (S@CoNi-NG) electrode delivers a specific capacity of ∼1480 mAh gsulfur–1. Such a single-particle methodology for quantitatively deciphering electrocatalytic SRRs offers mechanistic guidance for rationally enhancing battery performance.</w:t>
      </w:r>
    </w:p>
    <w:p>
      <w:pPr>
        <w:spacing w:before="120" w:after="120"/>
      </w:pPr>
      <w:r>
        <w:rPr>
          <w:sz w:val="18"/>
        </w:rPr>
        <w:t>——————————————————————————————————————————————————————————————————————</w:t>
      </w:r>
    </w:p>
    <w:p>
      <w:pPr>
        <w:spacing w:before="160" w:after="40" w:line="240" w:lineRule="auto"/>
      </w:pPr>
      <w:r>
        <w:rPr>
          <w:b/>
        </w:rPr>
        <w:t xml:space="preserve">[1444] </w:t>
      </w:r>
      <w:hyperlink r:id="rId2260">
        <w:r>
          <w:rPr>
            <w:color w:val="1155CC"/>
            <w:u w:val="single"/>
          </w:rPr>
          <w:t>超越漏斗式高通量筛选：面向多元钙钛矿电催化剂探索的专家引导多尺度关联平台</w:t>
        </w:r>
      </w:hyperlink>
    </w:p>
    <w:p>
      <w:pPr>
        <w:spacing w:before="0" w:after="80"/>
      </w:pPr>
      <w:r>
        <w:rPr>
          <w:i/>
          <w:sz w:val="20"/>
        </w:rPr>
        <w:t>EN: Beyond Funnel-Style High-Throughput Screening: An Expert-Guided Multi-Scale Nexus for Polynary Perovskite Electrocatalyst Exploration</w:t>
      </w:r>
    </w:p>
    <w:p>
      <w:pPr>
        <w:spacing w:before="0" w:after="120"/>
      </w:pPr>
      <w:r>
        <w:rPr>
          <w:b/>
        </w:rPr>
        <w:t xml:space="preserve">Source: </w:t>
      </w:r>
      <w:r>
        <w:t>Journal of the American Chemical Society</w:t>
      </w:r>
      <w:r>
        <w:t xml:space="preserve">    </w:t>
      </w:r>
      <w:r>
        <w:rPr>
          <w:b/>
        </w:rPr>
        <w:t xml:space="preserve">Pub date: </w:t>
      </w:r>
      <w:r>
        <w:t>2026-09-03 00:00:00+00:00</w:t>
      </w:r>
      <w:r>
        <w:t xml:space="preserve">    </w:t>
      </w:r>
      <w:r>
        <w:rPr>
          <w:b/>
        </w:rPr>
        <w:t xml:space="preserve">DOI: </w:t>
      </w:r>
      <w:hyperlink r:id="rId2260">
        <w:r>
          <w:rPr>
            <w:color w:val="1155CC"/>
            <w:u w:val="single"/>
          </w:rPr>
          <w:t>10.1021/jacs.6c11110</w:t>
        </w:r>
      </w:hyperlink>
    </w:p>
    <w:p>
      <w:pPr>
        <w:spacing w:before="0" w:after="120"/>
      </w:pPr>
      <w:r>
        <w:rPr>
          <w:b/>
        </w:rPr>
        <w:t xml:space="preserve">Notes: </w:t>
      </w:r>
      <w:r>
        <w:t>abstract_source=crossref</w:t>
      </w:r>
    </w:p>
    <w:p>
      <w:pPr>
        <w:spacing w:before="0" w:after="80" w:lineRule="auto" w:line="276"/>
      </w:pPr>
      <w:r>
        <w:rPr>
          <w:b/>
        </w:rPr>
        <w:t xml:space="preserve">摘要（ZH）: </w:t>
      </w:r>
      <w:r>
        <w:t>摘要：传统上，探索多元氧化物电催化剂的广阔组成景观受到漏斗式筛选范例的限制，该范例将高保真数据视为二元门而不是信息丰富的训练信号。在这里，我们提出了一个专家指导的 Pr-Sr-Co-Fe 钙钛矿多尺度框架。通过集成原子描述符、实验结构特征和机制通知的电子特征，该框架解决了描述符可访问的多元钙钛矿空间中的这些限制。通过实施“最近网格插值”策略，高保真密度泛函理论计算的计算成本在搜索空间内降低了近2个数量级。两轮主动学习大幅提高了高性能候选者的发现效率（η@10 mA cm–2</w:t>
      </w:r>
    </w:p>
    <w:p>
      <w:pPr>
        <w:spacing w:before="0" w:after="200" w:lineRule="auto" w:line="276"/>
      </w:pPr>
      <w:r>
        <w:rPr>
          <w:b/>
        </w:rPr>
        <w:t xml:space="preserve">Abstract (EN): </w:t>
      </w:r>
      <w:r>
        <w:t>Navigating the vast compositional landscape of polynary oxide electrocatalysts is traditionally limited by funnel-style screening paradigms that treat high-fidelity data as binary gates rather than informative training signals. Here, we present an expert-guided multiscale framework for Pr–Sr–Co-Fe perovskites. By integrating atomic descriptors, experimental structural features, and mechanism-informed electronic features, this framework addresses these limitations within a descriptor-accessible polynary perovskite space. By implementing a “Nearest Grid Interpolation” strategy, the computational cost of high-fidelity density functional theory calculations is reduced by nearly 2 orders of magnitude within the search space. Two rounds of active learning surge the discovery efficiency of high-performance candidates (η@10 mA cm–2</w:t>
      </w:r>
    </w:p>
    <w:p>
      <w:pPr>
        <w:spacing w:before="120" w:after="120"/>
      </w:pPr>
      <w:r>
        <w:rPr>
          <w:sz w:val="18"/>
        </w:rPr>
        <w:t>——————————————————————————————————————————————————————————————————————</w:t>
      </w:r>
    </w:p>
    <w:p>
      <w:pPr>
        <w:spacing w:before="160" w:after="40" w:line="240" w:lineRule="auto"/>
      </w:pPr>
      <w:r>
        <w:rPr>
          <w:b/>
        </w:rPr>
        <w:t xml:space="preserve">[1445] </w:t>
      </w:r>
      <w:hyperlink r:id="rId2292">
        <w:r>
          <w:rPr>
            <w:color w:val="1155CC"/>
            <w:u w:val="single"/>
          </w:rPr>
          <w:t>氧代异阿扑菲因半夹心锇(II)衍生物：内在肿瘤化学免疫治疗的催化触发器</w:t>
        </w:r>
      </w:hyperlink>
    </w:p>
    <w:p>
      <w:pPr>
        <w:spacing w:before="0" w:after="80"/>
      </w:pPr>
      <w:r>
        <w:rPr>
          <w:i/>
          <w:sz w:val="20"/>
        </w:rPr>
        <w:t>EN: Oxoisoaporphine Half-Sandwich Osmium(II) Derivative: A Catalytic Trigger for Innate Tumor Chemoimmunotherapy</w:t>
      </w:r>
    </w:p>
    <w:p>
      <w:pPr>
        <w:spacing w:before="0" w:after="120"/>
      </w:pPr>
      <w:r>
        <w:rPr>
          <w:b/>
        </w:rPr>
        <w:t xml:space="preserve">Source: </w:t>
      </w:r>
      <w:r>
        <w:t>Journal of the American Chemical Society</w:t>
      </w:r>
      <w:r>
        <w:t xml:space="preserve">    </w:t>
      </w:r>
      <w:r>
        <w:rPr>
          <w:b/>
        </w:rPr>
        <w:t xml:space="preserve">Pub date: </w:t>
      </w:r>
      <w:r>
        <w:t>2026-09-03 00:00:00+00:00</w:t>
      </w:r>
      <w:r>
        <w:t xml:space="preserve">    </w:t>
      </w:r>
      <w:r>
        <w:rPr>
          <w:b/>
        </w:rPr>
        <w:t xml:space="preserve">DOI: </w:t>
      </w:r>
      <w:hyperlink r:id="rId2292">
        <w:r>
          <w:rPr>
            <w:color w:val="1155CC"/>
            <w:u w:val="single"/>
          </w:rPr>
          <w:t>10.1021/jacs.6c15572</w:t>
        </w:r>
      </w:hyperlink>
    </w:p>
    <w:p>
      <w:pPr>
        <w:spacing w:before="0" w:after="120"/>
      </w:pPr>
      <w:r>
        <w:rPr>
          <w:b/>
        </w:rPr>
        <w:t xml:space="preserve">Notes: </w:t>
      </w:r>
      <w:r>
        <w:t>abstract_source=crossref</w:t>
      </w:r>
    </w:p>
    <w:p>
      <w:pPr>
        <w:spacing w:before="0" w:after="80" w:lineRule="auto" w:line="276"/>
      </w:pPr>
      <w:r>
        <w:rPr>
          <w:b/>
        </w:rPr>
        <w:t xml:space="preserve">摘要（ZH）: </w:t>
      </w:r>
      <w:r>
        <w:t>摘要化学免疫疗法，特别是诱导肿瘤特异性抗肿瘤免疫反应的策略，已成为改善癌症治疗的一种有前景的方法。尽管如此，只有有限数量的药物可以成功地刺激体内抗肿瘤免疫反应。最近的研究强调了金属抗癌剂在化学免疫疗法中的潜力。在此，我们报道了一种半夹心锇(II)络合物Os-1，它通过自催化氢化物从辅酶NADH转移到氧气来充当H2O2生成的催化剂。持续的 H2O2 自给生成会破坏肿瘤氧化还原稳态并诱导 DNA 损伤，从而激活 cGAS-STING 信号通路。 Os-1 在体外表现出强大的细胞毒性，并在体内引发强大的抗肿瘤免疫反应。此外，Os-1 与 PD-1 抑制剂联合使用时表现出协同抗肿瘤生长作用。据我们所知，这项研究首次描述了小分子金属催化剂的合理设计，该催化剂可在癌细胞中原位产生H2O2，从而克服氧化疗法的外源添加剂瓶颈。这种自给自足的系统不仅促进氧化损伤，还激活 cGAS-STING 通路，从而整合协同氧化和免疫治疗作用。</w:t>
      </w:r>
    </w:p>
    <w:p>
      <w:pPr>
        <w:spacing w:before="0" w:after="200" w:lineRule="auto" w:line="276"/>
      </w:pPr>
      <w:r>
        <w:rPr>
          <w:b/>
        </w:rPr>
        <w:t xml:space="preserve">Abstract (EN): </w:t>
      </w:r>
      <w:r>
        <w:t>Chemoimmunotherapy, particularly strategies that induce a tumor specific antitumor immune response, has emerged as a promising approach to improved cancer treatment. Nonetheless, only a limited number of drugs can successfully stimulate an antitumor immune response in vivo. Recent studies have highlighted the potential of metal-based anticancer agents in chemoimmunotherapy. Herein, we report a half-sandwich osmium(II) complex, Os-1, which acts as a catalyst for H2O2 generation through autocatalytic hydride transfer from coenzyme NADH to oxygen. Sustained H2O2 self-supply generation disrupts tumor redox homeostasis and induces DNA damage, leading to the activation of the cGAS-STING signaling pathway. Os-1 demonstrates potent cytotoxicity in vitro and elicits a robust antitumor immune response in vivo. Furthermore, Os-1 exhibits a synergistic antitumor growth effect when combined with a PD-1 inhibitor. To the best of our knowledge, this study is the first to describe the rational design of a small-molecule metal catalyst that provides for the in situ generation of H2O2 in cancer cells, thus overcoming the exogenous-additive bottleneck of oxidative therapy. This self-sufficient system not only promotes oxidative damage but also activates the cGAS-STING pathway, thereby integrating synergistically oxidative and immunotherapeutic actions.</w:t>
      </w:r>
    </w:p>
    <w:p>
      <w:pPr>
        <w:spacing w:before="120" w:after="120"/>
      </w:pPr>
      <w:r>
        <w:rPr>
          <w:sz w:val="18"/>
        </w:rPr>
        <w:t>——————————————————————————————————————————————————————————————————————</w:t>
      </w:r>
    </w:p>
    <w:p>
      <w:pPr>
        <w:spacing w:before="160" w:after="40" w:line="240" w:lineRule="auto"/>
      </w:pPr>
      <w:r>
        <w:rPr>
          <w:b/>
        </w:rPr>
        <w:t xml:space="preserve">[1446] </w:t>
      </w:r>
      <w:hyperlink r:id="rId2270">
        <w:r>
          <w:rPr>
            <w:color w:val="1155CC"/>
            <w:u w:val="single"/>
          </w:rPr>
          <w:t>通过双镍/能量转移催化实现未活化烯烃无导向基自由基双碳官能化的模块化平台</w:t>
        </w:r>
      </w:hyperlink>
    </w:p>
    <w:p>
      <w:pPr>
        <w:spacing w:before="0" w:after="80"/>
      </w:pPr>
      <w:r>
        <w:rPr>
          <w:i/>
          <w:sz w:val="20"/>
        </w:rPr>
        <w:t>EN: Modular Platform for Directing-Group-Free Radical Dicarbofunctionalization of Unactivated Alkenes via Dual Nickel/Energy-Transfer Catalysis</w:t>
      </w:r>
    </w:p>
    <w:p>
      <w:pPr>
        <w:spacing w:before="0" w:after="120"/>
      </w:pPr>
      <w:r>
        <w:rPr>
          <w:b/>
        </w:rPr>
        <w:t xml:space="preserve">Source: </w:t>
      </w:r>
      <w:r>
        <w:t>Journal of the American Chemical Society</w:t>
      </w:r>
      <w:r>
        <w:t xml:space="preserve">    </w:t>
      </w:r>
      <w:r>
        <w:rPr>
          <w:b/>
        </w:rPr>
        <w:t xml:space="preserve">Pub date: </w:t>
      </w:r>
      <w:r>
        <w:t>2026-09-03 00:00:00+00:00</w:t>
      </w:r>
      <w:r>
        <w:t xml:space="preserve">    </w:t>
      </w:r>
      <w:r>
        <w:rPr>
          <w:b/>
        </w:rPr>
        <w:t xml:space="preserve">DOI: </w:t>
      </w:r>
      <w:hyperlink r:id="rId2270">
        <w:r>
          <w:rPr>
            <w:color w:val="1155CC"/>
            <w:u w:val="single"/>
          </w:rPr>
          <w:t>10.1021/jacs.6c10952</w:t>
        </w:r>
      </w:hyperlink>
    </w:p>
    <w:p>
      <w:pPr>
        <w:spacing w:before="0" w:after="120"/>
      </w:pPr>
      <w:r>
        <w:rPr>
          <w:b/>
        </w:rPr>
        <w:t xml:space="preserve">Notes: </w:t>
      </w:r>
      <w:r>
        <w:t>abstract_source=crossref</w:t>
      </w:r>
    </w:p>
    <w:p>
      <w:pPr>
        <w:spacing w:before="0" w:after="80" w:lineRule="auto" w:line="276"/>
      </w:pPr>
      <w:r>
        <w:rPr>
          <w:b/>
        </w:rPr>
        <w:t xml:space="preserve">摘要（ZH）: </w:t>
      </w:r>
      <w:r>
        <w:t>摘要 烯烃的多组分交叉偶联反应为构建三维、富含 sp3 的分子结构提供了强大的策略，这是现代药物化学的一个关键目标。然而，在不使用导向基团的情况下对未活化的烯烃进行区域选择性二碳官能化仍然是一个重大挑战。在此，我们报告了一种可见光诱导的镍催化平台，该平台能够使用不同的烷基自由基前体和芳基、乙烯基、酰基、炔基和烷基偶联伙伴对未活化的烯烃进行自由基 1,2-二碳官能化。机理研究支持催化循环，其中多个电子供体-受体（EDA）复合物介导自由基生成、原子转移自由基加成（ATRA）和交叉亲电子偶联（XEC）或双分子均裂取代（SH2）过程。此外，Ni催化剂和自由基前体之间优先形成络合物抑制了不期望的亲电子配偶体的自偶联。值得注意的是，从坚固的金属有机骨架（MOF）Al(OH)fum（fum–=富马酸盐）或Al-fum输送气态自由基前体，例如三氟甲基碘（TFMI），在操作安全性和反应效率方面具有优势，并且MOF通过降低溶液中游离胺（用于自由基生成）的浓度进一步提高反应产率。总的来说，这种灵活的、无导向基团的方法为快速构建结构复杂且药物相关的分子建立了一个通用平台。</w:t>
      </w:r>
    </w:p>
    <w:p>
      <w:pPr>
        <w:spacing w:before="0" w:after="200" w:lineRule="auto" w:line="276"/>
      </w:pPr>
      <w:r>
        <w:rPr>
          <w:b/>
        </w:rPr>
        <w:t xml:space="preserve">Abstract (EN): </w:t>
      </w:r>
      <w:r>
        <w:t>Multicomponent cross-coupling reactions of alkenes offer a powerful strategy for constructing three-dimensional, sp3 -rich molecular architectures, a key objective in modern medicinal chemistry. However, the regioselective dicarbofunctionalization of unactivated alkenes without the use of directing groups remains a significant challenge. Herein, we report a visible-light-induced, Ni-catalyzed platform that enables the radical 1,2-dicarbofunctionalization of unactivated alkenes using diverse alkyl radical precursors and aryl, vinyl, acyl, alkynyl, and alkyl coupling partners. Mechanistic studies support a catalytic cycle in which multiple electron donor–acceptor (EDA) complexes mediate radical generation, atom-transfer radical addition (ATRA), and cross-electrophile coupling (XEC) or bimolecular homolytic substitution (SH2) processes. Additionally, preferential formation of a complex between the Ni catalyst and the radical precursor suppresses undesired homocoupling of the electrophilic partner. Notably, delivery of gaseous radical precursors such as trifluoromethyl iodide (TFMI) from the robust metal–organic framework (MOF) Al(OH)fum (fum– = fumarate) or Al–fum offers advantages in terms of both operational safety and reaction efficiency, and the MOF further boosts the yields of reactions by decreasing the concentration of free amine (employed for radical generation) in solution. Collectively, this flexible, directing-group-free approach establishes a general platform for the rapid construction of structurally complex and pharmaceutically relevant molecules from readily available precursors.</w:t>
      </w:r>
    </w:p>
    <w:p>
      <w:pPr>
        <w:spacing w:before="120" w:after="120"/>
      </w:pPr>
      <w:r>
        <w:rPr>
          <w:sz w:val="18"/>
        </w:rPr>
        <w:t>——————————————————————————————————————————————————————————————————————</w:t>
      </w:r>
    </w:p>
    <w:p>
      <w:pPr>
        <w:spacing w:before="160" w:after="40" w:line="240" w:lineRule="auto"/>
      </w:pPr>
      <w:r>
        <w:rPr>
          <w:b/>
        </w:rPr>
        <w:t xml:space="preserve">[1447] </w:t>
      </w:r>
      <w:hyperlink r:id="rId2262">
        <w:r>
          <w:rPr>
            <w:color w:val="1155CC"/>
            <w:u w:val="single"/>
          </w:rPr>
          <w:t>双位点工程解锁三角烯的自旋调制与局域场调控的电荷开关</w:t>
        </w:r>
      </w:hyperlink>
    </w:p>
    <w:p>
      <w:pPr>
        <w:spacing w:before="0" w:after="80"/>
      </w:pPr>
      <w:r>
        <w:rPr>
          <w:i/>
          <w:sz w:val="20"/>
        </w:rPr>
        <w:t>EN: Dual-Site Engineering Unlocks Spin Modulation and Local Field-Controlled Charge Switching in Triangulenes</w:t>
      </w:r>
    </w:p>
    <w:p>
      <w:pPr>
        <w:spacing w:before="0" w:after="120"/>
      </w:pPr>
      <w:r>
        <w:rPr>
          <w:b/>
        </w:rPr>
        <w:t xml:space="preserve">Source: </w:t>
      </w:r>
      <w:r>
        <w:t>Journal of the American Chemical Society</w:t>
      </w:r>
      <w:r>
        <w:t xml:space="preserve">    </w:t>
      </w:r>
      <w:r>
        <w:rPr>
          <w:b/>
        </w:rPr>
        <w:t xml:space="preserve">Pub date: </w:t>
      </w:r>
      <w:r>
        <w:t>2026-09-03 00:00:00+00:00</w:t>
      </w:r>
      <w:r>
        <w:t xml:space="preserve">    </w:t>
      </w:r>
      <w:r>
        <w:rPr>
          <w:b/>
        </w:rPr>
        <w:t xml:space="preserve">DOI: </w:t>
      </w:r>
      <w:hyperlink r:id="rId2262">
        <w:r>
          <w:rPr>
            <w:color w:val="1155CC"/>
            <w:u w:val="single"/>
          </w:rPr>
          <w:t>10.1021/jacs.6c08110</w:t>
        </w:r>
      </w:hyperlink>
    </w:p>
    <w:p>
      <w:pPr>
        <w:spacing w:before="0" w:after="120"/>
      </w:pPr>
      <w:r>
        <w:rPr>
          <w:b/>
        </w:rPr>
        <w:t xml:space="preserve">Notes: </w:t>
      </w:r>
      <w:r>
        <w:t>abstract_source=crossref</w:t>
      </w:r>
    </w:p>
    <w:p>
      <w:pPr>
        <w:spacing w:before="0" w:after="80" w:lineRule="auto" w:line="276"/>
      </w:pPr>
      <w:r>
        <w:rPr>
          <w:b/>
        </w:rPr>
        <w:t xml:space="preserve">摘要（ZH）: </w:t>
      </w:r>
      <w:r>
        <w:t>摘要 开壳纳米石墨烯具有高度可调和相关的磁态，为将石墨烯纳米磁体工程化以实现分子级自旋电子学和量子信息技术提供了一个有前途的平台。然而，它们的磁态很大程度上取决于拓扑约束和强电子相关性，限制了对自旋和电荷自由度的独立控制。在这里，我们引入了一种结构双位点工程策略，该策略将本征自旋调制与单个磁性纳米石墨烯中的吸附和场控电荷状态调谐集成在一起，从而实现了先前未证实的多功能控制水平。我们设计并合成了氮、硫协同设计的[3]三角烯（N,S-Tri），其中包含具有互补功能的中心氮掺杂剂和边缘硫取代。中心氮改变了前沿π态的占据，从而调节分子自旋构型，而边缘硫位点微弱地参与低能π态，同时充当调节分子-底物耦合和电荷转移的可调节化学锚。使用低温扫描探针显微镜，我们直接可视化由 Au(111) 吸附位点变化驱动的中性态到阳离子态的切换，或通过局部静电门控的可逆切换。这种双功能设计超越了石墨烯纳米磁体中的静态掺杂或界面电荷转移，实现了自旋和电荷状态的场控动态调制，并开辟了新的领域。</w:t>
      </w:r>
    </w:p>
    <w:p>
      <w:pPr>
        <w:spacing w:before="0" w:after="200" w:lineRule="auto" w:line="276"/>
      </w:pPr>
      <w:r>
        <w:rPr>
          <w:b/>
        </w:rPr>
        <w:t xml:space="preserve">Abstract (EN): </w:t>
      </w:r>
      <w:r>
        <w:t>Open-shell nanographenes, featuring highly tunable and correlated magnetic states, constitute a promising platform for engineering graphene nanomagnets towards molecular-scale spintronics and quantum information technologies. However, their magnetic states are largely dictated by topological constraints and strong electronic correlations, limiting independent control of spin and charge degrees of freedom. Here, we introduce a structural dual-site engineering strategy that integrates intrinsic spin modulation with adsorption- and field-controlled charge state tuning in a single magnetic nanographene, enabling a level of multifunctional control not previously demonstrated. We design and synthesize nitrogen, sulfur-co-engineered [3]triangulene (N,S-Tri), incorporating a central nitrogen dopant and an edge sulfur substitution with complementary functions. The central nitrogen modifies the occupation of the frontier π states and thereby tunes the molecular spin configuration, while the edge sulfur site weakly participates in the low-energy π-state and simultaneously acts as a tunable chemical anchor that regulates molecule–substrate coupling and charge transfer. Using low-temperature scanning probe microscopy, we directly visualize switching from neutral to cationic states, driven by adsorption-site variation on Au(111), or reversible switching by local electrostatic gating. This dual-functional design moves beyond static doping or interface charge transfer in graphene nanomagnets, enabling field-controlled dynamic modulation of spin and charge states, and opening new opportunities for device-oriented applications where molecule–electrode interactions and electrostatic field control play central roles.</w:t>
      </w:r>
    </w:p>
    <w:p>
      <w:pPr>
        <w:spacing w:before="120" w:after="120"/>
      </w:pPr>
      <w:r>
        <w:rPr>
          <w:sz w:val="18"/>
        </w:rPr>
        <w:t>——————————————————————————————————————————————————————————————————————</w:t>
      </w:r>
    </w:p>
    <w:p>
      <w:pPr>
        <w:spacing w:before="160" w:after="40" w:line="240" w:lineRule="auto"/>
      </w:pPr>
      <w:r>
        <w:rPr>
          <w:b/>
        </w:rPr>
        <w:t xml:space="preserve">[1448] </w:t>
      </w:r>
      <w:hyperlink r:id="rId2264">
        <w:r>
          <w:rPr>
            <w:color w:val="1155CC"/>
            <w:u w:val="single"/>
          </w:rPr>
          <w:t>原子级精确的Pt19：具有增强稳定性与电催化活性的最大全有机配体保护铂纳米团簇</w:t>
        </w:r>
      </w:hyperlink>
    </w:p>
    <w:p>
      <w:pPr>
        <w:spacing w:before="0" w:after="80"/>
      </w:pPr>
      <w:r>
        <w:rPr>
          <w:i/>
          <w:sz w:val="20"/>
        </w:rPr>
        <w:t>EN: Atomically Precise Pt19: The Largest All-Organic Ligand–Protected Platinum Nanocluster with Enhanced Stability and Electrocatalytic Activity</w:t>
      </w:r>
    </w:p>
    <w:p>
      <w:pPr>
        <w:spacing w:before="0" w:after="120"/>
      </w:pPr>
      <w:r>
        <w:rPr>
          <w:b/>
        </w:rPr>
        <w:t xml:space="preserve">Source: </w:t>
      </w:r>
      <w:r>
        <w:t>Journal of the American Chemical Society</w:t>
      </w:r>
      <w:r>
        <w:t xml:space="preserve">    </w:t>
      </w:r>
      <w:r>
        <w:rPr>
          <w:b/>
        </w:rPr>
        <w:t xml:space="preserve">Pub date: </w:t>
      </w:r>
      <w:r>
        <w:t>2026-09-03 00:00:00+00:00</w:t>
      </w:r>
      <w:r>
        <w:t xml:space="preserve">    </w:t>
      </w:r>
      <w:r>
        <w:rPr>
          <w:b/>
        </w:rPr>
        <w:t xml:space="preserve">DOI: </w:t>
      </w:r>
      <w:hyperlink r:id="rId2264">
        <w:r>
          <w:rPr>
            <w:color w:val="1155CC"/>
            <w:u w:val="single"/>
          </w:rPr>
          <w:t>10.1021/jacs.6c13812</w:t>
        </w:r>
      </w:hyperlink>
    </w:p>
    <w:p>
      <w:pPr>
        <w:spacing w:before="0" w:after="120"/>
      </w:pPr>
      <w:r>
        <w:rPr>
          <w:b/>
        </w:rPr>
        <w:t xml:space="preserve">Notes: </w:t>
      </w:r>
      <w:r>
        <w:t>abstract_source=crossref</w:t>
      </w:r>
    </w:p>
    <w:p>
      <w:pPr>
        <w:spacing w:before="0" w:after="80" w:lineRule="auto" w:line="276"/>
      </w:pPr>
      <w:r>
        <w:rPr>
          <w:b/>
        </w:rPr>
        <w:t xml:space="preserve">摘要（ZH）: </w:t>
      </w:r>
      <w:r>
        <w:t>摘要 多功能有机配体可以显着提高金属纳米团簇（NC）的稳定性和可调性，因此，全有机配体保护的金属纳米团簇最近引起了广泛的关注。铂（Pt）仍然是各个领域不可或缺的金属，特别是在催化和癌症治疗领域。然而，由于合成上的巨大挑战，全有机配体保护的Pt纳米团簇很少被报道，这阻碍了Pt纳米团簇研究及其实际应用的进展。在此，我们报告了通过配体交换方法的开发，成功合成了迄今为止最大的全有机配体保护的Pt纳米团簇[Pt19(NapNC)27][PF6]2（缩写为Pt19；NapNC：异氰萘）。单晶 X 射线衍射 (SC-XRD) 揭示了面心立方 (FCC) 的非等效结构，这种结构以前从未有过全有机配体保护的 Pt 纳米团簇的记录。与其部分有机母体纳米团簇相比，这种新型纳米团簇在基态和激发态下均表现出显着增强的稳定性。此外，相对于其母体纳米团簇和商业 Pt/C，Pt19 纳米团簇在电催化甲醇氧化反应 (MOR) 中表现出优异的活性。基于其明确的结构，我们深入了解了 Pt19 卓越的 MOR 活性，并首次揭示了电催化 MOR 活性位点的空间和电子偏好。</w:t>
      </w:r>
    </w:p>
    <w:p>
      <w:pPr>
        <w:spacing w:before="0" w:after="200" w:lineRule="auto" w:line="276"/>
      </w:pPr>
      <w:r>
        <w:rPr>
          <w:b/>
        </w:rPr>
        <w:t xml:space="preserve">Abstract (EN): </w:t>
      </w:r>
      <w:r>
        <w:t>Versatile organic ligands can notably enhance the stability and tunability of metal nanoclusters (NCs), and, consequently, all-organic ligand–protected metal nanoclusters have recently attracted widespread attention. Platinum (Pt) remains an indispensable metal in various fields, particularly in catalysis and cancer therapeutics. However, all-organic ligand–protected Pt nanoclusters are rarely reported due to substantial synthesis challenges, which have hindered progress in Pt nanocluster research and their practical applications. Herein, we report the successful synthesis of the largest all-organic ligand–protected Pt nanocluster to date, [Pt19(NapNC)27][PF6]2 (abbreviated as Pt19; NapNC: isocyanonaphthalene), achieved through the development of a ligand-exchange method. Single-crystal X-ray diffraction (SC-XRD) revealed a face-centered cubic (FCC), nonequivalent structure that has not been previously documented for all-organic ligand–protected Pt nanoclusters. Compared with its partially organic parent nanoclusters, this novel nanocluster exhibits considerably enhanced stability in both the ground and excited states. Furthermore, the Pt19 nanocluster demonstrates superior activity in the electrocatalytic methanol oxidation reaction (MOR) relative to its parent nanoclusters and commercial Pt/C. Based on its well-defined structure, we gained deep insights into the exceptional MOR activity of Pt19 and revealed, for the first time, the steric and electronic preferences of the active sites for electrocatalytic MOR.</w:t>
      </w:r>
    </w:p>
    <w:p>
      <w:pPr>
        <w:spacing w:before="120" w:after="120"/>
      </w:pPr>
      <w:r>
        <w:rPr>
          <w:sz w:val="18"/>
        </w:rPr>
        <w:t>——————————————————————————————————————————————————————————————————————</w:t>
      </w:r>
    </w:p>
    <w:p>
      <w:pPr>
        <w:spacing w:before="160" w:after="40" w:line="240" w:lineRule="auto"/>
      </w:pPr>
      <w:r>
        <w:rPr>
          <w:b/>
        </w:rPr>
        <w:t xml:space="preserve">[1449] </w:t>
      </w:r>
      <w:hyperlink r:id="rId2362">
        <w:r>
          <w:rPr>
            <w:color w:val="1155CC"/>
            <w:u w:val="single"/>
          </w:rPr>
          <w:t>氧气作为电子受体实现海水中高效光催化乙炔氢氯化反应</w:t>
        </w:r>
      </w:hyperlink>
    </w:p>
    <w:p>
      <w:pPr>
        <w:spacing w:before="0" w:after="80"/>
      </w:pPr>
      <w:r>
        <w:rPr>
          <w:i/>
          <w:sz w:val="20"/>
        </w:rPr>
        <w:t>EN: Oxygen Serves as an Electron Acceptor for Efficient Photocatalytic Acetylene Hydrochlorination in Seawater</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2362">
        <w:r>
          <w:rPr>
            <w:color w:val="1155CC"/>
            <w:u w:val="single"/>
          </w:rPr>
          <w:t>10.1002/anie.9030516</w:t>
        </w:r>
      </w:hyperlink>
    </w:p>
    <w:p>
      <w:pPr>
        <w:spacing w:before="0" w:after="120"/>
      </w:pPr>
      <w:r>
        <w:rPr>
          <w:b/>
        </w:rPr>
        <w:t xml:space="preserve">Notes: </w:t>
      </w:r>
      <w:r>
        <w:t>abstract_source=crossref</w:t>
      </w:r>
    </w:p>
    <w:p>
      <w:pPr>
        <w:spacing w:before="0" w:after="80" w:lineRule="auto" w:line="276"/>
      </w:pPr>
      <w:r>
        <w:rPr>
          <w:b/>
        </w:rPr>
        <w:t xml:space="preserve">摘要（ZH）: </w:t>
      </w:r>
      <w:r>
        <w:t>摘要 以H 2 O为氢源、Cl - 为海水中氯源的光催化乙炔氢氯化反应是传统热催化乙炔氢氯化反应的一种非常有前景的替代方案，但由于光生电子和空穴的快速复合以及低H + 和Cl - 浓度导致的氧化还原动力学缓慢，其性能严重不佳。在这里，我们报道了海水中 O 2 加速的光催化乙炔氢氯化反应，其中 O 2 作为有效的电子受体，快速消耗光生电子。因此，在含有 O 2 的模拟海水中，在 420 nm 发光二极管（LED）照射下，所制成的管状氮化碳光催化剂（MTA-C 3 N 4 ）显着提高了氯乙烯单体（VCM）的产率，达到 567.0 µmol g cat -1 h -1 ，比不含 O 2 的海水高约 66 倍。即使在天然海水中，MTA-C 3 N 4 也能在 10 天内保持稳定的 VCM 生产率 433.3 µmol g cat -1 h -1 。机理研究表明，O 2 作为电子受体抑制电荷复合并促进空穴的形成，从而加速空穴驱动的氯化物氧化动力学，生成用于选择性乙炔氢氯化的*Cl。这项工作不仅揭示了分子氧在光氧化还原动力学中的重要作用，而且为增强光催化性能提供了一种有吸引力的策略。</w:t>
      </w:r>
    </w:p>
    <w:p>
      <w:pPr>
        <w:spacing w:before="0" w:after="200" w:lineRule="auto" w:line="276"/>
      </w:pPr>
      <w:r>
        <w:rPr>
          <w:b/>
        </w:rPr>
        <w:t xml:space="preserve">Abstract (EN): </w:t>
      </w:r>
      <w:r>
        <w:t>The photocatalytic acetylene hydrochlorination with H 2 O as hydrogen source and Cl – as chlorine source in seawater is a highly promising alternative to traditional thermocatalytic acetylene hydrochlorination, but seriously suffers from poor performance due to the rapid recombination of photogenerated electrons and holes as well as the sluggish redox kinetics caused by low H + and Cl – concentrations. Here, we report an O 2 ‐accelerated photocatalytic acetylene hydrochlorination in seawater, where the O 2 serves as an efficient electron acceptor for rapidly consuming photo‐generated electrons. Consequently, the as‐fabricated tubular carbon nitride photocatalyst (MTA‐C 3 N 4 ) delivers a substantially enhanced vinyl chloride monomer (VCM) production rate of 567.0 µmol g cat −1 h −1 under 420 nm light‐emitting diode (LED) irradiation in simulated seawater with O 2 , which is ∼66‐fold higher than that without O 2 . Even in natural seawater, the MTA‐C 3 N 4 maintains a stable VCM production rate of 433.3 µmol g cat −1 h −1 over 10 days. Mechanistic studies reveal that O 2 acts as an electron acceptor to suppress charge recombination and promote the formation of holes, thereby accelerating the hole‐driven chloride oxidation kinetics to generate *Cl for selective acetylene hydrochlorination. This work not only reveals the vital role of molecular oxygen in photoredox kinetics, but also provides an appealing strategy for enhancing photocatalytic performance.</w:t>
      </w:r>
    </w:p>
    <w:p>
      <w:pPr>
        <w:spacing w:before="120" w:after="120"/>
      </w:pPr>
      <w:r>
        <w:rPr>
          <w:sz w:val="18"/>
        </w:rPr>
        <w:t>——————————————————————————————————————————————————————————————————————</w:t>
      </w:r>
    </w:p>
    <w:p>
      <w:pPr>
        <w:spacing w:before="160" w:after="40" w:line="240" w:lineRule="auto"/>
      </w:pPr>
      <w:r>
        <w:rPr>
          <w:b/>
        </w:rPr>
        <w:t xml:space="preserve">[1450] </w:t>
      </w:r>
      <w:hyperlink r:id="rId2403">
        <w:r>
          <w:rPr>
            <w:color w:val="1155CC"/>
            <w:u w:val="single"/>
          </w:rPr>
          <w:t>通过内在燃料-氧化剂设计两步法制备高能材料</w:t>
        </w:r>
      </w:hyperlink>
    </w:p>
    <w:p>
      <w:pPr>
        <w:spacing w:before="0" w:after="80"/>
      </w:pPr>
      <w:r>
        <w:rPr>
          <w:i/>
          <w:sz w:val="20"/>
        </w:rPr>
        <w:t>EN: Two-Step Access to High-Energy Materials via Intrinsic Fuel–Oxidizer Design</w:t>
      </w:r>
    </w:p>
    <w:p>
      <w:pPr>
        <w:spacing w:before="0" w:after="120"/>
      </w:pPr>
      <w:r>
        <w:rPr>
          <w:b/>
        </w:rPr>
        <w:t xml:space="preserve">Source: </w:t>
      </w:r>
      <w:r>
        <w:t>ACS Applied Materials &amp; Interfaces</w:t>
      </w:r>
      <w:r>
        <w:t xml:space="preserve">    </w:t>
      </w:r>
      <w:r>
        <w:rPr>
          <w:b/>
        </w:rPr>
        <w:t xml:space="preserve">Pub date: </w:t>
      </w:r>
      <w:r>
        <w:t>2026-09-03 00:00:00+00:00</w:t>
      </w:r>
      <w:r>
        <w:t xml:space="preserve">    </w:t>
      </w:r>
      <w:r>
        <w:rPr>
          <w:b/>
        </w:rPr>
        <w:t xml:space="preserve">DOI: </w:t>
      </w:r>
      <w:hyperlink r:id="rId2403">
        <w:r>
          <w:rPr>
            <w:color w:val="1155CC"/>
            <w:u w:val="single"/>
          </w:rPr>
          <w:t>10.1021/acsami.6c14655</w:t>
        </w:r>
      </w:hyperlink>
    </w:p>
    <w:p>
      <w:pPr>
        <w:spacing w:before="0" w:after="120"/>
      </w:pPr>
      <w:r>
        <w:rPr>
          <w:b/>
        </w:rPr>
        <w:t xml:space="preserve">Notes: </w:t>
      </w:r>
      <w:r>
        <w:t>abstract_source=crossref</w:t>
      </w:r>
    </w:p>
    <w:p>
      <w:pPr>
        <w:spacing w:before="0" w:after="80" w:lineRule="auto" w:line="276"/>
      </w:pPr>
      <w:r>
        <w:rPr>
          <w:b/>
        </w:rPr>
        <w:t xml:space="preserve">摘要（ZH）: </w:t>
      </w:r>
      <w:r>
        <w:t>摘要 平衡高性能与合成可及性的先进含能材料的开发仍然是航空航天和国防应用中的巨大挑战。在这里，我们报告了一种简单的两步合成策略，可以从共同的前体获得两个不同但互补的能量平台，即无溶剂的钠基能量框架（3）和肼基自燃盐（4）。该设计利用固有的燃料-氧化剂主题，将偕二硝基氧化单元与肼基燃料碎片相结合，以实现内部氧化还原平衡并增强能量输出。化合物 3 具有 1.83 g cm–3 的高密度和良好的热稳定性 (182 °C)，而化合物 4 具有良好的爆轰性能（VOD = 8831 m s–1，DP = 31.8 GPa）以及对白发烟硝酸的显着自燃活性，实现了仅 18 ms 的点火延迟。 Hirshfeld 表面分析进一步揭示了 4 的固态结构通过广泛的氢键网络稳定，其中 O-H 相互作用贡献了 70% 的表面接触，突出了定向分子间堆积在其能量行为中的作用。这项工作建立了一种具有成本效益的设计范例，将合成简单性与高性能能量指标相协调，为下一代点火响应能量材料提供了一个多功能平台。</w:t>
      </w:r>
    </w:p>
    <w:p>
      <w:pPr>
        <w:spacing w:before="0" w:after="200" w:lineRule="auto" w:line="276"/>
      </w:pPr>
      <w:r>
        <w:rPr>
          <w:b/>
        </w:rPr>
        <w:t xml:space="preserve">Abstract (EN): </w:t>
      </w:r>
      <w:r>
        <w:t>The development of advanced energetic materials that balance high performance with synthetic accessibility remains a formidable challenge in aerospace and defense applications. Here, we report a simple two-step synthetic strategy to access two distinct yet complementary energetic platforms, a solvent-free sodium-based energetic framework (3) and a hydrazinium-based hypergolic salt (4), from a common precursor. This design leverages an intrinsic fuel–oxidizer motif, integrating gem-dinitro oxidizing units with hydrazine-based fuel fragments to achieve internal redox balance and enhanced energetic output. Compound 3 exhibits a high density of 1.83 g cm–3 and good thermal stability (182 °C), while compound 4 delivers good detonation performance (VOD = 8831 m s–1, DP = 31.8 GPa) together with remarkable hypergolic activity toward white fuming nitric acid, achieving an ignition delay of only 18 ms. Hirshfeld surface analysis further reveals that the solid-state architecture of 4 is stabilized by an extensive hydrogen-bonding network, with O–H interactions contributing 70% of the surface contacts, highlighting the role of directed intermolecular packing in its energetic behavior. This work establishes a cost-effective design paradigm that reconciles synthetic simplicity with high-performance energetic metrics, providing a versatile platform for next-generation ignition-responsive energetic materials.</w:t>
      </w:r>
    </w:p>
    <w:p>
      <w:pPr>
        <w:spacing w:before="120" w:after="120"/>
      </w:pPr>
      <w:r>
        <w:rPr>
          <w:sz w:val="18"/>
        </w:rPr>
        <w:t>——————————————————————————————————————————————————————————————————————</w:t>
      </w:r>
    </w:p>
    <w:p>
      <w:pPr>
        <w:spacing w:before="160" w:after="40" w:line="240" w:lineRule="auto"/>
      </w:pPr>
      <w:r>
        <w:rPr>
          <w:b/>
        </w:rPr>
        <w:t xml:space="preserve">[1451] </w:t>
      </w:r>
      <w:hyperlink r:id="rId2302">
        <w:r>
          <w:rPr>
            <w:color w:val="1155CC"/>
            <w:u w:val="single"/>
          </w:rPr>
          <w:t>赛洛西宾通过保护线粒体运输防止化疗引起的周围神经病变</w:t>
        </w:r>
      </w:hyperlink>
    </w:p>
    <w:p>
      <w:pPr>
        <w:spacing w:before="0" w:after="80"/>
      </w:pPr>
      <w:r>
        <w:rPr>
          <w:i/>
          <w:sz w:val="20"/>
        </w:rPr>
        <w:t>EN: Psilocybin prevents chemotherapy-induced peripheral neuropathy through mitochondrial trafficking preservation</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02">
        <w:r>
          <w:rPr>
            <w:color w:val="1155CC"/>
            <w:u w:val="single"/>
          </w:rPr>
          <w:t>10.1126/science.aec6116</w:t>
        </w:r>
      </w:hyperlink>
    </w:p>
    <w:p>
      <w:pPr>
        <w:spacing w:before="0" w:after="120"/>
      </w:pPr>
      <w:r>
        <w:rPr>
          <w:b/>
        </w:rPr>
        <w:t xml:space="preserve">Notes: </w:t>
      </w:r>
      <w:r>
        <w:t>abstract_source=crossref</w:t>
      </w:r>
    </w:p>
    <w:p>
      <w:pPr>
        <w:spacing w:before="0" w:after="80" w:lineRule="auto" w:line="276"/>
      </w:pPr>
      <w:r>
        <w:rPr>
          <w:b/>
        </w:rPr>
        <w:t xml:space="preserve">摘要（ZH）: </w:t>
      </w:r>
      <w:r>
        <w:t>化疗引起的周围神经病变 (CIPN) 是一种致残且通常不可逆的毒性，影响数百万患者，限制挽救生命的癌症治疗，并且缺乏经过验证的治疗方法。在这项工作中，我们表明，在基于铂类和紫杉烷的模型中，化疗前只需服用两剂裸盖菇素即可持久预防 CIPN 的发作，包括重复化疗周期，而不会损害抗肿瘤功效。在外周，裸盖菇素通过轴突线粒体运输和分布保存、TrkB-Akt-PAK5-MAP2-KIF5B 通路和亲合蛋白锚定线粒体的再动员来维持触觉敏感性和表皮内神经纤维末梢。其核心是使内侧前额皮质突触活动以及皮质α和β脑电图能力正常化。这种外周轴突能量平衡的稳定使裸盖菇素成为 CIPN 的一流预防剂，同时还能保留中枢神经功能。鉴于裸盖菇素已确定的安全性，这些发现支持将临床评估作为预防 CIPN 的策略。</w:t>
      </w:r>
    </w:p>
    <w:p>
      <w:pPr>
        <w:spacing w:before="0" w:after="200" w:lineRule="auto" w:line="276"/>
      </w:pPr>
      <w:r>
        <w:rPr>
          <w:b/>
        </w:rPr>
        <w:t xml:space="preserve">Abstract (EN): </w:t>
      </w:r>
      <w:r>
        <w:t>Chemotherapy-induced peripheral neuropathy (CIPN) is a disabling, often irreversible toxicity that affects millions of patients, limits life-saving cancer therapy, and lacks proven treatment. In this work, we show that as little as two doses of psilocybin before chemotherapy durably prevented the onset of CIPN across platinum- and taxane-based models, including repeated chemotherapy cycles, without impairing antitumor efficacy. Peripherally, psilocybin maintained tactile sensitivity and intraepidermal nerve fiber endings through axonal mitochondrial trafficking and distribution preservation, through the TrkB-Akt-PAK5-MAP2-KIF5B pathway and remobilization of syntaphilin-anchored mitochondria. Centrally, it normalized medial prefrontal cortical synaptic activity and cortical alpha and beta electroencephalography power. This stabilization of peripheral axonal energy balance establishes psilocybin as a first-in-class prophylactic agent for CIPN while also preserving central neural function. Given psilocybin’s established safety, these discoveries support clinical evaluation as a strategy to prevent CIPN.</w:t>
      </w:r>
    </w:p>
    <w:p>
      <w:pPr>
        <w:spacing w:before="120" w:after="120"/>
      </w:pPr>
      <w:r>
        <w:rPr>
          <w:sz w:val="18"/>
        </w:rPr>
        <w:t>——————————————————————————————————————————————————————————————————————</w:t>
      </w:r>
    </w:p>
    <w:p>
      <w:pPr>
        <w:spacing w:before="160" w:after="40" w:line="240" w:lineRule="auto"/>
      </w:pPr>
      <w:r>
        <w:rPr>
          <w:b/>
        </w:rPr>
        <w:t xml:space="preserve">[1452] </w:t>
      </w:r>
      <w:hyperlink r:id="rId2298">
        <w:r>
          <w:rPr>
            <w:color w:val="1155CC"/>
            <w:u w:val="single"/>
          </w:rPr>
          <w:t>并非如此温和的定植者</w:t>
        </w:r>
      </w:hyperlink>
    </w:p>
    <w:p>
      <w:pPr>
        <w:spacing w:before="0" w:after="80"/>
      </w:pPr>
      <w:r>
        <w:rPr>
          <w:i/>
          <w:sz w:val="20"/>
        </w:rPr>
        <w:t>EN: Not such a benign colonizer</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298">
        <w:r>
          <w:rPr>
            <w:color w:val="1155CC"/>
            <w:u w:val="single"/>
          </w:rPr>
          <w:t>10.1126/science.aek8246</w:t>
        </w:r>
      </w:hyperlink>
    </w:p>
    <w:p>
      <w:pPr>
        <w:spacing w:before="0" w:after="120"/>
      </w:pPr>
      <w:r>
        <w:rPr>
          <w:b/>
        </w:rPr>
        <w:t xml:space="preserve">Notes: </w:t>
      </w:r>
      <w:r>
        <w:t>abstract_source=crossref</w:t>
      </w:r>
    </w:p>
    <w:p>
      <w:pPr>
        <w:spacing w:before="0" w:after="80" w:lineRule="auto" w:line="276"/>
      </w:pPr>
      <w:r>
        <w:rPr>
          <w:b/>
        </w:rPr>
        <w:t xml:space="preserve">摘要（ZH）: </w:t>
      </w:r>
      <w:r>
        <w:t>艰难梭菌调节婴儿肠道炎症和干细胞功能</w:t>
      </w:r>
    </w:p>
    <w:p>
      <w:pPr>
        <w:spacing w:before="0" w:after="200" w:lineRule="auto" w:line="276"/>
      </w:pPr>
      <w:r>
        <w:rPr>
          <w:b/>
        </w:rPr>
        <w:t xml:space="preserve">Abstract (EN): </w:t>
      </w:r>
      <w:r>
        <w:t>Clostridioides difficile modulates inflammation and stem cell functions in the infant gut</w:t>
      </w:r>
    </w:p>
    <w:p>
      <w:pPr>
        <w:spacing w:before="120" w:after="120"/>
      </w:pPr>
      <w:r>
        <w:rPr>
          <w:sz w:val="18"/>
        </w:rPr>
        <w:t>——————————————————————————————————————————————————————————————————————</w:t>
      </w:r>
    </w:p>
    <w:p>
      <w:pPr>
        <w:spacing w:before="160" w:after="40" w:line="240" w:lineRule="auto"/>
      </w:pPr>
      <w:r>
        <w:rPr>
          <w:b/>
        </w:rPr>
        <w:t xml:space="preserve">[1453] </w:t>
      </w:r>
      <w:hyperlink r:id="rId2316">
        <w:r>
          <w:rPr>
            <w:color w:val="1155CC"/>
            <w:u w:val="single"/>
          </w:rPr>
          <w:t>脑刺激致力于改善女性健康</w:t>
        </w:r>
      </w:hyperlink>
    </w:p>
    <w:p>
      <w:pPr>
        <w:spacing w:before="0" w:after="80"/>
      </w:pPr>
      <w:r>
        <w:rPr>
          <w:i/>
          <w:sz w:val="20"/>
        </w:rPr>
        <w:t>EN: Brain stimulation takes aim at improving women’s health</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16">
        <w:r>
          <w:rPr>
            <w:color w:val="1155CC"/>
            <w:u w:val="single"/>
          </w:rPr>
          <w:t>10.1126/science.aem0442</w:t>
        </w:r>
      </w:hyperlink>
    </w:p>
    <w:p>
      <w:pPr>
        <w:spacing w:before="0" w:after="120"/>
      </w:pPr>
      <w:r>
        <w:rPr>
          <w:b/>
        </w:rPr>
        <w:t xml:space="preserve">Notes: </w:t>
      </w:r>
      <w:r>
        <w:t>abstract_source=crossref</w:t>
      </w:r>
    </w:p>
    <w:p>
      <w:pPr>
        <w:spacing w:before="0" w:after="80" w:lineRule="auto" w:line="276"/>
      </w:pPr>
      <w:r>
        <w:rPr>
          <w:b/>
        </w:rPr>
        <w:t xml:space="preserve">摘要（ZH）: </w:t>
      </w:r>
      <w:r>
        <w:t>非侵入性技术试验招募孕妇和产后妇女</w:t>
      </w:r>
    </w:p>
    <w:p>
      <w:pPr>
        <w:spacing w:before="0" w:after="200" w:lineRule="auto" w:line="276"/>
      </w:pPr>
      <w:r>
        <w:rPr>
          <w:b/>
        </w:rPr>
        <w:t xml:space="preserve">Abstract (EN): </w:t>
      </w:r>
      <w:r>
        <w:t>Trials of noninvasive technologies enroll pregnant and postpartum women</w:t>
      </w:r>
    </w:p>
    <w:p>
      <w:pPr>
        <w:spacing w:before="120" w:after="120"/>
      </w:pPr>
      <w:r>
        <w:rPr>
          <w:sz w:val="18"/>
        </w:rPr>
        <w:t>——————————————————————————————————————————————————————————————————————</w:t>
      </w:r>
    </w:p>
    <w:p>
      <w:pPr>
        <w:spacing w:before="160" w:after="40" w:line="240" w:lineRule="auto"/>
      </w:pPr>
      <w:r>
        <w:rPr>
          <w:b/>
        </w:rPr>
        <w:t xml:space="preserve">[1454] </w:t>
      </w:r>
      <w:hyperlink r:id="rId2404">
        <w:r>
          <w:rPr>
            <w:color w:val="1155CC"/>
            <w:u w:val="single"/>
          </w:rPr>
          <w:t>打击加拉帕戈斯海鬣蜥非法贩运</w:t>
        </w:r>
      </w:hyperlink>
    </w:p>
    <w:p>
      <w:pPr>
        <w:spacing w:before="0" w:after="80"/>
      </w:pPr>
      <w:r>
        <w:rPr>
          <w:i/>
          <w:sz w:val="20"/>
        </w:rPr>
        <w:t>EN: Combat Galapagos marine iguana trafficking</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404">
        <w:r>
          <w:rPr>
            <w:color w:val="1155CC"/>
            <w:u w:val="single"/>
          </w:rPr>
          <w:t>10.1126/science.aek3898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[1455] </w:t>
      </w:r>
      <w:hyperlink r:id="rId2405">
        <w:r>
          <w:rPr>
            <w:color w:val="1155CC"/>
            <w:u w:val="single"/>
          </w:rPr>
          <w:t>研究论文“镜像花朵中手性发育的超基因控制”的勘误</w:t>
        </w:r>
      </w:hyperlink>
    </w:p>
    <w:p>
      <w:pPr>
        <w:spacing w:before="0" w:after="80"/>
      </w:pPr>
      <w:r>
        <w:rPr>
          <w:i/>
          <w:sz w:val="20"/>
        </w:rPr>
        <w:t>EN: Erratum for the Research Article “Supergene control of chiral development in mirror-image flowers”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405">
        <w:r>
          <w:rPr>
            <w:color w:val="1155CC"/>
            <w:u w:val="single"/>
          </w:rPr>
          <w:t>10.1126/science.ael9089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[1456] </w:t>
      </w:r>
      <w:hyperlink r:id="rId2406">
        <w:r>
          <w:rPr>
            <w:color w:val="1155CC"/>
            <w:u w:val="single"/>
          </w:rPr>
          <w:t>当处理产生新条件时</w:t>
        </w:r>
      </w:hyperlink>
    </w:p>
    <w:p>
      <w:pPr>
        <w:spacing w:before="0" w:after="80"/>
      </w:pPr>
      <w:r>
        <w:rPr>
          <w:i/>
          <w:sz w:val="20"/>
        </w:rPr>
        <w:t>EN: When treatments create new conditions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406">
        <w:r>
          <w:rPr>
            <w:color w:val="1155CC"/>
            <w:u w:val="single"/>
          </w:rPr>
          <w:t>10.1126/science.aek8358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[1457] </w:t>
      </w:r>
      <w:hyperlink r:id="rId2304">
        <w:r>
          <w:rPr>
            <w:color w:val="1155CC"/>
            <w:u w:val="single"/>
          </w:rPr>
          <w:t>加州将投票决定投入160亿美元以促进科研</w:t>
        </w:r>
      </w:hyperlink>
    </w:p>
    <w:p>
      <w:pPr>
        <w:spacing w:before="0" w:after="80"/>
      </w:pPr>
      <w:r>
        <w:rPr>
          <w:i/>
          <w:sz w:val="20"/>
        </w:rPr>
        <w:t>EN: California to vote on $16 billion to boost research</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04">
        <w:r>
          <w:rPr>
            <w:color w:val="1155CC"/>
            <w:u w:val="single"/>
          </w:rPr>
          <w:t>10.1126/science.aem0439</w:t>
        </w:r>
      </w:hyperlink>
    </w:p>
    <w:p>
      <w:pPr>
        <w:spacing w:before="0" w:after="120"/>
      </w:pPr>
      <w:r>
        <w:rPr>
          <w:b/>
        </w:rPr>
        <w:t xml:space="preserve">Notes: </w:t>
      </w:r>
      <w:r>
        <w:t>abstract_source=crossref</w:t>
      </w:r>
    </w:p>
    <w:p>
      <w:pPr>
        <w:spacing w:before="0" w:after="80" w:lineRule="auto" w:line="276"/>
      </w:pPr>
      <w:r>
        <w:rPr>
          <w:b/>
        </w:rPr>
        <w:t xml:space="preserve">摘要（ZH）: </w:t>
      </w:r>
      <w:r>
        <w:t>在特朗普领导下削减联邦科学经费后，提出了两项​​州投票提案</w:t>
      </w:r>
    </w:p>
    <w:p>
      <w:pPr>
        <w:spacing w:before="0" w:after="200" w:lineRule="auto" w:line="276"/>
      </w:pPr>
      <w:r>
        <w:rPr>
          <w:b/>
        </w:rPr>
        <w:t xml:space="preserve">Abstract (EN): </w:t>
      </w:r>
      <w:r>
        <w:t>Two state ballot proposals come in wake of federal science funding cuts under Trump</w:t>
      </w:r>
    </w:p>
    <w:p>
      <w:pPr>
        <w:spacing w:before="120" w:after="120"/>
      </w:pPr>
      <w:r>
        <w:rPr>
          <w:sz w:val="18"/>
        </w:rPr>
        <w:t>——————————————————————————————————————————————————————————————————————</w:t>
      </w:r>
    </w:p>
    <w:p>
      <w:pPr>
        <w:spacing w:before="160" w:after="40" w:line="240" w:lineRule="auto"/>
      </w:pPr>
      <w:r>
        <w:rPr>
          <w:b/>
        </w:rPr>
        <w:t xml:space="preserve">[1458] </w:t>
      </w:r>
      <w:hyperlink r:id="rId2368">
        <w:r>
          <w:rPr>
            <w:color w:val="1155CC"/>
            <w:u w:val="single"/>
          </w:rPr>
          <w:t>担忧海豹因禽流感大量死亡，澳大利亚着手撤离亚南极科考站</w:t>
        </w:r>
      </w:hyperlink>
    </w:p>
    <w:p>
      <w:pPr>
        <w:spacing w:before="0" w:after="80"/>
      </w:pPr>
      <w:r>
        <w:rPr>
          <w:i/>
          <w:sz w:val="20"/>
        </w:rPr>
        <w:t>EN: Fearing seal die-off from bird flu, Australia moves to evacuate sub-Antarctic research station</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68">
        <w:r>
          <w:rPr>
            <w:color w:val="1155CC"/>
            <w:u w:val="single"/>
          </w:rPr>
          <w:t>10.1126/science.aem0441</w:t>
        </w:r>
      </w:hyperlink>
    </w:p>
    <w:p>
      <w:pPr>
        <w:spacing w:before="0" w:after="120"/>
      </w:pPr>
      <w:r>
        <w:rPr>
          <w:b/>
        </w:rPr>
        <w:t xml:space="preserve">Notes: </w:t>
      </w:r>
      <w:r>
        <w:t>abstract_source=crossref</w:t>
      </w:r>
    </w:p>
    <w:p>
      <w:pPr>
        <w:spacing w:before="0" w:after="80" w:lineRule="auto" w:line="276"/>
      </w:pPr>
      <w:r>
        <w:rPr>
          <w:b/>
        </w:rPr>
        <w:t xml:space="preserve">摘要（ZH）: </w:t>
      </w:r>
      <w:r>
        <w:t>官员称，目睹幼崽死亡可能会影响工作人员的心理健康</w:t>
      </w:r>
    </w:p>
    <w:p>
      <w:pPr>
        <w:spacing w:before="0" w:after="200" w:lineRule="auto" w:line="276"/>
      </w:pPr>
      <w:r>
        <w:rPr>
          <w:b/>
        </w:rPr>
        <w:t xml:space="preserve">Abstract (EN): </w:t>
      </w:r>
      <w:r>
        <w:t>Watching pups’ deaths could affect the mental health of staff, officials say</w:t>
      </w:r>
    </w:p>
    <w:p>
      <w:pPr>
        <w:spacing w:before="120" w:after="120"/>
      </w:pPr>
      <w:r>
        <w:rPr>
          <w:sz w:val="18"/>
        </w:rPr>
        <w:t>——————————————————————————————————————————————————————————————————————</w:t>
      </w:r>
    </w:p>
    <w:p>
      <w:pPr>
        <w:spacing w:before="160" w:after="40" w:line="240" w:lineRule="auto"/>
      </w:pPr>
      <w:r>
        <w:rPr>
          <w:b/>
        </w:rPr>
        <w:t xml:space="preserve">[1459] </w:t>
      </w:r>
      <w:hyperlink r:id="rId2407">
        <w:r>
          <w:rPr>
            <w:color w:val="1155CC"/>
            <w:u w:val="single"/>
          </w:rPr>
          <w:t>研究论文“下丘脑时钟调控昼夜节律性疼痛”的更正</w:t>
        </w:r>
      </w:hyperlink>
    </w:p>
    <w:p>
      <w:pPr>
        <w:spacing w:before="0" w:after="80"/>
      </w:pPr>
      <w:r>
        <w:rPr>
          <w:i/>
          <w:sz w:val="20"/>
        </w:rPr>
        <w:t>EN: Erratum for the Research Article “Hypothalamic clock governs circadian pain”</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407">
        <w:r>
          <w:rPr>
            <w:color w:val="1155CC"/>
            <w:u w:val="single"/>
          </w:rPr>
          <w:t>10.1126/science.ael2773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[1460] </w:t>
      </w:r>
      <w:hyperlink r:id="rId2356">
        <w:r>
          <w:rPr>
            <w:color w:val="1155CC"/>
            <w:u w:val="single"/>
          </w:rPr>
          <w:t>为重工业构建可扩展的气候联盟</w:t>
        </w:r>
      </w:hyperlink>
    </w:p>
    <w:p>
      <w:pPr>
        <w:spacing w:before="0" w:after="80"/>
      </w:pPr>
      <w:r>
        <w:rPr>
          <w:i/>
          <w:sz w:val="20"/>
        </w:rPr>
        <w:t>EN: Building a scalable climate coalition for heavy industry</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56">
        <w:r>
          <w:rPr>
            <w:color w:val="1155CC"/>
            <w:u w:val="single"/>
          </w:rPr>
          <w:t>10.1126/science.aef7190</w:t>
        </w:r>
      </w:hyperlink>
    </w:p>
    <w:p>
      <w:pPr>
        <w:spacing w:before="0" w:after="120"/>
      </w:pPr>
      <w:r>
        <w:rPr>
          <w:b/>
        </w:rPr>
        <w:t xml:space="preserve">Notes: </w:t>
      </w:r>
      <w:r>
        <w:t>abstract_source=crossref</w:t>
      </w:r>
    </w:p>
    <w:p>
      <w:pPr>
        <w:spacing w:before="0" w:after="80" w:lineRule="auto" w:line="276"/>
      </w:pPr>
      <w:r>
        <w:rPr>
          <w:b/>
        </w:rPr>
        <w:t xml:space="preserve">摘要（ZH）: </w:t>
      </w:r>
      <w:r>
        <w:t>可以减少排放，对生产影响最小，同时产生数十亿美元的公共收入</w:t>
      </w:r>
    </w:p>
    <w:p>
      <w:pPr>
        <w:spacing w:before="0" w:after="200" w:lineRule="auto" w:line="276"/>
      </w:pPr>
      <w:r>
        <w:rPr>
          <w:b/>
        </w:rPr>
        <w:t xml:space="preserve">Abstract (EN): </w:t>
      </w:r>
      <w:r>
        <w:t>Emissions could be reduced, with minimal impact on production, while generating billions in public revenues</w:t>
      </w:r>
    </w:p>
    <w:p>
      <w:pPr>
        <w:spacing w:before="120" w:after="120"/>
      </w:pPr>
      <w:r>
        <w:rPr>
          <w:sz w:val="18"/>
        </w:rPr>
        <w:t>——————————————————————————————————————————————————————————————————————</w:t>
      </w:r>
    </w:p>
    <w:p>
      <w:pPr>
        <w:spacing w:before="160" w:after="40" w:line="240" w:lineRule="auto"/>
      </w:pPr>
      <w:r>
        <w:rPr>
          <w:b/>
        </w:rPr>
        <w:t xml:space="preserve">[1461] </w:t>
      </w:r>
      <w:hyperlink r:id="rId2344">
        <w:r>
          <w:rPr>
            <w:color w:val="1155CC"/>
            <w:u w:val="single"/>
          </w:rPr>
          <w:t>生命早期艰难梭菌定植重塑发育中的肠道</w:t>
        </w:r>
      </w:hyperlink>
    </w:p>
    <w:p>
      <w:pPr>
        <w:spacing w:before="0" w:after="80"/>
      </w:pPr>
      <w:r>
        <w:rPr>
          <w:i/>
          <w:sz w:val="20"/>
        </w:rPr>
        <w:t>EN: Early-life colonization with Clostridioides difficile remodels the developing gut</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44">
        <w:r>
          <w:rPr>
            <w:color w:val="1155CC"/>
            <w:u w:val="single"/>
          </w:rPr>
          <w:t>10.1126/science.ady2886</w:t>
        </w:r>
      </w:hyperlink>
    </w:p>
    <w:p>
      <w:pPr>
        <w:spacing w:before="0" w:after="120"/>
      </w:pPr>
      <w:r>
        <w:rPr>
          <w:b/>
        </w:rPr>
        <w:t xml:space="preserve">Notes: </w:t>
      </w:r>
      <w:r>
        <w:t>abstract_source=crossref</w:t>
      </w:r>
    </w:p>
    <w:p>
      <w:pPr>
        <w:spacing w:before="0" w:after="80" w:lineRule="auto" w:line="276"/>
      </w:pPr>
      <w:r>
        <w:rPr>
          <w:b/>
        </w:rPr>
        <w:t xml:space="preserve">摘要（ZH）: </w:t>
      </w:r>
      <w:r>
        <w:t>艰难梭菌会在成人中引起严重疾病，但通常在无症状的情况下定植于婴儿。生命早期定植对宿主发育的影响仍然未知。在新生小鼠模型中，艰难梭菌定植促进了肠上皮的促炎和组织修复反应，丰富了损伤相关的肠干细胞群，并使分化偏向分泌谱系。尽管有短暂的定植，但生命早期接触艰难梭菌会导致成年后的持续变化。上皮反应是毒素依赖性的，因为非产毒菌株的定植或母体接种艰难梭菌靶向信使 RNA-脂质纳米颗粒疫苗可以保护新生儿。人类婴儿肠上皮细胞对艰难梭菌毒素敏感，定植婴儿的活检显示肠干细胞行为发生改变。这项研究将艰难梭菌重新定义为一种未被充分认识的早期病原体，对宿主发育具有持久影响。</w:t>
      </w:r>
    </w:p>
    <w:p>
      <w:pPr>
        <w:spacing w:before="0" w:after="200" w:lineRule="auto" w:line="276"/>
      </w:pPr>
      <w:r>
        <w:rPr>
          <w:b/>
        </w:rPr>
        <w:t xml:space="preserve">Abstract (EN): </w:t>
      </w:r>
      <w:r>
        <w:t>Clostridioides difficile causes severe disease in adults but commonly colonizes infants asymptomatically. The consequences of early-life colonization on host development remain unknown. In a neonatal mouse model, C. difficile colonization drove proinflammatory and tissue repair responses in the intestinal epithelium, enriching injury-associated intestinal stem cell populations and skewing differentiation toward secretory lineages. Despite transient colonization, exposure to C. difficile early in life led to persistent changes into adulthood. Epithelial responses were toxin dependent, as colonization with nontoxigenic strains or maternal vaccination with a C. difficile –targeted messenger RNA–lipid nanoparticle vaccine protected neonates. Human infant intestinal epithelial cells were sensitive to C. difficile toxins, and biopsies from colonized infants exhibited altered intestinal stem cell behavior. This study redefines C. difficile as an underappreciated early-life pathogen with lasting effects on host development.</w:t>
      </w:r>
    </w:p>
    <w:p>
      <w:pPr>
        <w:spacing w:before="120" w:after="120"/>
      </w:pPr>
      <w:r>
        <w:rPr>
          <w:sz w:val="18"/>
        </w:rPr>
        <w:t>——————————————————————————————————————————————————————————————————————</w:t>
      </w:r>
    </w:p>
    <w:p>
      <w:pPr>
        <w:spacing w:before="160" w:after="40" w:line="240" w:lineRule="auto"/>
      </w:pPr>
      <w:r>
        <w:rPr>
          <w:b/>
        </w:rPr>
        <w:t xml:space="preserve">[1462] </w:t>
      </w:r>
      <w:hyperlink r:id="rId2374">
        <w:r>
          <w:rPr>
            <w:color w:val="1155CC"/>
            <w:u w:val="single"/>
          </w:rPr>
          <w:t>丘脑NRXN1介导的向人皮层祖细胞的输入驱动兴奋性神经发生</w:t>
        </w:r>
      </w:hyperlink>
    </w:p>
    <w:p>
      <w:pPr>
        <w:spacing w:before="0" w:after="80"/>
      </w:pPr>
      <w:r>
        <w:rPr>
          <w:i/>
          <w:sz w:val="20"/>
        </w:rPr>
        <w:t>EN: Thalamic NRXN1-mediated input to human cortical progenitors drives excitatory neurogenesis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74">
        <w:r>
          <w:rPr>
            <w:color w:val="1155CC"/>
            <w:u w:val="single"/>
          </w:rPr>
          <w:t>10.1126/science.ady5180</w:t>
        </w:r>
      </w:hyperlink>
    </w:p>
    <w:p>
      <w:pPr>
        <w:spacing w:before="0" w:after="120"/>
      </w:pPr>
      <w:r>
        <w:rPr>
          <w:b/>
        </w:rPr>
        <w:t xml:space="preserve">Notes: </w:t>
      </w:r>
      <w:r>
        <w:t>abstract_source=crossref</w:t>
      </w:r>
    </w:p>
    <w:p>
      <w:pPr>
        <w:spacing w:before="0" w:after="80" w:lineRule="auto" w:line="276"/>
      </w:pPr>
      <w:r>
        <w:rPr>
          <w:b/>
        </w:rPr>
        <w:t xml:space="preserve">摘要（ZH）: </w:t>
      </w:r>
      <w:r>
        <w:t>人类大脑皮层通过来自皮层内部和其他大脑区域（包括丘脑）的协调信号而发育。然而，丘脑神经元投射如何影响早期人类皮质发育仍然不太清楚。在这项研究中，我们融合了皮质和丘脑类器官，以研究丘脑输入如何影响人类皮质细胞的成熟。使用单核 RNA 测序和细胞成像，我们发现丘脑输入增加了皮质兴奋性神经元的产生。我们确定 neurexin-1 (NRXN1) 是丘脑轴突和皮质外放射状胶质细胞之间物理接触的介体。丘脑 NRXN1 的基因敲除减少了这些接触并减弱了上层兴奋性神经元的产生。这些发现揭示了丘脑输入调节人类皮质祖细胞并塑造发育过程中兴奋性神经元产生的机制。</w:t>
      </w:r>
    </w:p>
    <w:p>
      <w:pPr>
        <w:spacing w:before="0" w:after="200" w:lineRule="auto" w:line="276"/>
      </w:pPr>
      <w:r>
        <w:rPr>
          <w:b/>
        </w:rPr>
        <w:t xml:space="preserve">Abstract (EN): </w:t>
      </w:r>
      <w:r>
        <w:t>The human cerebral cortex develops through coordinated signals from within the cortex and from other brain regions, including the thalamus. However, how thalamic neuronal projections influence early human cortical development remains less well-understood. In this study, we fused cortical and thalamic organoids to investigate how thalamic input shapes the maturation of human cortical cells. Using single-nuclei RNA-sequencing and cellular imaging, we found that thalamic input increases the production of cortical excitatory neurons. We identify neurexin-1 (NRXN1) as a mediator of physical contact between thalamic axons and cortical outer radial glia. Genetic knockout of thalamic NRXN1 reduced these contacts and attenuated the production of upper-layer excitatory neurons. These findings reveal a mechanism by which thalamic input regulates human cortical progenitors and shapes excitatory neuron production during development.</w:t>
      </w:r>
    </w:p>
    <w:p>
      <w:pPr>
        <w:spacing w:before="120" w:after="120"/>
      </w:pPr>
      <w:r>
        <w:rPr>
          <w:sz w:val="18"/>
        </w:rPr>
        <w:t>——————————————————————————————————————————————————————————————————————</w:t>
      </w:r>
    </w:p>
    <w:p>
      <w:pPr>
        <w:spacing w:before="160" w:after="40" w:line="240" w:lineRule="auto"/>
      </w:pPr>
      <w:r>
        <w:rPr>
          <w:b/>
        </w:rPr>
        <w:t xml:space="preserve">[1463] </w:t>
      </w:r>
      <w:hyperlink r:id="rId2360">
        <w:r>
          <w:rPr>
            <w:color w:val="1155CC"/>
            <w:u w:val="single"/>
          </w:rPr>
          <w:t>Ni催化下腙参与的异戊二烯配体调控发散性调聚反应与氢官能化反应</w:t>
        </w:r>
      </w:hyperlink>
    </w:p>
    <w:p>
      <w:pPr>
        <w:spacing w:before="0" w:after="80"/>
      </w:pPr>
      <w:r>
        <w:rPr>
          <w:i/>
          <w:sz w:val="20"/>
        </w:rPr>
        <w:t>EN: Ligand‐Controlled Chemodivergent Telomerization and Hydrofunctionalization of Isoprene With Hydrazones Under Ni Catalysis</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2360">
        <w:r>
          <w:rPr>
            <w:color w:val="1155CC"/>
            <w:u w:val="single"/>
          </w:rPr>
          <w:t>10.1002/anie.4023427</w:t>
        </w:r>
      </w:hyperlink>
    </w:p>
    <w:p>
      <w:pPr>
        <w:spacing w:before="0" w:after="120"/>
      </w:pPr>
      <w:r>
        <w:rPr>
          <w:b/>
        </w:rPr>
        <w:t xml:space="preserve">Notes: </w:t>
      </w:r>
      <w:r>
        <w:t>abstract_source=crossref</w:t>
      </w:r>
    </w:p>
    <w:p>
      <w:pPr>
        <w:spacing w:before="0" w:after="80" w:lineRule="auto" w:line="276"/>
      </w:pPr>
      <w:r>
        <w:rPr>
          <w:b/>
        </w:rPr>
        <w:t xml:space="preserve">摘要（ZH）: </w:t>
      </w:r>
      <w:r>
        <w:t>摘要 萜类化合物是结构最多样化和生物学相关的天然产物家族之一，但使用散装原料开发可控仿生合成策略仍然是一个严峻的挑战。异戊二烯是一种丰富且原子经济的结构单元，对于萜类化合物的合成具有巨大的前景，但其四个电子和空间相似的烯属碳通常导致催化转化中的区域选择性差和不可控的化学选择性。在这项研究中，我们报道了一种用于构建萜类化合物的镍催化化学发散调聚和氢官能化反应，其中精确的配体控制能够选择性地调节反应性。利用腙介导的羰基反相反应中苄基的原位形成，具有大空间位阻和给电子特性的三芳基膦配体促进调聚，而氢官能化则受益于体积较小的吸电子三芳基膦配体和 BEt 3 的组合。机理研究和密度泛函理论计算验证了配体空间和电子控制的化学选择性，以及 BEt 3 在增强区域选择性中的作用。此外，该方案创造了一系列增值萜类化合物，所有这些都适合进一步的结构衍生化。这种温和、操作简单的催化歧管能够轻松获得非天然萜类化合物，并拓宽萜烯框架的可利用化学空间。</w:t>
      </w:r>
    </w:p>
    <w:p>
      <w:pPr>
        <w:spacing w:before="0" w:after="200" w:lineRule="auto" w:line="276"/>
      </w:pPr>
      <w:r>
        <w:rPr>
          <w:b/>
        </w:rPr>
        <w:t xml:space="preserve">Abstract (EN): </w:t>
      </w:r>
      <w:r>
        <w:t>Terpenoids represent one of the most structurally diverse and biologically relevant families of natural products, yet the development of controllable biomimetic synthetic strategies using bulk feedstocks remains a critical challenge. Isoprene, an abundant and atom‐economical building block, holds great promise for terpenoid synthesis, but its four electronically and sterically similar olefinic carbons generally lead to poor regioselectivity and uncontrollable chemoselectivity in catalytic transformations. In this study, we reported a nickel‐catalyzed chemodivergent telomerization and hydrofunctionalization reaction for constructing terpenoids, wherein precise ligand control enables selective reactivity tuning. Leveraging the in situ formation of benzyl group from hydrazone‐mediated carbonyl umpolung reaction, telomerization is promoted by triarylphosphine ligand featuring both large steric hindrance and electron‐donating characteristics, while hydrofunctionalization benefits from the combination of less bulky, electron‐withdrawing triarylphosphine ligand and BEt 3 . Mechanistic studies and density functional theory calculations validate the chemoselectivity governed by ligand sterics and electronics, as well as the role of BEt 3 in enhancing regioselectivity. Moreover, this protocol created a series of value‐added terpenoids, all of which are amenable to further structural derivatizations. This mild, operationally simple catalytic manifold enables facile access to unnatural terpenoids and broadens the accessible chemical space of terpene frameworks.</w:t>
      </w:r>
    </w:p>
    <w:p>
      <w:pPr>
        <w:spacing w:before="120" w:after="120"/>
      </w:pPr>
      <w:r>
        <w:rPr>
          <w:sz w:val="18"/>
        </w:rPr>
        <w:t>——————————————————————————————————————————————————————————————————————</w:t>
      </w:r>
    </w:p>
    <w:p>
      <w:pPr>
        <w:spacing w:before="160" w:after="40" w:line="240" w:lineRule="auto"/>
      </w:pPr>
      <w:r>
        <w:rPr>
          <w:b/>
        </w:rPr>
        <w:t xml:space="preserve">[1464] </w:t>
      </w:r>
      <w:hyperlink r:id="rId2312">
        <w:r>
          <w:rPr>
            <w:color w:val="1155CC"/>
            <w:u w:val="single"/>
          </w:rPr>
          <w:t>老年人群队列中基因表达与代谢组学的纵向动态</w:t>
        </w:r>
      </w:hyperlink>
    </w:p>
    <w:p>
      <w:pPr>
        <w:spacing w:before="0" w:after="80"/>
      </w:pPr>
      <w:r>
        <w:rPr>
          <w:i/>
          <w:sz w:val="20"/>
        </w:rPr>
        <w:t>EN: Longitudinal dynamics of gene expression and metabolomics in an aging population cohort</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12">
        <w:r>
          <w:rPr>
            <w:color w:val="1155CC"/>
            <w:u w:val="single"/>
          </w:rPr>
          <w:t>10.1126/science.aed6452</w:t>
        </w:r>
      </w:hyperlink>
    </w:p>
    <w:p>
      <w:pPr>
        <w:spacing w:before="0" w:after="120"/>
      </w:pPr>
      <w:r>
        <w:rPr>
          <w:b/>
        </w:rPr>
        <w:t xml:space="preserve">Notes: </w:t>
      </w:r>
      <w:r>
        <w:t>abstract_source=crossref</w:t>
      </w:r>
    </w:p>
    <w:p>
      <w:pPr>
        <w:spacing w:before="0" w:after="80" w:lineRule="auto" w:line="276"/>
      </w:pPr>
      <w:r>
        <w:rPr>
          <w:b/>
        </w:rPr>
        <w:t xml:space="preserve">摘要（ZH）: </w:t>
      </w:r>
      <w:r>
        <w:t>多组学分析提供了分子水平上的全面生理学概述，但对其时空动态的了解在人类群体中仍然有限。我们对 8 年来 335 名女性的纵向全血基因表达和代谢水平进行了分析。 5061 个基因和 181 种代谢物的水平随着时间的推移而发生变化，个体的轨迹往往与群体水平的趋势不同。纵向可变基因显示出细胞类型特异性和衰老相关途径的富集，包括心脏代谢和神经退行性疾病。纵向轨迹进一步受到遗传、昼夜节律、季节性和环境污染物暴露的影响。综合分析揭示了广泛的静态和时变的跨组学连接。纵向分析可以在分子水平上洞察与年龄相关的疾病的时间演变，并且了解这些纵向模式内的个体差异对于未来的精准医学方法至关重要。</w:t>
      </w:r>
    </w:p>
    <w:p>
      <w:pPr>
        <w:spacing w:before="0" w:after="200" w:lineRule="auto" w:line="276"/>
      </w:pPr>
      <w:r>
        <w:rPr>
          <w:b/>
        </w:rPr>
        <w:t xml:space="preserve">Abstract (EN): </w:t>
      </w:r>
      <w:r>
        <w:t>Multiomic profiling provides a comprehensive physiological overview at the molecular level, but understanding of its spatiotemporal dynamics remains limited in human populations. We profiled longitudinal whole-blood gene expression and metabolite levels in 335 females over 8 years. Levels of 5061 genes and 181 metabolites changed over time, with individual trajectories often diverging from population-level trends. Longitudinally variable genes showed cell type specificity and enrichment for aging-relevant pathways, including cardiometabolic and neurodegenerative disorders. Longitudinal trajectories were further shaped by genetics, circadian rhythm, seasonality, and environmental pollutant exposures. Integrative analyses revealed extensive static and time-variable cross-omic connectivity. Longitudinal profiling offers insight into the temporal evolution of age-related conditions at the molecular level, and understanding individual variation within these longitudinal patterns will be essential for future precision medicine approaches.</w:t>
      </w:r>
    </w:p>
    <w:p>
      <w:pPr>
        <w:spacing w:before="120" w:after="120"/>
      </w:pPr>
      <w:r>
        <w:rPr>
          <w:sz w:val="18"/>
        </w:rPr>
        <w:t>——————————————————————————————————————————————————————————————————————</w:t>
      </w:r>
    </w:p>
    <w:p>
      <w:pPr>
        <w:spacing w:before="160" w:after="40" w:line="240" w:lineRule="auto"/>
      </w:pPr>
      <w:r>
        <w:rPr>
          <w:b/>
        </w:rPr>
        <w:t xml:space="preserve">[1465] </w:t>
      </w:r>
      <w:hyperlink r:id="rId2342">
        <w:r>
          <w:rPr>
            <w:color w:val="1155CC"/>
            <w:u w:val="single"/>
          </w:rPr>
          <w:t>锁定取向分子偶极</w:t>
        </w:r>
      </w:hyperlink>
    </w:p>
    <w:p>
      <w:pPr>
        <w:spacing w:before="0" w:after="80"/>
      </w:pPr>
      <w:r>
        <w:rPr>
          <w:i/>
          <w:sz w:val="20"/>
        </w:rPr>
        <w:t>EN: Locking aligned molecular dipoles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42">
        <w:r>
          <w:rPr>
            <w:color w:val="1155CC"/>
            <w:u w:val="single"/>
          </w:rPr>
          <w:t>10.1126/science.aek6900</w:t>
        </w:r>
      </w:hyperlink>
    </w:p>
    <w:p>
      <w:pPr>
        <w:spacing w:before="0" w:after="120"/>
      </w:pPr>
      <w:r>
        <w:rPr>
          <w:b/>
        </w:rPr>
        <w:t xml:space="preserve">Notes: </w:t>
      </w:r>
      <w:r>
        <w:t>abstract_source=crossref</w:t>
      </w:r>
    </w:p>
    <w:p>
      <w:pPr>
        <w:spacing w:before="0" w:after="80" w:lineRule="auto" w:line="276"/>
      </w:pPr>
      <w:r>
        <w:rPr>
          <w:b/>
        </w:rPr>
        <w:t xml:space="preserve">摘要（ZH）: </w:t>
      </w:r>
      <w:r>
        <w:t>分子构建块自发组织成具有大表面电势的薄膜</w:t>
      </w:r>
    </w:p>
    <w:p>
      <w:pPr>
        <w:spacing w:before="0" w:after="200" w:lineRule="auto" w:line="276"/>
      </w:pPr>
      <w:r>
        <w:rPr>
          <w:b/>
        </w:rPr>
        <w:t xml:space="preserve">Abstract (EN): </w:t>
      </w:r>
      <w:r>
        <w:t>Molecular building blocks spontaneously organize into a thin film with a large surface potential</w:t>
      </w:r>
    </w:p>
    <w:p>
      <w:pPr>
        <w:spacing w:before="120" w:after="120"/>
      </w:pPr>
      <w:r>
        <w:rPr>
          <w:sz w:val="18"/>
        </w:rPr>
        <w:t>——————————————————————————————————————————————————————————————————————</w:t>
      </w:r>
    </w:p>
    <w:p>
      <w:pPr>
        <w:spacing w:before="160" w:after="40" w:line="240" w:lineRule="auto"/>
      </w:pPr>
      <w:r>
        <w:rPr>
          <w:b/>
        </w:rPr>
        <w:t xml:space="preserve">[1466] </w:t>
      </w:r>
      <w:hyperlink r:id="rId2244">
        <w:r>
          <w:rPr>
            <w:color w:val="1155CC"/>
            <w:u w:val="single"/>
          </w:rPr>
          <w:t>胚胎来源的肽信号指导拟南芥胚乳的极性建立</w:t>
        </w:r>
      </w:hyperlink>
    </w:p>
    <w:p>
      <w:pPr>
        <w:spacing w:before="0" w:after="80"/>
      </w:pPr>
      <w:r>
        <w:rPr>
          <w:i/>
          <w:sz w:val="20"/>
        </w:rPr>
        <w:t>EN: An embryo-derived peptide signal directs endosperm polarity in Arabidopsis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244">
        <w:r>
          <w:rPr>
            <w:color w:val="1155CC"/>
            <w:u w:val="single"/>
          </w:rPr>
          <w:t>10.1126/science.aed6035</w:t>
        </w:r>
      </w:hyperlink>
    </w:p>
    <w:p>
      <w:pPr>
        <w:spacing w:before="0" w:after="120"/>
      </w:pPr>
      <w:r>
        <w:rPr>
          <w:b/>
        </w:rPr>
        <w:t xml:space="preserve">Notes: </w:t>
      </w:r>
      <w:r>
        <w:t>abstract_source=crossref</w:t>
      </w:r>
    </w:p>
    <w:p>
      <w:pPr>
        <w:spacing w:before="0" w:after="80" w:lineRule="auto" w:line="276"/>
      </w:pPr>
      <w:r>
        <w:rPr>
          <w:b/>
        </w:rPr>
        <w:t xml:space="preserve">摘要（ZH）: </w:t>
      </w:r>
      <w:r>
        <w:t>被子植物种子的形成需要双重受精的产物——胚胎和胚乳的协调发育。胚乳介导从周围母体组织到发育中胚胎的有效营养转移。该功能需要极化的组织组织，表现为早期的极性基因表达和极性细胞化动力学。我们发现受体激酶 HAIKU2 (IKU2) 与转录因子 WRKY10/MINISEED3 (MINI3) 协同作用，通过同源结构域转录因子 WUSCHEL 相关同源盒 8 (WOX8) 和 WOX9 的活性确保稳健的胚乳极性建立。该过程取决于卵细胞受精，并通过肽类病原体诱导肽 7 (PIPL7) 介导，PIPL7 可作为潜在的 IKU2 配体。我们的结果揭示了胚胎和胚乳之间的分子旁分泌对话如何确保最佳的种子发育协调。</w:t>
      </w:r>
    </w:p>
    <w:p>
      <w:pPr>
        <w:spacing w:before="0" w:after="200" w:lineRule="auto" w:line="276"/>
      </w:pPr>
      <w:r>
        <w:rPr>
          <w:b/>
        </w:rPr>
        <w:t xml:space="preserve">Abstract (EN): </w:t>
      </w:r>
      <w:r>
        <w:t>Angiosperm seed formation requires the coordinated development of the products of double fertilization—the embryo and the endosperm. The endosperm mediates efficient nutrient transfer from surrounding maternal tissues to the developing embryo. This function requires a polarized tissue organization, which manifests as early polar gene expression and polar cellularization dynamics. We show that the receptor kinase HAIKU2 (IKU2) acts in coordination with the transcription factor WRKY10/MINISEED3 (MINI3) to ensure robust endosperm polarity establishment through the activity of the homeodomain transcription factors WUSCHEL-RELATED HOMEOBOX 8 (WOX8) and WOX9. This process depends on egg cell fertilization and is mediated through the peptide PATHOGEN-INDUCED PEPTIDE–LIKE 7 (PIPL7), which acts as a potential IKU2 ligand. Our results reveal how a molecular paracrine dialog between the embryo and endosperm ensures optimal seed developmental coordination.</w:t>
      </w:r>
    </w:p>
    <w:p>
      <w:pPr>
        <w:spacing w:before="120" w:after="120"/>
      </w:pPr>
      <w:r>
        <w:rPr>
          <w:sz w:val="18"/>
        </w:rPr>
        <w:t>——————————————————————————————————————————————————————————————————————</w:t>
      </w:r>
    </w:p>
    <w:p>
      <w:pPr>
        <w:spacing w:before="160" w:after="40" w:line="240" w:lineRule="auto"/>
      </w:pPr>
      <w:r>
        <w:rPr>
          <w:b/>
        </w:rPr>
        <w:t xml:space="preserve">[1467] </w:t>
      </w:r>
      <w:hyperlink r:id="rId2408">
        <w:r>
          <w:rPr>
            <w:color w:val="1155CC"/>
            <w:u w:val="single"/>
          </w:rPr>
          <w:t>手性富集碳纳米管中具有栅极可调光响应的应变工程分子内结</w:t>
        </w:r>
      </w:hyperlink>
    </w:p>
    <w:p>
      <w:pPr>
        <w:spacing w:before="0" w:after="80"/>
      </w:pPr>
      <w:r>
        <w:rPr>
          <w:i/>
          <w:sz w:val="20"/>
        </w:rPr>
        <w:t>EN: Strain-Engineered Intramolecular Junctions in Chirality-Enriched Carbon Nanotubes with Gate-Tunable Photoresponse</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388">
        <w:r>
          <w:rPr>
            <w:color w:val="1155CC"/>
            <w:u w:val="single"/>
          </w:rPr>
          <w:t>10.1021/acsami.6c07783</w:t>
        </w:r>
      </w:hyperlink>
    </w:p>
    <w:p>
      <w:pPr>
        <w:spacing w:before="0" w:after="120"/>
      </w:pPr>
      <w:r>
        <w:rPr>
          <w:b/>
        </w:rPr>
        <w:t xml:space="preserve">Notes: </w:t>
      </w:r>
      <w:r>
        <w:t>abstract_source=crossref</w:t>
      </w:r>
    </w:p>
    <w:p>
      <w:pPr>
        <w:spacing w:before="0" w:after="80" w:lineRule="auto" w:line="276"/>
      </w:pPr>
      <w:r>
        <w:rPr>
          <w:b/>
        </w:rPr>
        <w:t xml:space="preserve">摘要（ZH）: </w:t>
      </w:r>
      <w:r>
        <w:t>摘要 应变工程是调控半导体电子和光学性质的关键方法，从而在低维材料中实现能带工程。在这项工作中，我们报道了一种基于手性富集单壁碳纳米管（SWCNTs）的应变工程光电探测结构，可实现手性敏感的能带结构调制、分子内结（IMJ）形成以及栅极可调的光谱光响应。我们设计了高度可调的台阶结构，以在SWCNT IMJ器件中引入良好控制的单轴应变，从而系统地建立机械形变与光电子行为之间的关联。与外部应变通常引起带隙单调变化的传统块体材料或二维半导体不同，我们发现基于SWCNT IMJs的器件在单轴应变增加时表现出显著的、依赖于手性的光响应光谱变化。从光谱中提取的能带带隙在定量上遵循理论预测的应变-带隙关系，且不同手性指数呈现不同趋势。此外，静电栅极可对光电流幅度和光谱响应轮廓进行连续调控，显示器件光响应的主动调制。这些结果表明，手性富集SWCNT薄膜中的应变工程IMJs可作为能带工程和栅极可调光响应的通用方法，为多功能、可重构的低维器件提供了实用途径。</w:t>
      </w:r>
    </w:p>
    <w:p>
      <w:pPr>
        <w:spacing w:before="0" w:after="200" w:lineRule="auto" w:line="276"/>
      </w:pPr>
      <w:r>
        <w:rPr>
          <w:b/>
        </w:rPr>
        <w:t xml:space="preserve">Abstract (EN): </w:t>
      </w:r>
      <w:r>
        <w:t>Strain engineering serves as a pivotal method for modulating the electronic and optical properties of semiconductors, thereby realizing energy band engineering in low-dimensional materials. In this work, we report a strain-engineered photodetection architecture based on chirality-enriched single-walled carbon nanotubes (SWCNTs) that enables chirality-sensitive energy-band structure modulation, intramolecular junction (IMJ) formation, and gate-tunable spectral photoresponse. Height-tunable step structures are designed to introduce well-controlled uniaxial strain in SWCNT IMJ devices, allowing systematic correlation between mechanical deformation and optoelectronic behavior. Unlike conventional bulk materials or two-dimensional semiconductors, for which external strain typically induces a monotonic shift of their bandgaps, we find that devices based on SWCNT IMJs exhibit pronounced, chirality-dependent changes in photoresponse spectra under increasing uniaxial strain. The energy bandgaps extracted from spectra quantitatively follow the theoretically predicted strain–bandgap relationships with various trends for different chiral indices. Furthermore, electrostatic gating provides continuous tunability of both photocurrent amplitude and spectral response profile, showing active modulation of device photoresponse. These results demonstrate that strain-engineered IMJs in chirality-enriched SWCNT films can serve as a general method for energy band engineering and gate-tunable photoresponse, offering a practical route toward multifunctional and reconfigurable low-dimensional optoelectronic devices.</w:t>
      </w:r>
    </w:p>
    <w:p>
      <w:pPr>
        <w:spacing w:before="120" w:after="120"/>
      </w:pPr>
      <w:r>
        <w:rPr>
          <w:sz w:val="18"/>
        </w:rPr>
        <w:t>——————————————————————————————————————————————————————————————————————</w:t>
      </w:r>
    </w:p>
    <w:p>
      <w:pPr>
        <w:spacing w:before="160" w:after="40" w:line="240" w:lineRule="auto"/>
      </w:pPr>
      <w:r>
        <w:rPr>
          <w:b/>
        </w:rPr>
        <w:t xml:space="preserve">[1468] </w:t>
      </w:r>
      <w:hyperlink r:id="rId2409">
        <w:r>
          <w:rPr>
            <w:color w:val="1155CC"/>
            <w:u w:val="single"/>
          </w:rPr>
          <w:t>表面处理对氟化硅酞菁有机混合离子-电子导体影响的评估</w:t>
        </w:r>
      </w:hyperlink>
    </w:p>
    <w:p>
      <w:pPr>
        <w:spacing w:before="0" w:after="80"/>
      </w:pPr>
      <w:r>
        <w:rPr>
          <w:i/>
          <w:sz w:val="20"/>
        </w:rPr>
        <w:t>EN: Evaluating the Impact of Surface Treatments on a Fluorinated Silicon Phthalocyanine Organic Mixed Ionic-Electronic Conductor</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387">
        <w:r>
          <w:rPr>
            <w:color w:val="1155CC"/>
            <w:u w:val="single"/>
          </w:rPr>
          <w:t>10.1021/acsami.6c11871</w:t>
        </w:r>
      </w:hyperlink>
    </w:p>
    <w:p>
      <w:pPr>
        <w:spacing w:before="0" w:after="120"/>
      </w:pPr>
      <w:r>
        <w:rPr>
          <w:b/>
        </w:rPr>
        <w:t xml:space="preserve">Notes: </w:t>
      </w:r>
      <w:r>
        <w:t>abstract_source=crossref</w:t>
      </w:r>
    </w:p>
    <w:p>
      <w:pPr>
        <w:spacing w:before="0" w:after="80" w:lineRule="auto" w:line="276"/>
      </w:pPr>
      <w:r>
        <w:rPr>
          <w:b/>
        </w:rPr>
        <w:t xml:space="preserve">摘要（ZH）: </w:t>
      </w:r>
      <w:r>
        <w:t>摘要 小分子有机混合离子-电子导体（OMIECs）因其批次间差异极小，为制备可靠的有机电化学晶体管（OECTs）提供了一种有趣的聚合物替代方案。器件的环境稳定性和操作稳定性仍然是一个重要问题，尤其是在n型OMIECs中，这促使人们在分子设计上开发具有更低LUMO能级和更强分子间作用力的材料。在这项工作中，我们将一种可实现这些目标的常见策略——氟化——应用于我们先前开发的硅酞菁OMIEC，并以硅烷基表面处理为案例，研究表面处理对小分子OECTs性能的影响。与非氟化材料相比，在SiO2上制备的双(2-[2-(2-甲氧基乙氧基)乙氧基]乙酸酯)四氟硅酞菁（MEEA-F4SiPc）OECTs表现出更低的阈值电压（VT）0.406 ± 0.056 V以及更好的循环稳定性。表面处理使离子在溶胀过程中的吸收更快，这一点由EIS和拉曼光谱证实。尽管这通过更快的τon值使OECTs的瞬态特性略有改善，但其稳态特性并未改变。本研究表明表面处理是提升小分子OECTs性能的一种策略。</w:t>
      </w:r>
    </w:p>
    <w:p>
      <w:pPr>
        <w:spacing w:before="0" w:after="200" w:lineRule="auto" w:line="276"/>
      </w:pPr>
      <w:r>
        <w:rPr>
          <w:b/>
        </w:rPr>
        <w:t xml:space="preserve">Abstract (EN): </w:t>
      </w:r>
      <w:r>
        <w:t>Small-molecule organic mixed ionic-electronic conductors (OMIECs) offer an interesting alternative to polymers for the fabrication of reliable organic electrochemical transistors (OECTs) thanks to their minimal batch-to-batch variability. The environmental and operational stability of the devices remains a significant issue, particularly in n-type OMIECs, prompting the molecular design of materials with lower LUMO levels and tighter intermolecular forces. In this work, we apply a common strategy that achieves these goals, fluorination, to our previously developed silicon phthalocyanine OMIEC and use silane-based surface treatments as a case study for the effect of surface treatment on the performance of small-molecule OECTs. When compared to the non-fluorinated material, bis(2-[2-(2-methoxyethoxy)ethoxy]acetate) silicon tetrafluoro phthalocyanine (MEEA-F4SiPc) OECTs fabricated on SiO2 demonstrate a lower threshold voltage (VT) at 0.406 ± 0.056 V and better cycling stability. Using surface treatments resulted in faster uptake of ions when swelling as evidenced by EIS and Raman spectroscopy. Though this also resulted in slight improvements in the transient characteristics of the OECTs through faster τon values, the steady-state characteristics of the OECTs were unchanged. This study suggests surface treatment as a strategy for improved small-molecule OECT performance.</w:t>
      </w:r>
    </w:p>
    <w:p>
      <w:pPr>
        <w:spacing w:before="120" w:after="120"/>
      </w:pPr>
      <w:r>
        <w:rPr>
          <w:sz w:val="18"/>
        </w:rPr>
        <w:t>——————————————————————————————————————————————————————————————————————</w:t>
      </w:r>
    </w:p>
    <w:p>
      <w:pPr>
        <w:spacing w:before="160" w:after="40" w:line="240" w:lineRule="auto"/>
      </w:pPr>
      <w:r>
        <w:rPr>
          <w:b/>
        </w:rPr>
        <w:t xml:space="preserve">[1469] </w:t>
      </w:r>
      <w:hyperlink r:id="rId2410">
        <w:r>
          <w:rPr>
            <w:color w:val="1155CC"/>
            <w:u w:val="single"/>
          </w:rPr>
          <w:t>利用高极性原子层沉积薄膜实现3D集成的自激活直接键合</w:t>
        </w:r>
      </w:hyperlink>
    </w:p>
    <w:p>
      <w:pPr>
        <w:spacing w:before="0" w:after="80"/>
      </w:pPr>
      <w:r>
        <w:rPr>
          <w:i/>
          <w:sz w:val="20"/>
        </w:rPr>
        <w:t>EN: Self-Activated Direct Bonding with a Highly Polar Atomic-Layer-Deposited Film for 3D Integration</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377">
        <w:r>
          <w:rPr>
            <w:color w:val="1155CC"/>
            <w:u w:val="single"/>
          </w:rPr>
          <w:t>10.1021/acsami.6c08143</w:t>
        </w:r>
      </w:hyperlink>
    </w:p>
    <w:p>
      <w:pPr>
        <w:spacing w:before="0" w:after="120"/>
      </w:pPr>
      <w:r>
        <w:rPr>
          <w:b/>
        </w:rPr>
        <w:t xml:space="preserve">Notes: </w:t>
      </w:r>
      <w:r>
        <w:t>abstract_source=crossref</w:t>
      </w:r>
    </w:p>
    <w:p>
      <w:pPr>
        <w:spacing w:before="0" w:after="80" w:lineRule="auto" w:line="276"/>
      </w:pPr>
      <w:r>
        <w:rPr>
          <w:b/>
        </w:rPr>
        <w:t xml:space="preserve">摘要（ZH）: </w:t>
      </w:r>
      <w:r>
        <w:t>摘要 我们报告了一种以前未知的键合方式：“自激活、无等离子体”直接晶圆键合，通过 300 毫米晶圆上的原子层沉积 (ALD) Al2O3 实现。直接键合是所有先进三维 (3D) 互补金属氧化物半导体 (CMOS) 和异质小芯片架构的基础，但电介质表面被认为需要强力等离子体激活或化学机械抛光 (CMP) 才能实现足够的反应性。我们的结果推翻了这个假设。 ALD-Al2O3 无需任何预处理即可自发形成牢固、无空隙的键合，为后续晶圆加工提供足够的实用键合性能。使用一整套界面探针（双悬臂梁测量、X射线光电子能谱、X射线反射率、热解吸光谱、水接触角动力学、超灵敏和频发生光谱和透射电子显微镜），我们发现了致密、高极性的Al-OH网络，该网络由Al3+的路易斯酸性和非晶低温ALD结构稳定，作为键形成的内在驱动力。无论排队时间如何，这些网络及其重新排列都会持续存在，从而创建从氢键连接到共价键合的稳健、无激活的途径。工艺级工程，包括沉积后退火 (PDA) 和氧化物缓冲插入，进一步提高了强度和可靠性。这一发现证明了使用低温 ALD-Al2O3 进行自激活、无等离子体键合的潜力，作为一种新途径</w:t>
      </w:r>
    </w:p>
    <w:p>
      <w:pPr>
        <w:spacing w:before="0" w:after="200" w:lineRule="auto" w:line="276"/>
      </w:pPr>
      <w:r>
        <w:rPr>
          <w:b/>
        </w:rPr>
        <w:t xml:space="preserve">Abstract (EN): </w:t>
      </w:r>
      <w:r>
        <w:t>We report a previously unknown bonding regime: “self-activated, plasma-free” direct wafer bonding, enabled by atomic-layer-deposited (ALD) Al2O3 on 300-mm wafers. Direct bonding underpins all advanced three-dimensional (3D) complementary metal-oxide-semiconductor (CMOS) and heterogeneous chiplet architectures, yet dielectric surfaces have been assumed to require aggressive plasma activation or chemical mechanical polishing (CMP) to achieve sufficient reactivity. Our results overturn this assumption. ALD-Al2O3 spontaneously forms strong, void-free bonds without any pre-treatment, delivering practical bonding performance sufficient for subsequent wafer processing. Using a comprehensive suite of interfacial probes (double-cantilever-beam measurements, X-ray photoelectron spectroscopy, X-ray reflectivity, thermal desorption spectroscopy, water-contact-angle dynamics, ultra-sensitive sum-frequency generation spectroscopy, and transmission electron microscopy), we uncover dense, highly polar Al–OH networks, stabilized by the Lewis acidity of Al3+ and the amorphous low-temperature ALD structure, as the intrinsic driver of bond formation. These networks and their rearrangement persist irrespective of queue time, creating a robust, activation-free pathway from hydrogen-bond attachment to covalent bonding. Process-level engineering, including post-deposition annealing (PDA) and oxide-buffer insertion, further boosts strength and reliability. This discovery demonstrates the potential of self-activated, plasma-free bonding using low-temperature ALD-Al2O3 as a new route toward simplified and damage-mitigated 3D integration and advanced semiconductor packaging.</w:t>
      </w:r>
    </w:p>
    <w:p>
      <w:pPr>
        <w:spacing w:before="120" w:after="120"/>
      </w:pPr>
      <w:r>
        <w:rPr>
          <w:sz w:val="18"/>
        </w:rPr>
        <w:t>——————————————————————————————————————————————————————————————————————</w:t>
      </w:r>
    </w:p>
    <w:p>
      <w:pPr>
        <w:spacing w:before="160" w:after="40" w:line="240" w:lineRule="auto"/>
      </w:pPr>
      <w:r>
        <w:rPr>
          <w:b/>
        </w:rPr>
        <w:t xml:space="preserve">[1470] </w:t>
      </w:r>
      <w:hyperlink r:id="rId2411">
        <w:r>
          <w:rPr>
            <w:color w:val="1155CC"/>
            <w:u w:val="single"/>
          </w:rPr>
          <w:t>通过内在燃料–氧化剂设计两步合成高能材料</w:t>
        </w:r>
      </w:hyperlink>
    </w:p>
    <w:p>
      <w:pPr>
        <w:spacing w:before="0" w:after="80"/>
      </w:pPr>
      <w:r>
        <w:rPr>
          <w:i/>
          <w:sz w:val="20"/>
        </w:rPr>
        <w:t>EN: Two-Step Access to High-Energy Materials via Intrinsic Fuel–Oxidizer Design</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403">
        <w:r>
          <w:rPr>
            <w:color w:val="1155CC"/>
            <w:u w:val="single"/>
          </w:rPr>
          <w:t>10.1021/acsami.6c14655</w:t>
        </w:r>
      </w:hyperlink>
    </w:p>
    <w:p>
      <w:pPr>
        <w:spacing w:before="0" w:after="120"/>
      </w:pPr>
      <w:r>
        <w:rPr>
          <w:b/>
        </w:rPr>
        <w:t xml:space="preserve">Notes: </w:t>
      </w:r>
      <w:r>
        <w:t>abstract_source=crossref</w:t>
      </w:r>
    </w:p>
    <w:p>
      <w:pPr>
        <w:spacing w:before="0" w:after="80" w:lineRule="auto" w:line="276"/>
      </w:pPr>
      <w:r>
        <w:rPr>
          <w:b/>
        </w:rPr>
        <w:t xml:space="preserve">摘要（ZH）: </w:t>
      </w:r>
      <w:r>
        <w:t>摘要 平衡高性能与合成可及性的先进含能材料的开发仍然是航空航天和国防应用中的巨大挑战。在这里，我们报告了一种简单的两步合成策略，可以从共同的前体获得两个不同但互补的能量平台，即无溶剂的钠基能量框架（3）和肼基自燃盐（4）。该设计利用固有的燃料-氧化剂主题，将偕二硝基氧化单元与肼基燃料碎片相结合，以实现内部氧化还原平衡并增强能量输出。化合物 3 具有 1.83 g cm–3 的高密度和良好的热稳定性 (182 °C)，而化合物 4 具有良好的爆轰性能（VOD = 8831 m s–1，DP = 31.8 GPa）以及对白发烟硝酸的显着自燃活性，实现了仅 18 ms 的点火延迟。 Hirshfeld 表面分析进一步揭示了 4 的固态结构通过广泛的氢键网络稳定，其中 O-H 相互作用贡献了 70% 的表面接触，突出了定向分子间堆积在其能量行为中的作用。这项工作建立了一种具有成本效益的设计范例，将合成简单性与高性能能量指标相协调，为下一代点火响应能量材料提供了一个多功能平台。</w:t>
      </w:r>
    </w:p>
    <w:p>
      <w:pPr>
        <w:spacing w:before="0" w:after="200" w:lineRule="auto" w:line="276"/>
      </w:pPr>
      <w:r>
        <w:rPr>
          <w:b/>
        </w:rPr>
        <w:t xml:space="preserve">Abstract (EN): </w:t>
      </w:r>
      <w:r>
        <w:t>The development of advanced energetic materials that balance high performance with synthetic accessibility remains a formidable challenge in aerospace and defense applications. Here, we report a simple two-step synthetic strategy to access two distinct yet complementary energetic platforms, a solvent-free sodium-based energetic framework (3) and a hydrazinium-based hypergolic salt (4), from a common precursor. This design leverages an intrinsic fuel–oxidizer motif, integrating gem-dinitro oxidizing units with hydrazine-based fuel fragments to achieve internal redox balance and enhanced energetic output. Compound 3 exhibits a high density of 1.83 g cm–3 and good thermal stability (182 °C), while compound 4 delivers good detonation performance (VOD = 8831 m s–1, DP = 31.8 GPa) together with remarkable hypergolic activity toward white fuming nitric acid, achieving an ignition delay of only 18 ms. Hirshfeld surface analysis further reveals that the solid-state architecture of 4 is stabilized by an extensive hydrogen-bonding network, with O–H interactions contributing 70% of the surface contacts, highlighting the role of directed intermolecular packing in its energetic behavior. This work establishes a cost-effective design paradigm that reconciles synthetic simplicity with high-performance energetic metrics, providing a versatile platform for next-generation ignition-responsive energetic materials.</w:t>
      </w:r>
    </w:p>
    <w:p>
      <w:pPr>
        <w:spacing w:before="120" w:after="120"/>
      </w:pPr>
      <w:r>
        <w:rPr>
          <w:sz w:val="18"/>
        </w:rPr>
        <w:t>——————————————————————————————————————————————————————————————————————</w:t>
      </w:r>
    </w:p>
    <w:p>
      <w:pPr>
        <w:spacing w:before="160" w:after="40" w:line="240" w:lineRule="auto"/>
      </w:pPr>
      <w:r>
        <w:rPr>
          <w:b/>
        </w:rPr>
        <w:t xml:space="preserve">[1471] </w:t>
      </w:r>
      <w:hyperlink r:id="rId2412">
        <w:r>
          <w:rPr>
            <w:color w:val="1155CC"/>
            <w:u w:val="single"/>
          </w:rPr>
          <w:t>通过大体积萘酰亚胺AIEgens的螺旋聚集实现手性驱动的左手螺旋纳米纤维及其放大CPL发射</w:t>
        </w:r>
      </w:hyperlink>
    </w:p>
    <w:p>
      <w:pPr>
        <w:spacing w:before="0" w:after="80"/>
      </w:pPr>
      <w:r>
        <w:rPr>
          <w:i/>
          <w:sz w:val="20"/>
        </w:rPr>
        <w:t>EN: Chirality-Driven Left-Handed Helical Nanofibers with Amplified CPL Emission via Helicoidal Aggregation of Bulky Naphthalimide AIEgens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379">
        <w:r>
          <w:rPr>
            <w:color w:val="1155CC"/>
            <w:u w:val="single"/>
          </w:rPr>
          <w:t>10.1021/acsami.6c10731</w:t>
        </w:r>
      </w:hyperlink>
    </w:p>
    <w:p>
      <w:pPr>
        <w:spacing w:before="0" w:after="120"/>
      </w:pPr>
      <w:r>
        <w:rPr>
          <w:b/>
        </w:rPr>
        <w:t xml:space="preserve">Notes: </w:t>
      </w:r>
      <w:r>
        <w:t>abstract_source=crossref</w:t>
      </w:r>
    </w:p>
    <w:p>
      <w:pPr>
        <w:spacing w:before="0" w:after="80" w:lineRule="auto" w:line="276"/>
      </w:pPr>
      <w:r>
        <w:rPr>
          <w:b/>
        </w:rPr>
        <w:t xml:space="preserve">摘要（ZH）: </w:t>
      </w:r>
      <w:r>
        <w:t>摘要：我们报道了通过带有手性尿素部分的手性萘酰亚胺衍生物的自组装制备了左手螺旋纤维，通过扫描电子显微镜成像，具有增强的圆偏振发光（CPL）信号，其在高含水量的有机溶剂混合物中表现出聚集诱导发射发光（AIE）。螺旋纤维由特定的分子相互作用、核心染料的特定几何形状以及取代基的固有手性驱动。值得注意的是，NMI衍生物的对映体对（R，R和S，S）显示出镜像圆二色性（CD）信号，但两者都发出相同旋向的圆偏振发光（CPL），这归因于聚集状态下的超分子相互作用。此外，这些有机左手纤维充当银纳米颗粒生长的手性模板。使用能量色散 X 射线光谱 (FESEM-EDX) 进行元素分析证实了金属化过程。这项工作强调了合理设计手性聚集诱导发射发光体及其作为合成金属覆盖物的支架的策略。</w:t>
      </w:r>
    </w:p>
    <w:p>
      <w:pPr>
        <w:spacing w:before="0" w:after="200" w:lineRule="auto" w:line="276"/>
      </w:pPr>
      <w:r>
        <w:rPr>
          <w:b/>
        </w:rPr>
        <w:t xml:space="preserve">Abstract (EN): </w:t>
      </w:r>
      <w:r>
        <w:t>We report the preparation of left-handed helical fibers, imaged by scanning electron microscopy, with enhanced circularly polarized luminescence (CPL) signals, by the self-assembly of chiral naphthalimide derivatives bearing chiral urea moieties, which exhibit aggregation-induced emission luminescence (AIE) in mixtures of organic solvents with high water content. The helical fibers are driven by specific molecular interactions, the particular geometry of the core dye, and the inherent chirality of the substituents. Notably, enantiomeric pairs (R,R and S,S) of the NMI derivatives displayed mirror-image circular dichroism (CD) signals but both emitted circularly polarized luminescence (CPL) of the same handedness, attributed to the supramolecular interactions at the aggregated state. Furthermore, these organic left-handed fibers served as chiral templates for the growth of silver nanoparticles. The metallization process was confirmed by elemental analysis using energy-dispersive X-ray spectroscopy (FESEM-EDX). This work highlights a strategy for the rational design of chiral aggregation-induced emission luminogens and their use as scaffolds for the synthesis of metal coverings.</w:t>
      </w:r>
    </w:p>
    <w:p>
      <w:pPr>
        <w:spacing w:before="120" w:after="120"/>
      </w:pPr>
      <w:r>
        <w:rPr>
          <w:sz w:val="18"/>
        </w:rPr>
        <w:t>——————————————————————————————————————————————————————————————————————</w:t>
      </w:r>
    </w:p>
    <w:p>
      <w:pPr>
        <w:spacing w:before="160" w:after="40" w:line="240" w:lineRule="auto"/>
      </w:pPr>
      <w:r>
        <w:rPr>
          <w:b/>
        </w:rPr>
        <w:t xml:space="preserve">[1472] </w:t>
      </w:r>
      <w:hyperlink r:id="rId2413">
        <w:r>
          <w:rPr>
            <w:color w:val="1155CC"/>
            <w:u w:val="single"/>
          </w:rPr>
          <w:t>12英寸晶圆上300周期Si/SiGe超晶格:生长、结构完整性及与3D DRAM应用相关的挑战</w:t>
        </w:r>
      </w:hyperlink>
    </w:p>
    <w:p>
      <w:pPr>
        <w:spacing w:before="0" w:after="80"/>
      </w:pPr>
      <w:r>
        <w:rPr>
          <w:i/>
          <w:sz w:val="20"/>
        </w:rPr>
        <w:t>EN: 300-Period Si/SiGe Superlattices on 12-inch Wafers: Growth, Structural Integrity, and Challenges Relevant to 3D DRAM Application</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380">
        <w:r>
          <w:rPr>
            <w:color w:val="1155CC"/>
            <w:u w:val="single"/>
          </w:rPr>
          <w:t>10.1021/acsami.6c12625</w:t>
        </w:r>
      </w:hyperlink>
    </w:p>
    <w:p>
      <w:pPr>
        <w:spacing w:before="0" w:after="120"/>
      </w:pPr>
      <w:r>
        <w:rPr>
          <w:b/>
        </w:rPr>
        <w:t xml:space="preserve">Notes: </w:t>
      </w:r>
      <w:r>
        <w:t>abstract_source=crossref</w:t>
      </w:r>
    </w:p>
    <w:p>
      <w:pPr>
        <w:spacing w:before="0" w:after="80" w:lineRule="auto" w:line="276"/>
      </w:pPr>
      <w:r>
        <w:rPr>
          <w:b/>
        </w:rPr>
        <w:t xml:space="preserve">摘要（ZH）: </w:t>
      </w:r>
      <w:r>
        <w:t>摘要 为了克服传统动态随机存取存储器（DRAM）的缩放限制，三维DRAM（3D DRAM）被提出作为下一代高密度存储器。多周期Si/SiGe超晶格（SL）是垂直堆叠沟道结构的关键候选材料，但其高周期堆叠能力受到结构完整性和晶体质量退化的限制。在这项工作中，使用减压化学气相沉积 (RPCVD) 在 12 英寸硅片上生长了具有不同 Ge 含量（~ 25 和~ 15%）的 300 周期 Si/SiGe SL，总膜厚度超过~ 14 μm。首先制造了 Si/Si0.75Ge0.25 SL 并进行了系统表征，揭示了部分应变弛豫、垂直周期性退化和晶圆内不均匀性。随后，在优化的工艺条件下生长了有效Ge含量降低的300周期Si/Si0.85Ge0.15 SL。与Si/Si0.75Ge0.25结构相比，Si/Si0.85Ge0.15 SL表现出改进的层间厚度控制、更稳定的成分分布以及增强的晶圆内均匀性。然而，仍然观察到部分应变松弛和螺纹位错。总体而言，这项工作为 12 英寸晶圆上 300 周期 Si/SiGe SL 的退化演变、优化潜力和剩余局限性提供了实验见解，为未来 3D DRAM 应用进一步扩展 Si/SiGe 外延提供了指导。</w:t>
      </w:r>
    </w:p>
    <w:p>
      <w:pPr>
        <w:spacing w:before="0" w:after="200" w:lineRule="auto" w:line="276"/>
      </w:pPr>
      <w:r>
        <w:rPr>
          <w:b/>
        </w:rPr>
        <w:t xml:space="preserve">Abstract (EN): </w:t>
      </w:r>
      <w:r>
        <w:t>To overcome the scaling limits of conventional dynamic random-access memory (DRAM), three-dimensional DRAM (3D DRAM) has been proposed for next-generation high-density memory. Multi-period Si/SiGe superlattices (SLs) are key candidates for vertically stacked channel structures, but their high-period stacking capability is limited by degradation of structural integrity and crystalline quality. In this work, 300-period Si/SiGe SLs with different Ge contents (∼ 25 and ∼ 15%) were grown on 12-inch Si wafers using reduced-pressure chemical vapor deposition (RPCVD), achieving total film thicknesses exceeding ∼ 14 μm. A Si/Si0.75Ge0.25 SL was first fabricated and systematically characterized, revealing partial strain relaxation, degradation of vertical periodicity, and within-wafer non-uniformity. Subsequently, a 300-period Si/Si0.85Ge0.15 SL with reduced effective Ge content was grown under optimized process conditions. Compared with the Si/Si0.75Ge0.25 structure, the Si/Si0.85Ge0.15 SL exhibits improved layer-to-layer thickness control, more stable composition profiles, and enhanced within-wafer uniformity. However, partial strain relaxation and threading dislocations are still observed. Overall, this work provides experimental insights into the degradation evolution, optimization potential, and remaining limitations of 300-period Si/SiGe SLs on 12-inch wafers, offering guidance for further scaling of Si/SiGe epitaxy toward future 3D DRAM applications.</w:t>
      </w:r>
    </w:p>
    <w:p>
      <w:pPr>
        <w:spacing w:before="120" w:after="120"/>
      </w:pPr>
      <w:r>
        <w:rPr>
          <w:sz w:val="18"/>
        </w:rPr>
        <w:t>——————————————————————————————————————————————————————————————————————</w:t>
      </w:r>
    </w:p>
    <w:p>
      <w:pPr>
        <w:spacing w:before="160" w:after="40" w:line="240" w:lineRule="auto"/>
      </w:pPr>
      <w:r>
        <w:rPr>
          <w:b/>
        </w:rPr>
        <w:t xml:space="preserve">[1473] </w:t>
      </w:r>
      <w:hyperlink r:id="rId2414">
        <w:r>
          <w:rPr>
            <w:color w:val="1155CC"/>
            <w:u w:val="single"/>
          </w:rPr>
          <w:t>衬底偏切角对蓝宝石上MoS2外延生长的影响</w:t>
        </w:r>
      </w:hyperlink>
    </w:p>
    <w:p>
      <w:pPr>
        <w:spacing w:before="0" w:after="80"/>
      </w:pPr>
      <w:r>
        <w:rPr>
          <w:i/>
          <w:sz w:val="20"/>
        </w:rPr>
        <w:t>EN: Effect of Substrate Miscut on the Epitaxial Growth of MoS2 on Sapphire</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382">
        <w:r>
          <w:rPr>
            <w:color w:val="1155CC"/>
            <w:u w:val="single"/>
          </w:rPr>
          <w:t>10.1021/acsami.6c13549</w:t>
        </w:r>
      </w:hyperlink>
    </w:p>
    <w:p>
      <w:pPr>
        <w:spacing w:before="0" w:after="120"/>
      </w:pPr>
      <w:r>
        <w:rPr>
          <w:b/>
        </w:rPr>
        <w:t xml:space="preserve">Notes: </w:t>
      </w:r>
      <w:r>
        <w:t>abstract_source=crossref</w:t>
      </w:r>
    </w:p>
    <w:p>
      <w:pPr>
        <w:spacing w:before="0" w:after="80" w:lineRule="auto" w:line="276"/>
      </w:pPr>
      <w:r>
        <w:rPr>
          <w:b/>
        </w:rPr>
        <w:t xml:space="preserve">摘要（ZH）: </w:t>
      </w:r>
      <w:r>
        <w:t>摘要 研究了衬底误切角和生长温度对c面蓝宝石衬底上有机金属化学气相沉积(MOCVD)制备的MoS2单层外延生长和性能的综合影响。增加朝向 M 轴的误切角度会产生具有更高台阶密度的刻面台阶-平台表面，并减少蓝宝石表面上的平台宽度，同时促进生长过程中明显的台阶聚束。这些误切引起的表面重建强烈调节MoS2的生长，导致双层域密度、尺寸、形态和外延排列的系统变化，而不会显着改变生长速率。全面的结构、光学和电子特性表明，在 1000 °C 下在误切最低 (0.2°) 的蓝宝石上生长可产生最高质量的单层 MoS2，面内 X 射线衍射 φ 扫描峰的半高全宽较低、低温下光致发光光谱中的缺陷束缚激子发射最小化以及优异的场效应晶体管性能证明了这一点。相比之下，1° 误切基板会促进双层域密度的增加，这可能是由于蓝宝石阶梯聚束的增加，使其适合受控双层 MoS2 生长。然而，进一步将斜切增加到 4° 或将生长温度降低到 950 °C 会导致结构、光学和电学性能显着下降。这些结果强调了基板错切的重要性及其在控制 MoS2 外延生长中的作用，提供了价值</w:t>
      </w:r>
    </w:p>
    <w:p>
      <w:pPr>
        <w:spacing w:before="0" w:after="200" w:lineRule="auto" w:line="276"/>
      </w:pPr>
      <w:r>
        <w:rPr>
          <w:b/>
        </w:rPr>
        <w:t xml:space="preserve">Abstract (EN): </w:t>
      </w:r>
      <w:r>
        <w:t>The combined effects of substrate miscut angle and growth temperature on the epitaxial growth and properties of MoS2 monolayers synthesized by metalorganic chemical vapor deposition (MOCVD) on c-plane sapphire substrates were investigated. Increasing the miscut angle toward the M-axis produces faceted step–terrace surfaces with higher step density and reduced terrace width on the sapphire surface, while promoting pronounced step bunching during growth. These miscut-induced surface reconstructions strongly modulate MoS2 growth, leading to systematic changes in bilayer domain density, size, morphology, and epitaxial alignment without significantly altering the growth rate. Comprehensive structural, optical, and electronic characterizations reveal that growth at 1000 °C on the lowest miscut (0.2°) sapphire yields the highest quality monolayer MoS2, as evidenced by the low full width at half-maximum of the in-plane X-ray diffraction φ-scan peaks, minimized defect-bound exciton emission in photoluminescence spectra at cryogenic temperatures, and superior field-effect transistor performance. In contrast, 1° miscut substrates promote increased bilayer domain density, likely due to increased step bunching of the sapphire, making them suitable for controlled bilayer MoS2 growth. However, further increasing the miscut to 4° or lowering the growth temperature to 950 °C results in significantly degraded structural, optical, and electrical properties. These results highlight the importance of substrate miscut and its role in governing the epitaxial growth of MoS2, offering valuable guidance for the scalable synthesis of high-quality two-dimensional MoS2 films.</w:t>
      </w:r>
    </w:p>
    <w:p>
      <w:pPr>
        <w:spacing w:before="120" w:after="120"/>
      </w:pPr>
      <w:r>
        <w:rPr>
          <w:sz w:val="18"/>
        </w:rPr>
        <w:t>——————————————————————————————————————————————————————————————————————</w:t>
      </w:r>
    </w:p>
    <w:p>
      <w:pPr>
        <w:spacing w:before="160" w:after="40" w:line="240" w:lineRule="auto"/>
      </w:pPr>
      <w:r>
        <w:rPr>
          <w:b/>
        </w:rPr>
        <w:t xml:space="preserve">[1474] </w:t>
      </w:r>
      <w:hyperlink r:id="rId2415">
        <w:r>
          <w:rPr>
            <w:color w:val="1155CC"/>
            <w:u w:val="single"/>
          </w:rPr>
          <w:t>互补的不对称氟化紫精与共轭苯基紫精用于具有高循环稳定性的黑色电致变色器件</w:t>
        </w:r>
      </w:hyperlink>
    </w:p>
    <w:p>
      <w:pPr>
        <w:spacing w:before="0" w:after="80"/>
      </w:pPr>
      <w:r>
        <w:rPr>
          <w:i/>
          <w:sz w:val="20"/>
        </w:rPr>
        <w:t>EN: Complementary Asymmetric Fluorinated Viologen and Conjugated Phenyl Viologen for Black Electrochromic Devices with High Cycling Stability</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381">
        <w:r>
          <w:rPr>
            <w:color w:val="1155CC"/>
            <w:u w:val="single"/>
          </w:rPr>
          <w:t>10.1021/acsami.6c13289</w:t>
        </w:r>
      </w:hyperlink>
    </w:p>
    <w:p>
      <w:pPr>
        <w:spacing w:before="0" w:after="120"/>
      </w:pPr>
      <w:r>
        <w:rPr>
          <w:b/>
        </w:rPr>
        <w:t xml:space="preserve">Notes: </w:t>
      </w:r>
      <w:r>
        <w:t>abstract_source=crossref</w:t>
      </w:r>
    </w:p>
    <w:p>
      <w:pPr>
        <w:spacing w:before="0" w:after="80" w:lineRule="auto" w:line="276"/>
      </w:pPr>
      <w:r>
        <w:rPr>
          <w:b/>
        </w:rPr>
        <w:t xml:space="preserve">摘要（ZH）: </w:t>
      </w:r>
      <w:r>
        <w:t>摘要 黑色电致变色器件 (ECD) 具有宽带可见光吸收和视觉中性黑暗状态，对于智能窗户、显示器和自适应光管理系统极具吸引力。然而，实现具有高光学对比度、快速切换和长期循环稳定性的高质量黑色电致变色仍然具有挑战性，这主要是由于传统紫精系统固有的不平衡光谱吸收和自由基阳离子二聚化问题。在这里，我们通过结合分子设计和光谱叠加工程的策略解决了传统的基于紫罗碱的电致变色器件的局限性。氟化苯甲基紫精衍生物 1-(4-氟苯甲基)–1′-(3,5-双(三氟甲基)苯甲基)–4,4′-联吡啶鎓二(四氟硼酸盐) (TFBV) 旨在抑制自由基阳离子聚集并提高氧化还原稳定性。为了补偿 TFBV 在 450–550 nm 区域的弱吸收，引入了具有扩展 π 共轭的氰基苯基取代的紫精（1,1′-双（4-氰基苯基）–4,4′-联吡啶双（四氟硼酸盐）（CPV））作为互补发色团，从而实现红移和平衡的可见光吸收。受益于 TFBV 和 CPV 的协同吸收，优化后的 ECD 在可见光区域表现出高达 81.1% 的漂白态透过率、5.2% 的低着色态透过率以及 75.9% 的大光学对比度。该器件还表现出快速切换，显色和漂白时间分别为 4.4 和 4.1 秒，显色效率高达 2</w:t>
      </w:r>
    </w:p>
    <w:p>
      <w:pPr>
        <w:spacing w:before="0" w:after="200" w:lineRule="auto" w:line="276"/>
      </w:pPr>
      <w:r>
        <w:rPr>
          <w:b/>
        </w:rPr>
        <w:t xml:space="preserve">Abstract (EN): </w:t>
      </w:r>
      <w:r>
        <w:t>Black electrochromic devices (ECDs) that offer broadband visible-light absorption and a visually neutral dark state are highly attractive for smart windows, displays, and adaptive light-management systems. However, achieving high-quality black electrochromism with high optical contrast, fast switching, and long-term cycling stability remains challenging, primarily owing to the unbalanced spectral absorption and radical-cation dimerization issues inherent in conventional viologen-based systems. Herein, we address the limitations of conventional viologen-based electrochromic devices via a strategy integrating molecular design and spectral superposition engineering. A fluorinated benzyl viologen derivative, 1-(4-fluorobenzyl)–1′-(3,5-bis(trifluoromethyl)benzyl)–4,4′-bipyridinium di(tetrafluoroborate) (TFBV), is designed to suppress radical-cation aggregation and improve redox stability. To compensate for the weak absorption of TFBV in the 450–550 nm region, a cyanophenyl-substituted viologen (1,1′-bis(4-cyanophenyl)–4,4′-bipyridinium bis(tetrafluoroborate) (CPV)) with extended π-conjugation is introduced as a complementary chromophore, enabling red-shifted and balanced visible-light absorption. Benefiting from the synergistic absorption of TFBV and CPV, the optimized ECD exhibits a high bleached-state transmittance of 81.1%, a low colored-state transmittance of 5.2%, and a large optical contrast of 75.9% across the visible region. The device also shows rapid switching with coloration and bleaching times of 4.4 and 4.1 s, respectively, a high coloration efficiency of 218.65 cm2 C–1, and excellent cycling stability with 99.8% contrast retention after 10,000 cycles. Furthermore, a prototype smart window based on TFBV/CPV exhibits effective light and heat regulation. This work presents an effective molecular design strategy for stable, fast-response black ECDs and expands the potential of viologen-based materials for energy-saving smart windows.</w:t>
      </w:r>
    </w:p>
    <w:p>
      <w:pPr>
        <w:spacing w:before="120" w:after="120"/>
      </w:pPr>
      <w:r>
        <w:rPr>
          <w:sz w:val="18"/>
        </w:rPr>
        <w:t>——————————————————————————————————————————————————————————————————————</w:t>
      </w:r>
    </w:p>
    <w:p>
      <w:pPr>
        <w:spacing w:before="160" w:after="40" w:line="240" w:lineRule="auto"/>
      </w:pPr>
      <w:r>
        <w:rPr>
          <w:b/>
        </w:rPr>
        <w:t xml:space="preserve">[1475] </w:t>
      </w:r>
      <w:hyperlink r:id="rId2416">
        <w:r>
          <w:rPr>
            <w:color w:val="1155CC"/>
            <w:u w:val="single"/>
          </w:rPr>
          <w:t>可拉伸Ag光栅中应变调控的等离激元激发与拉曼散射实现可调谐表面增强拉曼散射</w:t>
        </w:r>
      </w:hyperlink>
    </w:p>
    <w:p>
      <w:pPr>
        <w:spacing w:before="0" w:after="80"/>
      </w:pPr>
      <w:r>
        <w:rPr>
          <w:i/>
          <w:sz w:val="20"/>
        </w:rPr>
        <w:t>EN: Strain-Regulated Plasmonic Excitation and Raman Scattering for Tunable Surface-Enhanced Raman Scattering in a Stretchable Ag Grating</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383">
        <w:r>
          <w:rPr>
            <w:color w:val="1155CC"/>
            <w:u w:val="single"/>
          </w:rPr>
          <w:t>10.1021/acsami.6c09171</w:t>
        </w:r>
      </w:hyperlink>
    </w:p>
    <w:p>
      <w:pPr>
        <w:spacing w:before="0" w:after="120"/>
      </w:pPr>
      <w:r>
        <w:rPr>
          <w:b/>
        </w:rPr>
        <w:t xml:space="preserve">Notes: </w:t>
      </w:r>
      <w:r>
        <w:t>abstract_source=crossref</w:t>
      </w:r>
    </w:p>
    <w:p>
      <w:pPr>
        <w:spacing w:before="0" w:after="80" w:lineRule="auto" w:line="276"/>
      </w:pPr>
      <w:r>
        <w:rPr>
          <w:b/>
        </w:rPr>
        <w:t xml:space="preserve">摘要（ZH）: </w:t>
      </w:r>
      <w:r>
        <w:t>摘要 柔性等离激元基底在共形和原位表面增强拉曼散射（SERS）检测中具有吸引力；然而，无间隙金属纳米结构尽管制备简便且具有光谱可调性，在应变可调SERS方面受到的关注有限。本文报道了一种基于正弦形聚二甲基硅氧烷（PDMS）基底的可拉伸Ag光栅，可实现等离激元响应和拉曼散射的应变调控调制。垂直于（εx）和平行于（εy）光栅线施加应变会引起不同的形貌变化，导致相对于532 nm激发波长出现相反的光谱位移。在纵向拉伸下，局域场增强对应变呈现非单调依赖关系，并在εy = 10%时达到最大值，尽管在更大应变下等离激元共振进一步蓝移至接近激发波长。电磁模拟和Purcell因子分析表明，拉伸同时调节激发场增强和等离激元介导的拉曼散射。这种激发-散射调制使结晶紫在εy = 10%时产生最强的SERS响应，检测限可达10−11 mol/L。此外，该基底在60次拉伸循环后仍保持高重现性，RSD = 4.5%，凸显了其在机械可调柔性分子传感方面的潜力。</w:t>
      </w:r>
    </w:p>
    <w:p>
      <w:pPr>
        <w:spacing w:before="0" w:after="200" w:lineRule="auto" w:line="276"/>
      </w:pPr>
      <w:r>
        <w:rPr>
          <w:b/>
        </w:rPr>
        <w:t xml:space="preserve">Abstract (EN): </w:t>
      </w:r>
      <w:r>
        <w:t>Flexible plasmonic substrates are attractive for conformal and in situ surface-enhanced Raman scattering (SERS) detection; however, gap-free metallic nanostructures have received limited attention for strain-tunable SERS despite their facile fabrication and spectral tunability. This paper reports a stretchable Ag grating on a sinusoidal polydimethylsiloxane (PDMS) substrate that enables strain-regulated modulation of plasmonic response and Raman scattering. Strain applied perpendicular (εx) and parallel (εy) to the grating lines induces distinct morphological changes, leading to opposite spectral shifts relative to the 532 nm excitation wavelength. Under longitudinal stretching, the local-field enhancement exhibits a nonmonotonic dependence on strain and reaches its maximum at εy = 10%, although the plasmon resonance further blueshifts toward the excitation wavelength at larger strains. Electromagnetic simulations and Purcell-factor analysis reveal that stretching simultaneously regulates excitation-field enhancement and plasmon-mediated Raman scattering. This excitation−scattering modulation produces the strongest SERS response for crystal violet at εy = 10%, enabling a detection limit of 10−11 mol/L. Moreover, the substrate maintains high reproducibility, with an RSD = 4.5% over 60 stretching cycles, highlighting its potential for mechanically tunable and flexible molecular sensing.</w:t>
      </w:r>
    </w:p>
    <w:p>
      <w:pPr>
        <w:spacing w:before="120" w:after="120"/>
      </w:pPr>
      <w:r>
        <w:rPr>
          <w:sz w:val="18"/>
        </w:rPr>
        <w:t>——————————————————————————————————————————————————————————————————————</w:t>
      </w:r>
    </w:p>
    <w:p>
      <w:pPr>
        <w:spacing w:before="160" w:after="40" w:line="240" w:lineRule="auto"/>
      </w:pPr>
      <w:r>
        <w:rPr>
          <w:b/>
        </w:rPr>
        <w:t xml:space="preserve">[1476] </w:t>
      </w:r>
      <w:hyperlink r:id="rId2417">
        <w:r>
          <w:rPr>
            <w:color w:val="1155CC"/>
            <w:u w:val="single"/>
          </w:rPr>
          <w:t>通过阳离子有序周期性调控钙钛矿氧化物界面：实验解析的原子结构与预测的磁耦合</w:t>
        </w:r>
      </w:hyperlink>
    </w:p>
    <w:p>
      <w:pPr>
        <w:spacing w:before="0" w:after="80"/>
      </w:pPr>
      <w:r>
        <w:rPr>
          <w:i/>
          <w:sz w:val="20"/>
        </w:rPr>
        <w:t>EN: Perovskite Oxide Interfaces Tailored by Cation Ordering Periodicities: Experimentally Resolved Atomic Structure and Predicted Magnetic Coupling</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384">
        <w:r>
          <w:rPr>
            <w:color w:val="1155CC"/>
            <w:u w:val="single"/>
          </w:rPr>
          <w:t>10.1021/acsami.6c08939</w:t>
        </w:r>
      </w:hyperlink>
    </w:p>
    <w:p>
      <w:pPr>
        <w:spacing w:before="0" w:after="120"/>
      </w:pPr>
      <w:r>
        <w:rPr>
          <w:b/>
        </w:rPr>
        <w:t xml:space="preserve">Notes: </w:t>
      </w:r>
      <w:r>
        <w:t>abstract_source=crossref</w:t>
      </w:r>
    </w:p>
    <w:p>
      <w:pPr>
        <w:spacing w:before="0" w:after="80" w:lineRule="auto" w:line="276"/>
      </w:pPr>
      <w:r>
        <w:rPr>
          <w:b/>
        </w:rPr>
        <w:t xml:space="preserve">摘要（ZH）: </w:t>
      </w:r>
      <w:r>
        <w:t>摘要 由具有不同B位有序周期的钙钛矿氧化物形成的磁性耦合界面，由于合成上的挑战以及缺乏合适的母相，尚未得到广泛研究。在此，我们利用像差校正分析型扫描透射电子显微镜，鉴定了一种在原子尺度上表现出不同B位有序周期的钙钛矿氧化物界面的原子结构和化学性质。该界面由1:1 B位有序的双钙钛矿Sr2Fe1+xRe1–xO6和1:2 B位有序的三重钙钛矿Sr3Fe2ReO9形成。对具有与实验观察到的相同B位有序周期调制的超晶格模型进行的第一性原理计算表明，界面处Fe和Re原子之间的磁耦合产生了铁磁特征，这与母相的反铁磁性质形成对比。结果表明，通过调控B位有序周期来调节钙钛矿氧化物界面的界面磁性，有望应用于具有磁性工程界面的超晶格薄膜的外延生长。</w:t>
      </w:r>
    </w:p>
    <w:p>
      <w:pPr>
        <w:spacing w:before="0" w:after="200" w:lineRule="auto" w:line="276"/>
      </w:pPr>
      <w:r>
        <w:rPr>
          <w:b/>
        </w:rPr>
        <w:t xml:space="preserve">Abstract (EN): </w:t>
      </w:r>
      <w:r>
        <w:t>Magnetically coupled interfaces formed from perovskite oxides with different B-site ordering periodicities have not been studied extensively due to challenges in synthesis and a lack of adequate parent phases. Here, we use aberration-corrected analytical scanning transmission electron microscopy to identify the atomic structure and chemistry of a perovskite oxide interface that exhibits different B-site ordering periodicity on the atomic scale. The interface is formed from the 1:1 B-site-ordered double-perovskite Sr2Fe1+xRe1–xO6 and the 1:2 B-site-ordered triple-perovskite Sr3Fe2ReO9. First-principles calculations on the superlattice model with the same modulation of B-site ordering periodicity observed experimentally show that magnetic coupling between Fe and Re atoms at the interface results in characteristics of ferromagnetism, in contrast to the antiferromagnetic nature of the parent phases. The results suggest that tailoring of B-site ordering periodicity for tuning interfacial magnetism at perovskite oxide interfaces can be potentially applied in epitaxial growth of superlattice thin films with magnetically engineered interfaces.</w:t>
      </w:r>
    </w:p>
    <w:p>
      <w:pPr>
        <w:spacing w:before="120" w:after="120"/>
      </w:pPr>
      <w:r>
        <w:rPr>
          <w:sz w:val="18"/>
        </w:rPr>
        <w:t>——————————————————————————————————————————————————————————————————————</w:t>
      </w:r>
    </w:p>
    <w:p>
      <w:pPr>
        <w:spacing w:before="160" w:after="40" w:line="240" w:lineRule="auto"/>
      </w:pPr>
      <w:r>
        <w:rPr>
          <w:b/>
        </w:rPr>
        <w:t xml:space="preserve">[1477] </w:t>
      </w:r>
      <w:hyperlink r:id="rId2418">
        <w:r>
          <w:rPr>
            <w:color w:val="1155CC"/>
            <w:u w:val="single"/>
          </w:rPr>
          <w:t>镁功能化水凝胶递送CAR T细胞增强腹膜转移治疗</w:t>
        </w:r>
      </w:hyperlink>
    </w:p>
    <w:p>
      <w:pPr>
        <w:spacing w:before="0" w:after="80"/>
      </w:pPr>
      <w:r>
        <w:rPr>
          <w:i/>
          <w:sz w:val="20"/>
        </w:rPr>
        <w:t>EN: Delivery of CAR T Cells in a Magnesium-Functionated Hydrogel Boosts Peritoneal Metastasis Treatment</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385">
        <w:r>
          <w:rPr>
            <w:color w:val="1155CC"/>
            <w:u w:val="single"/>
          </w:rPr>
          <w:t>10.1021/acsami.6c06142</w:t>
        </w:r>
      </w:hyperlink>
    </w:p>
    <w:p>
      <w:pPr>
        <w:spacing w:before="0" w:after="120"/>
      </w:pPr>
      <w:r>
        <w:rPr>
          <w:b/>
        </w:rPr>
        <w:t xml:space="preserve">Notes: </w:t>
      </w:r>
      <w:r>
        <w:t>abstract_source=crossref</w:t>
      </w:r>
    </w:p>
    <w:p>
      <w:pPr>
        <w:spacing w:before="0" w:after="80" w:lineRule="auto" w:line="276"/>
      </w:pPr>
      <w:r>
        <w:rPr>
          <w:b/>
        </w:rPr>
        <w:t xml:space="preserve">摘要（ZH）: </w:t>
      </w:r>
      <w:r>
        <w:t>摘要 嵌合抗原受体（CAR）T细胞由于肿瘤微环境中的抑制性因子，在实体瘤中疗效有限。在本研究中，我们发现细胞外镁离子（Mg2+）是CAR T活性的一种可药理学调控的调节因子。补充Mg2+可增强早期激活并增强细胞毒性读出指标，包括IFN-γ分泌和靶细胞裂解。为了定位这一信号，我们构建了一种由Mg2+离子交联的磷酸化透明质酸水凝胶（HA-Mg Gel），可形成原位Mg2+富集的微环境。在该微环境中，CAR T细胞在肿瘤-T细胞界面表现出增强的肌动蛋白聚合，并在体外显示出更强的激活和效应功能。在Capan-2腹膜转移模型中，与对照相比，腹腔注射CAR T@HA-Mg Gel实现了持久的肿瘤控制并显著延长了生存期。这些发现确立了细胞外Mg2+作为CAR T活性的调节因子，并提出了一种生物材料引导的非基因策略，以改进针对实体瘤的CAR T细胞疗法。</w:t>
      </w:r>
    </w:p>
    <w:p>
      <w:pPr>
        <w:spacing w:before="0" w:after="200" w:lineRule="auto" w:line="276"/>
      </w:pPr>
      <w:r>
        <w:rPr>
          <w:b/>
        </w:rPr>
        <w:t xml:space="preserve">Abstract (EN): </w:t>
      </w:r>
      <w:r>
        <w:t>Chimeric antigen receptor (CAR) T cells show limited efficacy in solid tumors due to suppressive factors in the tumor microenvironment. In this study, we identified extracellular magnesium (Mg2+) as a pharmacologically modulable regulator of CAR T activity. Mg2+ supplementation increased early activation and augmented cytotoxic readouts, including IFN-γ secretion and target-cell lysis. To localize this cue, we engineered a phosphorylated hyaluronic-acid hydrogel ionically cross-linked by Mg2+ (HA-Mg Gel), which forms an in situ Mg2+-rich niche. In this niche, CAR T cells exhibit reinforced actin polymerization at the tumor-T-cell interface and show enhanced activation and effector function in vitro. In a Capan-2 peritoneal metastasis model, intraperitoneal administration of CAR T@HA-Mg Gel produced durable tumor control and significantly prolonged survival compared with controls. These findings position extracellular Mg2+ as a modulator of CAR T activity and present a biomaterial-guided, nongenetic strategy to improve CAR T-cell therapy for solid tumors.</w:t>
      </w:r>
    </w:p>
    <w:p>
      <w:pPr>
        <w:spacing w:before="120" w:after="120"/>
      </w:pPr>
      <w:r>
        <w:rPr>
          <w:sz w:val="18"/>
        </w:rPr>
        <w:t>——————————————————————————————————————————————————————————————————————</w:t>
      </w:r>
    </w:p>
    <w:p>
      <w:pPr>
        <w:spacing w:before="160" w:after="40" w:line="240" w:lineRule="auto"/>
      </w:pPr>
      <w:r>
        <w:rPr>
          <w:b/>
        </w:rPr>
        <w:t xml:space="preserve">[1478] </w:t>
      </w:r>
      <w:hyperlink r:id="rId2419">
        <w:r>
          <w:rPr>
            <w:color w:val="1155CC"/>
            <w:u w:val="single"/>
          </w:rPr>
          <w:t>MXene/MoS2-离子液体异质结构的应力诱导电子/原子界面演化实现环氧涂层自适应润滑</w:t>
        </w:r>
      </w:hyperlink>
    </w:p>
    <w:p>
      <w:pPr>
        <w:spacing w:before="0" w:after="80"/>
      </w:pPr>
      <w:r>
        <w:rPr>
          <w:i/>
          <w:sz w:val="20"/>
        </w:rPr>
        <w:t>EN: Stress-Induced Electronic/Atomic Interfacial Evolution of MXene/MoS2-Ionic Liquid Heterostructures Enables Adaptive Lubrication in Epoxy Coatings</w:t>
      </w:r>
    </w:p>
    <w:p>
      <w:pPr>
        <w:spacing w:before="0" w:after="120"/>
      </w:pPr>
      <w:r>
        <w:rPr>
          <w:b/>
        </w:rPr>
        <w:t xml:space="preserve">Source: </w:t>
      </w:r>
      <w:r>
        <w:t>ACS Applied Materials &amp; Interfaces: Latest Articles (ACS Publications)</w:t>
      </w:r>
      <w:r>
        <w:t xml:space="preserve">    </w:t>
      </w:r>
      <w:r>
        <w:rPr>
          <w:b/>
        </w:rPr>
        <w:t xml:space="preserve">Pub date: </w:t>
      </w:r>
      <w:r>
        <w:t>2026-09-03 00:00:00+00:00</w:t>
      </w:r>
      <w:r>
        <w:t xml:space="preserve">    </w:t>
      </w:r>
      <w:r>
        <w:rPr>
          <w:b/>
        </w:rPr>
        <w:t xml:space="preserve">DOI: </w:t>
      </w:r>
      <w:hyperlink r:id="rId2386">
        <w:r>
          <w:rPr>
            <w:color w:val="1155CC"/>
            <w:u w:val="single"/>
          </w:rPr>
          <w:t>10.1021/acsami.6c15497</w:t>
        </w:r>
      </w:hyperlink>
    </w:p>
    <w:p>
      <w:pPr>
        <w:spacing w:before="0" w:after="120"/>
      </w:pPr>
      <w:r>
        <w:rPr>
          <w:b/>
        </w:rPr>
        <w:t xml:space="preserve">Notes: </w:t>
      </w:r>
      <w:r>
        <w:t>abstract_source=crossref</w:t>
      </w:r>
    </w:p>
    <w:p>
      <w:pPr>
        <w:spacing w:before="0" w:after="80" w:lineRule="auto" w:line="276"/>
      </w:pPr>
      <w:r>
        <w:rPr>
          <w:b/>
        </w:rPr>
        <w:t xml:space="preserve">摘要（ZH）: </w:t>
      </w:r>
      <w:r>
        <w:t>摘要 MXene/MoS2异质结构聚合物涂层的摩擦学性能受到对电子/原子界面演化的不完全理解以及对摩擦条件下动态接触应力的自适应响应不足的限制，限制了承载能力、润滑效率和长期耐久性的实现。在此，通过集成壳聚糖封装的MXene/MoS2-[APMIM]Br离子液体（IL）异质结构，合理设计了多尺度分级混合填料（MSIC），然后将其掺入环氧树脂（EP）中以制备自润滑复合涂层（MSICP）。纳米摩擦学测试表明，MSIC 比单独的 MXene 和 MoS2 表现出更低且更均匀的摩擦，而 MSICP 显着降低了磨损深度、磨损体积和界面粘附力。密度泛函理论 (DFT) 计算和分子动力学 (MD) 模拟表明，连续的界面相互作用演化可提高摩擦学性能。具体来说，滑动引发 IL 介导的边界润滑，并进一步过渡到范德华辅助的 MXene/MoS2 异质结构剪切，最终在暴露的 MXene 表面产生强极性粘附。这种演变抑制了直接的固-固接触，并最大限度地减少了电子-云重叠，从而减少了界面剪切和粘附。在宏观尺度上，与 EP 相比，含有 2 wt% MSIC 的涂层的磨损率 (3.7 × 10–4 mm3/N m) 降低了 70.4%，证实了纳米尺度的有效转化</w:t>
      </w:r>
    </w:p>
    <w:p>
      <w:pPr>
        <w:spacing w:before="0" w:after="200" w:lineRule="auto" w:line="276"/>
      </w:pPr>
      <w:r>
        <w:rPr>
          <w:b/>
        </w:rPr>
        <w:t xml:space="preserve">Abstract (EN): </w:t>
      </w:r>
      <w:r>
        <w:t>The tribological performance of MXene/MoS2 heterostructure-based polymer coatings is limited by an incomplete understanding of electronic/atomic interfacial evolution, as well as an insufficient adaptive response to dynamic contact stress under friction conditions, which restricts the realization of load-bearing capacity, lubrication efficiency, and long-term durability. Herein, a multiscale hierarchical hybrid filler (MSIC) is rationally designed by integrating a chitosan-encapsulated MXene/MoS2-[APMIM]Br ionic liquid (IL) heterostructure, and then incorporated into epoxy (EP) to fabricate the self-lubricating composite coatings (MSICP). Nanotribological tests demonstrate that the MSIC exhibits lower and more uniform friction than individual MXene and MoS2, while MSICP significantly reduces wear depth, wear volume, and interfacial adhesion. Density functional theory (DFT) calculations and molecular dynamics (MD) simulations reveal that the sequential interfacial interaction evolution drives enhanced tribological performance. Specifically, sliding initiates IL-mediated boundary lubrication, and further transitions to van der Waals-assisted MXene/MoS2 heterostructure shearing, eventually concluding with strong polar adhesion at exposed MXene surfaces. This evolution suppresses direct solid-solid contact and minimizes electron-cloud overlap, thus reducing interfacial shear and adhesion. At the macroscale, the coating containing 2 wt % MSIC achieves a 70.4% reduction in wear rate (3.7 × 10–4 mm3/N m) compared with EP, confirming the effective translation of nanoscale interfacial regulation into bulk mechanical reinforcement. Machine learning (ML) identifies filler content as the dominant friction-governing factor. Notably, increased filler concentration maintains continuous low-shear channels and buffers plastic deformation, which triggers chitosan microcracking to facilitate on-demand IL release. This work provides a guided strategy for designing high-performance MXene/MoS2 heterostructure-based polymer coatings for wear protection of moving parts in precision machinery systems.</w:t>
      </w:r>
    </w:p>
    <w:p>
      <w:pPr>
        <w:spacing w:before="120" w:after="120"/>
      </w:pPr>
      <w:r>
        <w:rPr>
          <w:sz w:val="18"/>
        </w:rPr>
        <w:t>——————————————————————————————————————————————————————————————————————</w:t>
      </w:r>
    </w:p>
    <w:p>
      <w:pPr>
        <w:spacing w:before="160" w:after="40" w:line="240" w:lineRule="auto"/>
      </w:pPr>
      <w:r>
        <w:rPr>
          <w:b/>
        </w:rPr>
        <w:t xml:space="preserve">[1479] </w:t>
      </w:r>
      <w:hyperlink r:id="rId2310">
        <w:r>
          <w:rPr>
            <w:color w:val="1155CC"/>
            <w:u w:val="single"/>
          </w:rPr>
          <w:t>单体偏向型工业规模胶体光子薄膜的制备</w:t>
        </w:r>
      </w:hyperlink>
    </w:p>
    <w:p>
      <w:pPr>
        <w:spacing w:before="0" w:after="80"/>
      </w:pPr>
      <w:r>
        <w:rPr>
          <w:i/>
          <w:sz w:val="20"/>
        </w:rPr>
        <w:t>EN: Monomer-biased manufacture of industrial-scale colloidal photonic films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10">
        <w:r>
          <w:rPr>
            <w:color w:val="1155CC"/>
            <w:u w:val="single"/>
          </w:rPr>
          <w:t>10.1126/science.aed8723</w:t>
        </w:r>
      </w:hyperlink>
    </w:p>
    <w:p>
      <w:pPr>
        <w:spacing w:before="0" w:after="120"/>
      </w:pPr>
      <w:r>
        <w:rPr>
          <w:b/>
        </w:rPr>
        <w:t xml:space="preserve">Notes: </w:t>
      </w:r>
      <w:r>
        <w:t>abstract_source=crossref</w:t>
      </w:r>
    </w:p>
    <w:p>
      <w:pPr>
        <w:spacing w:before="0" w:after="80" w:lineRule="auto" w:line="276"/>
      </w:pPr>
      <w:r>
        <w:rPr>
          <w:b/>
        </w:rPr>
        <w:t xml:space="preserve">摘要（ZH）: </w:t>
      </w:r>
      <w:r>
        <w:t>自然界中的复杂功能是由简单构建块的有序组装产生的。由于高能垒和有限的组装控制，在快速环境条件下将胶体聚集体转化为工业规模的光子晶体仍然具有挑战性。在这项研究中，常见的单体充当介质，可以在几秒钟内降低这些障碍并偏置环境剪切诱导的排序。这使得原位加工与具有可调机械性能的胶体光子晶体薄膜的卷对卷制造兼容。坚固的 15 微米厚的薄膜包含超分子基质，可以以每分钟 25 米的速度生产长达 4000 米、宽 1.3 米的薄膜。它们将生动的结构色彩和高透明度（&gt; 90％）与机械鲁棒性和快速自修复结合在一起，展示了高质量胶体光子材料的可扩展途径。</w:t>
      </w:r>
    </w:p>
    <w:p>
      <w:pPr>
        <w:spacing w:before="0" w:after="200" w:lineRule="auto" w:line="276"/>
      </w:pPr>
      <w:r>
        <w:rPr>
          <w:b/>
        </w:rPr>
        <w:t xml:space="preserve">Abstract (EN): </w:t>
      </w:r>
      <w:r>
        <w:t>Complex functions in nature arise from the ordered assembly of simple building blocks. Transformation of colloidal aggregates into industrial-scale photonic crystals under rapid ambient conditions remains challenging owing to high energy barriers and limited assembly control. In this study, common monomers act as mediators that lower these barriers and bias ambient shear-induced ordering within seconds. This enables in situ processing compatible with roll-to-roll manufacturing of colloidal photonic crystal films with tunable mechanical properties. Robust 15-micrometer-thick films, incorporating a supramolecular matrix, can be produced up to 4000 meters long and 1.3 meters wide at a rate of 25 meters per minute. These combine vivid structural color and high transparency (&gt;90%) with mechanical robustness and rapid self-healing, demonstrating a scalable route to high-quality colloidal photonic materials.</w:t>
      </w:r>
    </w:p>
    <w:p>
      <w:pPr>
        <w:spacing w:before="120" w:after="120"/>
      </w:pPr>
      <w:r>
        <w:rPr>
          <w:sz w:val="18"/>
        </w:rPr>
        <w:t>——————————————————————————————————————————————————————————————————————</w:t>
      </w:r>
    </w:p>
    <w:p>
      <w:pPr>
        <w:spacing w:before="160" w:after="40" w:line="240" w:lineRule="auto"/>
      </w:pPr>
      <w:r>
        <w:rPr>
          <w:b/>
        </w:rPr>
        <w:t xml:space="preserve">[1480] </w:t>
      </w:r>
      <w:hyperlink r:id="rId2420">
        <w:r>
          <w:rPr>
            <w:color w:val="1155CC"/>
            <w:u w:val="single"/>
          </w:rPr>
          <w:t>2026年秋季图书 《凋零：一部现代哥特小说》，Dan Warner，Bloomsbury，2026年，336页。 《林下故事》，Chloe Benjamin，Putnam，2026年，512页。 《牛鞭算法：人工智能与美国的种族种姓制度》，Kamau Bobb，Beacon Press，2026年，240页。 《墙亦是路》，Annalee Newitz，Tor Books，2026年，304页。 《暴君蜥蜴女王：地球最伟大食肉动物的爱、生命与恐怖》，Riley Black，St. Martin's Press，2026年，288页。 《毁灭者科巴克：测试工程狂野隐秘世界的其他故事》，Alex Davies，Norton，2026年，272页。 《本书可能引起副作用：反安慰剂效应——安慰剂的邪恶孪生——的奇特而危险的力量》，Helen Pilcher，Abrams Press，2026年，384页。 《碳浪：一个关于民主、育儿与保护地球竞赛的故事》，Leah C. Stokes，MIT Press，2026年，328页。 《我遇见的心智：从否认到拥抱动物的内在生命》，Frans de Waal，Norton，2026年，304页。</w:t>
        </w:r>
      </w:hyperlink>
    </w:p>
    <w:p>
      <w:pPr>
        <w:spacing w:before="0" w:after="80"/>
      </w:pPr>
      <w:r>
        <w:rPr>
          <w:i/>
          <w:sz w:val="20"/>
        </w:rPr>
        <w:t>EN: Fall Books 2026 Wither: A Modern Gothic , Dan Warner , Bloomsbury, 2026, 336 pp. Under Story , Chloe Benjamin , Putnam, 2026, 512 pp. The Bullwhip’s Algorithm: Artificial Intelligence and America’s Racial Caste System , Kamau Bobb , Beacon Press, 2026, 240 pp. A Wall Is Also a Road , Annalee Newitz , Tor Books, 2026, 304 pp. Tyrant Lizard Queen: The Love, Life, and Terror of Earth’s Greatest Carnivore , Riley Black , St. Martin’s Press, 2026, 288 pp. Kobuk the Destroyer: And Other Tales from the Wild, Unseen World of Test Engineering , Alex Davies , Norton, 2026, 272 pp. This Book May Cause Side Effects: The Curious and Dangerous Power of the Nocebo Effect, Placebo’s Evil Twin , Helen Pilcher , Abrams Press, 2026, 384 pp. The Carbon Wave: A Story of Democracy, Parenthood, and the Race to Protect Our Planet , Leah C. Stokes , MIT Press, 2026, 328 pp. Minds I’ve Met: From Denying to Embracing the Inner Lives of Animals , Frans de Waal , Norton, 2026, 304 pp.</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420">
        <w:r>
          <w:rPr>
            <w:color w:val="1155CC"/>
            <w:u w:val="single"/>
          </w:rPr>
          <w:t>10.1126/science.ael0869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[1481] </w:t>
      </w:r>
      <w:hyperlink r:id="rId2370">
        <w:r>
          <w:rPr>
            <w:color w:val="1155CC"/>
            <w:u w:val="single"/>
          </w:rPr>
          <w:t>不均一的TCR链配对限制决定表位识别</w:t>
        </w:r>
      </w:hyperlink>
    </w:p>
    <w:p>
      <w:pPr>
        <w:spacing w:before="0" w:after="80"/>
      </w:pPr>
      <w:r>
        <w:rPr>
          <w:i/>
          <w:sz w:val="20"/>
        </w:rPr>
        <w:t>EN: Uneven TCR chain pairing constraints govern epitope recognition</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70">
        <w:r>
          <w:rPr>
            <w:color w:val="1155CC"/>
            <w:u w:val="single"/>
          </w:rPr>
          <w:t>10.1126/science.adx3863</w:t>
        </w:r>
      </w:hyperlink>
    </w:p>
    <w:p>
      <w:pPr>
        <w:spacing w:before="0" w:after="120"/>
      </w:pPr>
      <w:r>
        <w:rPr>
          <w:b/>
        </w:rPr>
        <w:t xml:space="preserve">Notes: </w:t>
      </w:r>
      <w:r>
        <w:t>abstract_source=crossref</w:t>
      </w:r>
    </w:p>
    <w:p>
      <w:pPr>
        <w:spacing w:before="0" w:after="80" w:lineRule="auto" w:line="276"/>
      </w:pPr>
      <w:r>
        <w:rPr>
          <w:b/>
        </w:rPr>
        <w:t xml:space="preserve">摘要（ZH）: </w:t>
      </w:r>
      <w:r>
        <w:t>独立重组 T 细胞受体 (TCR) α 链和 β 链的组合配对对于 TCR 库多样化至关重要。尽管一条链中的序列基序与表位识别相关，但单链在多大程度上决定特异性仍不清楚。在这里，我们通过强制将各个链与数十万个合作伙伴配对来系统地测试 TCR 链耦合约束。尽管大多数链稳定配对，但表位特异性的保留很少且高度可变，10 个表位中相容伴侣的频率范围为约 10 至 70,000 个表位特异性 TCR。我们的工作阐明了 TCR 链的独特贡献，强调了单链数据的局限性，并为完善 TCR 肽主要组织相容性复合体特异性推断提供了实验和分析框架。</w:t>
      </w:r>
    </w:p>
    <w:p>
      <w:pPr>
        <w:spacing w:before="0" w:after="200" w:lineRule="auto" w:line="276"/>
      </w:pPr>
      <w:r>
        <w:rPr>
          <w:b/>
        </w:rPr>
        <w:t xml:space="preserve">Abstract (EN): </w:t>
      </w:r>
      <w:r>
        <w:t>Combinatorial pairing of independently recombined T cell receptor (TCR) α- and β-chains is central to diversifying the TCR repertoire. Although sequence motifs in one chain correlate with epitope recognition, the extent to which a single chain dictates specificity remains unclear. Here, we systematically tested TCR chain coupling constraints by enforcing the pairing of individual chains with hundreds of thousands of partners. Although most chains paired stably, the preservation of epitope specificity was rare and highly variable, with the frequency of compatible partners ranging from ~10 to 70,000 epitope-specific TCRs across 10 epitopes. Our work illuminates the distinct contributions of TCR chains, highlights the limitations of single-chain data, and provides an experimental and analytical framework for refining TCR-peptide-major histocompatibility complex specificity inference.</w:t>
      </w:r>
    </w:p>
    <w:p>
      <w:pPr>
        <w:spacing w:before="120" w:after="120"/>
      </w:pPr>
      <w:r>
        <w:rPr>
          <w:sz w:val="18"/>
        </w:rPr>
        <w:t>——————————————————————————————————————————————————————————————————————</w:t>
      </w:r>
    </w:p>
    <w:p>
      <w:pPr>
        <w:spacing w:before="160" w:after="40" w:line="240" w:lineRule="auto"/>
      </w:pPr>
      <w:r>
        <w:rPr>
          <w:b/>
        </w:rPr>
        <w:t xml:space="preserve">[1482] </w:t>
      </w:r>
      <w:hyperlink r:id="rId2314">
        <w:r>
          <w:rPr>
            <w:color w:val="1155CC"/>
            <w:u w:val="single"/>
          </w:rPr>
          <w:t>科学家如何揭示西藏和尼泊尔毁灭性洪灾的成因</w:t>
        </w:r>
      </w:hyperlink>
    </w:p>
    <w:p>
      <w:pPr>
        <w:spacing w:before="0" w:after="80"/>
      </w:pPr>
      <w:r>
        <w:rPr>
          <w:i/>
          <w:sz w:val="20"/>
        </w:rPr>
        <w:t>EN: How scientists unraveled the causes of the devastating flood in Tibet and Nepal</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14">
        <w:r>
          <w:rPr>
            <w:color w:val="1155CC"/>
            <w:u w:val="single"/>
          </w:rPr>
          <w:t>10.1126/science.aem0437</w:t>
        </w:r>
      </w:hyperlink>
    </w:p>
    <w:p>
      <w:pPr>
        <w:spacing w:before="0" w:after="120"/>
      </w:pPr>
      <w:r>
        <w:rPr>
          <w:b/>
        </w:rPr>
        <w:t xml:space="preserve">Notes: </w:t>
      </w:r>
      <w:r>
        <w:t>abstract_source=crossref</w:t>
      </w:r>
    </w:p>
    <w:p>
      <w:pPr>
        <w:spacing w:before="0" w:after="80" w:lineRule="auto" w:line="276"/>
      </w:pPr>
      <w:r>
        <w:rPr>
          <w:b/>
        </w:rPr>
        <w:t xml:space="preserve">摘要（ZH）: </w:t>
      </w:r>
      <w:r>
        <w:t>全球合作揭示了巨大的滑坡可能引发了一系列事件</w:t>
      </w:r>
    </w:p>
    <w:p>
      <w:pPr>
        <w:spacing w:before="0" w:after="200" w:lineRule="auto" w:line="276"/>
      </w:pPr>
      <w:r>
        <w:rPr>
          <w:b/>
        </w:rPr>
        <w:t xml:space="preserve">Abstract (EN): </w:t>
      </w:r>
      <w:r>
        <w:t>Global cooperation revealed a huge landslide likely initiated the cascade of events</w:t>
      </w:r>
    </w:p>
    <w:p>
      <w:pPr>
        <w:spacing w:before="120" w:after="120"/>
      </w:pPr>
      <w:r>
        <w:rPr>
          <w:sz w:val="18"/>
        </w:rPr>
        <w:t>——————————————————————————————————————————————————————————————————————</w:t>
      </w:r>
    </w:p>
    <w:p>
      <w:pPr>
        <w:spacing w:before="160" w:after="40" w:line="240" w:lineRule="auto"/>
      </w:pPr>
      <w:r>
        <w:rPr>
          <w:b/>
        </w:rPr>
        <w:t xml:space="preserve">[1483] </w:t>
      </w:r>
      <w:hyperlink r:id="rId2421">
        <w:r>
          <w:rPr>
            <w:color w:val="1155CC"/>
            <w:u w:val="single"/>
          </w:rPr>
          <w:t>边教边学</w:t>
        </w:r>
      </w:hyperlink>
    </w:p>
    <w:p>
      <w:pPr>
        <w:spacing w:before="0" w:after="80"/>
      </w:pPr>
      <w:r>
        <w:rPr>
          <w:i/>
          <w:sz w:val="20"/>
        </w:rPr>
        <w:t>EN: Teaching while learning</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421">
        <w:r>
          <w:rPr>
            <w:color w:val="1155CC"/>
            <w:u w:val="single"/>
          </w:rPr>
          <w:t>10.1126/science.aem0118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[1484] </w:t>
      </w:r>
      <w:hyperlink r:id="rId2346">
        <w:r>
          <w:rPr>
            <w:color w:val="1155CC"/>
            <w:u w:val="single"/>
          </w:rPr>
          <w:t>微管结合区中赖氨酸残基294和311的修饰改变Tau聚集与微管蛋白结合平衡</w:t>
        </w:r>
      </w:hyperlink>
    </w:p>
    <w:p>
      <w:pPr>
        <w:spacing w:before="0" w:after="80"/>
      </w:pPr>
      <w:r>
        <w:rPr>
          <w:i/>
          <w:sz w:val="20"/>
        </w:rPr>
        <w:t>EN: Modifications of Lysine Residues 294 and 311 Within the Microtubule‐Binding Region Alter Tau Aggregation and Tubulin Binding Equilibria</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2346">
        <w:r>
          <w:rPr>
            <w:color w:val="1155CC"/>
            <w:u w:val="single"/>
          </w:rPr>
          <w:t>10.1002/anie.1521091</w:t>
        </w:r>
      </w:hyperlink>
    </w:p>
    <w:p>
      <w:pPr>
        <w:spacing w:before="0" w:after="120"/>
      </w:pPr>
      <w:r>
        <w:rPr>
          <w:b/>
        </w:rPr>
        <w:t xml:space="preserve">Notes: </w:t>
      </w:r>
      <w:r>
        <w:t>abstract_source=crossref</w:t>
      </w:r>
    </w:p>
    <w:p>
      <w:pPr>
        <w:spacing w:before="0" w:after="80" w:lineRule="auto" w:line="276"/>
      </w:pPr>
      <w:r>
        <w:rPr>
          <w:b/>
        </w:rPr>
        <w:t xml:space="preserve">摘要（ZH）: </w:t>
      </w:r>
      <w:r>
        <w:t>摘要 微管相关蛋白 Tau 的功能障碍是阿尔茨海默病和相关 tau 病的一个核心特征，但位点特异性赖氨酸修饰如何调节 Tau 的功能和病理状态仍知之甚少。在这里，我们将蛋白质半合成与全长 Tau 的片段同位素标记和核磁共振波谱相结合，剖析 Tau 微管结合区域内的赖氨酸乙酰化和羧甲基化如何调节其与微管蛋白、微管和淀粉样蛋白组装的相互作用。赖氨酸 294 的位点特异性修饰可延迟 Tau 介导的微管蛋白聚合和原纤维形成，而赖氨酸 311 的乙酰化则发挥更温和的作用，但会改变原纤维形态。片段同位素标记的 Tau 变体的核磁共振波谱表明，单个赖氨酸乙酰化不会明显削弱 Tau 与预先形成的微管的结合；然而，二价乙酰化可能通过累积电荷中和来减少微管结合。总之，这些结果表明赖氨酸乙酰化以位点和价态依赖的方式在功能状态之间重新分配 Tau。我们的研究有助于建立一个将组合赖氨酸修饰与 Tau 功能障碍联系起来的机制框架，并强调区域解析结构方法在破译本质无序蛋白质中翻译后修饰依赖性平衡的效用。</w:t>
      </w:r>
    </w:p>
    <w:p>
      <w:pPr>
        <w:spacing w:before="0" w:after="200" w:lineRule="auto" w:line="276"/>
      </w:pPr>
      <w:r>
        <w:rPr>
          <w:b/>
        </w:rPr>
        <w:t xml:space="preserve">Abstract (EN): </w:t>
      </w:r>
      <w:r>
        <w:t>Dysfunction of the microtubule‐associated protein Tau is a central feature of Alzheimer's disease and related tauopathies, yet how site‐specific lysine modifications modulate the functional and pathological states of Tau remains poorly understood. Here, we combine protein semi‐synthesis with segmental isotope labelling and NMR spectroscopy of full‐length Tau, to dissect how lysine acetylation and carboxymethylation within the microtubule‐binding region of Tau regulate its interactions with tubulin, microtubules, and amyloid assembly. Site‐specific modification at lysine 294 delays Tau‐mediated tubulin polymerization and fibril formation, whereas acetylation at lysine 311 exerts more moderate effects, but alters fibril morphology. NMR spectroscopy of segmentally isotope‐labelled Tau variants indicates that single lysine acetylation does not measurably weaken Tau binding to pre‐formed microtubules; however, bivalent acetylation reduces microtubule binding, possibly by cumulative charge neutralization. Together, these results indicate that lysine acetylation redistributes Tau between functional states in a site‐ and valency‐dependent manner. Our study helps to establish a mechanistic framework linking combinatorial lysine modifications to Tau dysfunction and highlights the utility of region‐resolved structural approaches to decipher posttranslational modification–dependent equilibria in intrinsically disordered proteins.</w:t>
      </w:r>
    </w:p>
    <w:p>
      <w:pPr>
        <w:spacing w:before="120" w:after="120"/>
      </w:pPr>
      <w:r>
        <w:rPr>
          <w:sz w:val="18"/>
        </w:rPr>
        <w:t>——————————————————————————————————————————————————————————————————————</w:t>
      </w:r>
    </w:p>
    <w:p>
      <w:pPr>
        <w:spacing w:before="160" w:after="40" w:line="240" w:lineRule="auto"/>
      </w:pPr>
      <w:r>
        <w:rPr>
          <w:b/>
        </w:rPr>
        <w:t xml:space="preserve">[1485] </w:t>
      </w:r>
      <w:hyperlink r:id="rId2348">
        <w:r>
          <w:rPr>
            <w:color w:val="1155CC"/>
            <w:u w:val="single"/>
          </w:rPr>
          <w:t>双锁定策略通过铝-吡咯框架实现高选择性的间二甲苯分离</w:t>
        </w:r>
      </w:hyperlink>
    </w:p>
    <w:p>
      <w:pPr>
        <w:spacing w:before="0" w:after="80"/>
      </w:pPr>
      <w:r>
        <w:rPr>
          <w:i/>
          <w:sz w:val="20"/>
        </w:rPr>
        <w:t>EN: A Dual Locking Strategy Enables Highly Selective meta ‐Xylene Separation With an Aluminum‐Pyrrolic Framework</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2348">
        <w:r>
          <w:rPr>
            <w:color w:val="1155CC"/>
            <w:u w:val="single"/>
          </w:rPr>
          <w:t>10.1002/anie.4842714</w:t>
        </w:r>
      </w:hyperlink>
    </w:p>
    <w:p>
      <w:pPr>
        <w:spacing w:before="0" w:after="120"/>
      </w:pPr>
      <w:r>
        <w:rPr>
          <w:b/>
        </w:rPr>
        <w:t xml:space="preserve">Notes: </w:t>
      </w:r>
      <w:r>
        <w:t>abstract_source=crossref</w:t>
      </w:r>
    </w:p>
    <w:p>
      <w:pPr>
        <w:spacing w:before="0" w:after="80" w:lineRule="auto" w:line="276"/>
      </w:pPr>
      <w:r>
        <w:rPr>
          <w:b/>
        </w:rPr>
        <w:t xml:space="preserve">摘要（ZH）: </w:t>
      </w:r>
      <w:r>
        <w:t>摘要 由于二甲苯异构体几乎相同的物理化学性质，有效分离二甲苯异构体仍然是一个重大挑战。在这里，我们报告了铝-吡咯框架（Al-PyDC）中的双重锁定策略，其V形配体具有AlO 6 链和吡咯双重识别位点，可同时稳定V形间二甲苯（mX）。这种双重锁定效应促进了mX在有限通道内的密集堆积，从而导致mX（4.0 mmol g -1 ）的高吸附容量，远高于邻二甲苯（oX，2.5 mmol g -1 ）和对二甲苯（pX，2.0 mmol g -1 ）。模拟和固态核磁共振波谱进一步证实，与 pX 相比，mX 与 AlO 6 链和吡咯配体具有更强的锁定相互作用。值得注意的是，双重锁定效应是温度依赖性的，升高的温度会加速分子扩散，从而削弱识别的有效性。因此，Al-PyDC 在环境温度（303 K）下的气相突破测量中实现了 8.0 的优异 mX/pX 选择性，优于大多数 MOF 同类产品。此外，采用具有V形AlO 6 -苯基-AlO 6 双锁定位点的同构CAU-10-H作为对照材料来阐明活性位点在分子识别中的作用。这种双重锁定策略为增强具有挑战性的异构体分离的吸附能力和选择性提供了有效的方法。</w:t>
      </w:r>
    </w:p>
    <w:p>
      <w:pPr>
        <w:spacing w:before="0" w:after="200" w:lineRule="auto" w:line="276"/>
      </w:pPr>
      <w:r>
        <w:rPr>
          <w:b/>
        </w:rPr>
        <w:t xml:space="preserve">Abstract (EN): </w:t>
      </w:r>
      <w:r>
        <w:t>Efficient separation of xylene isomers remains a significant challenge due to their nearly identical physicochemical properties. Here, we report a dual locking strategy in an aluminum–pyrrolic framework (Al‐PyDC) with V‐shaped ligand featured AlO 6 chains and pyrrole dual recognition sites that simultaneously stabilize the V‐shaped meta ‐xylene (mX). This dual‐locking effect promotes dense packing of mX within confined channels, resulting in a high adsorption capacity for mX (4.0 mmol g −1 ), which is much higher than that for ortho ‐xylene (oX, 2.5 mmol g −1 ) and para ‐xylene (pX, 2.0 mmol g −1 ). The simulations and solid‐state NMR spectroscopy further confirmed that mX experienced stronger locking interactions with the AlO 6 chains and pyrrolic ligands compared to pX. Notably, the dual locking effect was temperature‐dependent, and elevated temperature accelerated molecular diffusion, thereby weakening the effectiveness of the recognition. Hence, Al‐PyDC achieved an excellent mX/pX selectivity of 8.0 in vapor‐phase breakthrough measurements at ambient temperature (303 K), which outperformed most of the MOF counterparts. Additionally, the isomorphic CAU‐10‐H with V‐shaped AlO 6 –phenyl–AlO 6 dual locking sites was employed as a control material to elucidate the role of active‐site in molecular recognition. This dual locking strategy offered an effective approach for enhancing the adsorption capacity and selectivity for challenging isomer separations.</w:t>
      </w:r>
    </w:p>
    <w:p>
      <w:pPr>
        <w:spacing w:before="120" w:after="120"/>
      </w:pPr>
      <w:r>
        <w:rPr>
          <w:sz w:val="18"/>
        </w:rPr>
        <w:t>——————————————————————————————————————————————————————————————————————</w:t>
      </w:r>
    </w:p>
    <w:p>
      <w:pPr>
        <w:spacing w:before="160" w:after="40" w:line="240" w:lineRule="auto"/>
      </w:pPr>
      <w:r>
        <w:rPr>
          <w:b/>
        </w:rPr>
        <w:t xml:space="preserve">[1486] </w:t>
      </w:r>
      <w:hyperlink r:id="rId2350">
        <w:r>
          <w:rPr>
            <w:color w:val="1155CC"/>
            <w:u w:val="single"/>
          </w:rPr>
          <w:t>来自珊瑚来源细菌的广谱、作用于细胞被膜的Marinocyclin抗生素对粘菌素耐药细菌有效</w:t>
        </w:r>
      </w:hyperlink>
    </w:p>
    <w:p>
      <w:pPr>
        <w:spacing w:before="0" w:after="80"/>
      </w:pPr>
      <w:r>
        <w:rPr>
          <w:i/>
          <w:sz w:val="20"/>
        </w:rPr>
        <w:t>EN: Broad‐Spectrum, Cell Envelope‐Active Marinocyclin Antibiotics From a Coral‐Derived Bacterium Are Effective Against Colistin‐Resistant Bacteria</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2350">
        <w:r>
          <w:rPr>
            <w:color w:val="1155CC"/>
            <w:u w:val="single"/>
          </w:rPr>
          <w:t>10.1002/anie.7705008</w:t>
        </w:r>
      </w:hyperlink>
    </w:p>
    <w:p>
      <w:pPr>
        <w:spacing w:before="0" w:after="120"/>
      </w:pPr>
      <w:r>
        <w:rPr>
          <w:b/>
        </w:rPr>
        <w:t xml:space="preserve">Notes: </w:t>
      </w:r>
      <w:r>
        <w:t>abstract_source=crossref</w:t>
      </w:r>
    </w:p>
    <w:p>
      <w:pPr>
        <w:spacing w:before="0" w:after="80" w:lineRule="auto" w:line="276"/>
      </w:pPr>
      <w:r>
        <w:rPr>
          <w:b/>
        </w:rPr>
        <w:t xml:space="preserve">摘要（ZH）: </w:t>
      </w:r>
      <w:r>
        <w:t>摘要 海洋细菌属 Aquimarina 包含多种成员，具有大量天然产物生物合成基因簇，但特征化合物很少。在这里，我们报告了一类具有特殊抗生素活性的新型脂肽，称为 marinocyclins，从与八珊瑚 Eunicella labiata 相关的 Aquimarina megaterium EL43 中分离出来。主要同源物 marinocyclin A 对多种耐药革兰氏阴性和革兰氏阳性病原体（包括 ESKAPE 细菌）表现出有效且一致的活性。该天然产物有效地破坏了细菌的外膜和内膜，导致细胞快速透化和裂解。这种活性特征是由结合脂多糖、富含细菌膜的阴离子磷脂和肽聚糖前体的能力介导的。真核细胞毒性需要比抗菌活性更高的剂量。基因组数据表明马林环素的非核糖体生物合成起源。这些发现将 marinocyclins 定位为一种有前景的抗生素开发新支架，并凸显了 Aquimarina spp 的潜力。作为新型抗生素的来源。马林环素的进一步药物化学优化可以增强其原核选择性，以产生治疗耐药病原体引起的感染的先导化合物。</w:t>
      </w:r>
    </w:p>
    <w:p>
      <w:pPr>
        <w:spacing w:before="0" w:after="200" w:lineRule="auto" w:line="276"/>
      </w:pPr>
      <w:r>
        <w:rPr>
          <w:b/>
        </w:rPr>
        <w:t xml:space="preserve">Abstract (EN): </w:t>
      </w:r>
      <w:r>
        <w:t>The marine bacterial genus Aquimarina comprises diverse members with numerous natural product biosynthetic gene clusters but few characterized compounds. Here we report a novel class of lipopeptides with exceptional antibiotic activity, named marinocyclins, isolated from Aquimarina megaterium EL43 associated with the octocoral Eunicella labiata . The major congener marinocyclin A exhibited potent and uniform activity against a broad panel of drug‐resistant gram‐negative and gram‐positive pathogens, including ESKAPE bacteria. The natural product efficiently compromised the outer and inner bacterial membranes, leading to rapid cell permeabilization and lysis. This activity profile was mediated by the ability to bind lipopolysaccharides, anionic phospholipids enriched in bacterial membranes, and peptidoglycan precursors. Eukaryotic cytotoxicity required higher doses than antibacterial activity. Genomic data suggest a nonribosomal biosynthetic origin for marinocyclins. These findings position marinocyclins as a promising new scaffold for antibiotic development and highlight the potential of Aquimarina spp. as a source of novel antibiotics. Further medicinal chemistry optimization of marinocyclins could enhance their prokaryotic selectivity to generate leads for treating infections caused by drug‐resistant pathogens.</w:t>
      </w:r>
    </w:p>
    <w:p>
      <w:pPr>
        <w:spacing w:before="120" w:after="120"/>
      </w:pPr>
      <w:r>
        <w:rPr>
          <w:sz w:val="18"/>
        </w:rPr>
        <w:t>——————————————————————————————————————————————————————————————————————</w:t>
      </w:r>
    </w:p>
    <w:p>
      <w:pPr>
        <w:spacing w:before="160" w:after="40" w:line="240" w:lineRule="auto"/>
      </w:pPr>
      <w:r>
        <w:rPr>
          <w:b/>
        </w:rPr>
        <w:t xml:space="preserve">[1487] </w:t>
      </w:r>
      <w:hyperlink r:id="rId2352">
        <w:r>
          <w:rPr>
            <w:color w:val="1155CC"/>
            <w:u w:val="single"/>
          </w:rPr>
          <w:t>未培养疣微菌门共生体的非经典Peloruside A生物合成</w:t>
        </w:r>
      </w:hyperlink>
    </w:p>
    <w:p>
      <w:pPr>
        <w:spacing w:before="0" w:after="80"/>
      </w:pPr>
      <w:r>
        <w:rPr>
          <w:i/>
          <w:sz w:val="20"/>
        </w:rPr>
        <w:t>EN: Noncanonical Peloruside A Biosynthesis by an Uncultivated Verrucomicrobiota Symbiont</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2352">
        <w:r>
          <w:rPr>
            <w:color w:val="1155CC"/>
            <w:u w:val="single"/>
          </w:rPr>
          <w:t>10.1002/anie.2011872</w:t>
        </w:r>
      </w:hyperlink>
    </w:p>
    <w:p>
      <w:pPr>
        <w:spacing w:before="0" w:after="120"/>
      </w:pPr>
      <w:r>
        <w:rPr>
          <w:b/>
        </w:rPr>
        <w:t xml:space="preserve">Notes: </w:t>
      </w:r>
      <w:r>
        <w:t>abstract_source=crossref</w:t>
      </w:r>
    </w:p>
    <w:p>
      <w:pPr>
        <w:spacing w:before="0" w:after="80" w:lineRule="auto" w:line="276"/>
      </w:pPr>
      <w:r>
        <w:rPr>
          <w:b/>
        </w:rPr>
        <w:t xml:space="preserve">摘要（ZH）: </w:t>
      </w:r>
      <w:r>
        <w:t>摘要 Peloruside A 是一种在海洋海绵 Mycale hentscheli 中发现的聚酮化合物大环内酯，由于其能够稳定非紫杉烷结合位点的微管蛋白，因此是一种有前途的抗癌药物候选物。人们做出了大量努力，通过化学合成和海水养殖来改善这种稀缺物质的供应，但尚未实现可持续生产。最近的微生物组测序表明，细菌生产者负责所有 M. hentscheli 生物活性化合物的产生，但 Peloruside 生产者的身份仍然未知。此外，在计算机中鉴定了一种候选的盘苷聚酮合酶（PKS），但其高度异常的结构阻碍了对药理学上重要的环外双键的可靠生物合成预测。在这里，我们揭示了一个异常复杂的模块化 PKS 途径，包括非延长酮合酶 (KS)、两种内部硫酯酶 (TE) 和乙酰辅酶 A 连接酶，该连接酶协调 ​​O 乙酰化/消除、乙酰辅酶 A 回收和构型校对以促进选择性 Z 双键掺入。第一个内部 TE 属于先前表征的 O 酰化 TE 家族，但包含促进双功能酰化/消除活性的关键氨基酸取代。此外，我们确定了 Peloruside 的生产者为“Candidatus Pelorusia oculta”，它是疣微生物门中生化尚未充分探索的 Lentisphaeria 类的成员。本工作为异源海藻苷的生产提供了生化和微生物学基础。</w:t>
      </w:r>
    </w:p>
    <w:p>
      <w:pPr>
        <w:spacing w:before="0" w:after="200" w:lineRule="auto" w:line="276"/>
      </w:pPr>
      <w:r>
        <w:rPr>
          <w:b/>
        </w:rPr>
        <w:t xml:space="preserve">Abstract (EN): </w:t>
      </w:r>
      <w:r>
        <w:t>Peloruside A, a polyketide macrolide identified in the marine sponge Mycale hentscheli , is a promising anticancer drug candidate due to its ability to stabilize tubulin at a nontaxoid binding site. Substantial efforts were made to improve the supply of this scarce substance through chemical synthesis and mariculture, however, sustainable production has yet to be achieved. Recent microbiome sequencing suggested that bacterial producers are responsible for all M. hentscheli bioactive compounds, but the identity of the peloruside producer remained unknown. Furthermore, a candidate peloruside polyketide synthase (PKS) was identified in silico, but its highly aberrant architecture prevented a confident biosynthetic prediction for the pharmacologically important exocyclic double bond. Here, we reveal an unusually complex modular PKS pathway comprising nonelongating ketosynthases (KSs), two internal thioesterases (TEs), and an acetyl coenzyme A ligase that orchestrate O ‐acetylation/elimination, acetyl‐CoA recycling, and configurational proof‐reading to facilitate selective Z ‐double bond incorporation. The first internal TE falls into a previously characterized O ‐acylating TE family but contains key amino acid substitutions that facilitate bifunctional acylation/elimination activity. Furthermore, we identified the peloruside producer as ‘ Candidatus Pelorusia occulta’, a member of the biochemically underexplored Lentisphaeria class within the phylum Verrucomicrobiota. This work provides the biochemical and microbiological foundation for heterologous peloruside production.</w:t>
      </w:r>
    </w:p>
    <w:p>
      <w:pPr>
        <w:spacing w:before="120" w:after="120"/>
      </w:pPr>
      <w:r>
        <w:rPr>
          <w:sz w:val="18"/>
        </w:rPr>
        <w:t>——————————————————————————————————————————————————————————————————————</w:t>
      </w:r>
    </w:p>
    <w:p>
      <w:pPr>
        <w:spacing w:before="160" w:after="40" w:line="240" w:lineRule="auto"/>
      </w:pPr>
      <w:r>
        <w:rPr>
          <w:b/>
        </w:rPr>
        <w:t xml:space="preserve">[1488] </w:t>
      </w:r>
      <w:hyperlink r:id="rId2354">
        <w:r>
          <w:rPr>
            <w:color w:val="1155CC"/>
            <w:u w:val="single"/>
          </w:rPr>
          <w:t>在钙钛矿铁电体中实现全波长光激发热电用于长波红外探测</w:t>
        </w:r>
      </w:hyperlink>
    </w:p>
    <w:p>
      <w:pPr>
        <w:spacing w:before="0" w:after="80"/>
      </w:pPr>
      <w:r>
        <w:rPr>
          <w:i/>
          <w:sz w:val="20"/>
        </w:rPr>
        <w:t>EN: Achieve the Full‐Wavelength Photoexcited Pyroelectricity in Perovskite Ferroelectric for Long‐Wave Infrared Detection</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2354">
        <w:r>
          <w:rPr>
            <w:color w:val="1155CC"/>
            <w:u w:val="single"/>
          </w:rPr>
          <w:t>10.1002/anie.1197888</w:t>
        </w:r>
      </w:hyperlink>
    </w:p>
    <w:p>
      <w:pPr>
        <w:spacing w:before="0" w:after="120"/>
      </w:pPr>
      <w:r>
        <w:rPr>
          <w:b/>
        </w:rPr>
        <w:t xml:space="preserve">Notes: </w:t>
      </w:r>
      <w:r>
        <w:t>abstract_source=crossref</w:t>
      </w:r>
    </w:p>
    <w:p>
      <w:pPr>
        <w:spacing w:before="0" w:after="80" w:lineRule="auto" w:line="276"/>
      </w:pPr>
      <w:r>
        <w:rPr>
          <w:b/>
        </w:rPr>
        <w:t xml:space="preserve">摘要（ZH）: </w:t>
      </w:r>
      <w:r>
        <w:t>摘要：铁电材料已成为一类有前途的光电候选材料，因为它们具有强光偏振耦合，可产生令人着迷的物理属性。特别是，源自光致自发偏振（ P s ）变化的光激发热释电具有超宽带光电探测甚至长波红外光学区域的潜力。我们首次在二维钙钛矿铁电体 (4-乙基苯胺) 2 (乙基铵) 2 Pb 3 Br 10 (1) 中呈现全波长可切换的光生热释电效应，覆盖紫外到长波红外光谱范围。它是一种高温铁电体（T c = 390 K），具有优异的热电性，包括大的热电系数和品质因数。引人注目的是，在从紫外线（266 nm）到长波红外（12.5 µm）区域的照射下，1 中获得了鲁棒的全波长光激发热释电响应，远远超出了其固有的光学带隙。这些 P s 依赖的光活性可以通过电极化进行电切换和控制。因此，基于晶体的器件 1 可以实现超宽带光电探测，这一点已通过对人体辐射的高灵敏响应得到验证。作为第一份关于钙钛矿铁电体全波长光激发热释电的报告，我们的研究强调了新一代宽带光电器件的一种有前景的策略。</w:t>
      </w:r>
    </w:p>
    <w:p>
      <w:pPr>
        <w:spacing w:before="0" w:after="200" w:lineRule="auto" w:line="276"/>
      </w:pPr>
      <w:r>
        <w:rPr>
          <w:b/>
        </w:rPr>
        <w:t xml:space="preserve">Abstract (EN): </w:t>
      </w:r>
      <w:r>
        <w:t>Ferroelectric materials have emerged as a promising class of optoelectronic candidates, due to their strong light‐polarization couplings that lead to fascinating physical attributes. Especially, photoexcited pyroelectricity originating from light‐induced variation of spontaneous polarization ( P s ) holds potentials for ultra‐broadband photodetection even up to long‐wave infrared optical region. For the first time, we present the full‐wavelength switchable photoexcited pyroelectric effects in a two‐dimensional perovskite ferroelectric, (4‐ethylanilinium) 2 (ethylammonium) 2 Pb 3 Br 10 ( 1 ), covering ultraviolet to long‐wave infrared spectral range. It is a high‐temperature ferroelectric ( T c = 390 K) with superior pyroelectricity, including large pyroelectric coefficients and figure‐of‐merits. Strikingly, robust full‐wavelength photoexcited pyroelectric responses are obtained in 1 under irradiation from ultraviolet (266 nm) to long‐wave infrared (12.5 µm) region, far beyond its intrinsic optical bandgap. These P s ‐dependent photoactivities can be electrically switched and controlled by electric poling. Thus, crystal‐based device of 1 allows ultrabroadband photodetection, as verified by highly‐sensitive response to human radiation. As the first report on full‐wavelength photoexcited pyroelectricity in perovskite ferroelectrics, our study highlights a promising strategy for new‐generation broadband optoelectronic devices.</w:t>
      </w:r>
    </w:p>
    <w:p>
      <w:pPr>
        <w:spacing w:before="120" w:after="120"/>
      </w:pPr>
      <w:r>
        <w:rPr>
          <w:sz w:val="18"/>
        </w:rPr>
        <w:t>——————————————————————————————————————————————————————————————————————</w:t>
      </w:r>
    </w:p>
    <w:p>
      <w:pPr>
        <w:spacing w:before="160" w:after="40" w:line="240" w:lineRule="auto"/>
      </w:pPr>
      <w:r>
        <w:rPr>
          <w:b/>
        </w:rPr>
        <w:t xml:space="preserve">[1489] </w:t>
      </w:r>
      <w:hyperlink r:id="rId2358">
        <w:r>
          <w:rPr>
            <w:color w:val="1155CC"/>
            <w:u w:val="single"/>
          </w:rPr>
          <w:t>混合铌氧化物氟化物中的可逆对称性切换、巨双折射与紫外二次谐波产生</w:t>
        </w:r>
      </w:hyperlink>
    </w:p>
    <w:p>
      <w:pPr>
        <w:spacing w:before="0" w:after="80"/>
      </w:pPr>
      <w:r>
        <w:rPr>
          <w:i/>
          <w:sz w:val="20"/>
        </w:rPr>
        <w:t>EN: Reversible Symmetry Switching, Giant Birefringence, and UV Second‐Harmonic Generation in Hybrid Niobium Oxyfluorides</w:t>
      </w:r>
    </w:p>
    <w:p>
      <w:pPr>
        <w:spacing w:before="0" w:after="120"/>
      </w:pPr>
      <w:r>
        <w:rPr>
          <w:b/>
        </w:rPr>
        <w:t xml:space="preserve">Source: </w:t>
      </w:r>
      <w:r>
        <w:t>Angewandte Chemie International Edition</w:t>
      </w:r>
      <w:r>
        <w:t xml:space="preserve">    </w:t>
      </w:r>
      <w:r>
        <w:rPr>
          <w:b/>
        </w:rPr>
        <w:t xml:space="preserve">Pub date: </w:t>
      </w:r>
      <w:r>
        <w:t>2026-09-03 00:00:00+00:00</w:t>
      </w:r>
      <w:r>
        <w:t xml:space="preserve">    </w:t>
      </w:r>
      <w:r>
        <w:rPr>
          <w:b/>
        </w:rPr>
        <w:t xml:space="preserve">DOI: </w:t>
      </w:r>
      <w:hyperlink r:id="rId2358">
        <w:r>
          <w:rPr>
            <w:color w:val="1155CC"/>
            <w:u w:val="single"/>
          </w:rPr>
          <w:t>10.1002/anie.9788311</w:t>
        </w:r>
      </w:hyperlink>
    </w:p>
    <w:p>
      <w:pPr>
        <w:spacing w:before="0" w:after="120"/>
      </w:pPr>
      <w:r>
        <w:rPr>
          <w:b/>
        </w:rPr>
        <w:t xml:space="preserve">Notes: </w:t>
      </w:r>
      <w:r>
        <w:t>abstract_source=crossref</w:t>
      </w:r>
    </w:p>
    <w:p>
      <w:pPr>
        <w:spacing w:before="0" w:after="80" w:lineRule="auto" w:line="276"/>
      </w:pPr>
      <w:r>
        <w:rPr>
          <w:b/>
        </w:rPr>
        <w:t xml:space="preserve">摘要（ZH）: </w:t>
      </w:r>
      <w:r>
        <w:t>摘要：同时表现出大光学各向异性和宽带隙的双折射晶体对于先进光子技术来说是非常理想的，但这些特性通常是相互制约的，因为增强双折射的结构特征通常会损害光学透明度。在此，我们报告了四种新的杂化铌氟氧化物菲咯啉化合物，[Hphen]NbOF 4 ∙H 2 O ( NP1 )、α-[Hphen]NbOF 4 ( NP2 )、β-[Hphen]NbOF 4 ( NP3 ) 和 [Hphen] 2 NbOF 5 ( NP4 )，这是通过合成条件的系统变化获得的。中心对称水合相 NP1 的热脱水通过可逆晶体间转变产生非中心对称（NCS）脱水相 NP2，双折射率在 546 nm 处从 0.354 增加到 0.419。进一步优化后的 NP3 表现出 1.2 × KDP 的增强二次谐波生成 (SHG) 响应，而 NP2 的二次谐波生成 (SHG) 响应为 0.09 × KDP。引人注目的是，从一维链型氟氧化铌骨架（NP1-NP3）到孤立NbOF 5 单元（NP4）的零维结构的转变消除了菲咯啉排列的几何限制，实现了π共轭发色团的近共面排列以及铌基晶体在546 nm处创纪录的高双折射率0.618。所有四种化合物都保留了 3.2-3.3 eV 的宽光学带隙，表明在单一材料系列中可以同时实现巨大的双折射和紫外线透明度。这些结果将框架维度确立为克服选择之间权衡的可行策略</w:t>
      </w:r>
    </w:p>
    <w:p>
      <w:pPr>
        <w:spacing w:before="0" w:after="200" w:lineRule="auto" w:line="276"/>
      </w:pPr>
      <w:r>
        <w:rPr>
          <w:b/>
        </w:rPr>
        <w:t xml:space="preserve">Abstract (EN): </w:t>
      </w:r>
      <w:r>
        <w:t>Birefringent crystals that simultaneously exhibit large optical anisotropy and wide band gaps are highly desirable for advanced photonic technologies, yet these properties are often mutually constrained because structural features that enhance birefringence often compromise optical transparency. Herein, we report four new hybrid niobium oxyfluoride phenanthroline compounds, [Hphen]NbOF 4 ∙H 2 O ( NP1 ), α‐[Hphen]NbOF 4 ( NP2 ), β‐[Hphen]NbOF 4 ( NP3 ), and [Hphen] 2 NbOF 5 ( NP4 ), obtained through systematic variation of synthetic conditions. Thermal dehydration of centrosymmetric hydrated phase NP1 yields noncentrosymmetric (NCS) dehydrated phase NP2 through reversible crystal‐to‐crystal transformation, with birefringence increasing from 0.354 to 0.419 at 546 nm. Further optimization affords NP3 , which exhibits an enhanced second‐harmonic generation (SHG) response of 1.2 × KDP, compared with 0.09 × KDP for NP2 . Strikingly, transformation from a one‐dimensional chain‐type niobium oxyfluoride framework ( NP1–NP3 ) to a zero‐dimensional structure of isolated NbOF 5 units ( NP4 ) removes geometric constraints on phenanthroline alignment, enabling near‐coplanar arrangement of π‐conjugated chromophores and a record‐high birefringence of 0.618 at 546 nm for a Nb‐based crystal. All four compounds retain wide optical band gaps of 3.2–3.3 eV, demonstrating that giant birefringence and UV transparency are simultaneously achievable within a single material family. These results establish framework dimensionality as a viable strategy for overcoming the trade‐off between optical anisotropy and transparency.</w:t>
      </w:r>
    </w:p>
    <w:p>
      <w:pPr>
        <w:spacing w:before="120" w:after="120"/>
      </w:pPr>
      <w:r>
        <w:rPr>
          <w:sz w:val="18"/>
        </w:rPr>
        <w:t>——————————————————————————————————————————————————————————————————————</w:t>
      </w:r>
    </w:p>
    <w:p>
      <w:pPr>
        <w:spacing w:before="160" w:after="40" w:line="240" w:lineRule="auto"/>
      </w:pPr>
      <w:r>
        <w:rPr>
          <w:b/>
        </w:rPr>
        <w:t xml:space="preserve">[1490] </w:t>
      </w:r>
      <w:hyperlink r:id="rId2252">
        <w:r>
          <w:rPr>
            <w:color w:val="1155CC"/>
            <w:u w:val="single"/>
          </w:rPr>
          <w:t>具有层依赖符号变化的三维拓扑自旋织构之间的相互作用调控晶格对称性</w:t>
        </w:r>
      </w:hyperlink>
    </w:p>
    <w:p>
      <w:pPr>
        <w:spacing w:before="0" w:after="80"/>
      </w:pPr>
      <w:r>
        <w:rPr>
          <w:i/>
          <w:sz w:val="20"/>
        </w:rPr>
        <w:t>EN: Interaction Between Three‐Dimensional Topological Spin Textures With Layer‐Dependent Sign Change Tunes Lattice Symmetry</w:t>
      </w:r>
    </w:p>
    <w:p>
      <w:pPr>
        <w:spacing w:before="0" w:after="120"/>
      </w:pPr>
      <w:r>
        <w:rPr>
          <w:b/>
        </w:rPr>
        <w:t xml:space="preserve">Source: </w:t>
      </w:r>
      <w:r>
        <w:t>Advanced Materials</w:t>
      </w:r>
      <w:r>
        <w:t xml:space="preserve">    </w:t>
      </w:r>
      <w:r>
        <w:rPr>
          <w:b/>
        </w:rPr>
        <w:t xml:space="preserve">Pub date: </w:t>
      </w:r>
      <w:r>
        <w:t>2026-09-03 00:00:00+00:00</w:t>
      </w:r>
      <w:r>
        <w:t xml:space="preserve">    </w:t>
      </w:r>
      <w:r>
        <w:rPr>
          <w:b/>
        </w:rPr>
        <w:t xml:space="preserve">DOI: </w:t>
      </w:r>
      <w:hyperlink r:id="rId2252">
        <w:r>
          <w:rPr>
            <w:color w:val="1155CC"/>
            <w:u w:val="single"/>
          </w:rPr>
          <w:t>10.1002/adma.74896</w:t>
        </w:r>
      </w:hyperlink>
    </w:p>
    <w:p>
      <w:pPr>
        <w:spacing w:before="0" w:after="120"/>
      </w:pPr>
      <w:r>
        <w:rPr>
          <w:b/>
        </w:rPr>
        <w:t xml:space="preserve">Notes: </w:t>
      </w:r>
      <w:r>
        <w:t>abstract_source=crossref</w:t>
      </w:r>
    </w:p>
    <w:p>
      <w:pPr>
        <w:spacing w:before="0" w:after="80" w:lineRule="auto" w:line="276"/>
      </w:pPr>
      <w:r>
        <w:rPr>
          <w:b/>
        </w:rPr>
        <w:t xml:space="preserve">摘要（ZH）: </w:t>
      </w:r>
      <w:r>
        <w:t>摘要：三维（3D）拓扑自旋纹理在厚度维度上拥有丰富的内部结构，并能够实现新兴的拓扑现象。然而，它们的层解析纹理和内部奇点是否从根本上改变了层内相互作用超出了刚性管相互作用模型的范围，仍未得到探索。在这里，我们表明，在 3D 混合斯格明子-反斯格明子弦中，依赖于层的拓扑会引起整个薄膜厚度上符号变化的相互作用，从而在每个纹理内的不同层之间以及相邻 3D 弦之间产生吸引力和排斥力之间的切换。这种垂直不对称的吸引-排斥相互作用驱动方形和三角形弦晶格之间的可调过渡，与我们的实验一致。计算模拟将四极布洛赫点识别为内部拓扑连接点，其垂直迁移介导表面附近的排斥斯格明子片段与内部有吸引力的反斯格明子片段之间的层内竞争。我们进一步表明，平均拓扑电荷量化了两个竞争拓扑段的相对厚度分数，并在广泛的磁参数范围内稳健地捕获晶格相界。这些发现强调了拓扑材料中表面体积差异的重要性，并将垂直不对称相互作用确立为 3D 磁系统中拓扑相位控制的内在机制。</w:t>
      </w:r>
    </w:p>
    <w:p>
      <w:pPr>
        <w:spacing w:before="0" w:after="200" w:lineRule="auto" w:line="276"/>
      </w:pPr>
      <w:r>
        <w:rPr>
          <w:b/>
        </w:rPr>
        <w:t xml:space="preserve">Abstract (EN): </w:t>
      </w:r>
      <w:r>
        <w:t>Three‐dimensional (3D) topological spin textures host rich internal structures in thickness dimensions and enable emergent topological phenomena. However, whether their layer‐resolved textures and internal singularities fundamentally modify intralayer interactions lies beyond rigid‐tube interaction models and remains unexplored. Here we show that, in 3D hybrid skyrmion‐antiskyrmion strings, the layer‐dependent topology gives rise to interactions with a sign change across the film thickness, producing a switch between attraction and repulsion both among different layers within each texture and between neighboring 3D strings. This vertically asymmetric attractive‐repulsive interaction drives a tunable transition between square and triangular string lattices, in agreement with our experiment. Computational simulations identify quadrupolar Bloch points as internal topological junctions whose vertical migration mediates the intralayer competition between repulsive skyrmion segments near the surfaces and attractive antiskyrmion segments in the interior. We further show that the averaged topological charge quantifies the relative thickness fractions of the two competing topological segments and robustly captures the lattice phase boundary over a broad range of magnetic parameters. These findings highlight the importance of the surface‐bulk difference in topological materials and establish vertically asymmetric interactions as an intrinsic mechanism for topological phase control in 3D magnetic systems.</w:t>
      </w:r>
    </w:p>
    <w:p>
      <w:pPr>
        <w:spacing w:before="120" w:after="120"/>
      </w:pPr>
      <w:r>
        <w:rPr>
          <w:sz w:val="18"/>
        </w:rPr>
        <w:t>——————————————————————————————————————————————————————————————————————</w:t>
      </w:r>
    </w:p>
    <w:p>
      <w:pPr>
        <w:spacing w:before="160" w:after="40" w:line="240" w:lineRule="auto"/>
      </w:pPr>
      <w:r>
        <w:rPr>
          <w:b/>
        </w:rPr>
        <w:t xml:space="preserve">[1491] </w:t>
      </w:r>
      <w:hyperlink r:id="rId2294">
        <w:r>
          <w:rPr>
            <w:color w:val="1155CC"/>
            <w:u w:val="single"/>
          </w:rPr>
          <w:t>极性纤锌矿NbAlN:用于极化工程GaN异质结构的过渡金属氮化物合金</w:t>
        </w:r>
      </w:hyperlink>
    </w:p>
    <w:p>
      <w:pPr>
        <w:spacing w:before="0" w:after="80"/>
      </w:pPr>
      <w:r>
        <w:rPr>
          <w:i/>
          <w:sz w:val="20"/>
        </w:rPr>
        <w:t>EN: Polar Wurtzite NbAlN: A Transition‐Metal Nitride Alloy for Polarization‐Engineered GaN Heterostructures</w:t>
      </w:r>
    </w:p>
    <w:p>
      <w:pPr>
        <w:spacing w:before="0" w:after="120"/>
      </w:pPr>
      <w:r>
        <w:rPr>
          <w:b/>
        </w:rPr>
        <w:t xml:space="preserve">Source: </w:t>
      </w:r>
      <w:r>
        <w:t>Advanced Materials</w:t>
      </w:r>
      <w:r>
        <w:t xml:space="preserve">    </w:t>
      </w:r>
      <w:r>
        <w:rPr>
          <w:b/>
        </w:rPr>
        <w:t xml:space="preserve">Pub date: </w:t>
      </w:r>
      <w:r>
        <w:t>2026-09-03 00:00:00+00:00</w:t>
      </w:r>
      <w:r>
        <w:t xml:space="preserve">    </w:t>
      </w:r>
      <w:r>
        <w:rPr>
          <w:b/>
        </w:rPr>
        <w:t xml:space="preserve">DOI: </w:t>
      </w:r>
      <w:hyperlink r:id="rId2294">
        <w:r>
          <w:rPr>
            <w:color w:val="1155CC"/>
            <w:u w:val="single"/>
          </w:rPr>
          <w:t>10.1002/adma.74756</w:t>
        </w:r>
      </w:hyperlink>
    </w:p>
    <w:p>
      <w:pPr>
        <w:spacing w:before="0" w:after="120"/>
      </w:pPr>
      <w:r>
        <w:rPr>
          <w:b/>
        </w:rPr>
        <w:t xml:space="preserve">Notes: </w:t>
      </w:r>
      <w:r>
        <w:t>abstract_source=crossref</w:t>
      </w:r>
    </w:p>
    <w:p>
      <w:pPr>
        <w:spacing w:before="0" w:after="80" w:lineRule="auto" w:line="276"/>
      </w:pPr>
      <w:r>
        <w:rPr>
          <w:b/>
        </w:rPr>
        <w:t xml:space="preserve">摘要（ZH）: </w:t>
      </w:r>
      <w:r>
        <w:t>摘要 铁电 ScAlN 的发现引发了对新型极性纤锌矿合金的探索；然而，掺入过渡金属仍然是一项艰巨的挑战。在这里，我们演示了纤锌矿相 NbAlN 的合成，这是一种与 GaN 基异质结构高度兼容的极性过渡金属氮化物合金。尽管元素 Nb 具有很强的金属特性，我们还是获得了相干外延 NbAlN 薄膜，该薄膜保留了纤锌矿晶体结构和底层 GaN 的金属极性，如环形明场扫描透射电子显微镜直接观察到的那样。铌的掺入会引起单调晶格膨胀，并产生相干的富铌纳米级区域，这些区域容纳在连续的纤锌矿框架内。从功能上讲，NbAlN 势垒引起 AlN/GaN 异质界面处二维电子气密度的显着增强，这与金属极性 NbAlN 势垒的极化相关载流子调制一致。这项研究表明，d 电子过渡金属可以集成到极性氮化物系统中，而不会影响其功能不对称性，使 NbAlN 成为极性氮化物异质结构和载流子密度设计的 GaN 电子器件的有前途的构建模块。</w:t>
      </w:r>
    </w:p>
    <w:p>
      <w:pPr>
        <w:spacing w:before="0" w:after="200" w:lineRule="auto" w:line="276"/>
      </w:pPr>
      <w:r>
        <w:rPr>
          <w:b/>
        </w:rPr>
        <w:t xml:space="preserve">Abstract (EN): </w:t>
      </w:r>
      <w:r>
        <w:t>The discovery of ferroelectric ScAlN sparked a search for new polar wurtzite alloys; however, incorporating transition metals remains a formidable challenge. Here, we demonstrate the synthesis of wurtzite‐phase NbAlN, a polar transition‐metal nitride alloy that is highly compatible with GaN‐based heterostructures. Despite the strong metallic character of elemental Nb, we achieved coherent epitaxial NbAlN films that preserve the wurtzite crystal structure and metal polarity of the underlying GaN, as directly visualized by annular bright‐field scanning transmission electron microscopy. Nb incorporation induces a monotonic lattice expansion and produces coherent Nb‐enriched nanoscale regions that are accommodated within the continuous wurtzite framework. Functionally, NbAlN barriers induce a substantial enhancement in the two‐dimensional electron gas density at the AlN/GaN heterointerface, consistent with polarization‐related carrier modulation by the metal‐polar NbAlN barrier. This study demonstrates that d ‐electron transition metals can be integrated into polar nitride systems without compromising their functional asymmetry, making NbAlN a promising building block for polar nitride heterostructures and carrier‐density‐engineered GaN electronics.</w:t>
      </w:r>
    </w:p>
    <w:p>
      <w:pPr>
        <w:spacing w:before="120" w:after="120"/>
      </w:pPr>
      <w:r>
        <w:rPr>
          <w:sz w:val="18"/>
        </w:rPr>
        <w:t>——————————————————————————————————————————————————————————————————————</w:t>
      </w:r>
    </w:p>
    <w:p>
      <w:pPr>
        <w:spacing w:before="160" w:after="40" w:line="240" w:lineRule="auto"/>
      </w:pPr>
      <w:r>
        <w:rPr>
          <w:b/>
        </w:rPr>
        <w:t xml:space="preserve">[1492] </w:t>
      </w:r>
      <w:hyperlink r:id="rId2364">
        <w:r>
          <w:rPr>
            <w:color w:val="1155CC"/>
            <w:u w:val="single"/>
          </w:rPr>
          <w:t>超级雄鱼成为消灭入侵者的新策略</w:t>
        </w:r>
      </w:hyperlink>
    </w:p>
    <w:p>
      <w:pPr>
        <w:spacing w:before="0" w:after="80"/>
      </w:pPr>
      <w:r>
        <w:rPr>
          <w:i/>
          <w:sz w:val="20"/>
        </w:rPr>
        <w:t>EN: Supermale fish become new tactic for vanquishing invaders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64">
        <w:r>
          <w:rPr>
            <w:color w:val="1155CC"/>
            <w:u w:val="single"/>
          </w:rPr>
          <w:t>10.1126/science.aem0438</w:t>
        </w:r>
      </w:hyperlink>
    </w:p>
    <w:p>
      <w:pPr>
        <w:spacing w:before="0" w:after="120"/>
      </w:pPr>
      <w:r>
        <w:rPr>
          <w:b/>
        </w:rPr>
        <w:t xml:space="preserve">Notes: </w:t>
      </w:r>
      <w:r>
        <w:t>abstract_source=crossref</w:t>
      </w:r>
    </w:p>
    <w:p>
      <w:pPr>
        <w:spacing w:before="0" w:after="80" w:lineRule="auto" w:line="276"/>
      </w:pPr>
      <w:r>
        <w:rPr>
          <w:b/>
        </w:rPr>
        <w:t xml:space="preserve">摘要（ZH）: </w:t>
      </w:r>
      <w:r>
        <w:t>孵化场饲养的具有双 Y 染色体的鳟鱼可以消灭入侵种群</w:t>
      </w:r>
    </w:p>
    <w:p>
      <w:pPr>
        <w:spacing w:before="0" w:after="200" w:lineRule="auto" w:line="276"/>
      </w:pPr>
      <w:r>
        <w:rPr>
          <w:b/>
        </w:rPr>
        <w:t xml:space="preserve">Abstract (EN): </w:t>
      </w:r>
      <w:r>
        <w:t>Hatchery-raised trout with double Y chromosomes can eradicate invasive populations</w:t>
      </w:r>
    </w:p>
    <w:p>
      <w:pPr>
        <w:spacing w:before="120" w:after="120"/>
      </w:pPr>
      <w:r>
        <w:rPr>
          <w:sz w:val="18"/>
        </w:rPr>
        <w:t>——————————————————————————————————————————————————————————————————————</w:t>
      </w:r>
    </w:p>
    <w:p>
      <w:pPr>
        <w:spacing w:before="160" w:after="40" w:line="240" w:lineRule="auto"/>
      </w:pPr>
      <w:r>
        <w:rPr>
          <w:b/>
        </w:rPr>
        <w:t xml:space="preserve">[1493] </w:t>
      </w:r>
      <w:hyperlink r:id="rId2422">
        <w:r>
          <w:rPr>
            <w:color w:val="1155CC"/>
            <w:u w:val="single"/>
          </w:rPr>
          <w:t>提升对海洋自然灾害的应对能力</w:t>
        </w:r>
      </w:hyperlink>
    </w:p>
    <w:p>
      <w:pPr>
        <w:spacing w:before="0" w:after="80"/>
      </w:pPr>
      <w:r>
        <w:rPr>
          <w:i/>
          <w:sz w:val="20"/>
        </w:rPr>
        <w:t>EN: Improve response to marine natural disasters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422">
        <w:r>
          <w:rPr>
            <w:color w:val="1155CC"/>
            <w:u w:val="single"/>
          </w:rPr>
          <w:t>10.1126/science.aek9910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[1494] </w:t>
      </w:r>
      <w:hyperlink r:id="rId2318">
        <w:r>
          <w:rPr>
            <w:color w:val="1155CC"/>
            <w:u w:val="single"/>
          </w:rPr>
          <w:t>化学气相沉积聚合物薄膜中的自发极化产生强大电场</w:t>
        </w:r>
      </w:hyperlink>
    </w:p>
    <w:p>
      <w:pPr>
        <w:spacing w:before="0" w:after="80"/>
      </w:pPr>
      <w:r>
        <w:rPr>
          <w:i/>
          <w:sz w:val="20"/>
        </w:rPr>
        <w:t>EN: Spontaneous polarization in chemical vapor–deposited polymer films creates large electric fields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18">
        <w:r>
          <w:rPr>
            <w:color w:val="1155CC"/>
            <w:u w:val="single"/>
          </w:rPr>
          <w:t>10.1126/science.aeg9547</w:t>
        </w:r>
      </w:hyperlink>
    </w:p>
    <w:p>
      <w:pPr>
        <w:spacing w:before="0" w:after="120"/>
      </w:pPr>
      <w:r>
        <w:rPr>
          <w:b/>
        </w:rPr>
        <w:t xml:space="preserve">Notes: </w:t>
      </w:r>
      <w:r>
        <w:t>abstract_source=crossref</w:t>
      </w:r>
    </w:p>
    <w:p>
      <w:pPr>
        <w:spacing w:before="0" w:after="80" w:lineRule="auto" w:line="276"/>
      </w:pPr>
      <w:r>
        <w:rPr>
          <w:b/>
        </w:rPr>
        <w:t xml:space="preserve">摘要（ZH）: </w:t>
      </w:r>
      <w:r>
        <w:t>永久极化聚合物薄膜中受控的表面电势越来越受到电子、传感和生物医学设备的关注。传统的聚合物薄膜需要外部电场或沉积后处理，限制了精度和可扩展性。在这里，我们报告了通过引发化学气相沉积（iCVD）聚合的聚合物薄膜的自发极化。表面电势在薄膜生长过程中自发出现，与薄膜厚度成线性比例，并在环境条件下保持稳定。它们的大小可通过沉积参数调节，聚合引发剂的选择决定极性。无溶剂、单步 iCVD 工艺可在复杂的几何形状和大面积上实现机械坚固、均匀的涂层。我们的研究结果建立了一种简单、通用的途径，无需后处理即可获得本质偏振聚合物薄膜，为将电场直接集成到纳米级功能器件或表面驱动过程中提供了新的机会。</w:t>
      </w:r>
    </w:p>
    <w:p>
      <w:pPr>
        <w:spacing w:before="0" w:after="200" w:lineRule="auto" w:line="276"/>
      </w:pPr>
      <w:r>
        <w:rPr>
          <w:b/>
        </w:rPr>
        <w:t xml:space="preserve">Abstract (EN): </w:t>
      </w:r>
      <w:r>
        <w:t>Controlled surface potentials in permanently polarized polymer films are of increasing interest for electronics, sensing, and biomedical devices. Conventional polymer films require external electric fields or postdeposition treatments, limiting precision and scalability. Here, we report a spontaneous polarization in polymer thin films polymerized through initiated chemical vapor deposition (iCVD). Surface potentials emerge spontaneously during film growth, scale linearly with film thickness, and remain stable under ambient conditions. Their magnitude is tunable through deposition parameters, and polymerization initiator choice determines the polarity. The solvent-free, single-step iCVD process enables mechanically robust, uniform coatings on complex geometries and large areas. Our findings establish a simple, versatile route to intrinsically polarized polymer films without postprocessing, opening new opportunities for direct integration of electric fields into functional devices or surface-driven processes at the nanoscale.</w:t>
      </w:r>
    </w:p>
    <w:p>
      <w:pPr>
        <w:spacing w:before="120" w:after="120"/>
      </w:pPr>
      <w:r>
        <w:rPr>
          <w:sz w:val="18"/>
        </w:rPr>
        <w:t>——————————————————————————————————————————————————————————————————————</w:t>
      </w:r>
    </w:p>
    <w:p>
      <w:pPr>
        <w:spacing w:before="160" w:after="40" w:line="240" w:lineRule="auto"/>
      </w:pPr>
      <w:r>
        <w:rPr>
          <w:b/>
        </w:rPr>
        <w:t xml:space="preserve">[1495] </w:t>
      </w:r>
      <w:hyperlink r:id="rId2320">
        <w:r>
          <w:rPr>
            <w:color w:val="1155CC"/>
            <w:u w:val="single"/>
          </w:rPr>
          <w:t>复制后人类染色体的构象不对称性</w:t>
        </w:r>
      </w:hyperlink>
    </w:p>
    <w:p>
      <w:pPr>
        <w:spacing w:before="0" w:after="80"/>
      </w:pPr>
      <w:r>
        <w:rPr>
          <w:i/>
          <w:sz w:val="20"/>
        </w:rPr>
        <w:t>EN: Conformational asymmetry of replicated human chromosomes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20">
        <w:r>
          <w:rPr>
            <w:color w:val="1155CC"/>
            <w:u w:val="single"/>
          </w:rPr>
          <w:t>10.1126/science.aea4611</w:t>
        </w:r>
      </w:hyperlink>
    </w:p>
    <w:p>
      <w:pPr>
        <w:spacing w:before="0" w:after="120"/>
      </w:pPr>
      <w:r>
        <w:rPr>
          <w:b/>
        </w:rPr>
        <w:t xml:space="preserve">Notes: </w:t>
      </w:r>
      <w:r>
        <w:t>abstract_source=crossref</w:t>
      </w:r>
    </w:p>
    <w:p>
      <w:pPr>
        <w:spacing w:before="0" w:after="80" w:lineRule="auto" w:line="276"/>
      </w:pPr>
      <w:r>
        <w:rPr>
          <w:b/>
        </w:rPr>
        <w:t xml:space="preserve">摘要（ZH）: </w:t>
      </w:r>
      <w:r>
        <w:t>DNA复制产生具有相同序列的姐妹染色单体，但其机制基本上是不对称的：染色单体继承相反方向的链，而分叉通过不同的前导链和滞后链机制合成新链。这种复制不对称如何影响染色体组织尚不清楚。通过姐妹染色单体敏感构象分析，我们发现人类姐妹染色单体在遗传 DNA 链的 5′→3′ 方向上始终错位。这种转变在没有粘连蛋白介导的环挤出的情况下持续存在，但在粘连破坏时消失。聚合物模型表明，粘性粘连蛋白的适度方向错位可以解释观察到的转变，并且我们提出了两种模型来解释这种错位如何源于复制叉不对称。姐妹染色单体之间的这种寄存器转移对于 DNA 修复期间的同源性搜索具有影响。</w:t>
      </w:r>
    </w:p>
    <w:p>
      <w:pPr>
        <w:spacing w:before="0" w:after="200" w:lineRule="auto" w:line="276"/>
      </w:pPr>
      <w:r>
        <w:rPr>
          <w:b/>
        </w:rPr>
        <w:t xml:space="preserve">Abstract (EN): </w:t>
      </w:r>
      <w:r>
        <w:t>DNA replication generates sister chromatids with identical sequence, yet its mechanism is fundamentally asymmetric: Chromatids inherit strands of opposite orientation, whereas forks synthesize new strands by distinct leading- and lagging-strand mechanisms. How this replication asymmetry affects chromosome organization is unknown. Using sister chromatid–sensitive conformation analysis, we found that human sister chromatids are consistently misaligned in the 5′→3′ direction of inherited DNA strands. This shift persisted without cohesin-mediated loop extrusion but was lost upon disruption of cohesion. Polymer modeling showed that modest directional misalignment of cohesive cohesins can explain the observed shift, and we propose two models for how such misalignment could originate from replication fork asymmetry. This register shift between sister chromatids has implications for homology search during DNA repair.</w:t>
      </w:r>
    </w:p>
    <w:p>
      <w:pPr>
        <w:spacing w:before="120" w:after="120"/>
      </w:pPr>
      <w:r>
        <w:rPr>
          <w:sz w:val="18"/>
        </w:rPr>
        <w:t>——————————————————————————————————————————————————————————————————————</w:t>
      </w:r>
    </w:p>
    <w:p>
      <w:pPr>
        <w:spacing w:before="160" w:after="40" w:line="240" w:lineRule="auto"/>
      </w:pPr>
      <w:r>
        <w:rPr>
          <w:b/>
        </w:rPr>
        <w:t xml:space="preserve">[1496] </w:t>
      </w:r>
      <w:hyperlink r:id="rId2340">
        <w:r>
          <w:rPr>
            <w:color w:val="1155CC"/>
            <w:u w:val="single"/>
          </w:rPr>
          <w:t>肿瘤来源的抗氧化剂通过剥夺T细胞的活性氧抑制免疫</w:t>
        </w:r>
      </w:hyperlink>
    </w:p>
    <w:p>
      <w:pPr>
        <w:spacing w:before="0" w:after="80"/>
      </w:pPr>
      <w:r>
        <w:rPr>
          <w:i/>
          <w:sz w:val="20"/>
        </w:rPr>
        <w:t>EN: Tumor-derived antioxidants suppress immunity by depriving T cells of reactive oxygen species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40">
        <w:r>
          <w:rPr>
            <w:color w:val="1155CC"/>
            <w:u w:val="single"/>
          </w:rPr>
          <w:t>10.1126/science.adz8203</w:t>
        </w:r>
      </w:hyperlink>
    </w:p>
    <w:p>
      <w:pPr>
        <w:spacing w:before="0" w:after="120"/>
      </w:pPr>
      <w:r>
        <w:rPr>
          <w:b/>
        </w:rPr>
        <w:t xml:space="preserve">Notes: </w:t>
      </w:r>
      <w:r>
        <w:t>abstract_source=crossref</w:t>
      </w:r>
    </w:p>
    <w:p>
      <w:pPr>
        <w:spacing w:before="0" w:after="80" w:lineRule="auto" w:line="276"/>
      </w:pPr>
      <w:r>
        <w:rPr>
          <w:b/>
        </w:rPr>
        <w:t xml:space="preserve">摘要（ZH）: </w:t>
      </w:r>
      <w:r>
        <w:t>活性氧（ROS）会促进基因组不稳定性并促进癌症中的致癌信号传导，但抗氧化疗法迄今为止未能改善或恶化癌症结果。新数据表明，T 细胞依赖 ROS 进行信号转导。在这项研究中，我们证明肿瘤利用这种依赖性，将抗氧化酶释放到肿瘤环境中来抑制 T 细胞介导的抗肿瘤免疫。肿瘤间质液具有强大的抗氧化活性，与抗氧化酶过氧化还原蛋白 1 (PRDX1) 的富集有关。细胞外 PRDX1 剥夺 T 细胞的 ROS，防止 T 细胞受体驱动的激酶信号传导和效应器功能所需的磷酸酶氧化失活。 Prdx1 在癌症免疫编辑时上调，肿瘤内 PRDX1 的缺失可增强抗肿瘤免疫力和免疫治疗反应。这些发现定义了肿瘤免疫抑制的氧化还原依赖性机制，该机制可能适合治疗干预。</w:t>
      </w:r>
    </w:p>
    <w:p>
      <w:pPr>
        <w:spacing w:before="0" w:after="200" w:lineRule="auto" w:line="276"/>
      </w:pPr>
      <w:r>
        <w:rPr>
          <w:b/>
        </w:rPr>
        <w:t xml:space="preserve">Abstract (EN): </w:t>
      </w:r>
      <w:r>
        <w:t>Reactive oxygen species (ROS) promote genomic instability and fuel oncogenic signaling in cancer, but antioxidant therapies have so far failed to improve, or worsen, cancer outcomes. Emerging data suggest that T cells depend on ROS for signal transduction. In this study, we show that tumors exploit this dependency, releasing antioxidant enzymes into the tumor environment to suppress T cell–mediated antitumor immunity. The interstitial fluid of tumors possesses potent antioxidant activity, associated with enrichment of the antioxidant enzyme peroxiredoxin 1 (PRDX1). Extracellular PRDX1 deprives T cells of ROS, preventing oxidative inactivation of phosphatases required for T cell receptor–driven kinase signaling and effector function. Prdx1 is up-regulated upon cancer immunoediting, and loss of PRDX1 within tumors enhances antitumor immunity and immunotherapy responses. These findings define a redox-dependent mechanism of tumor immunosuppression that is potentially amenable to therapeutic intervention.</w:t>
      </w:r>
    </w:p>
    <w:p>
      <w:pPr>
        <w:spacing w:before="120" w:after="120"/>
      </w:pPr>
      <w:r>
        <w:rPr>
          <w:sz w:val="18"/>
        </w:rPr>
        <w:t>——————————————————————————————————————————————————————————————————————</w:t>
      </w:r>
    </w:p>
    <w:p>
      <w:pPr>
        <w:spacing w:before="160" w:after="40" w:line="240" w:lineRule="auto"/>
      </w:pPr>
      <w:r>
        <w:rPr>
          <w:b/>
        </w:rPr>
        <w:t xml:space="preserve">[1497] </w:t>
      </w:r>
      <w:hyperlink r:id="rId2324">
        <w:r>
          <w:rPr>
            <w:color w:val="1155CC"/>
            <w:u w:val="single"/>
          </w:rPr>
          <w:t>空间分辨的单细胞图谱揭示动物心脏的宏观演化轨迹</w:t>
        </w:r>
      </w:hyperlink>
    </w:p>
    <w:p>
      <w:pPr>
        <w:spacing w:before="0" w:after="80"/>
      </w:pPr>
      <w:r>
        <w:rPr>
          <w:i/>
          <w:sz w:val="20"/>
        </w:rPr>
        <w:t>EN: Spatially resolved single-cell atlas reveals the macroevolutionary trajectory of animal hearts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24">
        <w:r>
          <w:rPr>
            <w:color w:val="1155CC"/>
            <w:u w:val="single"/>
          </w:rPr>
          <w:t>10.1126/science.adw0855</w:t>
        </w:r>
      </w:hyperlink>
    </w:p>
    <w:p>
      <w:pPr>
        <w:spacing w:before="0" w:after="120"/>
      </w:pPr>
      <w:r>
        <w:rPr>
          <w:b/>
        </w:rPr>
        <w:t xml:space="preserve">Notes: </w:t>
      </w:r>
      <w:r>
        <w:t>abstract_source=crossref</w:t>
      </w:r>
    </w:p>
    <w:p>
      <w:pPr>
        <w:spacing w:before="0" w:after="80" w:lineRule="auto" w:line="276"/>
      </w:pPr>
      <w:r>
        <w:rPr>
          <w:b/>
        </w:rPr>
        <w:t xml:space="preserve">摘要（ZH）: </w:t>
      </w:r>
      <w:r>
        <w:t>动物心脏在适应性进化过程中表现出不同的解剖结构。在这里，我们展示了来自脊索动物、节肢动物和软体动物 27 个物种的成年心脏的多组学图谱。联合分析表明，双边对称动物心脏共享一个核心基因库，采用逐步“附加”方法作为通用进化策略。 “原心脏”由关键细胞类型组成，包括心肌细胞、成纤维细胞、内皮细胞和神经细胞，它们在随着生活环境的变化和心血管系统的相应适应而进化的同时保持核心特征。此外，我们揭示了进化上保守的心肌细胞状态动态可能与心脏发育和应激反应相关。最后，我们确定了一个共同的分子程序，支持心室从心室基础演化而来。这项工作为理解心脏进化的内在机制建立了资源。</w:t>
      </w:r>
    </w:p>
    <w:p>
      <w:pPr>
        <w:spacing w:before="0" w:after="200" w:lineRule="auto" w:line="276"/>
      </w:pPr>
      <w:r>
        <w:rPr>
          <w:b/>
        </w:rPr>
        <w:t xml:space="preserve">Abstract (EN): </w:t>
      </w:r>
      <w:r>
        <w:t>Animal hearts display diverse anatomical structures during adaptive evolution. Here, we present a multiomics atlas of adult hearts from 27 species across chordates, arthropods, and mollusks. Joint analysis indicates that Bilateria hearts share a core gene repertoire, taking a stepwise “add-on” approach as a universal evolutionary strategy. The “proto-heart” is populated by key cell types, including cardiomyocytes, fibroblasts, endothelial cells, and neural cells, which maintained core signatures while evolving with shifts in living environments and corresponding adaptations in the cardiovascular system. Additionally, we reveal an evolutionarily conserved cardiomyocyte state dynamic potentially linked to cardiac development and stress responses. Finally, we identify a common molecular program underpinning chamber evolution from a ventricular foundation. This work establishes a resource for understanding the intrinsic mechanisms of heart evolution.</w:t>
      </w:r>
    </w:p>
    <w:p>
      <w:pPr>
        <w:spacing w:before="120" w:after="120"/>
      </w:pPr>
      <w:r>
        <w:rPr>
          <w:sz w:val="18"/>
        </w:rPr>
        <w:t>——————————————————————————————————————————————————————————————————————</w:t>
      </w:r>
    </w:p>
    <w:p>
      <w:pPr>
        <w:spacing w:before="160" w:after="40" w:line="240" w:lineRule="auto"/>
      </w:pPr>
      <w:r>
        <w:rPr>
          <w:b/>
        </w:rPr>
        <w:t xml:space="preserve">[1498] </w:t>
      </w:r>
      <w:hyperlink r:id="rId2326">
        <w:r>
          <w:rPr>
            <w:color w:val="1155CC"/>
            <w:u w:val="single"/>
          </w:rPr>
          <w:t>氦气从附近一颗位于宜居带的岩石系外行星大气中逃逸</w:t>
        </w:r>
      </w:hyperlink>
    </w:p>
    <w:p>
      <w:pPr>
        <w:spacing w:before="0" w:after="80"/>
      </w:pPr>
      <w:r>
        <w:rPr>
          <w:i/>
          <w:sz w:val="20"/>
        </w:rPr>
        <w:t>EN: Helium escaping from the atmosphere of a nearby rocky exoplanet orbiting in a habitable zone</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26">
        <w:r>
          <w:rPr>
            <w:color w:val="1155CC"/>
            <w:u w:val="single"/>
          </w:rPr>
          <w:t>10.1126/science.aea9708</w:t>
        </w:r>
      </w:hyperlink>
    </w:p>
    <w:p>
      <w:pPr>
        <w:spacing w:before="0" w:after="120"/>
      </w:pPr>
      <w:r>
        <w:rPr>
          <w:b/>
        </w:rPr>
        <w:t xml:space="preserve">Notes: </w:t>
      </w:r>
      <w:r>
        <w:t>abstract_source=crossref</w:t>
      </w:r>
    </w:p>
    <w:p>
      <w:pPr>
        <w:spacing w:before="0" w:after="80" w:lineRule="auto" w:line="276"/>
      </w:pPr>
      <w:r>
        <w:rPr>
          <w:b/>
        </w:rPr>
        <w:t xml:space="preserve">摘要（ZH）: </w:t>
      </w:r>
      <w:r>
        <w:t>对高辐射气态巨行星的观测表明，氦气从其大气层中逸出。关于岩石系外行星上存在大气层的证据有限，也许是因为它们已经逃逸了。我们报告了 LHS 1140b 的近红外光谱观测，这是一颗在附近低质量恒星的宜居带内运行的岩石系外行星。传输光谱显示了从行星大气层逸出的氦气的吸收。 2024 年检测到氦吸收，但 2025 年未检测到，这表明大气逃逸随时间变化。我们将这些结果解释为表明高层大气以氦为主且氢贫乏，其他挥发性物质被困在较低海拔，这与大气分馏模型一致。 LHS 1140c 是同一系统中一颗更小、辐射更强烈的系外行星，没有检测到氦吸收。</w:t>
      </w:r>
    </w:p>
    <w:p>
      <w:pPr>
        <w:spacing w:before="0" w:after="200" w:lineRule="auto" w:line="276"/>
      </w:pPr>
      <w:r>
        <w:rPr>
          <w:b/>
        </w:rPr>
        <w:t xml:space="preserve">Abstract (EN): </w:t>
      </w:r>
      <w:r>
        <w:t>Observations of highly irradiated gas giant exoplanets have shown helium escaping from their atmospheres. There is limited evidence for atmospheres on rocky exoplanets, perhaps because they have already escaped. We report near-infrared spectroscopic observations of LHS 1140b, a rocky exoplanet that orbits in the habitable zone of a nearby low-mass star. The transit spectra show absorption by helium escaping from the planet’s atmosphere. Helium absorption is detected in 2024 but not in 2025, indicating time-variable atmospheric escape. We interpret these results as indicating an upper atmosphere dominated by helium and depleted in hydrogen, with other volatile species trapped at lower altitudes, which is consistent with atmospheric fractionation models. No helium absorption is detected for LHS 1140c, a smaller and more strongly irradiated exoplanet in the same system.</w:t>
      </w:r>
    </w:p>
    <w:p>
      <w:pPr>
        <w:spacing w:before="120" w:after="120"/>
      </w:pPr>
      <w:r>
        <w:rPr>
          <w:sz w:val="18"/>
        </w:rPr>
        <w:t>——————————————————————————————————————————————————————————————————————</w:t>
      </w:r>
    </w:p>
    <w:p>
      <w:pPr>
        <w:spacing w:before="160" w:after="40" w:line="240" w:lineRule="auto"/>
      </w:pPr>
      <w:r>
        <w:rPr>
          <w:b/>
        </w:rPr>
        <w:t xml:space="preserve">[1499] </w:t>
      </w:r>
      <w:hyperlink r:id="rId2328">
        <w:r>
          <w:rPr>
            <w:color w:val="1155CC"/>
            <w:u w:val="single"/>
          </w:rPr>
          <w:t>迷幻剂作为预防性神经保护剂</w:t>
        </w:r>
      </w:hyperlink>
    </w:p>
    <w:p>
      <w:pPr>
        <w:spacing w:before="0" w:after="80"/>
      </w:pPr>
      <w:r>
        <w:rPr>
          <w:i/>
          <w:sz w:val="20"/>
        </w:rPr>
        <w:t>EN: Psychedelics as prophylactic neuroprotectants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28">
        <w:r>
          <w:rPr>
            <w:color w:val="1155CC"/>
            <w:u w:val="single"/>
          </w:rPr>
          <w:t>10.1126/science.aek3865</w:t>
        </w:r>
      </w:hyperlink>
    </w:p>
    <w:p>
      <w:pPr>
        <w:spacing w:before="0" w:after="120"/>
      </w:pPr>
      <w:r>
        <w:rPr>
          <w:b/>
        </w:rPr>
        <w:t xml:space="preserve">Notes: </w:t>
      </w:r>
      <w:r>
        <w:t>abstract_source=crossref</w:t>
      </w:r>
    </w:p>
    <w:p>
      <w:pPr>
        <w:spacing w:before="0" w:after="80" w:lineRule="auto" w:line="276"/>
      </w:pPr>
      <w:r>
        <w:rPr>
          <w:b/>
        </w:rPr>
        <w:t xml:space="preserve">摘要（ZH）: </w:t>
      </w:r>
      <w:r>
        <w:t>某些蘑菇中发现的化合物可防止化疗期间的神经损伤</w:t>
      </w:r>
    </w:p>
    <w:p>
      <w:pPr>
        <w:spacing w:before="0" w:after="200" w:lineRule="auto" w:line="276"/>
      </w:pPr>
      <w:r>
        <w:rPr>
          <w:b/>
        </w:rPr>
        <w:t xml:space="preserve">Abstract (EN): </w:t>
      </w:r>
      <w:r>
        <w:t>A compound found in certain mushrooms prevents nerve damage during chemotherapy</w:t>
      </w:r>
    </w:p>
    <w:p>
      <w:pPr>
        <w:spacing w:before="120" w:after="120"/>
      </w:pPr>
      <w:r>
        <w:rPr>
          <w:sz w:val="18"/>
        </w:rPr>
        <w:t>——————————————————————————————————————————————————————————————————————</w:t>
      </w:r>
    </w:p>
    <w:p>
      <w:pPr>
        <w:spacing w:before="160" w:after="40" w:line="240" w:lineRule="auto"/>
      </w:pPr>
      <w:r>
        <w:rPr>
          <w:b/>
        </w:rPr>
        <w:t xml:space="preserve">[1500] </w:t>
      </w:r>
      <w:hyperlink r:id="rId2322">
        <w:r>
          <w:rPr>
            <w:color w:val="1155CC"/>
            <w:u w:val="single"/>
          </w:rPr>
          <w:t>肿瘤窃取T细胞的信号</w:t>
        </w:r>
      </w:hyperlink>
    </w:p>
    <w:p>
      <w:pPr>
        <w:spacing w:before="0" w:after="80"/>
      </w:pPr>
      <w:r>
        <w:rPr>
          <w:i/>
          <w:sz w:val="20"/>
        </w:rPr>
        <w:t>EN: Tumors steal a signal from T cells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22">
        <w:r>
          <w:rPr>
            <w:color w:val="1155CC"/>
            <w:u w:val="single"/>
          </w:rPr>
          <w:t>10.1126/science.aek5854</w:t>
        </w:r>
      </w:hyperlink>
    </w:p>
    <w:p>
      <w:pPr>
        <w:spacing w:before="0" w:after="120"/>
      </w:pPr>
      <w:r>
        <w:rPr>
          <w:b/>
        </w:rPr>
        <w:t xml:space="preserve">Notes: </w:t>
      </w:r>
      <w:r>
        <w:t>abstract_source=crossref</w:t>
      </w:r>
    </w:p>
    <w:p>
      <w:pPr>
        <w:spacing w:before="0" w:after="80" w:lineRule="auto" w:line="276"/>
      </w:pPr>
      <w:r>
        <w:rPr>
          <w:b/>
        </w:rPr>
        <w:t xml:space="preserve">摘要（ZH）: </w:t>
      </w:r>
      <w:r>
        <w:t>肿瘤释放的抗氧化剂会抑制 T 细胞免疫</w:t>
      </w:r>
    </w:p>
    <w:p>
      <w:pPr>
        <w:spacing w:before="0" w:after="200" w:lineRule="auto" w:line="276"/>
      </w:pPr>
      <w:r>
        <w:rPr>
          <w:b/>
        </w:rPr>
        <w:t xml:space="preserve">Abstract (EN): </w:t>
      </w:r>
      <w:r>
        <w:t>An antioxidant released by tumors dampens T cell immunity</w:t>
      </w:r>
    </w:p>
    <w:p>
      <w:pPr>
        <w:spacing w:before="120" w:after="120"/>
      </w:pPr>
      <w:r>
        <w:rPr>
          <w:sz w:val="18"/>
        </w:rPr>
        <w:t>——————————————————————————————————————————————————————————————————————</w:t>
      </w:r>
    </w:p>
    <w:p>
      <w:pPr>
        <w:spacing w:before="160" w:after="40" w:line="240" w:lineRule="auto"/>
      </w:pPr>
      <w:r>
        <w:rPr>
          <w:b/>
        </w:rPr>
        <w:t xml:space="preserve">[1501] </w:t>
      </w:r>
      <w:hyperlink r:id="rId2330">
        <w:r>
          <w:rPr>
            <w:color w:val="1155CC"/>
            <w:u w:val="single"/>
          </w:rPr>
          <w:t>用于病原菌蛋白识别的合成植物免疫受体的可编程设计</w:t>
        </w:r>
      </w:hyperlink>
    </w:p>
    <w:p>
      <w:pPr>
        <w:spacing w:before="0" w:after="80"/>
      </w:pPr>
      <w:r>
        <w:rPr>
          <w:i/>
          <w:sz w:val="20"/>
        </w:rPr>
        <w:t>EN: Programmable design of synthetic plant immune receptors for pathogen protein recognition</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30">
        <w:r>
          <w:rPr>
            <w:color w:val="1155CC"/>
            <w:u w:val="single"/>
          </w:rPr>
          <w:t>10.1126/science.aee1792</w:t>
        </w:r>
      </w:hyperlink>
    </w:p>
    <w:p>
      <w:pPr>
        <w:spacing w:before="0" w:after="120"/>
      </w:pPr>
      <w:r>
        <w:rPr>
          <w:b/>
        </w:rPr>
        <w:t xml:space="preserve">Notes: </w:t>
      </w:r>
      <w:r>
        <w:t>abstract_source=crossref</w:t>
      </w:r>
    </w:p>
    <w:p>
      <w:pPr>
        <w:spacing w:before="0" w:after="80" w:lineRule="auto" w:line="276"/>
      </w:pPr>
      <w:r>
        <w:rPr>
          <w:b/>
        </w:rPr>
        <w:t xml:space="preserve">摘要（ZH）: </w:t>
      </w:r>
      <w:r>
        <w:t>天然植物免疫受体的多样性和识别范围有限，阻碍了针对快速进化的病原体的抗性育种。在这里，我们报告了合成植物免疫受体（SPIR）的可编程设计。从头设计的针对病原体蛋白的结合模块被移植到植物免疫受体的整合诱饵结构域中。 SPIR 可识别源自病毒、细菌、真菌和卵菌病原体的蛋白质。通过将人工智能引导的蛋白质设计与植物定向进化相结合，增强了免疫激活，同时减少了自身激活，从而提高了它们的性能。 SPIR 表现出高度的靶标特异性，并且可以堆叠用于病原体蛋白的多重识别。病毒靶向 SPIR 对植物病毒的感染性克隆做出反应，而表达 SPIR 的转基因植物则具有抗病性。这项工作为植物免疫的有效工程建立了一个多功能平台。</w:t>
      </w:r>
    </w:p>
    <w:p>
      <w:pPr>
        <w:spacing w:before="0" w:after="200" w:lineRule="auto" w:line="276"/>
      </w:pPr>
      <w:r>
        <w:rPr>
          <w:b/>
        </w:rPr>
        <w:t xml:space="preserve">Abstract (EN): </w:t>
      </w:r>
      <w:r>
        <w:t>The limited diversity and recognition scope of natural plant immune receptors impede resistance breeding against rapidly evolving pathogens. Here, we report the programmable design of synthetic plant immune receptors (SPIRs). De novo–designed binding modules targeting pathogen proteins were grafted into the integrated decoy domain of a plant immune receptor. SPIRs recognized proteins derived from viral, bacterial, fungal, and oomycete pathogens. Their performance was improved by combining artificial intelligence–guided protein design with in planta–directed evolution, enhancing immune activation while reducing autoactivation. The SPIRs exhibited high target specificity and could be stacked for multiplexed recognition of pathogen proteins. Viral-targeting SPIRs responded to infectious clones of plant viruses, and transgenic plants expressing SPIRs conferred disease resistance. This work establishes a versatile platform for the efficient engineering of plant immunity.</w:t>
      </w:r>
    </w:p>
    <w:p>
      <w:pPr>
        <w:spacing w:before="120" w:after="120"/>
      </w:pPr>
      <w:r>
        <w:rPr>
          <w:sz w:val="18"/>
        </w:rPr>
        <w:t>——————————————————————————————————————————————————————————————————————</w:t>
      </w:r>
    </w:p>
    <w:p>
      <w:pPr>
        <w:spacing w:before="160" w:after="40" w:line="240" w:lineRule="auto"/>
      </w:pPr>
      <w:r>
        <w:rPr>
          <w:b/>
        </w:rPr>
        <w:t xml:space="preserve">[1502] </w:t>
      </w:r>
      <w:hyperlink r:id="rId2423">
        <w:r>
          <w:rPr>
            <w:color w:val="1155CC"/>
            <w:u w:val="single"/>
          </w:rPr>
          <w:t>保护第三极免受矿产开采</w:t>
        </w:r>
      </w:hyperlink>
    </w:p>
    <w:p>
      <w:pPr>
        <w:spacing w:before="0" w:after="80"/>
      </w:pPr>
      <w:r>
        <w:rPr>
          <w:i/>
          <w:sz w:val="20"/>
        </w:rPr>
        <w:t>EN: Protect the Third Pole from mineral mining</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423">
        <w:r>
          <w:rPr>
            <w:color w:val="1155CC"/>
            <w:u w:val="single"/>
          </w:rPr>
          <w:t>10.1126/science.aej8902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[1503] </w:t>
      </w:r>
      <w:hyperlink r:id="rId2334">
        <w:r>
          <w:rPr>
            <w:color w:val="1155CC"/>
            <w:u w:val="single"/>
          </w:rPr>
          <w:t>大规模开具GLP-1s处方的（非）预期后果</w:t>
        </w:r>
      </w:hyperlink>
    </w:p>
    <w:p>
      <w:pPr>
        <w:spacing w:before="0" w:after="80"/>
      </w:pPr>
      <w:r>
        <w:rPr>
          <w:i/>
          <w:sz w:val="20"/>
        </w:rPr>
        <w:t>EN: (Un)intended consequences of mass-prescribing GLP-1s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34">
        <w:r>
          <w:rPr>
            <w:color w:val="1155CC"/>
            <w:u w:val="single"/>
          </w:rPr>
          <w:t>10.1126/science.ael8715</w:t>
        </w:r>
      </w:hyperlink>
    </w:p>
    <w:p>
      <w:pPr>
        <w:spacing w:before="0" w:after="120"/>
      </w:pPr>
      <w:r>
        <w:rPr>
          <w:b/>
        </w:rPr>
        <w:t xml:space="preserve">Notes: </w:t>
      </w:r>
      <w:r>
        <w:t>abstract_source=crossref</w:t>
      </w:r>
    </w:p>
    <w:p>
      <w:pPr>
        <w:spacing w:before="0" w:after="80" w:lineRule="auto" w:line="276"/>
      </w:pPr>
      <w:r>
        <w:rPr>
          <w:b/>
        </w:rPr>
        <w:t xml:space="preserve">摘要（ZH）: </w:t>
      </w:r>
      <w:r>
        <w:t>胰高血糖素样肽-1 (GLP-1) 药物疗法已经淹没了有关肥胖的公众讨论，这一点都不为过。大量的科学论文、新闻文章和社交媒体帖子争论 GLP-1 受体激动剂的功效、可负担性和适当性，不仅可以治疗肥胖，还可以治疗皮肤病、勃起功能障碍、怀孕和成瘾。为了消除噪音，世界卫生组织 (WHO) 最近发布了首个全球指南，推荐 GLP-1 治疗肥胖，同时承诺制定一个全球框架，确保全球 10 亿受影响人群“公平获得”这些药物。更深入地说，该指南还倡导“强有力的人口政策”，以解决不健康食品环境中肥胖的根本原因。然而，使这些努力变得复杂的是，世卫组织的建议是在制药公司、争夺 GLP-1 细分市场的食品公司以及为所谓的 GLP-1 生活方式推广补充剂和远程医疗计划的健康公司之间充满竞争压力的时候提出的。这种商业环境很容易产生意想不到的后果，从而阻碍公平获得这些药物。</w:t>
      </w:r>
    </w:p>
    <w:p>
      <w:pPr>
        <w:spacing w:before="0" w:after="200" w:lineRule="auto" w:line="276"/>
      </w:pPr>
      <w:r>
        <w:rPr>
          <w:b/>
        </w:rPr>
        <w:t xml:space="preserve">Abstract (EN): </w:t>
      </w:r>
      <w:r>
        <w:t>It is difficult to overstate how much glucagon-like peptide-1 (GLP-1) pharmacotherapies have inundated the public discourse on obesity. An avalanche of scientific papers, news articles, and social media posts debate the efficacy, affordability, and appropriateness of GLP-1 receptor agonists not just for obesity but also skin disease, erectile dysfunction, pregnancy, and addiction. Attempting to cut through the noise, the World Health Organization (WHO) recently published the first-ever global guidelines recommending GLP-1s for the treatment of obesity, while committing to develop a global framework ensuring “fair access” to these medicines for the 1 billion people affected worldwide. Going deeper, the guidelines also advocate for “robust populationlevel policies” to address the root causes of obesity in unhealthy food environments. However, to complicate these efforts, WHO’s recommendations unfold at a time rife with competitive pressures among pharmaceutical companies, food companies vying for the GLP-1 market segment, and wellness companies promoting supplements and telemedicine programs for what is being billed as a GLP-1 lifestyle. This commercial milieu is ripe for unintended consequences that conspire against fair access to these medicines.</w:t>
      </w:r>
    </w:p>
    <w:p>
      <w:pPr>
        <w:spacing w:before="120" w:after="120"/>
      </w:pPr>
      <w:r>
        <w:rPr>
          <w:sz w:val="18"/>
        </w:rPr>
        <w:t>——————————————————————————————————————————————————————————————————————</w:t>
      </w:r>
    </w:p>
    <w:p>
      <w:pPr>
        <w:spacing w:before="160" w:after="40" w:line="240" w:lineRule="auto"/>
      </w:pPr>
      <w:r>
        <w:rPr>
          <w:b/>
        </w:rPr>
        <w:t xml:space="preserve">[1504] </w:t>
      </w:r>
      <w:hyperlink r:id="rId2336">
        <w:r>
          <w:rPr>
            <w:color w:val="1155CC"/>
            <w:u w:val="single"/>
          </w:rPr>
          <w:t>量子光学自旋玻璃中的高容量联想记忆</w:t>
        </w:r>
      </w:hyperlink>
    </w:p>
    <w:p>
      <w:pPr>
        <w:spacing w:before="0" w:after="80"/>
      </w:pPr>
      <w:r>
        <w:rPr>
          <w:i/>
          <w:sz w:val="20"/>
        </w:rPr>
        <w:t>EN: High-capacity associative memory in a quantum-optical spin glass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36">
        <w:r>
          <w:rPr>
            <w:color w:val="1155CC"/>
            <w:u w:val="single"/>
          </w:rPr>
          <w:t>10.1126/science.aec3917</w:t>
        </w:r>
      </w:hyperlink>
    </w:p>
    <w:p>
      <w:pPr>
        <w:spacing w:before="0" w:after="120"/>
      </w:pPr>
      <w:r>
        <w:rPr>
          <w:b/>
        </w:rPr>
        <w:t xml:space="preserve">Notes: </w:t>
      </w:r>
      <w:r>
        <w:t>abstract_source=crossref</w:t>
      </w:r>
    </w:p>
    <w:p>
      <w:pPr>
        <w:spacing w:before="0" w:after="80" w:lineRule="auto" w:line="276"/>
      </w:pPr>
      <w:r>
        <w:rPr>
          <w:b/>
        </w:rPr>
        <w:t xml:space="preserve">摘要（ZH）: </w:t>
      </w:r>
      <w:r>
        <w:t>Hopfield 神经网络使用全耦合自旋来存储记忆，并通过平衡动力学调用这些记忆。存储太多会妨碍回忆，因为当网络变成旋转玻璃时，挫折会导致指数数量的虚假模式出现。尽管如此，在量子光学非平衡动力学下，记忆回忆可以恢复，甚至增强，因为虚假模式现在可以充当可靠的记忆。我们通过实验观察了由原子和光子制成的驱动耗散自旋玻璃中具有高存储容量的联想存储器。在十六旋转网络中，其容量比 Hebbian 学习下的 Hopfield 模型高出七倍。原子运动通过动态修改类似于神经网络中短期突触可塑性的连接性来提高容量，从而实现了量子光学系统中学习的先驱。</w:t>
      </w:r>
    </w:p>
    <w:p>
      <w:pPr>
        <w:spacing w:before="0" w:after="200" w:lineRule="auto" w:line="276"/>
      </w:pPr>
      <w:r>
        <w:rPr>
          <w:b/>
        </w:rPr>
        <w:t xml:space="preserve">Abstract (EN): </w:t>
      </w:r>
      <w:r>
        <w:t>The Hopfield neural network stores memories using all-to-all-coupled spins and recalls those memories through equilibrium dynamics. Storing too many hampers recall because frustration causes an exponential number of spurious patterns to arise as the network becomes a spin glass. Despite this, memory recall can be restored, and even enhanced, under quantum-optical nonequilibrium dynamics because spurious patterns can now serve as reliable memories. We experimentally observe associative memory with high storage capacity in a driven-dissipative spin glass made of atoms and photons. The capacity surpasses that of the Hopfield model under Hebbian learning by up to seven-fold in a sixteen-spin network. Atomic motion boosts capacity by dynamically modifying connectivity akin to short-term synaptic plasticity in neural networks, realizing a precursor to learning in a quantum-optical system.</w:t>
      </w:r>
    </w:p>
    <w:p>
      <w:pPr>
        <w:spacing w:before="120" w:after="120"/>
      </w:pPr>
      <w:r>
        <w:rPr>
          <w:sz w:val="18"/>
        </w:rPr>
        <w:t>——————————————————————————————————————————————————————————————————————</w:t>
      </w:r>
    </w:p>
    <w:p>
      <w:pPr>
        <w:spacing w:before="160" w:after="40" w:line="240" w:lineRule="auto"/>
      </w:pPr>
      <w:r>
        <w:rPr>
          <w:b/>
        </w:rPr>
        <w:t xml:space="preserve">[1505] </w:t>
      </w:r>
      <w:hyperlink r:id="rId2227">
        <w:r>
          <w:rPr>
            <w:color w:val="1155CC"/>
            <w:u w:val="single"/>
          </w:rPr>
          <w:t>准备好迎接机器人审稿人了吗？</w:t>
        </w:r>
      </w:hyperlink>
    </w:p>
    <w:p>
      <w:pPr>
        <w:spacing w:before="0" w:after="80"/>
      </w:pPr>
      <w:r>
        <w:rPr>
          <w:i/>
          <w:sz w:val="20"/>
        </w:rPr>
        <w:t>EN: Ready for the robot reviewers?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227">
        <w:r>
          <w:rPr>
            <w:color w:val="1155CC"/>
            <w:u w:val="single"/>
          </w:rPr>
          <w:t>10.1126/science.aem0443</w:t>
        </w:r>
      </w:hyperlink>
    </w:p>
    <w:p>
      <w:pPr>
        <w:spacing w:before="0" w:after="120"/>
      </w:pPr>
      <w:r>
        <w:rPr>
          <w:b/>
        </w:rPr>
        <w:t xml:space="preserve">Notes: </w:t>
      </w:r>
      <w:r>
        <w:t>abstract_source=crossref</w:t>
      </w:r>
    </w:p>
    <w:p>
      <w:pPr>
        <w:spacing w:before="0" w:after="80" w:lineRule="auto" w:line="276"/>
      </w:pPr>
      <w:r>
        <w:rPr>
          <w:b/>
        </w:rPr>
        <w:t xml:space="preserve">摘要（ZH）: </w:t>
      </w:r>
      <w:r>
        <w:t>随着人工智能能力的增强，研究人员和出版商正在探索它如何支持同行评审，以及它仍然存在哪些不足</w:t>
      </w:r>
    </w:p>
    <w:p>
      <w:pPr>
        <w:spacing w:before="0" w:after="200" w:lineRule="auto" w:line="276"/>
      </w:pPr>
      <w:r>
        <w:rPr>
          <w:b/>
        </w:rPr>
        <w:t xml:space="preserve">Abstract (EN): </w:t>
      </w:r>
      <w:r>
        <w:t>As AI’s capabilities grow, researchers and publishers are exploring how it can support peer review—and where it still falls short</w:t>
      </w:r>
    </w:p>
    <w:p>
      <w:pPr>
        <w:spacing w:before="120" w:after="120"/>
      </w:pPr>
      <w:r>
        <w:rPr>
          <w:sz w:val="18"/>
        </w:rPr>
        <w:t>——————————————————————————————————————————————————————————————————————</w:t>
      </w:r>
    </w:p>
    <w:p>
      <w:pPr>
        <w:spacing w:before="160" w:after="40" w:line="240" w:lineRule="auto"/>
      </w:pPr>
      <w:r>
        <w:rPr>
          <w:b/>
        </w:rPr>
        <w:t xml:space="preserve">[1506] </w:t>
      </w:r>
      <w:hyperlink r:id="rId2296">
        <w:r>
          <w:rPr>
            <w:color w:val="1155CC"/>
            <w:u w:val="single"/>
          </w:rPr>
          <w:t>欧洲山顶植物灭绝速率上升</w:t>
        </w:r>
      </w:hyperlink>
    </w:p>
    <w:p>
      <w:pPr>
        <w:spacing w:before="0" w:after="80"/>
      </w:pPr>
      <w:r>
        <w:rPr>
          <w:i/>
          <w:sz w:val="20"/>
        </w:rPr>
        <w:t>EN: Rising plant extinction rates on European mountain summits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296">
        <w:r>
          <w:rPr>
            <w:color w:val="1155CC"/>
            <w:u w:val="single"/>
          </w:rPr>
          <w:t>10.1126/science.aed2974</w:t>
        </w:r>
      </w:hyperlink>
    </w:p>
    <w:p>
      <w:pPr>
        <w:spacing w:before="0" w:after="120"/>
      </w:pPr>
      <w:r>
        <w:rPr>
          <w:b/>
        </w:rPr>
        <w:t xml:space="preserve">Notes: </w:t>
      </w:r>
      <w:r>
        <w:t>abstract_source=crossref</w:t>
      </w:r>
    </w:p>
    <w:p>
      <w:pPr>
        <w:spacing w:before="0" w:after="80" w:lineRule="auto" w:line="276"/>
      </w:pPr>
      <w:r>
        <w:rPr>
          <w:b/>
        </w:rPr>
        <w:t xml:space="preserve">摘要（ZH）: </w:t>
      </w:r>
      <w:r>
        <w:t>气候变化增加了高山生态系统中植物物种的丰富度。然而，这种多样性丰富在多大程度上掩盖了常驻物种的灭绝动态仍然难以捉摸。在这项研究中，我们使用了欧洲 62 个山峰 896 个永久植被地块的植物区系再调查数据，结果表明，过去 21 年来，局部物种灭绝有所增加。灭绝率随着变暖的程度而上升，物种更有可能在低海拔范围边缘和经历更强的嗜热作用的群落中灭绝。此外，局部灭绝与之前的丰度下降显着相关，这可以作为早期预警信号。这些发现表明，尽管植物物种丰富度不断增加，但林线以上的植物群落面临着其最具特征物种的加速但迄今为止被忽视的损失。</w:t>
      </w:r>
    </w:p>
    <w:p>
      <w:pPr>
        <w:spacing w:before="0" w:after="200" w:lineRule="auto" w:line="276"/>
      </w:pPr>
      <w:r>
        <w:rPr>
          <w:b/>
        </w:rPr>
        <w:t xml:space="preserve">Abstract (EN): </w:t>
      </w:r>
      <w:r>
        <w:t>Climate change increases plant species richness in alpine ecosystems. However, to what extent this diversity enrichment masks extinction dynamics of resident species remains elusive. In this study, we used floristic resurvey data from 896 permanent vegetation plots across 62 European mountain summits to show that local extinctions have increased over the past 21 years. Extinction rates rose with the magnitude of warming, and species were more likely to go extinct toward their low-elevation range margins and in communities undergoing stronger thermophilization. Moreover, local extinctions were significantly related to preceding abundance declines, which can serve as an early warning signal. These findings suggest that despite increasing plant species richness, plant assemblages above the treeline face an accelerating but so far neglected loss of their most characteristic species.</w:t>
      </w:r>
    </w:p>
    <w:p>
      <w:pPr>
        <w:spacing w:before="120" w:after="120"/>
      </w:pPr>
      <w:r>
        <w:rPr>
          <w:sz w:val="18"/>
        </w:rPr>
        <w:t>——————————————————————————————————————————————————————————————————————</w:t>
      </w:r>
    </w:p>
    <w:p>
      <w:pPr>
        <w:spacing w:before="160" w:after="40" w:line="240" w:lineRule="auto"/>
      </w:pPr>
      <w:r>
        <w:rPr>
          <w:b/>
        </w:rPr>
        <w:t xml:space="preserve">[1507] </w:t>
      </w:r>
      <w:hyperlink r:id="rId2332">
        <w:r>
          <w:rPr>
            <w:color w:val="1155CC"/>
            <w:u w:val="single"/>
          </w:rPr>
          <w:t>俄罗斯押注新研究设施以建立对外联系</w:t>
        </w:r>
      </w:hyperlink>
    </w:p>
    <w:p>
      <w:pPr>
        <w:spacing w:before="0" w:after="80"/>
      </w:pPr>
      <w:r>
        <w:rPr>
          <w:i/>
          <w:sz w:val="20"/>
        </w:rPr>
        <w:t>EN: Russia bets on new research facilities to build foreign ties</w:t>
      </w:r>
    </w:p>
    <w:p>
      <w:pPr>
        <w:spacing w:before="0" w:after="120"/>
      </w:pPr>
      <w:r>
        <w:rPr>
          <w:b/>
        </w:rPr>
        <w:t xml:space="preserve">Source: </w:t>
      </w:r>
      <w:r>
        <w:t>Science</w:t>
      </w:r>
      <w:r>
        <w:t xml:space="preserve">    </w:t>
      </w:r>
      <w:r>
        <w:rPr>
          <w:b/>
        </w:rPr>
        <w:t xml:space="preserve">Pub date: </w:t>
      </w:r>
      <w:r>
        <w:t>2026-09-03 00:00:00+00:00</w:t>
      </w:r>
      <w:r>
        <w:t xml:space="preserve">    </w:t>
      </w:r>
      <w:r>
        <w:rPr>
          <w:b/>
        </w:rPr>
        <w:t xml:space="preserve">DOI: </w:t>
      </w:r>
      <w:hyperlink r:id="rId2332">
        <w:r>
          <w:rPr>
            <w:color w:val="1155CC"/>
            <w:u w:val="single"/>
          </w:rPr>
          <w:t>10.1126/science.aem0440</w:t>
        </w:r>
      </w:hyperlink>
    </w:p>
    <w:p>
      <w:pPr>
        <w:spacing w:before="0" w:after="120"/>
      </w:pPr>
      <w:r>
        <w:rPr>
          <w:b/>
        </w:rPr>
        <w:t xml:space="preserve">Notes: </w:t>
      </w:r>
      <w:r>
        <w:t>abstract_source=crossref</w:t>
      </w:r>
    </w:p>
    <w:p>
      <w:pPr>
        <w:spacing w:before="0" w:after="80" w:lineRule="auto" w:line="276"/>
      </w:pPr>
      <w:r>
        <w:rPr>
          <w:b/>
        </w:rPr>
        <w:t xml:space="preserve">摘要（ZH）: </w:t>
      </w:r>
      <w:r>
        <w:t>一个新的同步加速器和另外两个“大型项目”可以推动新的合作</w:t>
      </w:r>
    </w:p>
    <w:p>
      <w:pPr>
        <w:spacing w:before="0" w:after="200" w:lineRule="auto" w:line="276"/>
      </w:pPr>
      <w:r>
        <w:rPr>
          <w:b/>
        </w:rPr>
        <w:t xml:space="preserve">Abstract (EN): </w:t>
      </w:r>
      <w:r>
        <w:t>A new synchrotron and two other “megaprojects” could fuel new collaborations</w:t>
      </w:r>
    </w:p>
    <w:p>
      <w:pPr>
        <w:spacing w:before="120" w:after="120"/>
      </w:pPr>
      <w:r>
        <w:rPr>
          <w:sz w:val="18"/>
        </w:rPr>
        <w:t>——————————————————————————————————————————————————————————————————————</w:t>
      </w:r>
    </w:p>
    <w:p>
      <w:pPr>
        <w:spacing w:before="160" w:after="40" w:line="240" w:lineRule="auto"/>
      </w:pPr>
      <w:r>
        <w:rPr>
          <w:b/>
        </w:rPr>
        <w:t xml:space="preserve">[1508] </w:t>
      </w:r>
      <w:hyperlink r:id="rId2424">
        <w:r>
          <w:rPr>
            <w:color w:val="1155CC"/>
            <w:u w:val="single"/>
          </w:rPr>
          <w:t>Lenacapavir结合未成熟Gag诱导巨型病毒颗粒并引起蛋白酶依赖的病毒释放抑制</w:t>
        </w:r>
      </w:hyperlink>
    </w:p>
    <w:p>
      <w:pPr>
        <w:spacing w:before="0" w:after="80"/>
      </w:pPr>
      <w:r>
        <w:rPr>
          <w:i/>
          <w:sz w:val="20"/>
        </w:rPr>
        <w:t>EN: Lenacapavir binding to immature Gag induces giant virions and causes protease-dependent inhibition of viral release</w:t>
      </w:r>
    </w:p>
    <w:p>
      <w:pPr>
        <w:spacing w:before="0" w:after="120"/>
      </w:pPr>
      <w:r>
        <w:rPr>
          <w:b/>
        </w:rPr>
        <w:t xml:space="preserve">Source: </w:t>
      </w:r>
      <w:r>
        <w:t>Proceedings of the National Academy of Sciences: Keyword search for query</w:t>
      </w:r>
      <w:r>
        <w:t xml:space="preserve">    </w:t>
      </w:r>
      <w:r>
        <w:rPr>
          <w:b/>
        </w:rPr>
        <w:t xml:space="preserve">Pub date: </w:t>
      </w:r>
      <w:r>
        <w:t>2026-09-03 07:00:00+00:00</w:t>
      </w:r>
      <w:r>
        <w:t xml:space="preserve">    </w:t>
      </w:r>
      <w:r>
        <w:rPr>
          <w:b/>
        </w:rPr>
        <w:t xml:space="preserve">DOI: </w:t>
      </w:r>
      <w:hyperlink r:id="rId2425">
        <w:r>
          <w:rPr>
            <w:color w:val="1155CC"/>
            <w:u w:val="single"/>
          </w:rPr>
          <w:t>10.1073/pnas.2609634123</w:t>
        </w:r>
      </w:hyperlink>
    </w:p>
    <w:p>
      <w:pPr>
        <w:spacing w:before="0" w:after="120"/>
      </w:pPr>
      <w:r>
        <w:rPr>
          <w:b/>
        </w:rPr>
        <w:t xml:space="preserve">Notes: </w:t>
      </w:r>
      <w:r>
        <w:t>abstract_source=crossref</w:t>
      </w:r>
    </w:p>
    <w:p>
      <w:pPr>
        <w:spacing w:before="0" w:after="80" w:lineRule="auto" w:line="276"/>
      </w:pPr>
      <w:r>
        <w:rPr>
          <w:b/>
        </w:rPr>
        <w:t xml:space="preserve">摘要（ZH）: </w:t>
      </w:r>
      <w:r>
        <w:t>Lenacapavir（LEN）是一种强效衣壳抑制剂，通过破坏HIV 1型（HIV-1）衣壳核心的形成来抑制逆转录和核输入。然而，其对晚期病毒组装的影响仍不清楚。尽管p24 ELISA显示LEN显著抑制HIV-1，但RT-dPCR和Vpr-HiBiT检测均表明抑制病毒释放需要相对较高的LEN浓度。这种差异归因于LEN诱导的p24溶解性降低，导致对其病毒释放抑制效应的高估。此外，在LEN存在下观察到病毒蛋白酶对胞内Gag的过度加工，这也损害了病毒释放。同时，LEN在质膜上诱导Gag形成大量异常的离散簇。利用分析HIV-1颗粒尺寸的质量光度法和透射电子显微镜，我们鉴定出同时含Gag和Env蛋白的异质性LEN诱导病毒样颗粒（LENiVLPs；直径&gt;200 nm）。尽管LENiVLPs保留膜融合能力，但由于阻止病毒复制的进入后缺陷而丧失感染性。因此，LEN结合前体Gag并促进异常颗粒形成，为指导针对病毒生命周期晚期的下一代LEN类药物的开发提供了见解。</w:t>
      </w:r>
    </w:p>
    <w:p>
      <w:pPr>
        <w:spacing w:before="0" w:after="200" w:lineRule="auto" w:line="276"/>
      </w:pPr>
      <w:r>
        <w:rPr>
          <w:b/>
        </w:rPr>
        <w:t xml:space="preserve">Abstract (EN): </w:t>
      </w:r>
      <w:r>
        <w:t>Lenacapavir (LEN), a potent capsid inhibitor, suppresses reverse transcription and nuclear import by disrupting capsid core formation in HIV type 1 (HIV-1). However, its effects on late-stage viral assembly remain unclear. Although p24 ELISA suggested that LEN substantially inhibited HIV-1, both RT-dPCR and Vpr-HiBiT assays indicated that suppression of viral release required relatively high LEN concentrations. This discrepancy was attributed to LEN-induced reduction in p24 solubility, leading to an overestimation of its inhibitory effect on viral release. In addition, excessive intracellular Gag processing by the viral protease was observed in the presence of LEN, which contributed to impaired viral release. Furthermore, LEN induced numerous abnormal, discrete clusters of Gag at the plasma membrane. Using mass photometry, which was applied to analyze HIV-1 particle sizes, and transmission electron microscopy, we identified heterogeneous LEN-induced viral-like particles (LENiVLPs; diameter &amp;gt;200 nm) containing both Gag and Env proteins. Although LENiVLPs retained membrane fusion capability, they were noninfectious owing to postentry defects that prevented viral replication. Thus, LEN binds to the precursor Gag and promotes aberrant particle formation, offering insights that could guide the development of next-generation LEN-based therapeutics targeting the late stages of the viral life cycle.</w:t>
      </w:r>
    </w:p>
    <w:p>
      <w:pPr>
        <w:spacing w:before="120" w:after="120"/>
      </w:pPr>
      <w:r>
        <w:rPr>
          <w:sz w:val="18"/>
        </w:rPr>
        <w:t>——————————————————————————————————————————————————————————————————————</w:t>
      </w:r>
    </w:p>
    <w:p>
      <w:pPr>
        <w:spacing w:before="160" w:after="40" w:line="240" w:lineRule="auto"/>
      </w:pPr>
      <w:r>
        <w:rPr>
          <w:b/>
        </w:rPr>
        <w:t xml:space="preserve">[1509] </w:t>
      </w:r>
      <w:hyperlink r:id="rId2426">
        <w:r>
          <w:rPr>
            <w:color w:val="1155CC"/>
            <w:u w:val="single"/>
          </w:rPr>
          <w:t>考古文物的黏滞剩余磁化强度鉴定方法</w:t>
        </w:r>
      </w:hyperlink>
    </w:p>
    <w:p>
      <w:pPr>
        <w:spacing w:before="0" w:after="80"/>
      </w:pPr>
      <w:r>
        <w:rPr>
          <w:i/>
          <w:sz w:val="20"/>
        </w:rPr>
        <w:t>EN: Viscous remanent magnetization authentication method for archaeological artifacts</w:t>
      </w:r>
    </w:p>
    <w:p>
      <w:pPr>
        <w:spacing w:before="0" w:after="120"/>
      </w:pPr>
      <w:r>
        <w:rPr>
          <w:b/>
        </w:rPr>
        <w:t xml:space="preserve">Source: </w:t>
      </w:r>
      <w:r>
        <w:t>Proceedings of the National Academy of Sciences: Keyword search for query</w:t>
      </w:r>
      <w:r>
        <w:t xml:space="preserve">    </w:t>
      </w:r>
      <w:r>
        <w:rPr>
          <w:b/>
        </w:rPr>
        <w:t xml:space="preserve">Pub date: </w:t>
      </w:r>
      <w:r>
        <w:t>2026-09-03 07:00:00+00:00</w:t>
      </w:r>
      <w:r>
        <w:t xml:space="preserve">    </w:t>
      </w:r>
      <w:r>
        <w:rPr>
          <w:b/>
        </w:rPr>
        <w:t xml:space="preserve">DOI: </w:t>
      </w:r>
      <w:hyperlink r:id="rId2427">
        <w:r>
          <w:rPr>
            <w:color w:val="1155CC"/>
            <w:u w:val="single"/>
          </w:rPr>
          <w:t>10.1073/pnas.2620397123</w:t>
        </w:r>
      </w:hyperlink>
    </w:p>
    <w:p>
      <w:pPr>
        <w:spacing w:before="0" w:after="120"/>
      </w:pPr>
      <w:r>
        <w:rPr>
          <w:b/>
        </w:rPr>
        <w:t xml:space="preserve">Notes: </w:t>
      </w:r>
      <w:r>
        <w:t>abstract_source=crossref</w:t>
      </w:r>
    </w:p>
    <w:p>
      <w:pPr>
        <w:spacing w:before="0" w:after="80" w:lineRule="auto" w:line="276"/>
      </w:pPr>
      <w:r>
        <w:rPr>
          <w:b/>
        </w:rPr>
        <w:t xml:space="preserve">摘要（ZH）: </w:t>
      </w:r>
      <w:r>
        <w:t>{"translations":["博物馆和公共收藏中常藏有来源不明的考古黏土文物。此类文物如果被证明为真品，可能对我们理解古代社会有重要贡献。然而，这些文物的真实性通常存在高度争议，导致它们在历史解读中被忽视。为鉴定此类物品的真伪，已发展出多种实验室方法，但没有一种被证明是绝对可靠的。在此，我们提出一种通过考察文物所获得的黏滞剩余磁化（Viscous Remanent Magnetization, VRM）来区分真品与赝品黏土文物的方法。黏土物品在制造过程中于窑中加热和冷却时，往往会获得一种称为热剩余磁化（Thermal Remanent Magnetization, TRM）的强磁信号。在这些物品脱离其获得TRM时的取向后，它们暴露于方向不同的周围地磁场中。在考古时间尺度上，这会导致显著的VRM的获得。我们提出了一种用于识别这种古代VRM的实验室方案。我们通过对单畴颗粒的微磁学建模，以及对19件古代物品和26件现代物品（由不同类型的黏土制成并采用不同烧制技术烧制）进行的实验室实验，验证了该方案。实验和模拟均表明，在高于某一截止温度的温度下被移除的显著VRM分量的存在表明……"]}]}</w:t>
      </w:r>
    </w:p>
    <w:p>
      <w:pPr>
        <w:spacing w:before="0" w:after="200" w:lineRule="auto" w:line="276"/>
      </w:pPr>
      <w:r>
        <w:rPr>
          <w:b/>
        </w:rPr>
        <w:t xml:space="preserve">Abstract (EN): </w:t>
      </w:r>
      <w:r>
        <w:t>Museums and public collections often contain archaeological clay artifacts of unknown origin. Such artifacts, if proven to be authentic, may contribute significantly to our understanding of ancient societies. However, the authenticity of these artifacts is usually highly debated, resulting in their being disregarded in historical interpretations. Several laboratory methods have been developed in order to authenticate such objects but none have been proven infallible. Here we present a method for distinguishing between authentic and fake clay artifacts by considering the Viscous Remanent Magnetization (VRM) acquired by the artifacts. Clay objects tend to acquire a strong magnetic signal termed Thermal Remanent Magnetization (TRM) upon heating and cooling in kilns during their manufacturing process. After being removed from the orientation in which their TRM was acquired, these objects were exposed to an ambient geomagnetic field in a different direction. Over archaeological time scales, this results in the acquisition of a significant VRM. We propose a laboratory protocol for identifying this ancient VRM. We validated the protocol using micromagnetic modeling of single domain particles and by laboratory experiments carried out on 19 ancient and 26 modern objects, made from different types of clay and fired using different firing techniques. Both the experiments and the simulations indicate that the existence of a significant VRM component removed at temperatures higher than a cutoff temperature of</w:t>
      </w:r>
      <w:r>
        <w:t xml:space="preserve"> </w:t>
      </w:r>
      <w:r>
        <w:rPr>
          <w:vertAlign w:val="subscript"/>
        </w:rPr>
        <w:t>112</w:t>
      </w:r>
      <w:r>
        <w:t xml:space="preserve"> </w:t>
      </w:r>
      <w:r>
        <w:t>°</w:t>
      </w:r>
      <w:r>
        <w:t xml:space="preserve"> </w:t>
      </w:r>
      <w:r>
        <w:t>C is indicative of ancient objects while its removal at lower temperatures is indicative of modern objects. We successfully applied this method to objects of debated authenticity.</w:t>
      </w:r>
    </w:p>
    <w:p>
      <w:pPr>
        <w:spacing w:before="120" w:after="120"/>
      </w:pPr>
      <w:r>
        <w:rPr>
          <w:sz w:val="18"/>
        </w:rPr>
        <w:t>——————————————————————————————————————————————————————————————————————</w:t>
      </w:r>
    </w:p>
    <w:p>
      <w:pPr>
        <w:spacing w:before="160" w:after="40" w:line="240" w:lineRule="auto"/>
      </w:pPr>
      <w:r>
        <w:rPr>
          <w:b/>
        </w:rPr>
        <w:t xml:space="preserve">[1510] </w:t>
      </w:r>
      <w:hyperlink r:id="rId2428">
        <w:r>
          <w:rPr>
            <w:color w:val="1155CC"/>
            <w:u w:val="single"/>
          </w:rPr>
          <w:t>利用生成式AI基于非结构化数据进行因果推断</w:t>
        </w:r>
      </w:hyperlink>
    </w:p>
    <w:p>
      <w:pPr>
        <w:spacing w:before="0" w:after="80"/>
      </w:pPr>
      <w:r>
        <w:rPr>
          <w:i/>
          <w:sz w:val="20"/>
        </w:rPr>
        <w:t>EN: Leveraging generative AI for causal inference with unstructured data</w:t>
      </w:r>
    </w:p>
    <w:p>
      <w:pPr>
        <w:spacing w:before="0" w:after="120"/>
      </w:pPr>
      <w:r>
        <w:rPr>
          <w:b/>
        </w:rPr>
        <w:t xml:space="preserve">Source: </w:t>
      </w:r>
      <w:r>
        <w:t>Proceedings of the National Academy of Sciences: Keyword search for query</w:t>
      </w:r>
      <w:r>
        <w:t xml:space="preserve">    </w:t>
      </w:r>
      <w:r>
        <w:rPr>
          <w:b/>
        </w:rPr>
        <w:t xml:space="preserve">Pub date: </w:t>
      </w:r>
      <w:r>
        <w:t>2026-09-03 07:00:00+00:00</w:t>
      </w:r>
      <w:r>
        <w:t xml:space="preserve">    </w:t>
      </w:r>
      <w:r>
        <w:rPr>
          <w:b/>
        </w:rPr>
        <w:t xml:space="preserve">DOI: </w:t>
      </w:r>
      <w:hyperlink r:id="rId2429">
        <w:r>
          <w:rPr>
            <w:color w:val="1155CC"/>
            <w:u w:val="single"/>
          </w:rPr>
          <w:t>10.1073/pnas.2530532123</w:t>
        </w:r>
      </w:hyperlink>
    </w:p>
    <w:p>
      <w:pPr>
        <w:spacing w:before="0" w:after="120"/>
      </w:pPr>
      <w:r>
        <w:rPr>
          <w:b/>
        </w:rPr>
        <w:t xml:space="preserve">Notes: </w:t>
      </w:r>
      <w:r>
        <w:t>abstract_source=crossref</w:t>
      </w:r>
    </w:p>
    <w:p>
      <w:pPr>
        <w:spacing w:before="0" w:after="80" w:lineRule="auto" w:line="276"/>
      </w:pPr>
      <w:r>
        <w:rPr>
          <w:b/>
        </w:rPr>
        <w:t xml:space="preserve">摘要（ZH）: </w:t>
      </w:r>
      <w:r>
        <w:t>我们介绍了生成式人工智能驱动推断（GenAI-Powered Inference，GPI），这是一种利用非结构化数据（包括文本和图像）进行因果推断的统计框架。GPI 利用开源的预训练生成式人工智能（GenAI）模型——例如大语言模型和扩散模型——不仅能够大规模生成非结构化数据，还能提取能够保证捕捉其底层结构的低维表示。通过对这些表示应用机器学习，GPI 能够在量化估计不确定性的同时估计因果效应。与现有的表示学习方法不同，GPI 不需要对 GenAI 模型进行微调，因而计算高效且广泛可用。我们通过三个应用展示了 GPI 框架的多样性：1) 在调整文本混杂因素的情况下估计中国社交媒体审查的影响；2) 将特定图像特征的影响与同一图像中其他相关特征的影响分离开来；以及 3) 评估政治言论的说服力。我们提供了一个用于实现 GPI 的开源软件包。</w:t>
      </w:r>
    </w:p>
    <w:p>
      <w:pPr>
        <w:spacing w:before="0" w:after="200" w:lineRule="auto" w:line="276"/>
      </w:pPr>
      <w:r>
        <w:rPr>
          <w:b/>
        </w:rPr>
        <w:t xml:space="preserve">Abstract (EN): </w:t>
      </w:r>
      <w:r>
        <w:t>We introduce GenAI-Powered Inference (GPI), a statistical framework for causal inference using unstructured data, including text and images. GPI leverages open-source pretrained Generative AI (GenAI) models—such as large language models and diffusion models—not only to generate unstructured data at scale but also to extract low-dimensional representations that are guaranteed to capture their underlying structure. Applying machine learning to these representations, GPI enables estimation of causal effects while quantifying estimation uncertainty. Unlike existing approaches to representation learning, GPI does not require fine-tuning of GenAI models, making it computationally efficient and broadly accessible. We illustrate the versatility of the GPI framework through three applications: 1) estimating the effects of Chinese social media censorship while adjusting for textual confounders, 2) isolating the impact of specific image features from that of other correlated features in the same image, and 3) assessing the persuasiveness of political rhetoric. An open-source software package is available for implementing GPI.</w:t>
      </w:r>
    </w:p>
    <w:p>
      <w:pPr>
        <w:spacing w:before="120" w:after="120"/>
      </w:pPr>
      <w:r>
        <w:rPr>
          <w:sz w:val="18"/>
        </w:rPr>
        <w:t>——————————————————————————————————————————————————————————————————————</w:t>
      </w:r>
    </w:p>
    <w:p>
      <w:pPr>
        <w:spacing w:before="160" w:after="40" w:line="240" w:lineRule="auto"/>
      </w:pPr>
      <w:r>
        <w:rPr>
          <w:b/>
        </w:rPr>
        <w:t xml:space="preserve">[1511] </w:t>
      </w:r>
      <w:hyperlink r:id="rId2430">
        <w:r>
          <w:rPr>
            <w:color w:val="1155CC"/>
            <w:u w:val="single"/>
          </w:rPr>
          <w:t>Hex-MASP用于绘制全组织空间蛋白质组及单克隆抗体在脑内的分布</w:t>
        </w:r>
      </w:hyperlink>
    </w:p>
    <w:p>
      <w:pPr>
        <w:spacing w:before="0" w:after="80"/>
      </w:pPr>
      <w:r>
        <w:rPr>
          <w:i/>
          <w:sz w:val="20"/>
        </w:rPr>
        <w:t>EN: Hex-MASP for mapping the whole-tissue spatial proteome and the intrabrain distribution of monoclonal antibodies</w:t>
      </w:r>
    </w:p>
    <w:p>
      <w:pPr>
        <w:spacing w:before="0" w:after="120"/>
      </w:pPr>
      <w:r>
        <w:rPr>
          <w:b/>
        </w:rPr>
        <w:t xml:space="preserve">Source: </w:t>
      </w:r>
      <w:r>
        <w:t>Proceedings of the National Academy of Sciences: Keyword search for query</w:t>
      </w:r>
      <w:r>
        <w:t xml:space="preserve">    </w:t>
      </w:r>
      <w:r>
        <w:rPr>
          <w:b/>
        </w:rPr>
        <w:t xml:space="preserve">Pub date: </w:t>
      </w:r>
      <w:r>
        <w:t>2026-09-03 07:00:00+00:00</w:t>
      </w:r>
      <w:r>
        <w:t xml:space="preserve">    </w:t>
      </w:r>
      <w:r>
        <w:rPr>
          <w:b/>
        </w:rPr>
        <w:t xml:space="preserve">DOI: </w:t>
      </w:r>
      <w:hyperlink r:id="rId2431">
        <w:r>
          <w:rPr>
            <w:color w:val="1155CC"/>
            <w:u w:val="single"/>
          </w:rPr>
          <w:t>10.1073/pnas.2532946123</w:t>
        </w:r>
      </w:hyperlink>
    </w:p>
    <w:p>
      <w:pPr>
        <w:spacing w:before="0" w:after="120"/>
      </w:pPr>
      <w:r>
        <w:rPr>
          <w:b/>
        </w:rPr>
        <w:t xml:space="preserve">Notes: </w:t>
      </w:r>
      <w:r>
        <w:t>abstract_source=crossref</w:t>
      </w:r>
    </w:p>
    <w:p>
      <w:pPr>
        <w:spacing w:before="0" w:after="80" w:lineRule="auto" w:line="276"/>
      </w:pPr>
      <w:r>
        <w:rPr>
          <w:b/>
        </w:rPr>
        <w:t xml:space="preserve">摘要（ZH）: </w:t>
      </w:r>
      <w:r>
        <w:t>{"translations":["全组织水平空间蛋白质组学可提供对区域特异性生物调控的关键洞察，但仍然具有挑战性。此前，我们提出了用于全组织图谱绘制的微支架辅助空间蛋白质组学（MASP）概念。然而，该原型在空间分辨率、实用性和通量方面仍需大幅改进才能实现实际应用。在此，我们提出新一代MASP技术（hex-MASP），其特点包括：i）采用优化投影式微立体光刻3D打印制备的新型六边形微孔设计，实现了高空间分辨率、取样稳健性和机械强度，可重复地对甚至坚硬的组织进行区室化处理；ii）通过高质量的定量水平，提升了样品制备和LC–MS分析的通量与效率。应用于小鼠大脑时，hex-MASP实现了对小鼠脑内6,000多种蛋白质的深度全组织图谱绘制，具有高空间准确性和出色的数据质量。显著提升的分辨率揭示了整个大脑中此前未被捕捉的关键区域细节，从而能够精确描绘蛋白质分布的异质性。该技术使得鉴定脑结构中许多未报道的区域富集蛋白质成为可能。我们进一步应用hex-MASP研究脑室内给药的抗体治疗药物及相关蛋白在脑内的分布，从而实现了全组织m"]}]}</w:t>
      </w:r>
    </w:p>
    <w:p>
      <w:pPr>
        <w:spacing w:before="0" w:after="200" w:lineRule="auto" w:line="276"/>
      </w:pPr>
      <w:r>
        <w:rPr>
          <w:b/>
        </w:rPr>
        <w:t xml:space="preserve">Abstract (EN): </w:t>
      </w:r>
      <w:r>
        <w:t>Whole-tissue level spatial proteomics provides critical insights into region-specific biological regulations but remains challenging. Previously, we introduced the micro-scaffold assisted spatial proteomics (MASP) concept for whole-tissue mapping. However, this prototype required substantial development in spatial resolution, practicality, and throughput for practical application. Here we present a next-generation MASP technique (</w:t>
      </w:r>
      <w:r>
        <w:t xml:space="preserve"> </w:t>
      </w:r>
      <w:r>
        <w:t>hex-</w:t>
      </w:r>
      <w:r>
        <w:t>MASP) featuring i) a new design of hexagonal-micro-wells fabricated with optimized projection micro-stereolithography 3D-printing, achieving high spatial resolution, sampling robustness, and mechanical strength for reproducibly compartmentalizing even tough tissues; ii) enhanced throughput/effectiveness in sample preparation and LC–MS analysis with high quantitative quality. Applied to mouse brain,</w:t>
      </w:r>
      <w:r>
        <w:t xml:space="preserve"> </w:t>
      </w:r>
      <w:r>
        <w:t>hex-</w:t>
      </w:r>
      <w:r>
        <w:t>MASP achieved in-depth, whole-tissue mapping for &amp;gt;6,000 proteins in mouse brains, with high spatial accuracy and excellent data quality. The substantially improved resolution revealed critical regional details across the entire brain, that were not previously captured, enabling precise depiction of protein distribution heterogeneity. This technique enabled the identification of many unreported regionally enriched proteins across brain structures. We further applied</w:t>
      </w:r>
      <w:r>
        <w:t xml:space="preserve"> </w:t>
      </w:r>
      <w:r>
        <w:t>hex-</w:t>
      </w:r>
      <w:r>
        <w:t>MASP to investigate the intrabrain distribution of intracerebroventricularly dosed antibody therapeutics and related proteins, which enabled whole-tissue mapping of protein drugs revealed insights into antibody brain penetration and distribution.</w:t>
      </w:r>
      <w:r>
        <w:t xml:space="preserve"> </w:t>
      </w:r>
      <w:r>
        <w:t>Hex</w:t>
      </w:r>
      <w:r>
        <w:t xml:space="preserve"> </w:t>
      </w:r>
      <w:r>
        <w:t>-MASP represents a robust, scalable platform for whole-tissue spatial proteomics.</w:t>
      </w:r>
    </w:p>
    <w:p>
      <w:pPr>
        <w:spacing w:before="120" w:after="120"/>
      </w:pPr>
      <w:r>
        <w:rPr>
          <w:sz w:val="18"/>
        </w:rPr>
        <w:t>——————————————————————————————————————————————————————————————————————</w:t>
      </w:r>
    </w:p>
    <w:p>
      <w:pPr>
        <w:spacing w:before="160" w:after="40" w:line="240" w:lineRule="auto"/>
      </w:pPr>
      <w:r>
        <w:rPr>
          <w:b/>
        </w:rPr>
        <w:t xml:space="preserve">[1512] </w:t>
      </w:r>
      <w:hyperlink r:id="rId2432">
        <w:r>
          <w:rPr>
            <w:color w:val="1155CC"/>
            <w:u w:val="single"/>
          </w:rPr>
          <w:t>金属伴侣蛋白UreE与UreG相互作用向脲酶递送毒性金属的结构机制解析</w:t>
        </w:r>
      </w:hyperlink>
    </w:p>
    <w:p>
      <w:pPr>
        <w:spacing w:before="0" w:after="80"/>
      </w:pPr>
      <w:r>
        <w:rPr>
          <w:i/>
          <w:sz w:val="20"/>
        </w:rPr>
        <w:t>EN: Structural insights into how metallochaperones UreE and UreG interact to deliver a toxic metal to urease</w:t>
      </w:r>
    </w:p>
    <w:p>
      <w:pPr>
        <w:spacing w:before="0" w:after="120"/>
      </w:pPr>
      <w:r>
        <w:rPr>
          <w:b/>
        </w:rPr>
        <w:t xml:space="preserve">Source: </w:t>
      </w:r>
      <w:r>
        <w:t>Proceedings of the National Academy of Sciences: Keyword search for query</w:t>
      </w:r>
      <w:r>
        <w:t xml:space="preserve">    </w:t>
      </w:r>
      <w:r>
        <w:rPr>
          <w:b/>
        </w:rPr>
        <w:t xml:space="preserve">Pub date: </w:t>
      </w:r>
      <w:r>
        <w:t>2026-09-03 07:00:00+00:00</w:t>
      </w:r>
      <w:r>
        <w:t xml:space="preserve">    </w:t>
      </w:r>
      <w:r>
        <w:rPr>
          <w:b/>
        </w:rPr>
        <w:t xml:space="preserve">DOI: </w:t>
      </w:r>
      <w:hyperlink r:id="rId2433">
        <w:r>
          <w:rPr>
            <w:color w:val="1155CC"/>
            <w:u w:val="single"/>
          </w:rPr>
          <w:t>10.1073/pnas.2535662123</w:t>
        </w:r>
      </w:hyperlink>
    </w:p>
    <w:p>
      <w:pPr>
        <w:spacing w:before="0" w:after="120"/>
      </w:pPr>
      <w:r>
        <w:rPr>
          <w:b/>
        </w:rPr>
        <w:t xml:space="preserve">Notes: </w:t>
      </w:r>
      <w:r>
        <w:t>abstract_source=crossref</w:t>
      </w:r>
    </w:p>
    <w:p>
      <w:pPr>
        <w:spacing w:before="0" w:after="80" w:lineRule="auto" w:line="276"/>
      </w:pPr>
      <w:r>
        <w:rPr>
          <w:b/>
        </w:rPr>
        <w:t xml:space="preserve">摘要（ZH）: </w:t>
      </w:r>
      <w:r>
        <w:t>脲酶的成熟是幽门螺杆菌（Helicobacter pylori）感染的毒力因子，需要将镍离子递送到该金属酶中。为避免细胞毒性，Ni(II)离子在金属伴侣蛋白的蛋白质复合物中传递，以确保有毒金属不会泄漏到细胞质中。在脲酶成熟途径中，金属伴侣蛋白 UreG 通过与另一种金属伴侣蛋白 UreE 形成 2:2 复合物来接收其 Ni(II)离子。利用 UreE 的 C 端截短变体 [UreE(1-158) 和 UreE(1-148)]，我们测定了结合 Ni(II)离子和不可水解的 GTP 类似物 GMPPNP 的 UreE₂G₂ 复合物的晶体结构。UreE–UreG 相互作用是不对称的，UreG 二聚体主要与近端 UreE（最靠近 UreG 的那个）相互作用。GTP 结合诱导远端 UreG 的 Asp37-Asp43 残基和 CPH 基序（Cys66-Pro67-His68）发生构象变化，使其能够锚定到 UreE₂G₂ 复合物上。远端 UreG 的 His68 向 UreE 结合位点的 Ni(II)离子移动并将其螯合。UreE₂G₂ 复合物的形成使 UreE 和 UreG 的 Ni(II)结合位点相互靠近。结合体外结合分析，结构比较表明，镍从 UreE 向 UreG 的转移诱导构象变化，削弱 UreE–UreG 相互作用，从而提供一种机</w:t>
      </w:r>
    </w:p>
    <w:p>
      <w:pPr>
        <w:spacing w:before="0" w:after="200" w:lineRule="auto" w:line="276"/>
      </w:pPr>
      <w:r>
        <w:rPr>
          <w:b/>
        </w:rPr>
        <w:t xml:space="preserve">Abstract (EN): </w:t>
      </w:r>
      <w:r>
        <w:t>Maturation of urease, a virulence factor for</w:t>
      </w:r>
      <w:r>
        <w:t xml:space="preserve"> </w:t>
      </w:r>
      <w:r>
        <w:t>Helicobacter pylori</w:t>
      </w:r>
      <w:r>
        <w:t xml:space="preserve"> </w:t>
      </w:r>
      <w:r>
        <w:t>infection, requires the delivery of nickel ions to the metalloenzyme. To avoid cytotoxicity, Ni(II) ions are transferred within protein complexes of metallochaperones to ensure that the toxic metal does not escape into the cytoplasm. In the urease maturation pathway, metallochaperone UreG receives its Ni(II) ions by forming a 2:2 complex with another metallochaperone UreE. Using C-terminal truncation variants of UreE [UreE(1-158) and UreE(1-148)], we determined the crystal structures of the UreE</w:t>
      </w:r>
      <w:r>
        <w:rPr>
          <w:vertAlign w:val="subscript"/>
        </w:rPr>
        <w:t>2</w:t>
      </w:r>
      <w:r>
        <w:t>G</w:t>
      </w:r>
      <w:r>
        <w:rPr>
          <w:vertAlign w:val="subscript"/>
        </w:rPr>
        <w:t>2</w:t>
      </w:r>
      <w:r>
        <w:t>complex bound with Ni(II) ions and GMPPNP, a nonhydrolyzable GTP analogue. UreE–UreG interactions are asymmetric, with the UreG dimer interacting mainly with the proximal UreE (closest to UreG). GTP binding induces conformational changes in the residues Asp37-Asp43 and the CPH motif (Cys66-Pro67-His68) of distal UreG that enable its anchorage to the UreE</w:t>
      </w:r>
      <w:r>
        <w:rPr>
          <w:vertAlign w:val="subscript"/>
        </w:rPr>
        <w:t>2</w:t>
      </w:r>
      <w:r>
        <w:t>G</w:t>
      </w:r>
      <w:r>
        <w:rPr>
          <w:vertAlign w:val="subscript"/>
        </w:rPr>
        <w:t>2</w:t>
      </w:r>
      <w:r>
        <w:t>complex. His68 of distal UreG moves toward and chelates a Ni(II) ion at the UreE binding site. Formation of the UreE</w:t>
      </w:r>
      <w:r>
        <w:rPr>
          <w:vertAlign w:val="subscript"/>
        </w:rPr>
        <w:t>2</w:t>
      </w:r>
      <w:r>
        <w:t>G</w:t>
      </w:r>
      <w:r>
        <w:rPr>
          <w:vertAlign w:val="subscript"/>
        </w:rPr>
        <w:t>2</w:t>
      </w:r>
      <w:r>
        <w:t>complex juxtaposes the Ni(II) binding sites of UreE and UreG. Supported by in vitro binding analyses, structural comparison suggests that nickel transfer from UreE to UreG induces conformational changes that weaken UreE–UreG interactions, thereby providing a mechanism for the dissociation of Ni(II)-bound UreG from the UreE</w:t>
      </w:r>
      <w:r>
        <w:rPr>
          <w:vertAlign w:val="subscript"/>
        </w:rPr>
        <w:t>2</w:t>
      </w:r>
      <w:r>
        <w:t>G</w:t>
      </w:r>
      <w:r>
        <w:rPr>
          <w:vertAlign w:val="subscript"/>
        </w:rPr>
        <w:t>2</w:t>
      </w:r>
      <w:r>
        <w:t>complex. Our work presents a paradigm on how GTP and Ni(II) binding allosterically regulate the formation of a metallochaperone complex to facilitate nickel transfer.</w:t>
      </w:r>
    </w:p>
    <w:p>
      <w:pPr>
        <w:spacing w:before="120" w:after="120"/>
      </w:pPr>
      <w:r>
        <w:rPr>
          <w:sz w:val="18"/>
        </w:rPr>
        <w:t>——————————————————————————————————————————————————————————————————————</w:t>
      </w:r>
    </w:p>
    <w:p>
      <w:pPr>
        <w:spacing w:before="160" w:after="40" w:line="240" w:lineRule="auto"/>
      </w:pPr>
      <w:r>
        <w:rPr>
          <w:b/>
        </w:rPr>
        <w:t xml:space="preserve">[1513] </w:t>
      </w:r>
      <w:hyperlink r:id="rId2434">
        <w:r>
          <w:rPr>
            <w:color w:val="1155CC"/>
            <w:u w:val="single"/>
          </w:rPr>
          <w:t>极端气候事件驱动土壤抗生素抗性基因的一致且可预测的变化</w:t>
        </w:r>
      </w:hyperlink>
    </w:p>
    <w:p>
      <w:pPr>
        <w:spacing w:before="0" w:after="80"/>
      </w:pPr>
      <w:r>
        <w:rPr>
          <w:i/>
          <w:sz w:val="20"/>
        </w:rPr>
        <w:t>EN: Extreme climatic events drive consistent and predictable shifts in soil antibiotic resistance genes</w:t>
      </w:r>
    </w:p>
    <w:p>
      <w:pPr>
        <w:spacing w:before="0" w:after="120"/>
      </w:pPr>
      <w:r>
        <w:rPr>
          <w:b/>
        </w:rPr>
        <w:t xml:space="preserve">Source: </w:t>
      </w:r>
      <w:r>
        <w:t>Proceedings of the National Academy of Sciences: Keyword search for query</w:t>
      </w:r>
      <w:r>
        <w:t xml:space="preserve">    </w:t>
      </w:r>
      <w:r>
        <w:rPr>
          <w:b/>
        </w:rPr>
        <w:t xml:space="preserve">Pub date: </w:t>
      </w:r>
      <w:r>
        <w:t>2026-09-03 07:00:00+00:00</w:t>
      </w:r>
      <w:r>
        <w:t xml:space="preserve">    </w:t>
      </w:r>
      <w:r>
        <w:rPr>
          <w:b/>
        </w:rPr>
        <w:t xml:space="preserve">DOI: </w:t>
      </w:r>
      <w:hyperlink r:id="rId2435">
        <w:r>
          <w:rPr>
            <w:color w:val="1155CC"/>
            <w:u w:val="single"/>
          </w:rPr>
          <w:t>10.1073/pnas.2612278123</w:t>
        </w:r>
      </w:hyperlink>
    </w:p>
    <w:p>
      <w:pPr>
        <w:spacing w:before="0" w:after="120"/>
      </w:pPr>
      <w:r>
        <w:rPr>
          <w:b/>
        </w:rPr>
        <w:t xml:space="preserve">Notes: </w:t>
      </w:r>
      <w:r>
        <w:t>abstract_source=crossref</w:t>
      </w:r>
    </w:p>
    <w:p>
      <w:pPr>
        <w:spacing w:before="0" w:after="80" w:lineRule="auto" w:line="276"/>
      </w:pPr>
      <w:r>
        <w:rPr>
          <w:b/>
        </w:rPr>
        <w:t xml:space="preserve">摘要（ZH）: </w:t>
      </w:r>
      <w:r>
        <w:t>抗菌素耐药性（AMR）是一个日益严峻的“同一健康”（One Health）挑战，随着气候变暖加剧极端事件，这些扰动如何影响土壤抗生素抗性基因（ARGs）仍不清楚。在此，我们分析了来自欧洲十个国家 30 个草地地点土壤的受控实验数据，该实验模拟了干旱、洪水、冻融和热浪，以探究 ARG 的动态变化。总体而言，ARG 在各处理间表现出相对较小但高度一致的变化。热浪导致 ARG 丰度及其与移动遗传元件（MGEs）的关联性出现最强程度的降低，这一模式可能反映了一种假设的代谢–遗传权衡，即微生物的投资可能从核心代谢转向胁迫信号传导和结构维持。扰动期间和之后的 ARG 动态受不同土壤理化性质的调控，温度和养分状况决定急性响应，而土壤湿度以及温度和降水的季节性变异性则塑造了较长期的遗留效应。经交叉验证的随机森林模型在 30 个草地地点所代表的环境范围内，对基于 Bray–Curtis 的组成响应显示出正向预测性能。我们的发现加深了对土壤 ARG 如何响应极端气候事件的理解，并为预测极端事件对与“同一健康”相关的土壤耐药组的影响迈出了一步。</w:t>
      </w:r>
    </w:p>
    <w:p>
      <w:pPr>
        <w:spacing w:before="0" w:after="200" w:lineRule="auto" w:line="276"/>
      </w:pPr>
      <w:r>
        <w:rPr>
          <w:b/>
        </w:rPr>
        <w:t xml:space="preserve">Abstract (EN): </w:t>
      </w:r>
      <w:r>
        <w:t>Antimicrobial resistance (AMR) is a growing One Health challenge, and as climate warming intensifies extreme events, it remains unclear how these disturbances affect soil antibiotic resistance genes (ARGs). Here we analyzed the data from a controlled experiment using soils from 30 grassland sites across ten European countries, which simulated drought, flooding, freeze–thaw, and heatwaves to explore ARG dynamics. Overall, ARGs exhibited relatively small but highly consistent shifts across treatments. Heatwaves caused the strongest reductions in ARG abundance and in their linkages with mobile genetic elements (MGEs), a pattern that may reflect a hypothesized metabolic–genetic trade–off, in which microbial investment may shift from core metabolism toward stress signaling and structural maintenance. ARG dynamics during and after disturbance were governed by distinct soil physicochemical properties, with temperature and nutrient status determining acute responses, whereas soil moisture and seasonal variability in temperature and precipitation shaped longer–term legacy effects. Cross–validated random–forest models showed positive predictive performance for Bray–Curtis–based compositional responses within the environmental range represented by the 30 grassland sites. Our findings enhance the understanding of how soil ARGs respond to extreme climatic events and provide a step toward predicting extreme–event impacts on soil resistomes with relevance to One Health.</w:t>
      </w:r>
    </w:p>
    <w:p>
      <w:pPr>
        <w:spacing w:before="120" w:after="120"/>
      </w:pPr>
      <w:r>
        <w:rPr>
          <w:sz w:val="18"/>
        </w:rPr>
        <w:t>——————————————————————————————————————————————————————————————————————</w:t>
      </w:r>
    </w:p>
    <w:p>
      <w:pPr>
        <w:spacing w:before="160" w:after="40" w:line="240" w:lineRule="auto"/>
      </w:pPr>
      <w:r>
        <w:rPr>
          <w:b/>
        </w:rPr>
        <w:t xml:space="preserve">[1514] </w:t>
      </w:r>
      <w:hyperlink r:id="rId2436">
        <w:r>
          <w:rPr>
            <w:color w:val="1155CC"/>
            <w:u w:val="single"/>
          </w:rPr>
          <w:t>鱼类通过偏航介导的侧向迁移在水动力迷宫中导航</w:t>
        </w:r>
      </w:hyperlink>
    </w:p>
    <w:p>
      <w:pPr>
        <w:spacing w:before="0" w:after="80"/>
      </w:pPr>
      <w:r>
        <w:rPr>
          <w:i/>
          <w:sz w:val="20"/>
        </w:rPr>
        <w:t>EN: Fish navigate a hydrodynamic maze via yaw-mediated lateral migration</w:t>
      </w:r>
    </w:p>
    <w:p>
      <w:pPr>
        <w:spacing w:before="0" w:after="120"/>
      </w:pPr>
      <w:r>
        <w:rPr>
          <w:b/>
        </w:rPr>
        <w:t xml:space="preserve">Source: </w:t>
      </w:r>
      <w:r>
        <w:t>Proceedings of the National Academy of Sciences: Keyword search for query</w:t>
      </w:r>
      <w:r>
        <w:t xml:space="preserve">    </w:t>
      </w:r>
      <w:r>
        <w:rPr>
          <w:b/>
        </w:rPr>
        <w:t xml:space="preserve">Pub date: </w:t>
      </w:r>
      <w:r>
        <w:t>2026-09-03 07:00:00+00:00</w:t>
      </w:r>
      <w:r>
        <w:t xml:space="preserve">    </w:t>
      </w:r>
      <w:r>
        <w:rPr>
          <w:b/>
        </w:rPr>
        <w:t xml:space="preserve">DOI: </w:t>
      </w:r>
      <w:hyperlink r:id="rId2437">
        <w:r>
          <w:rPr>
            <w:color w:val="1155CC"/>
            <w:u w:val="single"/>
          </w:rPr>
          <w:t>10.1073/pnas.2613565123</w:t>
        </w:r>
      </w:hyperlink>
    </w:p>
    <w:p>
      <w:pPr>
        <w:spacing w:before="0" w:after="120"/>
      </w:pPr>
      <w:r>
        <w:rPr>
          <w:b/>
        </w:rPr>
        <w:t xml:space="preserve">Notes: </w:t>
      </w:r>
      <w:r>
        <w:t>abstract_source=crossref</w:t>
      </w:r>
    </w:p>
    <w:p>
      <w:pPr>
        <w:spacing w:before="0" w:after="80" w:lineRule="auto" w:line="276"/>
      </w:pPr>
      <w:r>
        <w:rPr>
          <w:b/>
        </w:rPr>
        <w:t xml:space="preserve">摘要（ZH）: </w:t>
      </w:r>
      <w:r>
        <w:t>在水生环境中，流速和湍流的梯度定义了一个不断变化的景观，为鱼类的推进和能量消耗设定了物理约束。成功在这些复杂的水流中航行，取决于以节能方式感知和响应细微流体动力学线索的能力。揭示这些机制对于理解鱼类如何识别并利用有利的流动条件至关重要。为此，我们设计了一个具有空间变化平均流速和湍流的水动力迷宫，为理解鱼类的运动策略创造了受控的异质流动景观。我们发现鱼类通过使身体相对于水流偏航来逃离能量不利的区域。这些偏航姿态似乎通过升力促进侧向迁移，并可能提高对局部水流变化的敏感性。值得注意的是，鱼类将身体姿态维持在接近但低于预测失速条件的状态，以利用升力而不会显著增加阻力。这些发现为鱼类如何在异质流体动力学环境中航行提供了见解，对自然和工程流动系统均具有潜在意义。</w:t>
      </w:r>
    </w:p>
    <w:p>
      <w:pPr>
        <w:spacing w:before="0" w:after="200" w:lineRule="auto" w:line="276"/>
      </w:pPr>
      <w:r>
        <w:rPr>
          <w:b/>
        </w:rPr>
        <w:t xml:space="preserve">Abstract (EN): </w:t>
      </w:r>
      <w:r>
        <w:t>In aquatic environments, gradients in flow velocity and turbulence define a constantly shifting landscape that sets the physical constraints on propulsion and energy expenditure in fish. Successfully navigating these complex flows depends on the ability to sense and respond to subtle hydrodynamic cues in an energy-efficient manner. Revealing these mechanisms is central to understanding how fish identify and exploit favorable flow conditions. To this end, we designed a hydrodynamic maze with spatially varying mean flow and turbulence, creating a controlled heterogeneous flow landscape for understanding fish movement strategies. We found that fish escape energetically unfavorable regions by yawing their bodies relative to the flow. These yawed orientations appear to facilitate lateral migration through lift forces and may improve sensitivity to local flow variations. Notably, fish maintain body orientations near, but below, predicted stall conditions to exploit lift without a significant increase in drag. These findings provide insight into how fish navigate heterogeneous hydrodynamic environments, with potential relevance for both natural and engineered flow systems.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21/acsami.6c13903" TargetMode="External"/><Relationship Id="rId10" Type="http://schemas.openxmlformats.org/officeDocument/2006/relationships/hyperlink" Target="https://doi.org/10.1021/acsami.6c16956" TargetMode="External"/><Relationship Id="rId11" Type="http://schemas.openxmlformats.org/officeDocument/2006/relationships/hyperlink" Target="https://doi.org/10.1021/jacs.6c10222" TargetMode="External"/><Relationship Id="rId12" Type="http://schemas.openxmlformats.org/officeDocument/2006/relationships/hyperlink" Target="https://doi.org/10.1021/jacs.6c08526" TargetMode="External"/><Relationship Id="rId13" Type="http://schemas.openxmlformats.org/officeDocument/2006/relationships/hyperlink" Target="https://www.sciencedirect.com/science/article/pii/S0306261926013322?dgcid=rss_sd_all" TargetMode="External"/><Relationship Id="rId14" Type="http://schemas.openxmlformats.org/officeDocument/2006/relationships/hyperlink" Target="https://doi.org/10.1016/j.apenergy.2026.128676" TargetMode="External"/><Relationship Id="rId15" Type="http://schemas.openxmlformats.org/officeDocument/2006/relationships/hyperlink" Target="https://advanced.onlinelibrary.wiley.com/doi/10.1002/adma.74826?af=R" TargetMode="External"/><Relationship Id="rId16" Type="http://schemas.openxmlformats.org/officeDocument/2006/relationships/hyperlink" Target="https://doi.org/10.1002/adma.74826" TargetMode="External"/><Relationship Id="rId17" Type="http://schemas.openxmlformats.org/officeDocument/2006/relationships/hyperlink" Target="https://advanced.onlinelibrary.wiley.com/doi/10.1002/adma.74828?af=R" TargetMode="External"/><Relationship Id="rId18" Type="http://schemas.openxmlformats.org/officeDocument/2006/relationships/hyperlink" Target="https://doi.org/10.1002/adma.74828" TargetMode="External"/><Relationship Id="rId19" Type="http://schemas.openxmlformats.org/officeDocument/2006/relationships/hyperlink" Target="https://www.sciencedirect.com/science/article/pii/S0306261926014224?dgcid=rss_sd_all" TargetMode="External"/><Relationship Id="rId20" Type="http://schemas.openxmlformats.org/officeDocument/2006/relationships/hyperlink" Target="https://doi.org/10.1016/j.apenergy.2026.128766" TargetMode="External"/><Relationship Id="rId21" Type="http://schemas.openxmlformats.org/officeDocument/2006/relationships/hyperlink" Target="https://advanced.onlinelibrary.wiley.com/doi/10.1002/aenm.71514?af=R" TargetMode="External"/><Relationship Id="rId22" Type="http://schemas.openxmlformats.org/officeDocument/2006/relationships/hyperlink" Target="https://doi.org/10.1002/aenm.71514" TargetMode="External"/><Relationship Id="rId23" Type="http://schemas.openxmlformats.org/officeDocument/2006/relationships/hyperlink" Target="https://doi.org/10.1021/acsami.6c10456" TargetMode="External"/><Relationship Id="rId24" Type="http://schemas.openxmlformats.org/officeDocument/2006/relationships/hyperlink" Target="https://doi.org/10.1021/acsami.6c13671" TargetMode="External"/><Relationship Id="rId25" Type="http://schemas.openxmlformats.org/officeDocument/2006/relationships/hyperlink" Target="https://doi.org/10.1021/acsami.6c13768" TargetMode="External"/><Relationship Id="rId26" Type="http://schemas.openxmlformats.org/officeDocument/2006/relationships/hyperlink" Target="https://doi.org/10.1021/acs.chemrev.5c00891" TargetMode="External"/><Relationship Id="rId27" Type="http://schemas.openxmlformats.org/officeDocument/2006/relationships/hyperlink" Target="https://onlinelibrary.wiley.com/doi/10.1002/anie.6548693?af=R" TargetMode="External"/><Relationship Id="rId28" Type="http://schemas.openxmlformats.org/officeDocument/2006/relationships/hyperlink" Target="https://doi.org/10.1002/anie.6548693" TargetMode="External"/><Relationship Id="rId29" Type="http://schemas.openxmlformats.org/officeDocument/2006/relationships/hyperlink" Target="https://ieeexplore.ieee.org/document/11563625/" TargetMode="External"/><Relationship Id="rId30" Type="http://schemas.openxmlformats.org/officeDocument/2006/relationships/hyperlink" Target="https://doi.org/10.1109/tec.2026.3703650" TargetMode="External"/><Relationship Id="rId31" Type="http://schemas.openxmlformats.org/officeDocument/2006/relationships/hyperlink" Target="https://linkinghub.elsevier.com/retrieve/pii/S2542435126003272" TargetMode="External"/><Relationship Id="rId32" Type="http://schemas.openxmlformats.org/officeDocument/2006/relationships/hyperlink" Target="https://doi.org/10.1016/j.joule.2026.102643" TargetMode="External"/><Relationship Id="rId33" Type="http://schemas.openxmlformats.org/officeDocument/2006/relationships/hyperlink" Target="https://linkinghub.elsevier.com/retrieve/pii/S2542435126002643" TargetMode="External"/><Relationship Id="rId34" Type="http://schemas.openxmlformats.org/officeDocument/2006/relationships/hyperlink" Target="https://doi.org/10.1016/j.joule.2026.102580" TargetMode="External"/><Relationship Id="rId35" Type="http://schemas.openxmlformats.org/officeDocument/2006/relationships/hyperlink" Target="https://doi.org/10.1016/j.joule.2026.102670" TargetMode="External"/><Relationship Id="rId36" Type="http://schemas.openxmlformats.org/officeDocument/2006/relationships/hyperlink" Target="https://doi.org/10.1021/jacs.6c06602" TargetMode="External"/><Relationship Id="rId37" Type="http://schemas.openxmlformats.org/officeDocument/2006/relationships/hyperlink" Target="https://doi.org/10.1021/acsami.6c11329" TargetMode="External"/><Relationship Id="rId38" Type="http://schemas.openxmlformats.org/officeDocument/2006/relationships/hyperlink" Target="https://onlinelibrary.wiley.com/doi/10.1002/anie.1115640" TargetMode="External"/><Relationship Id="rId39" Type="http://schemas.openxmlformats.org/officeDocument/2006/relationships/hyperlink" Target="https://doi.org/10.1002/anie.1115640" TargetMode="External"/><Relationship Id="rId40" Type="http://schemas.openxmlformats.org/officeDocument/2006/relationships/hyperlink" Target="https://www.nature.com/articles/s41467-026-77344-z" TargetMode="External"/><Relationship Id="rId41" Type="http://schemas.openxmlformats.org/officeDocument/2006/relationships/hyperlink" Target="https://advanced.onlinelibrary.wiley.com/doi/10.1002/aenm.71511" TargetMode="External"/><Relationship Id="rId42" Type="http://schemas.openxmlformats.org/officeDocument/2006/relationships/hyperlink" Target="https://doi.org/10.1002/aenm.71511" TargetMode="External"/><Relationship Id="rId43" Type="http://schemas.openxmlformats.org/officeDocument/2006/relationships/hyperlink" Target="https://advanced.onlinelibrary.wiley.com/doi/10.1002/aenm.71515" TargetMode="External"/><Relationship Id="rId44" Type="http://schemas.openxmlformats.org/officeDocument/2006/relationships/hyperlink" Target="https://doi.org/10.1002/aenm.71515" TargetMode="External"/><Relationship Id="rId45" Type="http://schemas.openxmlformats.org/officeDocument/2006/relationships/hyperlink" Target="https://advanced.onlinelibrary.wiley.com/doi/10.1002/aenm.71470" TargetMode="External"/><Relationship Id="rId46" Type="http://schemas.openxmlformats.org/officeDocument/2006/relationships/hyperlink" Target="https://doi.org/10.1002/aenm.71470" TargetMode="External"/><Relationship Id="rId47" Type="http://schemas.openxmlformats.org/officeDocument/2006/relationships/hyperlink" Target="https://doi.org/10.1109/tec.2026.3660299" TargetMode="External"/><Relationship Id="rId48" Type="http://schemas.openxmlformats.org/officeDocument/2006/relationships/hyperlink" Target="https://www.nature.com/articles/s41563-026-02726-z" TargetMode="External"/><Relationship Id="rId49" Type="http://schemas.openxmlformats.org/officeDocument/2006/relationships/hyperlink" Target="https://doi.org/10.1038/s41563-026-02726-z" TargetMode="External"/><Relationship Id="rId50" Type="http://schemas.openxmlformats.org/officeDocument/2006/relationships/hyperlink" Target="https://www.cell.com/joule/fulltext/S2542-4351(26)00264-3?rss=yes" TargetMode="External"/><Relationship Id="rId51" Type="http://schemas.openxmlformats.org/officeDocument/2006/relationships/hyperlink" Target="https://doi.org/10.1016/j.matt.2026.102823" TargetMode="External"/><Relationship Id="rId52" Type="http://schemas.openxmlformats.org/officeDocument/2006/relationships/hyperlink" Target="https://doi.org/10.1016/j.matt.2026.102824" TargetMode="External"/><Relationship Id="rId53" Type="http://schemas.openxmlformats.org/officeDocument/2006/relationships/hyperlink" Target="https://pubs.acs.org/aelccp/article/doi/10.1021/acsenergylett.6c01967/5406238/Dual-Side-Engineered-Bilayer-Molybdenum-for" TargetMode="External"/><Relationship Id="rId54" Type="http://schemas.openxmlformats.org/officeDocument/2006/relationships/hyperlink" Target="https://doi.org/10.1021/acsenergylett.6c01967" TargetMode="External"/><Relationship Id="rId55" Type="http://schemas.openxmlformats.org/officeDocument/2006/relationships/hyperlink" Target="https://onlinelibrary.wiley.com/doi/10.1002/anie.7089275" TargetMode="External"/><Relationship Id="rId56" Type="http://schemas.openxmlformats.org/officeDocument/2006/relationships/hyperlink" Target="https://doi.org/10.1002/anie.7089275" TargetMode="External"/><Relationship Id="rId57" Type="http://schemas.openxmlformats.org/officeDocument/2006/relationships/hyperlink" Target="https://pubs.acs.org/aamick/article/doi/10.1021/acsami.6c12682/5408601/Biomimetic-EUK-134-Synergy-Strategy-for-Dynamic" TargetMode="External"/><Relationship Id="rId58" Type="http://schemas.openxmlformats.org/officeDocument/2006/relationships/hyperlink" Target="https://doi.org/10.1021/acsami.6c12682" TargetMode="External"/><Relationship Id="rId59" Type="http://schemas.openxmlformats.org/officeDocument/2006/relationships/hyperlink" Target="https://pubs.acs.org/aamick/article/doi/10.1021/acsami.6c12107/5406367/Decoupling-the-Dual-Thermal-Failure-Pathways-at" TargetMode="External"/><Relationship Id="rId60" Type="http://schemas.openxmlformats.org/officeDocument/2006/relationships/hyperlink" Target="https://doi.org/10.1021/acsami.6c12107" TargetMode="External"/><Relationship Id="rId61" Type="http://schemas.openxmlformats.org/officeDocument/2006/relationships/hyperlink" Target="https://onlinelibrary.wiley.com/doi/10.1002/anie.1360189" TargetMode="External"/><Relationship Id="rId62" Type="http://schemas.openxmlformats.org/officeDocument/2006/relationships/hyperlink" Target="https://doi.org/10.1002/anie.1360189" TargetMode="External"/><Relationship Id="rId63" Type="http://schemas.openxmlformats.org/officeDocument/2006/relationships/hyperlink" Target="https://pubs.acs.org/aelccp/article/doi/10.1021/acsenergylett.6c01861/5412828/Stabilizing-Grain-Boundaries-by-Flexible" TargetMode="External"/><Relationship Id="rId64" Type="http://schemas.openxmlformats.org/officeDocument/2006/relationships/hyperlink" Target="https://doi.org/10.1021/acsenergylett.6c01861" TargetMode="External"/><Relationship Id="rId65" Type="http://schemas.openxmlformats.org/officeDocument/2006/relationships/hyperlink" Target="https://onlinelibrary.wiley.com/doi/10.1002/anie.8387616" TargetMode="External"/><Relationship Id="rId66" Type="http://schemas.openxmlformats.org/officeDocument/2006/relationships/hyperlink" Target="https://doi.org/10.1002/anie.8387616" TargetMode="External"/><Relationship Id="rId67" Type="http://schemas.openxmlformats.org/officeDocument/2006/relationships/hyperlink" Target="https://doi.org/10.1021/acsami.6c14682" TargetMode="External"/><Relationship Id="rId68" Type="http://schemas.openxmlformats.org/officeDocument/2006/relationships/hyperlink" Target="https://doi.org/10.1021/acsami.6c13869" TargetMode="External"/><Relationship Id="rId69" Type="http://schemas.openxmlformats.org/officeDocument/2006/relationships/hyperlink" Target="https://www.nature.com/articles/s44359-026-00210-0" TargetMode="External"/><Relationship Id="rId70" Type="http://schemas.openxmlformats.org/officeDocument/2006/relationships/hyperlink" Target="https://doi.org/10.1038/s44359-026-00210-0" TargetMode="External"/><Relationship Id="rId71" Type="http://schemas.openxmlformats.org/officeDocument/2006/relationships/hyperlink" Target="https://www.nature.com/articles/s41563-026-02722-3" TargetMode="External"/><Relationship Id="rId72" Type="http://schemas.openxmlformats.org/officeDocument/2006/relationships/hyperlink" Target="https://doi.org/10.1038/s41563-026-02722-3" TargetMode="External"/><Relationship Id="rId73" Type="http://schemas.openxmlformats.org/officeDocument/2006/relationships/hyperlink" Target="https://pubs.acs.org/aamick/article/doi/10.1021/acsami.6c14682/5410012/Non-Annealing-Treatment-Mechanism-of-Electron" TargetMode="External"/><Relationship Id="rId74" Type="http://schemas.openxmlformats.org/officeDocument/2006/relationships/hyperlink" Target="https://pubs.acs.org/aamick/article/doi/10.1021/acsami.6c13869/5399041/Defect-Passivation-of-Mesoporous-Al2O3-Based" TargetMode="External"/><Relationship Id="rId75" Type="http://schemas.openxmlformats.org/officeDocument/2006/relationships/hyperlink" Target="https://doi.org/10.1021/acsami.6c10017" TargetMode="External"/><Relationship Id="rId76" Type="http://schemas.openxmlformats.org/officeDocument/2006/relationships/hyperlink" Target="https://onlinelibrary.wiley.com/doi/10.1002/anie.7544135?af=R" TargetMode="External"/><Relationship Id="rId77" Type="http://schemas.openxmlformats.org/officeDocument/2006/relationships/hyperlink" Target="https://doi.org/10.1002/anie.7544135" TargetMode="External"/><Relationship Id="rId78" Type="http://schemas.openxmlformats.org/officeDocument/2006/relationships/hyperlink" Target="https://www.cell.com/joule/fulltext/S2542-4351(26)00333-8?rss=yes" TargetMode="External"/><Relationship Id="rId79" Type="http://schemas.openxmlformats.org/officeDocument/2006/relationships/hyperlink" Target="https://doi.org/10.1016/j.joule.2026.102649" TargetMode="External"/><Relationship Id="rId80" Type="http://schemas.openxmlformats.org/officeDocument/2006/relationships/hyperlink" Target="https://onlinelibrary.wiley.com/doi/10.1002/anie.6759160?af=R" TargetMode="External"/><Relationship Id="rId81" Type="http://schemas.openxmlformats.org/officeDocument/2006/relationships/hyperlink" Target="https://doi.org/10.1002/anie.6759160" TargetMode="External"/><Relationship Id="rId82" Type="http://schemas.openxmlformats.org/officeDocument/2006/relationships/hyperlink" Target="https://advanced.onlinelibrary.wiley.com/doi/10.1002/adma.74855?af=R" TargetMode="External"/><Relationship Id="rId83" Type="http://schemas.openxmlformats.org/officeDocument/2006/relationships/hyperlink" Target="https://doi.org/10.1002/adma.74855" TargetMode="External"/><Relationship Id="rId84" Type="http://schemas.openxmlformats.org/officeDocument/2006/relationships/hyperlink" Target="https://pubs.acs.org/aamick/article/doi/10.1021/acsami.6c12920/5387826/Regulating-Surface-Chemistry-and-Interfacial" TargetMode="External"/><Relationship Id="rId85" Type="http://schemas.openxmlformats.org/officeDocument/2006/relationships/hyperlink" Target="https://doi.org/10.1021/acsami.6c12920" TargetMode="External"/><Relationship Id="rId86" Type="http://schemas.openxmlformats.org/officeDocument/2006/relationships/hyperlink" Target="https://doi.org/10.1021/acsenergylett.6c01601" TargetMode="External"/><Relationship Id="rId87" Type="http://schemas.openxmlformats.org/officeDocument/2006/relationships/hyperlink" Target="https://doi.org/10.1016/j.matt.2026.102867" TargetMode="External"/><Relationship Id="rId88" Type="http://schemas.openxmlformats.org/officeDocument/2006/relationships/hyperlink" Target="https://doi.org/10.1016/j.matt.2026.102866" TargetMode="External"/><Relationship Id="rId89" Type="http://schemas.openxmlformats.org/officeDocument/2006/relationships/hyperlink" Target="https://pubs.acs.org/aelccp/article/doi/10.1021/acsenergylett.6c02074/5405257/Regulating-Interfacial-Charge-and-Electric-Double" TargetMode="External"/><Relationship Id="rId90" Type="http://schemas.openxmlformats.org/officeDocument/2006/relationships/hyperlink" Target="https://doi.org/10.1021/acsenergylett.6c02074" TargetMode="External"/><Relationship Id="rId91" Type="http://schemas.openxmlformats.org/officeDocument/2006/relationships/hyperlink" Target="https://pubs.acs.org/aelccp/article/doi/10.1021/acsenergylett.6c02095/5405032/Intelligent-Response-and-Dynamic-Stress" TargetMode="External"/><Relationship Id="rId92" Type="http://schemas.openxmlformats.org/officeDocument/2006/relationships/hyperlink" Target="https://doi.org/10.1021/acsenergylett.6c02095" TargetMode="External"/><Relationship Id="rId93" Type="http://schemas.openxmlformats.org/officeDocument/2006/relationships/hyperlink" Target="https://advanced.onlinelibrary.wiley.com/doi/10.1002/aenm.71528" TargetMode="External"/><Relationship Id="rId94" Type="http://schemas.openxmlformats.org/officeDocument/2006/relationships/hyperlink" Target="https://doi.org/10.1002/aenm.71528" TargetMode="External"/><Relationship Id="rId95" Type="http://schemas.openxmlformats.org/officeDocument/2006/relationships/hyperlink" Target="https://onlinelibrary.wiley.com/doi/10.1002/anie.8800816" TargetMode="External"/><Relationship Id="rId96" Type="http://schemas.openxmlformats.org/officeDocument/2006/relationships/hyperlink" Target="https://doi.org/10.1002/anie.8800816" TargetMode="External"/><Relationship Id="rId97" Type="http://schemas.openxmlformats.org/officeDocument/2006/relationships/hyperlink" Target="https://onlinelibrary.wiley.com/doi/10.1002/anie.5243975" TargetMode="External"/><Relationship Id="rId98" Type="http://schemas.openxmlformats.org/officeDocument/2006/relationships/hyperlink" Target="https://doi.org/10.1002/anie.5243975" TargetMode="External"/><Relationship Id="rId99" Type="http://schemas.openxmlformats.org/officeDocument/2006/relationships/hyperlink" Target="https://pubs.acs.org/aamick/article/doi/10.1021/acsami.6c10899/5404234/Boosting-Reversibility-and-Capacity-in-Aqueous" TargetMode="External"/><Relationship Id="rId100" Type="http://schemas.openxmlformats.org/officeDocument/2006/relationships/hyperlink" Target="https://doi.org/10.1021/acsami.6c10899" TargetMode="External"/><Relationship Id="rId101" Type="http://schemas.openxmlformats.org/officeDocument/2006/relationships/hyperlink" Target="https://advanced.onlinelibrary.wiley.com/doi/10.1002/aenm.71535" TargetMode="External"/><Relationship Id="rId102" Type="http://schemas.openxmlformats.org/officeDocument/2006/relationships/hyperlink" Target="https://doi.org/10.1002/aenm.71535" TargetMode="External"/><Relationship Id="rId103" Type="http://schemas.openxmlformats.org/officeDocument/2006/relationships/hyperlink" Target="https://pubs.acs.org/jacsat/article/doi/10.1021/jacs.6c08648/5410310/Deciphering-Electrocatalytic-Sulfur-Reduction" TargetMode="External"/><Relationship Id="rId104" Type="http://schemas.openxmlformats.org/officeDocument/2006/relationships/hyperlink" Target="https://doi.org/10.1021/jacs.6c08648" TargetMode="External"/><Relationship Id="rId105" Type="http://schemas.openxmlformats.org/officeDocument/2006/relationships/hyperlink" Target="https://advanced.onlinelibrary.wiley.com/doi/10.1002/aenm.71543" TargetMode="External"/><Relationship Id="rId106" Type="http://schemas.openxmlformats.org/officeDocument/2006/relationships/hyperlink" Target="https://doi.org/10.1002/aenm.71543" TargetMode="External"/><Relationship Id="rId107" Type="http://schemas.openxmlformats.org/officeDocument/2006/relationships/hyperlink" Target="https://advanced.onlinelibrary.wiley.com/doi/10.1002/aenm.71518" TargetMode="External"/><Relationship Id="rId108" Type="http://schemas.openxmlformats.org/officeDocument/2006/relationships/hyperlink" Target="https://doi.org/10.1002/aenm.71518" TargetMode="External"/><Relationship Id="rId109" Type="http://schemas.openxmlformats.org/officeDocument/2006/relationships/hyperlink" Target="https://advanced.onlinelibrary.wiley.com/doi/10.1002/adma.74904" TargetMode="External"/><Relationship Id="rId110" Type="http://schemas.openxmlformats.org/officeDocument/2006/relationships/hyperlink" Target="https://doi.org/10.1002/adma.74904" TargetMode="External"/><Relationship Id="rId111" Type="http://schemas.openxmlformats.org/officeDocument/2006/relationships/hyperlink" Target="https://onlinelibrary.wiley.com/doi/10.1002/anie.2060850" TargetMode="External"/><Relationship Id="rId112" Type="http://schemas.openxmlformats.org/officeDocument/2006/relationships/hyperlink" Target="https://doi.org/10.1002/anie.2060850" TargetMode="External"/><Relationship Id="rId113" Type="http://schemas.openxmlformats.org/officeDocument/2006/relationships/hyperlink" Target="https://doi.org/10.1021/acsami.6c10486" TargetMode="External"/><Relationship Id="rId114" Type="http://schemas.openxmlformats.org/officeDocument/2006/relationships/hyperlink" Target="https://doi.org/10.1021/acsami.6c12564" TargetMode="External"/><Relationship Id="rId115" Type="http://schemas.openxmlformats.org/officeDocument/2006/relationships/hyperlink" Target="https://www.sciencedirect.com/science/article/pii/S0306261926013462?dgcid=rss_sd_all" TargetMode="External"/><Relationship Id="rId116" Type="http://schemas.openxmlformats.org/officeDocument/2006/relationships/hyperlink" Target="https://doi.org/10.1016/j.apenergy.2026.128690" TargetMode="External"/><Relationship Id="rId117" Type="http://schemas.openxmlformats.org/officeDocument/2006/relationships/hyperlink" Target="https://www.sciencedirect.com/science/article/pii/S0306261926013103?dgcid=rss_sd_all" TargetMode="External"/><Relationship Id="rId118" Type="http://schemas.openxmlformats.org/officeDocument/2006/relationships/hyperlink" Target="https://doi.org/10.1016/j.apenergy.2026.128654" TargetMode="External"/><Relationship Id="rId119" Type="http://schemas.openxmlformats.org/officeDocument/2006/relationships/hyperlink" Target="https://advanced.onlinelibrary.wiley.com/doi/10.1002/aenm.71351?af=R" TargetMode="External"/><Relationship Id="rId120" Type="http://schemas.openxmlformats.org/officeDocument/2006/relationships/hyperlink" Target="https://doi.org/10.1002/aenm.71351" TargetMode="External"/><Relationship Id="rId121" Type="http://schemas.openxmlformats.org/officeDocument/2006/relationships/hyperlink" Target="https://doi.org/10.1021/acsenergylett.6c01842" TargetMode="External"/><Relationship Id="rId122" Type="http://schemas.openxmlformats.org/officeDocument/2006/relationships/hyperlink" Target="https://doi.org/10.1021/acsami.6c12018" TargetMode="External"/><Relationship Id="rId123" Type="http://schemas.openxmlformats.org/officeDocument/2006/relationships/hyperlink" Target="https://advanced.onlinelibrary.wiley.com/doi/10.1002/aenm.71449" TargetMode="External"/><Relationship Id="rId124" Type="http://schemas.openxmlformats.org/officeDocument/2006/relationships/hyperlink" Target="https://doi.org/10.1002/aenm.71449" TargetMode="External"/><Relationship Id="rId125" Type="http://schemas.openxmlformats.org/officeDocument/2006/relationships/hyperlink" Target="https://advanced.onlinelibrary.wiley.com/doi/10.1002/aenm.71523" TargetMode="External"/><Relationship Id="rId126" Type="http://schemas.openxmlformats.org/officeDocument/2006/relationships/hyperlink" Target="https://doi.org/10.1002/aenm.71523" TargetMode="External"/><Relationship Id="rId127" Type="http://schemas.openxmlformats.org/officeDocument/2006/relationships/hyperlink" Target="https://pubs.acs.org/aelccp/article/doi/10.1021/acsenergylett.6c02291/5405259/Chemo-electrochemical-Tandem-Reduction-Enables" TargetMode="External"/><Relationship Id="rId128" Type="http://schemas.openxmlformats.org/officeDocument/2006/relationships/hyperlink" Target="https://doi.org/10.1021/acsenergylett.6c02291" TargetMode="External"/><Relationship Id="rId129" Type="http://schemas.openxmlformats.org/officeDocument/2006/relationships/hyperlink" Target="https://onlinelibrary.wiley.com/doi/10.1002/anie.5685998" TargetMode="External"/><Relationship Id="rId130" Type="http://schemas.openxmlformats.org/officeDocument/2006/relationships/hyperlink" Target="https://doi.org/10.1002/anie.5685998" TargetMode="External"/><Relationship Id="rId131" Type="http://schemas.openxmlformats.org/officeDocument/2006/relationships/hyperlink" Target="https://advanced.onlinelibrary.wiley.com/doi/10.1002/aenm.71532" TargetMode="External"/><Relationship Id="rId132" Type="http://schemas.openxmlformats.org/officeDocument/2006/relationships/hyperlink" Target="https://doi.org/10.1002/aenm.71532" TargetMode="External"/><Relationship Id="rId133" Type="http://schemas.openxmlformats.org/officeDocument/2006/relationships/hyperlink" Target="https://advanced.onlinelibrary.wiley.com/doi/10.1002/adma.74693" TargetMode="External"/><Relationship Id="rId134" Type="http://schemas.openxmlformats.org/officeDocument/2006/relationships/hyperlink" Target="https://doi.org/10.1002/adma.74693" TargetMode="External"/><Relationship Id="rId135" Type="http://schemas.openxmlformats.org/officeDocument/2006/relationships/hyperlink" Target="https://onlinelibrary.wiley.com/doi/10.1002/anie.3543240" TargetMode="External"/><Relationship Id="rId136" Type="http://schemas.openxmlformats.org/officeDocument/2006/relationships/hyperlink" Target="https://doi.org/10.1002/anie.3543240" TargetMode="External"/><Relationship Id="rId137" Type="http://schemas.openxmlformats.org/officeDocument/2006/relationships/hyperlink" Target="https://doi.org/10.1021/acsenergylett.6c01569" TargetMode="External"/><Relationship Id="rId138" Type="http://schemas.openxmlformats.org/officeDocument/2006/relationships/hyperlink" Target="https://pubs.acs.org/jacsat/article/doi/10.1021/jacs.6c12219/5404688/Anisotropic-Lattice-Compression-Enables-Defect" TargetMode="External"/><Relationship Id="rId139" Type="http://schemas.openxmlformats.org/officeDocument/2006/relationships/hyperlink" Target="https://doi.org/10.1021/jacs.6c12219" TargetMode="External"/><Relationship Id="rId140" Type="http://schemas.openxmlformats.org/officeDocument/2006/relationships/hyperlink" Target="https://pubs.acs.org/aamick/article/doi/10.1021/acsami.6c09297/5414113/Ultrastable-Lithium-Metal-Batteries-Enabled-by-the" TargetMode="External"/><Relationship Id="rId141" Type="http://schemas.openxmlformats.org/officeDocument/2006/relationships/hyperlink" Target="https://doi.org/10.1021/acsami.6c09297" TargetMode="External"/><Relationship Id="rId142" Type="http://schemas.openxmlformats.org/officeDocument/2006/relationships/hyperlink" Target="https://pubs.acs.org/aamick/article/doi/10.1021/acsami.6c12328/5406711/Oxygen-Vacancy-Rich-Na1-3Ti1-8Ni0-1Sb0-1-PO4-3-C" TargetMode="External"/><Relationship Id="rId143" Type="http://schemas.openxmlformats.org/officeDocument/2006/relationships/hyperlink" Target="https://doi.org/10.1021/acsami.6c12328" TargetMode="External"/><Relationship Id="rId144" Type="http://schemas.openxmlformats.org/officeDocument/2006/relationships/hyperlink" Target="https://www.nmlett.org/index.php/nml/article/view/2644" TargetMode="External"/><Relationship Id="rId145" Type="http://schemas.openxmlformats.org/officeDocument/2006/relationships/hyperlink" Target="https://doi.org/10.1007/s40820-026-02339-w" TargetMode="External"/><Relationship Id="rId146" Type="http://schemas.openxmlformats.org/officeDocument/2006/relationships/hyperlink" Target="https://onlinelibrary.wiley.com/doi/10.1002/anie.1576222?af=R" TargetMode="External"/><Relationship Id="rId147" Type="http://schemas.openxmlformats.org/officeDocument/2006/relationships/hyperlink" Target="https://doi.org/10.1002/anie.1576222" TargetMode="External"/><Relationship Id="rId148" Type="http://schemas.openxmlformats.org/officeDocument/2006/relationships/hyperlink" Target="https://doi.org/10.1021/jacs.6c11263" TargetMode="External"/><Relationship Id="rId149" Type="http://schemas.openxmlformats.org/officeDocument/2006/relationships/hyperlink" Target="https://www.nature.com/articles/s41467-026-77363-w" TargetMode="External"/><Relationship Id="rId150" Type="http://schemas.openxmlformats.org/officeDocument/2006/relationships/hyperlink" Target="https://onlinelibrary.wiley.com/doi/10.1002/anie.4852008?af=R" TargetMode="External"/><Relationship Id="rId151" Type="http://schemas.openxmlformats.org/officeDocument/2006/relationships/hyperlink" Target="https://doi.org/10.1002/anie.4852008" TargetMode="External"/><Relationship Id="rId152" Type="http://schemas.openxmlformats.org/officeDocument/2006/relationships/hyperlink" Target="https://onlinelibrary.wiley.com/doi/10.1002/anie.8268615?af=R" TargetMode="External"/><Relationship Id="rId153" Type="http://schemas.openxmlformats.org/officeDocument/2006/relationships/hyperlink" Target="https://doi.org/10.1002/anie.8268615" TargetMode="External"/><Relationship Id="rId154" Type="http://schemas.openxmlformats.org/officeDocument/2006/relationships/hyperlink" Target="https://onlinelibrary.wiley.com/doi/10.1002/anie.1258536?af=R" TargetMode="External"/><Relationship Id="rId155" Type="http://schemas.openxmlformats.org/officeDocument/2006/relationships/hyperlink" Target="https://doi.org/10.1002/anie.1258536" TargetMode="External"/><Relationship Id="rId156" Type="http://schemas.openxmlformats.org/officeDocument/2006/relationships/hyperlink" Target="https://doi.org/10.1021/acsenergylett.6c02218" TargetMode="External"/><Relationship Id="rId157" Type="http://schemas.openxmlformats.org/officeDocument/2006/relationships/hyperlink" Target="https://doi.org/10.1021/acsami.6c12171" TargetMode="External"/><Relationship Id="rId158" Type="http://schemas.openxmlformats.org/officeDocument/2006/relationships/hyperlink" Target="https://doi.org/10.1021/jacs.6c09488" TargetMode="External"/><Relationship Id="rId159" Type="http://schemas.openxmlformats.org/officeDocument/2006/relationships/hyperlink" Target="https://advanced.onlinelibrary.wiley.com/doi/10.1002/aenm.71538" TargetMode="External"/><Relationship Id="rId160" Type="http://schemas.openxmlformats.org/officeDocument/2006/relationships/hyperlink" Target="https://doi.org/10.1002/aenm.71538" TargetMode="External"/><Relationship Id="rId161" Type="http://schemas.openxmlformats.org/officeDocument/2006/relationships/hyperlink" Target="https://doi.org/10.1016/j.matt.2026.102828" TargetMode="External"/><Relationship Id="rId162" Type="http://schemas.openxmlformats.org/officeDocument/2006/relationships/hyperlink" Target="https://pubs.acs.org/aelccp/article/doi/10.1021/acsenergylett.6c01569/5408256/Enhancing-the-Interphasic-Stability-of-Sodium-Ion" TargetMode="External"/><Relationship Id="rId163" Type="http://schemas.openxmlformats.org/officeDocument/2006/relationships/hyperlink" Target="https://advanced.onlinelibrary.wiley.com/doi/10.1002/aenm.71542" TargetMode="External"/><Relationship Id="rId164" Type="http://schemas.openxmlformats.org/officeDocument/2006/relationships/hyperlink" Target="https://doi.org/10.1002/aenm.71542" TargetMode="External"/><Relationship Id="rId165" Type="http://schemas.openxmlformats.org/officeDocument/2006/relationships/hyperlink" Target="https://www.nature.com/articles/s41467-026-77273-x" TargetMode="External"/><Relationship Id="rId166" Type="http://schemas.openxmlformats.org/officeDocument/2006/relationships/hyperlink" Target="https://pubs.acs.org/aamick/article/doi/10.1021/acsami.6c14657/5399802/Antifreezing-and-Highly-Elastic-Hydrogels-Based-on" TargetMode="External"/><Relationship Id="rId167" Type="http://schemas.openxmlformats.org/officeDocument/2006/relationships/hyperlink" Target="https://doi.org/10.1021/acsami.6c14657" TargetMode="External"/><Relationship Id="rId168" Type="http://schemas.openxmlformats.org/officeDocument/2006/relationships/hyperlink" Target="https://doi.org/10.1002/adma.74891" TargetMode="External"/><Relationship Id="rId169" Type="http://schemas.openxmlformats.org/officeDocument/2006/relationships/hyperlink" Target="https://www.sciencedirect.com/science/article/pii/S0306261926013620?dgcid=rss_sd_all" TargetMode="External"/><Relationship Id="rId170" Type="http://schemas.openxmlformats.org/officeDocument/2006/relationships/hyperlink" Target="https://doi.org/10.1016/j.apenergy.2026.128706" TargetMode="External"/><Relationship Id="rId171" Type="http://schemas.openxmlformats.org/officeDocument/2006/relationships/hyperlink" Target="https://www.science.org/doi/abs/10.1126/sciadv.aeg8495?af=R" TargetMode="External"/><Relationship Id="rId172" Type="http://schemas.openxmlformats.org/officeDocument/2006/relationships/hyperlink" Target="https://doi.org/10.1126/sciadv.aeg8495" TargetMode="External"/><Relationship Id="rId173" Type="http://schemas.openxmlformats.org/officeDocument/2006/relationships/hyperlink" Target="https://www.sciencedirect.com/science/article/pii/S0306261926013589?dgcid=rss_sd_all" TargetMode="External"/><Relationship Id="rId174" Type="http://schemas.openxmlformats.org/officeDocument/2006/relationships/hyperlink" Target="https://doi.org/10.1016/j.apenergy.2026.128702" TargetMode="External"/><Relationship Id="rId175" Type="http://schemas.openxmlformats.org/officeDocument/2006/relationships/hyperlink" Target="https://www.sciencedirect.com/science/article/pii/S0306261926014054?dgcid=rss_sd_all" TargetMode="External"/><Relationship Id="rId176" Type="http://schemas.openxmlformats.org/officeDocument/2006/relationships/hyperlink" Target="https://doi.org/10.1016/j.apenergy.2026.128749" TargetMode="External"/><Relationship Id="rId177" Type="http://schemas.openxmlformats.org/officeDocument/2006/relationships/hyperlink" Target="https://advanced.onlinelibrary.wiley.com/doi/10.1002/aenm.71473?af=R" TargetMode="External"/><Relationship Id="rId178" Type="http://schemas.openxmlformats.org/officeDocument/2006/relationships/hyperlink" Target="https://doi.org/10.1002/aenm.71473" TargetMode="External"/><Relationship Id="rId179" Type="http://schemas.openxmlformats.org/officeDocument/2006/relationships/hyperlink" Target="https://www.sciencedirect.com/science/article/pii/S030626192601411X?dgcid=rss_sd_all" TargetMode="External"/><Relationship Id="rId180" Type="http://schemas.openxmlformats.org/officeDocument/2006/relationships/hyperlink" Target="https://doi.org/10.1016/j.apenergy.2026.128755" TargetMode="External"/><Relationship Id="rId181" Type="http://schemas.openxmlformats.org/officeDocument/2006/relationships/hyperlink" Target="https://www.sciencedirect.com/science/article/pii/S0306261926013735?dgcid=rss_sd_all" TargetMode="External"/><Relationship Id="rId182" Type="http://schemas.openxmlformats.org/officeDocument/2006/relationships/hyperlink" Target="https://doi.org/10.1016/j.apenergy.2026.128717" TargetMode="External"/><Relationship Id="rId183" Type="http://schemas.openxmlformats.org/officeDocument/2006/relationships/hyperlink" Target="https://ieeexplore.ieee.org/document/11533488/" TargetMode="External"/><Relationship Id="rId184" Type="http://schemas.openxmlformats.org/officeDocument/2006/relationships/hyperlink" Target="https://doi.org/10.1109/tec.2026.3695638" TargetMode="External"/><Relationship Id="rId185" Type="http://schemas.openxmlformats.org/officeDocument/2006/relationships/hyperlink" Target="https://linkinghub.elsevier.com/retrieve/pii/S2542435126003260" TargetMode="External"/><Relationship Id="rId186" Type="http://schemas.openxmlformats.org/officeDocument/2006/relationships/hyperlink" Target="https://doi.org/10.1016/j.joule.2026.102642" TargetMode="External"/><Relationship Id="rId187" Type="http://schemas.openxmlformats.org/officeDocument/2006/relationships/hyperlink" Target="https://advanced.onlinelibrary.wiley.com/doi/10.1002/aenm.71530" TargetMode="External"/><Relationship Id="rId188" Type="http://schemas.openxmlformats.org/officeDocument/2006/relationships/hyperlink" Target="https://doi.org/10.1002/aenm.71530" TargetMode="External"/><Relationship Id="rId189" Type="http://schemas.openxmlformats.org/officeDocument/2006/relationships/hyperlink" Target="https://doi.org/10.1016/j.matt.2026.102860" TargetMode="External"/><Relationship Id="rId190" Type="http://schemas.openxmlformats.org/officeDocument/2006/relationships/hyperlink" Target="https://onlinelibrary.wiley.com/doi/10.1002/anie.1597082" TargetMode="External"/><Relationship Id="rId191" Type="http://schemas.openxmlformats.org/officeDocument/2006/relationships/hyperlink" Target="https://doi.org/10.1002/anie.1597082" TargetMode="External"/><Relationship Id="rId192" Type="http://schemas.openxmlformats.org/officeDocument/2006/relationships/hyperlink" Target="https://advanced.onlinelibrary.wiley.com/doi/10.1002/adma.74891" TargetMode="External"/><Relationship Id="rId193" Type="http://schemas.openxmlformats.org/officeDocument/2006/relationships/hyperlink" Target="https://doi.org/10.1021/acsami.6c04689" TargetMode="External"/><Relationship Id="rId194" Type="http://schemas.openxmlformats.org/officeDocument/2006/relationships/hyperlink" Target="https://doi.org/10.1021/acsenergylett.6c02478" TargetMode="External"/><Relationship Id="rId195" Type="http://schemas.openxmlformats.org/officeDocument/2006/relationships/hyperlink" Target="https://pubs.acs.org/aamick/article/doi/10.1021/acsami.6c04689/5406710/Selective-Surface-Functionalization-of-Carbon" TargetMode="External"/><Relationship Id="rId196" Type="http://schemas.openxmlformats.org/officeDocument/2006/relationships/hyperlink" Target="https://www.sciencedirect.com/science/article/pii/S0306261926013334?dgcid=rss_sd_all" TargetMode="External"/><Relationship Id="rId197" Type="http://schemas.openxmlformats.org/officeDocument/2006/relationships/hyperlink" Target="https://doi.org/10.1016/j.apenergy.2026.128677" TargetMode="External"/><Relationship Id="rId198" Type="http://schemas.openxmlformats.org/officeDocument/2006/relationships/hyperlink" Target="https://advanced.onlinelibrary.wiley.com/doi/10.1002/adma.74846?af=R" TargetMode="External"/><Relationship Id="rId199" Type="http://schemas.openxmlformats.org/officeDocument/2006/relationships/hyperlink" Target="https://doi.org/10.1002/adma.74846" TargetMode="External"/><Relationship Id="rId200" Type="http://schemas.openxmlformats.org/officeDocument/2006/relationships/hyperlink" Target="https://onlinelibrary.wiley.com/doi/10.1002/anie.2006350?af=R" TargetMode="External"/><Relationship Id="rId201" Type="http://schemas.openxmlformats.org/officeDocument/2006/relationships/hyperlink" Target="https://doi.org/10.1002/anie.2006350" TargetMode="External"/><Relationship Id="rId202" Type="http://schemas.openxmlformats.org/officeDocument/2006/relationships/hyperlink" Target="https://advanced.onlinelibrary.wiley.com/doi/10.1002/adma.74306?af=R" TargetMode="External"/><Relationship Id="rId203" Type="http://schemas.openxmlformats.org/officeDocument/2006/relationships/hyperlink" Target="https://doi.org/10.1002/adma.74306" TargetMode="External"/><Relationship Id="rId204" Type="http://schemas.openxmlformats.org/officeDocument/2006/relationships/hyperlink" Target="https://advanced.onlinelibrary.wiley.com/doi/10.1002/aenm.71505?af=R" TargetMode="External"/><Relationship Id="rId205" Type="http://schemas.openxmlformats.org/officeDocument/2006/relationships/hyperlink" Target="https://doi.org/10.1002/aenm.71505" TargetMode="External"/><Relationship Id="rId206" Type="http://schemas.openxmlformats.org/officeDocument/2006/relationships/hyperlink" Target="https://doi.org/10.1021/acsami.6c12636" TargetMode="External"/><Relationship Id="rId207" Type="http://schemas.openxmlformats.org/officeDocument/2006/relationships/hyperlink" Target="https://doi.org/10.1021/acsami.6c13616" TargetMode="External"/><Relationship Id="rId208" Type="http://schemas.openxmlformats.org/officeDocument/2006/relationships/hyperlink" Target="https://advanced.onlinelibrary.wiley.com/doi/10.1002/adma.74594?af=R" TargetMode="External"/><Relationship Id="rId209" Type="http://schemas.openxmlformats.org/officeDocument/2006/relationships/hyperlink" Target="https://doi.org/10.1002/adma.74594" TargetMode="External"/><Relationship Id="rId210" Type="http://schemas.openxmlformats.org/officeDocument/2006/relationships/hyperlink" Target="https://advanced.onlinelibrary.wiley.com/doi/10.1002/adma.74868?af=R" TargetMode="External"/><Relationship Id="rId211" Type="http://schemas.openxmlformats.org/officeDocument/2006/relationships/hyperlink" Target="https://doi.org/10.1002/adma.74868" TargetMode="External"/><Relationship Id="rId212" Type="http://schemas.openxmlformats.org/officeDocument/2006/relationships/hyperlink" Target="https://ieeexplore.ieee.org/document/11491849/" TargetMode="External"/><Relationship Id="rId213" Type="http://schemas.openxmlformats.org/officeDocument/2006/relationships/hyperlink" Target="https://doi.org/10.1109/tec.2026.3686467" TargetMode="External"/><Relationship Id="rId214" Type="http://schemas.openxmlformats.org/officeDocument/2006/relationships/hyperlink" Target="https://advanced.onlinelibrary.wiley.com/doi/10.1002/adma.74795" TargetMode="External"/><Relationship Id="rId215" Type="http://schemas.openxmlformats.org/officeDocument/2006/relationships/hyperlink" Target="https://doi.org/10.1002/adma.74795" TargetMode="External"/><Relationship Id="rId216" Type="http://schemas.openxmlformats.org/officeDocument/2006/relationships/hyperlink" Target="https://doi.org/10.1021/acsami.6c12745" TargetMode="External"/><Relationship Id="rId217" Type="http://schemas.openxmlformats.org/officeDocument/2006/relationships/hyperlink" Target="https://doi.org/10.1021/acsami.6c10105" TargetMode="External"/><Relationship Id="rId218" Type="http://schemas.openxmlformats.org/officeDocument/2006/relationships/hyperlink" Target="https://advanced.onlinelibrary.wiley.com/doi/10.1002/aenm.71534" TargetMode="External"/><Relationship Id="rId219" Type="http://schemas.openxmlformats.org/officeDocument/2006/relationships/hyperlink" Target="https://doi.org/10.1002/aenm.71534" TargetMode="External"/><Relationship Id="rId220" Type="http://schemas.openxmlformats.org/officeDocument/2006/relationships/hyperlink" Target="https://onlinelibrary.wiley.com/doi/10.1002/anie.9546971" TargetMode="External"/><Relationship Id="rId221" Type="http://schemas.openxmlformats.org/officeDocument/2006/relationships/hyperlink" Target="https://doi.org/10.1002/anie.9546971" TargetMode="External"/><Relationship Id="rId222" Type="http://schemas.openxmlformats.org/officeDocument/2006/relationships/hyperlink" Target="https://www.cell.com/matter/fulltext/S2590-2385(26)00365-6?rss=yes" TargetMode="External"/><Relationship Id="rId223" Type="http://schemas.openxmlformats.org/officeDocument/2006/relationships/hyperlink" Target="https://doi.org/10.1016/j.matt.2026.103002" TargetMode="External"/><Relationship Id="rId224" Type="http://schemas.openxmlformats.org/officeDocument/2006/relationships/hyperlink" Target="https://www.pnas.org/doi/abs/10.1073/pnas.2606049123?mi=eymic2&amp;af=R&amp;access=on&amp;content=articlesChapters&amp;publication=pnas&amp;sortBy=Earliest&amp;target=default" TargetMode="External"/><Relationship Id="rId225" Type="http://schemas.openxmlformats.org/officeDocument/2006/relationships/hyperlink" Target="https://doi.org/10.1073/pnas.2606049123" TargetMode="External"/><Relationship Id="rId226" Type="http://schemas.openxmlformats.org/officeDocument/2006/relationships/hyperlink" Target="https://advanced.onlinelibrary.wiley.com/doi/10.1002/adma.74906" TargetMode="External"/><Relationship Id="rId227" Type="http://schemas.openxmlformats.org/officeDocument/2006/relationships/hyperlink" Target="https://doi.org/10.1002/adma.74906" TargetMode="External"/><Relationship Id="rId228" Type="http://schemas.openxmlformats.org/officeDocument/2006/relationships/hyperlink" Target="https://advanced.onlinelibrary.wiley.com/doi/10.1002/aenm.71541" TargetMode="External"/><Relationship Id="rId229" Type="http://schemas.openxmlformats.org/officeDocument/2006/relationships/hyperlink" Target="https://doi.org/10.1002/aenm.71541" TargetMode="External"/><Relationship Id="rId230" Type="http://schemas.openxmlformats.org/officeDocument/2006/relationships/hyperlink" Target="https://pubs.acs.org/aamick/article/doi/10.1021/acsami.6c11867/5405521/Dual-Photo-Functional-Au-TiO2-NiO-Nanocone-Arrays" TargetMode="External"/><Relationship Id="rId231" Type="http://schemas.openxmlformats.org/officeDocument/2006/relationships/hyperlink" Target="https://doi.org/10.1021/acsami.6c11867" TargetMode="External"/><Relationship Id="rId232" Type="http://schemas.openxmlformats.org/officeDocument/2006/relationships/hyperlink" Target="https://pubs.acs.org/aamick/article/doi/10.1021/acsami.6c11501/5398904/High-Performance-Microwave-Synthesized-Graphene" TargetMode="External"/><Relationship Id="rId233" Type="http://schemas.openxmlformats.org/officeDocument/2006/relationships/hyperlink" Target="https://doi.org/10.1021/acsami.6c11501" TargetMode="External"/><Relationship Id="rId234" Type="http://schemas.openxmlformats.org/officeDocument/2006/relationships/hyperlink" Target="https://onlinelibrary.wiley.com/doi/10.1002/anie.6156560" TargetMode="External"/><Relationship Id="rId235" Type="http://schemas.openxmlformats.org/officeDocument/2006/relationships/hyperlink" Target="https://doi.org/10.1002/anie.6156560" TargetMode="External"/><Relationship Id="rId236" Type="http://schemas.openxmlformats.org/officeDocument/2006/relationships/hyperlink" Target="https://www.nature.com/articles/s41560-026-02122-6" TargetMode="External"/><Relationship Id="rId237" Type="http://schemas.openxmlformats.org/officeDocument/2006/relationships/hyperlink" Target="https://doi.org/10.1038/s41560-026-02122-6" TargetMode="External"/><Relationship Id="rId238" Type="http://schemas.openxmlformats.org/officeDocument/2006/relationships/hyperlink" Target="https://www.sciencedirect.com/science/article/pii/S0306261926013772?dgcid=rss_sd_all" TargetMode="External"/><Relationship Id="rId239" Type="http://schemas.openxmlformats.org/officeDocument/2006/relationships/hyperlink" Target="https://doi.org/10.1016/j.apenergy.2026.128721" TargetMode="External"/><Relationship Id="rId240" Type="http://schemas.openxmlformats.org/officeDocument/2006/relationships/hyperlink" Target="https://onlinelibrary.wiley.com/doi/10.1002/anie.9935383?af=R" TargetMode="External"/><Relationship Id="rId241" Type="http://schemas.openxmlformats.org/officeDocument/2006/relationships/hyperlink" Target="https://doi.org/10.1002/anie.9935383" TargetMode="External"/><Relationship Id="rId242" Type="http://schemas.openxmlformats.org/officeDocument/2006/relationships/hyperlink" Target="https://onlinelibrary.wiley.com/doi/10.1002/anie.4046032?af=R" TargetMode="External"/><Relationship Id="rId243" Type="http://schemas.openxmlformats.org/officeDocument/2006/relationships/hyperlink" Target="https://doi.org/10.1002/anie.4046032" TargetMode="External"/><Relationship Id="rId244" Type="http://schemas.openxmlformats.org/officeDocument/2006/relationships/hyperlink" Target="https://advanced.onlinelibrary.wiley.com/doi/10.1002/aenm.71529?af=R" TargetMode="External"/><Relationship Id="rId245" Type="http://schemas.openxmlformats.org/officeDocument/2006/relationships/hyperlink" Target="https://doi.org/10.1002/aenm.71529" TargetMode="External"/><Relationship Id="rId246" Type="http://schemas.openxmlformats.org/officeDocument/2006/relationships/hyperlink" Target="https://doi.org/10.1021/acsami.6c08856" TargetMode="External"/><Relationship Id="rId247" Type="http://schemas.openxmlformats.org/officeDocument/2006/relationships/hyperlink" Target="https://advanced.onlinelibrary.wiley.com/doi/10.1002/adma.74783?af=R" TargetMode="External"/><Relationship Id="rId248" Type="http://schemas.openxmlformats.org/officeDocument/2006/relationships/hyperlink" Target="https://doi.org/10.1002/adma.74783" TargetMode="External"/><Relationship Id="rId249" Type="http://schemas.openxmlformats.org/officeDocument/2006/relationships/hyperlink" Target="https://advanced.onlinelibrary.wiley.com/doi/10.1002/adma.74898" TargetMode="External"/><Relationship Id="rId250" Type="http://schemas.openxmlformats.org/officeDocument/2006/relationships/hyperlink" Target="https://doi.org/10.1002/adma.74898" TargetMode="External"/><Relationship Id="rId251" Type="http://schemas.openxmlformats.org/officeDocument/2006/relationships/hyperlink" Target="https://doi.org/10.1021/jacs.6c15566" TargetMode="External"/><Relationship Id="rId252" Type="http://schemas.openxmlformats.org/officeDocument/2006/relationships/hyperlink" Target="https://www.sciencedirect.com/science/article/pii/S0306261926014352?dgcid=rss_sd_all" TargetMode="External"/><Relationship Id="rId253" Type="http://schemas.openxmlformats.org/officeDocument/2006/relationships/hyperlink" Target="https://doi.org/10.1016/j.apenergy.2026.128779" TargetMode="External"/><Relationship Id="rId254" Type="http://schemas.openxmlformats.org/officeDocument/2006/relationships/hyperlink" Target="https://www.sciencedirect.com/science/article/pii/S0306261926014066?dgcid=rss_sd_all" TargetMode="External"/><Relationship Id="rId255" Type="http://schemas.openxmlformats.org/officeDocument/2006/relationships/hyperlink" Target="https://doi.org/10.1016/j.apenergy.2026.128750" TargetMode="External"/><Relationship Id="rId256" Type="http://schemas.openxmlformats.org/officeDocument/2006/relationships/hyperlink" Target="https://iopscience.iop.org/article/10.1088/1741-4326/ae96bf" TargetMode="External"/><Relationship Id="rId257" Type="http://schemas.openxmlformats.org/officeDocument/2006/relationships/hyperlink" Target="https://doi.org/10.1088/1741-4326/ae96bf" TargetMode="External"/><Relationship Id="rId258" Type="http://schemas.openxmlformats.org/officeDocument/2006/relationships/hyperlink" Target="https://iopscience.iop.org/article/10.1088/1741-4326/ae9bd5" TargetMode="External"/><Relationship Id="rId259" Type="http://schemas.openxmlformats.org/officeDocument/2006/relationships/hyperlink" Target="https://doi.org/10.1088/1741-4326/ae9bd5" TargetMode="External"/><Relationship Id="rId260" Type="http://schemas.openxmlformats.org/officeDocument/2006/relationships/hyperlink" Target="https://iopscience.iop.org/article/10.1088/1741-4326/ae9a44" TargetMode="External"/><Relationship Id="rId261" Type="http://schemas.openxmlformats.org/officeDocument/2006/relationships/hyperlink" Target="https://doi.org/10.1088/1741-4326/ae9a44" TargetMode="External"/><Relationship Id="rId262" Type="http://schemas.openxmlformats.org/officeDocument/2006/relationships/hyperlink" Target="https://iopscience.iop.org/article/10.1088/1741-4326/ae99f2" TargetMode="External"/><Relationship Id="rId263" Type="http://schemas.openxmlformats.org/officeDocument/2006/relationships/hyperlink" Target="https://doi.org/10.1088/1741-4326/ae99f2" TargetMode="External"/><Relationship Id="rId264" Type="http://schemas.openxmlformats.org/officeDocument/2006/relationships/hyperlink" Target="https://iopscience.iop.org/article/10.1088/1741-4326/ae9b20" TargetMode="External"/><Relationship Id="rId265" Type="http://schemas.openxmlformats.org/officeDocument/2006/relationships/hyperlink" Target="https://doi.org/10.1088/1741-4326/ae9b20" TargetMode="External"/><Relationship Id="rId266" Type="http://schemas.openxmlformats.org/officeDocument/2006/relationships/hyperlink" Target="https://iopscience.iop.org/article/10.1088/1741-4326/ae99f0" TargetMode="External"/><Relationship Id="rId267" Type="http://schemas.openxmlformats.org/officeDocument/2006/relationships/hyperlink" Target="https://doi.org/10.1088/1741-4326/ae99f0" TargetMode="External"/><Relationship Id="rId268" Type="http://schemas.openxmlformats.org/officeDocument/2006/relationships/hyperlink" Target="https://doi.org/10.1021/acsami.6c08367" TargetMode="External"/><Relationship Id="rId269" Type="http://schemas.openxmlformats.org/officeDocument/2006/relationships/hyperlink" Target="https://www.nature.com/articles/s41467-026-76781-0" TargetMode="External"/><Relationship Id="rId270" Type="http://schemas.openxmlformats.org/officeDocument/2006/relationships/hyperlink" Target="https://ieeexplore.ieee.org/document/11367275/" TargetMode="External"/><Relationship Id="rId271" Type="http://schemas.openxmlformats.org/officeDocument/2006/relationships/hyperlink" Target="https://doi.org/10.1109/tec.2026.3658726" TargetMode="External"/><Relationship Id="rId272" Type="http://schemas.openxmlformats.org/officeDocument/2006/relationships/hyperlink" Target="http://link.aps.org/doi/10.1103/cctz-56dl" TargetMode="External"/><Relationship Id="rId273" Type="http://schemas.openxmlformats.org/officeDocument/2006/relationships/hyperlink" Target="https://doi.org/10.1103/cctz-56dl" TargetMode="External"/><Relationship Id="rId274" Type="http://schemas.openxmlformats.org/officeDocument/2006/relationships/hyperlink" Target="https://iopscience.iop.org/article/10.1088/1741-4326/ae8fe6" TargetMode="External"/><Relationship Id="rId275" Type="http://schemas.openxmlformats.org/officeDocument/2006/relationships/hyperlink" Target="https://doi.org/10.1088/1741-4326/ae8fe6" TargetMode="External"/><Relationship Id="rId276" Type="http://schemas.openxmlformats.org/officeDocument/2006/relationships/hyperlink" Target="https://iopscience.iop.org/article/10.1088/1741-4326/ae9965" TargetMode="External"/><Relationship Id="rId277" Type="http://schemas.openxmlformats.org/officeDocument/2006/relationships/hyperlink" Target="https://doi.org/10.1088/1741-4326/ae9965" TargetMode="External"/><Relationship Id="rId278" Type="http://schemas.openxmlformats.org/officeDocument/2006/relationships/hyperlink" Target="https://iopscience.iop.org/article/10.1088/1741-4326/ae99f1" TargetMode="External"/><Relationship Id="rId279" Type="http://schemas.openxmlformats.org/officeDocument/2006/relationships/hyperlink" Target="https://doi.org/10.1088/1741-4326/ae99f1" TargetMode="External"/><Relationship Id="rId280" Type="http://schemas.openxmlformats.org/officeDocument/2006/relationships/hyperlink" Target="https://iopscience.iop.org/article/10.1088/1741-4326/ae9c56" TargetMode="External"/><Relationship Id="rId281" Type="http://schemas.openxmlformats.org/officeDocument/2006/relationships/hyperlink" Target="https://doi.org/10.1088/1741-4326/ae9c56" TargetMode="External"/><Relationship Id="rId282" Type="http://schemas.openxmlformats.org/officeDocument/2006/relationships/hyperlink" Target="https://iopscience.iop.org/article/10.1088/1741-4326/ae9c53" TargetMode="External"/><Relationship Id="rId283" Type="http://schemas.openxmlformats.org/officeDocument/2006/relationships/hyperlink" Target="https://doi.org/10.1088/1741-4326/ae9c53" TargetMode="External"/><Relationship Id="rId284" Type="http://schemas.openxmlformats.org/officeDocument/2006/relationships/hyperlink" Target="https://iopscience.iop.org/article/10.1088/1741-4326/ae9bd6" TargetMode="External"/><Relationship Id="rId285" Type="http://schemas.openxmlformats.org/officeDocument/2006/relationships/hyperlink" Target="https://doi.org/10.1088/1741-4326/ae9bd6" TargetMode="External"/><Relationship Id="rId286" Type="http://schemas.openxmlformats.org/officeDocument/2006/relationships/hyperlink" Target="https://iopscience.iop.org/article/10.1088/1741-4326/ae9bd3" TargetMode="External"/><Relationship Id="rId287" Type="http://schemas.openxmlformats.org/officeDocument/2006/relationships/hyperlink" Target="https://doi.org/10.1088/1741-4326/ae9bd3" TargetMode="External"/><Relationship Id="rId288" Type="http://schemas.openxmlformats.org/officeDocument/2006/relationships/hyperlink" Target="https://iopscience.iop.org/article/10.1088/1741-4326/ae9b1f" TargetMode="External"/><Relationship Id="rId289" Type="http://schemas.openxmlformats.org/officeDocument/2006/relationships/hyperlink" Target="https://doi.org/10.1088/1741-4326/ae9b1f" TargetMode="External"/><Relationship Id="rId290" Type="http://schemas.openxmlformats.org/officeDocument/2006/relationships/hyperlink" Target="https://www.sciencedirect.com/science/article/pii/S0306261926013577?dgcid=rss_sd_all" TargetMode="External"/><Relationship Id="rId291" Type="http://schemas.openxmlformats.org/officeDocument/2006/relationships/hyperlink" Target="https://doi.org/10.1016/j.apenergy.2026.128701" TargetMode="External"/><Relationship Id="rId292" Type="http://schemas.openxmlformats.org/officeDocument/2006/relationships/hyperlink" Target="https://www.nature.com/articles/s41467-026-77243-3" TargetMode="External"/><Relationship Id="rId293" Type="http://schemas.openxmlformats.org/officeDocument/2006/relationships/hyperlink" Target="https://academic.oup.com/nsr/advance-article/doi/10.1093/nsr/nwag569/8781101?rss=1" TargetMode="External"/><Relationship Id="rId294" Type="http://schemas.openxmlformats.org/officeDocument/2006/relationships/hyperlink" Target="https://doi.org/10.1093/nsr/nwag569" TargetMode="External"/><Relationship Id="rId295" Type="http://schemas.openxmlformats.org/officeDocument/2006/relationships/hyperlink" Target="http://link.aps.org/doi/10.1103/fmc6-8f4q" TargetMode="External"/><Relationship Id="rId296" Type="http://schemas.openxmlformats.org/officeDocument/2006/relationships/hyperlink" Target="https://doi.org/10.1103/fmc6-8f4q" TargetMode="External"/><Relationship Id="rId297" Type="http://schemas.openxmlformats.org/officeDocument/2006/relationships/hyperlink" Target="https://www.nature.com/articles/s41929-026-01607-7" TargetMode="External"/><Relationship Id="rId298" Type="http://schemas.openxmlformats.org/officeDocument/2006/relationships/hyperlink" Target="https://doi.org/10.1038/s41929-026-01607-7" TargetMode="External"/><Relationship Id="rId299" Type="http://schemas.openxmlformats.org/officeDocument/2006/relationships/hyperlink" Target="https://doi.org/10.1021/jacs.6c10619" TargetMode="External"/><Relationship Id="rId300" Type="http://schemas.openxmlformats.org/officeDocument/2006/relationships/hyperlink" Target="https://www.sciencedirect.com/science/article/pii/S0306261926014005?dgcid=rss_sd_all" TargetMode="External"/><Relationship Id="rId301" Type="http://schemas.openxmlformats.org/officeDocument/2006/relationships/hyperlink" Target="https://doi.org/10.1016/j.apenergy.2026.128744" TargetMode="External"/><Relationship Id="rId302" Type="http://schemas.openxmlformats.org/officeDocument/2006/relationships/hyperlink" Target="https://www.sciencedirect.com/science/article/pii/S0306261926013966?dgcid=rss_sd_all" TargetMode="External"/><Relationship Id="rId303" Type="http://schemas.openxmlformats.org/officeDocument/2006/relationships/hyperlink" Target="https://doi.org/10.1016/j.apenergy.2026.128740" TargetMode="External"/><Relationship Id="rId304" Type="http://schemas.openxmlformats.org/officeDocument/2006/relationships/hyperlink" Target="https://www.sciencedirect.com/science/article/pii/S0306261926013358?dgcid=rss_sd_all" TargetMode="External"/><Relationship Id="rId305" Type="http://schemas.openxmlformats.org/officeDocument/2006/relationships/hyperlink" Target="https://doi.org/10.1016/j.apenergy.2026.128679" TargetMode="External"/><Relationship Id="rId306" Type="http://schemas.openxmlformats.org/officeDocument/2006/relationships/hyperlink" Target="https://www.nature.com/articles/s41893-026-01928-2" TargetMode="External"/><Relationship Id="rId307" Type="http://schemas.openxmlformats.org/officeDocument/2006/relationships/hyperlink" Target="https://doi.org/10.1038/s41893-026-01928-2" TargetMode="External"/><Relationship Id="rId308" Type="http://schemas.openxmlformats.org/officeDocument/2006/relationships/hyperlink" Target="https://onlinelibrary.wiley.com/doi/10.1002/anie.6119233?af=R" TargetMode="External"/><Relationship Id="rId309" Type="http://schemas.openxmlformats.org/officeDocument/2006/relationships/hyperlink" Target="https://doi.org/10.1002/anie.6119233" TargetMode="External"/><Relationship Id="rId310" Type="http://schemas.openxmlformats.org/officeDocument/2006/relationships/hyperlink" Target="https://doi.org/10.1021/jacs.6c13780" TargetMode="External"/><Relationship Id="rId311" Type="http://schemas.openxmlformats.org/officeDocument/2006/relationships/hyperlink" Target="https://doi.org/10.1021/jacs.6c06025" TargetMode="External"/><Relationship Id="rId312" Type="http://schemas.openxmlformats.org/officeDocument/2006/relationships/hyperlink" Target="https://www.sciencedirect.com/science/article/pii/S0306261926013036?dgcid=rss_sd_all" TargetMode="External"/><Relationship Id="rId313" Type="http://schemas.openxmlformats.org/officeDocument/2006/relationships/hyperlink" Target="https://doi.org/10.1016/j.apenergy.2026.128647" TargetMode="External"/><Relationship Id="rId314" Type="http://schemas.openxmlformats.org/officeDocument/2006/relationships/hyperlink" Target="https://onlinelibrary.wiley.com/doi/10.1002/anie.7279758?af=R" TargetMode="External"/><Relationship Id="rId315" Type="http://schemas.openxmlformats.org/officeDocument/2006/relationships/hyperlink" Target="https://doi.org/10.1002/anie.7279758" TargetMode="External"/><Relationship Id="rId316" Type="http://schemas.openxmlformats.org/officeDocument/2006/relationships/hyperlink" Target="https://onlinelibrary.wiley.com/doi/10.1002/anie.9657393?af=R" TargetMode="External"/><Relationship Id="rId317" Type="http://schemas.openxmlformats.org/officeDocument/2006/relationships/hyperlink" Target="https://doi.org/10.1002/anie.9657393" TargetMode="External"/><Relationship Id="rId318" Type="http://schemas.openxmlformats.org/officeDocument/2006/relationships/hyperlink" Target="https://advanced.onlinelibrary.wiley.com/doi/10.1002/adma.74863?af=R" TargetMode="External"/><Relationship Id="rId319" Type="http://schemas.openxmlformats.org/officeDocument/2006/relationships/hyperlink" Target="https://doi.org/10.1002/adma.74863" TargetMode="External"/><Relationship Id="rId320" Type="http://schemas.openxmlformats.org/officeDocument/2006/relationships/hyperlink" Target="https://doi.org/10.1021/acsami.6c05866" TargetMode="External"/><Relationship Id="rId321" Type="http://schemas.openxmlformats.org/officeDocument/2006/relationships/hyperlink" Target="https://doi.org/10.1021/acsami.6c11152" TargetMode="External"/><Relationship Id="rId322" Type="http://schemas.openxmlformats.org/officeDocument/2006/relationships/hyperlink" Target="https://doi.org/10.1021/acsami.6c11395" TargetMode="External"/><Relationship Id="rId323" Type="http://schemas.openxmlformats.org/officeDocument/2006/relationships/hyperlink" Target="https://doi.org/10.1021/acsenergylett.6c01498" TargetMode="External"/><Relationship Id="rId324" Type="http://schemas.openxmlformats.org/officeDocument/2006/relationships/hyperlink" Target="https://ieeexplore.ieee.org/document/11417348/" TargetMode="External"/><Relationship Id="rId325" Type="http://schemas.openxmlformats.org/officeDocument/2006/relationships/hyperlink" Target="https://doi.org/10.1109/tsg.2026.3668984" TargetMode="External"/><Relationship Id="rId326" Type="http://schemas.openxmlformats.org/officeDocument/2006/relationships/hyperlink" Target="https://ieeexplore.ieee.org/document/11454650/" TargetMode="External"/><Relationship Id="rId327" Type="http://schemas.openxmlformats.org/officeDocument/2006/relationships/hyperlink" Target="https://doi.org/10.1109/tsg.2026.3676791" TargetMode="External"/><Relationship Id="rId328" Type="http://schemas.openxmlformats.org/officeDocument/2006/relationships/hyperlink" Target="https://ieeexplore.ieee.org/document/11449221/" TargetMode="External"/><Relationship Id="rId329" Type="http://schemas.openxmlformats.org/officeDocument/2006/relationships/hyperlink" Target="https://doi.org/10.1109/tpwrs.2026.3675148" TargetMode="External"/><Relationship Id="rId330" Type="http://schemas.openxmlformats.org/officeDocument/2006/relationships/hyperlink" Target="https://advanced.onlinelibrary.wiley.com/doi/10.1002/adma.74867" TargetMode="External"/><Relationship Id="rId331" Type="http://schemas.openxmlformats.org/officeDocument/2006/relationships/hyperlink" Target="https://doi.org/10.1002/adma.74867" TargetMode="External"/><Relationship Id="rId332" Type="http://schemas.openxmlformats.org/officeDocument/2006/relationships/hyperlink" Target="https://advanced.onlinelibrary.wiley.com/doi/10.1002/adma.74297" TargetMode="External"/><Relationship Id="rId333" Type="http://schemas.openxmlformats.org/officeDocument/2006/relationships/hyperlink" Target="https://doi.org/10.1002/adma.74297" TargetMode="External"/><Relationship Id="rId334" Type="http://schemas.openxmlformats.org/officeDocument/2006/relationships/hyperlink" Target="https://doi.org/10.1021/acsami.6c10518" TargetMode="External"/><Relationship Id="rId335" Type="http://schemas.openxmlformats.org/officeDocument/2006/relationships/hyperlink" Target="https://doi.org/10.1021/acsami.6c11441" TargetMode="External"/><Relationship Id="rId336" Type="http://schemas.openxmlformats.org/officeDocument/2006/relationships/hyperlink" Target="https://doi.org/10.1016/j.joule.2026.102650" TargetMode="External"/><Relationship Id="rId337" Type="http://schemas.openxmlformats.org/officeDocument/2006/relationships/hyperlink" Target="https://doi.org/10.1021/jacs.6c10380" TargetMode="External"/><Relationship Id="rId338" Type="http://schemas.openxmlformats.org/officeDocument/2006/relationships/hyperlink" Target="https://ieeexplore.ieee.org/document/11483228/" TargetMode="External"/><Relationship Id="rId339" Type="http://schemas.openxmlformats.org/officeDocument/2006/relationships/hyperlink" Target="https://doi.org/10.1109/tsg.2026.3684658" TargetMode="External"/><Relationship Id="rId340" Type="http://schemas.openxmlformats.org/officeDocument/2006/relationships/hyperlink" Target="https://www.nature.com/articles/s41467-026-74391-4" TargetMode="External"/><Relationship Id="rId341" Type="http://schemas.openxmlformats.org/officeDocument/2006/relationships/hyperlink" Target="https://advanced.onlinelibrary.wiley.com/doi/10.1002/aenm.71527" TargetMode="External"/><Relationship Id="rId342" Type="http://schemas.openxmlformats.org/officeDocument/2006/relationships/hyperlink" Target="https://doi.org/10.1002/aenm.71527" TargetMode="External"/><Relationship Id="rId343" Type="http://schemas.openxmlformats.org/officeDocument/2006/relationships/hyperlink" Target="https://doi.org/10.1109/tsg.2026.3688050" TargetMode="External"/><Relationship Id="rId344" Type="http://schemas.openxmlformats.org/officeDocument/2006/relationships/hyperlink" Target="https://doi.org/10.1002/aenm.71416" TargetMode="External"/><Relationship Id="rId345" Type="http://schemas.openxmlformats.org/officeDocument/2006/relationships/hyperlink" Target="https://www.nature.com/articles/s41565-026-02255-5" TargetMode="External"/><Relationship Id="rId346" Type="http://schemas.openxmlformats.org/officeDocument/2006/relationships/hyperlink" Target="https://doi.org/10.1038/s41565-026-02255-5" TargetMode="External"/><Relationship Id="rId347" Type="http://schemas.openxmlformats.org/officeDocument/2006/relationships/hyperlink" Target="https://www.sciencedirect.com/science/article/pii/S0306261926013760?dgcid=rss_sd_all" TargetMode="External"/><Relationship Id="rId348" Type="http://schemas.openxmlformats.org/officeDocument/2006/relationships/hyperlink" Target="https://doi.org/10.1016/j.apenergy.2026.128720" TargetMode="External"/><Relationship Id="rId349" Type="http://schemas.openxmlformats.org/officeDocument/2006/relationships/hyperlink" Target="https://doi.org/10.1016/j.matt.2026.102861" TargetMode="External"/><Relationship Id="rId350" Type="http://schemas.openxmlformats.org/officeDocument/2006/relationships/hyperlink" Target="https://advanced.onlinelibrary.wiley.com/doi/10.1002/adma.74884" TargetMode="External"/><Relationship Id="rId351" Type="http://schemas.openxmlformats.org/officeDocument/2006/relationships/hyperlink" Target="https://doi.org/10.1002/adma.74884" TargetMode="External"/><Relationship Id="rId352" Type="http://schemas.openxmlformats.org/officeDocument/2006/relationships/hyperlink" Target="https://www.sciencedirect.com/science/article/pii/S0306261926013863?dgcid=rss_sd_all" TargetMode="External"/><Relationship Id="rId353" Type="http://schemas.openxmlformats.org/officeDocument/2006/relationships/hyperlink" Target="https://doi.org/10.1016/j.apenergy.2026.128730" TargetMode="External"/><Relationship Id="rId354" Type="http://schemas.openxmlformats.org/officeDocument/2006/relationships/hyperlink" Target="https://www.sciencedirect.com/science/article/pii/S0306261926014078?dgcid=rss_sd_all" TargetMode="External"/><Relationship Id="rId355" Type="http://schemas.openxmlformats.org/officeDocument/2006/relationships/hyperlink" Target="https://doi.org/10.1016/j.apenergy.2026.128751" TargetMode="External"/><Relationship Id="rId356" Type="http://schemas.openxmlformats.org/officeDocument/2006/relationships/hyperlink" Target="https://pubs.acs.org/jacsat/article/doi/10.1021/jacs.6c11313/5405614/Facet-Modulation-of-Interfacial-Water-Structure" TargetMode="External"/><Relationship Id="rId357" Type="http://schemas.openxmlformats.org/officeDocument/2006/relationships/hyperlink" Target="https://doi.org/10.1021/jacs.6c11313" TargetMode="External"/><Relationship Id="rId358" Type="http://schemas.openxmlformats.org/officeDocument/2006/relationships/hyperlink" Target="https://pubs.acs.org/jacsat/article/doi/10.1021/jacs.6c04573/5412824/Temperature-Dependent-Voltammetry-Reveals-the" TargetMode="External"/><Relationship Id="rId359" Type="http://schemas.openxmlformats.org/officeDocument/2006/relationships/hyperlink" Target="https://doi.org/10.1021/jacs.6c04573" TargetMode="External"/><Relationship Id="rId360" Type="http://schemas.openxmlformats.org/officeDocument/2006/relationships/hyperlink" Target="https://advanced.onlinelibrary.wiley.com/doi/10.1002/aenm.71537" TargetMode="External"/><Relationship Id="rId361" Type="http://schemas.openxmlformats.org/officeDocument/2006/relationships/hyperlink" Target="https://doi.org/10.1002/aenm.71537" TargetMode="External"/><Relationship Id="rId362" Type="http://schemas.openxmlformats.org/officeDocument/2006/relationships/hyperlink" Target="https://www.sciencedirect.com/science/article/pii/S0306261926014157?dgcid=rss_sd_all" TargetMode="External"/><Relationship Id="rId363" Type="http://schemas.openxmlformats.org/officeDocument/2006/relationships/hyperlink" Target="https://doi.org/10.1016/j.apenergy.2026.128759" TargetMode="External"/><Relationship Id="rId364" Type="http://schemas.openxmlformats.org/officeDocument/2006/relationships/hyperlink" Target="https://advanced.onlinelibrary.wiley.com/doi/10.1002/aenm.71545" TargetMode="External"/><Relationship Id="rId365" Type="http://schemas.openxmlformats.org/officeDocument/2006/relationships/hyperlink" Target="https://doi.org/10.1002/aenm.71545" TargetMode="External"/><Relationship Id="rId366" Type="http://schemas.openxmlformats.org/officeDocument/2006/relationships/hyperlink" Target="https://www.science.org/doi/10.1126/science.aed4911" TargetMode="External"/><Relationship Id="rId367" Type="http://schemas.openxmlformats.org/officeDocument/2006/relationships/hyperlink" Target="https://doi.org/10.1126/science.aed4911" TargetMode="External"/><Relationship Id="rId368" Type="http://schemas.openxmlformats.org/officeDocument/2006/relationships/hyperlink" Target="https://doi.org/10.1002/aenm.71349" TargetMode="External"/><Relationship Id="rId369" Type="http://schemas.openxmlformats.org/officeDocument/2006/relationships/hyperlink" Target="https://ieeexplore.ieee.org/document/11460252/" TargetMode="External"/><Relationship Id="rId370" Type="http://schemas.openxmlformats.org/officeDocument/2006/relationships/hyperlink" Target="https://doi.org/10.1109/tec.2026.3679977" TargetMode="External"/><Relationship Id="rId371" Type="http://schemas.openxmlformats.org/officeDocument/2006/relationships/hyperlink" Target="https://doi.org/10.1002/anie.3494903" TargetMode="External"/><Relationship Id="rId372" Type="http://schemas.openxmlformats.org/officeDocument/2006/relationships/hyperlink" Target="https://www.science.org/doi/abs/10.1126/sciadv.aeg7217?af=R" TargetMode="External"/><Relationship Id="rId373" Type="http://schemas.openxmlformats.org/officeDocument/2006/relationships/hyperlink" Target="https://doi.org/10.1126/sciadv.aeg7217" TargetMode="External"/><Relationship Id="rId374" Type="http://schemas.openxmlformats.org/officeDocument/2006/relationships/hyperlink" Target="https://doi.org/10.1021/acsami.6c14147" TargetMode="External"/><Relationship Id="rId375" Type="http://schemas.openxmlformats.org/officeDocument/2006/relationships/hyperlink" Target="https://doi.org/10.1021/acsami.6c12178" TargetMode="External"/><Relationship Id="rId376" Type="http://schemas.openxmlformats.org/officeDocument/2006/relationships/hyperlink" Target="https://doi.org/10.1021/jacs.6c06970" TargetMode="External"/><Relationship Id="rId377" Type="http://schemas.openxmlformats.org/officeDocument/2006/relationships/hyperlink" Target="https://doi.org/10.1021/jacs.6c14072" TargetMode="External"/><Relationship Id="rId378" Type="http://schemas.openxmlformats.org/officeDocument/2006/relationships/hyperlink" Target="https://onlinelibrary.wiley.com/doi/10.1002/anie.9439653?af=R" TargetMode="External"/><Relationship Id="rId379" Type="http://schemas.openxmlformats.org/officeDocument/2006/relationships/hyperlink" Target="https://doi.org/10.1002/anie.9439653" TargetMode="External"/><Relationship Id="rId380" Type="http://schemas.openxmlformats.org/officeDocument/2006/relationships/hyperlink" Target="https://advanced.onlinelibrary.wiley.com/doi/10.1002/adma.74829?af=R" TargetMode="External"/><Relationship Id="rId381" Type="http://schemas.openxmlformats.org/officeDocument/2006/relationships/hyperlink" Target="https://doi.org/10.1002/adma.74829" TargetMode="External"/><Relationship Id="rId382" Type="http://schemas.openxmlformats.org/officeDocument/2006/relationships/hyperlink" Target="https://advanced.onlinelibrary.wiley.com/doi/10.1002/aenm.71519?af=R" TargetMode="External"/><Relationship Id="rId383" Type="http://schemas.openxmlformats.org/officeDocument/2006/relationships/hyperlink" Target="https://doi.org/10.1002/aenm.71519" TargetMode="External"/><Relationship Id="rId384" Type="http://schemas.openxmlformats.org/officeDocument/2006/relationships/hyperlink" Target="https://www.nature.com/articles/s41929-026-01604-w" TargetMode="External"/><Relationship Id="rId385" Type="http://schemas.openxmlformats.org/officeDocument/2006/relationships/hyperlink" Target="https://doi.org/10.1038/s41929-026-01604-w" TargetMode="External"/><Relationship Id="rId386" Type="http://schemas.openxmlformats.org/officeDocument/2006/relationships/hyperlink" Target="https://doi.org/10.1021/jacs.6c12039" TargetMode="External"/><Relationship Id="rId387" Type="http://schemas.openxmlformats.org/officeDocument/2006/relationships/hyperlink" Target="https://doi.org/10.1021/jacs.6c11795" TargetMode="External"/><Relationship Id="rId388" Type="http://schemas.openxmlformats.org/officeDocument/2006/relationships/hyperlink" Target="https://onlinelibrary.wiley.com/doi/10.1002/anie.9003794?af=R" TargetMode="External"/><Relationship Id="rId389" Type="http://schemas.openxmlformats.org/officeDocument/2006/relationships/hyperlink" Target="https://doi.org/10.1002/anie.9003794" TargetMode="External"/><Relationship Id="rId390" Type="http://schemas.openxmlformats.org/officeDocument/2006/relationships/hyperlink" Target="https://onlinelibrary.wiley.com/doi/10.1002/anie.4338333" TargetMode="External"/><Relationship Id="rId391" Type="http://schemas.openxmlformats.org/officeDocument/2006/relationships/hyperlink" Target="https://doi.org/10.1002/anie.4338333" TargetMode="External"/><Relationship Id="rId392" Type="http://schemas.openxmlformats.org/officeDocument/2006/relationships/hyperlink" Target="https://doi.org/10.1021/acsami.6c12606" TargetMode="External"/><Relationship Id="rId393" Type="http://schemas.openxmlformats.org/officeDocument/2006/relationships/hyperlink" Target="https://doi.org/10.1021/jacs.6c12612" TargetMode="External"/><Relationship Id="rId394" Type="http://schemas.openxmlformats.org/officeDocument/2006/relationships/hyperlink" Target="https://onlinelibrary.wiley.com/doi/10.1002/anie.8901776" TargetMode="External"/><Relationship Id="rId395" Type="http://schemas.openxmlformats.org/officeDocument/2006/relationships/hyperlink" Target="https://doi.org/10.1002/anie.8901776" TargetMode="External"/><Relationship Id="rId396" Type="http://schemas.openxmlformats.org/officeDocument/2006/relationships/hyperlink" Target="https://onlinelibrary.wiley.com/doi/10.1002/anie.3254251" TargetMode="External"/><Relationship Id="rId397" Type="http://schemas.openxmlformats.org/officeDocument/2006/relationships/hyperlink" Target="https://doi.org/10.1002/anie.3254251" TargetMode="External"/><Relationship Id="rId398" Type="http://schemas.openxmlformats.org/officeDocument/2006/relationships/hyperlink" Target="https://advanced.onlinelibrary.wiley.com/doi/10.1002/aenm.71526" TargetMode="External"/><Relationship Id="rId399" Type="http://schemas.openxmlformats.org/officeDocument/2006/relationships/hyperlink" Target="https://doi.org/10.1002/aenm.71526" TargetMode="External"/><Relationship Id="rId400" Type="http://schemas.openxmlformats.org/officeDocument/2006/relationships/hyperlink" Target="https://advanced.onlinelibrary.wiley.com/doi/10.1002/adma.74875?af=R" TargetMode="External"/><Relationship Id="rId401" Type="http://schemas.openxmlformats.org/officeDocument/2006/relationships/hyperlink" Target="https://doi.org/10.1002/adma.74875" TargetMode="External"/><Relationship Id="rId402" Type="http://schemas.openxmlformats.org/officeDocument/2006/relationships/hyperlink" Target="https://www.nature.com/articles/s41560-026-02113-7" TargetMode="External"/><Relationship Id="rId403" Type="http://schemas.openxmlformats.org/officeDocument/2006/relationships/hyperlink" Target="https://doi.org/10.1038/s41560-026-02113-7" TargetMode="External"/><Relationship Id="rId404" Type="http://schemas.openxmlformats.org/officeDocument/2006/relationships/hyperlink" Target="https://doi.org/10.1021/jacs.6c04323" TargetMode="External"/><Relationship Id="rId405" Type="http://schemas.openxmlformats.org/officeDocument/2006/relationships/hyperlink" Target="https://www.nature.com/articles/s41467-026-77347-w" TargetMode="External"/><Relationship Id="rId406" Type="http://schemas.openxmlformats.org/officeDocument/2006/relationships/hyperlink" Target="https://pubs.acs.org/jacsat/article/doi/10.1021/jacs.6c10366/5412077/A-Host-Guest-Strategy-to-Achieve-Selective-and" TargetMode="External"/><Relationship Id="rId407" Type="http://schemas.openxmlformats.org/officeDocument/2006/relationships/hyperlink" Target="https://doi.org/10.1021/jacs.6c10366" TargetMode="External"/><Relationship Id="rId408" Type="http://schemas.openxmlformats.org/officeDocument/2006/relationships/hyperlink" Target="https://pubs.acs.org/jacsat/article/doi/10.1021/jacs.6c10179/5413457/Homogeneous-Iron-Porphyrin-as-a-Molecular-CO" TargetMode="External"/><Relationship Id="rId409" Type="http://schemas.openxmlformats.org/officeDocument/2006/relationships/hyperlink" Target="https://doi.org/10.1021/jacs.6c10179" TargetMode="External"/><Relationship Id="rId410" Type="http://schemas.openxmlformats.org/officeDocument/2006/relationships/hyperlink" Target="https://onlinelibrary.wiley.com/doi/10.1002/anie.6197340" TargetMode="External"/><Relationship Id="rId411" Type="http://schemas.openxmlformats.org/officeDocument/2006/relationships/hyperlink" Target="https://doi.org/10.1002/anie.6197340" TargetMode="External"/><Relationship Id="rId412" Type="http://schemas.openxmlformats.org/officeDocument/2006/relationships/hyperlink" Target="https://doi.org/10.1021/acsami.6c13125" TargetMode="External"/><Relationship Id="rId413" Type="http://schemas.openxmlformats.org/officeDocument/2006/relationships/hyperlink" Target="https://doi.org/10.1021/acsami.6c10190" TargetMode="External"/><Relationship Id="rId414" Type="http://schemas.openxmlformats.org/officeDocument/2006/relationships/hyperlink" Target="https://pubs.acs.org/aamick/article/doi/10.1021/acsami.6c10190/5407732/High-Throughput-Screening-of-Single-Atom-Catalyst" TargetMode="External"/><Relationship Id="rId415" Type="http://schemas.openxmlformats.org/officeDocument/2006/relationships/hyperlink" Target="https://pubs.acs.org/aamick/article/doi/10.1021/acsami.6c13125/5413311/Building-VS-amp-Si-CuInS2-SiC-Heterojunctions" TargetMode="External"/><Relationship Id="rId416" Type="http://schemas.openxmlformats.org/officeDocument/2006/relationships/hyperlink" Target="https://doi.org/10.1002/aenm.71348" TargetMode="External"/><Relationship Id="rId417" Type="http://schemas.openxmlformats.org/officeDocument/2006/relationships/hyperlink" Target="https://doi.org/10.1021/acsami.6c08290" TargetMode="External"/><Relationship Id="rId418" Type="http://schemas.openxmlformats.org/officeDocument/2006/relationships/hyperlink" Target="https://www.sciencedirect.com/science/article/pii/S030626192601367X?dgcid=rss_sd_all" TargetMode="External"/><Relationship Id="rId419" Type="http://schemas.openxmlformats.org/officeDocument/2006/relationships/hyperlink" Target="https://doi.org/10.1016/j.apenergy.2026.128711" TargetMode="External"/><Relationship Id="rId420" Type="http://schemas.openxmlformats.org/officeDocument/2006/relationships/hyperlink" Target="https://doi.org/10.1021/jacs.6c13508" TargetMode="External"/><Relationship Id="rId421" Type="http://schemas.openxmlformats.org/officeDocument/2006/relationships/hyperlink" Target="https://onlinelibrary.wiley.com/doi/10.1002/anie.3093462?af=R" TargetMode="External"/><Relationship Id="rId422" Type="http://schemas.openxmlformats.org/officeDocument/2006/relationships/hyperlink" Target="https://doi.org/10.1002/anie.3093462" TargetMode="External"/><Relationship Id="rId423" Type="http://schemas.openxmlformats.org/officeDocument/2006/relationships/hyperlink" Target="https://academic.oup.com/nsr/advance-article/doi/10.1093/nsr/nwag557/8776669?rss=1" TargetMode="External"/><Relationship Id="rId424" Type="http://schemas.openxmlformats.org/officeDocument/2006/relationships/hyperlink" Target="https://doi.org/10.1093/nsr/nwag557" TargetMode="External"/><Relationship Id="rId425" Type="http://schemas.openxmlformats.org/officeDocument/2006/relationships/hyperlink" Target="https://advanced.onlinelibrary.wiley.com/doi/10.1002/adma.74877?af=R" TargetMode="External"/><Relationship Id="rId426" Type="http://schemas.openxmlformats.org/officeDocument/2006/relationships/hyperlink" Target="https://doi.org/10.1002/adma.74877" TargetMode="External"/><Relationship Id="rId427" Type="http://schemas.openxmlformats.org/officeDocument/2006/relationships/hyperlink" Target="https://pubs.acs.org/jacsat/article/doi/10.1021/jacs.6c09418/5405232/Enhanced-Catalytic-Dechlorination-of-Polyvinyl" TargetMode="External"/><Relationship Id="rId428" Type="http://schemas.openxmlformats.org/officeDocument/2006/relationships/hyperlink" Target="https://doi.org/10.1021/jacs.6c09418" TargetMode="External"/><Relationship Id="rId429" Type="http://schemas.openxmlformats.org/officeDocument/2006/relationships/hyperlink" Target="https://www.nature.com/articles/s41557-026-02232-4" TargetMode="External"/><Relationship Id="rId430" Type="http://schemas.openxmlformats.org/officeDocument/2006/relationships/hyperlink" Target="https://doi.org/10.1038/s41557-026-02232-4" TargetMode="External"/><Relationship Id="rId431" Type="http://schemas.openxmlformats.org/officeDocument/2006/relationships/hyperlink" Target="https://www.nature.com/articles/s41928-026-01691-4" TargetMode="External"/><Relationship Id="rId432" Type="http://schemas.openxmlformats.org/officeDocument/2006/relationships/hyperlink" Target="https://doi.org/10.1038/s41928-026-01691-4" TargetMode="External"/><Relationship Id="rId433" Type="http://schemas.openxmlformats.org/officeDocument/2006/relationships/hyperlink" Target="https://doi.org/10.1021/acsami.6c10570" TargetMode="External"/><Relationship Id="rId434" Type="http://schemas.openxmlformats.org/officeDocument/2006/relationships/hyperlink" Target="https://doi.org/10.1021/acsami.6c12815" TargetMode="External"/><Relationship Id="rId435" Type="http://schemas.openxmlformats.org/officeDocument/2006/relationships/hyperlink" Target="https://doi.org/10.1021/acsami.6c11549" TargetMode="External"/><Relationship Id="rId436" Type="http://schemas.openxmlformats.org/officeDocument/2006/relationships/hyperlink" Target="https://doi.org/10.1021/acsami.6c07997" TargetMode="External"/><Relationship Id="rId437" Type="http://schemas.openxmlformats.org/officeDocument/2006/relationships/hyperlink" Target="https://doi.org/10.1021/acsami.6c10042" TargetMode="External"/><Relationship Id="rId438" Type="http://schemas.openxmlformats.org/officeDocument/2006/relationships/hyperlink" Target="https://doi.org/10.1021/acsami.6c10426" TargetMode="External"/><Relationship Id="rId439" Type="http://schemas.openxmlformats.org/officeDocument/2006/relationships/hyperlink" Target="https://doi.org/10.1021/acsami.6c12671" TargetMode="External"/><Relationship Id="rId440" Type="http://schemas.openxmlformats.org/officeDocument/2006/relationships/hyperlink" Target="https://doi.org/10.1021/acsami.6c14286" TargetMode="External"/><Relationship Id="rId441" Type="http://schemas.openxmlformats.org/officeDocument/2006/relationships/hyperlink" Target="https://doi.org/10.1021/acsami.6c12196" TargetMode="External"/><Relationship Id="rId442" Type="http://schemas.openxmlformats.org/officeDocument/2006/relationships/hyperlink" Target="https://doi.org/10.1021/acsami.6c12016" TargetMode="External"/><Relationship Id="rId443" Type="http://schemas.openxmlformats.org/officeDocument/2006/relationships/hyperlink" Target="https://doi.org/10.1021/acsami.6c12129" TargetMode="External"/><Relationship Id="rId444" Type="http://schemas.openxmlformats.org/officeDocument/2006/relationships/hyperlink" Target="https://doi.org/10.1021/acsami.6c13362" TargetMode="External"/><Relationship Id="rId445" Type="http://schemas.openxmlformats.org/officeDocument/2006/relationships/hyperlink" Target="https://doi.org/10.1126/sciadv.ael6996" TargetMode="External"/><Relationship Id="rId446" Type="http://schemas.openxmlformats.org/officeDocument/2006/relationships/hyperlink" Target="https://www.nature.com/articles/s41929-026-01597-6" TargetMode="External"/><Relationship Id="rId447" Type="http://schemas.openxmlformats.org/officeDocument/2006/relationships/hyperlink" Target="https://doi.org/10.1038/s41929-026-01597-6" TargetMode="External"/><Relationship Id="rId448" Type="http://schemas.openxmlformats.org/officeDocument/2006/relationships/hyperlink" Target="https://www.nature.com/articles/s44460-026-00135-y" TargetMode="External"/><Relationship Id="rId449" Type="http://schemas.openxmlformats.org/officeDocument/2006/relationships/hyperlink" Target="https://doi.org/10.1038/s44460-026-00135-y" TargetMode="External"/><Relationship Id="rId450" Type="http://schemas.openxmlformats.org/officeDocument/2006/relationships/hyperlink" Target="https://www.nature.com/articles/d41586-026-02732-w" TargetMode="External"/><Relationship Id="rId451" Type="http://schemas.openxmlformats.org/officeDocument/2006/relationships/hyperlink" Target="https://doi.org/10.1038/d41586-026-02732-w" TargetMode="External"/><Relationship Id="rId452" Type="http://schemas.openxmlformats.org/officeDocument/2006/relationships/hyperlink" Target="https://doi.org/10.1021/jacs.6c11637" TargetMode="External"/><Relationship Id="rId453" Type="http://schemas.openxmlformats.org/officeDocument/2006/relationships/hyperlink" Target="https://doi.org/10.1021/jacs.6c11012" TargetMode="External"/><Relationship Id="rId454" Type="http://schemas.openxmlformats.org/officeDocument/2006/relationships/hyperlink" Target="https://doi.org/10.1021/jacs.6c10834" TargetMode="External"/><Relationship Id="rId455" Type="http://schemas.openxmlformats.org/officeDocument/2006/relationships/hyperlink" Target="https://doi.org/10.1021/jacs.6c08421" TargetMode="External"/><Relationship Id="rId456" Type="http://schemas.openxmlformats.org/officeDocument/2006/relationships/hyperlink" Target="https://doi.org/10.1021/jacs.6c12391" TargetMode="External"/><Relationship Id="rId457" Type="http://schemas.openxmlformats.org/officeDocument/2006/relationships/hyperlink" Target="https://doi.org/10.1021/jacs.6c05129" TargetMode="External"/><Relationship Id="rId458" Type="http://schemas.openxmlformats.org/officeDocument/2006/relationships/hyperlink" Target="https://www.nature.com/articles/d41586-026-02747-3" TargetMode="External"/><Relationship Id="rId459" Type="http://schemas.openxmlformats.org/officeDocument/2006/relationships/hyperlink" Target="https://doi.org/10.1038/d41586-026-02747-3" TargetMode="External"/><Relationship Id="rId460" Type="http://schemas.openxmlformats.org/officeDocument/2006/relationships/hyperlink" Target="https://doi.org/10.1021/jacs.6c09492" TargetMode="External"/><Relationship Id="rId461" Type="http://schemas.openxmlformats.org/officeDocument/2006/relationships/hyperlink" Target="https://doi.org/10.1021/jacs.6c14957" TargetMode="External"/><Relationship Id="rId462" Type="http://schemas.openxmlformats.org/officeDocument/2006/relationships/hyperlink" Target="https://doi.org/10.1021/jacs.6c09975" TargetMode="External"/><Relationship Id="rId463" Type="http://schemas.openxmlformats.org/officeDocument/2006/relationships/hyperlink" Target="https://doi.org/10.1021/jacs.6c01527" TargetMode="External"/><Relationship Id="rId464" Type="http://schemas.openxmlformats.org/officeDocument/2006/relationships/hyperlink" Target="https://doi.org/10.1021/jacs.6c12462" TargetMode="External"/><Relationship Id="rId465" Type="http://schemas.openxmlformats.org/officeDocument/2006/relationships/hyperlink" Target="https://doi.org/10.1021/jacs.6c10525" TargetMode="External"/><Relationship Id="rId466" Type="http://schemas.openxmlformats.org/officeDocument/2006/relationships/hyperlink" Target="https://doi.org/10.1021/jacs.6c08409" TargetMode="External"/><Relationship Id="rId467" Type="http://schemas.openxmlformats.org/officeDocument/2006/relationships/hyperlink" Target="https://doi.org/10.1021/jacs.6c13983" TargetMode="External"/><Relationship Id="rId468" Type="http://schemas.openxmlformats.org/officeDocument/2006/relationships/hyperlink" Target="https://doi.org/10.1021/jacs.6c11786" TargetMode="External"/><Relationship Id="rId469" Type="http://schemas.openxmlformats.org/officeDocument/2006/relationships/hyperlink" Target="https://doi.org/10.1021/acsami.6c07764" TargetMode="External"/><Relationship Id="rId470" Type="http://schemas.openxmlformats.org/officeDocument/2006/relationships/hyperlink" Target="https://www.nature.com/articles/s41563-026-02744-x" TargetMode="External"/><Relationship Id="rId471" Type="http://schemas.openxmlformats.org/officeDocument/2006/relationships/hyperlink" Target="https://doi.org/10.1038/s41563-026-02744-x" TargetMode="External"/><Relationship Id="rId472" Type="http://schemas.openxmlformats.org/officeDocument/2006/relationships/hyperlink" Target="https://www.sciencedirect.com/science/article/pii/S0306261926013644?dgcid=rss_sd_all" TargetMode="External"/><Relationship Id="rId473" Type="http://schemas.openxmlformats.org/officeDocument/2006/relationships/hyperlink" Target="https://doi.org/10.1016/j.apenergy.2026.128708" TargetMode="External"/><Relationship Id="rId474" Type="http://schemas.openxmlformats.org/officeDocument/2006/relationships/hyperlink" Target="https://www.sciencedirect.com/science/article/pii/S0306261926013747?dgcid=rss_sd_all" TargetMode="External"/><Relationship Id="rId475" Type="http://schemas.openxmlformats.org/officeDocument/2006/relationships/hyperlink" Target="https://doi.org/10.1016/j.apenergy.2026.128718" TargetMode="External"/><Relationship Id="rId476" Type="http://schemas.openxmlformats.org/officeDocument/2006/relationships/hyperlink" Target="https://www.sciencedirect.com/science/article/pii/S0306261926013802?dgcid=rss_sd_all" TargetMode="External"/><Relationship Id="rId477" Type="http://schemas.openxmlformats.org/officeDocument/2006/relationships/hyperlink" Target="https://doi.org/10.1016/j.apenergy.2026.128724" TargetMode="External"/><Relationship Id="rId478" Type="http://schemas.openxmlformats.org/officeDocument/2006/relationships/hyperlink" Target="https://www.sciencedirect.com/science/article/pii/S0306261926013929?dgcid=rss_sd_all" TargetMode="External"/><Relationship Id="rId479" Type="http://schemas.openxmlformats.org/officeDocument/2006/relationships/hyperlink" Target="https://doi.org/10.1016/j.apenergy.2026.128736" TargetMode="External"/><Relationship Id="rId480" Type="http://schemas.openxmlformats.org/officeDocument/2006/relationships/hyperlink" Target="https://www.sciencedirect.com/science/article/pii/S0306261926013711?dgcid=rss_sd_all" TargetMode="External"/><Relationship Id="rId481" Type="http://schemas.openxmlformats.org/officeDocument/2006/relationships/hyperlink" Target="https://doi.org/10.1016/j.apenergy.2026.128715" TargetMode="External"/><Relationship Id="rId482" Type="http://schemas.openxmlformats.org/officeDocument/2006/relationships/hyperlink" Target="https://www.sciencedirect.com/science/article/pii/S030626192601353X?dgcid=rss_sd_all" TargetMode="External"/><Relationship Id="rId483" Type="http://schemas.openxmlformats.org/officeDocument/2006/relationships/hyperlink" Target="https://doi.org/10.1016/j.apenergy.2026.128697" TargetMode="External"/><Relationship Id="rId484" Type="http://schemas.openxmlformats.org/officeDocument/2006/relationships/hyperlink" Target="https://www.sciencedirect.com/science/article/pii/S0306261926013218?dgcid=rss_sd_all" TargetMode="External"/><Relationship Id="rId485" Type="http://schemas.openxmlformats.org/officeDocument/2006/relationships/hyperlink" Target="https://doi.org/10.1016/j.apenergy.2026.128665" TargetMode="External"/><Relationship Id="rId486" Type="http://schemas.openxmlformats.org/officeDocument/2006/relationships/hyperlink" Target="https://www.nature.com/articles/s41565-026-02265-3" TargetMode="External"/><Relationship Id="rId487" Type="http://schemas.openxmlformats.org/officeDocument/2006/relationships/hyperlink" Target="https://doi.org/10.1038/s41565-026-02265-3" TargetMode="External"/><Relationship Id="rId488" Type="http://schemas.openxmlformats.org/officeDocument/2006/relationships/hyperlink" Target="https://www.sciencedirect.com/science/article/pii/S0306261926013693?dgcid=rss_sd_all" TargetMode="External"/><Relationship Id="rId489" Type="http://schemas.openxmlformats.org/officeDocument/2006/relationships/hyperlink" Target="https://doi.org/10.1016/j.apenergy.2026.128713" TargetMode="External"/><Relationship Id="rId490" Type="http://schemas.openxmlformats.org/officeDocument/2006/relationships/hyperlink" Target="https://www.nature.com/articles/s41557-026-02236-0" TargetMode="External"/><Relationship Id="rId491" Type="http://schemas.openxmlformats.org/officeDocument/2006/relationships/hyperlink" Target="https://doi.org/10.1038/s41557-026-02236-0" TargetMode="External"/><Relationship Id="rId492" Type="http://schemas.openxmlformats.org/officeDocument/2006/relationships/hyperlink" Target="https://www.nature.com/articles/s41557-026-02234-2" TargetMode="External"/><Relationship Id="rId493" Type="http://schemas.openxmlformats.org/officeDocument/2006/relationships/hyperlink" Target="https://doi.org/10.1038/s41557-026-02234-2" TargetMode="External"/><Relationship Id="rId494" Type="http://schemas.openxmlformats.org/officeDocument/2006/relationships/hyperlink" Target="https://www.nature.com/articles/d41586-026-01913-x" TargetMode="External"/><Relationship Id="rId495" Type="http://schemas.openxmlformats.org/officeDocument/2006/relationships/hyperlink" Target="https://doi.org/10.1038/d41586-026-01913-x" TargetMode="External"/><Relationship Id="rId496" Type="http://schemas.openxmlformats.org/officeDocument/2006/relationships/hyperlink" Target="https://www.nature.com/articles/d41586-026-02733-9" TargetMode="External"/><Relationship Id="rId497" Type="http://schemas.openxmlformats.org/officeDocument/2006/relationships/hyperlink" Target="https://doi.org/10.1038/d41586-026-02733-9" TargetMode="External"/><Relationship Id="rId498" Type="http://schemas.openxmlformats.org/officeDocument/2006/relationships/hyperlink" Target="https://www.nature.com/articles/d41586-026-02680-5" TargetMode="External"/><Relationship Id="rId499" Type="http://schemas.openxmlformats.org/officeDocument/2006/relationships/hyperlink" Target="https://doi.org/10.1038/d41586-026-02680-5" TargetMode="External"/><Relationship Id="rId500" Type="http://schemas.openxmlformats.org/officeDocument/2006/relationships/hyperlink" Target="https://www.nature.com/articles/s41563-026-02713-4" TargetMode="External"/><Relationship Id="rId501" Type="http://schemas.openxmlformats.org/officeDocument/2006/relationships/hyperlink" Target="https://doi.org/10.1038/s41563-026-02713-4" TargetMode="External"/><Relationship Id="rId502" Type="http://schemas.openxmlformats.org/officeDocument/2006/relationships/hyperlink" Target="https://www.nature.com/articles/d41586-026-02688-x" TargetMode="External"/><Relationship Id="rId503" Type="http://schemas.openxmlformats.org/officeDocument/2006/relationships/hyperlink" Target="https://doi.org/10.1038/d41586-026-02688-x" TargetMode="External"/><Relationship Id="rId504" Type="http://schemas.openxmlformats.org/officeDocument/2006/relationships/hyperlink" Target="https://www.nature.com/articles/s41563-026-02733-0" TargetMode="External"/><Relationship Id="rId505" Type="http://schemas.openxmlformats.org/officeDocument/2006/relationships/hyperlink" Target="https://doi.org/10.1038/s41563-026-02733-0" TargetMode="External"/><Relationship Id="rId506" Type="http://schemas.openxmlformats.org/officeDocument/2006/relationships/hyperlink" Target="https://www.nature.com/articles/s41557-026-02227-1" TargetMode="External"/><Relationship Id="rId507" Type="http://schemas.openxmlformats.org/officeDocument/2006/relationships/hyperlink" Target="https://doi.org/10.1038/s41557-026-02227-1" TargetMode="External"/><Relationship Id="rId508" Type="http://schemas.openxmlformats.org/officeDocument/2006/relationships/hyperlink" Target="https://www.sciencedirect.com/science/article/pii/S0306261926013899?dgcid=rss_sd_all" TargetMode="External"/><Relationship Id="rId509" Type="http://schemas.openxmlformats.org/officeDocument/2006/relationships/hyperlink" Target="https://doi.org/10.1016/j.apenergy.2026.128733" TargetMode="External"/><Relationship Id="rId510" Type="http://schemas.openxmlformats.org/officeDocument/2006/relationships/hyperlink" Target="https://www.sciencedirect.com/science/article/pii/S0301421526004829?dgcid=rss_sd_all" TargetMode="External"/><Relationship Id="rId511" Type="http://schemas.openxmlformats.org/officeDocument/2006/relationships/hyperlink" Target="https://www.sciencedirect.com/science/article/pii/S0306261926013486?dgcid=rss_sd_all" TargetMode="External"/><Relationship Id="rId512" Type="http://schemas.openxmlformats.org/officeDocument/2006/relationships/hyperlink" Target="https://doi.org/10.1016/j.apenergy.2026.128692" TargetMode="External"/><Relationship Id="rId513" Type="http://schemas.openxmlformats.org/officeDocument/2006/relationships/hyperlink" Target="https://www.sciencedirect.com/science/article/pii/S0306261926014029?dgcid=rss_sd_all" TargetMode="External"/><Relationship Id="rId514" Type="http://schemas.openxmlformats.org/officeDocument/2006/relationships/hyperlink" Target="https://doi.org/10.1016/j.apenergy.2026.128746" TargetMode="External"/><Relationship Id="rId515" Type="http://schemas.openxmlformats.org/officeDocument/2006/relationships/hyperlink" Target="https://www.sciencedirect.com/science/article/pii/S0306261926013619?dgcid=rss_sd_all" TargetMode="External"/><Relationship Id="rId516" Type="http://schemas.openxmlformats.org/officeDocument/2006/relationships/hyperlink" Target="https://doi.org/10.1016/j.apenergy.2026.128705" TargetMode="External"/><Relationship Id="rId517" Type="http://schemas.openxmlformats.org/officeDocument/2006/relationships/hyperlink" Target="https://www.sciencedirect.com/science/article/pii/S0306261926013528?dgcid=rss_sd_all" TargetMode="External"/><Relationship Id="rId518" Type="http://schemas.openxmlformats.org/officeDocument/2006/relationships/hyperlink" Target="https://doi.org/10.1016/j.apenergy.2026.128696" TargetMode="External"/><Relationship Id="rId519" Type="http://schemas.openxmlformats.org/officeDocument/2006/relationships/hyperlink" Target="https://www.sciencedirect.com/science/article/pii/S0306261926013498?dgcid=rss_sd_all" TargetMode="External"/><Relationship Id="rId520" Type="http://schemas.openxmlformats.org/officeDocument/2006/relationships/hyperlink" Target="https://doi.org/10.1016/j.apenergy.2026.128693" TargetMode="External"/><Relationship Id="rId521" Type="http://schemas.openxmlformats.org/officeDocument/2006/relationships/hyperlink" Target="https://www.sciencedirect.com/science/article/pii/S030626192601175X?dgcid=rss_sd_all" TargetMode="External"/><Relationship Id="rId522" Type="http://schemas.openxmlformats.org/officeDocument/2006/relationships/hyperlink" Target="https://www.sciencedirect.com/science/article/pii/S0301421526005148?dgcid=rss_sd_all" TargetMode="External"/><Relationship Id="rId523" Type="http://schemas.openxmlformats.org/officeDocument/2006/relationships/hyperlink" Target="https://doi.org/10.1016/j.enpol.2026.115580" TargetMode="External"/><Relationship Id="rId524" Type="http://schemas.openxmlformats.org/officeDocument/2006/relationships/hyperlink" Target="https://www.sciencedirect.com/science/article/pii/S0301421526004830?dgcid=rss_sd_all" TargetMode="External"/><Relationship Id="rId525" Type="http://schemas.openxmlformats.org/officeDocument/2006/relationships/hyperlink" Target="https://doi.org/10.1016/j.enpol.2026.115549" TargetMode="External"/><Relationship Id="rId526" Type="http://schemas.openxmlformats.org/officeDocument/2006/relationships/hyperlink" Target="https://www.sciencedirect.com/science/article/pii/S0301421526004817?dgcid=rss_sd_all" TargetMode="External"/><Relationship Id="rId527" Type="http://schemas.openxmlformats.org/officeDocument/2006/relationships/hyperlink" Target="https://doi.org/10.1016/j.enpol.2026.115547" TargetMode="External"/><Relationship Id="rId528" Type="http://schemas.openxmlformats.org/officeDocument/2006/relationships/hyperlink" Target="https://www.sciencedirect.com/science/article/pii/S0301421526004350?dgcid=rss_sd_all" TargetMode="External"/><Relationship Id="rId529" Type="http://schemas.openxmlformats.org/officeDocument/2006/relationships/hyperlink" Target="https://doi.org/10.1016/j.enpol.2026.115501" TargetMode="External"/><Relationship Id="rId530" Type="http://schemas.openxmlformats.org/officeDocument/2006/relationships/hyperlink" Target="https://www.sciencedirect.com/science/article/pii/S0301421526004787?dgcid=rss_sd_all" TargetMode="External"/><Relationship Id="rId531" Type="http://schemas.openxmlformats.org/officeDocument/2006/relationships/hyperlink" Target="https://doi.org/10.1016/j.enpol.2026.115544" TargetMode="External"/><Relationship Id="rId532" Type="http://schemas.openxmlformats.org/officeDocument/2006/relationships/hyperlink" Target="https://www.nature.com/articles/s41563-026-02723-2" TargetMode="External"/><Relationship Id="rId533" Type="http://schemas.openxmlformats.org/officeDocument/2006/relationships/hyperlink" Target="https://doi.org/10.1038/s41563-026-02723-2" TargetMode="External"/><Relationship Id="rId534" Type="http://schemas.openxmlformats.org/officeDocument/2006/relationships/hyperlink" Target="https://www.nature.com/articles/d41586-026-02725-9" TargetMode="External"/><Relationship Id="rId535" Type="http://schemas.openxmlformats.org/officeDocument/2006/relationships/hyperlink" Target="https://doi.org/10.1038/d41586-026-02725-9" TargetMode="External"/><Relationship Id="rId536" Type="http://schemas.openxmlformats.org/officeDocument/2006/relationships/hyperlink" Target="https://www.sciencedirect.com/science/article/pii/S0306261926013668?dgcid=rss_sd_all" TargetMode="External"/><Relationship Id="rId537" Type="http://schemas.openxmlformats.org/officeDocument/2006/relationships/hyperlink" Target="https://doi.org/10.1016/j.apenergy.2026.128710" TargetMode="External"/><Relationship Id="rId538" Type="http://schemas.openxmlformats.org/officeDocument/2006/relationships/hyperlink" Target="https://www.science.org/doi/abs/10.1126/sciadv.aeh4502?af=R" TargetMode="External"/><Relationship Id="rId539" Type="http://schemas.openxmlformats.org/officeDocument/2006/relationships/hyperlink" Target="https://doi.org/10.1126/sciadv.aeh4502" TargetMode="External"/><Relationship Id="rId540" Type="http://schemas.openxmlformats.org/officeDocument/2006/relationships/hyperlink" Target="https://www.science.org/doi/abs/10.1126/sciadv.aee6952?af=R" TargetMode="External"/><Relationship Id="rId541" Type="http://schemas.openxmlformats.org/officeDocument/2006/relationships/hyperlink" Target="https://doi.org/10.1126/sciadv.aee6952" TargetMode="External"/><Relationship Id="rId542" Type="http://schemas.openxmlformats.org/officeDocument/2006/relationships/hyperlink" Target="https://www.science.org/doi/abs/10.1126/sciadv.aef7411?af=R" TargetMode="External"/><Relationship Id="rId543" Type="http://schemas.openxmlformats.org/officeDocument/2006/relationships/hyperlink" Target="https://doi.org/10.1126/sciadv.aef7411" TargetMode="External"/><Relationship Id="rId544" Type="http://schemas.openxmlformats.org/officeDocument/2006/relationships/hyperlink" Target="https://www.science.org/doi/abs/10.1126/sciadv.aed8846?af=R" TargetMode="External"/><Relationship Id="rId545" Type="http://schemas.openxmlformats.org/officeDocument/2006/relationships/hyperlink" Target="https://doi.org/10.1126/sciadv.aed8846" TargetMode="External"/><Relationship Id="rId546" Type="http://schemas.openxmlformats.org/officeDocument/2006/relationships/hyperlink" Target="https://www.science.org/doi/abs/10.1126/sciadv.aec8647?af=R" TargetMode="External"/><Relationship Id="rId547" Type="http://schemas.openxmlformats.org/officeDocument/2006/relationships/hyperlink" Target="https://doi.org/10.1126/sciadv.aec8647" TargetMode="External"/><Relationship Id="rId548" Type="http://schemas.openxmlformats.org/officeDocument/2006/relationships/hyperlink" Target="https://www.science.org/doi/abs/10.1126/sciadv.aei1233?af=R" TargetMode="External"/><Relationship Id="rId549" Type="http://schemas.openxmlformats.org/officeDocument/2006/relationships/hyperlink" Target="https://doi.org/10.1126/sciadv.aei1233" TargetMode="External"/><Relationship Id="rId550" Type="http://schemas.openxmlformats.org/officeDocument/2006/relationships/hyperlink" Target="https://www.science.org/doi/abs/10.1126/sciadv.aej5359?af=R" TargetMode="External"/><Relationship Id="rId551" Type="http://schemas.openxmlformats.org/officeDocument/2006/relationships/hyperlink" Target="https://doi.org/10.1126/sciadv.aej5359" TargetMode="External"/><Relationship Id="rId552" Type="http://schemas.openxmlformats.org/officeDocument/2006/relationships/hyperlink" Target="https://www.science.org/doi/abs/10.1126/sciadv.aee5141?af=R" TargetMode="External"/><Relationship Id="rId553" Type="http://schemas.openxmlformats.org/officeDocument/2006/relationships/hyperlink" Target="https://doi.org/10.1126/sciadv.aee5141" TargetMode="External"/><Relationship Id="rId554" Type="http://schemas.openxmlformats.org/officeDocument/2006/relationships/hyperlink" Target="https://www.science.org/doi/abs/10.1126/sciadv.aec7056?af=R" TargetMode="External"/><Relationship Id="rId555" Type="http://schemas.openxmlformats.org/officeDocument/2006/relationships/hyperlink" Target="https://doi.org/10.1126/sciadv.aec7056" TargetMode="External"/><Relationship Id="rId556" Type="http://schemas.openxmlformats.org/officeDocument/2006/relationships/hyperlink" Target="https://www.science.org/doi/abs/10.1126/sciadv.aed7601?af=R" TargetMode="External"/><Relationship Id="rId557" Type="http://schemas.openxmlformats.org/officeDocument/2006/relationships/hyperlink" Target="https://doi.org/10.1126/sciadv.aed7601" TargetMode="External"/><Relationship Id="rId558" Type="http://schemas.openxmlformats.org/officeDocument/2006/relationships/hyperlink" Target="https://www.science.org/doi/abs/10.1126/sciadv.aeb6556?af=R" TargetMode="External"/><Relationship Id="rId559" Type="http://schemas.openxmlformats.org/officeDocument/2006/relationships/hyperlink" Target="https://doi.org/10.1126/sciadv.aeb6556" TargetMode="External"/><Relationship Id="rId560" Type="http://schemas.openxmlformats.org/officeDocument/2006/relationships/hyperlink" Target="https://www.science.org/doi/abs/10.1126/sciadv.aec9535?af=R" TargetMode="External"/><Relationship Id="rId561" Type="http://schemas.openxmlformats.org/officeDocument/2006/relationships/hyperlink" Target="https://doi.org/10.1126/sciadv.aec9535" TargetMode="External"/><Relationship Id="rId562" Type="http://schemas.openxmlformats.org/officeDocument/2006/relationships/hyperlink" Target="https://www.science.org/doi/abs/10.1126/sciadv.adx7511?af=R" TargetMode="External"/><Relationship Id="rId563" Type="http://schemas.openxmlformats.org/officeDocument/2006/relationships/hyperlink" Target="https://doi.org/10.1126/sciadv.adx7511" TargetMode="External"/><Relationship Id="rId564" Type="http://schemas.openxmlformats.org/officeDocument/2006/relationships/hyperlink" Target="https://www.science.org/doi/abs/10.1126/sciadv.adz6220?af=R" TargetMode="External"/><Relationship Id="rId565" Type="http://schemas.openxmlformats.org/officeDocument/2006/relationships/hyperlink" Target="https://doi.org/10.1126/sciadv.adz6220" TargetMode="External"/><Relationship Id="rId566" Type="http://schemas.openxmlformats.org/officeDocument/2006/relationships/hyperlink" Target="https://www.science.org/doi/abs/10.1126/sciadv.aea7202?af=R" TargetMode="External"/><Relationship Id="rId567" Type="http://schemas.openxmlformats.org/officeDocument/2006/relationships/hyperlink" Target="https://doi.org/10.1126/sciadv.aea7202" TargetMode="External"/><Relationship Id="rId568" Type="http://schemas.openxmlformats.org/officeDocument/2006/relationships/hyperlink" Target="https://www.science.org/doi/abs/10.1126/sciadv.aea7513?af=R" TargetMode="External"/><Relationship Id="rId569" Type="http://schemas.openxmlformats.org/officeDocument/2006/relationships/hyperlink" Target="https://doi.org/10.1126/sciadv.aea7513" TargetMode="External"/><Relationship Id="rId570" Type="http://schemas.openxmlformats.org/officeDocument/2006/relationships/hyperlink" Target="https://www.science.org/doi/abs/10.1126/sciadv.aeb8946?af=R" TargetMode="External"/><Relationship Id="rId571" Type="http://schemas.openxmlformats.org/officeDocument/2006/relationships/hyperlink" Target="https://doi.org/10.1126/sciadv.aeb8946" TargetMode="External"/><Relationship Id="rId572" Type="http://schemas.openxmlformats.org/officeDocument/2006/relationships/hyperlink" Target="https://www.science.org/doi/abs/10.1126/sciadv.aec0481?af=R" TargetMode="External"/><Relationship Id="rId573" Type="http://schemas.openxmlformats.org/officeDocument/2006/relationships/hyperlink" Target="https://doi.org/10.1126/sciadv.aec0481" TargetMode="External"/><Relationship Id="rId574" Type="http://schemas.openxmlformats.org/officeDocument/2006/relationships/hyperlink" Target="https://www.science.org/doi/abs/10.1126/sciadv.aec4519?af=R" TargetMode="External"/><Relationship Id="rId575" Type="http://schemas.openxmlformats.org/officeDocument/2006/relationships/hyperlink" Target="https://doi.org/10.1126/sciadv.aec4519" TargetMode="External"/><Relationship Id="rId576" Type="http://schemas.openxmlformats.org/officeDocument/2006/relationships/hyperlink" Target="https://www.science.org/doi/abs/10.1126/sciadv.aei1628?af=R" TargetMode="External"/><Relationship Id="rId577" Type="http://schemas.openxmlformats.org/officeDocument/2006/relationships/hyperlink" Target="https://doi.org/10.1126/sciadv.aei1628" TargetMode="External"/><Relationship Id="rId578" Type="http://schemas.openxmlformats.org/officeDocument/2006/relationships/hyperlink" Target="https://www.science.org/doi/abs/10.1126/sciadv.aec8271?af=R" TargetMode="External"/><Relationship Id="rId579" Type="http://schemas.openxmlformats.org/officeDocument/2006/relationships/hyperlink" Target="https://doi.org/10.1126/sciadv.aec8271" TargetMode="External"/><Relationship Id="rId580" Type="http://schemas.openxmlformats.org/officeDocument/2006/relationships/hyperlink" Target="https://www.science.org/doi/abs/10.1126/sciadv.aec0108?af=R" TargetMode="External"/><Relationship Id="rId581" Type="http://schemas.openxmlformats.org/officeDocument/2006/relationships/hyperlink" Target="https://doi.org/10.1126/sciadv.aec0108" TargetMode="External"/><Relationship Id="rId582" Type="http://schemas.openxmlformats.org/officeDocument/2006/relationships/hyperlink" Target="https://www.science.org/doi/abs/10.1126/sciadv.aeg3966?af=R" TargetMode="External"/><Relationship Id="rId583" Type="http://schemas.openxmlformats.org/officeDocument/2006/relationships/hyperlink" Target="https://doi.org/10.1126/sciadv.aeg3966" TargetMode="External"/><Relationship Id="rId584" Type="http://schemas.openxmlformats.org/officeDocument/2006/relationships/hyperlink" Target="https://www.science.org/doi/abs/10.1126/sciadv.aeg0134?af=R" TargetMode="External"/><Relationship Id="rId585" Type="http://schemas.openxmlformats.org/officeDocument/2006/relationships/hyperlink" Target="https://doi.org/10.1126/sciadv.aeg0134" TargetMode="External"/><Relationship Id="rId586" Type="http://schemas.openxmlformats.org/officeDocument/2006/relationships/hyperlink" Target="https://www.science.org/doi/abs/10.1126/sciadv.aeh7220?af=R" TargetMode="External"/><Relationship Id="rId587" Type="http://schemas.openxmlformats.org/officeDocument/2006/relationships/hyperlink" Target="https://doi.org/10.1126/sciadv.aeh7220" TargetMode="External"/><Relationship Id="rId588" Type="http://schemas.openxmlformats.org/officeDocument/2006/relationships/hyperlink" Target="https://www.science.org/doi/abs/10.1126/sciadv.adw3811?af=R" TargetMode="External"/><Relationship Id="rId589" Type="http://schemas.openxmlformats.org/officeDocument/2006/relationships/hyperlink" Target="https://doi.org/10.1126/sciadv.adw3811" TargetMode="External"/><Relationship Id="rId590" Type="http://schemas.openxmlformats.org/officeDocument/2006/relationships/hyperlink" Target="https://www.science.org/doi/abs/10.1126/sciadv.aeh4562?af=R" TargetMode="External"/><Relationship Id="rId591" Type="http://schemas.openxmlformats.org/officeDocument/2006/relationships/hyperlink" Target="https://doi.org/10.1126/sciadv.aeh4562" TargetMode="External"/><Relationship Id="rId592" Type="http://schemas.openxmlformats.org/officeDocument/2006/relationships/hyperlink" Target="https://www.science.org/doi/abs/10.1126/sciadv.aef9186?af=R" TargetMode="External"/><Relationship Id="rId593" Type="http://schemas.openxmlformats.org/officeDocument/2006/relationships/hyperlink" Target="https://doi.org/10.1126/sciadv.aef9186" TargetMode="External"/><Relationship Id="rId594" Type="http://schemas.openxmlformats.org/officeDocument/2006/relationships/hyperlink" Target="https://www.science.org/doi/abs/10.1126/sciadv.aef7536?af=R" TargetMode="External"/><Relationship Id="rId595" Type="http://schemas.openxmlformats.org/officeDocument/2006/relationships/hyperlink" Target="https://doi.org/10.1126/sciadv.aef7536" TargetMode="External"/><Relationship Id="rId596" Type="http://schemas.openxmlformats.org/officeDocument/2006/relationships/hyperlink" Target="https://www.science.org/doi/abs/10.1126/sciadv.aef7706?af=R" TargetMode="External"/><Relationship Id="rId597" Type="http://schemas.openxmlformats.org/officeDocument/2006/relationships/hyperlink" Target="https://doi.org/10.1126/sciadv.aef7706" TargetMode="External"/><Relationship Id="rId598" Type="http://schemas.openxmlformats.org/officeDocument/2006/relationships/hyperlink" Target="https://www.science.org/doi/abs/10.1126/sciadv.aef6792?af=R" TargetMode="External"/><Relationship Id="rId599" Type="http://schemas.openxmlformats.org/officeDocument/2006/relationships/hyperlink" Target="https://doi.org/10.1126/sciadv.aef6792" TargetMode="External"/><Relationship Id="rId600" Type="http://schemas.openxmlformats.org/officeDocument/2006/relationships/hyperlink" Target="https://www.science.org/doi/abs/10.1126/sciadv.aef2430?af=R" TargetMode="External"/><Relationship Id="rId601" Type="http://schemas.openxmlformats.org/officeDocument/2006/relationships/hyperlink" Target="https://doi.org/10.1126/sciadv.aef2430" TargetMode="External"/><Relationship Id="rId602" Type="http://schemas.openxmlformats.org/officeDocument/2006/relationships/hyperlink" Target="https://www.pnas.org/doi/abs/10.1073/pnas.2626545123?mi=eymic2&amp;af=R&amp;access=on&amp;content=articlesChapters&amp;publication=pnas&amp;sortBy=Earliest&amp;target=default" TargetMode="External"/><Relationship Id="rId603" Type="http://schemas.openxmlformats.org/officeDocument/2006/relationships/hyperlink" Target="https://doi.org/10.1073/pnas.2626545123" TargetMode="External"/><Relationship Id="rId604" Type="http://schemas.openxmlformats.org/officeDocument/2006/relationships/hyperlink" Target="https://www.pnas.org/doi/abs/10.1073/pnas.2613108123?mi=eymic2&amp;af=R&amp;access=on&amp;content=articlesChapters&amp;publication=pnas&amp;sortBy=Earliest&amp;target=default" TargetMode="External"/><Relationship Id="rId605" Type="http://schemas.openxmlformats.org/officeDocument/2006/relationships/hyperlink" Target="https://doi.org/10.1073/pnas.2613108123" TargetMode="External"/><Relationship Id="rId606" Type="http://schemas.openxmlformats.org/officeDocument/2006/relationships/hyperlink" Target="https://www.pnas.org/doi/abs/10.1073/pnas.2611490123?mi=eymic2&amp;af=R&amp;access=on&amp;content=articlesChapters&amp;publication=pnas&amp;sortBy=Earliest&amp;target=default" TargetMode="External"/><Relationship Id="rId607" Type="http://schemas.openxmlformats.org/officeDocument/2006/relationships/hyperlink" Target="https://doi.org/10.1073/pnas.2611490123" TargetMode="External"/><Relationship Id="rId608" Type="http://schemas.openxmlformats.org/officeDocument/2006/relationships/hyperlink" Target="https://www.pnas.org/doi/abs/10.1073/pnas.2610728123?mi=eymic2&amp;af=R&amp;access=on&amp;content=articlesChapters&amp;publication=pnas&amp;sortBy=Earliest&amp;target=default" TargetMode="External"/><Relationship Id="rId609" Type="http://schemas.openxmlformats.org/officeDocument/2006/relationships/hyperlink" Target="https://doi.org/10.1073/pnas.2610728123" TargetMode="External"/><Relationship Id="rId610" Type="http://schemas.openxmlformats.org/officeDocument/2006/relationships/hyperlink" Target="https://www.pnas.org/doi/abs/10.1073/pnas.2605279123?mi=eymic2&amp;af=R&amp;access=on&amp;content=articlesChapters&amp;publication=pnas&amp;sortBy=Earliest&amp;target=default" TargetMode="External"/><Relationship Id="rId611" Type="http://schemas.openxmlformats.org/officeDocument/2006/relationships/hyperlink" Target="https://doi.org/10.1073/pnas.2605279123" TargetMode="External"/><Relationship Id="rId612" Type="http://schemas.openxmlformats.org/officeDocument/2006/relationships/hyperlink" Target="https://www.science.org/doi/abs/10.1126/sciadv.aef8468?af=R" TargetMode="External"/><Relationship Id="rId613" Type="http://schemas.openxmlformats.org/officeDocument/2006/relationships/hyperlink" Target="https://doi.org/10.1126/sciadv.aef8468" TargetMode="External"/><Relationship Id="rId614" Type="http://schemas.openxmlformats.org/officeDocument/2006/relationships/hyperlink" Target="https://www.pnas.org/doi/abs/10.1073/pnas.2535933123?mi=eymic2&amp;af=R&amp;access=on&amp;content=articlesChapters&amp;publication=pnas&amp;sortBy=Earliest&amp;target=default" TargetMode="External"/><Relationship Id="rId615" Type="http://schemas.openxmlformats.org/officeDocument/2006/relationships/hyperlink" Target="https://doi.org/10.1073/pnas.2535933123" TargetMode="External"/><Relationship Id="rId616" Type="http://schemas.openxmlformats.org/officeDocument/2006/relationships/hyperlink" Target="https://www.pnas.org/doi/abs/10.1073/pnas.2530627123?mi=eymic2&amp;af=R&amp;access=on&amp;content=articlesChapters&amp;publication=pnas&amp;sortBy=Earliest&amp;target=default" TargetMode="External"/><Relationship Id="rId617" Type="http://schemas.openxmlformats.org/officeDocument/2006/relationships/hyperlink" Target="https://doi.org/10.1073/pnas.2530627123" TargetMode="External"/><Relationship Id="rId618" Type="http://schemas.openxmlformats.org/officeDocument/2006/relationships/hyperlink" Target="https://www.pnas.org/doi/abs/10.1073/pnas.2525536123?mi=eymic2&amp;af=R&amp;access=on&amp;content=articlesChapters&amp;publication=pnas&amp;sortBy=Earliest&amp;target=default" TargetMode="External"/><Relationship Id="rId619" Type="http://schemas.openxmlformats.org/officeDocument/2006/relationships/hyperlink" Target="https://doi.org/10.1073/pnas.2525536123" TargetMode="External"/><Relationship Id="rId620" Type="http://schemas.openxmlformats.org/officeDocument/2006/relationships/hyperlink" Target="https://www.science.org/doi/abs/10.1126/sciadv.aef0286?af=R" TargetMode="External"/><Relationship Id="rId621" Type="http://schemas.openxmlformats.org/officeDocument/2006/relationships/hyperlink" Target="https://doi.org/10.1126/sciadv.aef0286" TargetMode="External"/><Relationship Id="rId622" Type="http://schemas.openxmlformats.org/officeDocument/2006/relationships/hyperlink" Target="https://www.science.org/doi/abs/10.1126/sciadv.aee6780?af=R" TargetMode="External"/><Relationship Id="rId623" Type="http://schemas.openxmlformats.org/officeDocument/2006/relationships/hyperlink" Target="https://doi.org/10.1126/sciadv.aee6780" TargetMode="External"/><Relationship Id="rId624" Type="http://schemas.openxmlformats.org/officeDocument/2006/relationships/hyperlink" Target="https://www.science.org/doi/abs/10.1126/sciadv.aee6195?af=R" TargetMode="External"/><Relationship Id="rId625" Type="http://schemas.openxmlformats.org/officeDocument/2006/relationships/hyperlink" Target="https://doi.org/10.1126/sciadv.aee6195" TargetMode="External"/><Relationship Id="rId626" Type="http://schemas.openxmlformats.org/officeDocument/2006/relationships/hyperlink" Target="https://www.science.org/doi/abs/10.1126/sciadv.aef6082?af=R" TargetMode="External"/><Relationship Id="rId627" Type="http://schemas.openxmlformats.org/officeDocument/2006/relationships/hyperlink" Target="https://doi.org/10.1126/sciadv.aef6082" TargetMode="External"/><Relationship Id="rId628" Type="http://schemas.openxmlformats.org/officeDocument/2006/relationships/hyperlink" Target="https://www.science.org/doi/abs/10.1126/sciadv.aed4172?af=R" TargetMode="External"/><Relationship Id="rId629" Type="http://schemas.openxmlformats.org/officeDocument/2006/relationships/hyperlink" Target="https://doi.org/10.1126/sciadv.aed4172" TargetMode="External"/><Relationship Id="rId630" Type="http://schemas.openxmlformats.org/officeDocument/2006/relationships/hyperlink" Target="https://www.science.org/doi/abs/10.1126/sciadv.aea2388?af=R" TargetMode="External"/><Relationship Id="rId631" Type="http://schemas.openxmlformats.org/officeDocument/2006/relationships/hyperlink" Target="https://doi.org/10.1126/sciadv.aea2388" TargetMode="External"/><Relationship Id="rId632" Type="http://schemas.openxmlformats.org/officeDocument/2006/relationships/hyperlink" Target="https://www.science.org/doi/abs/10.1126/sciadv.aee4940?af=R" TargetMode="External"/><Relationship Id="rId633" Type="http://schemas.openxmlformats.org/officeDocument/2006/relationships/hyperlink" Target="https://doi.org/10.1126/sciadv.aee4940" TargetMode="External"/><Relationship Id="rId634" Type="http://schemas.openxmlformats.org/officeDocument/2006/relationships/hyperlink" Target="https://www.science.org/doi/abs/10.1126/sciadv.aef2406?af=R" TargetMode="External"/><Relationship Id="rId635" Type="http://schemas.openxmlformats.org/officeDocument/2006/relationships/hyperlink" Target="https://doi.org/10.1126/sciadv.aef2406" TargetMode="External"/><Relationship Id="rId636" Type="http://schemas.openxmlformats.org/officeDocument/2006/relationships/hyperlink" Target="https://www.science.org/doi/abs/10.1126/sciadv.aeg5986?af=R" TargetMode="External"/><Relationship Id="rId637" Type="http://schemas.openxmlformats.org/officeDocument/2006/relationships/hyperlink" Target="https://doi.org/10.1126/sciadv.aeg5986" TargetMode="External"/><Relationship Id="rId638" Type="http://schemas.openxmlformats.org/officeDocument/2006/relationships/hyperlink" Target="https://www.pnas.org/doi/abs/10.1073/pnas.2535288123?mi=eymic2&amp;af=R&amp;access=on&amp;content=articlesChapters&amp;publication=pnas&amp;sortBy=Earliest&amp;target=default" TargetMode="External"/><Relationship Id="rId639" Type="http://schemas.openxmlformats.org/officeDocument/2006/relationships/hyperlink" Target="https://doi.org/10.1073/pnas.2535288123" TargetMode="External"/><Relationship Id="rId640" Type="http://schemas.openxmlformats.org/officeDocument/2006/relationships/hyperlink" Target="https://www.science.org/doi/abs/10.1126/sciadv.aef4315?af=R" TargetMode="External"/><Relationship Id="rId641" Type="http://schemas.openxmlformats.org/officeDocument/2006/relationships/hyperlink" Target="https://doi.org/10.1126/sciadv.aef4315" TargetMode="External"/><Relationship Id="rId642" Type="http://schemas.openxmlformats.org/officeDocument/2006/relationships/hyperlink" Target="http://link.aps.org/doi/10.1103/xvpn-w3q9" TargetMode="External"/><Relationship Id="rId643" Type="http://schemas.openxmlformats.org/officeDocument/2006/relationships/hyperlink" Target="https://doi.org/10.1103/xvpn-w3q9" TargetMode="External"/><Relationship Id="rId644" Type="http://schemas.openxmlformats.org/officeDocument/2006/relationships/hyperlink" Target="http://link.aps.org/doi/10.1103/yb26-gj61" TargetMode="External"/><Relationship Id="rId645" Type="http://schemas.openxmlformats.org/officeDocument/2006/relationships/hyperlink" Target="https://doi.org/10.1103/yb26-gj61" TargetMode="External"/><Relationship Id="rId646" Type="http://schemas.openxmlformats.org/officeDocument/2006/relationships/hyperlink" Target="http://link.aps.org/doi/10.1103/xp4n-hlr5" TargetMode="External"/><Relationship Id="rId647" Type="http://schemas.openxmlformats.org/officeDocument/2006/relationships/hyperlink" Target="https://doi.org/10.1103/xp4n-hlr5" TargetMode="External"/><Relationship Id="rId648" Type="http://schemas.openxmlformats.org/officeDocument/2006/relationships/hyperlink" Target="http://link.aps.org/doi/10.1103/d8nv-mttg" TargetMode="External"/><Relationship Id="rId649" Type="http://schemas.openxmlformats.org/officeDocument/2006/relationships/hyperlink" Target="https://doi.org/10.1103/d8nv-mttg" TargetMode="External"/><Relationship Id="rId650" Type="http://schemas.openxmlformats.org/officeDocument/2006/relationships/hyperlink" Target="http://link.aps.org/doi/10.1103/gvzq-n573" TargetMode="External"/><Relationship Id="rId651" Type="http://schemas.openxmlformats.org/officeDocument/2006/relationships/hyperlink" Target="https://doi.org/10.1103/gvzq-n573" TargetMode="External"/><Relationship Id="rId652" Type="http://schemas.openxmlformats.org/officeDocument/2006/relationships/hyperlink" Target="http://link.aps.org/doi/10.1103/jvqf-njpj" TargetMode="External"/><Relationship Id="rId653" Type="http://schemas.openxmlformats.org/officeDocument/2006/relationships/hyperlink" Target="https://doi.org/10.1103/jvqf-njpj" TargetMode="External"/><Relationship Id="rId654" Type="http://schemas.openxmlformats.org/officeDocument/2006/relationships/hyperlink" Target="http://link.aps.org/doi/10.1103/6qrr-3646" TargetMode="External"/><Relationship Id="rId655" Type="http://schemas.openxmlformats.org/officeDocument/2006/relationships/hyperlink" Target="https://doi.org/10.1103/6qrr-3646" TargetMode="External"/><Relationship Id="rId656" Type="http://schemas.openxmlformats.org/officeDocument/2006/relationships/hyperlink" Target="http://link.aps.org/doi/10.1103/7bc2-6cgy" TargetMode="External"/><Relationship Id="rId657" Type="http://schemas.openxmlformats.org/officeDocument/2006/relationships/hyperlink" Target="https://doi.org/10.1103/7bc2-6cgy" TargetMode="External"/><Relationship Id="rId658" Type="http://schemas.openxmlformats.org/officeDocument/2006/relationships/hyperlink" Target="http://link.aps.org/doi/10.1103/wylv-cc97" TargetMode="External"/><Relationship Id="rId659" Type="http://schemas.openxmlformats.org/officeDocument/2006/relationships/hyperlink" Target="https://doi.org/10.1103/wylv-cc97" TargetMode="External"/><Relationship Id="rId660" Type="http://schemas.openxmlformats.org/officeDocument/2006/relationships/hyperlink" Target="http://link.aps.org/doi/10.1103/py7g-jz2x" TargetMode="External"/><Relationship Id="rId661" Type="http://schemas.openxmlformats.org/officeDocument/2006/relationships/hyperlink" Target="https://doi.org/10.1103/py7g-jz2x" TargetMode="External"/><Relationship Id="rId662" Type="http://schemas.openxmlformats.org/officeDocument/2006/relationships/hyperlink" Target="http://link.aps.org/doi/10.1103/w9tp-3bbq" TargetMode="External"/><Relationship Id="rId663" Type="http://schemas.openxmlformats.org/officeDocument/2006/relationships/hyperlink" Target="https://doi.org/10.1103/w9tp-3bbq" TargetMode="External"/><Relationship Id="rId664" Type="http://schemas.openxmlformats.org/officeDocument/2006/relationships/hyperlink" Target="http://link.aps.org/doi/10.1103/qcg4-y7br" TargetMode="External"/><Relationship Id="rId665" Type="http://schemas.openxmlformats.org/officeDocument/2006/relationships/hyperlink" Target="https://doi.org/10.1103/qcg4-y7br" TargetMode="External"/><Relationship Id="rId666" Type="http://schemas.openxmlformats.org/officeDocument/2006/relationships/hyperlink" Target="http://link.aps.org/doi/10.1103/mdr9-tzws" TargetMode="External"/><Relationship Id="rId667" Type="http://schemas.openxmlformats.org/officeDocument/2006/relationships/hyperlink" Target="https://doi.org/10.1103/mdr9-tzws" TargetMode="External"/><Relationship Id="rId668" Type="http://schemas.openxmlformats.org/officeDocument/2006/relationships/hyperlink" Target="http://link.aps.org/doi/10.1103/mzgp-2lzb" TargetMode="External"/><Relationship Id="rId669" Type="http://schemas.openxmlformats.org/officeDocument/2006/relationships/hyperlink" Target="https://doi.org/10.1103/mzgp-2lzb" TargetMode="External"/><Relationship Id="rId670" Type="http://schemas.openxmlformats.org/officeDocument/2006/relationships/hyperlink" Target="https://advanced.onlinelibrary.wiley.com/doi/10.1002/adma.202523677?af=R" TargetMode="External"/><Relationship Id="rId671" Type="http://schemas.openxmlformats.org/officeDocument/2006/relationships/hyperlink" Target="https://doi.org/10.1002/adma.202523677" TargetMode="External"/><Relationship Id="rId672" Type="http://schemas.openxmlformats.org/officeDocument/2006/relationships/hyperlink" Target="https://advanced.onlinelibrary.wiley.com/doi/10.1002/adma.74730?af=R" TargetMode="External"/><Relationship Id="rId673" Type="http://schemas.openxmlformats.org/officeDocument/2006/relationships/hyperlink" Target="https://doi.org/10.1002/adma.74730" TargetMode="External"/><Relationship Id="rId674" Type="http://schemas.openxmlformats.org/officeDocument/2006/relationships/hyperlink" Target="https://advanced.onlinelibrary.wiley.com/doi/10.1002/adma.74547?af=R" TargetMode="External"/><Relationship Id="rId675" Type="http://schemas.openxmlformats.org/officeDocument/2006/relationships/hyperlink" Target="https://doi.org/10.1002/adma.74547" TargetMode="External"/><Relationship Id="rId676" Type="http://schemas.openxmlformats.org/officeDocument/2006/relationships/hyperlink" Target="https://advanced.onlinelibrary.wiley.com/doi/10.1002/adma.74841?af=R" TargetMode="External"/><Relationship Id="rId677" Type="http://schemas.openxmlformats.org/officeDocument/2006/relationships/hyperlink" Target="https://doi.org/10.1002/adma.74841" TargetMode="External"/><Relationship Id="rId678" Type="http://schemas.openxmlformats.org/officeDocument/2006/relationships/hyperlink" Target="https://onlinelibrary.wiley.com/doi/10.1002/anie.6031066?af=R" TargetMode="External"/><Relationship Id="rId679" Type="http://schemas.openxmlformats.org/officeDocument/2006/relationships/hyperlink" Target="https://doi.org/10.1002/anie.6031066" TargetMode="External"/><Relationship Id="rId680" Type="http://schemas.openxmlformats.org/officeDocument/2006/relationships/hyperlink" Target="https://onlinelibrary.wiley.com/doi/10.1002/anie.4386683?af=R" TargetMode="External"/><Relationship Id="rId681" Type="http://schemas.openxmlformats.org/officeDocument/2006/relationships/hyperlink" Target="https://doi.org/10.1002/anie.4386683" TargetMode="External"/><Relationship Id="rId682" Type="http://schemas.openxmlformats.org/officeDocument/2006/relationships/hyperlink" Target="https://www.nature.com/articles/s41467-026-76436-0" TargetMode="External"/><Relationship Id="rId683" Type="http://schemas.openxmlformats.org/officeDocument/2006/relationships/hyperlink" Target="https://www.nature.com/articles/s41467-026-77295-5" TargetMode="External"/><Relationship Id="rId684" Type="http://schemas.openxmlformats.org/officeDocument/2006/relationships/hyperlink" Target="https://doi.org/10.1021/jacs.6c10313" TargetMode="External"/><Relationship Id="rId685" Type="http://schemas.openxmlformats.org/officeDocument/2006/relationships/hyperlink" Target="https://doi.org/10.1021/jacs.6c13896" TargetMode="External"/><Relationship Id="rId686" Type="http://schemas.openxmlformats.org/officeDocument/2006/relationships/hyperlink" Target="https://doi.org/10.1021/acsenergylett.6c02194" TargetMode="External"/><Relationship Id="rId687" Type="http://schemas.openxmlformats.org/officeDocument/2006/relationships/hyperlink" Target="https://www.nature.com/articles/s41467-026-77300-x" TargetMode="External"/><Relationship Id="rId688" Type="http://schemas.openxmlformats.org/officeDocument/2006/relationships/hyperlink" Target="https://doi.org/10.1021/jacs.6c13856" TargetMode="External"/><Relationship Id="rId689" Type="http://schemas.openxmlformats.org/officeDocument/2006/relationships/hyperlink" Target="https://www.nature.com/articles/s41467-026-77237-1" TargetMode="External"/><Relationship Id="rId690" Type="http://schemas.openxmlformats.org/officeDocument/2006/relationships/hyperlink" Target="https://www.nature.com/articles/s41467-026-77246-0" TargetMode="External"/><Relationship Id="rId691" Type="http://schemas.openxmlformats.org/officeDocument/2006/relationships/hyperlink" Target="https://academic.oup.com/nsr/advance-article/doi/10.1093/nsr/nwag516/8774603?rss=1" TargetMode="External"/><Relationship Id="rId692" Type="http://schemas.openxmlformats.org/officeDocument/2006/relationships/hyperlink" Target="https://doi.org/10.1093/nsr/nwag516" TargetMode="External"/><Relationship Id="rId693" Type="http://schemas.openxmlformats.org/officeDocument/2006/relationships/hyperlink" Target="https://academic.oup.com/nsr/advance-article/doi/10.1093/nsr/nwag561/8774596?rss=1" TargetMode="External"/><Relationship Id="rId694" Type="http://schemas.openxmlformats.org/officeDocument/2006/relationships/hyperlink" Target="https://doi.org/10.1093/nsr/nwag561" TargetMode="External"/><Relationship Id="rId695" Type="http://schemas.openxmlformats.org/officeDocument/2006/relationships/hyperlink" Target="https://academic.oup.com/nsr/advance-article/doi/10.1093/nsr/nwag554/8774590?rss=1" TargetMode="External"/><Relationship Id="rId696" Type="http://schemas.openxmlformats.org/officeDocument/2006/relationships/hyperlink" Target="https://doi.org/10.1093/nsr/nwag554" TargetMode="External"/><Relationship Id="rId697" Type="http://schemas.openxmlformats.org/officeDocument/2006/relationships/hyperlink" Target="https://www.sciencedirect.com/science/article/pii/S0301421526005045?dgcid=rss_sd_all" TargetMode="External"/><Relationship Id="rId698" Type="http://schemas.openxmlformats.org/officeDocument/2006/relationships/hyperlink" Target="https://doi.org/10.1016/j.enpol.2026.115570" TargetMode="External"/><Relationship Id="rId699" Type="http://schemas.openxmlformats.org/officeDocument/2006/relationships/hyperlink" Target="https://www.sciencedirect.com/science/article/pii/S0306261926012821?dgcid=rss_sd_all" TargetMode="External"/><Relationship Id="rId700" Type="http://schemas.openxmlformats.org/officeDocument/2006/relationships/hyperlink" Target="https://doi.org/10.1016/j.apenergy.2026.128626" TargetMode="External"/><Relationship Id="rId701" Type="http://schemas.openxmlformats.org/officeDocument/2006/relationships/hyperlink" Target="https://www.sciencedirect.com/science/article/pii/S0306261926013917?dgcid=rss_sd_all" TargetMode="External"/><Relationship Id="rId702" Type="http://schemas.openxmlformats.org/officeDocument/2006/relationships/hyperlink" Target="https://doi.org/10.1016/j.apenergy.2026.128735" TargetMode="External"/><Relationship Id="rId703" Type="http://schemas.openxmlformats.org/officeDocument/2006/relationships/hyperlink" Target="https://www.sciencedirect.com/science/article/pii/S0306261926013838?dgcid=rss_sd_all" TargetMode="External"/><Relationship Id="rId704" Type="http://schemas.openxmlformats.org/officeDocument/2006/relationships/hyperlink" Target="https://doi.org/10.1016/j.apenergy.2026.128727" TargetMode="External"/><Relationship Id="rId705" Type="http://schemas.openxmlformats.org/officeDocument/2006/relationships/hyperlink" Target="https://www.sciencedirect.com/science/article/pii/S030626192601370X?dgcid=rss_sd_all" TargetMode="External"/><Relationship Id="rId706" Type="http://schemas.openxmlformats.org/officeDocument/2006/relationships/hyperlink" Target="https://doi.org/10.1016/j.apenergy.2026.128714" TargetMode="External"/><Relationship Id="rId707" Type="http://schemas.openxmlformats.org/officeDocument/2006/relationships/hyperlink" Target="https://www.sciencedirect.com/science/article/pii/S0301421526004854?dgcid=rss_sd_all" TargetMode="External"/><Relationship Id="rId708" Type="http://schemas.openxmlformats.org/officeDocument/2006/relationships/hyperlink" Target="https://doi.org/10.1016/j.enpol.2026.115551" TargetMode="External"/><Relationship Id="rId709" Type="http://schemas.openxmlformats.org/officeDocument/2006/relationships/hyperlink" Target="https://www.sciencedirect.com/science/article/pii/S0306261926013681?dgcid=rss_sd_all" TargetMode="External"/><Relationship Id="rId710" Type="http://schemas.openxmlformats.org/officeDocument/2006/relationships/hyperlink" Target="https://doi.org/10.1016/j.apenergy.2026.128712" TargetMode="External"/><Relationship Id="rId711" Type="http://schemas.openxmlformats.org/officeDocument/2006/relationships/hyperlink" Target="https://www.sciencedirect.com/science/article/pii/S0306261926013796?dgcid=rss_sd_all" TargetMode="External"/><Relationship Id="rId712" Type="http://schemas.openxmlformats.org/officeDocument/2006/relationships/hyperlink" Target="https://doi.org/10.1016/j.apenergy.2026.128723" TargetMode="External"/><Relationship Id="rId713" Type="http://schemas.openxmlformats.org/officeDocument/2006/relationships/hyperlink" Target="https://www.sciencedirect.com/science/article/pii/S0306261926014091?dgcid=rss_sd_all" TargetMode="External"/><Relationship Id="rId714" Type="http://schemas.openxmlformats.org/officeDocument/2006/relationships/hyperlink" Target="https://doi.org/10.1016/j.apenergy.2026.128753" TargetMode="External"/><Relationship Id="rId715" Type="http://schemas.openxmlformats.org/officeDocument/2006/relationships/hyperlink" Target="https://www.sciencedirect.com/science/article/pii/S0306261926013590?dgcid=rss_sd_all" TargetMode="External"/><Relationship Id="rId716" Type="http://schemas.openxmlformats.org/officeDocument/2006/relationships/hyperlink" Target="https://doi.org/10.1016/j.apenergy.2026.128703" TargetMode="External"/><Relationship Id="rId717" Type="http://schemas.openxmlformats.org/officeDocument/2006/relationships/hyperlink" Target="https://academic.oup.com/nsr/advance-article/doi/10.1093/nsr/nwag555/8774597?rss=1" TargetMode="External"/><Relationship Id="rId718" Type="http://schemas.openxmlformats.org/officeDocument/2006/relationships/hyperlink" Target="https://doi.org/10.1093/nsr/nwag555" TargetMode="External"/><Relationship Id="rId719" Type="http://schemas.openxmlformats.org/officeDocument/2006/relationships/hyperlink" Target="https://academic.oup.com/nsr/advance-article/doi/10.1093/nsr/nwag549/8774606?rss=1" TargetMode="External"/><Relationship Id="rId720" Type="http://schemas.openxmlformats.org/officeDocument/2006/relationships/hyperlink" Target="https://doi.org/10.1093/nsr/nwag549" TargetMode="External"/><Relationship Id="rId721" Type="http://schemas.openxmlformats.org/officeDocument/2006/relationships/hyperlink" Target="https://advanced.onlinelibrary.wiley.com/doi/10.1002/adma.74818?af=R" TargetMode="External"/><Relationship Id="rId722" Type="http://schemas.openxmlformats.org/officeDocument/2006/relationships/hyperlink" Target="https://doi.org/10.1002/adma.74818" TargetMode="External"/><Relationship Id="rId723" Type="http://schemas.openxmlformats.org/officeDocument/2006/relationships/hyperlink" Target="https://advanced.onlinelibrary.wiley.com/doi/10.1002/adma.74568?af=R" TargetMode="External"/><Relationship Id="rId724" Type="http://schemas.openxmlformats.org/officeDocument/2006/relationships/hyperlink" Target="https://doi.org/10.1002/adma.74568" TargetMode="External"/><Relationship Id="rId725" Type="http://schemas.openxmlformats.org/officeDocument/2006/relationships/hyperlink" Target="https://advanced.onlinelibrary.wiley.com/doi/10.1002/adma.74807?af=R" TargetMode="External"/><Relationship Id="rId726" Type="http://schemas.openxmlformats.org/officeDocument/2006/relationships/hyperlink" Target="https://doi.org/10.1002/adma.74807" TargetMode="External"/><Relationship Id="rId727" Type="http://schemas.openxmlformats.org/officeDocument/2006/relationships/hyperlink" Target="https://advanced.onlinelibrary.wiley.com/doi/10.1002/adma.74345?af=R" TargetMode="External"/><Relationship Id="rId728" Type="http://schemas.openxmlformats.org/officeDocument/2006/relationships/hyperlink" Target="https://doi.org/10.1002/adma.74345" TargetMode="External"/><Relationship Id="rId729" Type="http://schemas.openxmlformats.org/officeDocument/2006/relationships/hyperlink" Target="https://advanced.onlinelibrary.wiley.com/doi/10.1002/adma.74728?af=R" TargetMode="External"/><Relationship Id="rId730" Type="http://schemas.openxmlformats.org/officeDocument/2006/relationships/hyperlink" Target="https://doi.org/10.1002/adma.74728" TargetMode="External"/><Relationship Id="rId731" Type="http://schemas.openxmlformats.org/officeDocument/2006/relationships/hyperlink" Target="https://advanced.onlinelibrary.wiley.com/doi/10.1002/adma.74856?af=R" TargetMode="External"/><Relationship Id="rId732" Type="http://schemas.openxmlformats.org/officeDocument/2006/relationships/hyperlink" Target="https://doi.org/10.1002/adma.74856" TargetMode="External"/><Relationship Id="rId733" Type="http://schemas.openxmlformats.org/officeDocument/2006/relationships/hyperlink" Target="https://advanced.onlinelibrary.wiley.com/doi/10.1002/adma.74834?af=R" TargetMode="External"/><Relationship Id="rId734" Type="http://schemas.openxmlformats.org/officeDocument/2006/relationships/hyperlink" Target="https://doi.org/10.1002/adma.74834" TargetMode="External"/><Relationship Id="rId735" Type="http://schemas.openxmlformats.org/officeDocument/2006/relationships/hyperlink" Target="https://advanced.onlinelibrary.wiley.com/doi/10.1002/adma.74822?af=R" TargetMode="External"/><Relationship Id="rId736" Type="http://schemas.openxmlformats.org/officeDocument/2006/relationships/hyperlink" Target="https://doi.org/10.1002/adma.74822" TargetMode="External"/><Relationship Id="rId737" Type="http://schemas.openxmlformats.org/officeDocument/2006/relationships/hyperlink" Target="https://advanced.onlinelibrary.wiley.com/doi/10.1002/adma.74821?af=R" TargetMode="External"/><Relationship Id="rId738" Type="http://schemas.openxmlformats.org/officeDocument/2006/relationships/hyperlink" Target="https://doi.org/10.1002/adma.74821" TargetMode="External"/><Relationship Id="rId739" Type="http://schemas.openxmlformats.org/officeDocument/2006/relationships/hyperlink" Target="https://advanced.onlinelibrary.wiley.com/doi/10.1002/adma.74865?af=R" TargetMode="External"/><Relationship Id="rId740" Type="http://schemas.openxmlformats.org/officeDocument/2006/relationships/hyperlink" Target="https://doi.org/10.1002/adma.74865" TargetMode="External"/><Relationship Id="rId741" Type="http://schemas.openxmlformats.org/officeDocument/2006/relationships/hyperlink" Target="https://advanced.onlinelibrary.wiley.com/doi/10.1002/adma.74844?af=R" TargetMode="External"/><Relationship Id="rId742" Type="http://schemas.openxmlformats.org/officeDocument/2006/relationships/hyperlink" Target="https://doi.org/10.1002/adma.74844" TargetMode="External"/><Relationship Id="rId743" Type="http://schemas.openxmlformats.org/officeDocument/2006/relationships/hyperlink" Target="https://advanced.onlinelibrary.wiley.com/doi/10.1002/adma.74842?af=R" TargetMode="External"/><Relationship Id="rId744" Type="http://schemas.openxmlformats.org/officeDocument/2006/relationships/hyperlink" Target="https://doi.org/10.1002/adma.74842" TargetMode="External"/><Relationship Id="rId745" Type="http://schemas.openxmlformats.org/officeDocument/2006/relationships/hyperlink" Target="https://advanced.onlinelibrary.wiley.com/doi/10.1002/adma.74840?af=R" TargetMode="External"/><Relationship Id="rId746" Type="http://schemas.openxmlformats.org/officeDocument/2006/relationships/hyperlink" Target="https://doi.org/10.1002/adma.74840" TargetMode="External"/><Relationship Id="rId747" Type="http://schemas.openxmlformats.org/officeDocument/2006/relationships/hyperlink" Target="https://advanced.onlinelibrary.wiley.com/doi/10.1002/adma.74823?af=R" TargetMode="External"/><Relationship Id="rId748" Type="http://schemas.openxmlformats.org/officeDocument/2006/relationships/hyperlink" Target="https://doi.org/10.1002/adma.74823" TargetMode="External"/><Relationship Id="rId749" Type="http://schemas.openxmlformats.org/officeDocument/2006/relationships/hyperlink" Target="https://onlinelibrary.wiley.com/doi/10.1002/anie.7114284?af=R" TargetMode="External"/><Relationship Id="rId750" Type="http://schemas.openxmlformats.org/officeDocument/2006/relationships/hyperlink" Target="https://doi.org/10.1002/anie.7114284" TargetMode="External"/><Relationship Id="rId751" Type="http://schemas.openxmlformats.org/officeDocument/2006/relationships/hyperlink" Target="https://onlinelibrary.wiley.com/doi/10.1002/anie.5004113?af=R" TargetMode="External"/><Relationship Id="rId752" Type="http://schemas.openxmlformats.org/officeDocument/2006/relationships/hyperlink" Target="https://doi.org/10.1002/anie.5004113" TargetMode="External"/><Relationship Id="rId753" Type="http://schemas.openxmlformats.org/officeDocument/2006/relationships/hyperlink" Target="https://onlinelibrary.wiley.com/doi/10.1002/anie.3451661?af=R" TargetMode="External"/><Relationship Id="rId754" Type="http://schemas.openxmlformats.org/officeDocument/2006/relationships/hyperlink" Target="https://doi.org/10.1002/anie.3451661" TargetMode="External"/><Relationship Id="rId755" Type="http://schemas.openxmlformats.org/officeDocument/2006/relationships/hyperlink" Target="https://onlinelibrary.wiley.com/doi/10.1002/anie.2883647?af=R" TargetMode="External"/><Relationship Id="rId756" Type="http://schemas.openxmlformats.org/officeDocument/2006/relationships/hyperlink" Target="https://doi.org/10.1002/anie.2883647" TargetMode="External"/><Relationship Id="rId757" Type="http://schemas.openxmlformats.org/officeDocument/2006/relationships/hyperlink" Target="https://onlinelibrary.wiley.com/doi/10.1002/anie.5622879?af=R" TargetMode="External"/><Relationship Id="rId758" Type="http://schemas.openxmlformats.org/officeDocument/2006/relationships/hyperlink" Target="https://doi.org/10.1002/anie.5622879" TargetMode="External"/><Relationship Id="rId759" Type="http://schemas.openxmlformats.org/officeDocument/2006/relationships/hyperlink" Target="https://onlinelibrary.wiley.com/doi/10.1002/anie.6772439?af=R" TargetMode="External"/><Relationship Id="rId760" Type="http://schemas.openxmlformats.org/officeDocument/2006/relationships/hyperlink" Target="https://doi.org/10.1002/anie.6772439" TargetMode="External"/><Relationship Id="rId761" Type="http://schemas.openxmlformats.org/officeDocument/2006/relationships/hyperlink" Target="https://advanced.onlinelibrary.wiley.com/doi/10.1002/adma.74641?af=R" TargetMode="External"/><Relationship Id="rId762" Type="http://schemas.openxmlformats.org/officeDocument/2006/relationships/hyperlink" Target="https://doi.org/10.1002/adma.74641" TargetMode="External"/><Relationship Id="rId763" Type="http://schemas.openxmlformats.org/officeDocument/2006/relationships/hyperlink" Target="https://onlinelibrary.wiley.com/doi/10.1002/anie.6119479?af=R" TargetMode="External"/><Relationship Id="rId764" Type="http://schemas.openxmlformats.org/officeDocument/2006/relationships/hyperlink" Target="https://doi.org/10.1002/anie.6119479" TargetMode="External"/><Relationship Id="rId765" Type="http://schemas.openxmlformats.org/officeDocument/2006/relationships/hyperlink" Target="https://onlinelibrary.wiley.com/doi/10.1002/anie.5856873?af=R" TargetMode="External"/><Relationship Id="rId766" Type="http://schemas.openxmlformats.org/officeDocument/2006/relationships/hyperlink" Target="https://doi.org/10.1002/anie.5856873" TargetMode="External"/><Relationship Id="rId767" Type="http://schemas.openxmlformats.org/officeDocument/2006/relationships/hyperlink" Target="https://onlinelibrary.wiley.com/doi/10.1002/anie.1530338?af=R" TargetMode="External"/><Relationship Id="rId768" Type="http://schemas.openxmlformats.org/officeDocument/2006/relationships/hyperlink" Target="https://doi.org/10.1002/anie.1530338" TargetMode="External"/><Relationship Id="rId769" Type="http://schemas.openxmlformats.org/officeDocument/2006/relationships/hyperlink" Target="https://onlinelibrary.wiley.com/doi/10.1002/anie.7052006?af=R" TargetMode="External"/><Relationship Id="rId770" Type="http://schemas.openxmlformats.org/officeDocument/2006/relationships/hyperlink" Target="https://doi.org/10.1002/anie.7052006" TargetMode="External"/><Relationship Id="rId771" Type="http://schemas.openxmlformats.org/officeDocument/2006/relationships/hyperlink" Target="https://onlinelibrary.wiley.com/doi/10.1002/anie.1329257?af=R" TargetMode="External"/><Relationship Id="rId772" Type="http://schemas.openxmlformats.org/officeDocument/2006/relationships/hyperlink" Target="https://doi.org/10.1002/anie.1329257" TargetMode="External"/><Relationship Id="rId773" Type="http://schemas.openxmlformats.org/officeDocument/2006/relationships/hyperlink" Target="https://onlinelibrary.wiley.com/doi/10.1002/anie.5898322?af=R" TargetMode="External"/><Relationship Id="rId774" Type="http://schemas.openxmlformats.org/officeDocument/2006/relationships/hyperlink" Target="https://doi.org/10.1002/anie.5898322" TargetMode="External"/><Relationship Id="rId775" Type="http://schemas.openxmlformats.org/officeDocument/2006/relationships/hyperlink" Target="https://onlinelibrary.wiley.com/doi/10.1002/anie.9410589?af=R" TargetMode="External"/><Relationship Id="rId776" Type="http://schemas.openxmlformats.org/officeDocument/2006/relationships/hyperlink" Target="https://doi.org/10.1002/anie.9410589" TargetMode="External"/><Relationship Id="rId777" Type="http://schemas.openxmlformats.org/officeDocument/2006/relationships/hyperlink" Target="https://onlinelibrary.wiley.com/doi/10.1002/anie.5443283?af=R" TargetMode="External"/><Relationship Id="rId778" Type="http://schemas.openxmlformats.org/officeDocument/2006/relationships/hyperlink" Target="https://doi.org/10.1002/anie.5443283" TargetMode="External"/><Relationship Id="rId779" Type="http://schemas.openxmlformats.org/officeDocument/2006/relationships/hyperlink" Target="https://onlinelibrary.wiley.com/doi/10.1002/anie.4914496?af=R" TargetMode="External"/><Relationship Id="rId780" Type="http://schemas.openxmlformats.org/officeDocument/2006/relationships/hyperlink" Target="https://doi.org/10.1002/anie.4914496" TargetMode="External"/><Relationship Id="rId781" Type="http://schemas.openxmlformats.org/officeDocument/2006/relationships/hyperlink" Target="https://onlinelibrary.wiley.com/doi/10.1002/anie.5509453?af=R" TargetMode="External"/><Relationship Id="rId782" Type="http://schemas.openxmlformats.org/officeDocument/2006/relationships/hyperlink" Target="https://doi.org/10.1002/anie.5509453" TargetMode="External"/><Relationship Id="rId783" Type="http://schemas.openxmlformats.org/officeDocument/2006/relationships/hyperlink" Target="https://onlinelibrary.wiley.com/doi/10.1002/anie.3945602?af=R" TargetMode="External"/><Relationship Id="rId784" Type="http://schemas.openxmlformats.org/officeDocument/2006/relationships/hyperlink" Target="https://doi.org/10.1002/anie.3945602" TargetMode="External"/><Relationship Id="rId785" Type="http://schemas.openxmlformats.org/officeDocument/2006/relationships/hyperlink" Target="https://onlinelibrary.wiley.com/doi/10.1002/anie.7162372?af=R" TargetMode="External"/><Relationship Id="rId786" Type="http://schemas.openxmlformats.org/officeDocument/2006/relationships/hyperlink" Target="https://doi.org/10.1002/anie.7162372" TargetMode="External"/><Relationship Id="rId787" Type="http://schemas.openxmlformats.org/officeDocument/2006/relationships/hyperlink" Target="https://onlinelibrary.wiley.com/doi/10.1002/anie.5529008?af=R" TargetMode="External"/><Relationship Id="rId788" Type="http://schemas.openxmlformats.org/officeDocument/2006/relationships/hyperlink" Target="https://doi.org/10.1002/anie.5529008" TargetMode="External"/><Relationship Id="rId789" Type="http://schemas.openxmlformats.org/officeDocument/2006/relationships/hyperlink" Target="https://onlinelibrary.wiley.com/doi/10.1002/anie.9891954?af=R" TargetMode="External"/><Relationship Id="rId790" Type="http://schemas.openxmlformats.org/officeDocument/2006/relationships/hyperlink" Target="https://doi.org/10.1002/anie.9891954" TargetMode="External"/><Relationship Id="rId791" Type="http://schemas.openxmlformats.org/officeDocument/2006/relationships/hyperlink" Target="https://onlinelibrary.wiley.com/doi/10.1002/anie.6583201?af=R" TargetMode="External"/><Relationship Id="rId792" Type="http://schemas.openxmlformats.org/officeDocument/2006/relationships/hyperlink" Target="https://doi.org/10.1002/anie.6583201" TargetMode="External"/><Relationship Id="rId793" Type="http://schemas.openxmlformats.org/officeDocument/2006/relationships/hyperlink" Target="https://advanced.onlinelibrary.wiley.com/doi/10.1002/adma.74348?af=R" TargetMode="External"/><Relationship Id="rId794" Type="http://schemas.openxmlformats.org/officeDocument/2006/relationships/hyperlink" Target="https://doi.org/10.1002/adma.74348" TargetMode="External"/><Relationship Id="rId795" Type="http://schemas.openxmlformats.org/officeDocument/2006/relationships/hyperlink" Target="https://advanced.onlinelibrary.wiley.com/doi/10.1002/adma.74854?af=R" TargetMode="External"/><Relationship Id="rId796" Type="http://schemas.openxmlformats.org/officeDocument/2006/relationships/hyperlink" Target="https://doi.org/10.1002/adma.74854" TargetMode="External"/><Relationship Id="rId797" Type="http://schemas.openxmlformats.org/officeDocument/2006/relationships/hyperlink" Target="https://advanced.onlinelibrary.wiley.com/doi/10.1002/adma.74760?af=R" TargetMode="External"/><Relationship Id="rId798" Type="http://schemas.openxmlformats.org/officeDocument/2006/relationships/hyperlink" Target="https://doi.org/10.1002/adma.74760" TargetMode="External"/><Relationship Id="rId799" Type="http://schemas.openxmlformats.org/officeDocument/2006/relationships/hyperlink" Target="https://www.nature.com/articles/s41467-026-76503-6" TargetMode="External"/><Relationship Id="rId800" Type="http://schemas.openxmlformats.org/officeDocument/2006/relationships/hyperlink" Target="https://www.sciencedirect.com/science/article/pii/S0306261926013759?dgcid=rss_sd_all" TargetMode="External"/><Relationship Id="rId801" Type="http://schemas.openxmlformats.org/officeDocument/2006/relationships/hyperlink" Target="https://doi.org/10.1016/j.apenergy.2026.128719" TargetMode="External"/><Relationship Id="rId802" Type="http://schemas.openxmlformats.org/officeDocument/2006/relationships/hyperlink" Target="https://www.sciencedirect.com/science/article/pii/S0306261926014042?dgcid=rss_sd_all" TargetMode="External"/><Relationship Id="rId803" Type="http://schemas.openxmlformats.org/officeDocument/2006/relationships/hyperlink" Target="https://doi.org/10.1016/j.apenergy.2026.128748" TargetMode="External"/><Relationship Id="rId804" Type="http://schemas.openxmlformats.org/officeDocument/2006/relationships/hyperlink" Target="https://doi.org/10.1021/jacs.6c09046" TargetMode="External"/><Relationship Id="rId805" Type="http://schemas.openxmlformats.org/officeDocument/2006/relationships/hyperlink" Target="https://www.sciencedirect.com/science/article/pii/S030626192601408X?dgcid=rss_sd_all" TargetMode="External"/><Relationship Id="rId806" Type="http://schemas.openxmlformats.org/officeDocument/2006/relationships/hyperlink" Target="https://doi.org/10.1016/j.apenergy.2026.128752" TargetMode="External"/><Relationship Id="rId807" Type="http://schemas.openxmlformats.org/officeDocument/2006/relationships/hyperlink" Target="https://www.nature.com/articles/d41586-026-02684-1" TargetMode="External"/><Relationship Id="rId808" Type="http://schemas.openxmlformats.org/officeDocument/2006/relationships/hyperlink" Target="https://doi.org/10.1038/d41586-026-02684-1" TargetMode="External"/><Relationship Id="rId809" Type="http://schemas.openxmlformats.org/officeDocument/2006/relationships/hyperlink" Target="https://www.nature.com/articles/d41586-026-02727-7" TargetMode="External"/><Relationship Id="rId810" Type="http://schemas.openxmlformats.org/officeDocument/2006/relationships/hyperlink" Target="https://doi.org/10.1038/d41586-026-02727-7" TargetMode="External"/><Relationship Id="rId811" Type="http://schemas.openxmlformats.org/officeDocument/2006/relationships/hyperlink" Target="https://www.sciencedirect.com/science/article/pii/S0301421526005239?dgcid=rss_sd_all" TargetMode="External"/><Relationship Id="rId812" Type="http://schemas.openxmlformats.org/officeDocument/2006/relationships/hyperlink" Target="https://doi.org/10.1016/j.enpol.2026.115589" TargetMode="External"/><Relationship Id="rId813" Type="http://schemas.openxmlformats.org/officeDocument/2006/relationships/hyperlink" Target="https://www.sciencedirect.com/science/article/pii/S0306261926013942?dgcid=rss_sd_all" TargetMode="External"/><Relationship Id="rId814" Type="http://schemas.openxmlformats.org/officeDocument/2006/relationships/hyperlink" Target="https://doi.org/10.1016/j.apenergy.2026.128738" TargetMode="External"/><Relationship Id="rId815" Type="http://schemas.openxmlformats.org/officeDocument/2006/relationships/hyperlink" Target="https://www.sciencedirect.com/science/article/pii/S0306261926013991?dgcid=rss_sd_all" TargetMode="External"/><Relationship Id="rId816" Type="http://schemas.openxmlformats.org/officeDocument/2006/relationships/hyperlink" Target="https://doi.org/10.1016/j.apenergy.2026.128743" TargetMode="External"/><Relationship Id="rId817" Type="http://schemas.openxmlformats.org/officeDocument/2006/relationships/hyperlink" Target="https://advanced.onlinelibrary.wiley.com/doi/10.1002/adma.74847?af=R" TargetMode="External"/><Relationship Id="rId818" Type="http://schemas.openxmlformats.org/officeDocument/2006/relationships/hyperlink" Target="https://doi.org/10.1002/adma.74847" TargetMode="External"/><Relationship Id="rId819" Type="http://schemas.openxmlformats.org/officeDocument/2006/relationships/hyperlink" Target="https://onlinelibrary.wiley.com/doi/10.1002/anie.2717326?af=R" TargetMode="External"/><Relationship Id="rId820" Type="http://schemas.openxmlformats.org/officeDocument/2006/relationships/hyperlink" Target="https://doi.org/10.1002/anie.2717326" TargetMode="External"/><Relationship Id="rId821" Type="http://schemas.openxmlformats.org/officeDocument/2006/relationships/hyperlink" Target="https://advanced.onlinelibrary.wiley.com/doi/10.1002/adma.74712?af=R" TargetMode="External"/><Relationship Id="rId822" Type="http://schemas.openxmlformats.org/officeDocument/2006/relationships/hyperlink" Target="https://doi.org/10.1002/adma.74712" TargetMode="External"/><Relationship Id="rId823" Type="http://schemas.openxmlformats.org/officeDocument/2006/relationships/hyperlink" Target="https://doi.org/10.1021/acsami.6c12121" TargetMode="External"/><Relationship Id="rId824" Type="http://schemas.openxmlformats.org/officeDocument/2006/relationships/hyperlink" Target="https://doi.org/10.1021/acsami.6c10061" TargetMode="External"/><Relationship Id="rId825" Type="http://schemas.openxmlformats.org/officeDocument/2006/relationships/hyperlink" Target="https://doi.org/10.1021/acsami.6c11367" TargetMode="External"/><Relationship Id="rId826" Type="http://schemas.openxmlformats.org/officeDocument/2006/relationships/hyperlink" Target="https://doi.org/10.1021/acsami.6c10955" TargetMode="External"/><Relationship Id="rId827" Type="http://schemas.openxmlformats.org/officeDocument/2006/relationships/hyperlink" Target="https://doi.org/10.1021/acsami.6c12785" TargetMode="External"/><Relationship Id="rId828" Type="http://schemas.openxmlformats.org/officeDocument/2006/relationships/hyperlink" Target="https://www.nature.com/articles/s44284-026-00494-0" TargetMode="External"/><Relationship Id="rId829" Type="http://schemas.openxmlformats.org/officeDocument/2006/relationships/hyperlink" Target="https://doi.org/10.1038/s44284-026-00494-0" TargetMode="External"/><Relationship Id="rId830" Type="http://schemas.openxmlformats.org/officeDocument/2006/relationships/hyperlink" Target="https://doi.org/10.1021/jacs.6c12925" TargetMode="External"/><Relationship Id="rId831" Type="http://schemas.openxmlformats.org/officeDocument/2006/relationships/hyperlink" Target="https://doi.org/10.1021/jacs.6c11056" TargetMode="External"/><Relationship Id="rId832" Type="http://schemas.openxmlformats.org/officeDocument/2006/relationships/hyperlink" Target="https://doi.org/10.1021/jacs.6c04096" TargetMode="External"/><Relationship Id="rId833" Type="http://schemas.openxmlformats.org/officeDocument/2006/relationships/hyperlink" Target="https://doi.org/10.1021/acsami.6c12522" TargetMode="External"/><Relationship Id="rId834" Type="http://schemas.openxmlformats.org/officeDocument/2006/relationships/hyperlink" Target="https://doi.org/10.1021/acsami.6c12907" TargetMode="External"/><Relationship Id="rId835" Type="http://schemas.openxmlformats.org/officeDocument/2006/relationships/hyperlink" Target="https://doi.org/10.1021/jacs.6c13942" TargetMode="External"/><Relationship Id="rId836" Type="http://schemas.openxmlformats.org/officeDocument/2006/relationships/hyperlink" Target="https://doi.org/10.1021/acsami.6c12431" TargetMode="External"/><Relationship Id="rId837" Type="http://schemas.openxmlformats.org/officeDocument/2006/relationships/hyperlink" Target="https://doi.org/10.1021/acsami.6c10477" TargetMode="External"/><Relationship Id="rId838" Type="http://schemas.openxmlformats.org/officeDocument/2006/relationships/hyperlink" Target="https://doi.org/10.1021/acsami.6c07623" TargetMode="External"/><Relationship Id="rId839" Type="http://schemas.openxmlformats.org/officeDocument/2006/relationships/hyperlink" Target="https://doi.org/10.1021/acsami.6c06952" TargetMode="External"/><Relationship Id="rId840" Type="http://schemas.openxmlformats.org/officeDocument/2006/relationships/hyperlink" Target="https://doi.org/10.1021/acsami.6c12149" TargetMode="External"/><Relationship Id="rId841" Type="http://schemas.openxmlformats.org/officeDocument/2006/relationships/hyperlink" Target="https://doi.org/10.1021/acsami.6c10465" TargetMode="External"/><Relationship Id="rId842" Type="http://schemas.openxmlformats.org/officeDocument/2006/relationships/hyperlink" Target="https://doi.org/10.1021/acsami.6c11995" TargetMode="External"/><Relationship Id="rId843" Type="http://schemas.openxmlformats.org/officeDocument/2006/relationships/hyperlink" Target="https://doi.org/10.1021/acsami.6c12545" TargetMode="External"/><Relationship Id="rId844" Type="http://schemas.openxmlformats.org/officeDocument/2006/relationships/hyperlink" Target="https://doi.org/10.1021/acsami.6c11922" TargetMode="External"/><Relationship Id="rId845" Type="http://schemas.openxmlformats.org/officeDocument/2006/relationships/hyperlink" Target="https://doi.org/10.1021/acsami.6c13881" TargetMode="External"/><Relationship Id="rId846" Type="http://schemas.openxmlformats.org/officeDocument/2006/relationships/hyperlink" Target="https://doi.org/10.1021/acsami.6c12811" TargetMode="External"/><Relationship Id="rId847" Type="http://schemas.openxmlformats.org/officeDocument/2006/relationships/hyperlink" Target="https://doi.org/10.1021/acsami.6c12056" TargetMode="External"/><Relationship Id="rId848" Type="http://schemas.openxmlformats.org/officeDocument/2006/relationships/hyperlink" Target="https://doi.org/10.1021/jacs.6c14333" TargetMode="External"/><Relationship Id="rId849" Type="http://schemas.openxmlformats.org/officeDocument/2006/relationships/hyperlink" Target="https://doi.org/10.1021/jacs.6c11733" TargetMode="External"/><Relationship Id="rId850" Type="http://schemas.openxmlformats.org/officeDocument/2006/relationships/hyperlink" Target="https://www.nature.com/articles/d41586-026-02642-x" TargetMode="External"/><Relationship Id="rId851" Type="http://schemas.openxmlformats.org/officeDocument/2006/relationships/hyperlink" Target="https://doi.org/10.1038/d41586-026-02642-x" TargetMode="External"/><Relationship Id="rId852" Type="http://schemas.openxmlformats.org/officeDocument/2006/relationships/hyperlink" Target="https://www.nature.com/articles/d41586-026-02543-z" TargetMode="External"/><Relationship Id="rId853" Type="http://schemas.openxmlformats.org/officeDocument/2006/relationships/hyperlink" Target="https://doi.org/10.1038/d41586-026-02543-z" TargetMode="External"/><Relationship Id="rId854" Type="http://schemas.openxmlformats.org/officeDocument/2006/relationships/hyperlink" Target="https://www.nature.com/articles/d41586-026-02685-0" TargetMode="External"/><Relationship Id="rId855" Type="http://schemas.openxmlformats.org/officeDocument/2006/relationships/hyperlink" Target="https://doi.org/10.1038/d41586-026-02685-0" TargetMode="External"/><Relationship Id="rId856" Type="http://schemas.openxmlformats.org/officeDocument/2006/relationships/hyperlink" Target="https://www.nature.com/articles/d41586-026-02669-0" TargetMode="External"/><Relationship Id="rId857" Type="http://schemas.openxmlformats.org/officeDocument/2006/relationships/hyperlink" Target="https://doi.org/10.1038/d41586-026-02669-0" TargetMode="External"/><Relationship Id="rId858" Type="http://schemas.openxmlformats.org/officeDocument/2006/relationships/hyperlink" Target="https://academic.oup.com/nsr/advance-article/doi/10.1093/nsr/nwag553/8776678?rss=1" TargetMode="External"/><Relationship Id="rId859" Type="http://schemas.openxmlformats.org/officeDocument/2006/relationships/hyperlink" Target="https://doi.org/10.1093/nsr/nwag553" TargetMode="External"/><Relationship Id="rId860" Type="http://schemas.openxmlformats.org/officeDocument/2006/relationships/hyperlink" Target="https://academic.oup.com/nsr/advance-article/doi/10.1093/nsr/nwag512/8776677?rss=1" TargetMode="External"/><Relationship Id="rId861" Type="http://schemas.openxmlformats.org/officeDocument/2006/relationships/hyperlink" Target="https://doi.org/10.1093/nsr/nwag512" TargetMode="External"/><Relationship Id="rId862" Type="http://schemas.openxmlformats.org/officeDocument/2006/relationships/hyperlink" Target="https://academic.oup.com/nsr/advance-article/doi/10.1093/nsr/nwag552/8776676?rss=1" TargetMode="External"/><Relationship Id="rId863" Type="http://schemas.openxmlformats.org/officeDocument/2006/relationships/hyperlink" Target="https://doi.org/10.1093/nsr/nwag552" TargetMode="External"/><Relationship Id="rId864" Type="http://schemas.openxmlformats.org/officeDocument/2006/relationships/hyperlink" Target="https://academic.oup.com/nsr/advance-article/doi/10.1093/nsr/nwag563/8776668?rss=1" TargetMode="External"/><Relationship Id="rId865" Type="http://schemas.openxmlformats.org/officeDocument/2006/relationships/hyperlink" Target="https://doi.org/10.1093/nsr/nwag563" TargetMode="External"/><Relationship Id="rId866" Type="http://schemas.openxmlformats.org/officeDocument/2006/relationships/hyperlink" Target="https://doi.org/10.1021/acsami.6c10295" TargetMode="External"/><Relationship Id="rId867" Type="http://schemas.openxmlformats.org/officeDocument/2006/relationships/hyperlink" Target="https://www.nature.com/articles/d41586-026-02687-y" TargetMode="External"/><Relationship Id="rId868" Type="http://schemas.openxmlformats.org/officeDocument/2006/relationships/hyperlink" Target="https://doi.org/10.1038/d41586-026-02687-y" TargetMode="External"/><Relationship Id="rId869" Type="http://schemas.openxmlformats.org/officeDocument/2006/relationships/hyperlink" Target="https://doi.org/10.1021/jacs.6c14548" TargetMode="External"/><Relationship Id="rId870" Type="http://schemas.openxmlformats.org/officeDocument/2006/relationships/hyperlink" Target="https://doi.org/10.1021/jacs.6c09441" TargetMode="External"/><Relationship Id="rId871" Type="http://schemas.openxmlformats.org/officeDocument/2006/relationships/hyperlink" Target="https://doi.org/10.1021/jacs.6c14293" TargetMode="External"/><Relationship Id="rId872" Type="http://schemas.openxmlformats.org/officeDocument/2006/relationships/hyperlink" Target="https://doi.org/10.1021/jacs.6c16270" TargetMode="External"/><Relationship Id="rId873" Type="http://schemas.openxmlformats.org/officeDocument/2006/relationships/hyperlink" Target="https://doi.org/10.1021/jacs.6c09002" TargetMode="External"/><Relationship Id="rId874" Type="http://schemas.openxmlformats.org/officeDocument/2006/relationships/hyperlink" Target="https://doi.org/10.1021/jacs.6c05261" TargetMode="External"/><Relationship Id="rId875" Type="http://schemas.openxmlformats.org/officeDocument/2006/relationships/hyperlink" Target="https://doi.org/10.1021/jacs.6c09597" TargetMode="External"/><Relationship Id="rId876" Type="http://schemas.openxmlformats.org/officeDocument/2006/relationships/hyperlink" Target="https://doi.org/10.1021/acsami.6c09805" TargetMode="External"/><Relationship Id="rId877" Type="http://schemas.openxmlformats.org/officeDocument/2006/relationships/hyperlink" Target="https://doi.org/10.1021/acsami.6c12054" TargetMode="External"/><Relationship Id="rId878" Type="http://schemas.openxmlformats.org/officeDocument/2006/relationships/hyperlink" Target="https://www.nature.com/articles/s41467-026-76972-9" TargetMode="External"/><Relationship Id="rId879" Type="http://schemas.openxmlformats.org/officeDocument/2006/relationships/hyperlink" Target="https://www.nature.com/articles/s41467-026-77149-0" TargetMode="External"/><Relationship Id="rId880" Type="http://schemas.openxmlformats.org/officeDocument/2006/relationships/hyperlink" Target="https://www.nature.com/articles/s41467-026-76614-0" TargetMode="External"/><Relationship Id="rId881" Type="http://schemas.openxmlformats.org/officeDocument/2006/relationships/hyperlink" Target="https://www.nature.com/articles/s41467-026-77034-w" TargetMode="External"/><Relationship Id="rId882" Type="http://schemas.openxmlformats.org/officeDocument/2006/relationships/hyperlink" Target="https://www.nature.com/articles/s41893-026-01923-7" TargetMode="External"/><Relationship Id="rId883" Type="http://schemas.openxmlformats.org/officeDocument/2006/relationships/hyperlink" Target="https://doi.org/10.1038/s41893-026-01923-7" TargetMode="External"/><Relationship Id="rId884" Type="http://schemas.openxmlformats.org/officeDocument/2006/relationships/hyperlink" Target="https://www.nature.com/articles/s41563-026-02720-5" TargetMode="External"/><Relationship Id="rId885" Type="http://schemas.openxmlformats.org/officeDocument/2006/relationships/hyperlink" Target="https://doi.org/10.1038/s41563-026-02720-5" TargetMode="External"/><Relationship Id="rId886" Type="http://schemas.openxmlformats.org/officeDocument/2006/relationships/hyperlink" Target="https://www.nmlett.org/index.php/nml/article/view/2643" TargetMode="External"/><Relationship Id="rId887" Type="http://schemas.openxmlformats.org/officeDocument/2006/relationships/hyperlink" Target="https://doi.org/10.1007/s40820-026-02331-4" TargetMode="External"/><Relationship Id="rId888" Type="http://schemas.openxmlformats.org/officeDocument/2006/relationships/hyperlink" Target="https://www.nature.com/articles/s41563-026-02710-7" TargetMode="External"/><Relationship Id="rId889" Type="http://schemas.openxmlformats.org/officeDocument/2006/relationships/hyperlink" Target="https://doi.org/10.1038/s41563-026-02710-7" TargetMode="External"/><Relationship Id="rId890" Type="http://schemas.openxmlformats.org/officeDocument/2006/relationships/hyperlink" Target="https://www.cell.com/chem/fulltext/S2451-9294(26)00281-0?rss=yes" TargetMode="External"/><Relationship Id="rId891" Type="http://schemas.openxmlformats.org/officeDocument/2006/relationships/hyperlink" Target="https://doi.org/10.1016/j.chempr.2026.103215" TargetMode="External"/><Relationship Id="rId892" Type="http://schemas.openxmlformats.org/officeDocument/2006/relationships/hyperlink" Target="https://academic.oup.com/nsr/advance-article/doi/10.1093/nsr/nwag531/8776255?rss=1" TargetMode="External"/><Relationship Id="rId893" Type="http://schemas.openxmlformats.org/officeDocument/2006/relationships/hyperlink" Target="https://doi.org/10.1093/nsr/nwag531" TargetMode="External"/><Relationship Id="rId894" Type="http://schemas.openxmlformats.org/officeDocument/2006/relationships/hyperlink" Target="https://www.sciencedirect.com/science/article/pii/S030626192601384X?dgcid=rss_sd_all" TargetMode="External"/><Relationship Id="rId895" Type="http://schemas.openxmlformats.org/officeDocument/2006/relationships/hyperlink" Target="https://doi.org/10.1016/j.apenergy.2026.128728" TargetMode="External"/><Relationship Id="rId896" Type="http://schemas.openxmlformats.org/officeDocument/2006/relationships/hyperlink" Target="https://www.sciencedirect.com/science/article/pii/S0306261926013875?dgcid=rss_sd_all" TargetMode="External"/><Relationship Id="rId897" Type="http://schemas.openxmlformats.org/officeDocument/2006/relationships/hyperlink" Target="https://doi.org/10.1016/j.apenergy.2026.128731" TargetMode="External"/><Relationship Id="rId898" Type="http://schemas.openxmlformats.org/officeDocument/2006/relationships/hyperlink" Target="https://www.nature.com/articles/s41563-026-02731-2" TargetMode="External"/><Relationship Id="rId899" Type="http://schemas.openxmlformats.org/officeDocument/2006/relationships/hyperlink" Target="https://doi.org/10.1038/s41563-026-02731-2" TargetMode="External"/><Relationship Id="rId900" Type="http://schemas.openxmlformats.org/officeDocument/2006/relationships/hyperlink" Target="https://www.nature.com/articles/s41467-026-75533-4" TargetMode="External"/><Relationship Id="rId901" Type="http://schemas.openxmlformats.org/officeDocument/2006/relationships/hyperlink" Target="https://www.nature.com/articles/s41467-026-77063-5" TargetMode="External"/><Relationship Id="rId902" Type="http://schemas.openxmlformats.org/officeDocument/2006/relationships/hyperlink" Target="https://www.nature.com/articles/s41467-026-77116-9" TargetMode="External"/><Relationship Id="rId903" Type="http://schemas.openxmlformats.org/officeDocument/2006/relationships/hyperlink" Target="https://www.nature.com/articles/s41467-026-77368-5" TargetMode="External"/><Relationship Id="rId904" Type="http://schemas.openxmlformats.org/officeDocument/2006/relationships/hyperlink" Target="https://www.nature.com/articles/s41467-026-76952-z" TargetMode="External"/><Relationship Id="rId905" Type="http://schemas.openxmlformats.org/officeDocument/2006/relationships/hyperlink" Target="https://www.nature.com/articles/s41467-026-77162-3" TargetMode="External"/><Relationship Id="rId906" Type="http://schemas.openxmlformats.org/officeDocument/2006/relationships/hyperlink" Target="https://www.nature.com/articles/s41467-026-77251-3" TargetMode="External"/><Relationship Id="rId907" Type="http://schemas.openxmlformats.org/officeDocument/2006/relationships/hyperlink" Target="https://www.nature.com/articles/s41467-026-76979-2" TargetMode="External"/><Relationship Id="rId908" Type="http://schemas.openxmlformats.org/officeDocument/2006/relationships/hyperlink" Target="https://www.nature.com/articles/s41467-026-76686-y" TargetMode="External"/><Relationship Id="rId909" Type="http://schemas.openxmlformats.org/officeDocument/2006/relationships/hyperlink" Target="https://www.nature.com/articles/s41467-026-77375-6" TargetMode="External"/><Relationship Id="rId910" Type="http://schemas.openxmlformats.org/officeDocument/2006/relationships/hyperlink" Target="https://www.nature.com/articles/s41467-026-77325-2" TargetMode="External"/><Relationship Id="rId911" Type="http://schemas.openxmlformats.org/officeDocument/2006/relationships/hyperlink" Target="https://www.nature.com/articles/s41467-026-77192-x" TargetMode="External"/><Relationship Id="rId912" Type="http://schemas.openxmlformats.org/officeDocument/2006/relationships/hyperlink" Target="https://www.nature.com/articles/s41467-026-77252-2" TargetMode="External"/><Relationship Id="rId913" Type="http://schemas.openxmlformats.org/officeDocument/2006/relationships/hyperlink" Target="https://www.nature.com/articles/s41467-026-77215-7" TargetMode="External"/><Relationship Id="rId914" Type="http://schemas.openxmlformats.org/officeDocument/2006/relationships/hyperlink" Target="https://www.nature.com/articles/s41467-026-77212-w" TargetMode="External"/><Relationship Id="rId915" Type="http://schemas.openxmlformats.org/officeDocument/2006/relationships/hyperlink" Target="https://www.nature.com/articles/s41467-026-77250-4" TargetMode="External"/><Relationship Id="rId916" Type="http://schemas.openxmlformats.org/officeDocument/2006/relationships/hyperlink" Target="https://www.nature.com/articles/s41467-026-77022-0" TargetMode="External"/><Relationship Id="rId917" Type="http://schemas.openxmlformats.org/officeDocument/2006/relationships/hyperlink" Target="https://www.nature.com/articles/s41467-026-77371-w" TargetMode="External"/><Relationship Id="rId918" Type="http://schemas.openxmlformats.org/officeDocument/2006/relationships/hyperlink" Target="https://www.nature.com/articles/s41467-026-77216-6" TargetMode="External"/><Relationship Id="rId919" Type="http://schemas.openxmlformats.org/officeDocument/2006/relationships/hyperlink" Target="https://advanced.onlinelibrary.wiley.com/doi/10.1002/adma.74813?af=R" TargetMode="External"/><Relationship Id="rId920" Type="http://schemas.openxmlformats.org/officeDocument/2006/relationships/hyperlink" Target="https://doi.org/10.1002/adma.74813" TargetMode="External"/><Relationship Id="rId921" Type="http://schemas.openxmlformats.org/officeDocument/2006/relationships/hyperlink" Target="https://advanced.onlinelibrary.wiley.com/doi/10.1002/adma.74817?af=R" TargetMode="External"/><Relationship Id="rId922" Type="http://schemas.openxmlformats.org/officeDocument/2006/relationships/hyperlink" Target="https://doi.org/10.1002/adma.74817" TargetMode="External"/><Relationship Id="rId923" Type="http://schemas.openxmlformats.org/officeDocument/2006/relationships/hyperlink" Target="https://onlinelibrary.wiley.com/doi/10.1002/anie.6219762?af=R" TargetMode="External"/><Relationship Id="rId924" Type="http://schemas.openxmlformats.org/officeDocument/2006/relationships/hyperlink" Target="https://doi.org/10.1002/anie.6219762" TargetMode="External"/><Relationship Id="rId925" Type="http://schemas.openxmlformats.org/officeDocument/2006/relationships/hyperlink" Target="https://onlinelibrary.wiley.com/doi/10.1002/anie.5300342?af=R" TargetMode="External"/><Relationship Id="rId926" Type="http://schemas.openxmlformats.org/officeDocument/2006/relationships/hyperlink" Target="https://doi.org/10.1002/anie.5300342" TargetMode="External"/><Relationship Id="rId927" Type="http://schemas.openxmlformats.org/officeDocument/2006/relationships/hyperlink" Target="https://onlinelibrary.wiley.com/doi/10.1002/anie.5881961?af=R" TargetMode="External"/><Relationship Id="rId928" Type="http://schemas.openxmlformats.org/officeDocument/2006/relationships/hyperlink" Target="https://doi.org/10.1002/anie.5881961" TargetMode="External"/><Relationship Id="rId929" Type="http://schemas.openxmlformats.org/officeDocument/2006/relationships/hyperlink" Target="https://onlinelibrary.wiley.com/doi/10.1002/anie.2276045?af=R" TargetMode="External"/><Relationship Id="rId930" Type="http://schemas.openxmlformats.org/officeDocument/2006/relationships/hyperlink" Target="https://doi.org/10.1002/anie.2276045" TargetMode="External"/><Relationship Id="rId931" Type="http://schemas.openxmlformats.org/officeDocument/2006/relationships/hyperlink" Target="https://onlinelibrary.wiley.com/doi/10.1002/anie.2707273?af=R" TargetMode="External"/><Relationship Id="rId932" Type="http://schemas.openxmlformats.org/officeDocument/2006/relationships/hyperlink" Target="https://doi.org/10.1002/anie.2707273" TargetMode="External"/><Relationship Id="rId933" Type="http://schemas.openxmlformats.org/officeDocument/2006/relationships/hyperlink" Target="https://onlinelibrary.wiley.com/doi/10.1002/anie.7024563?af=R" TargetMode="External"/><Relationship Id="rId934" Type="http://schemas.openxmlformats.org/officeDocument/2006/relationships/hyperlink" Target="https://doi.org/10.1002/anie.7024563" TargetMode="External"/><Relationship Id="rId935" Type="http://schemas.openxmlformats.org/officeDocument/2006/relationships/hyperlink" Target="https://onlinelibrary.wiley.com/doi/10.1002/anie.8498677?af=R" TargetMode="External"/><Relationship Id="rId936" Type="http://schemas.openxmlformats.org/officeDocument/2006/relationships/hyperlink" Target="https://doi.org/10.1002/anie.8498677" TargetMode="External"/><Relationship Id="rId937" Type="http://schemas.openxmlformats.org/officeDocument/2006/relationships/hyperlink" Target="https://onlinelibrary.wiley.com/doi/10.1002/anie.9341514?af=R" TargetMode="External"/><Relationship Id="rId938" Type="http://schemas.openxmlformats.org/officeDocument/2006/relationships/hyperlink" Target="https://doi.org/10.1002/anie.9341514" TargetMode="External"/><Relationship Id="rId939" Type="http://schemas.openxmlformats.org/officeDocument/2006/relationships/hyperlink" Target="https://onlinelibrary.wiley.com/doi/10.1002/anie.5047569?af=R" TargetMode="External"/><Relationship Id="rId940" Type="http://schemas.openxmlformats.org/officeDocument/2006/relationships/hyperlink" Target="https://doi.org/10.1002/anie.5047569" TargetMode="External"/><Relationship Id="rId941" Type="http://schemas.openxmlformats.org/officeDocument/2006/relationships/hyperlink" Target="https://onlinelibrary.wiley.com/doi/10.1002/anie.2982207?af=R" TargetMode="External"/><Relationship Id="rId942" Type="http://schemas.openxmlformats.org/officeDocument/2006/relationships/hyperlink" Target="https://doi.org/10.1002/anie.2982207" TargetMode="External"/><Relationship Id="rId943" Type="http://schemas.openxmlformats.org/officeDocument/2006/relationships/hyperlink" Target="https://www.pnas.org/doi/abs/10.1073/pnas.2532099123?mi=eymic2&amp;af=R&amp;access=on&amp;content=articlesChapters&amp;publication=pnas&amp;sortBy=Earliest&amp;target=default" TargetMode="External"/><Relationship Id="rId944" Type="http://schemas.openxmlformats.org/officeDocument/2006/relationships/hyperlink" Target="https://doi.org/10.1073/pnas.2532099123" TargetMode="External"/><Relationship Id="rId945" Type="http://schemas.openxmlformats.org/officeDocument/2006/relationships/hyperlink" Target="https://www.pnas.org/doi/abs/10.1073/pnas.2534625123?mi=eymic2&amp;af=R&amp;access=on&amp;content=articlesChapters&amp;publication=pnas&amp;sortBy=Earliest&amp;target=default" TargetMode="External"/><Relationship Id="rId946" Type="http://schemas.openxmlformats.org/officeDocument/2006/relationships/hyperlink" Target="https://doi.org/10.1073/pnas.2534625123" TargetMode="External"/><Relationship Id="rId947" Type="http://schemas.openxmlformats.org/officeDocument/2006/relationships/hyperlink" Target="https://www.pnas.org/doi/abs/10.1073/pnas.2536548123?mi=eymic2&amp;af=R&amp;access=on&amp;content=articlesChapters&amp;publication=pnas&amp;sortBy=Earliest&amp;target=default" TargetMode="External"/><Relationship Id="rId948" Type="http://schemas.openxmlformats.org/officeDocument/2006/relationships/hyperlink" Target="https://doi.org/10.1073/pnas.2536548123" TargetMode="External"/><Relationship Id="rId949" Type="http://schemas.openxmlformats.org/officeDocument/2006/relationships/hyperlink" Target="https://www.pnas.org/doi/abs/10.1073/pnas.2536560123?mi=eymic2&amp;af=R&amp;access=on&amp;content=articlesChapters&amp;publication=pnas&amp;sortBy=Earliest&amp;target=default" TargetMode="External"/><Relationship Id="rId950" Type="http://schemas.openxmlformats.org/officeDocument/2006/relationships/hyperlink" Target="https://doi.org/10.1073/pnas.2536560123" TargetMode="External"/><Relationship Id="rId951" Type="http://schemas.openxmlformats.org/officeDocument/2006/relationships/hyperlink" Target="https://www.pnas.org/doi/abs/10.1073/pnas.2525548123?mi=eymic2&amp;af=R&amp;access=on&amp;content=articlesChapters&amp;publication=pnas&amp;sortBy=Earliest&amp;target=default" TargetMode="External"/><Relationship Id="rId952" Type="http://schemas.openxmlformats.org/officeDocument/2006/relationships/hyperlink" Target="https://doi.org/10.1073/pnas.2525548123" TargetMode="External"/><Relationship Id="rId953" Type="http://schemas.openxmlformats.org/officeDocument/2006/relationships/hyperlink" Target="https://www.pnas.org/doi/abs/10.1073/pnas.2602218123?mi=eymic2&amp;af=R&amp;access=on&amp;content=articlesChapters&amp;publication=pnas&amp;sortBy=Earliest&amp;target=default" TargetMode="External"/><Relationship Id="rId954" Type="http://schemas.openxmlformats.org/officeDocument/2006/relationships/hyperlink" Target="https://doi.org/10.1073/pnas.2602218123" TargetMode="External"/><Relationship Id="rId955" Type="http://schemas.openxmlformats.org/officeDocument/2006/relationships/hyperlink" Target="https://www.pnas.org/doi/abs/10.1073/pnas.2602298123?mi=eymic2&amp;af=R&amp;access=on&amp;content=articlesChapters&amp;publication=pnas&amp;sortBy=Earliest&amp;target=default" TargetMode="External"/><Relationship Id="rId956" Type="http://schemas.openxmlformats.org/officeDocument/2006/relationships/hyperlink" Target="https://doi.org/10.1073/pnas.2602298123" TargetMode="External"/><Relationship Id="rId957" Type="http://schemas.openxmlformats.org/officeDocument/2006/relationships/hyperlink" Target="https://www.pnas.org/doi/abs/10.1073/pnas.2628616123?mi=eymic2&amp;af=R&amp;access=on&amp;content=articlesChapters&amp;publication=pnas&amp;sortBy=Earliest&amp;target=default" TargetMode="External"/><Relationship Id="rId958" Type="http://schemas.openxmlformats.org/officeDocument/2006/relationships/hyperlink" Target="https://doi.org/10.1073/pnas.2628616123" TargetMode="External"/><Relationship Id="rId959" Type="http://schemas.openxmlformats.org/officeDocument/2006/relationships/hyperlink" Target="https://www.pnas.org/doi/abs/10.1073/pnas.2603126123?mi=eymic2&amp;af=R&amp;access=on&amp;content=articlesChapters&amp;publication=pnas&amp;sortBy=Earliest&amp;target=default" TargetMode="External"/><Relationship Id="rId960" Type="http://schemas.openxmlformats.org/officeDocument/2006/relationships/hyperlink" Target="https://doi.org/10.1073/pnas.2603126123" TargetMode="External"/><Relationship Id="rId961" Type="http://schemas.openxmlformats.org/officeDocument/2006/relationships/hyperlink" Target="https://www.pnas.org/doi/abs/10.1073/pnas.2603330123?mi=eymic2&amp;af=R&amp;access=on&amp;content=articlesChapters&amp;publication=pnas&amp;sortBy=Earliest&amp;target=default" TargetMode="External"/><Relationship Id="rId962" Type="http://schemas.openxmlformats.org/officeDocument/2006/relationships/hyperlink" Target="https://doi.org/10.1073/pnas.2603330123" TargetMode="External"/><Relationship Id="rId963" Type="http://schemas.openxmlformats.org/officeDocument/2006/relationships/hyperlink" Target="https://www.pnas.org/doi/abs/10.1073/pnas.2603888123?mi=eymic2&amp;af=R&amp;access=on&amp;content=articlesChapters&amp;publication=pnas&amp;sortBy=Earliest&amp;target=default" TargetMode="External"/><Relationship Id="rId964" Type="http://schemas.openxmlformats.org/officeDocument/2006/relationships/hyperlink" Target="https://doi.org/10.1073/pnas.2603888123" TargetMode="External"/><Relationship Id="rId965" Type="http://schemas.openxmlformats.org/officeDocument/2006/relationships/hyperlink" Target="https://www.pnas.org/doi/abs/10.1073/pnas.2531151123?mi=eymic2&amp;af=R&amp;access=on&amp;content=articlesChapters&amp;publication=pnas&amp;sortBy=Earliest&amp;target=default" TargetMode="External"/><Relationship Id="rId966" Type="http://schemas.openxmlformats.org/officeDocument/2006/relationships/hyperlink" Target="https://doi.org/10.1073/pnas.2531151123" TargetMode="External"/><Relationship Id="rId967" Type="http://schemas.openxmlformats.org/officeDocument/2006/relationships/hyperlink" Target="https://www.pnas.org/doi/abs/10.1073/pnas.2600906123?mi=eymic2&amp;af=R&amp;access=on&amp;content=articlesChapters&amp;publication=pnas&amp;sortBy=Earliest&amp;target=default" TargetMode="External"/><Relationship Id="rId968" Type="http://schemas.openxmlformats.org/officeDocument/2006/relationships/hyperlink" Target="https://doi.org/10.1073/pnas.2600906123" TargetMode="External"/><Relationship Id="rId969" Type="http://schemas.openxmlformats.org/officeDocument/2006/relationships/hyperlink" Target="https://www.pnas.org/doi/abs/10.1073/pnas.2513731123?mi=eymic2&amp;af=R&amp;access=on&amp;content=articlesChapters&amp;publication=pnas&amp;sortBy=Earliest&amp;target=default" TargetMode="External"/><Relationship Id="rId970" Type="http://schemas.openxmlformats.org/officeDocument/2006/relationships/hyperlink" Target="https://doi.org/10.1073/pnas.2513731123" TargetMode="External"/><Relationship Id="rId971" Type="http://schemas.openxmlformats.org/officeDocument/2006/relationships/hyperlink" Target="https://www.pnas.org/doi/abs/10.1073/pnas.2626808123?mi=eymic2&amp;af=R&amp;access=on&amp;content=articlesChapters&amp;publication=pnas&amp;sortBy=Earliest&amp;target=default" TargetMode="External"/><Relationship Id="rId972" Type="http://schemas.openxmlformats.org/officeDocument/2006/relationships/hyperlink" Target="https://doi.org/10.1073/pnas.2626808123" TargetMode="External"/><Relationship Id="rId973" Type="http://schemas.openxmlformats.org/officeDocument/2006/relationships/hyperlink" Target="https://www.pnas.org/doi/abs/10.1073/pnas.2621501123?mi=eymic2&amp;af=R&amp;access=on&amp;content=articlesChapters&amp;publication=pnas&amp;sortBy=Earliest&amp;target=default" TargetMode="External"/><Relationship Id="rId974" Type="http://schemas.openxmlformats.org/officeDocument/2006/relationships/hyperlink" Target="https://doi.org/10.1073/pnas.2621501123" TargetMode="External"/><Relationship Id="rId975" Type="http://schemas.openxmlformats.org/officeDocument/2006/relationships/hyperlink" Target="https://www.pnas.org/doi/abs/10.1073/pnas.2619939123?mi=eymic2&amp;af=R&amp;access=on&amp;content=articlesChapters&amp;publication=pnas&amp;sortBy=Earliest&amp;target=default" TargetMode="External"/><Relationship Id="rId976" Type="http://schemas.openxmlformats.org/officeDocument/2006/relationships/hyperlink" Target="https://doi.org/10.1073/pnas.2619939123" TargetMode="External"/><Relationship Id="rId977" Type="http://schemas.openxmlformats.org/officeDocument/2006/relationships/hyperlink" Target="https://www.pnas.org/doi/abs/10.1073/pnas.2614908123?mi=eymic2&amp;af=R&amp;access=on&amp;content=articlesChapters&amp;publication=pnas&amp;sortBy=Earliest&amp;target=default" TargetMode="External"/><Relationship Id="rId978" Type="http://schemas.openxmlformats.org/officeDocument/2006/relationships/hyperlink" Target="https://doi.org/10.1073/pnas.2614908123" TargetMode="External"/><Relationship Id="rId979" Type="http://schemas.openxmlformats.org/officeDocument/2006/relationships/hyperlink" Target="https://www.pnas.org/doi/abs/10.1073/pnas.2611373123?mi=eymic2&amp;af=R&amp;access=on&amp;content=articlesChapters&amp;publication=pnas&amp;sortBy=Earliest&amp;target=default" TargetMode="External"/><Relationship Id="rId980" Type="http://schemas.openxmlformats.org/officeDocument/2006/relationships/hyperlink" Target="https://doi.org/10.1073/pnas.2611373123" TargetMode="External"/><Relationship Id="rId981" Type="http://schemas.openxmlformats.org/officeDocument/2006/relationships/hyperlink" Target="https://www.pnas.org/doi/abs/10.1073/pnas.2623373123?mi=eymic2&amp;af=R&amp;access=on&amp;content=articlesChapters&amp;publication=pnas&amp;sortBy=Earliest&amp;target=default" TargetMode="External"/><Relationship Id="rId982" Type="http://schemas.openxmlformats.org/officeDocument/2006/relationships/hyperlink" Target="https://doi.org/10.1073/pnas.2623373123" TargetMode="External"/><Relationship Id="rId983" Type="http://schemas.openxmlformats.org/officeDocument/2006/relationships/hyperlink" Target="https://www.pnas.org/doi/abs/10.1073/pnas.2609822123?mi=eymic2&amp;af=R&amp;access=on&amp;content=articlesChapters&amp;publication=pnas&amp;sortBy=Earliest&amp;target=default" TargetMode="External"/><Relationship Id="rId984" Type="http://schemas.openxmlformats.org/officeDocument/2006/relationships/hyperlink" Target="https://doi.org/10.1073/pnas.2609822123" TargetMode="External"/><Relationship Id="rId985" Type="http://schemas.openxmlformats.org/officeDocument/2006/relationships/hyperlink" Target="https://www.pnas.org/doi/abs/10.1073/pnas.2608875123?mi=eymic2&amp;af=R&amp;access=on&amp;content=articlesChapters&amp;publication=pnas&amp;sortBy=Earliest&amp;target=default" TargetMode="External"/><Relationship Id="rId986" Type="http://schemas.openxmlformats.org/officeDocument/2006/relationships/hyperlink" Target="https://doi.org/10.1073/pnas.2608875123" TargetMode="External"/><Relationship Id="rId987" Type="http://schemas.openxmlformats.org/officeDocument/2006/relationships/hyperlink" Target="https://www.pnas.org/doi/abs/10.1073/pnas.2606380123?mi=eymic2&amp;af=R&amp;access=on&amp;content=articlesChapters&amp;publication=pnas&amp;sortBy=Earliest&amp;target=default" TargetMode="External"/><Relationship Id="rId988" Type="http://schemas.openxmlformats.org/officeDocument/2006/relationships/hyperlink" Target="https://doi.org/10.1073/pnas.2606380123" TargetMode="External"/><Relationship Id="rId989" Type="http://schemas.openxmlformats.org/officeDocument/2006/relationships/hyperlink" Target="https://www.pnas.org/doi/abs/10.1073/pnas.2606099123?mi=eymic2&amp;af=R&amp;access=on&amp;content=articlesChapters&amp;publication=pnas&amp;sortBy=Earliest&amp;target=default" TargetMode="External"/><Relationship Id="rId990" Type="http://schemas.openxmlformats.org/officeDocument/2006/relationships/hyperlink" Target="https://doi.org/10.1073/pnas.2606099123" TargetMode="External"/><Relationship Id="rId991" Type="http://schemas.openxmlformats.org/officeDocument/2006/relationships/hyperlink" Target="https://www.pnas.org/doi/abs/10.1073/pnas.2610627123?mi=eymic2&amp;af=R&amp;access=on&amp;content=articlesChapters&amp;publication=pnas&amp;sortBy=Earliest&amp;target=default" TargetMode="External"/><Relationship Id="rId992" Type="http://schemas.openxmlformats.org/officeDocument/2006/relationships/hyperlink" Target="https://doi.org/10.1073/pnas.2610627123" TargetMode="External"/><Relationship Id="rId993" Type="http://schemas.openxmlformats.org/officeDocument/2006/relationships/hyperlink" Target="https://www.pnas.org/doi/abs/10.1073/pnas.2604868123?mi=eymic2&amp;af=R&amp;access=on&amp;content=articlesChapters&amp;publication=pnas&amp;sortBy=Earliest&amp;target=default" TargetMode="External"/><Relationship Id="rId994" Type="http://schemas.openxmlformats.org/officeDocument/2006/relationships/hyperlink" Target="https://doi.org/10.1073/pnas.2604868123" TargetMode="External"/><Relationship Id="rId995" Type="http://schemas.openxmlformats.org/officeDocument/2006/relationships/hyperlink" Target="https://onlinelibrary.wiley.com/doi/10.1002/anie.7149031?af=R" TargetMode="External"/><Relationship Id="rId996" Type="http://schemas.openxmlformats.org/officeDocument/2006/relationships/hyperlink" Target="https://doi.org/10.1002/anie.7149031" TargetMode="External"/><Relationship Id="rId997" Type="http://schemas.openxmlformats.org/officeDocument/2006/relationships/hyperlink" Target="https://onlinelibrary.wiley.com/doi/10.1002/anie.6061192?af=R" TargetMode="External"/><Relationship Id="rId998" Type="http://schemas.openxmlformats.org/officeDocument/2006/relationships/hyperlink" Target="https://doi.org/10.1002/anie.6061192" TargetMode="External"/><Relationship Id="rId999" Type="http://schemas.openxmlformats.org/officeDocument/2006/relationships/hyperlink" Target="https://advanced.onlinelibrary.wiley.com/doi/10.1002/adma.74852?af=R" TargetMode="External"/><Relationship Id="rId1000" Type="http://schemas.openxmlformats.org/officeDocument/2006/relationships/hyperlink" Target="https://doi.org/10.1002/adma.74852" TargetMode="External"/><Relationship Id="rId1001" Type="http://schemas.openxmlformats.org/officeDocument/2006/relationships/hyperlink" Target="https://advanced.onlinelibrary.wiley.com/doi/10.1002/adma.74866?af=R" TargetMode="External"/><Relationship Id="rId1002" Type="http://schemas.openxmlformats.org/officeDocument/2006/relationships/hyperlink" Target="https://doi.org/10.1002/adma.74866" TargetMode="External"/><Relationship Id="rId1003" Type="http://schemas.openxmlformats.org/officeDocument/2006/relationships/hyperlink" Target="http://link.aps.org/doi/10.1103/zbxv-vtq8" TargetMode="External"/><Relationship Id="rId1004" Type="http://schemas.openxmlformats.org/officeDocument/2006/relationships/hyperlink" Target="https://doi.org/10.1103/zbxv-vtq8" TargetMode="External"/><Relationship Id="rId1005" Type="http://schemas.openxmlformats.org/officeDocument/2006/relationships/hyperlink" Target="http://link.aps.org/doi/10.1103/w6fl-nx59" TargetMode="External"/><Relationship Id="rId1006" Type="http://schemas.openxmlformats.org/officeDocument/2006/relationships/hyperlink" Target="https://doi.org/10.1103/w6fl-nx59" TargetMode="External"/><Relationship Id="rId1007" Type="http://schemas.openxmlformats.org/officeDocument/2006/relationships/hyperlink" Target="http://link.aps.org/doi/10.1103/zgbl-rffb" TargetMode="External"/><Relationship Id="rId1008" Type="http://schemas.openxmlformats.org/officeDocument/2006/relationships/hyperlink" Target="https://doi.org/10.1103/zgbl-rffb" TargetMode="External"/><Relationship Id="rId1009" Type="http://schemas.openxmlformats.org/officeDocument/2006/relationships/hyperlink" Target="http://link.aps.org/doi/10.1103/ydjj-6r9l" TargetMode="External"/><Relationship Id="rId1010" Type="http://schemas.openxmlformats.org/officeDocument/2006/relationships/hyperlink" Target="https://doi.org/10.1103/ydjj-6r9l" TargetMode="External"/><Relationship Id="rId1011" Type="http://schemas.openxmlformats.org/officeDocument/2006/relationships/hyperlink" Target="http://link.aps.org/doi/10.1103/hgfn-k4ql" TargetMode="External"/><Relationship Id="rId1012" Type="http://schemas.openxmlformats.org/officeDocument/2006/relationships/hyperlink" Target="https://doi.org/10.1103/hgfn-k4ql" TargetMode="External"/><Relationship Id="rId1013" Type="http://schemas.openxmlformats.org/officeDocument/2006/relationships/hyperlink" Target="http://link.aps.org/doi/10.1103/z381-vk5n" TargetMode="External"/><Relationship Id="rId1014" Type="http://schemas.openxmlformats.org/officeDocument/2006/relationships/hyperlink" Target="https://doi.org/10.1103/z381-vk5n" TargetMode="External"/><Relationship Id="rId1015" Type="http://schemas.openxmlformats.org/officeDocument/2006/relationships/hyperlink" Target="http://link.aps.org/doi/10.1103/nvsj-f4x9" TargetMode="External"/><Relationship Id="rId1016" Type="http://schemas.openxmlformats.org/officeDocument/2006/relationships/hyperlink" Target="https://doi.org/10.1103/nvsj-f4x9" TargetMode="External"/><Relationship Id="rId1017" Type="http://schemas.openxmlformats.org/officeDocument/2006/relationships/hyperlink" Target="http://link.aps.org/doi/10.1103/28jg-542v" TargetMode="External"/><Relationship Id="rId1018" Type="http://schemas.openxmlformats.org/officeDocument/2006/relationships/hyperlink" Target="https://doi.org/10.1103/28jg-542v" TargetMode="External"/><Relationship Id="rId1019" Type="http://schemas.openxmlformats.org/officeDocument/2006/relationships/hyperlink" Target="http://link.aps.org/doi/10.1103/jqzf-d1tz" TargetMode="External"/><Relationship Id="rId1020" Type="http://schemas.openxmlformats.org/officeDocument/2006/relationships/hyperlink" Target="https://doi.org/10.1103/jqzf-d1tz" TargetMode="External"/><Relationship Id="rId1021" Type="http://schemas.openxmlformats.org/officeDocument/2006/relationships/hyperlink" Target="http://link.aps.org/doi/10.1103/pfz5-4r78" TargetMode="External"/><Relationship Id="rId1022" Type="http://schemas.openxmlformats.org/officeDocument/2006/relationships/hyperlink" Target="https://doi.org/10.1103/pfz5-4r78" TargetMode="External"/><Relationship Id="rId1023" Type="http://schemas.openxmlformats.org/officeDocument/2006/relationships/hyperlink" Target="http://link.aps.org/doi/10.1103/fdxf-plrh" TargetMode="External"/><Relationship Id="rId1024" Type="http://schemas.openxmlformats.org/officeDocument/2006/relationships/hyperlink" Target="https://doi.org/10.1103/fdxf-plrh" TargetMode="External"/><Relationship Id="rId1025" Type="http://schemas.openxmlformats.org/officeDocument/2006/relationships/hyperlink" Target="http://link.aps.org/doi/10.1103/b8n3-yrq1" TargetMode="External"/><Relationship Id="rId1026" Type="http://schemas.openxmlformats.org/officeDocument/2006/relationships/hyperlink" Target="https://doi.org/10.1103/b8n3-yrq1" TargetMode="External"/><Relationship Id="rId1027" Type="http://schemas.openxmlformats.org/officeDocument/2006/relationships/hyperlink" Target="https://advanced.onlinelibrary.wiley.com/doi/10.1002/adma.74792?af=R" TargetMode="External"/><Relationship Id="rId1028" Type="http://schemas.openxmlformats.org/officeDocument/2006/relationships/hyperlink" Target="https://doi.org/10.1002/adma.74792" TargetMode="External"/><Relationship Id="rId1029" Type="http://schemas.openxmlformats.org/officeDocument/2006/relationships/hyperlink" Target="https://onlinelibrary.wiley.com/doi/10.1002/anie.5407928?af=R" TargetMode="External"/><Relationship Id="rId1030" Type="http://schemas.openxmlformats.org/officeDocument/2006/relationships/hyperlink" Target="https://doi.org/10.1002/anie.5407928" TargetMode="External"/><Relationship Id="rId1031" Type="http://schemas.openxmlformats.org/officeDocument/2006/relationships/hyperlink" Target="https://onlinelibrary.wiley.com/doi/10.1002/anie.2026-m3007110600?af=R" TargetMode="External"/><Relationship Id="rId1032" Type="http://schemas.openxmlformats.org/officeDocument/2006/relationships/hyperlink" Target="https://doi.org/10.1002/anie.2026-m3007110600" TargetMode="External"/><Relationship Id="rId1033" Type="http://schemas.openxmlformats.org/officeDocument/2006/relationships/hyperlink" Target="https://advanced.onlinelibrary.wiley.com/doi/10.1002/adma.74882?af=R" TargetMode="External"/><Relationship Id="rId1034" Type="http://schemas.openxmlformats.org/officeDocument/2006/relationships/hyperlink" Target="https://doi.org/10.1002/adma.74882" TargetMode="External"/><Relationship Id="rId1035" Type="http://schemas.openxmlformats.org/officeDocument/2006/relationships/hyperlink" Target="https://advanced.onlinelibrary.wiley.com/doi/10.1002/adma.74838?af=R" TargetMode="External"/><Relationship Id="rId1036" Type="http://schemas.openxmlformats.org/officeDocument/2006/relationships/hyperlink" Target="https://doi.org/10.1002/adma.74838" TargetMode="External"/><Relationship Id="rId1037" Type="http://schemas.openxmlformats.org/officeDocument/2006/relationships/hyperlink" Target="https://advanced.onlinelibrary.wiley.com/doi/10.1002/adma.74879?af=R" TargetMode="External"/><Relationship Id="rId1038" Type="http://schemas.openxmlformats.org/officeDocument/2006/relationships/hyperlink" Target="https://doi.org/10.1002/adma.74879" TargetMode="External"/><Relationship Id="rId1039" Type="http://schemas.openxmlformats.org/officeDocument/2006/relationships/hyperlink" Target="https://advanced.onlinelibrary.wiley.com/doi/10.1002/adma.74849?af=R" TargetMode="External"/><Relationship Id="rId1040" Type="http://schemas.openxmlformats.org/officeDocument/2006/relationships/hyperlink" Target="https://doi.org/10.1002/adma.74849" TargetMode="External"/><Relationship Id="rId1041" Type="http://schemas.openxmlformats.org/officeDocument/2006/relationships/hyperlink" Target="https://advanced.onlinelibrary.wiley.com/doi/10.1002/adma.202505096?af=R" TargetMode="External"/><Relationship Id="rId1042" Type="http://schemas.openxmlformats.org/officeDocument/2006/relationships/hyperlink" Target="https://doi.org/10.1002/adma.202505096" TargetMode="External"/><Relationship Id="rId1043" Type="http://schemas.openxmlformats.org/officeDocument/2006/relationships/hyperlink" Target="https://advanced.onlinelibrary.wiley.com/doi/10.1002/adma.74878?af=R" TargetMode="External"/><Relationship Id="rId1044" Type="http://schemas.openxmlformats.org/officeDocument/2006/relationships/hyperlink" Target="https://doi.org/10.1002/adma.74878" TargetMode="External"/><Relationship Id="rId1045" Type="http://schemas.openxmlformats.org/officeDocument/2006/relationships/hyperlink" Target="https://ieeexplore.ieee.org/document/11433813/" TargetMode="External"/><Relationship Id="rId1046" Type="http://schemas.openxmlformats.org/officeDocument/2006/relationships/hyperlink" Target="https://doi.org/10.1109/tsg.2026.3673769" TargetMode="External"/><Relationship Id="rId1047" Type="http://schemas.openxmlformats.org/officeDocument/2006/relationships/hyperlink" Target="https://ieeexplore.ieee.org/document/11433772/" TargetMode="External"/><Relationship Id="rId1048" Type="http://schemas.openxmlformats.org/officeDocument/2006/relationships/hyperlink" Target="https://doi.org/10.1109/tec.2026.3673835" TargetMode="External"/><Relationship Id="rId1049" Type="http://schemas.openxmlformats.org/officeDocument/2006/relationships/hyperlink" Target="https://ieeexplore.ieee.org/document/11373025/" TargetMode="External"/><Relationship Id="rId1050" Type="http://schemas.openxmlformats.org/officeDocument/2006/relationships/hyperlink" Target="https://doi.org/10.1109/tec.2026.3661923" TargetMode="External"/><Relationship Id="rId1051" Type="http://schemas.openxmlformats.org/officeDocument/2006/relationships/hyperlink" Target="https://ieeexplore.ieee.org/document/11417916/" TargetMode="External"/><Relationship Id="rId1052" Type="http://schemas.openxmlformats.org/officeDocument/2006/relationships/hyperlink" Target="https://doi.org/10.1109/tec.2026.3669438" TargetMode="External"/><Relationship Id="rId1053" Type="http://schemas.openxmlformats.org/officeDocument/2006/relationships/hyperlink" Target="https://ieeexplore.ieee.org/document/11454656/" TargetMode="External"/><Relationship Id="rId1054" Type="http://schemas.openxmlformats.org/officeDocument/2006/relationships/hyperlink" Target="https://doi.org/10.1109/tsg.2026.3676808" TargetMode="External"/><Relationship Id="rId1055" Type="http://schemas.openxmlformats.org/officeDocument/2006/relationships/hyperlink" Target="https://ieeexplore.ieee.org/document/11483350/" TargetMode="External"/><Relationship Id="rId1056" Type="http://schemas.openxmlformats.org/officeDocument/2006/relationships/hyperlink" Target="https://doi.org/10.1109/tec.2026.3685235" TargetMode="External"/><Relationship Id="rId1057" Type="http://schemas.openxmlformats.org/officeDocument/2006/relationships/hyperlink" Target="https://ieeexplore.ieee.org/document/11362921/" TargetMode="External"/><Relationship Id="rId1058" Type="http://schemas.openxmlformats.org/officeDocument/2006/relationships/hyperlink" Target="https://doi.org/10.1109/tec.2026.3657222" TargetMode="External"/><Relationship Id="rId1059" Type="http://schemas.openxmlformats.org/officeDocument/2006/relationships/hyperlink" Target="https://ieeexplore.ieee.org/document/11414224/" TargetMode="External"/><Relationship Id="rId1060" Type="http://schemas.openxmlformats.org/officeDocument/2006/relationships/hyperlink" Target="https://doi.org/10.1109/tsg.2026.3668484" TargetMode="External"/><Relationship Id="rId1061" Type="http://schemas.openxmlformats.org/officeDocument/2006/relationships/hyperlink" Target="https://ieeexplore.ieee.org/document/11456183/" TargetMode="External"/><Relationship Id="rId1062" Type="http://schemas.openxmlformats.org/officeDocument/2006/relationships/hyperlink" Target="https://doi.org/10.1109/tsg.2026.3677352" TargetMode="External"/><Relationship Id="rId1063" Type="http://schemas.openxmlformats.org/officeDocument/2006/relationships/hyperlink" Target="https://ieeexplore.ieee.org/document/11399932/" TargetMode="External"/><Relationship Id="rId1064" Type="http://schemas.openxmlformats.org/officeDocument/2006/relationships/hyperlink" Target="https://doi.org/10.1109/tec.2026.3666367" TargetMode="External"/><Relationship Id="rId1065" Type="http://schemas.openxmlformats.org/officeDocument/2006/relationships/hyperlink" Target="https://ieeexplore.ieee.org/document/11430714/" TargetMode="External"/><Relationship Id="rId1066" Type="http://schemas.openxmlformats.org/officeDocument/2006/relationships/hyperlink" Target="https://doi.org/10.1109/tsg.2026.3673095" TargetMode="External"/><Relationship Id="rId1067" Type="http://schemas.openxmlformats.org/officeDocument/2006/relationships/hyperlink" Target="https://ieeexplore.ieee.org/document/11505798/" TargetMode="External"/><Relationship Id="rId1068" Type="http://schemas.openxmlformats.org/officeDocument/2006/relationships/hyperlink" Target="https://doi.org/10.1109/tec.2026.3690281" TargetMode="External"/><Relationship Id="rId1069" Type="http://schemas.openxmlformats.org/officeDocument/2006/relationships/hyperlink" Target="https://ieeexplore.ieee.org/document/11430707/" TargetMode="External"/><Relationship Id="rId1070" Type="http://schemas.openxmlformats.org/officeDocument/2006/relationships/hyperlink" Target="https://doi.org/10.1109/tsg.2026.3672814" TargetMode="External"/><Relationship Id="rId1071" Type="http://schemas.openxmlformats.org/officeDocument/2006/relationships/hyperlink" Target="https://ieeexplore.ieee.org/document/11454633/" TargetMode="External"/><Relationship Id="rId1072" Type="http://schemas.openxmlformats.org/officeDocument/2006/relationships/hyperlink" Target="https://doi.org/10.1109/tsg.2026.3676842" TargetMode="External"/><Relationship Id="rId1073" Type="http://schemas.openxmlformats.org/officeDocument/2006/relationships/hyperlink" Target="https://ieeexplore.ieee.org/document/11457026/" TargetMode="External"/><Relationship Id="rId1074" Type="http://schemas.openxmlformats.org/officeDocument/2006/relationships/hyperlink" Target="https://doi.org/10.1109/tsg.2026.3678340" TargetMode="External"/><Relationship Id="rId1075" Type="http://schemas.openxmlformats.org/officeDocument/2006/relationships/hyperlink" Target="https://ieeexplore.ieee.org/document/11429106/" TargetMode="External"/><Relationship Id="rId1076" Type="http://schemas.openxmlformats.org/officeDocument/2006/relationships/hyperlink" Target="https://doi.org/10.1109/tsg.2026.3672613" TargetMode="External"/><Relationship Id="rId1077" Type="http://schemas.openxmlformats.org/officeDocument/2006/relationships/hyperlink" Target="https://ieeexplore.ieee.org/document/11494125/" TargetMode="External"/><Relationship Id="rId1078" Type="http://schemas.openxmlformats.org/officeDocument/2006/relationships/hyperlink" Target="https://doi.org/10.1109/tsg.2026.3687196" TargetMode="External"/><Relationship Id="rId1079" Type="http://schemas.openxmlformats.org/officeDocument/2006/relationships/hyperlink" Target="https://ieeexplore.ieee.org/document/11447440/" TargetMode="External"/><Relationship Id="rId1080" Type="http://schemas.openxmlformats.org/officeDocument/2006/relationships/hyperlink" Target="https://doi.org/10.1109/tec.2026.3674968" TargetMode="External"/><Relationship Id="rId1081" Type="http://schemas.openxmlformats.org/officeDocument/2006/relationships/hyperlink" Target="https://ieeexplore.ieee.org/document/11488892/" TargetMode="External"/><Relationship Id="rId1082" Type="http://schemas.openxmlformats.org/officeDocument/2006/relationships/hyperlink" Target="https://doi.org/10.1109/tec.2026.3686179" TargetMode="External"/><Relationship Id="rId1083" Type="http://schemas.openxmlformats.org/officeDocument/2006/relationships/hyperlink" Target="https://ieeexplore.ieee.org/document/11363059/" TargetMode="External"/><Relationship Id="rId1084" Type="http://schemas.openxmlformats.org/officeDocument/2006/relationships/hyperlink" Target="https://doi.org/10.1109/tec.2026.3657215" TargetMode="External"/><Relationship Id="rId1085" Type="http://schemas.openxmlformats.org/officeDocument/2006/relationships/hyperlink" Target="https://ieeexplore.ieee.org/document/11495300/" TargetMode="External"/><Relationship Id="rId1086" Type="http://schemas.openxmlformats.org/officeDocument/2006/relationships/hyperlink" Target="https://doi.org/10.1109/tec.2026.3687962" TargetMode="External"/><Relationship Id="rId1087" Type="http://schemas.openxmlformats.org/officeDocument/2006/relationships/hyperlink" Target="https://ieeexplore.ieee.org/document/11362915/" TargetMode="External"/><Relationship Id="rId1088" Type="http://schemas.openxmlformats.org/officeDocument/2006/relationships/hyperlink" Target="https://doi.org/10.1109/tec.2026.3657355" TargetMode="External"/><Relationship Id="rId1089" Type="http://schemas.openxmlformats.org/officeDocument/2006/relationships/hyperlink" Target="https://ieeexplore.ieee.org/document/11455239/" TargetMode="External"/><Relationship Id="rId1090" Type="http://schemas.openxmlformats.org/officeDocument/2006/relationships/hyperlink" Target="https://doi.org/10.1109/tec.2026.3677039" TargetMode="External"/><Relationship Id="rId1091" Type="http://schemas.openxmlformats.org/officeDocument/2006/relationships/hyperlink" Target="https://ieeexplore.ieee.org/document/11150548/" TargetMode="External"/><Relationship Id="rId1092" Type="http://schemas.openxmlformats.org/officeDocument/2006/relationships/hyperlink" Target="https://doi.org/10.1109/tec.2025.3605898" TargetMode="External"/><Relationship Id="rId1093" Type="http://schemas.openxmlformats.org/officeDocument/2006/relationships/hyperlink" Target="https://ieeexplore.ieee.org/document/11418719/" TargetMode="External"/><Relationship Id="rId1094" Type="http://schemas.openxmlformats.org/officeDocument/2006/relationships/hyperlink" Target="https://doi.org/10.1109/tsg.2026.3669553" TargetMode="External"/><Relationship Id="rId1095" Type="http://schemas.openxmlformats.org/officeDocument/2006/relationships/hyperlink" Target="https://ieeexplore.ieee.org/document/11457261/" TargetMode="External"/><Relationship Id="rId1096" Type="http://schemas.openxmlformats.org/officeDocument/2006/relationships/hyperlink" Target="https://doi.org/10.1109/tec.2026.3678419" TargetMode="External"/><Relationship Id="rId1097" Type="http://schemas.openxmlformats.org/officeDocument/2006/relationships/hyperlink" Target="https://ieeexplore.ieee.org/document/11426970/" TargetMode="External"/><Relationship Id="rId1098" Type="http://schemas.openxmlformats.org/officeDocument/2006/relationships/hyperlink" Target="https://doi.org/10.1109/tsg.2026.3672290" TargetMode="External"/><Relationship Id="rId1099" Type="http://schemas.openxmlformats.org/officeDocument/2006/relationships/hyperlink" Target="https://ieeexplore.ieee.org/document/11386775/" TargetMode="External"/><Relationship Id="rId1100" Type="http://schemas.openxmlformats.org/officeDocument/2006/relationships/hyperlink" Target="https://doi.org/10.1109/tec.2026.3662815" TargetMode="External"/><Relationship Id="rId1101" Type="http://schemas.openxmlformats.org/officeDocument/2006/relationships/hyperlink" Target="https://ieeexplore.ieee.org/document/11509637/" TargetMode="External"/><Relationship Id="rId1102" Type="http://schemas.openxmlformats.org/officeDocument/2006/relationships/hyperlink" Target="https://doi.org/10.1109/tec.2026.3690784" TargetMode="External"/><Relationship Id="rId1103" Type="http://schemas.openxmlformats.org/officeDocument/2006/relationships/hyperlink" Target="https://ieeexplore.ieee.org/document/11386884/" TargetMode="External"/><Relationship Id="rId1104" Type="http://schemas.openxmlformats.org/officeDocument/2006/relationships/hyperlink" Target="https://doi.org/10.1109/tec.2026.3662808" TargetMode="External"/><Relationship Id="rId1105" Type="http://schemas.openxmlformats.org/officeDocument/2006/relationships/hyperlink" Target="https://ieeexplore.ieee.org/document/11482827/" TargetMode="External"/><Relationship Id="rId1106" Type="http://schemas.openxmlformats.org/officeDocument/2006/relationships/hyperlink" Target="https://doi.org/10.1109/tec.2026.3684936" TargetMode="External"/><Relationship Id="rId1107" Type="http://schemas.openxmlformats.org/officeDocument/2006/relationships/hyperlink" Target="https://ieeexplore.ieee.org/document/11421402/" TargetMode="External"/><Relationship Id="rId1108" Type="http://schemas.openxmlformats.org/officeDocument/2006/relationships/hyperlink" Target="https://doi.org/10.1109/tec.2026.3670381" TargetMode="External"/><Relationship Id="rId1109" Type="http://schemas.openxmlformats.org/officeDocument/2006/relationships/hyperlink" Target="https://ieeexplore.ieee.org/document/11511370/" TargetMode="External"/><Relationship Id="rId1110" Type="http://schemas.openxmlformats.org/officeDocument/2006/relationships/hyperlink" Target="https://doi.org/10.1109/tec.2026.3691048" TargetMode="External"/><Relationship Id="rId1111" Type="http://schemas.openxmlformats.org/officeDocument/2006/relationships/hyperlink" Target="https://ieeexplore.ieee.org/document/11397809/" TargetMode="External"/><Relationship Id="rId1112" Type="http://schemas.openxmlformats.org/officeDocument/2006/relationships/hyperlink" Target="https://doi.org/10.1109/tec.2026.3666060" TargetMode="External"/><Relationship Id="rId1113" Type="http://schemas.openxmlformats.org/officeDocument/2006/relationships/hyperlink" Target="https://ieeexplore.ieee.org/document/11436105/" TargetMode="External"/><Relationship Id="rId1114" Type="http://schemas.openxmlformats.org/officeDocument/2006/relationships/hyperlink" Target="https://doi.org/10.1109/tsg.2026.3674889" TargetMode="External"/><Relationship Id="rId1115" Type="http://schemas.openxmlformats.org/officeDocument/2006/relationships/hyperlink" Target="https://ieeexplore.ieee.org/document/11363683/" TargetMode="External"/><Relationship Id="rId1116" Type="http://schemas.openxmlformats.org/officeDocument/2006/relationships/hyperlink" Target="https://doi.org/10.1109/tec.2026.3657650" TargetMode="External"/><Relationship Id="rId1117" Type="http://schemas.openxmlformats.org/officeDocument/2006/relationships/hyperlink" Target="https://ieeexplore.ieee.org/document/11423897/" TargetMode="External"/><Relationship Id="rId1118" Type="http://schemas.openxmlformats.org/officeDocument/2006/relationships/hyperlink" Target="https://doi.org/10.1109/tec.2026.3671116" TargetMode="External"/><Relationship Id="rId1119" Type="http://schemas.openxmlformats.org/officeDocument/2006/relationships/hyperlink" Target="https://ieeexplore.ieee.org/document/11408916/" TargetMode="External"/><Relationship Id="rId1120" Type="http://schemas.openxmlformats.org/officeDocument/2006/relationships/hyperlink" Target="https://doi.org/10.1109/tsg.2026.3667702" TargetMode="External"/><Relationship Id="rId1121" Type="http://schemas.openxmlformats.org/officeDocument/2006/relationships/hyperlink" Target="https://linkinghub.elsevier.com/retrieve/pii/S259023852600192X" TargetMode="External"/><Relationship Id="rId1122" Type="http://schemas.openxmlformats.org/officeDocument/2006/relationships/hyperlink" Target="https://doi.org/10.1016/j.matt.2026.102829" TargetMode="External"/><Relationship Id="rId1123" Type="http://schemas.openxmlformats.org/officeDocument/2006/relationships/hyperlink" Target="https://linkinghub.elsevier.com/retrieve/pii/S2590238526003656" TargetMode="External"/><Relationship Id="rId1124" Type="http://schemas.openxmlformats.org/officeDocument/2006/relationships/hyperlink" Target="https://ieeexplore.ieee.org/document/11482219/" TargetMode="External"/><Relationship Id="rId1125" Type="http://schemas.openxmlformats.org/officeDocument/2006/relationships/hyperlink" Target="https://doi.org/10.1109/tsg.2026.3684113" TargetMode="External"/><Relationship Id="rId1126" Type="http://schemas.openxmlformats.org/officeDocument/2006/relationships/hyperlink" Target="https://ieeexplore.ieee.org/document/11434560/" TargetMode="External"/><Relationship Id="rId1127" Type="http://schemas.openxmlformats.org/officeDocument/2006/relationships/hyperlink" Target="https://doi.org/10.1109/tsg.2026.3673675" TargetMode="External"/><Relationship Id="rId1128" Type="http://schemas.openxmlformats.org/officeDocument/2006/relationships/hyperlink" Target="https://ieeexplore.ieee.org/document/11414215/" TargetMode="External"/><Relationship Id="rId1129" Type="http://schemas.openxmlformats.org/officeDocument/2006/relationships/hyperlink" Target="https://doi.org/10.1109/tsg.2026.3668122" TargetMode="External"/><Relationship Id="rId1130" Type="http://schemas.openxmlformats.org/officeDocument/2006/relationships/hyperlink" Target="https://ieeexplore.ieee.org/document/11480222/" TargetMode="External"/><Relationship Id="rId1131" Type="http://schemas.openxmlformats.org/officeDocument/2006/relationships/hyperlink" Target="https://doi.org/10.1109/tsg.2026.3683001" TargetMode="External"/><Relationship Id="rId1132" Type="http://schemas.openxmlformats.org/officeDocument/2006/relationships/hyperlink" Target="https://ieeexplore.ieee.org/document/11397448/" TargetMode="External"/><Relationship Id="rId1133" Type="http://schemas.openxmlformats.org/officeDocument/2006/relationships/hyperlink" Target="https://doi.org/10.1109/tsg.2026.3665273" TargetMode="External"/><Relationship Id="rId1134" Type="http://schemas.openxmlformats.org/officeDocument/2006/relationships/hyperlink" Target="https://ieeexplore.ieee.org/document/11429111/" TargetMode="External"/><Relationship Id="rId1135" Type="http://schemas.openxmlformats.org/officeDocument/2006/relationships/hyperlink" Target="https://doi.org/10.1109/tsg.2026.3672586" TargetMode="External"/><Relationship Id="rId1136" Type="http://schemas.openxmlformats.org/officeDocument/2006/relationships/hyperlink" Target="https://ieeexplore.ieee.org/document/11456219/" TargetMode="External"/><Relationship Id="rId1137" Type="http://schemas.openxmlformats.org/officeDocument/2006/relationships/hyperlink" Target="https://doi.org/10.1109/tsg.2026.3677461" TargetMode="External"/><Relationship Id="rId1138" Type="http://schemas.openxmlformats.org/officeDocument/2006/relationships/hyperlink" Target="https://ieeexplore.ieee.org/document/11475234/" TargetMode="External"/><Relationship Id="rId1139" Type="http://schemas.openxmlformats.org/officeDocument/2006/relationships/hyperlink" Target="https://doi.org/10.1109/tsg.2026.3681079" TargetMode="External"/><Relationship Id="rId1140" Type="http://schemas.openxmlformats.org/officeDocument/2006/relationships/hyperlink" Target="https://ieeexplore.ieee.org/document/11493500/" TargetMode="External"/><Relationship Id="rId1141" Type="http://schemas.openxmlformats.org/officeDocument/2006/relationships/hyperlink" Target="https://doi.org/10.1109/tsg.2026.3686472" TargetMode="External"/><Relationship Id="rId1142" Type="http://schemas.openxmlformats.org/officeDocument/2006/relationships/hyperlink" Target="https://ieeexplore.ieee.org/document/11457677/" TargetMode="External"/><Relationship Id="rId1143" Type="http://schemas.openxmlformats.org/officeDocument/2006/relationships/hyperlink" Target="https://doi.org/10.1109/tsg.2026.3678877" TargetMode="External"/><Relationship Id="rId1144" Type="http://schemas.openxmlformats.org/officeDocument/2006/relationships/hyperlink" Target="https://ieeexplore.ieee.org/document/11563669/" TargetMode="External"/><Relationship Id="rId1145" Type="http://schemas.openxmlformats.org/officeDocument/2006/relationships/hyperlink" Target="https://doi.org/10.1109/tpwrs.2026.3703616" TargetMode="External"/><Relationship Id="rId1146" Type="http://schemas.openxmlformats.org/officeDocument/2006/relationships/hyperlink" Target="https://advanced.onlinelibrary.wiley.com/doi/10.1002/adma.74885" TargetMode="External"/><Relationship Id="rId1147" Type="http://schemas.openxmlformats.org/officeDocument/2006/relationships/hyperlink" Target="https://doi.org/10.1002/adma.74885" TargetMode="External"/><Relationship Id="rId1148" Type="http://schemas.openxmlformats.org/officeDocument/2006/relationships/hyperlink" Target="https://ieeexplore.ieee.org/document/11433097/" TargetMode="External"/><Relationship Id="rId1149" Type="http://schemas.openxmlformats.org/officeDocument/2006/relationships/hyperlink" Target="https://doi.org/10.1109/tpwrs.2026.3673579" TargetMode="External"/><Relationship Id="rId1150" Type="http://schemas.openxmlformats.org/officeDocument/2006/relationships/hyperlink" Target="https://linkinghub.elsevier.com/retrieve/pii/S2451929426002846" TargetMode="External"/><Relationship Id="rId1151" Type="http://schemas.openxmlformats.org/officeDocument/2006/relationships/hyperlink" Target="https://doi.org/10.1016/j.chempr.2026.103218" TargetMode="External"/><Relationship Id="rId1152" Type="http://schemas.openxmlformats.org/officeDocument/2006/relationships/hyperlink" Target="https://onlinelibrary.wiley.com/doi/10.1002/anie.3448513" TargetMode="External"/><Relationship Id="rId1153" Type="http://schemas.openxmlformats.org/officeDocument/2006/relationships/hyperlink" Target="https://doi.org/10.1002/anie.3448513" TargetMode="External"/><Relationship Id="rId1154" Type="http://schemas.openxmlformats.org/officeDocument/2006/relationships/hyperlink" Target="https://onlinelibrary.wiley.com/doi/10.1002/anie.7017206" TargetMode="External"/><Relationship Id="rId1155" Type="http://schemas.openxmlformats.org/officeDocument/2006/relationships/hyperlink" Target="https://doi.org/10.1002/anie.7017206" TargetMode="External"/><Relationship Id="rId1156" Type="http://schemas.openxmlformats.org/officeDocument/2006/relationships/hyperlink" Target="https://onlinelibrary.wiley.com/doi/10.1002/anie.9805066" TargetMode="External"/><Relationship Id="rId1157" Type="http://schemas.openxmlformats.org/officeDocument/2006/relationships/hyperlink" Target="https://doi.org/10.1002/anie.9805066" TargetMode="External"/><Relationship Id="rId1158" Type="http://schemas.openxmlformats.org/officeDocument/2006/relationships/hyperlink" Target="https://ieeexplore.ieee.org/document/11494959/" TargetMode="External"/><Relationship Id="rId1159" Type="http://schemas.openxmlformats.org/officeDocument/2006/relationships/hyperlink" Target="https://doi.org/10.1109/tsg.2026.3687204" TargetMode="External"/><Relationship Id="rId1160" Type="http://schemas.openxmlformats.org/officeDocument/2006/relationships/hyperlink" Target="https://ieeexplore.ieee.org/document/11479625/" TargetMode="External"/><Relationship Id="rId1161" Type="http://schemas.openxmlformats.org/officeDocument/2006/relationships/hyperlink" Target="https://doi.org/10.1109/tsg.2026.3682950" TargetMode="External"/><Relationship Id="rId1162" Type="http://schemas.openxmlformats.org/officeDocument/2006/relationships/hyperlink" Target="https://ieeexplore.ieee.org/document/11411863/" TargetMode="External"/><Relationship Id="rId1163" Type="http://schemas.openxmlformats.org/officeDocument/2006/relationships/hyperlink" Target="https://doi.org/10.1109/tsg.2026.3667913" TargetMode="External"/><Relationship Id="rId1164" Type="http://schemas.openxmlformats.org/officeDocument/2006/relationships/hyperlink" Target="https://ieeexplore.ieee.org/document/11482227/" TargetMode="External"/><Relationship Id="rId1165" Type="http://schemas.openxmlformats.org/officeDocument/2006/relationships/hyperlink" Target="https://doi.org/10.1109/tsg.2026.3684062" TargetMode="External"/><Relationship Id="rId1166" Type="http://schemas.openxmlformats.org/officeDocument/2006/relationships/hyperlink" Target="https://ieeexplore.ieee.org/document/11454637/" TargetMode="External"/><Relationship Id="rId1167" Type="http://schemas.openxmlformats.org/officeDocument/2006/relationships/hyperlink" Target="https://doi.org/10.1109/tsg.2026.3676769" TargetMode="External"/><Relationship Id="rId1168" Type="http://schemas.openxmlformats.org/officeDocument/2006/relationships/hyperlink" Target="https://linkinghub.elsevier.com/retrieve/pii/S2590238526003620" TargetMode="External"/><Relationship Id="rId1169" Type="http://schemas.openxmlformats.org/officeDocument/2006/relationships/hyperlink" Target="https://doi.org/10.1016/j.matt.2026.102999" TargetMode="External"/><Relationship Id="rId1170" Type="http://schemas.openxmlformats.org/officeDocument/2006/relationships/hyperlink" Target="https://linkinghub.elsevier.com/retrieve/pii/S2590238526002808" TargetMode="External"/><Relationship Id="rId1171" Type="http://schemas.openxmlformats.org/officeDocument/2006/relationships/hyperlink" Target="https://doi.org/10.1016/j.matt.2026.102917" TargetMode="External"/><Relationship Id="rId1172" Type="http://schemas.openxmlformats.org/officeDocument/2006/relationships/hyperlink" Target="https://linkinghub.elsevier.com/retrieve/pii/S2590238526002444" TargetMode="External"/><Relationship Id="rId1173" Type="http://schemas.openxmlformats.org/officeDocument/2006/relationships/hyperlink" Target="https://doi.org/10.1016/j.matt.2026.102881" TargetMode="External"/><Relationship Id="rId1174" Type="http://schemas.openxmlformats.org/officeDocument/2006/relationships/hyperlink" Target="https://linkinghub.elsevier.com/retrieve/pii/S2590238526003176" TargetMode="External"/><Relationship Id="rId1175" Type="http://schemas.openxmlformats.org/officeDocument/2006/relationships/hyperlink" Target="https://doi.org/10.1016/j.matt.2026.102954" TargetMode="External"/><Relationship Id="rId1176" Type="http://schemas.openxmlformats.org/officeDocument/2006/relationships/hyperlink" Target="https://ieeexplore.ieee.org/document/11437543/" TargetMode="External"/><Relationship Id="rId1177" Type="http://schemas.openxmlformats.org/officeDocument/2006/relationships/hyperlink" Target="https://doi.org/10.1109/tsg.2026.3674759" TargetMode="External"/><Relationship Id="rId1178" Type="http://schemas.openxmlformats.org/officeDocument/2006/relationships/hyperlink" Target="https://ieeexplore.ieee.org/document/11593441/" TargetMode="External"/><Relationship Id="rId1179" Type="http://schemas.openxmlformats.org/officeDocument/2006/relationships/hyperlink" Target="https://doi.org/10.1109/tpwrs.2026.3709542" TargetMode="External"/><Relationship Id="rId1180" Type="http://schemas.openxmlformats.org/officeDocument/2006/relationships/hyperlink" Target="https://ieeexplore.ieee.org/document/11454657/" TargetMode="External"/><Relationship Id="rId1181" Type="http://schemas.openxmlformats.org/officeDocument/2006/relationships/hyperlink" Target="https://doi.org/10.1109/tsg.2026.3676781" TargetMode="External"/><Relationship Id="rId1182" Type="http://schemas.openxmlformats.org/officeDocument/2006/relationships/hyperlink" Target="https://ieeexplore.ieee.org/document/11414218/" TargetMode="External"/><Relationship Id="rId1183" Type="http://schemas.openxmlformats.org/officeDocument/2006/relationships/hyperlink" Target="https://doi.org/10.1109/tsg.2026.3668376" TargetMode="External"/><Relationship Id="rId1184" Type="http://schemas.openxmlformats.org/officeDocument/2006/relationships/hyperlink" Target="https://ieeexplore.ieee.org/document/11477871/" TargetMode="External"/><Relationship Id="rId1185" Type="http://schemas.openxmlformats.org/officeDocument/2006/relationships/hyperlink" Target="https://doi.org/10.1109/tsg.2026.3681939" TargetMode="External"/><Relationship Id="rId1186" Type="http://schemas.openxmlformats.org/officeDocument/2006/relationships/hyperlink" Target="https://ieeexplore.ieee.org/document/11414206/" TargetMode="External"/><Relationship Id="rId1187" Type="http://schemas.openxmlformats.org/officeDocument/2006/relationships/hyperlink" Target="https://doi.org/10.1109/tsg.2026.3668320" TargetMode="External"/><Relationship Id="rId1188" Type="http://schemas.openxmlformats.org/officeDocument/2006/relationships/hyperlink" Target="https://ieeexplore.ieee.org/document/11456188/" TargetMode="External"/><Relationship Id="rId1189" Type="http://schemas.openxmlformats.org/officeDocument/2006/relationships/hyperlink" Target="https://doi.org/10.1109/tsg.2026.3677496" TargetMode="External"/><Relationship Id="rId1190" Type="http://schemas.openxmlformats.org/officeDocument/2006/relationships/hyperlink" Target="https://ieeexplore.ieee.org/document/11432974/" TargetMode="External"/><Relationship Id="rId1191" Type="http://schemas.openxmlformats.org/officeDocument/2006/relationships/hyperlink" Target="https://doi.org/10.1109/tsg.2026.3673322" TargetMode="External"/><Relationship Id="rId1192" Type="http://schemas.openxmlformats.org/officeDocument/2006/relationships/hyperlink" Target="https://ieeexplore.ieee.org/document/11396378/" TargetMode="External"/><Relationship Id="rId1193" Type="http://schemas.openxmlformats.org/officeDocument/2006/relationships/hyperlink" Target="https://doi.org/10.1109/tsg.2026.3664436" TargetMode="External"/><Relationship Id="rId1194" Type="http://schemas.openxmlformats.org/officeDocument/2006/relationships/hyperlink" Target="https://ieeexplore.ieee.org/document/11454638/" TargetMode="External"/><Relationship Id="rId1195" Type="http://schemas.openxmlformats.org/officeDocument/2006/relationships/hyperlink" Target="https://doi.org/10.1109/tsg.2026.3676773" TargetMode="External"/><Relationship Id="rId1196" Type="http://schemas.openxmlformats.org/officeDocument/2006/relationships/hyperlink" Target="https://ieeexplore.ieee.org/document/11477872/" TargetMode="External"/><Relationship Id="rId1197" Type="http://schemas.openxmlformats.org/officeDocument/2006/relationships/hyperlink" Target="https://doi.org/10.1109/tsg.2026.3681977" TargetMode="External"/><Relationship Id="rId1198" Type="http://schemas.openxmlformats.org/officeDocument/2006/relationships/hyperlink" Target="https://ieeexplore.ieee.org/document/11456201/" TargetMode="External"/><Relationship Id="rId1199" Type="http://schemas.openxmlformats.org/officeDocument/2006/relationships/hyperlink" Target="https://doi.org/10.1109/tsg.2026.3677789" TargetMode="External"/><Relationship Id="rId1200" Type="http://schemas.openxmlformats.org/officeDocument/2006/relationships/hyperlink" Target="https://ieeexplore.ieee.org/document/11510494/" TargetMode="External"/><Relationship Id="rId1201" Type="http://schemas.openxmlformats.org/officeDocument/2006/relationships/hyperlink" Target="https://doi.org/10.1109/tec.2026.3690739" TargetMode="External"/><Relationship Id="rId1202" Type="http://schemas.openxmlformats.org/officeDocument/2006/relationships/hyperlink" Target="https://linkinghub.elsevier.com/retrieve/pii/S2590238526003632" TargetMode="External"/><Relationship Id="rId1203" Type="http://schemas.openxmlformats.org/officeDocument/2006/relationships/hyperlink" Target="https://doi.org/10.1016/j.matt.2026.103000" TargetMode="External"/><Relationship Id="rId1204" Type="http://schemas.openxmlformats.org/officeDocument/2006/relationships/hyperlink" Target="https://ieeexplore.ieee.org/document/11397757/" TargetMode="External"/><Relationship Id="rId1205" Type="http://schemas.openxmlformats.org/officeDocument/2006/relationships/hyperlink" Target="https://doi.org/10.1109/tec.2026.3665730" TargetMode="External"/><Relationship Id="rId1206" Type="http://schemas.openxmlformats.org/officeDocument/2006/relationships/hyperlink" Target="https://ieeexplore.ieee.org/document/11455942/" TargetMode="External"/><Relationship Id="rId1207" Type="http://schemas.openxmlformats.org/officeDocument/2006/relationships/hyperlink" Target="https://doi.org/10.1109/tec.2026.3677403" TargetMode="External"/><Relationship Id="rId1208" Type="http://schemas.openxmlformats.org/officeDocument/2006/relationships/hyperlink" Target="https://ieeexplore.ieee.org/document/11488475/" TargetMode="External"/><Relationship Id="rId1209" Type="http://schemas.openxmlformats.org/officeDocument/2006/relationships/hyperlink" Target="https://doi.org/10.1109/tpwrs.2026.3685657" TargetMode="External"/><Relationship Id="rId1210" Type="http://schemas.openxmlformats.org/officeDocument/2006/relationships/hyperlink" Target="https://ieeexplore.ieee.org/document/11482502/" TargetMode="External"/><Relationship Id="rId1211" Type="http://schemas.openxmlformats.org/officeDocument/2006/relationships/hyperlink" Target="https://doi.org/10.1109/tpwrs.2026.3684614" TargetMode="External"/><Relationship Id="rId1212" Type="http://schemas.openxmlformats.org/officeDocument/2006/relationships/hyperlink" Target="https://ieeexplore.ieee.org/document/11593951/" TargetMode="External"/><Relationship Id="rId1213" Type="http://schemas.openxmlformats.org/officeDocument/2006/relationships/hyperlink" Target="https://doi.org/10.1109/tsg.2026.3709623" TargetMode="External"/><Relationship Id="rId1214" Type="http://schemas.openxmlformats.org/officeDocument/2006/relationships/hyperlink" Target="https://ieeexplore.ieee.org/document/11434873/" TargetMode="External"/><Relationship Id="rId1215" Type="http://schemas.openxmlformats.org/officeDocument/2006/relationships/hyperlink" Target="https://doi.org/10.1109/tec.2026.3670450" TargetMode="External"/><Relationship Id="rId1216" Type="http://schemas.openxmlformats.org/officeDocument/2006/relationships/hyperlink" Target="https://ieeexplore.ieee.org/document/11494675/" TargetMode="External"/><Relationship Id="rId1217" Type="http://schemas.openxmlformats.org/officeDocument/2006/relationships/hyperlink" Target="https://doi.org/10.1109/tec.2026.3687758" TargetMode="External"/><Relationship Id="rId1218" Type="http://schemas.openxmlformats.org/officeDocument/2006/relationships/hyperlink" Target="https://ieeexplore.ieee.org/document/11578317/" TargetMode="External"/><Relationship Id="rId1219" Type="http://schemas.openxmlformats.org/officeDocument/2006/relationships/hyperlink" Target="https://doi.org/10.1109/tec.2026.3707397" TargetMode="External"/><Relationship Id="rId1220" Type="http://schemas.openxmlformats.org/officeDocument/2006/relationships/hyperlink" Target="https://ieeexplore.ieee.org/document/11419663/" TargetMode="External"/><Relationship Id="rId1221" Type="http://schemas.openxmlformats.org/officeDocument/2006/relationships/hyperlink" Target="https://doi.org/10.1109/tec.2026.3670030" TargetMode="External"/><Relationship Id="rId1222" Type="http://schemas.openxmlformats.org/officeDocument/2006/relationships/hyperlink" Target="https://onlinelibrary.wiley.com/doi/10.1002/anie.7495552" TargetMode="External"/><Relationship Id="rId1223" Type="http://schemas.openxmlformats.org/officeDocument/2006/relationships/hyperlink" Target="https://doi.org/10.1002/anie.7495552" TargetMode="External"/><Relationship Id="rId1224" Type="http://schemas.openxmlformats.org/officeDocument/2006/relationships/hyperlink" Target="https://ieeexplore.ieee.org/document/11482537/" TargetMode="External"/><Relationship Id="rId1225" Type="http://schemas.openxmlformats.org/officeDocument/2006/relationships/hyperlink" Target="https://doi.org/10.1109/tpwrs.2026.3684848" TargetMode="External"/><Relationship Id="rId1226" Type="http://schemas.openxmlformats.org/officeDocument/2006/relationships/hyperlink" Target="https://ieeexplore.ieee.org/document/11478789/" TargetMode="External"/><Relationship Id="rId1227" Type="http://schemas.openxmlformats.org/officeDocument/2006/relationships/hyperlink" Target="https://doi.org/10.1109/tec.2026.3682884" TargetMode="External"/><Relationship Id="rId1228" Type="http://schemas.openxmlformats.org/officeDocument/2006/relationships/hyperlink" Target="https://ieeexplore.ieee.org/document/11407467/" TargetMode="External"/><Relationship Id="rId1229" Type="http://schemas.openxmlformats.org/officeDocument/2006/relationships/hyperlink" Target="https://doi.org/10.1109/tec.2026.3667000" TargetMode="External"/><Relationship Id="rId1230" Type="http://schemas.openxmlformats.org/officeDocument/2006/relationships/hyperlink" Target="https://ieeexplore.ieee.org/document/11482817/" TargetMode="External"/><Relationship Id="rId1231" Type="http://schemas.openxmlformats.org/officeDocument/2006/relationships/hyperlink" Target="https://doi.org/10.1109/tec.2026.3685105" TargetMode="External"/><Relationship Id="rId1232" Type="http://schemas.openxmlformats.org/officeDocument/2006/relationships/hyperlink" Target="https://ieeexplore.ieee.org/document/11482883/" TargetMode="External"/><Relationship Id="rId1233" Type="http://schemas.openxmlformats.org/officeDocument/2006/relationships/hyperlink" Target="https://doi.org/10.1109/tpwrs.2026.3685128" TargetMode="External"/><Relationship Id="rId1234" Type="http://schemas.openxmlformats.org/officeDocument/2006/relationships/hyperlink" Target="https://ieeexplore.ieee.org/document/11488469/" TargetMode="External"/><Relationship Id="rId1235" Type="http://schemas.openxmlformats.org/officeDocument/2006/relationships/hyperlink" Target="https://doi.org/10.1109/tpwrs.2026.3685613" TargetMode="External"/><Relationship Id="rId1236" Type="http://schemas.openxmlformats.org/officeDocument/2006/relationships/hyperlink" Target="https://ieeexplore.ieee.org/document/11435916/" TargetMode="External"/><Relationship Id="rId1237" Type="http://schemas.openxmlformats.org/officeDocument/2006/relationships/hyperlink" Target="https://doi.org/10.1109/tpwrs.2026.3674752" TargetMode="External"/><Relationship Id="rId1238" Type="http://schemas.openxmlformats.org/officeDocument/2006/relationships/hyperlink" Target="https://ieeexplore.ieee.org/document/11481782/" TargetMode="External"/><Relationship Id="rId1239" Type="http://schemas.openxmlformats.org/officeDocument/2006/relationships/hyperlink" Target="https://doi.org/10.1109/tpwrs.2026.3684144" TargetMode="External"/><Relationship Id="rId1240" Type="http://schemas.openxmlformats.org/officeDocument/2006/relationships/hyperlink" Target="https://ieeexplore.ieee.org/document/11435247/" TargetMode="External"/><Relationship Id="rId1241" Type="http://schemas.openxmlformats.org/officeDocument/2006/relationships/hyperlink" Target="https://doi.org/10.1109/tpwrs.2026.3674489" TargetMode="External"/><Relationship Id="rId1242" Type="http://schemas.openxmlformats.org/officeDocument/2006/relationships/hyperlink" Target="https://ieeexplore.ieee.org/document/11434924/" TargetMode="External"/><Relationship Id="rId1243" Type="http://schemas.openxmlformats.org/officeDocument/2006/relationships/hyperlink" Target="https://doi.org/10.1109/tpwrs.2026.3674061" TargetMode="External"/><Relationship Id="rId1244" Type="http://schemas.openxmlformats.org/officeDocument/2006/relationships/hyperlink" Target="https://ieeexplore.ieee.org/document/11510503/" TargetMode="External"/><Relationship Id="rId1245" Type="http://schemas.openxmlformats.org/officeDocument/2006/relationships/hyperlink" Target="https://doi.org/10.1109/tec.2026.3690914" TargetMode="External"/><Relationship Id="rId1246" Type="http://schemas.openxmlformats.org/officeDocument/2006/relationships/hyperlink" Target="https://ieeexplore.ieee.org/document/11481968/" TargetMode="External"/><Relationship Id="rId1247" Type="http://schemas.openxmlformats.org/officeDocument/2006/relationships/hyperlink" Target="https://doi.org/10.1109/tpwrs.2026.3684319" TargetMode="External"/><Relationship Id="rId1248" Type="http://schemas.openxmlformats.org/officeDocument/2006/relationships/hyperlink" Target="https://ieeexplore.ieee.org/document/11437538/" TargetMode="External"/><Relationship Id="rId1249" Type="http://schemas.openxmlformats.org/officeDocument/2006/relationships/hyperlink" Target="https://doi.org/10.1109/tsg.2026.3674957" TargetMode="External"/><Relationship Id="rId1250" Type="http://schemas.openxmlformats.org/officeDocument/2006/relationships/hyperlink" Target="https://ieeexplore.ieee.org/document/11482889/" TargetMode="External"/><Relationship Id="rId1251" Type="http://schemas.openxmlformats.org/officeDocument/2006/relationships/hyperlink" Target="https://doi.org/10.1109/tpwrs.2026.3684993" TargetMode="External"/><Relationship Id="rId1252" Type="http://schemas.openxmlformats.org/officeDocument/2006/relationships/hyperlink" Target="https://ieeexplore.ieee.org/document/11481180/" TargetMode="External"/><Relationship Id="rId1253" Type="http://schemas.openxmlformats.org/officeDocument/2006/relationships/hyperlink" Target="https://doi.org/10.1109/tpwrs.2026.3683844" TargetMode="External"/><Relationship Id="rId1254" Type="http://schemas.openxmlformats.org/officeDocument/2006/relationships/hyperlink" Target="https://ieeexplore.ieee.org/document/11426812/" TargetMode="External"/><Relationship Id="rId1255" Type="http://schemas.openxmlformats.org/officeDocument/2006/relationships/hyperlink" Target="https://doi.org/10.1109/tpwrs.2026.3671869" TargetMode="External"/><Relationship Id="rId1256" Type="http://schemas.openxmlformats.org/officeDocument/2006/relationships/hyperlink" Target="https://ieeexplore.ieee.org/document/11495307/" TargetMode="External"/><Relationship Id="rId1257" Type="http://schemas.openxmlformats.org/officeDocument/2006/relationships/hyperlink" Target="https://doi.org/10.1109/tsg.2026.3687526" TargetMode="External"/><Relationship Id="rId1258" Type="http://schemas.openxmlformats.org/officeDocument/2006/relationships/hyperlink" Target="https://ieeexplore.ieee.org/document/11447350/" TargetMode="External"/><Relationship Id="rId1259" Type="http://schemas.openxmlformats.org/officeDocument/2006/relationships/hyperlink" Target="https://doi.org/10.1109/tsg.2026.3675899" TargetMode="External"/><Relationship Id="rId1260" Type="http://schemas.openxmlformats.org/officeDocument/2006/relationships/hyperlink" Target="https://ieeexplore.ieee.org/document/11505982/" TargetMode="External"/><Relationship Id="rId1261" Type="http://schemas.openxmlformats.org/officeDocument/2006/relationships/hyperlink" Target="https://doi.org/10.1109/tsg.2026.3690142" TargetMode="External"/><Relationship Id="rId1262" Type="http://schemas.openxmlformats.org/officeDocument/2006/relationships/hyperlink" Target="https://ieeexplore.ieee.org/document/11541255/" TargetMode="External"/><Relationship Id="rId1263" Type="http://schemas.openxmlformats.org/officeDocument/2006/relationships/hyperlink" Target="https://doi.org/10.1109/tsg.2026.3698675" TargetMode="External"/><Relationship Id="rId1264" Type="http://schemas.openxmlformats.org/officeDocument/2006/relationships/hyperlink" Target="https://ieeexplore.ieee.org/document/11417340/" TargetMode="External"/><Relationship Id="rId1265" Type="http://schemas.openxmlformats.org/officeDocument/2006/relationships/hyperlink" Target="https://doi.org/10.1109/tsg.2026.3669058" TargetMode="External"/><Relationship Id="rId1266" Type="http://schemas.openxmlformats.org/officeDocument/2006/relationships/hyperlink" Target="https://ieeexplore.ieee.org/document/11483246/" TargetMode="External"/><Relationship Id="rId1267" Type="http://schemas.openxmlformats.org/officeDocument/2006/relationships/hyperlink" Target="https://doi.org/10.1109/tsg.2026.3684885" TargetMode="External"/><Relationship Id="rId1268" Type="http://schemas.openxmlformats.org/officeDocument/2006/relationships/hyperlink" Target="https://ieeexplore.ieee.org/document/11482770/" TargetMode="External"/><Relationship Id="rId1269" Type="http://schemas.openxmlformats.org/officeDocument/2006/relationships/hyperlink" Target="https://doi.org/10.1109/tpwrs.2026.3684791" TargetMode="External"/><Relationship Id="rId1270" Type="http://schemas.openxmlformats.org/officeDocument/2006/relationships/hyperlink" Target="https://ieeexplore.ieee.org/document/11483241/" TargetMode="External"/><Relationship Id="rId1271" Type="http://schemas.openxmlformats.org/officeDocument/2006/relationships/hyperlink" Target="https://doi.org/10.1109/tsg.2026.3685136" TargetMode="External"/><Relationship Id="rId1272" Type="http://schemas.openxmlformats.org/officeDocument/2006/relationships/hyperlink" Target="https://ieeexplore.ieee.org/document/11409397/" TargetMode="External"/><Relationship Id="rId1273" Type="http://schemas.openxmlformats.org/officeDocument/2006/relationships/hyperlink" Target="https://doi.org/10.1109/tsg.2026.3667835" TargetMode="External"/><Relationship Id="rId1274" Type="http://schemas.openxmlformats.org/officeDocument/2006/relationships/hyperlink" Target="https://ieeexplore.ieee.org/document/11455366/" TargetMode="External"/><Relationship Id="rId1275" Type="http://schemas.openxmlformats.org/officeDocument/2006/relationships/hyperlink" Target="https://doi.org/10.1109/tsg.2026.3677277" TargetMode="External"/><Relationship Id="rId1276" Type="http://schemas.openxmlformats.org/officeDocument/2006/relationships/hyperlink" Target="https://ieeexplore.ieee.org/document/11494970/" TargetMode="External"/><Relationship Id="rId1277" Type="http://schemas.openxmlformats.org/officeDocument/2006/relationships/hyperlink" Target="https://doi.org/10.1109/tsg.2026.3687218" TargetMode="External"/><Relationship Id="rId1278" Type="http://schemas.openxmlformats.org/officeDocument/2006/relationships/hyperlink" Target="https://ieeexplore.ieee.org/document/11457028/" TargetMode="External"/><Relationship Id="rId1279" Type="http://schemas.openxmlformats.org/officeDocument/2006/relationships/hyperlink" Target="https://doi.org/10.1109/tsg.2026.3678275" TargetMode="External"/><Relationship Id="rId1280" Type="http://schemas.openxmlformats.org/officeDocument/2006/relationships/hyperlink" Target="https://ieeexplore.ieee.org/document/11434547/" TargetMode="External"/><Relationship Id="rId1281" Type="http://schemas.openxmlformats.org/officeDocument/2006/relationships/hyperlink" Target="https://doi.org/10.1109/tpwrs.2026.3673735" TargetMode="External"/><Relationship Id="rId1282" Type="http://schemas.openxmlformats.org/officeDocument/2006/relationships/hyperlink" Target="https://ieeexplore.ieee.org/document/11426807/" TargetMode="External"/><Relationship Id="rId1283" Type="http://schemas.openxmlformats.org/officeDocument/2006/relationships/hyperlink" Target="https://doi.org/10.1109/tpwrs.2026.3672206" TargetMode="External"/><Relationship Id="rId1284" Type="http://schemas.openxmlformats.org/officeDocument/2006/relationships/hyperlink" Target="https://ieeexplore.ieee.org/document/11481783/" TargetMode="External"/><Relationship Id="rId1285" Type="http://schemas.openxmlformats.org/officeDocument/2006/relationships/hyperlink" Target="https://doi.org/10.1109/tpwrs.2026.3684036" TargetMode="External"/><Relationship Id="rId1286" Type="http://schemas.openxmlformats.org/officeDocument/2006/relationships/hyperlink" Target="https://ieeexplore.ieee.org/document/11427320/" TargetMode="External"/><Relationship Id="rId1287" Type="http://schemas.openxmlformats.org/officeDocument/2006/relationships/hyperlink" Target="https://doi.org/10.1109/tpwrs.2026.3672692" TargetMode="External"/><Relationship Id="rId1288" Type="http://schemas.openxmlformats.org/officeDocument/2006/relationships/hyperlink" Target="https://ieeexplore.ieee.org/document/11515231/" TargetMode="External"/><Relationship Id="rId1289" Type="http://schemas.openxmlformats.org/officeDocument/2006/relationships/hyperlink" Target="https://doi.org/10.1109/tsg.2026.3692152" TargetMode="External"/><Relationship Id="rId1290" Type="http://schemas.openxmlformats.org/officeDocument/2006/relationships/hyperlink" Target="https://ieeexplore.ieee.org/document/11482495/" TargetMode="External"/><Relationship Id="rId1291" Type="http://schemas.openxmlformats.org/officeDocument/2006/relationships/hyperlink" Target="https://doi.org/10.1109/tpwrs.2026.3684672" TargetMode="External"/><Relationship Id="rId1292" Type="http://schemas.openxmlformats.org/officeDocument/2006/relationships/hyperlink" Target="https://ieeexplore.ieee.org/document/11440145/" TargetMode="External"/><Relationship Id="rId1293" Type="http://schemas.openxmlformats.org/officeDocument/2006/relationships/hyperlink" Target="https://doi.org/10.1109/tpwrs.2026.3674771" TargetMode="External"/><Relationship Id="rId1294" Type="http://schemas.openxmlformats.org/officeDocument/2006/relationships/hyperlink" Target="https://ieeexplore.ieee.org/document/11481654/" TargetMode="External"/><Relationship Id="rId1295" Type="http://schemas.openxmlformats.org/officeDocument/2006/relationships/hyperlink" Target="https://doi.org/10.1109/tpwrs.2026.3683988" TargetMode="External"/><Relationship Id="rId1296" Type="http://schemas.openxmlformats.org/officeDocument/2006/relationships/hyperlink" Target="https://ieeexplore.ieee.org/document/11394779/" TargetMode="External"/><Relationship Id="rId1297" Type="http://schemas.openxmlformats.org/officeDocument/2006/relationships/hyperlink" Target="https://doi.org/10.1109/tec.2026.3664079" TargetMode="External"/><Relationship Id="rId1298" Type="http://schemas.openxmlformats.org/officeDocument/2006/relationships/hyperlink" Target="https://ieeexplore.ieee.org/document/11417928/" TargetMode="External"/><Relationship Id="rId1299" Type="http://schemas.openxmlformats.org/officeDocument/2006/relationships/hyperlink" Target="https://doi.org/10.1109/tec.2026.3669173" TargetMode="External"/><Relationship Id="rId1300" Type="http://schemas.openxmlformats.org/officeDocument/2006/relationships/hyperlink" Target="https://ieeexplore.ieee.org/document/11399658/" TargetMode="External"/><Relationship Id="rId1301" Type="http://schemas.openxmlformats.org/officeDocument/2006/relationships/hyperlink" Target="https://doi.org/10.1109/tec.2026.3666225" TargetMode="External"/><Relationship Id="rId1302" Type="http://schemas.openxmlformats.org/officeDocument/2006/relationships/hyperlink" Target="https://ieeexplore.ieee.org/document/11396415/" TargetMode="External"/><Relationship Id="rId1303" Type="http://schemas.openxmlformats.org/officeDocument/2006/relationships/hyperlink" Target="https://doi.org/10.1109/tec.2026.3664845" TargetMode="External"/><Relationship Id="rId1304" Type="http://schemas.openxmlformats.org/officeDocument/2006/relationships/hyperlink" Target="https://ieeexplore.ieee.org/document/11563586/" TargetMode="External"/><Relationship Id="rId1305" Type="http://schemas.openxmlformats.org/officeDocument/2006/relationships/hyperlink" Target="https://doi.org/10.1109/tsg.2026.3703651" TargetMode="External"/><Relationship Id="rId1306" Type="http://schemas.openxmlformats.org/officeDocument/2006/relationships/hyperlink" Target="https://ieeexplore.ieee.org/document/11435395/" TargetMode="External"/><Relationship Id="rId1307" Type="http://schemas.openxmlformats.org/officeDocument/2006/relationships/hyperlink" Target="https://doi.org/10.1109/tsg.2026.3674339" TargetMode="External"/><Relationship Id="rId1308" Type="http://schemas.openxmlformats.org/officeDocument/2006/relationships/hyperlink" Target="https://ieeexplore.ieee.org/document/11454646/" TargetMode="External"/><Relationship Id="rId1309" Type="http://schemas.openxmlformats.org/officeDocument/2006/relationships/hyperlink" Target="https://doi.org/10.1109/tsg.2026.3676843" TargetMode="External"/><Relationship Id="rId1310" Type="http://schemas.openxmlformats.org/officeDocument/2006/relationships/hyperlink" Target="https://ieeexplore.ieee.org/document/11488303/" TargetMode="External"/><Relationship Id="rId1311" Type="http://schemas.openxmlformats.org/officeDocument/2006/relationships/hyperlink" Target="https://doi.org/10.1109/tec.2026.3684726" TargetMode="External"/><Relationship Id="rId1312" Type="http://schemas.openxmlformats.org/officeDocument/2006/relationships/hyperlink" Target="https://ieeexplore.ieee.org/document/11482845/" TargetMode="External"/><Relationship Id="rId1313" Type="http://schemas.openxmlformats.org/officeDocument/2006/relationships/hyperlink" Target="https://doi.org/10.1109/tec.2026.3684970" TargetMode="External"/><Relationship Id="rId1314" Type="http://schemas.openxmlformats.org/officeDocument/2006/relationships/hyperlink" Target="https://ieeexplore.ieee.org/document/11370409/" TargetMode="External"/><Relationship Id="rId1315" Type="http://schemas.openxmlformats.org/officeDocument/2006/relationships/hyperlink" Target="https://ieeexplore.ieee.org/document/11449447/" TargetMode="External"/><Relationship Id="rId1316" Type="http://schemas.openxmlformats.org/officeDocument/2006/relationships/hyperlink" Target="https://doi.org/10.1109/tec.2026.3676225" TargetMode="External"/><Relationship Id="rId1317" Type="http://schemas.openxmlformats.org/officeDocument/2006/relationships/hyperlink" Target="https://pubs.acs.org/aamick/article/doi/10.1021/acsami.6c11587/5388155/Synergistic-Dual-Mechanism-Self-Powered" TargetMode="External"/><Relationship Id="rId1318" Type="http://schemas.openxmlformats.org/officeDocument/2006/relationships/hyperlink" Target="https://doi.org/10.1021/acsami.6c11587" TargetMode="External"/><Relationship Id="rId1319" Type="http://schemas.openxmlformats.org/officeDocument/2006/relationships/hyperlink" Target="https://pubs.acs.org/aamick/article/doi/10.1021/acsami.6c15100/5389394/HfO2-Nanocrystal-Reinforced-Flexible-SiC" TargetMode="External"/><Relationship Id="rId1320" Type="http://schemas.openxmlformats.org/officeDocument/2006/relationships/hyperlink" Target="https://doi.org/10.1021/acsami.6c15100" TargetMode="External"/><Relationship Id="rId1321" Type="http://schemas.openxmlformats.org/officeDocument/2006/relationships/hyperlink" Target="https://pubs.acs.org/aamick/article/doi/10.1021/acsami.6c10709/5387827/Flexible-Red-Quantum-Dot-Light-Emitting-Diodes" TargetMode="External"/><Relationship Id="rId1322" Type="http://schemas.openxmlformats.org/officeDocument/2006/relationships/hyperlink" Target="https://doi.org/10.1021/acsami.6c10709" TargetMode="External"/><Relationship Id="rId1323" Type="http://schemas.openxmlformats.org/officeDocument/2006/relationships/hyperlink" Target="https://pubs.acs.org/aamick/article/doi/10.1021/acsami.6c11264/5389424/Fibrous-Intrinsic-Zeolitic-Pickering-Interfacial" TargetMode="External"/><Relationship Id="rId1324" Type="http://schemas.openxmlformats.org/officeDocument/2006/relationships/hyperlink" Target="https://doi.org/10.1021/acsami.6c11264" TargetMode="External"/><Relationship Id="rId1325" Type="http://schemas.openxmlformats.org/officeDocument/2006/relationships/hyperlink" Target="https://ieeexplore.ieee.org/document/11482482/" TargetMode="External"/><Relationship Id="rId1326" Type="http://schemas.openxmlformats.org/officeDocument/2006/relationships/hyperlink" Target="https://doi.org/10.1109/tec.2026.3684646" TargetMode="External"/><Relationship Id="rId1327" Type="http://schemas.openxmlformats.org/officeDocument/2006/relationships/hyperlink" Target="https://ieeexplore.ieee.org/document/11482223/" TargetMode="External"/><Relationship Id="rId1328" Type="http://schemas.openxmlformats.org/officeDocument/2006/relationships/hyperlink" Target="https://doi.org/10.1109/tsg.2026.3684117" TargetMode="External"/><Relationship Id="rId1329" Type="http://schemas.openxmlformats.org/officeDocument/2006/relationships/hyperlink" Target="https://ieeexplore.ieee.org/document/11488542/" TargetMode="External"/><Relationship Id="rId1330" Type="http://schemas.openxmlformats.org/officeDocument/2006/relationships/hyperlink" Target="https://doi.org/10.1109/tec.2026.3685704" TargetMode="External"/><Relationship Id="rId1331" Type="http://schemas.openxmlformats.org/officeDocument/2006/relationships/hyperlink" Target="https://ieeexplore.ieee.org/document/11511812/" TargetMode="External"/><Relationship Id="rId1332" Type="http://schemas.openxmlformats.org/officeDocument/2006/relationships/hyperlink" Target="https://doi.org/10.1109/tec.2026.3691142" TargetMode="External"/><Relationship Id="rId1333" Type="http://schemas.openxmlformats.org/officeDocument/2006/relationships/hyperlink" Target="https://ieeexplore.ieee.org/document/11488592/" TargetMode="External"/><Relationship Id="rId1334" Type="http://schemas.openxmlformats.org/officeDocument/2006/relationships/hyperlink" Target="https://doi.org/10.1109/tpwrs.2026.3685861" TargetMode="External"/><Relationship Id="rId1335" Type="http://schemas.openxmlformats.org/officeDocument/2006/relationships/hyperlink" Target="https://ieeexplore.ieee.org/document/11481179/" TargetMode="External"/><Relationship Id="rId1336" Type="http://schemas.openxmlformats.org/officeDocument/2006/relationships/hyperlink" Target="https://doi.org/10.1109/tpwrs.2026.3683766" TargetMode="External"/><Relationship Id="rId1337" Type="http://schemas.openxmlformats.org/officeDocument/2006/relationships/hyperlink" Target="https://ieeexplore.ieee.org/document/11359072/" TargetMode="External"/><Relationship Id="rId1338" Type="http://schemas.openxmlformats.org/officeDocument/2006/relationships/hyperlink" Target="https://doi.org/10.1109/tec.2026.3655888" TargetMode="External"/><Relationship Id="rId1339" Type="http://schemas.openxmlformats.org/officeDocument/2006/relationships/hyperlink" Target="https://ieeexplore.ieee.org/document/11505764/" TargetMode="External"/><Relationship Id="rId1340" Type="http://schemas.openxmlformats.org/officeDocument/2006/relationships/hyperlink" Target="https://doi.org/10.1109/tec.2026.3690127" TargetMode="External"/><Relationship Id="rId1341" Type="http://schemas.openxmlformats.org/officeDocument/2006/relationships/hyperlink" Target="https://ieeexplore.ieee.org/document/11593450/" TargetMode="External"/><Relationship Id="rId1342" Type="http://schemas.openxmlformats.org/officeDocument/2006/relationships/hyperlink" Target="https://doi.org/10.1109/tpwrs.2026.3709533" TargetMode="External"/><Relationship Id="rId1343" Type="http://schemas.openxmlformats.org/officeDocument/2006/relationships/hyperlink" Target="https://ieeexplore.ieee.org/document/11455374/" TargetMode="External"/><Relationship Id="rId1344" Type="http://schemas.openxmlformats.org/officeDocument/2006/relationships/hyperlink" Target="https://doi.org/10.1109/tsg.2026.3677035" TargetMode="External"/><Relationship Id="rId1345" Type="http://schemas.openxmlformats.org/officeDocument/2006/relationships/hyperlink" Target="https://ieeexplore.ieee.org/document/11433090/" TargetMode="External"/><Relationship Id="rId1346" Type="http://schemas.openxmlformats.org/officeDocument/2006/relationships/hyperlink" Target="https://doi.org/10.1109/tpwrs.2026.3673265" TargetMode="External"/><Relationship Id="rId1347" Type="http://schemas.openxmlformats.org/officeDocument/2006/relationships/hyperlink" Target="https://ieeexplore.ieee.org/document/11482091/" TargetMode="External"/><Relationship Id="rId1348" Type="http://schemas.openxmlformats.org/officeDocument/2006/relationships/hyperlink" Target="https://doi.org/10.1109/tpwrs.2026.3684552" TargetMode="External"/><Relationship Id="rId1349" Type="http://schemas.openxmlformats.org/officeDocument/2006/relationships/hyperlink" Target="https://ieeexplore.ieee.org/document/11488482/" TargetMode="External"/><Relationship Id="rId1350" Type="http://schemas.openxmlformats.org/officeDocument/2006/relationships/hyperlink" Target="https://doi.org/10.1109/tpwrs.2026.3685558" TargetMode="External"/><Relationship Id="rId1351" Type="http://schemas.openxmlformats.org/officeDocument/2006/relationships/hyperlink" Target="https://ieeexplore.ieee.org/document/11487948/" TargetMode="External"/><Relationship Id="rId1352" Type="http://schemas.openxmlformats.org/officeDocument/2006/relationships/hyperlink" Target="https://doi.org/10.1109/tpwrs.2026.3685506" TargetMode="External"/><Relationship Id="rId1353" Type="http://schemas.openxmlformats.org/officeDocument/2006/relationships/hyperlink" Target="https://ieeexplore.ieee.org/document/11449469/" TargetMode="External"/><Relationship Id="rId1354" Type="http://schemas.openxmlformats.org/officeDocument/2006/relationships/hyperlink" Target="https://doi.org/10.1109/tpwrs.2026.3676300" TargetMode="External"/><Relationship Id="rId1355" Type="http://schemas.openxmlformats.org/officeDocument/2006/relationships/hyperlink" Target="https://ieeexplore.ieee.org/document/11563583/" TargetMode="External"/><Relationship Id="rId1356" Type="http://schemas.openxmlformats.org/officeDocument/2006/relationships/hyperlink" Target="https://doi.org/10.1109/tpwrs.2026.3703658" TargetMode="External"/><Relationship Id="rId1357" Type="http://schemas.openxmlformats.org/officeDocument/2006/relationships/hyperlink" Target="https://ieeexplore.ieee.org/document/11433093/" TargetMode="External"/><Relationship Id="rId1358" Type="http://schemas.openxmlformats.org/officeDocument/2006/relationships/hyperlink" Target="https://doi.org/10.1109/tpwrs.2026.3673329" TargetMode="External"/><Relationship Id="rId1359" Type="http://schemas.openxmlformats.org/officeDocument/2006/relationships/hyperlink" Target="https://ieeexplore.ieee.org/document/11483335/" TargetMode="External"/><Relationship Id="rId1360" Type="http://schemas.openxmlformats.org/officeDocument/2006/relationships/hyperlink" Target="https://doi.org/10.1109/tpwrs.2026.3685097" TargetMode="External"/><Relationship Id="rId1361" Type="http://schemas.openxmlformats.org/officeDocument/2006/relationships/hyperlink" Target="https://ieeexplore.ieee.org/document/11429097/" TargetMode="External"/><Relationship Id="rId1362" Type="http://schemas.openxmlformats.org/officeDocument/2006/relationships/hyperlink" Target="https://doi.org/10.1109/tpwrs.2026.3672709" TargetMode="External"/><Relationship Id="rId1363" Type="http://schemas.openxmlformats.org/officeDocument/2006/relationships/hyperlink" Target="https://ieeexplore.ieee.org/document/11434926/" TargetMode="External"/><Relationship Id="rId1364" Type="http://schemas.openxmlformats.org/officeDocument/2006/relationships/hyperlink" Target="https://doi.org/10.1109/tpwrs.2026.3674119" TargetMode="External"/><Relationship Id="rId1365" Type="http://schemas.openxmlformats.org/officeDocument/2006/relationships/hyperlink" Target="https://ieeexplore.ieee.org/document/11488502/" TargetMode="External"/><Relationship Id="rId1366" Type="http://schemas.openxmlformats.org/officeDocument/2006/relationships/hyperlink" Target="https://doi.org/10.1109/tpwrs.2026.3685717" TargetMode="External"/><Relationship Id="rId1367" Type="http://schemas.openxmlformats.org/officeDocument/2006/relationships/hyperlink" Target="https://ieeexplore.ieee.org/document/11364076/" TargetMode="External"/><Relationship Id="rId1368" Type="http://schemas.openxmlformats.org/officeDocument/2006/relationships/hyperlink" Target="https://doi.org/10.1109/tec.2026.3657942" TargetMode="External"/><Relationship Id="rId1369" Type="http://schemas.openxmlformats.org/officeDocument/2006/relationships/hyperlink" Target="https://onlinelibrary.wiley.com/doi/10.1002/anie.8195696" TargetMode="External"/><Relationship Id="rId1370" Type="http://schemas.openxmlformats.org/officeDocument/2006/relationships/hyperlink" Target="https://doi.org/10.1002/anie.8195696" TargetMode="External"/><Relationship Id="rId1371" Type="http://schemas.openxmlformats.org/officeDocument/2006/relationships/hyperlink" Target="https://onlinelibrary.wiley.com/doi/10.1002/anie.8129050" TargetMode="External"/><Relationship Id="rId1372" Type="http://schemas.openxmlformats.org/officeDocument/2006/relationships/hyperlink" Target="https://doi.org/10.1002/anie.8129050" TargetMode="External"/><Relationship Id="rId1373" Type="http://schemas.openxmlformats.org/officeDocument/2006/relationships/hyperlink" Target="https://ieeexplore.ieee.org/document/11395399/" TargetMode="External"/><Relationship Id="rId1374" Type="http://schemas.openxmlformats.org/officeDocument/2006/relationships/hyperlink" Target="https://doi.org/10.1109/tec.2026.3664355" TargetMode="External"/><Relationship Id="rId1375" Type="http://schemas.openxmlformats.org/officeDocument/2006/relationships/hyperlink" Target="https://ieeexplore.ieee.org/document/11449421/" TargetMode="External"/><Relationship Id="rId1376" Type="http://schemas.openxmlformats.org/officeDocument/2006/relationships/hyperlink" Target="https://doi.org/10.1109/tec.2026.3676254" TargetMode="External"/><Relationship Id="rId1377" Type="http://schemas.openxmlformats.org/officeDocument/2006/relationships/hyperlink" Target="https://ieeexplore.ieee.org/document/11479881/" TargetMode="External"/><Relationship Id="rId1378" Type="http://schemas.openxmlformats.org/officeDocument/2006/relationships/hyperlink" Target="https://doi.org/10.1109/tec.2026.3683131" TargetMode="External"/><Relationship Id="rId1379" Type="http://schemas.openxmlformats.org/officeDocument/2006/relationships/hyperlink" Target="https://ieeexplore.ieee.org/document/11415688/" TargetMode="External"/><Relationship Id="rId1380" Type="http://schemas.openxmlformats.org/officeDocument/2006/relationships/hyperlink" Target="https://doi.org/10.1109/tec.2026.3668758" TargetMode="External"/><Relationship Id="rId1381" Type="http://schemas.openxmlformats.org/officeDocument/2006/relationships/hyperlink" Target="https://ieeexplore.ieee.org/document/11457472/" TargetMode="External"/><Relationship Id="rId1382" Type="http://schemas.openxmlformats.org/officeDocument/2006/relationships/hyperlink" Target="https://doi.org/10.1109/tec.2026.3678392" TargetMode="External"/><Relationship Id="rId1383" Type="http://schemas.openxmlformats.org/officeDocument/2006/relationships/hyperlink" Target="https://ieeexplore.ieee.org/document/11392688/" TargetMode="External"/><Relationship Id="rId1384" Type="http://schemas.openxmlformats.org/officeDocument/2006/relationships/hyperlink" Target="https://doi.org/10.1109/tec.2026.3663593" TargetMode="External"/><Relationship Id="rId1385" Type="http://schemas.openxmlformats.org/officeDocument/2006/relationships/hyperlink" Target="https://ieeexplore.ieee.org/document/11359795/" TargetMode="External"/><Relationship Id="rId1386" Type="http://schemas.openxmlformats.org/officeDocument/2006/relationships/hyperlink" Target="https://doi.org/10.1109/tec.2026.3656349" TargetMode="External"/><Relationship Id="rId1387" Type="http://schemas.openxmlformats.org/officeDocument/2006/relationships/hyperlink" Target="https://ieeexplore.ieee.org/document/11482829/" TargetMode="External"/><Relationship Id="rId1388" Type="http://schemas.openxmlformats.org/officeDocument/2006/relationships/hyperlink" Target="https://doi.org/10.1109/tpwrs.2026.3685010" TargetMode="External"/><Relationship Id="rId1389" Type="http://schemas.openxmlformats.org/officeDocument/2006/relationships/hyperlink" Target="https://ieeexplore.ieee.org/document/11363431/" TargetMode="External"/><Relationship Id="rId1390" Type="http://schemas.openxmlformats.org/officeDocument/2006/relationships/hyperlink" Target="https://doi.org/10.1109/tec.2026.3657815" TargetMode="External"/><Relationship Id="rId1391" Type="http://schemas.openxmlformats.org/officeDocument/2006/relationships/hyperlink" Target="https://ieeexplore.ieee.org/document/11563473/" TargetMode="External"/><Relationship Id="rId1392" Type="http://schemas.openxmlformats.org/officeDocument/2006/relationships/hyperlink" Target="https://doi.org/10.1109/tpwrs.2026.3703614" TargetMode="External"/><Relationship Id="rId1393" Type="http://schemas.openxmlformats.org/officeDocument/2006/relationships/hyperlink" Target="https://ieeexplore.ieee.org/document/11455376/" TargetMode="External"/><Relationship Id="rId1394" Type="http://schemas.openxmlformats.org/officeDocument/2006/relationships/hyperlink" Target="https://doi.org/10.1109/tpwrs.2026.3677246" TargetMode="External"/><Relationship Id="rId1395" Type="http://schemas.openxmlformats.org/officeDocument/2006/relationships/hyperlink" Target="https://ieeexplore.ieee.org/document/11532958/" TargetMode="External"/><Relationship Id="rId1396" Type="http://schemas.openxmlformats.org/officeDocument/2006/relationships/hyperlink" Target="https://doi.org/10.1109/tpwrs.2026.3695710" TargetMode="External"/><Relationship Id="rId1397" Type="http://schemas.openxmlformats.org/officeDocument/2006/relationships/hyperlink" Target="https://ieeexplore.ieee.org/document/11424358/" TargetMode="External"/><Relationship Id="rId1398" Type="http://schemas.openxmlformats.org/officeDocument/2006/relationships/hyperlink" Target="https://doi.org/10.1109/tpwrs.2026.3671475" TargetMode="External"/><Relationship Id="rId1399" Type="http://schemas.openxmlformats.org/officeDocument/2006/relationships/hyperlink" Target="https://ieeexplore.ieee.org/document/11450505/" TargetMode="External"/><Relationship Id="rId1400" Type="http://schemas.openxmlformats.org/officeDocument/2006/relationships/hyperlink" Target="https://doi.org/10.1109/tec.2026.3676473" TargetMode="External"/><Relationship Id="rId1401" Type="http://schemas.openxmlformats.org/officeDocument/2006/relationships/hyperlink" Target="https://www.nature.com/articles/s44460-026-00121-4" TargetMode="External"/><Relationship Id="rId1402" Type="http://schemas.openxmlformats.org/officeDocument/2006/relationships/hyperlink" Target="https://doi.org/10.1038/s44460-026-00121-4" TargetMode="External"/><Relationship Id="rId1403" Type="http://schemas.openxmlformats.org/officeDocument/2006/relationships/hyperlink" Target="https://doi.org/10.1021/acs.chemrev.5c01141" TargetMode="External"/><Relationship Id="rId1404" Type="http://schemas.openxmlformats.org/officeDocument/2006/relationships/hyperlink" Target="https://doi.org/10.1021/acs.chemrev.5c01119" TargetMode="External"/><Relationship Id="rId1405" Type="http://schemas.openxmlformats.org/officeDocument/2006/relationships/hyperlink" Target="https://ieeexplore.ieee.org/document/11481960/" TargetMode="External"/><Relationship Id="rId1406" Type="http://schemas.openxmlformats.org/officeDocument/2006/relationships/hyperlink" Target="https://doi.org/10.1109/tpwrs.2026.3684359" TargetMode="External"/><Relationship Id="rId1407" Type="http://schemas.openxmlformats.org/officeDocument/2006/relationships/hyperlink" Target="https://ieeexplore.ieee.org/document/11346027/" TargetMode="External"/><Relationship Id="rId1408" Type="http://schemas.openxmlformats.org/officeDocument/2006/relationships/hyperlink" Target="https://doi.org/10.1109/tec.2026.3653190" TargetMode="External"/><Relationship Id="rId1409" Type="http://schemas.openxmlformats.org/officeDocument/2006/relationships/hyperlink" Target="https://ieeexplore.ieee.org/document/11475787/" TargetMode="External"/><Relationship Id="rId1410" Type="http://schemas.openxmlformats.org/officeDocument/2006/relationships/hyperlink" Target="https://doi.org/10.1109/tec.2026.3681597" TargetMode="External"/><Relationship Id="rId1411" Type="http://schemas.openxmlformats.org/officeDocument/2006/relationships/hyperlink" Target="https://ieeexplore.ieee.org/document/11532959/" TargetMode="External"/><Relationship Id="rId1412" Type="http://schemas.openxmlformats.org/officeDocument/2006/relationships/hyperlink" Target="https://doi.org/10.1109/tpwrs.2026.3695692" TargetMode="External"/><Relationship Id="rId1413" Type="http://schemas.openxmlformats.org/officeDocument/2006/relationships/hyperlink" Target="https://advanced.onlinelibrary.wiley.com/doi/10.1002/adma.74899" TargetMode="External"/><Relationship Id="rId1414" Type="http://schemas.openxmlformats.org/officeDocument/2006/relationships/hyperlink" Target="https://doi.org/10.1002/adma.74899" TargetMode="External"/><Relationship Id="rId1415" Type="http://schemas.openxmlformats.org/officeDocument/2006/relationships/hyperlink" Target="https://advanced.onlinelibrary.wiley.com/doi/10.1002/adma.74794" TargetMode="External"/><Relationship Id="rId1416" Type="http://schemas.openxmlformats.org/officeDocument/2006/relationships/hyperlink" Target="https://doi.org/10.1002/adma.74794" TargetMode="External"/><Relationship Id="rId1417" Type="http://schemas.openxmlformats.org/officeDocument/2006/relationships/hyperlink" Target="https://ieeexplore.ieee.org/document/11482504/" TargetMode="External"/><Relationship Id="rId1418" Type="http://schemas.openxmlformats.org/officeDocument/2006/relationships/hyperlink" Target="https://doi.org/10.1109/tpwrs.2026.3684825" TargetMode="External"/><Relationship Id="rId1419" Type="http://schemas.openxmlformats.org/officeDocument/2006/relationships/hyperlink" Target="https://advanced.onlinelibrary.wiley.com/doi/10.1002/adma.74796" TargetMode="External"/><Relationship Id="rId1420" Type="http://schemas.openxmlformats.org/officeDocument/2006/relationships/hyperlink" Target="https://doi.org/10.1002/adma.74796" TargetMode="External"/><Relationship Id="rId1421" Type="http://schemas.openxmlformats.org/officeDocument/2006/relationships/hyperlink" Target="https://advanced.onlinelibrary.wiley.com/doi/10.1002/adma.74669" TargetMode="External"/><Relationship Id="rId1422" Type="http://schemas.openxmlformats.org/officeDocument/2006/relationships/hyperlink" Target="https://doi.org/10.1002/adma.74669" TargetMode="External"/><Relationship Id="rId1423" Type="http://schemas.openxmlformats.org/officeDocument/2006/relationships/hyperlink" Target="https://advanced.onlinelibrary.wiley.com/doi/10.1002/adma.74812" TargetMode="External"/><Relationship Id="rId1424" Type="http://schemas.openxmlformats.org/officeDocument/2006/relationships/hyperlink" Target="https://doi.org/10.1002/adma.74812" TargetMode="External"/><Relationship Id="rId1425" Type="http://schemas.openxmlformats.org/officeDocument/2006/relationships/hyperlink" Target="https://ieeexplore.ieee.org/document/11359788/" TargetMode="External"/><Relationship Id="rId1426" Type="http://schemas.openxmlformats.org/officeDocument/2006/relationships/hyperlink" Target="https://doi.org/10.1109/tec.2026.3656600" TargetMode="External"/><Relationship Id="rId1427" Type="http://schemas.openxmlformats.org/officeDocument/2006/relationships/hyperlink" Target="https://advanced.onlinelibrary.wiley.com/doi/10.1002/adma.74790" TargetMode="External"/><Relationship Id="rId1428" Type="http://schemas.openxmlformats.org/officeDocument/2006/relationships/hyperlink" Target="https://doi.org/10.1002/adma.74790" TargetMode="External"/><Relationship Id="rId1429" Type="http://schemas.openxmlformats.org/officeDocument/2006/relationships/hyperlink" Target="https://ieeexplore.ieee.org/document/11578241/" TargetMode="External"/><Relationship Id="rId1430" Type="http://schemas.openxmlformats.org/officeDocument/2006/relationships/hyperlink" Target="https://doi.org/10.1109/tpwrs.2026.3707412" TargetMode="External"/><Relationship Id="rId1431" Type="http://schemas.openxmlformats.org/officeDocument/2006/relationships/hyperlink" Target="https://advanced.onlinelibrary.wiley.com/doi/10.1002/adma.74808" TargetMode="External"/><Relationship Id="rId1432" Type="http://schemas.openxmlformats.org/officeDocument/2006/relationships/hyperlink" Target="https://doi.org/10.1002/adma.74808" TargetMode="External"/><Relationship Id="rId1433" Type="http://schemas.openxmlformats.org/officeDocument/2006/relationships/hyperlink" Target="https://ieeexplore.ieee.org/document/11494217/" TargetMode="External"/><Relationship Id="rId1434" Type="http://schemas.openxmlformats.org/officeDocument/2006/relationships/hyperlink" Target="https://doi.org/10.1109/tpwrs.2026.3687255" TargetMode="External"/><Relationship Id="rId1435" Type="http://schemas.openxmlformats.org/officeDocument/2006/relationships/hyperlink" Target="https://ieeexplore.ieee.org/document/11450056/" TargetMode="External"/><Relationship Id="rId1436" Type="http://schemas.openxmlformats.org/officeDocument/2006/relationships/hyperlink" Target="https://doi.org/10.1109/tpwrs.2026.3676651" TargetMode="External"/><Relationship Id="rId1437" Type="http://schemas.openxmlformats.org/officeDocument/2006/relationships/hyperlink" Target="https://ieeexplore.ieee.org/document/11424009/" TargetMode="External"/><Relationship Id="rId1438" Type="http://schemas.openxmlformats.org/officeDocument/2006/relationships/hyperlink" Target="https://doi.org/10.1109/tpwrs.2026.3671262" TargetMode="External"/><Relationship Id="rId1439" Type="http://schemas.openxmlformats.org/officeDocument/2006/relationships/hyperlink" Target="https://ieeexplore.ieee.org/document/11593421/" TargetMode="External"/><Relationship Id="rId1440" Type="http://schemas.openxmlformats.org/officeDocument/2006/relationships/hyperlink" Target="https://doi.org/10.1109/tpwrs.2026.3709567" TargetMode="External"/><Relationship Id="rId1441" Type="http://schemas.openxmlformats.org/officeDocument/2006/relationships/hyperlink" Target="https://ieeexplore.ieee.org/document/11603568/" TargetMode="External"/><Relationship Id="rId1442" Type="http://schemas.openxmlformats.org/officeDocument/2006/relationships/hyperlink" Target="https://doi.org/10.1109/tpwrs.2026.3712184" TargetMode="External"/><Relationship Id="rId1443" Type="http://schemas.openxmlformats.org/officeDocument/2006/relationships/hyperlink" Target="https://doi.org/10.1021/acs.chemrev.6c00100" TargetMode="External"/><Relationship Id="rId1444" Type="http://schemas.openxmlformats.org/officeDocument/2006/relationships/hyperlink" Target="https://doi.org/10.1021/acsenergylett.6c01172" TargetMode="External"/><Relationship Id="rId1445" Type="http://schemas.openxmlformats.org/officeDocument/2006/relationships/hyperlink" Target="https://doi.org/10.1021/acsami.6c10302" TargetMode="External"/><Relationship Id="rId1446" Type="http://schemas.openxmlformats.org/officeDocument/2006/relationships/hyperlink" Target="https://doi.org/10.1021/acsami.6c13904" TargetMode="External"/><Relationship Id="rId1447" Type="http://schemas.openxmlformats.org/officeDocument/2006/relationships/hyperlink" Target="https://doi.org/10.1021/acsami.6c05804" TargetMode="External"/><Relationship Id="rId1448" Type="http://schemas.openxmlformats.org/officeDocument/2006/relationships/hyperlink" Target="https://doi.org/10.1021/acsami.6c08448" TargetMode="External"/><Relationship Id="rId1449" Type="http://schemas.openxmlformats.org/officeDocument/2006/relationships/hyperlink" Target="https://doi.org/10.1021/acsami.6c07694" TargetMode="External"/><Relationship Id="rId1450" Type="http://schemas.openxmlformats.org/officeDocument/2006/relationships/hyperlink" Target="https://doi.org/10.1021/acsami.6c11892" TargetMode="External"/><Relationship Id="rId1451" Type="http://schemas.openxmlformats.org/officeDocument/2006/relationships/hyperlink" Target="https://doi.org/10.1021/acsami.6c11728" TargetMode="External"/><Relationship Id="rId1452" Type="http://schemas.openxmlformats.org/officeDocument/2006/relationships/hyperlink" Target="https://doi.org/10.1021/acsami.6c11089" TargetMode="External"/><Relationship Id="rId1453" Type="http://schemas.openxmlformats.org/officeDocument/2006/relationships/hyperlink" Target="https://doi.org/10.1016/j.chempr.2026.103209" TargetMode="External"/><Relationship Id="rId1454" Type="http://schemas.openxmlformats.org/officeDocument/2006/relationships/hyperlink" Target="https://doi.org/10.1016/j.joule.2026.102668" TargetMode="External"/><Relationship Id="rId1455" Type="http://schemas.openxmlformats.org/officeDocument/2006/relationships/hyperlink" Target="https://doi.org/10.1016/j.matt.2026.102998" TargetMode="External"/><Relationship Id="rId1456" Type="http://schemas.openxmlformats.org/officeDocument/2006/relationships/hyperlink" Target="https://advanced.onlinelibrary.wiley.com/doi/10.1002/adma.74848?af=R" TargetMode="External"/><Relationship Id="rId1457" Type="http://schemas.openxmlformats.org/officeDocument/2006/relationships/hyperlink" Target="https://doi.org/10.1002/adma.74848" TargetMode="External"/><Relationship Id="rId1458" Type="http://schemas.openxmlformats.org/officeDocument/2006/relationships/hyperlink" Target="https://doi.org/10.1021/acsami.6c13407" TargetMode="External"/><Relationship Id="rId1459" Type="http://schemas.openxmlformats.org/officeDocument/2006/relationships/hyperlink" Target="https://advanced.onlinelibrary.wiley.com/doi/10.1002/adma.74886" TargetMode="External"/><Relationship Id="rId1460" Type="http://schemas.openxmlformats.org/officeDocument/2006/relationships/hyperlink" Target="https://doi.org/10.1002/adma.74886" TargetMode="External"/><Relationship Id="rId1461" Type="http://schemas.openxmlformats.org/officeDocument/2006/relationships/hyperlink" Target="https://doi.org/10.1021/acsami.6c09126" TargetMode="External"/><Relationship Id="rId1462" Type="http://schemas.openxmlformats.org/officeDocument/2006/relationships/hyperlink" Target="https://doi.org/10.1021/acsami.6c12132" TargetMode="External"/><Relationship Id="rId1463" Type="http://schemas.openxmlformats.org/officeDocument/2006/relationships/hyperlink" Target="https://doi.org/10.1021/jacs.6c10067" TargetMode="External"/><Relationship Id="rId1464" Type="http://schemas.openxmlformats.org/officeDocument/2006/relationships/hyperlink" Target="https://doi.org/10.1021/jacs.6c12942" TargetMode="External"/><Relationship Id="rId1465" Type="http://schemas.openxmlformats.org/officeDocument/2006/relationships/hyperlink" Target="https://doi.org/10.1021/jacs.6c05613" TargetMode="External"/><Relationship Id="rId1466" Type="http://schemas.openxmlformats.org/officeDocument/2006/relationships/hyperlink" Target="https://doi.org/10.1021/jacs.6c10467" TargetMode="External"/><Relationship Id="rId1467" Type="http://schemas.openxmlformats.org/officeDocument/2006/relationships/hyperlink" Target="https://doi.org/10.1021/jacs.6c16074" TargetMode="External"/><Relationship Id="rId1468" Type="http://schemas.openxmlformats.org/officeDocument/2006/relationships/hyperlink" Target="https://doi.org/10.1021/jacs.6c10748" TargetMode="External"/><Relationship Id="rId1469" Type="http://schemas.openxmlformats.org/officeDocument/2006/relationships/hyperlink" Target="https://doi.org/10.1021/jacs.6c11903" TargetMode="External"/><Relationship Id="rId1470" Type="http://schemas.openxmlformats.org/officeDocument/2006/relationships/hyperlink" Target="https://doi.org/10.1021/jacs.6c12226" TargetMode="External"/><Relationship Id="rId1471" Type="http://schemas.openxmlformats.org/officeDocument/2006/relationships/hyperlink" Target="https://doi.org/10.1021/jacs.6c15924" TargetMode="External"/><Relationship Id="rId1472" Type="http://schemas.openxmlformats.org/officeDocument/2006/relationships/hyperlink" Target="https://doi.org/10.1021/jacs.6c11967" TargetMode="External"/><Relationship Id="rId1473" Type="http://schemas.openxmlformats.org/officeDocument/2006/relationships/hyperlink" Target="https://doi.org/10.1021/jacs.6c04584" TargetMode="External"/><Relationship Id="rId1474" Type="http://schemas.openxmlformats.org/officeDocument/2006/relationships/hyperlink" Target="https://doi.org/10.1021/acsami.6c10453" TargetMode="External"/><Relationship Id="rId1475" Type="http://schemas.openxmlformats.org/officeDocument/2006/relationships/hyperlink" Target="https://ieeexplore.ieee.org/document/11491912/" TargetMode="External"/><Relationship Id="rId1476" Type="http://schemas.openxmlformats.org/officeDocument/2006/relationships/hyperlink" Target="https://doi.org/10.1109/tpwrs.2026.3686398" TargetMode="External"/><Relationship Id="rId1477" Type="http://schemas.openxmlformats.org/officeDocument/2006/relationships/hyperlink" Target="https://ieeexplore.ieee.org/document/11434546/" TargetMode="External"/><Relationship Id="rId1478" Type="http://schemas.openxmlformats.org/officeDocument/2006/relationships/hyperlink" Target="https://doi.org/10.1109/tpwrs.2026.3673937" TargetMode="External"/><Relationship Id="rId1479" Type="http://schemas.openxmlformats.org/officeDocument/2006/relationships/hyperlink" Target="https://ieeexplore.ieee.org/document/11433105/" TargetMode="External"/><Relationship Id="rId1480" Type="http://schemas.openxmlformats.org/officeDocument/2006/relationships/hyperlink" Target="https://doi.org/10.1109/tpwrs.2026.3673335" TargetMode="External"/><Relationship Id="rId1481" Type="http://schemas.openxmlformats.org/officeDocument/2006/relationships/hyperlink" Target="https://www.nature.com/articles/s41467-026-77361-y" TargetMode="External"/><Relationship Id="rId1482" Type="http://schemas.openxmlformats.org/officeDocument/2006/relationships/hyperlink" Target="https://www.nature.com/articles/s41467-026-77201-z" TargetMode="External"/><Relationship Id="rId1483" Type="http://schemas.openxmlformats.org/officeDocument/2006/relationships/hyperlink" Target="https://www.nature.com/articles/s41467-026-77297-3" TargetMode="External"/><Relationship Id="rId1484" Type="http://schemas.openxmlformats.org/officeDocument/2006/relationships/hyperlink" Target="https://ieeexplore.ieee.org/document/11359462/" TargetMode="External"/><Relationship Id="rId1485" Type="http://schemas.openxmlformats.org/officeDocument/2006/relationships/hyperlink" Target="https://doi.org/10.1109/tec.2026.3656013" TargetMode="External"/><Relationship Id="rId1486" Type="http://schemas.openxmlformats.org/officeDocument/2006/relationships/hyperlink" Target="https://ieeexplore.ieee.org/document/11407984/" TargetMode="External"/><Relationship Id="rId1487" Type="http://schemas.openxmlformats.org/officeDocument/2006/relationships/hyperlink" Target="https://doi.org/10.1109/tec.2026.3665964" TargetMode="External"/><Relationship Id="rId1488" Type="http://schemas.openxmlformats.org/officeDocument/2006/relationships/hyperlink" Target="https://www.nature.com/articles/s41467-026-77345-y" TargetMode="External"/><Relationship Id="rId1489" Type="http://schemas.openxmlformats.org/officeDocument/2006/relationships/hyperlink" Target="https://onlinelibrary.wiley.com/doi/10.1002/anie.7517064" TargetMode="External"/><Relationship Id="rId1490" Type="http://schemas.openxmlformats.org/officeDocument/2006/relationships/hyperlink" Target="https://doi.org/10.1002/anie.7517064" TargetMode="External"/><Relationship Id="rId1491" Type="http://schemas.openxmlformats.org/officeDocument/2006/relationships/hyperlink" Target="https://onlinelibrary.wiley.com/doi/10.1002/anie.9163811" TargetMode="External"/><Relationship Id="rId1492" Type="http://schemas.openxmlformats.org/officeDocument/2006/relationships/hyperlink" Target="https://doi.org/10.1002/anie.9163811" TargetMode="External"/><Relationship Id="rId1493" Type="http://schemas.openxmlformats.org/officeDocument/2006/relationships/hyperlink" Target="https://ieeexplore.ieee.org/document/11458728/" TargetMode="External"/><Relationship Id="rId1494" Type="http://schemas.openxmlformats.org/officeDocument/2006/relationships/hyperlink" Target="https://doi.org/10.1109/tsg.2026.3679303" TargetMode="External"/><Relationship Id="rId1495" Type="http://schemas.openxmlformats.org/officeDocument/2006/relationships/hyperlink" Target="https://ieeexplore.ieee.org/document/11394826/" TargetMode="External"/><Relationship Id="rId1496" Type="http://schemas.openxmlformats.org/officeDocument/2006/relationships/hyperlink" Target="https://doi.org/10.1109/tsg.2026.3664302" TargetMode="External"/><Relationship Id="rId1497" Type="http://schemas.openxmlformats.org/officeDocument/2006/relationships/hyperlink" Target="https://ieeexplore.ieee.org/document/11454651/" TargetMode="External"/><Relationship Id="rId1498" Type="http://schemas.openxmlformats.org/officeDocument/2006/relationships/hyperlink" Target="https://doi.org/10.1109/tsg.2026.3676867" TargetMode="External"/><Relationship Id="rId1499" Type="http://schemas.openxmlformats.org/officeDocument/2006/relationships/hyperlink" Target="https://ieeexplore.ieee.org/document/11475887/" TargetMode="External"/><Relationship Id="rId1500" Type="http://schemas.openxmlformats.org/officeDocument/2006/relationships/hyperlink" Target="https://doi.org/10.1109/tsg.2026.3681544" TargetMode="External"/><Relationship Id="rId1501" Type="http://schemas.openxmlformats.org/officeDocument/2006/relationships/hyperlink" Target="https://ieeexplore.ieee.org/document/11417322/" TargetMode="External"/><Relationship Id="rId1502" Type="http://schemas.openxmlformats.org/officeDocument/2006/relationships/hyperlink" Target="https://doi.org/10.1109/tsg.2026.3668905" TargetMode="External"/><Relationship Id="rId1503" Type="http://schemas.openxmlformats.org/officeDocument/2006/relationships/hyperlink" Target="https://ieeexplore.ieee.org/document/11483215/" TargetMode="External"/><Relationship Id="rId1504" Type="http://schemas.openxmlformats.org/officeDocument/2006/relationships/hyperlink" Target="https://doi.org/10.1109/tsg.2026.3684724" TargetMode="External"/><Relationship Id="rId1505" Type="http://schemas.openxmlformats.org/officeDocument/2006/relationships/hyperlink" Target="https://ieeexplore.ieee.org/document/11447328/" TargetMode="External"/><Relationship Id="rId1506" Type="http://schemas.openxmlformats.org/officeDocument/2006/relationships/hyperlink" Target="https://doi.org/10.1109/tsg.2026.3675654" TargetMode="External"/><Relationship Id="rId1507" Type="http://schemas.openxmlformats.org/officeDocument/2006/relationships/hyperlink" Target="https://www.nature.com/articles/s41467-026-77426-y" TargetMode="External"/><Relationship Id="rId1508" Type="http://schemas.openxmlformats.org/officeDocument/2006/relationships/hyperlink" Target="https://ieeexplore.ieee.org/document/11500566/" TargetMode="External"/><Relationship Id="rId1509" Type="http://schemas.openxmlformats.org/officeDocument/2006/relationships/hyperlink" Target="https://doi.org/10.1109/tsg.2026.3688857" TargetMode="External"/><Relationship Id="rId1510" Type="http://schemas.openxmlformats.org/officeDocument/2006/relationships/hyperlink" Target="https://www.nature.com/articles/s41467-026-77427-x" TargetMode="External"/><Relationship Id="rId1511" Type="http://schemas.openxmlformats.org/officeDocument/2006/relationships/hyperlink" Target="https://ieeexplore.ieee.org/document/11575639/" TargetMode="External"/><Relationship Id="rId1512" Type="http://schemas.openxmlformats.org/officeDocument/2006/relationships/hyperlink" Target="https://doi.org/10.1109/tsg.2026.3706383" TargetMode="External"/><Relationship Id="rId1513" Type="http://schemas.openxmlformats.org/officeDocument/2006/relationships/hyperlink" Target="https://www.nature.com/articles/s41467-026-77290-w" TargetMode="External"/><Relationship Id="rId1514" Type="http://schemas.openxmlformats.org/officeDocument/2006/relationships/hyperlink" Target="https://www.nature.com/articles/s41467-026-77117-8" TargetMode="External"/><Relationship Id="rId1515" Type="http://schemas.openxmlformats.org/officeDocument/2006/relationships/hyperlink" Target="https://onlinelibrary.wiley.com/doi/10.1002/anie.2451961" TargetMode="External"/><Relationship Id="rId1516" Type="http://schemas.openxmlformats.org/officeDocument/2006/relationships/hyperlink" Target="https://doi.org/10.1002/anie.2451961" TargetMode="External"/><Relationship Id="rId1517" Type="http://schemas.openxmlformats.org/officeDocument/2006/relationships/hyperlink" Target="https://onlinelibrary.wiley.com/doi/10.1002/anie.4984465" TargetMode="External"/><Relationship Id="rId1518" Type="http://schemas.openxmlformats.org/officeDocument/2006/relationships/hyperlink" Target="https://doi.org/10.1002/anie.4984465" TargetMode="External"/><Relationship Id="rId1519" Type="http://schemas.openxmlformats.org/officeDocument/2006/relationships/hyperlink" Target="https://onlinelibrary.wiley.com/doi/10.1002/anie.5604332" TargetMode="External"/><Relationship Id="rId1520" Type="http://schemas.openxmlformats.org/officeDocument/2006/relationships/hyperlink" Target="https://doi.org/10.1002/anie.5604332" TargetMode="External"/><Relationship Id="rId1521" Type="http://schemas.openxmlformats.org/officeDocument/2006/relationships/hyperlink" Target="https://onlinelibrary.wiley.com/doi/10.1002/anie.6847901" TargetMode="External"/><Relationship Id="rId1522" Type="http://schemas.openxmlformats.org/officeDocument/2006/relationships/hyperlink" Target="https://doi.org/10.1002/anie.6847901" TargetMode="External"/><Relationship Id="rId1523" Type="http://schemas.openxmlformats.org/officeDocument/2006/relationships/hyperlink" Target="https://onlinelibrary.wiley.com/doi/10.1002/anie.8413238" TargetMode="External"/><Relationship Id="rId1524" Type="http://schemas.openxmlformats.org/officeDocument/2006/relationships/hyperlink" Target="https://doi.org/10.1002/anie.8413238" TargetMode="External"/><Relationship Id="rId1525" Type="http://schemas.openxmlformats.org/officeDocument/2006/relationships/hyperlink" Target="https://onlinelibrary.wiley.com/doi/10.1002/anie.1803920" TargetMode="External"/><Relationship Id="rId1526" Type="http://schemas.openxmlformats.org/officeDocument/2006/relationships/hyperlink" Target="https://doi.org/10.1002/anie.1803920" TargetMode="External"/><Relationship Id="rId1527" Type="http://schemas.openxmlformats.org/officeDocument/2006/relationships/hyperlink" Target="https://www.nature.com/articles/s41467-026-77077-z" TargetMode="External"/><Relationship Id="rId1528" Type="http://schemas.openxmlformats.org/officeDocument/2006/relationships/hyperlink" Target="https://www.nature.com/articles/s41467-026-77165-0" TargetMode="External"/><Relationship Id="rId1529" Type="http://schemas.openxmlformats.org/officeDocument/2006/relationships/hyperlink" Target="https://www.nature.com/articles/s41467-026-77020-2" TargetMode="External"/><Relationship Id="rId1530" Type="http://schemas.openxmlformats.org/officeDocument/2006/relationships/hyperlink" Target="https://www.nature.com/articles/s41467-026-76622-0" TargetMode="External"/><Relationship Id="rId1531" Type="http://schemas.openxmlformats.org/officeDocument/2006/relationships/hyperlink" Target="https://www.nature.com/articles/s41467-026-77259-9" TargetMode="External"/><Relationship Id="rId1532" Type="http://schemas.openxmlformats.org/officeDocument/2006/relationships/hyperlink" Target="https://www.nature.com/articles/s41467-026-77260-2" TargetMode="External"/><Relationship Id="rId1533" Type="http://schemas.openxmlformats.org/officeDocument/2006/relationships/hyperlink" Target="https://www.nature.com/articles/s41467-026-77276-8" TargetMode="External"/><Relationship Id="rId1534" Type="http://schemas.openxmlformats.org/officeDocument/2006/relationships/hyperlink" Target="https://www.nature.com/articles/s41467-026-75590-9" TargetMode="External"/><Relationship Id="rId1535" Type="http://schemas.openxmlformats.org/officeDocument/2006/relationships/hyperlink" Target="https://www.nature.com/articles/s41467-026-77224-6" TargetMode="External"/><Relationship Id="rId1536" Type="http://schemas.openxmlformats.org/officeDocument/2006/relationships/hyperlink" Target="https://onlinelibrary.wiley.com/doi/10.1002/anie.5199246" TargetMode="External"/><Relationship Id="rId1537" Type="http://schemas.openxmlformats.org/officeDocument/2006/relationships/hyperlink" Target="https://doi.org/10.1002/anie.5199246" TargetMode="External"/><Relationship Id="rId1538" Type="http://schemas.openxmlformats.org/officeDocument/2006/relationships/hyperlink" Target="https://ieeexplore.ieee.org/document/11495294/" TargetMode="External"/><Relationship Id="rId1539" Type="http://schemas.openxmlformats.org/officeDocument/2006/relationships/hyperlink" Target="https://doi.org/10.1109/tsg.2026.3688192" TargetMode="External"/><Relationship Id="rId1540" Type="http://schemas.openxmlformats.org/officeDocument/2006/relationships/hyperlink" Target="https://ieeexplore.ieee.org/document/11397732/" TargetMode="External"/><Relationship Id="rId1541" Type="http://schemas.openxmlformats.org/officeDocument/2006/relationships/hyperlink" Target="https://doi.org/10.1109/tsg.2026.3665749" TargetMode="External"/><Relationship Id="rId1542" Type="http://schemas.openxmlformats.org/officeDocument/2006/relationships/hyperlink" Target="https://ieeexplore.ieee.org/document/11434573/" TargetMode="External"/><Relationship Id="rId1543" Type="http://schemas.openxmlformats.org/officeDocument/2006/relationships/hyperlink" Target="https://doi.org/10.1109/tpwrs.2026.3673731" TargetMode="External"/><Relationship Id="rId1544" Type="http://schemas.openxmlformats.org/officeDocument/2006/relationships/hyperlink" Target="https://ieeexplore.ieee.org/document/11424018/" TargetMode="External"/><Relationship Id="rId1545" Type="http://schemas.openxmlformats.org/officeDocument/2006/relationships/hyperlink" Target="https://doi.org/10.1109/tpwrs.2026.3671108" TargetMode="External"/><Relationship Id="rId1546" Type="http://schemas.openxmlformats.org/officeDocument/2006/relationships/hyperlink" Target="https://ieeexplore.ieee.org/document/11433114/" TargetMode="External"/><Relationship Id="rId1547" Type="http://schemas.openxmlformats.org/officeDocument/2006/relationships/hyperlink" Target="https://doi.org/10.1109/tpwrs.2026.3673414" TargetMode="External"/><Relationship Id="rId1548" Type="http://schemas.openxmlformats.org/officeDocument/2006/relationships/hyperlink" Target="https://advanced.onlinelibrary.wiley.com/doi/10.1002/aenm.71524" TargetMode="External"/><Relationship Id="rId1549" Type="http://schemas.openxmlformats.org/officeDocument/2006/relationships/hyperlink" Target="https://doi.org/10.1002/aenm.71524" TargetMode="External"/><Relationship Id="rId1550" Type="http://schemas.openxmlformats.org/officeDocument/2006/relationships/hyperlink" Target="https://advanced.onlinelibrary.wiley.com/doi/10.1002/aenm.71416" TargetMode="External"/><Relationship Id="rId1551" Type="http://schemas.openxmlformats.org/officeDocument/2006/relationships/hyperlink" Target="https://ieeexplore.ieee.org/document/11541064/" TargetMode="External"/><Relationship Id="rId1552" Type="http://schemas.openxmlformats.org/officeDocument/2006/relationships/hyperlink" Target="https://doi.org/10.1109/tpwrs.2026.3698673" TargetMode="External"/><Relationship Id="rId1553" Type="http://schemas.openxmlformats.org/officeDocument/2006/relationships/hyperlink" Target="https://ieeexplore.ieee.org/document/11488523/" TargetMode="External"/><Relationship Id="rId1554" Type="http://schemas.openxmlformats.org/officeDocument/2006/relationships/hyperlink" Target="https://doi.org/10.1109/tpwrs.2026.3685924" TargetMode="External"/><Relationship Id="rId1555" Type="http://schemas.openxmlformats.org/officeDocument/2006/relationships/hyperlink" Target="https://ieeexplore.ieee.org/document/11482523/" TargetMode="External"/><Relationship Id="rId1556" Type="http://schemas.openxmlformats.org/officeDocument/2006/relationships/hyperlink" Target="https://doi.org/10.1109/tpwrs.2026.3684449" TargetMode="External"/><Relationship Id="rId1557" Type="http://schemas.openxmlformats.org/officeDocument/2006/relationships/hyperlink" Target="https://ieeexplore.ieee.org/document/11425802/" TargetMode="External"/><Relationship Id="rId1558" Type="http://schemas.openxmlformats.org/officeDocument/2006/relationships/hyperlink" Target="https://doi.org/10.1109/tpwrs.2026.3671837" TargetMode="External"/><Relationship Id="rId1559" Type="http://schemas.openxmlformats.org/officeDocument/2006/relationships/hyperlink" Target="https://ieeexplore.ieee.org/document/11482518/" TargetMode="External"/><Relationship Id="rId1560" Type="http://schemas.openxmlformats.org/officeDocument/2006/relationships/hyperlink" Target="https://doi.org/10.1109/tpwrs.2026.3684462" TargetMode="External"/><Relationship Id="rId1561" Type="http://schemas.openxmlformats.org/officeDocument/2006/relationships/hyperlink" Target="https://ieeexplore.ieee.org/document/11432946/" TargetMode="External"/><Relationship Id="rId1562" Type="http://schemas.openxmlformats.org/officeDocument/2006/relationships/hyperlink" Target="https://doi.org/10.1109/tsg.2026.3673601" TargetMode="External"/><Relationship Id="rId1563" Type="http://schemas.openxmlformats.org/officeDocument/2006/relationships/hyperlink" Target="https://ieeexplore.ieee.org/document/11360296/" TargetMode="External"/><Relationship Id="rId1564" Type="http://schemas.openxmlformats.org/officeDocument/2006/relationships/hyperlink" Target="https://doi.org/10.1109/tec.2026.3656623" TargetMode="External"/><Relationship Id="rId1565" Type="http://schemas.openxmlformats.org/officeDocument/2006/relationships/hyperlink" Target="https://www.nature.com/articles/s41467-026-77166-z" TargetMode="External"/><Relationship Id="rId1566" Type="http://schemas.openxmlformats.org/officeDocument/2006/relationships/hyperlink" Target="https://ieeexplore.ieee.org/document/11411860/" TargetMode="External"/><Relationship Id="rId1567" Type="http://schemas.openxmlformats.org/officeDocument/2006/relationships/hyperlink" Target="https://doi.org/10.1109/tsg.2026.3667966" TargetMode="External"/><Relationship Id="rId1568" Type="http://schemas.openxmlformats.org/officeDocument/2006/relationships/hyperlink" Target="https://onlinelibrary.wiley.com/doi/10.1002/anie.1815171" TargetMode="External"/><Relationship Id="rId1569" Type="http://schemas.openxmlformats.org/officeDocument/2006/relationships/hyperlink" Target="https://doi.org/10.1002/anie.1815171" TargetMode="External"/><Relationship Id="rId1570" Type="http://schemas.openxmlformats.org/officeDocument/2006/relationships/hyperlink" Target="https://onlinelibrary.wiley.com/doi/10.1002/anie.7006612" TargetMode="External"/><Relationship Id="rId1571" Type="http://schemas.openxmlformats.org/officeDocument/2006/relationships/hyperlink" Target="https://doi.org/10.1002/anie.7006612" TargetMode="External"/><Relationship Id="rId1572" Type="http://schemas.openxmlformats.org/officeDocument/2006/relationships/hyperlink" Target="https://onlinelibrary.wiley.com/doi/10.1002/anie.5509036" TargetMode="External"/><Relationship Id="rId1573" Type="http://schemas.openxmlformats.org/officeDocument/2006/relationships/hyperlink" Target="https://doi.org/10.1002/anie.5509036" TargetMode="External"/><Relationship Id="rId1574" Type="http://schemas.openxmlformats.org/officeDocument/2006/relationships/hyperlink" Target="https://onlinelibrary.wiley.com/doi/10.1002/anie.4575346" TargetMode="External"/><Relationship Id="rId1575" Type="http://schemas.openxmlformats.org/officeDocument/2006/relationships/hyperlink" Target="https://doi.org/10.1002/anie.4575346" TargetMode="External"/><Relationship Id="rId1576" Type="http://schemas.openxmlformats.org/officeDocument/2006/relationships/hyperlink" Target="https://onlinelibrary.wiley.com/doi/10.1002/anie.2725970" TargetMode="External"/><Relationship Id="rId1577" Type="http://schemas.openxmlformats.org/officeDocument/2006/relationships/hyperlink" Target="https://doi.org/10.1002/anie.2725970" TargetMode="External"/><Relationship Id="rId1578" Type="http://schemas.openxmlformats.org/officeDocument/2006/relationships/hyperlink" Target="https://www.nature.com/articles/s41467-026-77171-2" TargetMode="External"/><Relationship Id="rId1579" Type="http://schemas.openxmlformats.org/officeDocument/2006/relationships/hyperlink" Target="https://www.nature.com/articles/s41467-026-77157-0" TargetMode="External"/><Relationship Id="rId1580" Type="http://schemas.openxmlformats.org/officeDocument/2006/relationships/hyperlink" Target="https://www.nature.com/articles/s41467-026-76234-8" TargetMode="External"/><Relationship Id="rId1581" Type="http://schemas.openxmlformats.org/officeDocument/2006/relationships/hyperlink" Target="https://ieeexplore.ieee.org/document/11419821/" TargetMode="External"/><Relationship Id="rId1582" Type="http://schemas.openxmlformats.org/officeDocument/2006/relationships/hyperlink" Target="https://doi.org/10.1109/tec.2026.3669789" TargetMode="External"/><Relationship Id="rId1583" Type="http://schemas.openxmlformats.org/officeDocument/2006/relationships/hyperlink" Target="https://ieeexplore.ieee.org/document/11488527/" TargetMode="External"/><Relationship Id="rId1584" Type="http://schemas.openxmlformats.org/officeDocument/2006/relationships/hyperlink" Target="https://doi.org/10.1109/tec.2026.3685813" TargetMode="External"/><Relationship Id="rId1585" Type="http://schemas.openxmlformats.org/officeDocument/2006/relationships/hyperlink" Target="https://ieeexplore.ieee.org/document/11455363/" TargetMode="External"/><Relationship Id="rId1586" Type="http://schemas.openxmlformats.org/officeDocument/2006/relationships/hyperlink" Target="https://doi.org/10.1109/tsg.2026.3676977" TargetMode="External"/><Relationship Id="rId1587" Type="http://schemas.openxmlformats.org/officeDocument/2006/relationships/hyperlink" Target="https://ieeexplore.ieee.org/document/11475178/" TargetMode="External"/><Relationship Id="rId1588" Type="http://schemas.openxmlformats.org/officeDocument/2006/relationships/hyperlink" Target="https://doi.org/10.1109/tsg.2026.3681028" TargetMode="External"/><Relationship Id="rId1589" Type="http://schemas.openxmlformats.org/officeDocument/2006/relationships/hyperlink" Target="https://ieeexplore.ieee.org/document/11494131/" TargetMode="External"/><Relationship Id="rId1590" Type="http://schemas.openxmlformats.org/officeDocument/2006/relationships/hyperlink" Target="https://doi.org/10.1109/tsg.2026.3686950" TargetMode="External"/><Relationship Id="rId1591" Type="http://schemas.openxmlformats.org/officeDocument/2006/relationships/hyperlink" Target="https://ieeexplore.ieee.org/document/11471869/" TargetMode="External"/><Relationship Id="rId1592" Type="http://schemas.openxmlformats.org/officeDocument/2006/relationships/hyperlink" Target="https://doi.org/10.1109/tsg.2026.3679970" TargetMode="External"/><Relationship Id="rId1593" Type="http://schemas.openxmlformats.org/officeDocument/2006/relationships/hyperlink" Target="https://ieeexplore.ieee.org/document/11500547/" TargetMode="External"/><Relationship Id="rId1594" Type="http://schemas.openxmlformats.org/officeDocument/2006/relationships/hyperlink" Target="https://doi.org/10.1109/tsg.2026.3688603" TargetMode="External"/><Relationship Id="rId1595" Type="http://schemas.openxmlformats.org/officeDocument/2006/relationships/hyperlink" Target="https://ieeexplore.ieee.org/document/11447437/" TargetMode="External"/><Relationship Id="rId1596" Type="http://schemas.openxmlformats.org/officeDocument/2006/relationships/hyperlink" Target="https://doi.org/10.1109/tec.2026.3675728" TargetMode="External"/><Relationship Id="rId1597" Type="http://schemas.openxmlformats.org/officeDocument/2006/relationships/hyperlink" Target="https://www.nature.com/articles/s41467-026-77323-4" TargetMode="External"/><Relationship Id="rId1598" Type="http://schemas.openxmlformats.org/officeDocument/2006/relationships/hyperlink" Target="https://doi.org/10.1109/tsg.2026.3688749" TargetMode="External"/><Relationship Id="rId1599" Type="http://schemas.openxmlformats.org/officeDocument/2006/relationships/hyperlink" Target="https://doi.org/10.1109/tsg.2026.3687859" TargetMode="External"/><Relationship Id="rId1600" Type="http://schemas.openxmlformats.org/officeDocument/2006/relationships/hyperlink" Target="https://doi.org/10.1109/tsg.2026.3688657" TargetMode="External"/><Relationship Id="rId1601" Type="http://schemas.openxmlformats.org/officeDocument/2006/relationships/hyperlink" Target="https://doi.org/10.1109/tsg.2026.3683908" TargetMode="External"/><Relationship Id="rId1602" Type="http://schemas.openxmlformats.org/officeDocument/2006/relationships/hyperlink" Target="https://doi.org/10.1109/tsg.2026.3689406" TargetMode="External"/><Relationship Id="rId1603" Type="http://schemas.openxmlformats.org/officeDocument/2006/relationships/hyperlink" Target="https://doi.org/10.1016/j.matt.2026.102855" TargetMode="External"/><Relationship Id="rId1604" Type="http://schemas.openxmlformats.org/officeDocument/2006/relationships/hyperlink" Target="https://doi.org/10.1016/j.matt.2026.102854" TargetMode="External"/><Relationship Id="rId1605" Type="http://schemas.openxmlformats.org/officeDocument/2006/relationships/hyperlink" Target="https://doi.org/10.1109/tsg.2026.3722012" TargetMode="External"/><Relationship Id="rId1606" Type="http://schemas.openxmlformats.org/officeDocument/2006/relationships/hyperlink" Target="https://doi.org/10.1109/tsg.2026.3688313" TargetMode="External"/><Relationship Id="rId1607" Type="http://schemas.openxmlformats.org/officeDocument/2006/relationships/hyperlink" Target="https://doi.org/10.1109/tpwrs.2026.3719044" TargetMode="External"/><Relationship Id="rId1608" Type="http://schemas.openxmlformats.org/officeDocument/2006/relationships/hyperlink" Target="https://doi.org/10.1109/tsg.2026.3688250" TargetMode="External"/><Relationship Id="rId1609" Type="http://schemas.openxmlformats.org/officeDocument/2006/relationships/hyperlink" Target="https://doi.org/10.1109/tsg.2026.3687233" TargetMode="External"/><Relationship Id="rId1610" Type="http://schemas.openxmlformats.org/officeDocument/2006/relationships/hyperlink" Target="https://doi.org/10.1109/tsg.2026.3687884" TargetMode="External"/><Relationship Id="rId1611" Type="http://schemas.openxmlformats.org/officeDocument/2006/relationships/hyperlink" Target="https://doi.org/10.1109/tec.2026.3689444" TargetMode="External"/><Relationship Id="rId1612" Type="http://schemas.openxmlformats.org/officeDocument/2006/relationships/hyperlink" Target="https://doi.org/10.1109/tec.2026.3688057" TargetMode="External"/><Relationship Id="rId1613" Type="http://schemas.openxmlformats.org/officeDocument/2006/relationships/hyperlink" Target="https://doi.org/10.1109/tec.2026.3688132" TargetMode="External"/><Relationship Id="rId1614" Type="http://schemas.openxmlformats.org/officeDocument/2006/relationships/hyperlink" Target="https://doi.org/10.1109/tsg.2026.3688202" TargetMode="External"/><Relationship Id="rId1615" Type="http://schemas.openxmlformats.org/officeDocument/2006/relationships/hyperlink" Target="https://doi.org/10.1109/tec.2026.3688917" TargetMode="External"/><Relationship Id="rId1616" Type="http://schemas.openxmlformats.org/officeDocument/2006/relationships/hyperlink" Target="https://doi.org/10.1109/tec.2026.3719591" TargetMode="External"/><Relationship Id="rId1617" Type="http://schemas.openxmlformats.org/officeDocument/2006/relationships/hyperlink" Target="https://www.nature.com/articles/d41586-026-02119-x" TargetMode="External"/><Relationship Id="rId1618" Type="http://schemas.openxmlformats.org/officeDocument/2006/relationships/hyperlink" Target="https://doi.org/10.1038/d41586-026-02119-x" TargetMode="External"/><Relationship Id="rId1619" Type="http://schemas.openxmlformats.org/officeDocument/2006/relationships/hyperlink" Target="https://www.nature.com/articles/d41586-026-02743-7" TargetMode="External"/><Relationship Id="rId1620" Type="http://schemas.openxmlformats.org/officeDocument/2006/relationships/hyperlink" Target="https://doi.org/10.1038/d41586-026-02743-7" TargetMode="External"/><Relationship Id="rId1621" Type="http://schemas.openxmlformats.org/officeDocument/2006/relationships/hyperlink" Target="https://www.nature.com/articles/d41586-026-02682-3" TargetMode="External"/><Relationship Id="rId1622" Type="http://schemas.openxmlformats.org/officeDocument/2006/relationships/hyperlink" Target="https://doi.org/10.1038/d41586-026-02682-3" TargetMode="External"/><Relationship Id="rId1623" Type="http://schemas.openxmlformats.org/officeDocument/2006/relationships/hyperlink" Target="https://www.nature.com/articles/d41586-026-02456-x" TargetMode="External"/><Relationship Id="rId1624" Type="http://schemas.openxmlformats.org/officeDocument/2006/relationships/hyperlink" Target="https://doi.org/10.1038/d41586-026-02456-x" TargetMode="External"/><Relationship Id="rId1625" Type="http://schemas.openxmlformats.org/officeDocument/2006/relationships/hyperlink" Target="https://academic.oup.com/nsr/advance-article/doi/10.1093/nsr/nwag564/8778466?rss=1" TargetMode="External"/><Relationship Id="rId1626" Type="http://schemas.openxmlformats.org/officeDocument/2006/relationships/hyperlink" Target="https://doi.org/10.1093/nsr/nwag564" TargetMode="External"/><Relationship Id="rId1627" Type="http://schemas.openxmlformats.org/officeDocument/2006/relationships/hyperlink" Target="https://www.nature.com/articles/d41586-026-02686-z" TargetMode="External"/><Relationship Id="rId1628" Type="http://schemas.openxmlformats.org/officeDocument/2006/relationships/hyperlink" Target="https://doi.org/10.1038/d41586-026-02686-z" TargetMode="External"/><Relationship Id="rId1629" Type="http://schemas.openxmlformats.org/officeDocument/2006/relationships/hyperlink" Target="https://www.nature.com/articles/d41586-026-02370-2" TargetMode="External"/><Relationship Id="rId1630" Type="http://schemas.openxmlformats.org/officeDocument/2006/relationships/hyperlink" Target="https://doi.org/10.1038/d41586-026-02370-2" TargetMode="External"/><Relationship Id="rId1631" Type="http://schemas.openxmlformats.org/officeDocument/2006/relationships/hyperlink" Target="https://www.nature.com/articles/d41586-026-02636-9" TargetMode="External"/><Relationship Id="rId1632" Type="http://schemas.openxmlformats.org/officeDocument/2006/relationships/hyperlink" Target="https://doi.org/10.1038/d41586-026-02636-9" TargetMode="External"/><Relationship Id="rId1633" Type="http://schemas.openxmlformats.org/officeDocument/2006/relationships/hyperlink" Target="https://www.nature.com/articles/d41586-026-02609-y" TargetMode="External"/><Relationship Id="rId1634" Type="http://schemas.openxmlformats.org/officeDocument/2006/relationships/hyperlink" Target="https://doi.org/10.1038/d41586-026-02609-y" TargetMode="External"/><Relationship Id="rId1635" Type="http://schemas.openxmlformats.org/officeDocument/2006/relationships/hyperlink" Target="https://www.nature.com/articles/d41586-026-01985-9" TargetMode="External"/><Relationship Id="rId1636" Type="http://schemas.openxmlformats.org/officeDocument/2006/relationships/hyperlink" Target="https://doi.org/10.1038/d41586-026-01985-9" TargetMode="External"/><Relationship Id="rId1637" Type="http://schemas.openxmlformats.org/officeDocument/2006/relationships/hyperlink" Target="https://www.nature.com/articles/d41586-026-02738-4" TargetMode="External"/><Relationship Id="rId1638" Type="http://schemas.openxmlformats.org/officeDocument/2006/relationships/hyperlink" Target="https://doi.org/10.1038/d41586-026-02738-4" TargetMode="External"/><Relationship Id="rId1639" Type="http://schemas.openxmlformats.org/officeDocument/2006/relationships/hyperlink" Target="https://www.nature.com/articles/d41586-026-02735-7" TargetMode="External"/><Relationship Id="rId1640" Type="http://schemas.openxmlformats.org/officeDocument/2006/relationships/hyperlink" Target="https://doi.org/10.1038/d41586-026-02735-7" TargetMode="External"/><Relationship Id="rId1641" Type="http://schemas.openxmlformats.org/officeDocument/2006/relationships/hyperlink" Target="https://www.nature.com/articles/d41586-026-02737-5" TargetMode="External"/><Relationship Id="rId1642" Type="http://schemas.openxmlformats.org/officeDocument/2006/relationships/hyperlink" Target="https://doi.org/10.1038/d41586-026-02737-5" TargetMode="External"/><Relationship Id="rId1643" Type="http://schemas.openxmlformats.org/officeDocument/2006/relationships/hyperlink" Target="https://www.nature.com/articles/d41586-026-02734-8" TargetMode="External"/><Relationship Id="rId1644" Type="http://schemas.openxmlformats.org/officeDocument/2006/relationships/hyperlink" Target="https://doi.org/10.1038/d41586-026-02734-8" TargetMode="External"/><Relationship Id="rId1645" Type="http://schemas.openxmlformats.org/officeDocument/2006/relationships/hyperlink" Target="https://www.nature.com/articles/d41586-026-02383-x" TargetMode="External"/><Relationship Id="rId1646" Type="http://schemas.openxmlformats.org/officeDocument/2006/relationships/hyperlink" Target="https://doi.org/10.1038/d41586-026-02383-x" TargetMode="External"/><Relationship Id="rId1647" Type="http://schemas.openxmlformats.org/officeDocument/2006/relationships/hyperlink" Target="https://www.nature.com/articles/s41586-026-11071-9" TargetMode="External"/><Relationship Id="rId1648" Type="http://schemas.openxmlformats.org/officeDocument/2006/relationships/hyperlink" Target="https://doi.org/10.1038/s41586-026-11071-9" TargetMode="External"/><Relationship Id="rId1649" Type="http://schemas.openxmlformats.org/officeDocument/2006/relationships/hyperlink" Target="https://www.nature.com/articles/s41557-026-02242-2" TargetMode="External"/><Relationship Id="rId1650" Type="http://schemas.openxmlformats.org/officeDocument/2006/relationships/hyperlink" Target="https://doi.org/10.1038/s41557-026-02242-2" TargetMode="External"/><Relationship Id="rId1651" Type="http://schemas.openxmlformats.org/officeDocument/2006/relationships/hyperlink" Target="https://www.nature.com/articles/d41586-026-02736-6" TargetMode="External"/><Relationship Id="rId1652" Type="http://schemas.openxmlformats.org/officeDocument/2006/relationships/hyperlink" Target="https://doi.org/10.1038/d41586-026-02736-6" TargetMode="External"/><Relationship Id="rId1653" Type="http://schemas.openxmlformats.org/officeDocument/2006/relationships/hyperlink" Target="https://www.nature.com/articles/d41586-026-02342-6" TargetMode="External"/><Relationship Id="rId1654" Type="http://schemas.openxmlformats.org/officeDocument/2006/relationships/hyperlink" Target="https://doi.org/10.1038/d41586-026-02342-6" TargetMode="External"/><Relationship Id="rId1655" Type="http://schemas.openxmlformats.org/officeDocument/2006/relationships/hyperlink" Target="https://www.sciencedirect.com/science/article/pii/S0306261926013887?dgcid=rss_sd_all" TargetMode="External"/><Relationship Id="rId1656" Type="http://schemas.openxmlformats.org/officeDocument/2006/relationships/hyperlink" Target="https://doi.org/10.1016/j.apenergy.2026.128732" TargetMode="External"/><Relationship Id="rId1657" Type="http://schemas.openxmlformats.org/officeDocument/2006/relationships/hyperlink" Target="https://www.sciencedirect.com/science/article/pii/S0306261926013851?dgcid=rss_sd_all" TargetMode="External"/><Relationship Id="rId1658" Type="http://schemas.openxmlformats.org/officeDocument/2006/relationships/hyperlink" Target="https://doi.org/10.1016/j.apenergy.2026.128729" TargetMode="External"/><Relationship Id="rId1659" Type="http://schemas.openxmlformats.org/officeDocument/2006/relationships/hyperlink" Target="https://www.nature.com/articles/s41928-026-01694-1" TargetMode="External"/><Relationship Id="rId1660" Type="http://schemas.openxmlformats.org/officeDocument/2006/relationships/hyperlink" Target="https://doi.org/10.1038/s41928-026-01694-1" TargetMode="External"/><Relationship Id="rId1661" Type="http://schemas.openxmlformats.org/officeDocument/2006/relationships/hyperlink" Target="https://www.nature.com/articles/s41578-026-00954-y" TargetMode="External"/><Relationship Id="rId1662" Type="http://schemas.openxmlformats.org/officeDocument/2006/relationships/hyperlink" Target="https://doi.org/10.1038/s41578-026-00954-y" TargetMode="External"/><Relationship Id="rId1663" Type="http://schemas.openxmlformats.org/officeDocument/2006/relationships/hyperlink" Target="https://www.nature.com/articles/d41586-026-02756-2" TargetMode="External"/><Relationship Id="rId1664" Type="http://schemas.openxmlformats.org/officeDocument/2006/relationships/hyperlink" Target="https://doi.org/10.1038/d41586-026-02756-2" TargetMode="External"/><Relationship Id="rId1665" Type="http://schemas.openxmlformats.org/officeDocument/2006/relationships/hyperlink" Target="https://www.nature.com/articles/s44286-026-00431-x" TargetMode="External"/><Relationship Id="rId1666" Type="http://schemas.openxmlformats.org/officeDocument/2006/relationships/hyperlink" Target="https://doi.org/10.1038/s44286-026-00431-x" TargetMode="External"/><Relationship Id="rId1667" Type="http://schemas.openxmlformats.org/officeDocument/2006/relationships/hyperlink" Target="https://www.nature.com/articles/s41565-026-02273-3" TargetMode="External"/><Relationship Id="rId1668" Type="http://schemas.openxmlformats.org/officeDocument/2006/relationships/hyperlink" Target="https://doi.org/10.1038/s41565-026-02273-3" TargetMode="External"/><Relationship Id="rId1669" Type="http://schemas.openxmlformats.org/officeDocument/2006/relationships/hyperlink" Target="https://www.nature.com/articles/s41565-026-02269-z" TargetMode="External"/><Relationship Id="rId1670" Type="http://schemas.openxmlformats.org/officeDocument/2006/relationships/hyperlink" Target="https://doi.org/10.1038/s41565-026-02269-z" TargetMode="External"/><Relationship Id="rId1671" Type="http://schemas.openxmlformats.org/officeDocument/2006/relationships/hyperlink" Target="https://www.nature.com/articles/s41893-026-01932-6" TargetMode="External"/><Relationship Id="rId1672" Type="http://schemas.openxmlformats.org/officeDocument/2006/relationships/hyperlink" Target="https://doi.org/10.1038/s41893-026-01932-6" TargetMode="External"/><Relationship Id="rId1673" Type="http://schemas.openxmlformats.org/officeDocument/2006/relationships/hyperlink" Target="https://www.cell.com/matter/fulltext/S2590-2385(26)00363-2?rss=yes" TargetMode="External"/><Relationship Id="rId1674" Type="http://schemas.openxmlformats.org/officeDocument/2006/relationships/hyperlink" Target="https://www.cell.com/matter/fulltext/S2590-2385(26)00362-0?rss=yes" TargetMode="External"/><Relationship Id="rId1675" Type="http://schemas.openxmlformats.org/officeDocument/2006/relationships/hyperlink" Target="https://www.sciencedirect.com/science/article/pii/S0306261926014017?dgcid=rss_sd_all" TargetMode="External"/><Relationship Id="rId1676" Type="http://schemas.openxmlformats.org/officeDocument/2006/relationships/hyperlink" Target="https://doi.org/10.1016/j.apenergy.2026.128745" TargetMode="External"/><Relationship Id="rId1677" Type="http://schemas.openxmlformats.org/officeDocument/2006/relationships/hyperlink" Target="https://www.sciencedirect.com/science/article/pii/S0306261926013826?dgcid=rss_sd_all" TargetMode="External"/><Relationship Id="rId1678" Type="http://schemas.openxmlformats.org/officeDocument/2006/relationships/hyperlink" Target="https://doi.org/10.1016/j.apenergy.2026.128726" TargetMode="External"/><Relationship Id="rId1679" Type="http://schemas.openxmlformats.org/officeDocument/2006/relationships/hyperlink" Target="https://doi.org/10.1109/tpwrs.2026.3719538" TargetMode="External"/><Relationship Id="rId1680" Type="http://schemas.openxmlformats.org/officeDocument/2006/relationships/hyperlink" Target="https://doi.org/10.1016/j.matt.2026.102916" TargetMode="External"/><Relationship Id="rId1681" Type="http://schemas.openxmlformats.org/officeDocument/2006/relationships/hyperlink" Target="https://doi.org/10.1016/j.matt.2026.102872" TargetMode="External"/><Relationship Id="rId1682" Type="http://schemas.openxmlformats.org/officeDocument/2006/relationships/hyperlink" Target="https://doi.org/10.1016/j.matt.2026.102997" TargetMode="External"/><Relationship Id="rId1683" Type="http://schemas.openxmlformats.org/officeDocument/2006/relationships/hyperlink" Target="https://doi.org/10.1016/j.matt.2026.102907" TargetMode="External"/><Relationship Id="rId1684" Type="http://schemas.openxmlformats.org/officeDocument/2006/relationships/hyperlink" Target="https://doi.org/10.1016/j.matt.2026.102912" TargetMode="External"/><Relationship Id="rId1685" Type="http://schemas.openxmlformats.org/officeDocument/2006/relationships/hyperlink" Target="https://doi.org/10.1016/j.matt.2026.102865" TargetMode="External"/><Relationship Id="rId1686" Type="http://schemas.openxmlformats.org/officeDocument/2006/relationships/hyperlink" Target="https://doi.org/10.1016/j.matt.2026.102864" TargetMode="External"/><Relationship Id="rId1687" Type="http://schemas.openxmlformats.org/officeDocument/2006/relationships/hyperlink" Target="https://doi.org/10.1016/j.matt.2026.102862" TargetMode="External"/><Relationship Id="rId1688" Type="http://schemas.openxmlformats.org/officeDocument/2006/relationships/hyperlink" Target="https://doi.org/10.1016/j.matt.2026.102822" TargetMode="External"/><Relationship Id="rId1689" Type="http://schemas.openxmlformats.org/officeDocument/2006/relationships/hyperlink" Target="https://doi.org/10.1016/j.matt.2026.102910" TargetMode="External"/><Relationship Id="rId1690" Type="http://schemas.openxmlformats.org/officeDocument/2006/relationships/hyperlink" Target="https://doi.org/10.1021/jacs.6c14965" TargetMode="External"/><Relationship Id="rId1691" Type="http://schemas.openxmlformats.org/officeDocument/2006/relationships/hyperlink" Target="https://doi.org/10.1021/acsami.6c08410" TargetMode="External"/><Relationship Id="rId1692" Type="http://schemas.openxmlformats.org/officeDocument/2006/relationships/hyperlink" Target="https://advanced.onlinelibrary.wiley.com/doi/10.1002/adma.74850?af=R" TargetMode="External"/><Relationship Id="rId1693" Type="http://schemas.openxmlformats.org/officeDocument/2006/relationships/hyperlink" Target="https://doi.org/10.1002/adma.74850" TargetMode="External"/><Relationship Id="rId1694" Type="http://schemas.openxmlformats.org/officeDocument/2006/relationships/hyperlink" Target="https://advanced.onlinelibrary.wiley.com/doi/10.1002/adma.74876?af=R" TargetMode="External"/><Relationship Id="rId1695" Type="http://schemas.openxmlformats.org/officeDocument/2006/relationships/hyperlink" Target="https://doi.org/10.1002/adma.74876" TargetMode="External"/><Relationship Id="rId1696" Type="http://schemas.openxmlformats.org/officeDocument/2006/relationships/hyperlink" Target="https://advanced.onlinelibrary.wiley.com/doi/10.1002/adma.74765?af=R" TargetMode="External"/><Relationship Id="rId1697" Type="http://schemas.openxmlformats.org/officeDocument/2006/relationships/hyperlink" Target="https://doi.org/10.1002/adma.74765" TargetMode="External"/><Relationship Id="rId1698" Type="http://schemas.openxmlformats.org/officeDocument/2006/relationships/hyperlink" Target="https://www.pnas.org/doi/abs/10.1073/pnas.2617638123?mi=eymic2&amp;af=R&amp;access=on&amp;content=articlesChapters&amp;publication=pnas&amp;sortBy=Earliest&amp;target=default" TargetMode="External"/><Relationship Id="rId1699" Type="http://schemas.openxmlformats.org/officeDocument/2006/relationships/hyperlink" Target="https://doi.org/10.1073/pnas.2617638123" TargetMode="External"/><Relationship Id="rId1700" Type="http://schemas.openxmlformats.org/officeDocument/2006/relationships/hyperlink" Target="https://www.pnas.org/doi/abs/10.1073/pnas.2618215123?mi=eymic2&amp;af=R&amp;access=on&amp;content=articlesChapters&amp;publication=pnas&amp;sortBy=Earliest&amp;target=default" TargetMode="External"/><Relationship Id="rId1701" Type="http://schemas.openxmlformats.org/officeDocument/2006/relationships/hyperlink" Target="https://doi.org/10.1073/pnas.2618215123" TargetMode="External"/><Relationship Id="rId1702" Type="http://schemas.openxmlformats.org/officeDocument/2006/relationships/hyperlink" Target="https://www.pnas.org/doi/abs/10.1073/pnas.2616645123?mi=eymic2&amp;af=R&amp;access=on&amp;content=articlesChapters&amp;publication=pnas&amp;sortBy=Earliest&amp;target=default" TargetMode="External"/><Relationship Id="rId1703" Type="http://schemas.openxmlformats.org/officeDocument/2006/relationships/hyperlink" Target="https://doi.org/10.1073/pnas.2616645123" TargetMode="External"/><Relationship Id="rId1704" Type="http://schemas.openxmlformats.org/officeDocument/2006/relationships/hyperlink" Target="https://www.pnas.org/doi/abs/10.1073/pnas.2616452123?mi=eymic2&amp;af=R&amp;access=on&amp;content=articlesChapters&amp;publication=pnas&amp;sortBy=Earliest&amp;target=default" TargetMode="External"/><Relationship Id="rId1705" Type="http://schemas.openxmlformats.org/officeDocument/2006/relationships/hyperlink" Target="https://doi.org/10.1073/pnas.2616452123" TargetMode="External"/><Relationship Id="rId1706" Type="http://schemas.openxmlformats.org/officeDocument/2006/relationships/hyperlink" Target="https://www.pnas.org/doi/abs/10.1073/pnas.2616112123?mi=eymic2&amp;af=R&amp;access=on&amp;content=articlesChapters&amp;publication=pnas&amp;sortBy=Earliest&amp;target=default" TargetMode="External"/><Relationship Id="rId1707" Type="http://schemas.openxmlformats.org/officeDocument/2006/relationships/hyperlink" Target="https://doi.org/10.1073/pnas.2616112123" TargetMode="External"/><Relationship Id="rId1708" Type="http://schemas.openxmlformats.org/officeDocument/2006/relationships/hyperlink" Target="https://www.pnas.org/doi/abs/10.1073/pnas.2612145123?mi=eymic2&amp;af=R&amp;access=on&amp;content=articlesChapters&amp;publication=pnas&amp;sortBy=Earliest&amp;target=default" TargetMode="External"/><Relationship Id="rId1709" Type="http://schemas.openxmlformats.org/officeDocument/2006/relationships/hyperlink" Target="https://doi.org/10.1073/pnas.2612145123" TargetMode="External"/><Relationship Id="rId1710" Type="http://schemas.openxmlformats.org/officeDocument/2006/relationships/hyperlink" Target="https://www.pnas.org/doi/abs/10.1073/pnas.2609814123?mi=eymic2&amp;af=R&amp;access=on&amp;content=articlesChapters&amp;publication=pnas&amp;sortBy=Earliest&amp;target=default" TargetMode="External"/><Relationship Id="rId1711" Type="http://schemas.openxmlformats.org/officeDocument/2006/relationships/hyperlink" Target="https://doi.org/10.1073/pnas.2609814123" TargetMode="External"/><Relationship Id="rId1712" Type="http://schemas.openxmlformats.org/officeDocument/2006/relationships/hyperlink" Target="https://www.pnas.org/doi/abs/10.1073/pnas.2608310123?mi=eymic2&amp;af=R&amp;access=on&amp;content=articlesChapters&amp;publication=pnas&amp;sortBy=Earliest&amp;target=default" TargetMode="External"/><Relationship Id="rId1713" Type="http://schemas.openxmlformats.org/officeDocument/2006/relationships/hyperlink" Target="https://doi.org/10.1073/pnas.2608310123" TargetMode="External"/><Relationship Id="rId1714" Type="http://schemas.openxmlformats.org/officeDocument/2006/relationships/hyperlink" Target="https://www.pnas.org/doi/abs/10.1073/pnas.2607934123?mi=eymic2&amp;af=R&amp;access=on&amp;content=articlesChapters&amp;publication=pnas&amp;sortBy=Earliest&amp;target=default" TargetMode="External"/><Relationship Id="rId1715" Type="http://schemas.openxmlformats.org/officeDocument/2006/relationships/hyperlink" Target="https://doi.org/10.1073/pnas.2607934123" TargetMode="External"/><Relationship Id="rId1716" Type="http://schemas.openxmlformats.org/officeDocument/2006/relationships/hyperlink" Target="https://www.pnas.org/doi/abs/10.1073/pnas.2603595123?mi=eymic2&amp;af=R&amp;access=on&amp;content=articlesChapters&amp;publication=pnas&amp;sortBy=Earliest&amp;target=default" TargetMode="External"/><Relationship Id="rId1717" Type="http://schemas.openxmlformats.org/officeDocument/2006/relationships/hyperlink" Target="https://doi.org/10.1073/pnas.2603595123" TargetMode="External"/><Relationship Id="rId1718" Type="http://schemas.openxmlformats.org/officeDocument/2006/relationships/hyperlink" Target="https://www.pnas.org/doi/abs/10.1073/pnas.2603028123?mi=eymic2&amp;af=R&amp;access=on&amp;content=articlesChapters&amp;publication=pnas&amp;sortBy=Earliest&amp;target=default" TargetMode="External"/><Relationship Id="rId1719" Type="http://schemas.openxmlformats.org/officeDocument/2006/relationships/hyperlink" Target="https://doi.org/10.1073/pnas.2603028123" TargetMode="External"/><Relationship Id="rId1720" Type="http://schemas.openxmlformats.org/officeDocument/2006/relationships/hyperlink" Target="https://www.pnas.org/doi/abs/10.1073/pnas.2606406123?mi=eymic2&amp;af=R&amp;access=on&amp;content=articlesChapters&amp;publication=pnas&amp;sortBy=Earliest&amp;target=default" TargetMode="External"/><Relationship Id="rId1721" Type="http://schemas.openxmlformats.org/officeDocument/2006/relationships/hyperlink" Target="https://doi.org/10.1073/pnas.2606406123" TargetMode="External"/><Relationship Id="rId1722" Type="http://schemas.openxmlformats.org/officeDocument/2006/relationships/hyperlink" Target="https://www.pnas.org/doi/abs/10.1073/pnas.2530072123?mi=eymic2&amp;af=R&amp;access=on&amp;content=articlesChapters&amp;publication=pnas&amp;sortBy=Earliest&amp;target=default" TargetMode="External"/><Relationship Id="rId1723" Type="http://schemas.openxmlformats.org/officeDocument/2006/relationships/hyperlink" Target="https://doi.org/10.1073/pnas.2530072123" TargetMode="External"/><Relationship Id="rId1724" Type="http://schemas.openxmlformats.org/officeDocument/2006/relationships/hyperlink" Target="https://www.pnas.org/doi/abs/10.1073/pnas.2525481123?mi=eymic2&amp;af=R&amp;access=on&amp;content=articlesChapters&amp;publication=pnas&amp;sortBy=Earliest&amp;target=default" TargetMode="External"/><Relationship Id="rId1725" Type="http://schemas.openxmlformats.org/officeDocument/2006/relationships/hyperlink" Target="https://doi.org/10.1073/pnas.2525481123" TargetMode="External"/><Relationship Id="rId1726" Type="http://schemas.openxmlformats.org/officeDocument/2006/relationships/hyperlink" Target="https://www.pnas.org/doi/abs/10.1073/iti3526123?mi=eymic2&amp;af=R&amp;access=on&amp;content=articlesChapters&amp;publication=pnas&amp;sortBy=Earliest&amp;target=default" TargetMode="External"/><Relationship Id="rId1727" Type="http://schemas.openxmlformats.org/officeDocument/2006/relationships/hyperlink" Target="https://doi.org/10.1073/iti3526123" TargetMode="External"/><Relationship Id="rId1728" Type="http://schemas.openxmlformats.org/officeDocument/2006/relationships/hyperlink" Target="https://www.pnas.org/doi/abs/10.1073/pnas.2618242123?mi=eymic2&amp;af=R&amp;access=on&amp;content=articlesChapters&amp;publication=pnas&amp;sortBy=Earliest&amp;target=default" TargetMode="External"/><Relationship Id="rId1729" Type="http://schemas.openxmlformats.org/officeDocument/2006/relationships/hyperlink" Target="https://doi.org/10.1073/pnas.2618242123" TargetMode="External"/><Relationship Id="rId1730" Type="http://schemas.openxmlformats.org/officeDocument/2006/relationships/hyperlink" Target="https://www.pnas.org/doi/abs/10.1073/pnas.2605886123?mi=eymic2&amp;af=R&amp;access=on&amp;content=articlesChapters&amp;publication=pnas&amp;sortBy=Earliest&amp;target=default" TargetMode="External"/><Relationship Id="rId1731" Type="http://schemas.openxmlformats.org/officeDocument/2006/relationships/hyperlink" Target="https://doi.org/10.1073/pnas.2605886123" TargetMode="External"/><Relationship Id="rId1732" Type="http://schemas.openxmlformats.org/officeDocument/2006/relationships/hyperlink" Target="https://www.pnas.org/doi/abs/10.1073/pnas.2605721123?mi=eymic2&amp;af=R&amp;access=on&amp;content=articlesChapters&amp;publication=pnas&amp;sortBy=Earliest&amp;target=default" TargetMode="External"/><Relationship Id="rId1733" Type="http://schemas.openxmlformats.org/officeDocument/2006/relationships/hyperlink" Target="https://doi.org/10.1073/pnas.2605721123" TargetMode="External"/><Relationship Id="rId1734" Type="http://schemas.openxmlformats.org/officeDocument/2006/relationships/hyperlink" Target="https://www.pnas.org/doi/abs/10.1073/pnas.2536750123?mi=eymic2&amp;af=R&amp;access=on&amp;content=articlesChapters&amp;publication=pnas&amp;sortBy=Earliest&amp;target=default" TargetMode="External"/><Relationship Id="rId1735" Type="http://schemas.openxmlformats.org/officeDocument/2006/relationships/hyperlink" Target="https://doi.org/10.1073/pnas.2536750123" TargetMode="External"/><Relationship Id="rId1736" Type="http://schemas.openxmlformats.org/officeDocument/2006/relationships/hyperlink" Target="http://link.aps.org/doi/10.1103/12cl-b9jj" TargetMode="External"/><Relationship Id="rId1737" Type="http://schemas.openxmlformats.org/officeDocument/2006/relationships/hyperlink" Target="https://doi.org/10.1103/12cl-b9jj" TargetMode="External"/><Relationship Id="rId1738" Type="http://schemas.openxmlformats.org/officeDocument/2006/relationships/hyperlink" Target="http://link.aps.org/doi/10.1103/9l9c-mp3t" TargetMode="External"/><Relationship Id="rId1739" Type="http://schemas.openxmlformats.org/officeDocument/2006/relationships/hyperlink" Target="https://doi.org/10.1103/9l9c-mp3t" TargetMode="External"/><Relationship Id="rId1740" Type="http://schemas.openxmlformats.org/officeDocument/2006/relationships/hyperlink" Target="http://link.aps.org/doi/10.1103/23ns-6ttl" TargetMode="External"/><Relationship Id="rId1741" Type="http://schemas.openxmlformats.org/officeDocument/2006/relationships/hyperlink" Target="https://doi.org/10.1103/23ns-6ttl" TargetMode="External"/><Relationship Id="rId1742" Type="http://schemas.openxmlformats.org/officeDocument/2006/relationships/hyperlink" Target="http://link.aps.org/doi/10.1103/6m2z-wlmb" TargetMode="External"/><Relationship Id="rId1743" Type="http://schemas.openxmlformats.org/officeDocument/2006/relationships/hyperlink" Target="https://doi.org/10.1103/6m2z-wlmb" TargetMode="External"/><Relationship Id="rId1744" Type="http://schemas.openxmlformats.org/officeDocument/2006/relationships/hyperlink" Target="http://link.aps.org/doi/10.1103/7ty7-d15f" TargetMode="External"/><Relationship Id="rId1745" Type="http://schemas.openxmlformats.org/officeDocument/2006/relationships/hyperlink" Target="https://doi.org/10.1103/7ty7-d15f" TargetMode="External"/><Relationship Id="rId1746" Type="http://schemas.openxmlformats.org/officeDocument/2006/relationships/hyperlink" Target="http://link.aps.org/doi/10.1103/gmw6-x94c" TargetMode="External"/><Relationship Id="rId1747" Type="http://schemas.openxmlformats.org/officeDocument/2006/relationships/hyperlink" Target="https://doi.org/10.1103/gmw6-x94c" TargetMode="External"/><Relationship Id="rId1748" Type="http://schemas.openxmlformats.org/officeDocument/2006/relationships/hyperlink" Target="http://link.aps.org/doi/10.1103/b4bf-by6m" TargetMode="External"/><Relationship Id="rId1749" Type="http://schemas.openxmlformats.org/officeDocument/2006/relationships/hyperlink" Target="https://doi.org/10.1103/b4bf-by6m" TargetMode="External"/><Relationship Id="rId1750" Type="http://schemas.openxmlformats.org/officeDocument/2006/relationships/hyperlink" Target="http://link.aps.org/doi/10.1103/z982-mv6k" TargetMode="External"/><Relationship Id="rId1751" Type="http://schemas.openxmlformats.org/officeDocument/2006/relationships/hyperlink" Target="https://doi.org/10.1103/z982-mv6k" TargetMode="External"/><Relationship Id="rId1752" Type="http://schemas.openxmlformats.org/officeDocument/2006/relationships/hyperlink" Target="http://link.aps.org/doi/10.1103/rp9s-tgp7" TargetMode="External"/><Relationship Id="rId1753" Type="http://schemas.openxmlformats.org/officeDocument/2006/relationships/hyperlink" Target="https://doi.org/10.1103/rp9s-tgp7" TargetMode="External"/><Relationship Id="rId1754" Type="http://schemas.openxmlformats.org/officeDocument/2006/relationships/hyperlink" Target="http://link.aps.org/doi/10.1103/h64p-z766" TargetMode="External"/><Relationship Id="rId1755" Type="http://schemas.openxmlformats.org/officeDocument/2006/relationships/hyperlink" Target="https://doi.org/10.1103/h64p-z766" TargetMode="External"/><Relationship Id="rId1756" Type="http://schemas.openxmlformats.org/officeDocument/2006/relationships/hyperlink" Target="http://link.aps.org/doi/10.1103/q4ws-71zc" TargetMode="External"/><Relationship Id="rId1757" Type="http://schemas.openxmlformats.org/officeDocument/2006/relationships/hyperlink" Target="https://doi.org/10.1103/q4ws-71zc" TargetMode="External"/><Relationship Id="rId1758" Type="http://schemas.openxmlformats.org/officeDocument/2006/relationships/hyperlink" Target="https://academic.oup.com/nsr/advance-article/doi/10.1093/nsr/nwag566/8779978?rss=1" TargetMode="External"/><Relationship Id="rId1759" Type="http://schemas.openxmlformats.org/officeDocument/2006/relationships/hyperlink" Target="https://doi.org/10.1093/nsr/nwag566" TargetMode="External"/><Relationship Id="rId1760" Type="http://schemas.openxmlformats.org/officeDocument/2006/relationships/hyperlink" Target="https://onlinelibrary.wiley.com/doi/10.1002/anie.1190782" TargetMode="External"/><Relationship Id="rId1761" Type="http://schemas.openxmlformats.org/officeDocument/2006/relationships/hyperlink" Target="https://doi.org/10.1002/anie.1190782" TargetMode="External"/><Relationship Id="rId1762" Type="http://schemas.openxmlformats.org/officeDocument/2006/relationships/hyperlink" Target="https://onlinelibrary.wiley.com/doi/10.1002/anie.9929915" TargetMode="External"/><Relationship Id="rId1763" Type="http://schemas.openxmlformats.org/officeDocument/2006/relationships/hyperlink" Target="https://doi.org/10.1002/anie.9929915" TargetMode="External"/><Relationship Id="rId1764" Type="http://schemas.openxmlformats.org/officeDocument/2006/relationships/hyperlink" Target="https://onlinelibrary.wiley.com/doi/10.1002/anie.4674308" TargetMode="External"/><Relationship Id="rId1765" Type="http://schemas.openxmlformats.org/officeDocument/2006/relationships/hyperlink" Target="https://doi.org/10.1002/anie.4674308" TargetMode="External"/><Relationship Id="rId1766" Type="http://schemas.openxmlformats.org/officeDocument/2006/relationships/hyperlink" Target="https://www.nature.com/articles/s41467-026-77341-2" TargetMode="External"/><Relationship Id="rId1767" Type="http://schemas.openxmlformats.org/officeDocument/2006/relationships/hyperlink" Target="https://www.nature.com/articles/s41467-026-77476-2" TargetMode="External"/><Relationship Id="rId1768" Type="http://schemas.openxmlformats.org/officeDocument/2006/relationships/hyperlink" Target="https://www.nature.com/articles/s41467-026-77207-7" TargetMode="External"/><Relationship Id="rId1769" Type="http://schemas.openxmlformats.org/officeDocument/2006/relationships/hyperlink" Target="https://pubs.acs.org/aelccp/article/doi/10.1021/acsenergylett.6c01868/5403940/Thermally-Robust-Organic-Photodetectors-Enabled-by" TargetMode="External"/><Relationship Id="rId1770" Type="http://schemas.openxmlformats.org/officeDocument/2006/relationships/hyperlink" Target="https://doi.org/10.1021/acsenergylett.6c01868" TargetMode="External"/><Relationship Id="rId1771" Type="http://schemas.openxmlformats.org/officeDocument/2006/relationships/hyperlink" Target="https://academic.oup.com/nsr/advance-article/doi/10.1093/nsr/nwag523/8779976?rss=1" TargetMode="External"/><Relationship Id="rId1772" Type="http://schemas.openxmlformats.org/officeDocument/2006/relationships/hyperlink" Target="https://doi.org/10.1093/nsr/nwag523" TargetMode="External"/><Relationship Id="rId1773" Type="http://schemas.openxmlformats.org/officeDocument/2006/relationships/hyperlink" Target="https://pubs.acs.org/aelccp/article/doi/10.1021/acsenergylett.6c01923/5405204/Triplet-or-Charge-Separated-State-Distinguishing" TargetMode="External"/><Relationship Id="rId1774" Type="http://schemas.openxmlformats.org/officeDocument/2006/relationships/hyperlink" Target="https://doi.org/10.1021/acsenergylett.6c01923" TargetMode="External"/><Relationship Id="rId1775" Type="http://schemas.openxmlformats.org/officeDocument/2006/relationships/hyperlink" Target="https://pubs.acs.org/chreay/article/doi/10.1021/acs.chemrev.5c00420/5407629/Metal-Ions-and-Protein-Aggregation-Unraveling" TargetMode="External"/><Relationship Id="rId1776" Type="http://schemas.openxmlformats.org/officeDocument/2006/relationships/hyperlink" Target="https://doi.org/10.1021/acs.chemrev.5c00420" TargetMode="External"/><Relationship Id="rId1777" Type="http://schemas.openxmlformats.org/officeDocument/2006/relationships/hyperlink" Target="https://academic.oup.com/nsr/advance-article/doi/10.1093/nsr/nwag551/8779975?rss=1" TargetMode="External"/><Relationship Id="rId1778" Type="http://schemas.openxmlformats.org/officeDocument/2006/relationships/hyperlink" Target="https://doi.org/10.1093/nsr/nwag551" TargetMode="External"/><Relationship Id="rId1779" Type="http://schemas.openxmlformats.org/officeDocument/2006/relationships/hyperlink" Target="https://pubs.acs.org/jacsat/article/doi/10.1021/jacs.6c11478/5407566/Matching-Helical-and-Supramolecular-Chirality-in-a" TargetMode="External"/><Relationship Id="rId1780" Type="http://schemas.openxmlformats.org/officeDocument/2006/relationships/hyperlink" Target="https://doi.org/10.1021/jacs.6c11478" TargetMode="External"/><Relationship Id="rId1781" Type="http://schemas.openxmlformats.org/officeDocument/2006/relationships/hyperlink" Target="https://www.sciencedirect.com/science/article/pii/S0306261926014108?dgcid=rss_sd_all" TargetMode="External"/><Relationship Id="rId1782" Type="http://schemas.openxmlformats.org/officeDocument/2006/relationships/hyperlink" Target="https://doi.org/10.1016/j.apenergy.2026.128754" TargetMode="External"/><Relationship Id="rId1783" Type="http://schemas.openxmlformats.org/officeDocument/2006/relationships/hyperlink" Target="https://www.sciencedirect.com/science/article/pii/S030626192601425X?dgcid=rss_sd_all" TargetMode="External"/><Relationship Id="rId1784" Type="http://schemas.openxmlformats.org/officeDocument/2006/relationships/hyperlink" Target="https://doi.org/10.1016/j.apenergy.2026.128769" TargetMode="External"/><Relationship Id="rId1785" Type="http://schemas.openxmlformats.org/officeDocument/2006/relationships/hyperlink" Target="https://advanced.onlinelibrary.wiley.com/doi/10.1002/adma.74874" TargetMode="External"/><Relationship Id="rId1786" Type="http://schemas.openxmlformats.org/officeDocument/2006/relationships/hyperlink" Target="https://doi.org/10.1002/adma.74874" TargetMode="External"/><Relationship Id="rId1787" Type="http://schemas.openxmlformats.org/officeDocument/2006/relationships/hyperlink" Target="https://academic.oup.com/nsr/advance-article/doi/10.1093/nsr/nwag559/8779971?rss=1" TargetMode="External"/><Relationship Id="rId1788" Type="http://schemas.openxmlformats.org/officeDocument/2006/relationships/hyperlink" Target="https://doi.org/10.1093/nsr/nwag559" TargetMode="External"/><Relationship Id="rId1789" Type="http://schemas.openxmlformats.org/officeDocument/2006/relationships/hyperlink" Target="https://advanced.onlinelibrary.wiley.com/doi/10.1002/adma.74889" TargetMode="External"/><Relationship Id="rId1790" Type="http://schemas.openxmlformats.org/officeDocument/2006/relationships/hyperlink" Target="https://doi.org/10.1002/adma.74889" TargetMode="External"/><Relationship Id="rId1791" Type="http://schemas.openxmlformats.org/officeDocument/2006/relationships/hyperlink" Target="https://advanced.onlinelibrary.wiley.com/doi/10.1002/adma.74914" TargetMode="External"/><Relationship Id="rId1792" Type="http://schemas.openxmlformats.org/officeDocument/2006/relationships/hyperlink" Target="https://doi.org/10.1002/adma.74914" TargetMode="External"/><Relationship Id="rId1793" Type="http://schemas.openxmlformats.org/officeDocument/2006/relationships/hyperlink" Target="https://advanced.onlinelibrary.wiley.com/doi/10.1002/adma.74602" TargetMode="External"/><Relationship Id="rId1794" Type="http://schemas.openxmlformats.org/officeDocument/2006/relationships/hyperlink" Target="https://doi.org/10.1002/adma.74602" TargetMode="External"/><Relationship Id="rId1795" Type="http://schemas.openxmlformats.org/officeDocument/2006/relationships/hyperlink" Target="https://advanced.onlinelibrary.wiley.com/doi/10.1002/adma.74880" TargetMode="External"/><Relationship Id="rId1796" Type="http://schemas.openxmlformats.org/officeDocument/2006/relationships/hyperlink" Target="https://doi.org/10.1002/adma.74880" TargetMode="External"/><Relationship Id="rId1797" Type="http://schemas.openxmlformats.org/officeDocument/2006/relationships/hyperlink" Target="https://advanced.onlinelibrary.wiley.com/doi/10.1002/aenm.71464" TargetMode="External"/><Relationship Id="rId1798" Type="http://schemas.openxmlformats.org/officeDocument/2006/relationships/hyperlink" Target="https://doi.org/10.1002/aenm.71464" TargetMode="External"/><Relationship Id="rId1799" Type="http://schemas.openxmlformats.org/officeDocument/2006/relationships/hyperlink" Target="https://advanced.onlinelibrary.wiley.com/doi/10.1002/adma.74864" TargetMode="External"/><Relationship Id="rId1800" Type="http://schemas.openxmlformats.org/officeDocument/2006/relationships/hyperlink" Target="https://doi.org/10.1002/adma.74864" TargetMode="External"/><Relationship Id="rId1801" Type="http://schemas.openxmlformats.org/officeDocument/2006/relationships/hyperlink" Target="https://pubs.acs.org/jacsat/article/doi/10.1021/jacs.5c21999/5405612/Construction-of-Orientationally-Ordered" TargetMode="External"/><Relationship Id="rId1802" Type="http://schemas.openxmlformats.org/officeDocument/2006/relationships/hyperlink" Target="https://doi.org/10.1021/jacs.5c21999" TargetMode="External"/><Relationship Id="rId1803" Type="http://schemas.openxmlformats.org/officeDocument/2006/relationships/hyperlink" Target="https://pubs.acs.org/jacsat/article/doi/10.1021/jacs.6c10274/5405613/Programmable-Organic-Quasi-Superlattices-with" TargetMode="External"/><Relationship Id="rId1804" Type="http://schemas.openxmlformats.org/officeDocument/2006/relationships/hyperlink" Target="https://doi.org/10.1021/jacs.6c10274" TargetMode="External"/><Relationship Id="rId1805" Type="http://schemas.openxmlformats.org/officeDocument/2006/relationships/hyperlink" Target="https://onlinelibrary.wiley.com/doi/10.1002/anie.1803367" TargetMode="External"/><Relationship Id="rId1806" Type="http://schemas.openxmlformats.org/officeDocument/2006/relationships/hyperlink" Target="https://doi.org/10.1002/anie.1803367" TargetMode="External"/><Relationship Id="rId1807" Type="http://schemas.openxmlformats.org/officeDocument/2006/relationships/hyperlink" Target="https://onlinelibrary.wiley.com/doi/10.1002/anie.1799326" TargetMode="External"/><Relationship Id="rId1808" Type="http://schemas.openxmlformats.org/officeDocument/2006/relationships/hyperlink" Target="https://doi.org/10.1002/anie.1799326" TargetMode="External"/><Relationship Id="rId1809" Type="http://schemas.openxmlformats.org/officeDocument/2006/relationships/hyperlink" Target="https://www.sciencedirect.com/science/article/pii/S0306261926014121?dgcid=rss_sd_all" TargetMode="External"/><Relationship Id="rId1810" Type="http://schemas.openxmlformats.org/officeDocument/2006/relationships/hyperlink" Target="https://doi.org/10.1016/j.apenergy.2026.128756" TargetMode="External"/><Relationship Id="rId1811" Type="http://schemas.openxmlformats.org/officeDocument/2006/relationships/hyperlink" Target="https://www.sciencedirect.com/science/article/pii/S0306261926014327?dgcid=rss_sd_all" TargetMode="External"/><Relationship Id="rId1812" Type="http://schemas.openxmlformats.org/officeDocument/2006/relationships/hyperlink" Target="https://doi.org/10.1016/j.apenergy.2026.128776" TargetMode="External"/><Relationship Id="rId1813" Type="http://schemas.openxmlformats.org/officeDocument/2006/relationships/hyperlink" Target="https://www.sciencedirect.com/science/article/pii/S0306261926014200?dgcid=rss_sd_all" TargetMode="External"/><Relationship Id="rId1814" Type="http://schemas.openxmlformats.org/officeDocument/2006/relationships/hyperlink" Target="https://doi.org/10.1016/j.apenergy.2026.128764" TargetMode="External"/><Relationship Id="rId1815" Type="http://schemas.openxmlformats.org/officeDocument/2006/relationships/hyperlink" Target="https://www.nature.com/articles/s44460-026-00136-x" TargetMode="External"/><Relationship Id="rId1816" Type="http://schemas.openxmlformats.org/officeDocument/2006/relationships/hyperlink" Target="https://doi.org/10.1038/s44460-026-00136-x" TargetMode="External"/><Relationship Id="rId1817" Type="http://schemas.openxmlformats.org/officeDocument/2006/relationships/hyperlink" Target="https://www.nature.com/articles/s44460-026-00141-0" TargetMode="External"/><Relationship Id="rId1818" Type="http://schemas.openxmlformats.org/officeDocument/2006/relationships/hyperlink" Target="https://doi.org/10.1038/s44460-026-00141-0" TargetMode="External"/><Relationship Id="rId1819" Type="http://schemas.openxmlformats.org/officeDocument/2006/relationships/hyperlink" Target="https://www.nature.com/articles/s41929-026-01602-y" TargetMode="External"/><Relationship Id="rId1820" Type="http://schemas.openxmlformats.org/officeDocument/2006/relationships/hyperlink" Target="https://doi.org/10.1038/s41929-026-01602-y" TargetMode="External"/><Relationship Id="rId1821" Type="http://schemas.openxmlformats.org/officeDocument/2006/relationships/hyperlink" Target="https://doi.org/10.1021/acsenergylett.6c01682" TargetMode="External"/><Relationship Id="rId1822" Type="http://schemas.openxmlformats.org/officeDocument/2006/relationships/hyperlink" Target="https://onlinelibrary.wiley.com/doi/10.1002/anie.6711809" TargetMode="External"/><Relationship Id="rId1823" Type="http://schemas.openxmlformats.org/officeDocument/2006/relationships/hyperlink" Target="https://doi.org/10.1002/anie.6711809" TargetMode="External"/><Relationship Id="rId1824" Type="http://schemas.openxmlformats.org/officeDocument/2006/relationships/hyperlink" Target="https://onlinelibrary.wiley.com/doi/10.1002/anie.3622603" TargetMode="External"/><Relationship Id="rId1825" Type="http://schemas.openxmlformats.org/officeDocument/2006/relationships/hyperlink" Target="https://doi.org/10.1002/anie.3622603" TargetMode="External"/><Relationship Id="rId1826" Type="http://schemas.openxmlformats.org/officeDocument/2006/relationships/hyperlink" Target="https://www.sciencedirect.com/science/article/pii/S0306261926012948?dgcid=rss_sd_all" TargetMode="External"/><Relationship Id="rId1827" Type="http://schemas.openxmlformats.org/officeDocument/2006/relationships/hyperlink" Target="https://doi.org/10.1016/j.apenergy.2026.128638" TargetMode="External"/><Relationship Id="rId1828" Type="http://schemas.openxmlformats.org/officeDocument/2006/relationships/hyperlink" Target="https://www.sciencedirect.com/science/article/pii/S030626192601281X?dgcid=rss_sd_all" TargetMode="External"/><Relationship Id="rId1829" Type="http://schemas.openxmlformats.org/officeDocument/2006/relationships/hyperlink" Target="https://doi.org/10.1016/j.apenergy.2026.128625" TargetMode="External"/><Relationship Id="rId1830" Type="http://schemas.openxmlformats.org/officeDocument/2006/relationships/hyperlink" Target="https://www.sciencedirect.com/science/article/pii/S0301421526005252?dgcid=rss_sd_all" TargetMode="External"/><Relationship Id="rId1831" Type="http://schemas.openxmlformats.org/officeDocument/2006/relationships/hyperlink" Target="https://doi.org/10.1016/j.enpol.2026.115591" TargetMode="External"/><Relationship Id="rId1832" Type="http://schemas.openxmlformats.org/officeDocument/2006/relationships/hyperlink" Target="https://www.sciencedirect.com/science/article/pii/S0370269326007689?dgcid=rss_sd_all" TargetMode="External"/><Relationship Id="rId1833" Type="http://schemas.openxmlformats.org/officeDocument/2006/relationships/hyperlink" Target="https://doi.org/10.1016/j.physletb.2026.140918" TargetMode="External"/><Relationship Id="rId1834" Type="http://schemas.openxmlformats.org/officeDocument/2006/relationships/hyperlink" Target="https://www.sciencedirect.com/science/article/pii/S0306261926014388?dgcid=rss_sd_all" TargetMode="External"/><Relationship Id="rId1835" Type="http://schemas.openxmlformats.org/officeDocument/2006/relationships/hyperlink" Target="https://doi.org/10.1016/j.apenergy.2026.128782" TargetMode="External"/><Relationship Id="rId1836" Type="http://schemas.openxmlformats.org/officeDocument/2006/relationships/hyperlink" Target="https://www.sciencedirect.com/science/article/pii/S0306261926013978?dgcid=rss_sd_all" TargetMode="External"/><Relationship Id="rId1837" Type="http://schemas.openxmlformats.org/officeDocument/2006/relationships/hyperlink" Target="https://doi.org/10.1016/j.apenergy.2026.128741" TargetMode="External"/><Relationship Id="rId1838" Type="http://schemas.openxmlformats.org/officeDocument/2006/relationships/hyperlink" Target="https://onlinelibrary.wiley.com/doi/10.1002/anie.2719299" TargetMode="External"/><Relationship Id="rId1839" Type="http://schemas.openxmlformats.org/officeDocument/2006/relationships/hyperlink" Target="https://doi.org/10.1002/anie.2719299" TargetMode="External"/><Relationship Id="rId1840" Type="http://schemas.openxmlformats.org/officeDocument/2006/relationships/hyperlink" Target="https://onlinelibrary.wiley.com/doi/10.1002/anie.5624080" TargetMode="External"/><Relationship Id="rId1841" Type="http://schemas.openxmlformats.org/officeDocument/2006/relationships/hyperlink" Target="https://doi.org/10.1002/anie.5624080" TargetMode="External"/><Relationship Id="rId1842" Type="http://schemas.openxmlformats.org/officeDocument/2006/relationships/hyperlink" Target="https://onlinelibrary.wiley.com/doi/10.1002/anie.3494903" TargetMode="External"/><Relationship Id="rId1843" Type="http://schemas.openxmlformats.org/officeDocument/2006/relationships/hyperlink" Target="https://onlinelibrary.wiley.com/doi/10.1002/anie.3409471" TargetMode="External"/><Relationship Id="rId1844" Type="http://schemas.openxmlformats.org/officeDocument/2006/relationships/hyperlink" Target="https://doi.org/10.1002/anie.3409471" TargetMode="External"/><Relationship Id="rId1845" Type="http://schemas.openxmlformats.org/officeDocument/2006/relationships/hyperlink" Target="https://onlinelibrary.wiley.com/doi/10.1002/anie.6219487" TargetMode="External"/><Relationship Id="rId1846" Type="http://schemas.openxmlformats.org/officeDocument/2006/relationships/hyperlink" Target="https://doi.org/10.1002/anie.6219487" TargetMode="External"/><Relationship Id="rId1847" Type="http://schemas.openxmlformats.org/officeDocument/2006/relationships/hyperlink" Target="https://onlinelibrary.wiley.com/doi/10.1002/anie.5032409" TargetMode="External"/><Relationship Id="rId1848" Type="http://schemas.openxmlformats.org/officeDocument/2006/relationships/hyperlink" Target="https://doi.org/10.1002/anie.5032409" TargetMode="External"/><Relationship Id="rId1849" Type="http://schemas.openxmlformats.org/officeDocument/2006/relationships/hyperlink" Target="https://onlinelibrary.wiley.com/doi/10.1002/anie.1324586" TargetMode="External"/><Relationship Id="rId1850" Type="http://schemas.openxmlformats.org/officeDocument/2006/relationships/hyperlink" Target="https://doi.org/10.1002/anie.1324586" TargetMode="External"/><Relationship Id="rId1851" Type="http://schemas.openxmlformats.org/officeDocument/2006/relationships/hyperlink" Target="https://www.nature.com/articles/s41467-026-77105-y" TargetMode="External"/><Relationship Id="rId1852" Type="http://schemas.openxmlformats.org/officeDocument/2006/relationships/hyperlink" Target="https://www.sciencedirect.com/science/article/pii/S037026932600763X?dgcid=rss_sd_all" TargetMode="External"/><Relationship Id="rId1853" Type="http://schemas.openxmlformats.org/officeDocument/2006/relationships/hyperlink" Target="https://doi.org/10.1016/j.physletb.2026.140913" TargetMode="External"/><Relationship Id="rId1854" Type="http://schemas.openxmlformats.org/officeDocument/2006/relationships/hyperlink" Target="https://www.sciencedirect.com/science/article/pii/S0370269326007744?dgcid=rss_sd_all" TargetMode="External"/><Relationship Id="rId1855" Type="http://schemas.openxmlformats.org/officeDocument/2006/relationships/hyperlink" Target="https://doi.org/10.1016/j.physletb.2026.140924" TargetMode="External"/><Relationship Id="rId1856" Type="http://schemas.openxmlformats.org/officeDocument/2006/relationships/hyperlink" Target="https://www.sciencedirect.com/science/article/pii/S0370269326007616?dgcid=rss_sd_all" TargetMode="External"/><Relationship Id="rId1857" Type="http://schemas.openxmlformats.org/officeDocument/2006/relationships/hyperlink" Target="https://doi.org/10.1016/j.physletb.2026.140911" TargetMode="External"/><Relationship Id="rId1858" Type="http://schemas.openxmlformats.org/officeDocument/2006/relationships/hyperlink" Target="https://pubs.acs.org/jacsat/article/doi/10.1021/jacs.6c11815/5401708/Biosynthesis-of-YM-216391-Unveils-a-Bifunctional" TargetMode="External"/><Relationship Id="rId1859" Type="http://schemas.openxmlformats.org/officeDocument/2006/relationships/hyperlink" Target="https://doi.org/10.1021/jacs.6c11815" TargetMode="External"/><Relationship Id="rId1860" Type="http://schemas.openxmlformats.org/officeDocument/2006/relationships/hyperlink" Target="https://pubs.acs.org/jacsat/article/doi/10.1021/jacs.6c08434/5401944/AbSynth-A-Century-of-Total-Syntheses-as-a-Machine" TargetMode="External"/><Relationship Id="rId1861" Type="http://schemas.openxmlformats.org/officeDocument/2006/relationships/hyperlink" Target="https://doi.org/10.1021/jacs.6c08434" TargetMode="External"/><Relationship Id="rId1862" Type="http://schemas.openxmlformats.org/officeDocument/2006/relationships/hyperlink" Target="https://pubs.acs.org/jacsat/article/doi/10.1021/jacs.6c07051/5406725/Chiral-4-Methyl-l-Threofuranosyl-Nucleic-Acids" TargetMode="External"/><Relationship Id="rId1863" Type="http://schemas.openxmlformats.org/officeDocument/2006/relationships/hyperlink" Target="https://doi.org/10.1021/jacs.6c07051" TargetMode="External"/><Relationship Id="rId1864" Type="http://schemas.openxmlformats.org/officeDocument/2006/relationships/hyperlink" Target="https://pubs.acs.org/jacsat/article/doi/10.1021/jacs.6c12269/5407625/Activated-Migration-of-Localized-Ligand-Field" TargetMode="External"/><Relationship Id="rId1865" Type="http://schemas.openxmlformats.org/officeDocument/2006/relationships/hyperlink" Target="https://doi.org/10.1021/jacs.6c12269" TargetMode="External"/><Relationship Id="rId1866" Type="http://schemas.openxmlformats.org/officeDocument/2006/relationships/hyperlink" Target="https://pubs.acs.org/jacsat/article/doi/10.1021/jacs.6c13880/5407084/Interfacial-Coupling-of-Perfluorooctanoic-Acid" TargetMode="External"/><Relationship Id="rId1867" Type="http://schemas.openxmlformats.org/officeDocument/2006/relationships/hyperlink" Target="https://doi.org/10.1021/jacs.6c13880" TargetMode="External"/><Relationship Id="rId1868" Type="http://schemas.openxmlformats.org/officeDocument/2006/relationships/hyperlink" Target="https://pubs.acs.org/jacsat/article/doi/10.1021/jacs.6c15050/5407349/Following-the-Complete-Thermal-Landscape-of-a" TargetMode="External"/><Relationship Id="rId1869" Type="http://schemas.openxmlformats.org/officeDocument/2006/relationships/hyperlink" Target="https://doi.org/10.1021/jacs.6c15050" TargetMode="External"/><Relationship Id="rId1870" Type="http://schemas.openxmlformats.org/officeDocument/2006/relationships/hyperlink" Target="https://pubs.acs.org/jacsat/article/doi/10.1021/jacs.6c08089/5404686/Decoupling-Local-Chemistry-and-Electrostatics-for" TargetMode="External"/><Relationship Id="rId1871" Type="http://schemas.openxmlformats.org/officeDocument/2006/relationships/hyperlink" Target="https://doi.org/10.1021/jacs.6c08089" TargetMode="External"/><Relationship Id="rId1872" Type="http://schemas.openxmlformats.org/officeDocument/2006/relationships/hyperlink" Target="https://pubs.acs.org/jacsat/article/doi/10.1021/jacs.6c14185/5405254/5-tBu-Thalidomide-Is-a-Selective-Molecular-Glue" TargetMode="External"/><Relationship Id="rId1873" Type="http://schemas.openxmlformats.org/officeDocument/2006/relationships/hyperlink" Target="https://doi.org/10.1021/jacs.6c14185" TargetMode="External"/><Relationship Id="rId1874" Type="http://schemas.openxmlformats.org/officeDocument/2006/relationships/hyperlink" Target="https://pubs.acs.org/jacsat/article/doi/10.1021/jacs.6c04323/5404905/Electrochemical-Oxidative-Carbonylation-Strong-CO" TargetMode="External"/><Relationship Id="rId1875" Type="http://schemas.openxmlformats.org/officeDocument/2006/relationships/hyperlink" Target="https://www.sciencedirect.com/science/article/pii/S0370269326007665?dgcid=rss_sd_all" TargetMode="External"/><Relationship Id="rId1876" Type="http://schemas.openxmlformats.org/officeDocument/2006/relationships/hyperlink" Target="https://doi.org/10.1016/j.physletb.2026.140916" TargetMode="External"/><Relationship Id="rId1877" Type="http://schemas.openxmlformats.org/officeDocument/2006/relationships/hyperlink" Target="https://www.sciencedirect.com/science/article/pii/S0370269326007628?dgcid=rss_sd_all" TargetMode="External"/><Relationship Id="rId1878" Type="http://schemas.openxmlformats.org/officeDocument/2006/relationships/hyperlink" Target="https://doi.org/10.1016/j.physletb.2026.140912" TargetMode="External"/><Relationship Id="rId1879" Type="http://schemas.openxmlformats.org/officeDocument/2006/relationships/hyperlink" Target="https://www.sciencedirect.com/science/article/pii/S0370269326007732?dgcid=rss_sd_all" TargetMode="External"/><Relationship Id="rId1880" Type="http://schemas.openxmlformats.org/officeDocument/2006/relationships/hyperlink" Target="https://doi.org/10.1016/j.physletb.2026.140923" TargetMode="External"/><Relationship Id="rId1881" Type="http://schemas.openxmlformats.org/officeDocument/2006/relationships/hyperlink" Target="https://www.sciencedirect.com/science/article/pii/S0370269326007677?dgcid=rss_sd_all" TargetMode="External"/><Relationship Id="rId1882" Type="http://schemas.openxmlformats.org/officeDocument/2006/relationships/hyperlink" Target="https://doi.org/10.1016/j.physletb.2026.140917" TargetMode="External"/><Relationship Id="rId1883" Type="http://schemas.openxmlformats.org/officeDocument/2006/relationships/hyperlink" Target="https://www.nature.com/articles/s41467-026-76663-5" TargetMode="External"/><Relationship Id="rId1884" Type="http://schemas.openxmlformats.org/officeDocument/2006/relationships/hyperlink" Target="https://www.nature.com/articles/s41467-026-77462-8" TargetMode="External"/><Relationship Id="rId1885" Type="http://schemas.openxmlformats.org/officeDocument/2006/relationships/hyperlink" Target="https://www.nature.com/articles/s41586-026-10986-7" TargetMode="External"/><Relationship Id="rId1886" Type="http://schemas.openxmlformats.org/officeDocument/2006/relationships/hyperlink" Target="https://doi.org/10.1038/s41586-026-10986-7" TargetMode="External"/><Relationship Id="rId1887" Type="http://schemas.openxmlformats.org/officeDocument/2006/relationships/hyperlink" Target="https://www.nature.com/articles/s41586-026-10937-2" TargetMode="External"/><Relationship Id="rId1888" Type="http://schemas.openxmlformats.org/officeDocument/2006/relationships/hyperlink" Target="https://doi.org/10.1038/s41586-026-10937-2" TargetMode="External"/><Relationship Id="rId1889" Type="http://schemas.openxmlformats.org/officeDocument/2006/relationships/hyperlink" Target="https://www.nature.com/articles/d41586-026-02746-4" TargetMode="External"/><Relationship Id="rId1890" Type="http://schemas.openxmlformats.org/officeDocument/2006/relationships/hyperlink" Target="https://doi.org/10.1038/d41586-026-02746-4" TargetMode="External"/><Relationship Id="rId1891" Type="http://schemas.openxmlformats.org/officeDocument/2006/relationships/hyperlink" Target="https://www.nature.com/articles/d41586-026-02694-z" TargetMode="External"/><Relationship Id="rId1892" Type="http://schemas.openxmlformats.org/officeDocument/2006/relationships/hyperlink" Target="https://doi.org/10.1038/d41586-026-02694-z" TargetMode="External"/><Relationship Id="rId1893" Type="http://schemas.openxmlformats.org/officeDocument/2006/relationships/hyperlink" Target="https://www.nature.com/articles/d41586-026-02468-7" TargetMode="External"/><Relationship Id="rId1894" Type="http://schemas.openxmlformats.org/officeDocument/2006/relationships/hyperlink" Target="https://doi.org/10.1038/d41586-026-02468-7" TargetMode="External"/><Relationship Id="rId1895" Type="http://schemas.openxmlformats.org/officeDocument/2006/relationships/hyperlink" Target="https://www.nature.com/articles/d41586-026-02541-1" TargetMode="External"/><Relationship Id="rId1896" Type="http://schemas.openxmlformats.org/officeDocument/2006/relationships/hyperlink" Target="https://doi.org/10.1038/d41586-026-02541-1" TargetMode="External"/><Relationship Id="rId1897" Type="http://schemas.openxmlformats.org/officeDocument/2006/relationships/hyperlink" Target="https://www.nature.com/articles/d41586-026-02753-5" TargetMode="External"/><Relationship Id="rId1898" Type="http://schemas.openxmlformats.org/officeDocument/2006/relationships/hyperlink" Target="https://doi.org/10.1038/d41586-026-02753-5" TargetMode="External"/><Relationship Id="rId1899" Type="http://schemas.openxmlformats.org/officeDocument/2006/relationships/hyperlink" Target="https://www.nature.com/articles/d41586-026-02414-7" TargetMode="External"/><Relationship Id="rId1900" Type="http://schemas.openxmlformats.org/officeDocument/2006/relationships/hyperlink" Target="https://doi.org/10.1038/d41586-026-02414-7" TargetMode="External"/><Relationship Id="rId1901" Type="http://schemas.openxmlformats.org/officeDocument/2006/relationships/hyperlink" Target="https://www.nature.com/articles/d41586-026-02683-2" TargetMode="External"/><Relationship Id="rId1902" Type="http://schemas.openxmlformats.org/officeDocument/2006/relationships/hyperlink" Target="https://doi.org/10.1038/d41586-026-02683-2" TargetMode="External"/><Relationship Id="rId1903" Type="http://schemas.openxmlformats.org/officeDocument/2006/relationships/hyperlink" Target="https://www.nature.com/articles/d41586-026-02695-y" TargetMode="External"/><Relationship Id="rId1904" Type="http://schemas.openxmlformats.org/officeDocument/2006/relationships/hyperlink" Target="https://doi.org/10.1038/d41586-026-02695-y" TargetMode="External"/><Relationship Id="rId1905" Type="http://schemas.openxmlformats.org/officeDocument/2006/relationships/hyperlink" Target="https://www.nature.com/articles/d41586-026-02761-5" TargetMode="External"/><Relationship Id="rId1906" Type="http://schemas.openxmlformats.org/officeDocument/2006/relationships/hyperlink" Target="https://doi.org/10.1038/d41586-026-02761-5" TargetMode="External"/><Relationship Id="rId1907" Type="http://schemas.openxmlformats.org/officeDocument/2006/relationships/hyperlink" Target="https://www.nature.com/articles/d41586-026-02757-1" TargetMode="External"/><Relationship Id="rId1908" Type="http://schemas.openxmlformats.org/officeDocument/2006/relationships/hyperlink" Target="https://doi.org/10.1038/d41586-026-02757-1" TargetMode="External"/><Relationship Id="rId1909" Type="http://schemas.openxmlformats.org/officeDocument/2006/relationships/hyperlink" Target="https://www.nature.com/articles/d41586-026-02677-0" TargetMode="External"/><Relationship Id="rId1910" Type="http://schemas.openxmlformats.org/officeDocument/2006/relationships/hyperlink" Target="https://doi.org/10.1038/d41586-026-02677-0" TargetMode="External"/><Relationship Id="rId1911" Type="http://schemas.openxmlformats.org/officeDocument/2006/relationships/hyperlink" Target="https://www.nature.com/articles/d41586-026-02745-5" TargetMode="External"/><Relationship Id="rId1912" Type="http://schemas.openxmlformats.org/officeDocument/2006/relationships/hyperlink" Target="https://doi.org/10.1038/d41586-026-02745-5" TargetMode="External"/><Relationship Id="rId1913" Type="http://schemas.openxmlformats.org/officeDocument/2006/relationships/hyperlink" Target="https://www.nature.com/articles/d41586-026-02123-1" TargetMode="External"/><Relationship Id="rId1914" Type="http://schemas.openxmlformats.org/officeDocument/2006/relationships/hyperlink" Target="https://doi.org/10.1038/d41586-026-02123-1" TargetMode="External"/><Relationship Id="rId1915" Type="http://schemas.openxmlformats.org/officeDocument/2006/relationships/hyperlink" Target="https://www.nature.com/articles/d41586-026-02764-2" TargetMode="External"/><Relationship Id="rId1916" Type="http://schemas.openxmlformats.org/officeDocument/2006/relationships/hyperlink" Target="https://doi.org/10.1038/d41586-026-02764-2" TargetMode="External"/><Relationship Id="rId1917" Type="http://schemas.openxmlformats.org/officeDocument/2006/relationships/hyperlink" Target="https://www.nature.com/articles/d41586-026-02467-8" TargetMode="External"/><Relationship Id="rId1918" Type="http://schemas.openxmlformats.org/officeDocument/2006/relationships/hyperlink" Target="https://doi.org/10.1038/d41586-026-02467-8" TargetMode="External"/><Relationship Id="rId1919" Type="http://schemas.openxmlformats.org/officeDocument/2006/relationships/hyperlink" Target="https://www.nature.com/articles/d41586-026-02486-5" TargetMode="External"/><Relationship Id="rId1920" Type="http://schemas.openxmlformats.org/officeDocument/2006/relationships/hyperlink" Target="https://doi.org/10.1038/d41586-026-02486-5" TargetMode="External"/><Relationship Id="rId1921" Type="http://schemas.openxmlformats.org/officeDocument/2006/relationships/hyperlink" Target="https://www.nature.com/articles/d41586-026-02597-z" TargetMode="External"/><Relationship Id="rId1922" Type="http://schemas.openxmlformats.org/officeDocument/2006/relationships/hyperlink" Target="https://doi.org/10.1038/d41586-026-02597-z" TargetMode="External"/><Relationship Id="rId1923" Type="http://schemas.openxmlformats.org/officeDocument/2006/relationships/hyperlink" Target="https://www.nature.com/articles/s41557-026-02226-2" TargetMode="External"/><Relationship Id="rId1924" Type="http://schemas.openxmlformats.org/officeDocument/2006/relationships/hyperlink" Target="https://doi.org/10.1038/s41557-026-02226-2" TargetMode="External"/><Relationship Id="rId1925" Type="http://schemas.openxmlformats.org/officeDocument/2006/relationships/hyperlink" Target="https://www.nature.com/articles/s41586-026-10981-y" TargetMode="External"/><Relationship Id="rId1926" Type="http://schemas.openxmlformats.org/officeDocument/2006/relationships/hyperlink" Target="https://doi.org/10.1038/s41586-026-10981-y" TargetMode="External"/><Relationship Id="rId1927" Type="http://schemas.openxmlformats.org/officeDocument/2006/relationships/hyperlink" Target="https://www.nature.com/articles/s41586-026-10908-7" TargetMode="External"/><Relationship Id="rId1928" Type="http://schemas.openxmlformats.org/officeDocument/2006/relationships/hyperlink" Target="https://doi.org/10.1038/s41586-026-10908-7" TargetMode="External"/><Relationship Id="rId1929" Type="http://schemas.openxmlformats.org/officeDocument/2006/relationships/hyperlink" Target="https://www.nature.com/articles/s41586-026-10950-5" TargetMode="External"/><Relationship Id="rId1930" Type="http://schemas.openxmlformats.org/officeDocument/2006/relationships/hyperlink" Target="https://doi.org/10.1038/s41586-026-10950-5" TargetMode="External"/><Relationship Id="rId1931" Type="http://schemas.openxmlformats.org/officeDocument/2006/relationships/hyperlink" Target="https://www.nature.com/articles/s41565-026-02268-0" TargetMode="External"/><Relationship Id="rId1932" Type="http://schemas.openxmlformats.org/officeDocument/2006/relationships/hyperlink" Target="https://doi.org/10.1038/s41565-026-02268-0" TargetMode="External"/><Relationship Id="rId1933" Type="http://schemas.openxmlformats.org/officeDocument/2006/relationships/hyperlink" Target="https://www.nature.com/articles/s41565-026-02266-2" TargetMode="External"/><Relationship Id="rId1934" Type="http://schemas.openxmlformats.org/officeDocument/2006/relationships/hyperlink" Target="https://doi.org/10.1038/s41565-026-02266-2" TargetMode="External"/><Relationship Id="rId1935" Type="http://schemas.openxmlformats.org/officeDocument/2006/relationships/hyperlink" Target="https://www.nature.com/articles/s41558-026-02745-3" TargetMode="External"/><Relationship Id="rId1936" Type="http://schemas.openxmlformats.org/officeDocument/2006/relationships/hyperlink" Target="https://doi.org/10.1038/s41558-026-02745-3" TargetMode="External"/><Relationship Id="rId1937" Type="http://schemas.openxmlformats.org/officeDocument/2006/relationships/hyperlink" Target="https://www.nature.com/articles/s41558-026-02746-2" TargetMode="External"/><Relationship Id="rId1938" Type="http://schemas.openxmlformats.org/officeDocument/2006/relationships/hyperlink" Target="https://doi.org/10.1038/s41558-026-02746-2" TargetMode="External"/><Relationship Id="rId1939" Type="http://schemas.openxmlformats.org/officeDocument/2006/relationships/hyperlink" Target="https://www.nature.com/articles/s41558-026-02744-4" TargetMode="External"/><Relationship Id="rId1940" Type="http://schemas.openxmlformats.org/officeDocument/2006/relationships/hyperlink" Target="https://doi.org/10.1038/s41558-026-02744-4" TargetMode="External"/><Relationship Id="rId1941" Type="http://schemas.openxmlformats.org/officeDocument/2006/relationships/hyperlink" Target="https://www.nature.com/articles/s41558-026-02747-1" TargetMode="External"/><Relationship Id="rId1942" Type="http://schemas.openxmlformats.org/officeDocument/2006/relationships/hyperlink" Target="https://doi.org/10.1038/s41558-026-02747-1" TargetMode="External"/><Relationship Id="rId1943" Type="http://schemas.openxmlformats.org/officeDocument/2006/relationships/hyperlink" Target="https://www.nature.com/articles/s41558-026-02721-x" TargetMode="External"/><Relationship Id="rId1944" Type="http://schemas.openxmlformats.org/officeDocument/2006/relationships/hyperlink" Target="https://doi.org/10.1038/s41558-026-02721-x" TargetMode="External"/><Relationship Id="rId1945" Type="http://schemas.openxmlformats.org/officeDocument/2006/relationships/hyperlink" Target="https://www.nature.com/articles/s41558-026-02742-6" TargetMode="External"/><Relationship Id="rId1946" Type="http://schemas.openxmlformats.org/officeDocument/2006/relationships/hyperlink" Target="https://doi.org/10.1038/s41558-026-02742-6" TargetMode="External"/><Relationship Id="rId1947" Type="http://schemas.openxmlformats.org/officeDocument/2006/relationships/hyperlink" Target="https://www.nature.com/articles/s41558-026-02734-6" TargetMode="External"/><Relationship Id="rId1948" Type="http://schemas.openxmlformats.org/officeDocument/2006/relationships/hyperlink" Target="https://doi.org/10.1038/s41558-026-02734-6" TargetMode="External"/><Relationship Id="rId1949" Type="http://schemas.openxmlformats.org/officeDocument/2006/relationships/hyperlink" Target="https://www.nature.com/articles/s41586-026-11104-3" TargetMode="External"/><Relationship Id="rId1950" Type="http://schemas.openxmlformats.org/officeDocument/2006/relationships/hyperlink" Target="https://doi.org/10.1038/s41586-026-11104-3" TargetMode="External"/><Relationship Id="rId1951" Type="http://schemas.openxmlformats.org/officeDocument/2006/relationships/hyperlink" Target="https://www.nature.com/articles/s41586-026-11080-8" TargetMode="External"/><Relationship Id="rId1952" Type="http://schemas.openxmlformats.org/officeDocument/2006/relationships/hyperlink" Target="https://doi.org/10.1038/s41586-026-11080-8" TargetMode="External"/><Relationship Id="rId1953" Type="http://schemas.openxmlformats.org/officeDocument/2006/relationships/hyperlink" Target="https://www.nature.com/articles/s41586-026-11027-z" TargetMode="External"/><Relationship Id="rId1954" Type="http://schemas.openxmlformats.org/officeDocument/2006/relationships/hyperlink" Target="https://doi.org/10.1038/s41586-026-11027-z" TargetMode="External"/><Relationship Id="rId1955" Type="http://schemas.openxmlformats.org/officeDocument/2006/relationships/hyperlink" Target="https://www.nature.com/articles/d41586-026-02762-4" TargetMode="External"/><Relationship Id="rId1956" Type="http://schemas.openxmlformats.org/officeDocument/2006/relationships/hyperlink" Target="https://doi.org/10.1038/d41586-026-02762-4" TargetMode="External"/><Relationship Id="rId1957" Type="http://schemas.openxmlformats.org/officeDocument/2006/relationships/hyperlink" Target="https://www.nature.com/articles/s41586-026-10982-x" TargetMode="External"/><Relationship Id="rId1958" Type="http://schemas.openxmlformats.org/officeDocument/2006/relationships/hyperlink" Target="https://doi.org/10.1038/s41586-026-10982-x" TargetMode="External"/><Relationship Id="rId1959" Type="http://schemas.openxmlformats.org/officeDocument/2006/relationships/hyperlink" Target="https://www.nature.com/articles/s41586-026-10987-6" TargetMode="External"/><Relationship Id="rId1960" Type="http://schemas.openxmlformats.org/officeDocument/2006/relationships/hyperlink" Target="https://doi.org/10.1038/s41586-026-10987-6" TargetMode="External"/><Relationship Id="rId1961" Type="http://schemas.openxmlformats.org/officeDocument/2006/relationships/hyperlink" Target="https://www.nature.com/articles/s41586-026-10690-6" TargetMode="External"/><Relationship Id="rId1962" Type="http://schemas.openxmlformats.org/officeDocument/2006/relationships/hyperlink" Target="https://doi.org/10.1038/s41586-026-10690-6" TargetMode="External"/><Relationship Id="rId1963" Type="http://schemas.openxmlformats.org/officeDocument/2006/relationships/hyperlink" Target="https://www.nature.com/articles/s41586-026-10898-6" TargetMode="External"/><Relationship Id="rId1964" Type="http://schemas.openxmlformats.org/officeDocument/2006/relationships/hyperlink" Target="https://doi.org/10.1038/s41586-026-10898-6" TargetMode="External"/><Relationship Id="rId1965" Type="http://schemas.openxmlformats.org/officeDocument/2006/relationships/hyperlink" Target="https://www.nature.com/articles/s41586-026-10952-3" TargetMode="External"/><Relationship Id="rId1966" Type="http://schemas.openxmlformats.org/officeDocument/2006/relationships/hyperlink" Target="https://doi.org/10.1038/s41586-026-10952-3" TargetMode="External"/><Relationship Id="rId1967" Type="http://schemas.openxmlformats.org/officeDocument/2006/relationships/hyperlink" Target="https://www.nature.com/articles/s41586-026-10940-7" TargetMode="External"/><Relationship Id="rId1968" Type="http://schemas.openxmlformats.org/officeDocument/2006/relationships/hyperlink" Target="https://doi.org/10.1038/s41586-026-10940-7" TargetMode="External"/><Relationship Id="rId1969" Type="http://schemas.openxmlformats.org/officeDocument/2006/relationships/hyperlink" Target="https://www.nature.com/articles/s41586-026-10992-9" TargetMode="External"/><Relationship Id="rId1970" Type="http://schemas.openxmlformats.org/officeDocument/2006/relationships/hyperlink" Target="https://doi.org/10.1038/s41586-026-10992-9" TargetMode="External"/><Relationship Id="rId1971" Type="http://schemas.openxmlformats.org/officeDocument/2006/relationships/hyperlink" Target="https://www.nature.com/articles/s41586-026-10818-8" TargetMode="External"/><Relationship Id="rId1972" Type="http://schemas.openxmlformats.org/officeDocument/2006/relationships/hyperlink" Target="https://doi.org/10.1038/s41586-026-10818-8" TargetMode="External"/><Relationship Id="rId1973" Type="http://schemas.openxmlformats.org/officeDocument/2006/relationships/hyperlink" Target="https://www.nature.com/articles/s41586-026-10983-w" TargetMode="External"/><Relationship Id="rId1974" Type="http://schemas.openxmlformats.org/officeDocument/2006/relationships/hyperlink" Target="https://doi.org/10.1038/s41586-026-10983-w" TargetMode="External"/><Relationship Id="rId1975" Type="http://schemas.openxmlformats.org/officeDocument/2006/relationships/hyperlink" Target="https://www.nature.com/articles/s41586-026-10969-8" TargetMode="External"/><Relationship Id="rId1976" Type="http://schemas.openxmlformats.org/officeDocument/2006/relationships/hyperlink" Target="https://doi.org/10.1038/s41586-026-10969-8" TargetMode="External"/><Relationship Id="rId1977" Type="http://schemas.openxmlformats.org/officeDocument/2006/relationships/hyperlink" Target="https://www.nature.com/articles/s41586-026-10962-1" TargetMode="External"/><Relationship Id="rId1978" Type="http://schemas.openxmlformats.org/officeDocument/2006/relationships/hyperlink" Target="https://doi.org/10.1038/s41586-026-10962-1" TargetMode="External"/><Relationship Id="rId1979" Type="http://schemas.openxmlformats.org/officeDocument/2006/relationships/hyperlink" Target="https://www.nature.com/articles/s41586-026-10529-0" TargetMode="External"/><Relationship Id="rId1980" Type="http://schemas.openxmlformats.org/officeDocument/2006/relationships/hyperlink" Target="https://doi.org/10.1038/s41586-026-10529-0" TargetMode="External"/><Relationship Id="rId1981" Type="http://schemas.openxmlformats.org/officeDocument/2006/relationships/hyperlink" Target="https://www.nature.com/articles/s41586-026-10672-8" TargetMode="External"/><Relationship Id="rId1982" Type="http://schemas.openxmlformats.org/officeDocument/2006/relationships/hyperlink" Target="https://doi.org/10.1038/s41586-026-10672-8" TargetMode="External"/><Relationship Id="rId1983" Type="http://schemas.openxmlformats.org/officeDocument/2006/relationships/hyperlink" Target="https://www.nature.com/articles/s44359-026-00217-7" TargetMode="External"/><Relationship Id="rId1984" Type="http://schemas.openxmlformats.org/officeDocument/2006/relationships/hyperlink" Target="https://doi.org/10.1038/s44359-026-00217-7" TargetMode="External"/><Relationship Id="rId1985" Type="http://schemas.openxmlformats.org/officeDocument/2006/relationships/hyperlink" Target="https://www.nature.com/articles/s41467-026-77168-x" TargetMode="External"/><Relationship Id="rId1986" Type="http://schemas.openxmlformats.org/officeDocument/2006/relationships/hyperlink" Target="https://www.nature.com/articles/s41467-026-77129-4" TargetMode="External"/><Relationship Id="rId1987" Type="http://schemas.openxmlformats.org/officeDocument/2006/relationships/hyperlink" Target="https://www.nature.com/articles/s41467-026-76890-w" TargetMode="External"/><Relationship Id="rId1988" Type="http://schemas.openxmlformats.org/officeDocument/2006/relationships/hyperlink" Target="https://www.nature.com/articles/s41467-026-77054-6" TargetMode="External"/><Relationship Id="rId1989" Type="http://schemas.openxmlformats.org/officeDocument/2006/relationships/hyperlink" Target="https://www.nature.com/articles/s41467-026-76956-9" TargetMode="External"/><Relationship Id="rId1990" Type="http://schemas.openxmlformats.org/officeDocument/2006/relationships/hyperlink" Target="https://www.nature.com/articles/s41467-026-76668-0" TargetMode="External"/><Relationship Id="rId1991" Type="http://schemas.openxmlformats.org/officeDocument/2006/relationships/hyperlink" Target="https://www.nature.com/articles/s41467-026-77002-4" TargetMode="External"/><Relationship Id="rId1992" Type="http://schemas.openxmlformats.org/officeDocument/2006/relationships/hyperlink" Target="https://www.nature.com/articles/s41467-026-77324-3" TargetMode="External"/><Relationship Id="rId1993" Type="http://schemas.openxmlformats.org/officeDocument/2006/relationships/hyperlink" Target="https://www.nature.com/articles/s41467-026-77302-9" TargetMode="External"/><Relationship Id="rId1994" Type="http://schemas.openxmlformats.org/officeDocument/2006/relationships/hyperlink" Target="https://www.nature.com/articles/s41467-026-76110-5" TargetMode="External"/><Relationship Id="rId1995" Type="http://schemas.openxmlformats.org/officeDocument/2006/relationships/hyperlink" Target="https://www.nature.com/articles/s41467-026-77275-9" TargetMode="External"/><Relationship Id="rId1996" Type="http://schemas.openxmlformats.org/officeDocument/2006/relationships/hyperlink" Target="https://www.nature.com/articles/s41467-026-77452-w" TargetMode="External"/><Relationship Id="rId1997" Type="http://schemas.openxmlformats.org/officeDocument/2006/relationships/hyperlink" Target="https://www.nature.com/articles/s41467-026-77359-6" TargetMode="External"/><Relationship Id="rId1998" Type="http://schemas.openxmlformats.org/officeDocument/2006/relationships/hyperlink" Target="https://www.nature.com/articles/s41467-026-77108-9" TargetMode="External"/><Relationship Id="rId1999" Type="http://schemas.openxmlformats.org/officeDocument/2006/relationships/hyperlink" Target="https://www.nature.com/articles/s41467-026-77282-w" TargetMode="External"/><Relationship Id="rId2000" Type="http://schemas.openxmlformats.org/officeDocument/2006/relationships/hyperlink" Target="https://www.nature.com/articles/s41467-026-77181-0" TargetMode="External"/><Relationship Id="rId2001" Type="http://schemas.openxmlformats.org/officeDocument/2006/relationships/hyperlink" Target="https://www.nature.com/articles/s41467-026-77394-3" TargetMode="External"/><Relationship Id="rId2002" Type="http://schemas.openxmlformats.org/officeDocument/2006/relationships/hyperlink" Target="https://www.nature.com/articles/s41467-026-77178-9" TargetMode="External"/><Relationship Id="rId2003" Type="http://schemas.openxmlformats.org/officeDocument/2006/relationships/hyperlink" Target="https://www.nature.com/articles/s41467-026-74841-z" TargetMode="External"/><Relationship Id="rId2004" Type="http://schemas.openxmlformats.org/officeDocument/2006/relationships/hyperlink" Target="https://www.nature.com/articles/s41467-026-77301-w" TargetMode="External"/><Relationship Id="rId2005" Type="http://schemas.openxmlformats.org/officeDocument/2006/relationships/hyperlink" Target="https://www.nature.com/articles/s41467-026-77457-5" TargetMode="External"/><Relationship Id="rId2006" Type="http://schemas.openxmlformats.org/officeDocument/2006/relationships/hyperlink" Target="https://www.nature.com/articles/s41467-026-77281-x" TargetMode="External"/><Relationship Id="rId2007" Type="http://schemas.openxmlformats.org/officeDocument/2006/relationships/hyperlink" Target="https://www.nature.com/articles/s41467-026-77410-6" TargetMode="External"/><Relationship Id="rId2008" Type="http://schemas.openxmlformats.org/officeDocument/2006/relationships/hyperlink" Target="https://www.nature.com/articles/s41467-026-76771-2" TargetMode="External"/><Relationship Id="rId2009" Type="http://schemas.openxmlformats.org/officeDocument/2006/relationships/hyperlink" Target="https://www.nature.com/articles/s41467-026-76569-2" TargetMode="External"/><Relationship Id="rId2010" Type="http://schemas.openxmlformats.org/officeDocument/2006/relationships/hyperlink" Target="https://www.nature.com/articles/s41467-026-77443-x" TargetMode="External"/><Relationship Id="rId2011" Type="http://schemas.openxmlformats.org/officeDocument/2006/relationships/hyperlink" Target="https://www.nature.com/articles/s41467-026-77148-1" TargetMode="External"/><Relationship Id="rId2012" Type="http://schemas.openxmlformats.org/officeDocument/2006/relationships/hyperlink" Target="https://www.science.org/doi/abs/10.1126/sciadv.adx9868?af=R" TargetMode="External"/><Relationship Id="rId2013" Type="http://schemas.openxmlformats.org/officeDocument/2006/relationships/hyperlink" Target="https://doi.org/10.1126/sciadv.adx9868" TargetMode="External"/><Relationship Id="rId2014" Type="http://schemas.openxmlformats.org/officeDocument/2006/relationships/hyperlink" Target="https://www.science.org/doi/abs/10.1126/sciadv.aec2357?af=R" TargetMode="External"/><Relationship Id="rId2015" Type="http://schemas.openxmlformats.org/officeDocument/2006/relationships/hyperlink" Target="https://doi.org/10.1126/sciadv.aec2357" TargetMode="External"/><Relationship Id="rId2016" Type="http://schemas.openxmlformats.org/officeDocument/2006/relationships/hyperlink" Target="https://www.science.org/doi/abs/10.1126/sciadv.adz6195?af=R" TargetMode="External"/><Relationship Id="rId2017" Type="http://schemas.openxmlformats.org/officeDocument/2006/relationships/hyperlink" Target="https://doi.org/10.1126/sciadv.adz6195" TargetMode="External"/><Relationship Id="rId2018" Type="http://schemas.openxmlformats.org/officeDocument/2006/relationships/hyperlink" Target="https://www.science.org/doi/abs/10.1126/sciadv.aeb0659?af=R" TargetMode="External"/><Relationship Id="rId2019" Type="http://schemas.openxmlformats.org/officeDocument/2006/relationships/hyperlink" Target="https://doi.org/10.1126/sciadv.aeb0659" TargetMode="External"/><Relationship Id="rId2020" Type="http://schemas.openxmlformats.org/officeDocument/2006/relationships/hyperlink" Target="https://www.science.org/doi/abs/10.1126/sciadv.aeb6839?af=R" TargetMode="External"/><Relationship Id="rId2021" Type="http://schemas.openxmlformats.org/officeDocument/2006/relationships/hyperlink" Target="https://doi.org/10.1126/sciadv.aeb6839" TargetMode="External"/><Relationship Id="rId2022" Type="http://schemas.openxmlformats.org/officeDocument/2006/relationships/hyperlink" Target="https://www.science.org/doi/abs/10.1126/sciadv.aec7052?af=R" TargetMode="External"/><Relationship Id="rId2023" Type="http://schemas.openxmlformats.org/officeDocument/2006/relationships/hyperlink" Target="https://doi.org/10.1126/sciadv.aec7052" TargetMode="External"/><Relationship Id="rId2024" Type="http://schemas.openxmlformats.org/officeDocument/2006/relationships/hyperlink" Target="https://www.pnas.org/doi/abs/10.1073/pnas.2628766123?mi=eymic2&amp;af=R&amp;access=on&amp;content=articlesChapters&amp;publication=pnas&amp;sortBy=Earliest&amp;target=default" TargetMode="External"/><Relationship Id="rId2025" Type="http://schemas.openxmlformats.org/officeDocument/2006/relationships/hyperlink" Target="https://doi.org/10.1073/pnas.2628766123" TargetMode="External"/><Relationship Id="rId2026" Type="http://schemas.openxmlformats.org/officeDocument/2006/relationships/hyperlink" Target="https://www.science.org/doi/abs/10.1126/sciadv.aed1511?af=R" TargetMode="External"/><Relationship Id="rId2027" Type="http://schemas.openxmlformats.org/officeDocument/2006/relationships/hyperlink" Target="https://doi.org/10.1126/sciadv.aed1511" TargetMode="External"/><Relationship Id="rId2028" Type="http://schemas.openxmlformats.org/officeDocument/2006/relationships/hyperlink" Target="https://www.science.org/doi/abs/10.1126/sciadv.aed2952?af=R" TargetMode="External"/><Relationship Id="rId2029" Type="http://schemas.openxmlformats.org/officeDocument/2006/relationships/hyperlink" Target="https://doi.org/10.1126/sciadv.aed2952" TargetMode="External"/><Relationship Id="rId2030" Type="http://schemas.openxmlformats.org/officeDocument/2006/relationships/hyperlink" Target="https://www.science.org/doi/abs/10.1126/sciadv.aed3734?af=R" TargetMode="External"/><Relationship Id="rId2031" Type="http://schemas.openxmlformats.org/officeDocument/2006/relationships/hyperlink" Target="https://doi.org/10.1126/sciadv.aed3734" TargetMode="External"/><Relationship Id="rId2032" Type="http://schemas.openxmlformats.org/officeDocument/2006/relationships/hyperlink" Target="https://www.science.org/doi/abs/10.1126/sciadv.aed4934?af=R" TargetMode="External"/><Relationship Id="rId2033" Type="http://schemas.openxmlformats.org/officeDocument/2006/relationships/hyperlink" Target="https://doi.org/10.1126/sciadv.aed4934" TargetMode="External"/><Relationship Id="rId2034" Type="http://schemas.openxmlformats.org/officeDocument/2006/relationships/hyperlink" Target="https://www.science.org/doi/abs/10.1126/sciadv.adu3955?af=R" TargetMode="External"/><Relationship Id="rId2035" Type="http://schemas.openxmlformats.org/officeDocument/2006/relationships/hyperlink" Target="https://doi.org/10.1126/sciadv.adu3955" TargetMode="External"/><Relationship Id="rId2036" Type="http://schemas.openxmlformats.org/officeDocument/2006/relationships/hyperlink" Target="https://www.science.org/doi/abs/10.1126/sciadv.aec7585?af=R" TargetMode="External"/><Relationship Id="rId2037" Type="http://schemas.openxmlformats.org/officeDocument/2006/relationships/hyperlink" Target="https://doi.org/10.1126/sciadv.aec7585" TargetMode="External"/><Relationship Id="rId2038" Type="http://schemas.openxmlformats.org/officeDocument/2006/relationships/hyperlink" Target="https://www.pnas.org/doi/abs/10.1073/pnas.2622915123?mi=eymic2&amp;af=R&amp;access=on&amp;content=articlesChapters&amp;publication=pnas&amp;sortBy=Earliest&amp;target=default" TargetMode="External"/><Relationship Id="rId2039" Type="http://schemas.openxmlformats.org/officeDocument/2006/relationships/hyperlink" Target="https://doi.org/10.1073/pnas.2622915123" TargetMode="External"/><Relationship Id="rId2040" Type="http://schemas.openxmlformats.org/officeDocument/2006/relationships/hyperlink" Target="https://www.pnas.org/doi/abs/10.1073/pnas.2618114123?mi=eymic2&amp;af=R&amp;access=on&amp;content=articlesChapters&amp;publication=pnas&amp;sortBy=Earliest&amp;target=default" TargetMode="External"/><Relationship Id="rId2041" Type="http://schemas.openxmlformats.org/officeDocument/2006/relationships/hyperlink" Target="https://doi.org/10.1073/pnas.2618114123" TargetMode="External"/><Relationship Id="rId2042" Type="http://schemas.openxmlformats.org/officeDocument/2006/relationships/hyperlink" Target="https://www.science.org/doi/abs/10.1126/sciadv.aed8384?af=R" TargetMode="External"/><Relationship Id="rId2043" Type="http://schemas.openxmlformats.org/officeDocument/2006/relationships/hyperlink" Target="https://doi.org/10.1126/sciadv.aed8384" TargetMode="External"/><Relationship Id="rId2044" Type="http://schemas.openxmlformats.org/officeDocument/2006/relationships/hyperlink" Target="https://www.science.org/doi/abs/10.1126/sciadv.aee3256?af=R" TargetMode="External"/><Relationship Id="rId2045" Type="http://schemas.openxmlformats.org/officeDocument/2006/relationships/hyperlink" Target="https://doi.org/10.1126/sciadv.aee3256" TargetMode="External"/><Relationship Id="rId2046" Type="http://schemas.openxmlformats.org/officeDocument/2006/relationships/hyperlink" Target="https://www.pnas.org/doi/abs/10.1073/pnas.2624480123?mi=eymic2&amp;af=R&amp;access=on&amp;content=articlesChapters&amp;publication=pnas&amp;sortBy=Earliest&amp;target=default" TargetMode="External"/><Relationship Id="rId2047" Type="http://schemas.openxmlformats.org/officeDocument/2006/relationships/hyperlink" Target="https://doi.org/10.1073/pnas.2624480123" TargetMode="External"/><Relationship Id="rId2048" Type="http://schemas.openxmlformats.org/officeDocument/2006/relationships/hyperlink" Target="https://www.science.org/doi/abs/10.1126/sciadv.aef6076?af=R" TargetMode="External"/><Relationship Id="rId2049" Type="http://schemas.openxmlformats.org/officeDocument/2006/relationships/hyperlink" Target="https://doi.org/10.1126/sciadv.aef6076" TargetMode="External"/><Relationship Id="rId2050" Type="http://schemas.openxmlformats.org/officeDocument/2006/relationships/hyperlink" Target="https://www.science.org/doi/abs/10.1126/sciadv.aeh3571?af=R" TargetMode="External"/><Relationship Id="rId2051" Type="http://schemas.openxmlformats.org/officeDocument/2006/relationships/hyperlink" Target="https://doi.org/10.1126/sciadv.aeh3571" TargetMode="External"/><Relationship Id="rId2052" Type="http://schemas.openxmlformats.org/officeDocument/2006/relationships/hyperlink" Target="https://www.science.org/doi/abs/10.1126/sciadv.aeb3209?af=R" TargetMode="External"/><Relationship Id="rId2053" Type="http://schemas.openxmlformats.org/officeDocument/2006/relationships/hyperlink" Target="https://doi.org/10.1126/sciadv.aeb3209" TargetMode="External"/><Relationship Id="rId2054" Type="http://schemas.openxmlformats.org/officeDocument/2006/relationships/hyperlink" Target="https://www.science.org/doi/abs/10.1126/sciadv.aef3930?af=R" TargetMode="External"/><Relationship Id="rId2055" Type="http://schemas.openxmlformats.org/officeDocument/2006/relationships/hyperlink" Target="https://doi.org/10.1126/sciadv.aef3930" TargetMode="External"/><Relationship Id="rId2056" Type="http://schemas.openxmlformats.org/officeDocument/2006/relationships/hyperlink" Target="https://www.science.org/doi/abs/10.1126/sciadv.aec8045?af=R" TargetMode="External"/><Relationship Id="rId2057" Type="http://schemas.openxmlformats.org/officeDocument/2006/relationships/hyperlink" Target="https://doi.org/10.1126/sciadv.aec8045" TargetMode="External"/><Relationship Id="rId2058" Type="http://schemas.openxmlformats.org/officeDocument/2006/relationships/hyperlink" Target="https://www.science.org/doi/abs/10.1126/sciadv.aej0987?af=R" TargetMode="External"/><Relationship Id="rId2059" Type="http://schemas.openxmlformats.org/officeDocument/2006/relationships/hyperlink" Target="https://doi.org/10.1126/sciadv.aej0987" TargetMode="External"/><Relationship Id="rId2060" Type="http://schemas.openxmlformats.org/officeDocument/2006/relationships/hyperlink" Target="https://www.science.org/doi/abs/10.1126/sciadv.aeh8260?af=R" TargetMode="External"/><Relationship Id="rId2061" Type="http://schemas.openxmlformats.org/officeDocument/2006/relationships/hyperlink" Target="https://doi.org/10.1126/sciadv.aeh8260" TargetMode="External"/><Relationship Id="rId2062" Type="http://schemas.openxmlformats.org/officeDocument/2006/relationships/hyperlink" Target="https://www.science.org/doi/abs/10.1126/sciadv.aeh7630?af=R" TargetMode="External"/><Relationship Id="rId2063" Type="http://schemas.openxmlformats.org/officeDocument/2006/relationships/hyperlink" Target="https://doi.org/10.1126/sciadv.aeh7630" TargetMode="External"/><Relationship Id="rId2064" Type="http://schemas.openxmlformats.org/officeDocument/2006/relationships/hyperlink" Target="https://www.science.org/doi/abs/10.1126/sciadv.aeh3921?af=R" TargetMode="External"/><Relationship Id="rId2065" Type="http://schemas.openxmlformats.org/officeDocument/2006/relationships/hyperlink" Target="https://doi.org/10.1126/sciadv.aeh3921" TargetMode="External"/><Relationship Id="rId2066" Type="http://schemas.openxmlformats.org/officeDocument/2006/relationships/hyperlink" Target="https://www.science.org/doi/abs/10.1126/sciadv.aeh3751?af=R" TargetMode="External"/><Relationship Id="rId2067" Type="http://schemas.openxmlformats.org/officeDocument/2006/relationships/hyperlink" Target="https://doi.org/10.1126/sciadv.aeh3751" TargetMode="External"/><Relationship Id="rId2068" Type="http://schemas.openxmlformats.org/officeDocument/2006/relationships/hyperlink" Target="https://www.science.org/doi/abs/10.1126/sciadv.aeg8202?af=R" TargetMode="External"/><Relationship Id="rId2069" Type="http://schemas.openxmlformats.org/officeDocument/2006/relationships/hyperlink" Target="https://doi.org/10.1126/sciadv.aeg8202" TargetMode="External"/><Relationship Id="rId2070" Type="http://schemas.openxmlformats.org/officeDocument/2006/relationships/hyperlink" Target="https://www.pnas.org/doi/abs/10.1073/pnas.2533682123?mi=eymic2&amp;af=R&amp;access=on&amp;content=articlesChapters&amp;publication=pnas&amp;sortBy=Earliest&amp;target=default" TargetMode="External"/><Relationship Id="rId2071" Type="http://schemas.openxmlformats.org/officeDocument/2006/relationships/hyperlink" Target="https://doi.org/10.1073/pnas.2533682123" TargetMode="External"/><Relationship Id="rId2072" Type="http://schemas.openxmlformats.org/officeDocument/2006/relationships/hyperlink" Target="https://www.science.org/doi/abs/10.1126/sciadv.aeg3488?af=R" TargetMode="External"/><Relationship Id="rId2073" Type="http://schemas.openxmlformats.org/officeDocument/2006/relationships/hyperlink" Target="https://doi.org/10.1126/sciadv.aeg3488" TargetMode="External"/><Relationship Id="rId2074" Type="http://schemas.openxmlformats.org/officeDocument/2006/relationships/hyperlink" Target="https://www.science.org/doi/abs/10.1126/sciadv.aeg3346?af=R" TargetMode="External"/><Relationship Id="rId2075" Type="http://schemas.openxmlformats.org/officeDocument/2006/relationships/hyperlink" Target="https://doi.org/10.1126/sciadv.aeg3346" TargetMode="External"/><Relationship Id="rId2076" Type="http://schemas.openxmlformats.org/officeDocument/2006/relationships/hyperlink" Target="https://www.science.org/doi/abs/10.1126/sciadv.aeg1640?af=R" TargetMode="External"/><Relationship Id="rId2077" Type="http://schemas.openxmlformats.org/officeDocument/2006/relationships/hyperlink" Target="https://doi.org/10.1126/sciadv.aeg1640" TargetMode="External"/><Relationship Id="rId2078" Type="http://schemas.openxmlformats.org/officeDocument/2006/relationships/hyperlink" Target="https://www.science.org/doi/abs/10.1126/sciadv.aeg1229?af=R" TargetMode="External"/><Relationship Id="rId2079" Type="http://schemas.openxmlformats.org/officeDocument/2006/relationships/hyperlink" Target="https://doi.org/10.1126/sciadv.aeg1229" TargetMode="External"/><Relationship Id="rId2080" Type="http://schemas.openxmlformats.org/officeDocument/2006/relationships/hyperlink" Target="https://www.science.org/doi/abs/10.1126/sciadv.aef9406?af=R" TargetMode="External"/><Relationship Id="rId2081" Type="http://schemas.openxmlformats.org/officeDocument/2006/relationships/hyperlink" Target="https://doi.org/10.1126/sciadv.aef9406" TargetMode="External"/><Relationship Id="rId2082" Type="http://schemas.openxmlformats.org/officeDocument/2006/relationships/hyperlink" Target="https://www.science.org/doi/abs/10.1126/sciadv.aef5945?af=R" TargetMode="External"/><Relationship Id="rId2083" Type="http://schemas.openxmlformats.org/officeDocument/2006/relationships/hyperlink" Target="https://doi.org/10.1126/sciadv.aef5945" TargetMode="External"/><Relationship Id="rId2084" Type="http://schemas.openxmlformats.org/officeDocument/2006/relationships/hyperlink" Target="https://www.science.org/doi/abs/10.1126/sciadv.aef5793?af=R" TargetMode="External"/><Relationship Id="rId2085" Type="http://schemas.openxmlformats.org/officeDocument/2006/relationships/hyperlink" Target="https://doi.org/10.1126/sciadv.aef5793" TargetMode="External"/><Relationship Id="rId2086" Type="http://schemas.openxmlformats.org/officeDocument/2006/relationships/hyperlink" Target="https://www.science.org/doi/abs/10.1126/sciadv.aef2894?af=R" TargetMode="External"/><Relationship Id="rId2087" Type="http://schemas.openxmlformats.org/officeDocument/2006/relationships/hyperlink" Target="https://doi.org/10.1126/sciadv.aef2894" TargetMode="External"/><Relationship Id="rId2088" Type="http://schemas.openxmlformats.org/officeDocument/2006/relationships/hyperlink" Target="https://www.science.org/doi/abs/10.1126/sciadv.aef2333?af=R" TargetMode="External"/><Relationship Id="rId2089" Type="http://schemas.openxmlformats.org/officeDocument/2006/relationships/hyperlink" Target="https://doi.org/10.1126/sciadv.aef2333" TargetMode="External"/><Relationship Id="rId2090" Type="http://schemas.openxmlformats.org/officeDocument/2006/relationships/hyperlink" Target="https://www.science.org/doi/abs/10.1126/sciadv.aee9228?af=R" TargetMode="External"/><Relationship Id="rId2091" Type="http://schemas.openxmlformats.org/officeDocument/2006/relationships/hyperlink" Target="https://doi.org/10.1126/sciadv.aee9228" TargetMode="External"/><Relationship Id="rId2092" Type="http://schemas.openxmlformats.org/officeDocument/2006/relationships/hyperlink" Target="https://www.science.org/doi/abs/10.1126/sciadv.aee4251?af=R" TargetMode="External"/><Relationship Id="rId2093" Type="http://schemas.openxmlformats.org/officeDocument/2006/relationships/hyperlink" Target="https://doi.org/10.1126/sciadv.aee4251" TargetMode="External"/><Relationship Id="rId2094" Type="http://schemas.openxmlformats.org/officeDocument/2006/relationships/hyperlink" Target="https://www.science.org/doi/abs/10.1126/sciadv.aee3948?af=R" TargetMode="External"/><Relationship Id="rId2095" Type="http://schemas.openxmlformats.org/officeDocument/2006/relationships/hyperlink" Target="https://doi.org/10.1126/sciadv.aee3948" TargetMode="External"/><Relationship Id="rId2096" Type="http://schemas.openxmlformats.org/officeDocument/2006/relationships/hyperlink" Target="https://www.science.org/doi/abs/10.1126/sciadv.aee3923?af=R" TargetMode="External"/><Relationship Id="rId2097" Type="http://schemas.openxmlformats.org/officeDocument/2006/relationships/hyperlink" Target="https://doi.org/10.1126/sciadv.aee3923" TargetMode="External"/><Relationship Id="rId2098" Type="http://schemas.openxmlformats.org/officeDocument/2006/relationships/hyperlink" Target="https://www.pnas.org/doi/abs/10.1073/pnas.2535905123?mi=eymic2&amp;af=R&amp;access=on&amp;content=articlesChapters&amp;publication=pnas&amp;sortBy=Earliest&amp;target=default" TargetMode="External"/><Relationship Id="rId2099" Type="http://schemas.openxmlformats.org/officeDocument/2006/relationships/hyperlink" Target="https://doi.org/10.1073/pnas.2535905123" TargetMode="External"/><Relationship Id="rId2100" Type="http://schemas.openxmlformats.org/officeDocument/2006/relationships/hyperlink" Target="https://www.pnas.org/doi/abs/10.1073/pnas.2609639123?mi=eymic2&amp;af=R&amp;access=on&amp;content=articlesChapters&amp;publication=pnas&amp;sortBy=Earliest&amp;target=default" TargetMode="External"/><Relationship Id="rId2101" Type="http://schemas.openxmlformats.org/officeDocument/2006/relationships/hyperlink" Target="https://doi.org/10.1073/pnas.2609639123" TargetMode="External"/><Relationship Id="rId2102" Type="http://schemas.openxmlformats.org/officeDocument/2006/relationships/hyperlink" Target="https://www.science.org/doi/abs/10.1126/sciadv.aeg3475?af=R" TargetMode="External"/><Relationship Id="rId2103" Type="http://schemas.openxmlformats.org/officeDocument/2006/relationships/hyperlink" Target="https://doi.org/10.1126/sciadv.aeg3475" TargetMode="External"/><Relationship Id="rId2104" Type="http://schemas.openxmlformats.org/officeDocument/2006/relationships/hyperlink" Target="https://www.science.org/doi/abs/10.1126/sciadv.aee2721?af=R" TargetMode="External"/><Relationship Id="rId2105" Type="http://schemas.openxmlformats.org/officeDocument/2006/relationships/hyperlink" Target="https://doi.org/10.1126/sciadv.aee2721" TargetMode="External"/><Relationship Id="rId2106" Type="http://schemas.openxmlformats.org/officeDocument/2006/relationships/hyperlink" Target="https://www.science.org/doi/abs/10.1126/sciadv.aef9739?af=R" TargetMode="External"/><Relationship Id="rId2107" Type="http://schemas.openxmlformats.org/officeDocument/2006/relationships/hyperlink" Target="https://doi.org/10.1126/sciadv.aef9739" TargetMode="External"/><Relationship Id="rId2108" Type="http://schemas.openxmlformats.org/officeDocument/2006/relationships/hyperlink" Target="https://www.science.org/doi/abs/10.1126/sciadv.aed7911?af=R" TargetMode="External"/><Relationship Id="rId2109" Type="http://schemas.openxmlformats.org/officeDocument/2006/relationships/hyperlink" Target="https://doi.org/10.1126/sciadv.aed7911" TargetMode="External"/><Relationship Id="rId2110" Type="http://schemas.openxmlformats.org/officeDocument/2006/relationships/hyperlink" Target="https://www.pnas.org/doi/abs/10.1073/pnas.2538165123?mi=eymic2&amp;af=R&amp;access=on&amp;content=articlesChapters&amp;publication=pnas&amp;sortBy=Earliest&amp;target=default" TargetMode="External"/><Relationship Id="rId2111" Type="http://schemas.openxmlformats.org/officeDocument/2006/relationships/hyperlink" Target="https://doi.org/10.1073/pnas.2538165123" TargetMode="External"/><Relationship Id="rId2112" Type="http://schemas.openxmlformats.org/officeDocument/2006/relationships/hyperlink" Target="https://www.pnas.org/doi/abs/10.1073/pnas.2602503123?mi=eymic2&amp;af=R&amp;access=on&amp;content=articlesChapters&amp;publication=pnas&amp;sortBy=Earliest&amp;target=default" TargetMode="External"/><Relationship Id="rId2113" Type="http://schemas.openxmlformats.org/officeDocument/2006/relationships/hyperlink" Target="https://doi.org/10.1073/pnas.2602503123" TargetMode="External"/><Relationship Id="rId2114" Type="http://schemas.openxmlformats.org/officeDocument/2006/relationships/hyperlink" Target="https://www.pnas.org/doi/abs/10.1073/pnas.2608173123?mi=eymic2&amp;af=R&amp;access=on&amp;content=articlesChapters&amp;publication=pnas&amp;sortBy=Earliest&amp;target=default" TargetMode="External"/><Relationship Id="rId2115" Type="http://schemas.openxmlformats.org/officeDocument/2006/relationships/hyperlink" Target="https://doi.org/10.1073/pnas.2608173123" TargetMode="External"/><Relationship Id="rId2116" Type="http://schemas.openxmlformats.org/officeDocument/2006/relationships/hyperlink" Target="https://www.pnas.org/doi/abs/10.1073/pnas.2613981123?mi=eymic2&amp;af=R&amp;access=on&amp;content=articlesChapters&amp;publication=pnas&amp;sortBy=Earliest&amp;target=default" TargetMode="External"/><Relationship Id="rId2117" Type="http://schemas.openxmlformats.org/officeDocument/2006/relationships/hyperlink" Target="https://doi.org/10.1073/pnas.2613981123" TargetMode="External"/><Relationship Id="rId2118" Type="http://schemas.openxmlformats.org/officeDocument/2006/relationships/hyperlink" Target="https://www.pnas.org/doi/abs/10.1073/pnas.2606667123?mi=eymic2&amp;af=R&amp;access=on&amp;content=articlesChapters&amp;publication=pnas&amp;sortBy=Earliest&amp;target=default" TargetMode="External"/><Relationship Id="rId2119" Type="http://schemas.openxmlformats.org/officeDocument/2006/relationships/hyperlink" Target="https://doi.org/10.1073/pnas.2606667123" TargetMode="External"/><Relationship Id="rId2120" Type="http://schemas.openxmlformats.org/officeDocument/2006/relationships/hyperlink" Target="https://www.pnas.org/doi/abs/10.1073/pnas.2617591123?mi=eymic2&amp;af=R&amp;access=on&amp;content=articlesChapters&amp;publication=pnas&amp;sortBy=Earliest&amp;target=default" TargetMode="External"/><Relationship Id="rId2121" Type="http://schemas.openxmlformats.org/officeDocument/2006/relationships/hyperlink" Target="https://doi.org/10.1073/pnas.2617591123" TargetMode="External"/><Relationship Id="rId2122" Type="http://schemas.openxmlformats.org/officeDocument/2006/relationships/hyperlink" Target="https://www.pnas.org/doi/abs/10.1073/pnas.2618255123?mi=eymic2&amp;af=R&amp;access=on&amp;content=articlesChapters&amp;publication=pnas&amp;sortBy=Earliest&amp;target=default" TargetMode="External"/><Relationship Id="rId2123" Type="http://schemas.openxmlformats.org/officeDocument/2006/relationships/hyperlink" Target="https://doi.org/10.1073/pnas.2618255123" TargetMode="External"/><Relationship Id="rId2124" Type="http://schemas.openxmlformats.org/officeDocument/2006/relationships/hyperlink" Target="https://www.pnas.org/doi/abs/10.1073/pnas.2621855123?mi=eymic2&amp;af=R&amp;access=on&amp;content=articlesChapters&amp;publication=pnas&amp;sortBy=Earliest&amp;target=default" TargetMode="External"/><Relationship Id="rId2125" Type="http://schemas.openxmlformats.org/officeDocument/2006/relationships/hyperlink" Target="https://doi.org/10.1073/pnas.2621855123" TargetMode="External"/><Relationship Id="rId2126" Type="http://schemas.openxmlformats.org/officeDocument/2006/relationships/hyperlink" Target="https://www.pnas.org/doi/abs/10.1073/pnas.2622255123?mi=eymic2&amp;af=R&amp;access=on&amp;content=articlesChapters&amp;publication=pnas&amp;sortBy=Earliest&amp;target=default" TargetMode="External"/><Relationship Id="rId2127" Type="http://schemas.openxmlformats.org/officeDocument/2006/relationships/hyperlink" Target="https://doi.org/10.1073/pnas.2622255123" TargetMode="External"/><Relationship Id="rId2128" Type="http://schemas.openxmlformats.org/officeDocument/2006/relationships/hyperlink" Target="https://www.pnas.org/doi/abs/10.1073/pnas.2614664123?mi=eymic2&amp;af=R&amp;access=on&amp;content=articlesChapters&amp;publication=pnas&amp;sortBy=Earliest&amp;target=default" TargetMode="External"/><Relationship Id="rId2129" Type="http://schemas.openxmlformats.org/officeDocument/2006/relationships/hyperlink" Target="https://doi.org/10.1073/pnas.2614664123" TargetMode="External"/><Relationship Id="rId2130" Type="http://schemas.openxmlformats.org/officeDocument/2006/relationships/hyperlink" Target="http://link.aps.org/doi/10.1103/837t-68bf" TargetMode="External"/><Relationship Id="rId2131" Type="http://schemas.openxmlformats.org/officeDocument/2006/relationships/hyperlink" Target="https://doi.org/10.1103/837t-68bf" TargetMode="External"/><Relationship Id="rId2132" Type="http://schemas.openxmlformats.org/officeDocument/2006/relationships/hyperlink" Target="http://link.aps.org/doi/10.1103/zkdb-qhps" TargetMode="External"/><Relationship Id="rId2133" Type="http://schemas.openxmlformats.org/officeDocument/2006/relationships/hyperlink" Target="https://doi.org/10.1103/zkdb-qhps" TargetMode="External"/><Relationship Id="rId2134" Type="http://schemas.openxmlformats.org/officeDocument/2006/relationships/hyperlink" Target="http://link.aps.org/doi/10.1103/5mc1-gbjx" TargetMode="External"/><Relationship Id="rId2135" Type="http://schemas.openxmlformats.org/officeDocument/2006/relationships/hyperlink" Target="https://doi.org/10.1103/5mc1-gbjx" TargetMode="External"/><Relationship Id="rId2136" Type="http://schemas.openxmlformats.org/officeDocument/2006/relationships/hyperlink" Target="http://link.aps.org/doi/10.1103/lxf3-294n" TargetMode="External"/><Relationship Id="rId2137" Type="http://schemas.openxmlformats.org/officeDocument/2006/relationships/hyperlink" Target="https://doi.org/10.1103/lxf3-294n" TargetMode="External"/><Relationship Id="rId2138" Type="http://schemas.openxmlformats.org/officeDocument/2006/relationships/hyperlink" Target="http://link.aps.org/doi/10.1103/wtjz-3gjx" TargetMode="External"/><Relationship Id="rId2139" Type="http://schemas.openxmlformats.org/officeDocument/2006/relationships/hyperlink" Target="https://doi.org/10.1103/wtjz-3gjx" TargetMode="External"/><Relationship Id="rId2140" Type="http://schemas.openxmlformats.org/officeDocument/2006/relationships/hyperlink" Target="http://link.aps.org/doi/10.1103/df89-tdks" TargetMode="External"/><Relationship Id="rId2141" Type="http://schemas.openxmlformats.org/officeDocument/2006/relationships/hyperlink" Target="https://doi.org/10.1103/df89-tdks" TargetMode="External"/><Relationship Id="rId2142" Type="http://schemas.openxmlformats.org/officeDocument/2006/relationships/hyperlink" Target="http://link.aps.org/doi/10.1103/pvjm-jxd2" TargetMode="External"/><Relationship Id="rId2143" Type="http://schemas.openxmlformats.org/officeDocument/2006/relationships/hyperlink" Target="https://doi.org/10.1103/pvjm-jxd2" TargetMode="External"/><Relationship Id="rId2144" Type="http://schemas.openxmlformats.org/officeDocument/2006/relationships/hyperlink" Target="http://link.aps.org/doi/10.1103/8pg5-pz4z" TargetMode="External"/><Relationship Id="rId2145" Type="http://schemas.openxmlformats.org/officeDocument/2006/relationships/hyperlink" Target="https://doi.org/10.1103/8pg5-pz4z" TargetMode="External"/><Relationship Id="rId2146" Type="http://schemas.openxmlformats.org/officeDocument/2006/relationships/hyperlink" Target="http://link.aps.org/doi/10.1103/dpjg-54bg" TargetMode="External"/><Relationship Id="rId2147" Type="http://schemas.openxmlformats.org/officeDocument/2006/relationships/hyperlink" Target="https://doi.org/10.1103/dpjg-54bg" TargetMode="External"/><Relationship Id="rId2148" Type="http://schemas.openxmlformats.org/officeDocument/2006/relationships/hyperlink" Target="http://link.aps.org/doi/10.1103/yvbq-rdkz" TargetMode="External"/><Relationship Id="rId2149" Type="http://schemas.openxmlformats.org/officeDocument/2006/relationships/hyperlink" Target="https://doi.org/10.1103/yvbq-rdkz" TargetMode="External"/><Relationship Id="rId2150" Type="http://schemas.openxmlformats.org/officeDocument/2006/relationships/hyperlink" Target="http://link.aps.org/doi/10.1103/djlj-pnlk" TargetMode="External"/><Relationship Id="rId2151" Type="http://schemas.openxmlformats.org/officeDocument/2006/relationships/hyperlink" Target="https://doi.org/10.1103/djlj-pnlk" TargetMode="External"/><Relationship Id="rId2152" Type="http://schemas.openxmlformats.org/officeDocument/2006/relationships/hyperlink" Target="http://link.aps.org/doi/10.1103/l5xq-2yrt" TargetMode="External"/><Relationship Id="rId2153" Type="http://schemas.openxmlformats.org/officeDocument/2006/relationships/hyperlink" Target="https://doi.org/10.1103/l5xq-2yrt" TargetMode="External"/><Relationship Id="rId2154" Type="http://schemas.openxmlformats.org/officeDocument/2006/relationships/hyperlink" Target="http://link.aps.org/doi/10.1103/gbnt-vmns" TargetMode="External"/><Relationship Id="rId2155" Type="http://schemas.openxmlformats.org/officeDocument/2006/relationships/hyperlink" Target="https://doi.org/10.1103/gbnt-vmns" TargetMode="External"/><Relationship Id="rId2156" Type="http://schemas.openxmlformats.org/officeDocument/2006/relationships/hyperlink" Target="http://link.aps.org/doi/10.1103/6738-xcgc" TargetMode="External"/><Relationship Id="rId2157" Type="http://schemas.openxmlformats.org/officeDocument/2006/relationships/hyperlink" Target="https://doi.org/10.1103/6738-xcgc" TargetMode="External"/><Relationship Id="rId2158" Type="http://schemas.openxmlformats.org/officeDocument/2006/relationships/hyperlink" Target="http://link.aps.org/doi/10.1103/3mqd-58tp" TargetMode="External"/><Relationship Id="rId2159" Type="http://schemas.openxmlformats.org/officeDocument/2006/relationships/hyperlink" Target="https://doi.org/10.1103/3mqd-58tp" TargetMode="External"/><Relationship Id="rId2160" Type="http://schemas.openxmlformats.org/officeDocument/2006/relationships/hyperlink" Target="http://link.aps.org/doi/10.1103/jdw6-3556" TargetMode="External"/><Relationship Id="rId2161" Type="http://schemas.openxmlformats.org/officeDocument/2006/relationships/hyperlink" Target="https://doi.org/10.1103/jdw6-3556" TargetMode="External"/><Relationship Id="rId2162" Type="http://schemas.openxmlformats.org/officeDocument/2006/relationships/hyperlink" Target="http://link.aps.org/doi/10.1103/71nx-b83j" TargetMode="External"/><Relationship Id="rId2163" Type="http://schemas.openxmlformats.org/officeDocument/2006/relationships/hyperlink" Target="https://doi.org/10.1103/71nx-b83j" TargetMode="External"/><Relationship Id="rId2164" Type="http://schemas.openxmlformats.org/officeDocument/2006/relationships/hyperlink" Target="http://link.aps.org/doi/10.1103/3dxh-3415" TargetMode="External"/><Relationship Id="rId2165" Type="http://schemas.openxmlformats.org/officeDocument/2006/relationships/hyperlink" Target="https://doi.org/10.1103/3dxh-3415" TargetMode="External"/><Relationship Id="rId2166" Type="http://schemas.openxmlformats.org/officeDocument/2006/relationships/hyperlink" Target="http://link.aps.org/doi/10.1103/gx9l-gg4q" TargetMode="External"/><Relationship Id="rId2167" Type="http://schemas.openxmlformats.org/officeDocument/2006/relationships/hyperlink" Target="https://doi.org/10.1103/gx9l-gg4q" TargetMode="External"/><Relationship Id="rId2168" Type="http://schemas.openxmlformats.org/officeDocument/2006/relationships/hyperlink" Target="http://link.aps.org/doi/10.1103/gb1r-x1cd" TargetMode="External"/><Relationship Id="rId2169" Type="http://schemas.openxmlformats.org/officeDocument/2006/relationships/hyperlink" Target="https://doi.org/10.1103/gb1r-x1cd" TargetMode="External"/><Relationship Id="rId2170" Type="http://schemas.openxmlformats.org/officeDocument/2006/relationships/hyperlink" Target="http://link.aps.org/doi/10.1103/6bzh-h122" TargetMode="External"/><Relationship Id="rId2171" Type="http://schemas.openxmlformats.org/officeDocument/2006/relationships/hyperlink" Target="https://doi.org/10.1103/6bzh-h122" TargetMode="External"/><Relationship Id="rId2172" Type="http://schemas.openxmlformats.org/officeDocument/2006/relationships/hyperlink" Target="http://link.aps.org/doi/10.1103/rnx6-wqpf" TargetMode="External"/><Relationship Id="rId2173" Type="http://schemas.openxmlformats.org/officeDocument/2006/relationships/hyperlink" Target="https://doi.org/10.1103/rnx6-wqpf" TargetMode="External"/><Relationship Id="rId2174" Type="http://schemas.openxmlformats.org/officeDocument/2006/relationships/hyperlink" Target="http://link.aps.org/doi/10.1103/wnxl-yf95" TargetMode="External"/><Relationship Id="rId2175" Type="http://schemas.openxmlformats.org/officeDocument/2006/relationships/hyperlink" Target="https://doi.org/10.1103/wnxl-yf95" TargetMode="External"/><Relationship Id="rId2176" Type="http://schemas.openxmlformats.org/officeDocument/2006/relationships/hyperlink" Target="http://link.aps.org/doi/10.1103/m64z-bvm3" TargetMode="External"/><Relationship Id="rId2177" Type="http://schemas.openxmlformats.org/officeDocument/2006/relationships/hyperlink" Target="https://doi.org/10.1103/m64z-bvm3" TargetMode="External"/><Relationship Id="rId2178" Type="http://schemas.openxmlformats.org/officeDocument/2006/relationships/hyperlink" Target="http://link.aps.org/doi/10.1103/8x7k-rwx2" TargetMode="External"/><Relationship Id="rId2179" Type="http://schemas.openxmlformats.org/officeDocument/2006/relationships/hyperlink" Target="https://doi.org/10.1103/8x7k-rwx2" TargetMode="External"/><Relationship Id="rId2180" Type="http://schemas.openxmlformats.org/officeDocument/2006/relationships/hyperlink" Target="https://www.nature.com/articles/s41467-026-77222-8" TargetMode="External"/><Relationship Id="rId2181" Type="http://schemas.openxmlformats.org/officeDocument/2006/relationships/hyperlink" Target="https://www.nature.com/articles/s41467-026-76628-8" TargetMode="External"/><Relationship Id="rId2182" Type="http://schemas.openxmlformats.org/officeDocument/2006/relationships/hyperlink" Target="https://www.nature.com/articles/s41467-026-77350-1" TargetMode="External"/><Relationship Id="rId2183" Type="http://schemas.openxmlformats.org/officeDocument/2006/relationships/hyperlink" Target="https://www.nature.com/articles/s41467-026-77169-w" TargetMode="External"/><Relationship Id="rId2184" Type="http://schemas.openxmlformats.org/officeDocument/2006/relationships/hyperlink" Target="https://www.nature.com/articles/s41467-026-77403-5" TargetMode="External"/><Relationship Id="rId2185" Type="http://schemas.openxmlformats.org/officeDocument/2006/relationships/hyperlink" Target="https://pubs.acs.org/aamick/article/doi/10.1021/acsami.6c08922/5404632/Iridescent-Flexible-Hydrophobic-Polymer-Composite" TargetMode="External"/><Relationship Id="rId2186" Type="http://schemas.openxmlformats.org/officeDocument/2006/relationships/hyperlink" Target="https://doi.org/10.1021/acsami.6c08922" TargetMode="External"/><Relationship Id="rId2187" Type="http://schemas.openxmlformats.org/officeDocument/2006/relationships/hyperlink" Target="https://www.nature.com/articles/s41467-026-77076-0" TargetMode="External"/><Relationship Id="rId2188" Type="http://schemas.openxmlformats.org/officeDocument/2006/relationships/hyperlink" Target="https://www.nature.com/articles/s41467-026-77272-y" TargetMode="External"/><Relationship Id="rId2189" Type="http://schemas.openxmlformats.org/officeDocument/2006/relationships/hyperlink" Target="https://www.nature.com/articles/s41467-026-77085-z" TargetMode="External"/><Relationship Id="rId2190" Type="http://schemas.openxmlformats.org/officeDocument/2006/relationships/hyperlink" Target="https://www.nature.com/articles/s41467-026-77289-3" TargetMode="External"/><Relationship Id="rId2191" Type="http://schemas.openxmlformats.org/officeDocument/2006/relationships/hyperlink" Target="https://www.nature.com/articles/s41467-026-76863-z" TargetMode="External"/><Relationship Id="rId2192" Type="http://schemas.openxmlformats.org/officeDocument/2006/relationships/hyperlink" Target="https://www.nature.com/articles/s41467-026-77329-y" TargetMode="External"/><Relationship Id="rId2193" Type="http://schemas.openxmlformats.org/officeDocument/2006/relationships/hyperlink" Target="https://www.nature.com/articles/s41467-026-77349-8" TargetMode="External"/><Relationship Id="rId2194" Type="http://schemas.openxmlformats.org/officeDocument/2006/relationships/hyperlink" Target="https://www.nature.com/articles/s41467-026-77416-0" TargetMode="External"/><Relationship Id="rId2195" Type="http://schemas.openxmlformats.org/officeDocument/2006/relationships/hyperlink" Target="https://www.nature.com/articles/s41467-026-77479-z" TargetMode="External"/><Relationship Id="rId2196" Type="http://schemas.openxmlformats.org/officeDocument/2006/relationships/hyperlink" Target="https://www.nature.com/articles/s41467-026-76871-z" TargetMode="External"/><Relationship Id="rId2197" Type="http://schemas.openxmlformats.org/officeDocument/2006/relationships/hyperlink" Target="https://www.nature.com/articles/s41467-026-77322-5" TargetMode="External"/><Relationship Id="rId2198" Type="http://schemas.openxmlformats.org/officeDocument/2006/relationships/hyperlink" Target="https://www.nature.com/articles/s41467-026-76069-3" TargetMode="External"/><Relationship Id="rId2199" Type="http://schemas.openxmlformats.org/officeDocument/2006/relationships/hyperlink" Target="https://www.nature.com/articles/s41467-026-76780-1" TargetMode="External"/><Relationship Id="rId2200" Type="http://schemas.openxmlformats.org/officeDocument/2006/relationships/hyperlink" Target="https://www.nature.com/articles/s41467-026-77000-6" TargetMode="External"/><Relationship Id="rId2201" Type="http://schemas.openxmlformats.org/officeDocument/2006/relationships/hyperlink" Target="https://www.nature.com/articles/s41467-026-77470-8" TargetMode="External"/><Relationship Id="rId2202" Type="http://schemas.openxmlformats.org/officeDocument/2006/relationships/hyperlink" Target="https://www.nature.com/articles/s41467-026-77336-z" TargetMode="External"/><Relationship Id="rId2203" Type="http://schemas.openxmlformats.org/officeDocument/2006/relationships/hyperlink" Target="https://www.nature.com/articles/s41467-026-77254-0" TargetMode="External"/><Relationship Id="rId2204" Type="http://schemas.openxmlformats.org/officeDocument/2006/relationships/hyperlink" Target="https://www.nature.com/articles/s41467-026-77232-6" TargetMode="External"/><Relationship Id="rId2205" Type="http://schemas.openxmlformats.org/officeDocument/2006/relationships/hyperlink" Target="https://www.nature.com/articles/s41467-026-77355-w" TargetMode="External"/><Relationship Id="rId2206" Type="http://schemas.openxmlformats.org/officeDocument/2006/relationships/hyperlink" Target="https://www.nature.com/articles/s41467-026-76982-7" TargetMode="External"/><Relationship Id="rId2207" Type="http://schemas.openxmlformats.org/officeDocument/2006/relationships/hyperlink" Target="https://www.nature.com/articles/s41467-026-77261-1" TargetMode="External"/><Relationship Id="rId2208" Type="http://schemas.openxmlformats.org/officeDocument/2006/relationships/hyperlink" Target="https://www.nature.com/articles/s41467-026-77318-1" TargetMode="External"/><Relationship Id="rId2209" Type="http://schemas.openxmlformats.org/officeDocument/2006/relationships/hyperlink" Target="https://www.nature.com/articles/s41467-026-77384-5" TargetMode="External"/><Relationship Id="rId2210" Type="http://schemas.openxmlformats.org/officeDocument/2006/relationships/hyperlink" Target="https://www.nature.com/articles/s41467-026-77429-9" TargetMode="External"/><Relationship Id="rId2211" Type="http://schemas.openxmlformats.org/officeDocument/2006/relationships/hyperlink" Target="https://www.nature.com/articles/s41467-026-77434-y" TargetMode="External"/><Relationship Id="rId2212" Type="http://schemas.openxmlformats.org/officeDocument/2006/relationships/hyperlink" Target="https://www.nature.com/articles/s41467-026-77494-0" TargetMode="External"/><Relationship Id="rId2213" Type="http://schemas.openxmlformats.org/officeDocument/2006/relationships/hyperlink" Target="https://www.nature.com/articles/s41467-026-77439-7" TargetMode="External"/><Relationship Id="rId2214" Type="http://schemas.openxmlformats.org/officeDocument/2006/relationships/hyperlink" Target="https://www.nature.com/articles/s41467-026-76942-1" TargetMode="External"/><Relationship Id="rId2215" Type="http://schemas.openxmlformats.org/officeDocument/2006/relationships/hyperlink" Target="https://pubs.acs.org/chreay/article/doi/10.1021/acs.chemrev.6c00092/5413286/Low-Dimensional-IonotronicsFocus-Review" TargetMode="External"/><Relationship Id="rId2216" Type="http://schemas.openxmlformats.org/officeDocument/2006/relationships/hyperlink" Target="https://doi.org/10.1021/acs.chemrev.6c00092" TargetMode="External"/><Relationship Id="rId2217" Type="http://schemas.openxmlformats.org/officeDocument/2006/relationships/hyperlink" Target="https://www.nature.com/articles/s41467-026-77382-7" TargetMode="External"/><Relationship Id="rId2218" Type="http://schemas.openxmlformats.org/officeDocument/2006/relationships/hyperlink" Target="https://www.nature.com/articles/s41467-026-77492-2" TargetMode="External"/><Relationship Id="rId2219" Type="http://schemas.openxmlformats.org/officeDocument/2006/relationships/hyperlink" Target="https://www.nature.com/articles/s41467-026-77292-8" TargetMode="External"/><Relationship Id="rId2220" Type="http://schemas.openxmlformats.org/officeDocument/2006/relationships/hyperlink" Target="https://www.nature.com/articles/s41467-026-77372-9" TargetMode="External"/><Relationship Id="rId2221" Type="http://schemas.openxmlformats.org/officeDocument/2006/relationships/hyperlink" Target="https://www.nature.com/articles/s41467-026-77351-0" TargetMode="External"/><Relationship Id="rId2222" Type="http://schemas.openxmlformats.org/officeDocument/2006/relationships/hyperlink" Target="https://www.nature.com/articles/s41467-026-77438-8" TargetMode="External"/><Relationship Id="rId2223" Type="http://schemas.openxmlformats.org/officeDocument/2006/relationships/hyperlink" Target="https://www.nature.com/articles/s41467-026-77314-5" TargetMode="External"/><Relationship Id="rId2224" Type="http://schemas.openxmlformats.org/officeDocument/2006/relationships/hyperlink" Target="https://pubs.acs.org/aamick/article/doi/10.1021/acsami.6c16083/5405474/Engineered-Hierarchical-Porosity-in-Three" TargetMode="External"/><Relationship Id="rId2225" Type="http://schemas.openxmlformats.org/officeDocument/2006/relationships/hyperlink" Target="https://doi.org/10.1021/acsami.6c16083" TargetMode="External"/><Relationship Id="rId2226" Type="http://schemas.openxmlformats.org/officeDocument/2006/relationships/hyperlink" Target="https://www.science.org/doi/10.1126/science.aem0443" TargetMode="External"/><Relationship Id="rId2227" Type="http://schemas.openxmlformats.org/officeDocument/2006/relationships/hyperlink" Target="https://doi.org/10.1126/science.aem0443" TargetMode="External"/><Relationship Id="rId2228" Type="http://schemas.openxmlformats.org/officeDocument/2006/relationships/hyperlink" Target="https://pubs.acs.org/aamick/article/doi/10.1021/acsami.6c12628/5404035/Mechanics-Guided-Layer-by-Layer-Transfer-of" TargetMode="External"/><Relationship Id="rId2229" Type="http://schemas.openxmlformats.org/officeDocument/2006/relationships/hyperlink" Target="https://doi.org/10.1021/acsami.6c12628" TargetMode="External"/><Relationship Id="rId2230" Type="http://schemas.openxmlformats.org/officeDocument/2006/relationships/hyperlink" Target="https://www.nature.com/articles/s41467-026-76441-3" TargetMode="External"/><Relationship Id="rId2231" Type="http://schemas.openxmlformats.org/officeDocument/2006/relationships/hyperlink" Target="https://pubs.acs.org/aamick/article/doi/10.1021/acsami.6c10448/5405758/Interface-Driven-Evolution-of-Interlayer-and" TargetMode="External"/><Relationship Id="rId2232" Type="http://schemas.openxmlformats.org/officeDocument/2006/relationships/hyperlink" Target="https://doi.org/10.1021/acsami.6c10448" TargetMode="External"/><Relationship Id="rId2233" Type="http://schemas.openxmlformats.org/officeDocument/2006/relationships/hyperlink" Target="https://pubs.acs.org/aamick/article/doi/10.1021/acsami.6c05752/5406638/Biphasic-Dip-Coating-for-Versatile-and-Material" TargetMode="External"/><Relationship Id="rId2234" Type="http://schemas.openxmlformats.org/officeDocument/2006/relationships/hyperlink" Target="https://doi.org/10.1021/acsami.6c05752" TargetMode="External"/><Relationship Id="rId2235" Type="http://schemas.openxmlformats.org/officeDocument/2006/relationships/hyperlink" Target="https://pubs.acs.org/aamick/article/doi/10.1021/acsami.6c12257/5399042/Dynamic-Actuatable-Hydrogels-for-Integrated" TargetMode="External"/><Relationship Id="rId2236" Type="http://schemas.openxmlformats.org/officeDocument/2006/relationships/hyperlink" Target="https://doi.org/10.1021/acsami.6c12257" TargetMode="External"/><Relationship Id="rId2237" Type="http://schemas.openxmlformats.org/officeDocument/2006/relationships/hyperlink" Target="https://pubs.acs.org/aamick/article/doi/10.1021/acsami.6c09969/5404453/Conformal-Transfer-Printing-of-PEDOT-PSS-Patterns" TargetMode="External"/><Relationship Id="rId2238" Type="http://schemas.openxmlformats.org/officeDocument/2006/relationships/hyperlink" Target="https://doi.org/10.1021/acsami.6c09969" TargetMode="External"/><Relationship Id="rId2239" Type="http://schemas.openxmlformats.org/officeDocument/2006/relationships/hyperlink" Target="https://pubs.acs.org/aamick/article/doi/10.1021/acsami.6c13461/5413694/Manganese-Carbonyl-Based-Peroxidase-like" TargetMode="External"/><Relationship Id="rId2240" Type="http://schemas.openxmlformats.org/officeDocument/2006/relationships/hyperlink" Target="https://doi.org/10.1021/acsami.6c13461" TargetMode="External"/><Relationship Id="rId2241" Type="http://schemas.openxmlformats.org/officeDocument/2006/relationships/hyperlink" Target="https://www.sciencedirect.com/science/article/pii/S0301421526005227?dgcid=rss_sd_all" TargetMode="External"/><Relationship Id="rId2242" Type="http://schemas.openxmlformats.org/officeDocument/2006/relationships/hyperlink" Target="https://doi.org/10.1016/j.enpol.2026.115588" TargetMode="External"/><Relationship Id="rId2243" Type="http://schemas.openxmlformats.org/officeDocument/2006/relationships/hyperlink" Target="https://www.science.org/doi/10.1126/science.aed6035" TargetMode="External"/><Relationship Id="rId2244" Type="http://schemas.openxmlformats.org/officeDocument/2006/relationships/hyperlink" Target="https://doi.org/10.1126/science.aed6035" TargetMode="External"/><Relationship Id="rId2245" Type="http://schemas.openxmlformats.org/officeDocument/2006/relationships/hyperlink" Target="https://pubs.acs.org/jacsat/article/doi/10.1021/jacs.6c16051/5413962/Neutrophil-Inspired-Programmable-Bacteria-for" TargetMode="External"/><Relationship Id="rId2246" Type="http://schemas.openxmlformats.org/officeDocument/2006/relationships/hyperlink" Target="https://doi.org/10.1021/jacs.6c16051" TargetMode="External"/><Relationship Id="rId2247" Type="http://schemas.openxmlformats.org/officeDocument/2006/relationships/hyperlink" Target="https://academic.oup.com/nsr/advance-article/doi/10.1093/nsr/nwag565/8781095?rss=1" TargetMode="External"/><Relationship Id="rId2248" Type="http://schemas.openxmlformats.org/officeDocument/2006/relationships/hyperlink" Target="https://doi.org/10.1093/nsr/nwag565" TargetMode="External"/><Relationship Id="rId2249" Type="http://schemas.openxmlformats.org/officeDocument/2006/relationships/hyperlink" Target="https://academic.oup.com/nsr/advance-article/doi/10.1093/nsr/nwag567/8781100?rss=1" TargetMode="External"/><Relationship Id="rId2250" Type="http://schemas.openxmlformats.org/officeDocument/2006/relationships/hyperlink" Target="https://doi.org/10.1093/nsr/nwag567" TargetMode="External"/><Relationship Id="rId2251" Type="http://schemas.openxmlformats.org/officeDocument/2006/relationships/hyperlink" Target="https://advanced.onlinelibrary.wiley.com/doi/10.1002/adma.74896" TargetMode="External"/><Relationship Id="rId2252" Type="http://schemas.openxmlformats.org/officeDocument/2006/relationships/hyperlink" Target="https://doi.org/10.1002/adma.74896" TargetMode="External"/><Relationship Id="rId2253" Type="http://schemas.openxmlformats.org/officeDocument/2006/relationships/hyperlink" Target="https://pubs.acs.org/aamick/article/doi/10.1021/acsami.6c13325/5411197/HgSe-PbS-Core-Shell-Colloidal-Quantum-Dots" TargetMode="External"/><Relationship Id="rId2254" Type="http://schemas.openxmlformats.org/officeDocument/2006/relationships/hyperlink" Target="https://doi.org/10.1021/acsami.6c13325" TargetMode="External"/><Relationship Id="rId2255" Type="http://schemas.openxmlformats.org/officeDocument/2006/relationships/hyperlink" Target="https://pubs.acs.org/aamick/article/doi/10.1021/acsami.6c13974/5404633/6LiInP2Se6-Single-Crystals-Growth-Defect-Structure" TargetMode="External"/><Relationship Id="rId2256" Type="http://schemas.openxmlformats.org/officeDocument/2006/relationships/hyperlink" Target="https://doi.org/10.1021/acsami.6c13974" TargetMode="External"/><Relationship Id="rId2257" Type="http://schemas.openxmlformats.org/officeDocument/2006/relationships/hyperlink" Target="https://pubs.acs.org/aamick/article/doi/10.1021/acsami.6c13774/5406728/Co-deformable-Conductive-Composite-Films-via" TargetMode="External"/><Relationship Id="rId2258" Type="http://schemas.openxmlformats.org/officeDocument/2006/relationships/hyperlink" Target="https://doi.org/10.1021/acsami.6c13774" TargetMode="External"/><Relationship Id="rId2259" Type="http://schemas.openxmlformats.org/officeDocument/2006/relationships/hyperlink" Target="https://pubs.acs.org/jacsat/article/doi/10.1021/jacs.6c11110/5412407/Beyond-Funnel-Style-High-Throughput-Screening-An" TargetMode="External"/><Relationship Id="rId2260" Type="http://schemas.openxmlformats.org/officeDocument/2006/relationships/hyperlink" Target="https://doi.org/10.1021/jacs.6c11110" TargetMode="External"/><Relationship Id="rId2261" Type="http://schemas.openxmlformats.org/officeDocument/2006/relationships/hyperlink" Target="https://pubs.acs.org/jacsat/article/doi/10.1021/jacs.6c08110/5410151/Dual-Site-Engineering-Unlocks-Spin-Modulation-and" TargetMode="External"/><Relationship Id="rId2262" Type="http://schemas.openxmlformats.org/officeDocument/2006/relationships/hyperlink" Target="https://doi.org/10.1021/jacs.6c08110" TargetMode="External"/><Relationship Id="rId2263" Type="http://schemas.openxmlformats.org/officeDocument/2006/relationships/hyperlink" Target="https://pubs.acs.org/jacsat/article/doi/10.1021/jacs.6c13812/5414623/Atomically-Precise-Pt19-The-Largest-All-Organic" TargetMode="External"/><Relationship Id="rId2264" Type="http://schemas.openxmlformats.org/officeDocument/2006/relationships/hyperlink" Target="https://doi.org/10.1021/jacs.6c13812" TargetMode="External"/><Relationship Id="rId2265" Type="http://schemas.openxmlformats.org/officeDocument/2006/relationships/hyperlink" Target="https://pubs.acs.org/jacsat/article/doi/10.1021/jacs.6c11696/5415244/From-Dehydrogenation-to-Derivatization" TargetMode="External"/><Relationship Id="rId2266" Type="http://schemas.openxmlformats.org/officeDocument/2006/relationships/hyperlink" Target="https://doi.org/10.1021/jacs.6c11696" TargetMode="External"/><Relationship Id="rId2267" Type="http://schemas.openxmlformats.org/officeDocument/2006/relationships/hyperlink" Target="https://www.sciencedirect.com/science/article/pii/S0306261926014376?dgcid=rss_sd_all" TargetMode="External"/><Relationship Id="rId2268" Type="http://schemas.openxmlformats.org/officeDocument/2006/relationships/hyperlink" Target="https://doi.org/10.1016/j.apenergy.2026.128781" TargetMode="External"/><Relationship Id="rId2269" Type="http://schemas.openxmlformats.org/officeDocument/2006/relationships/hyperlink" Target="https://pubs.acs.org/jacsat/article/doi/10.1021/jacs.6c10952/5410885/Modular-Platform-for-Directing-Group-Free-Radical" TargetMode="External"/><Relationship Id="rId2270" Type="http://schemas.openxmlformats.org/officeDocument/2006/relationships/hyperlink" Target="https://doi.org/10.1021/jacs.6c10952" TargetMode="External"/><Relationship Id="rId2271" Type="http://schemas.openxmlformats.org/officeDocument/2006/relationships/hyperlink" Target="https://www.sciencedirect.com/science/article/pii/S0306261926014236?dgcid=rss_sd_all" TargetMode="External"/><Relationship Id="rId2272" Type="http://schemas.openxmlformats.org/officeDocument/2006/relationships/hyperlink" Target="https://doi.org/10.1016/j.apenergy.2026.128767" TargetMode="External"/><Relationship Id="rId2273" Type="http://schemas.openxmlformats.org/officeDocument/2006/relationships/hyperlink" Target="https://pubs.acs.org/jacsat/article/doi/10.1021/jacs.6c10430/5412502/When-Copper-Falls-Overriding-the-Irving-Williams" TargetMode="External"/><Relationship Id="rId2274" Type="http://schemas.openxmlformats.org/officeDocument/2006/relationships/hyperlink" Target="https://doi.org/10.1021/jacs.6c10430" TargetMode="External"/><Relationship Id="rId2275" Type="http://schemas.openxmlformats.org/officeDocument/2006/relationships/hyperlink" Target="https://pubs.acs.org/jacsat/article/doi/10.1021/jacs.6c09537/5409520/Sequence-defined-Digital-Bottlebrush-Polymers-for" TargetMode="External"/><Relationship Id="rId2276" Type="http://schemas.openxmlformats.org/officeDocument/2006/relationships/hyperlink" Target="https://doi.org/10.1021/jacs.6c09537" TargetMode="External"/><Relationship Id="rId2277" Type="http://schemas.openxmlformats.org/officeDocument/2006/relationships/hyperlink" Target="https://pubs.acs.org/jacsat/article/doi/10.1021/jacs.6c13556/5413961/Cobalt-Catalyzed-Aminoquinoline-Directed" TargetMode="External"/><Relationship Id="rId2278" Type="http://schemas.openxmlformats.org/officeDocument/2006/relationships/hyperlink" Target="https://doi.org/10.1021/jacs.6c13556" TargetMode="External"/><Relationship Id="rId2279" Type="http://schemas.openxmlformats.org/officeDocument/2006/relationships/hyperlink" Target="https://pubs.acs.org/jacsat/article/doi/10.1021/jacs.6c12194/5412228/Maximizing-the-Magnetic-Anisotropy-of-Dy-Complexes" TargetMode="External"/><Relationship Id="rId2280" Type="http://schemas.openxmlformats.org/officeDocument/2006/relationships/hyperlink" Target="https://doi.org/10.1021/jacs.6c12194" TargetMode="External"/><Relationship Id="rId2281" Type="http://schemas.openxmlformats.org/officeDocument/2006/relationships/hyperlink" Target="https://pubs.acs.org/jacsat/article/doi/10.1021/jacs.6c03647/5413545/Programmable-Recognition-of-Organyl-5-Phosphates" TargetMode="External"/><Relationship Id="rId2282" Type="http://schemas.openxmlformats.org/officeDocument/2006/relationships/hyperlink" Target="https://doi.org/10.1021/jacs.6c03647" TargetMode="External"/><Relationship Id="rId2283" Type="http://schemas.openxmlformats.org/officeDocument/2006/relationships/hyperlink" Target="https://pubs.acs.org/aamick/article/doi/10.1021/acsami.6c12888/5403867/Synergistic-Dimensional-and-Defect-Engineering-in" TargetMode="External"/><Relationship Id="rId2284" Type="http://schemas.openxmlformats.org/officeDocument/2006/relationships/hyperlink" Target="https://doi.org/10.1021/acsami.6c12888" TargetMode="External"/><Relationship Id="rId2285" Type="http://schemas.openxmlformats.org/officeDocument/2006/relationships/hyperlink" Target="https://pubs.acs.org/aamick/article/doi/10.1021/acsami.6c11582/5413692/From-p-Type-to-n-Type-Chlorination-Induced" TargetMode="External"/><Relationship Id="rId2286" Type="http://schemas.openxmlformats.org/officeDocument/2006/relationships/hyperlink" Target="https://doi.org/10.1021/acsami.6c11582" TargetMode="External"/><Relationship Id="rId2287" Type="http://schemas.openxmlformats.org/officeDocument/2006/relationships/hyperlink" Target="https://pubs.acs.org/aamick/article/doi/10.1021/acsami.6c11815/5413388/A-Biomimetic-Interfacial-Strategy-of-UV-Curable" TargetMode="External"/><Relationship Id="rId2288" Type="http://schemas.openxmlformats.org/officeDocument/2006/relationships/hyperlink" Target="https://doi.org/10.1021/acsami.6c11815" TargetMode="External"/><Relationship Id="rId2289" Type="http://schemas.openxmlformats.org/officeDocument/2006/relationships/hyperlink" Target="https://pubs.acs.org/aamick/article/doi/10.1021/acsami.6c10548/5404543/Strain-Controlled-Interfacial-Transport-Governs" TargetMode="External"/><Relationship Id="rId2290" Type="http://schemas.openxmlformats.org/officeDocument/2006/relationships/hyperlink" Target="https://doi.org/10.1021/acsami.6c10548" TargetMode="External"/><Relationship Id="rId2291" Type="http://schemas.openxmlformats.org/officeDocument/2006/relationships/hyperlink" Target="https://pubs.acs.org/jacsat/article/doi/10.1021/jacs.6c15572/5413289/Oxoisoaporphine-Half-Sandwich-Osmium-II-Derivative" TargetMode="External"/><Relationship Id="rId2292" Type="http://schemas.openxmlformats.org/officeDocument/2006/relationships/hyperlink" Target="https://doi.org/10.1021/jacs.6c15572" TargetMode="External"/><Relationship Id="rId2293" Type="http://schemas.openxmlformats.org/officeDocument/2006/relationships/hyperlink" Target="https://advanced.onlinelibrary.wiley.com/doi/10.1002/adma.74756" TargetMode="External"/><Relationship Id="rId2294" Type="http://schemas.openxmlformats.org/officeDocument/2006/relationships/hyperlink" Target="https://doi.org/10.1002/adma.74756" TargetMode="External"/><Relationship Id="rId2295" Type="http://schemas.openxmlformats.org/officeDocument/2006/relationships/hyperlink" Target="https://www.science.org/doi/10.1126/science.aed2974" TargetMode="External"/><Relationship Id="rId2296" Type="http://schemas.openxmlformats.org/officeDocument/2006/relationships/hyperlink" Target="https://doi.org/10.1126/science.aed2974" TargetMode="External"/><Relationship Id="rId2297" Type="http://schemas.openxmlformats.org/officeDocument/2006/relationships/hyperlink" Target="https://www.science.org/doi/10.1126/science.aek8246" TargetMode="External"/><Relationship Id="rId2298" Type="http://schemas.openxmlformats.org/officeDocument/2006/relationships/hyperlink" Target="https://doi.org/10.1126/science.aek8246" TargetMode="External"/><Relationship Id="rId2299" Type="http://schemas.openxmlformats.org/officeDocument/2006/relationships/hyperlink" Target="https://www.science.org/doi/10.1126/science.aem0117" TargetMode="External"/><Relationship Id="rId2300" Type="http://schemas.openxmlformats.org/officeDocument/2006/relationships/hyperlink" Target="https://doi.org/10.1126/science.aem0117" TargetMode="External"/><Relationship Id="rId2301" Type="http://schemas.openxmlformats.org/officeDocument/2006/relationships/hyperlink" Target="https://www.science.org/doi/10.1126/science.aec6116" TargetMode="External"/><Relationship Id="rId2302" Type="http://schemas.openxmlformats.org/officeDocument/2006/relationships/hyperlink" Target="https://doi.org/10.1126/science.aec6116" TargetMode="External"/><Relationship Id="rId2303" Type="http://schemas.openxmlformats.org/officeDocument/2006/relationships/hyperlink" Target="https://www.science.org/doi/10.1126/science.aem0439" TargetMode="External"/><Relationship Id="rId2304" Type="http://schemas.openxmlformats.org/officeDocument/2006/relationships/hyperlink" Target="https://doi.org/10.1126/science.aem0439" TargetMode="External"/><Relationship Id="rId2305" Type="http://schemas.openxmlformats.org/officeDocument/2006/relationships/hyperlink" Target="https://pubs.acs.org/aamick/article/doi/10.1021/acsami.6c10779/5406727/High-Efficiency-Self-Healing-Elastomer-via-Dynamic" TargetMode="External"/><Relationship Id="rId2306" Type="http://schemas.openxmlformats.org/officeDocument/2006/relationships/hyperlink" Target="https://doi.org/10.1021/acsami.6c10779" TargetMode="External"/><Relationship Id="rId2307" Type="http://schemas.openxmlformats.org/officeDocument/2006/relationships/hyperlink" Target="https://pubs.acs.org/jacsat/article/doi/10.1021/jacs.6c11881/5415120/Distinct-Active-Site-Dynamics-of-Primitive" TargetMode="External"/><Relationship Id="rId2308" Type="http://schemas.openxmlformats.org/officeDocument/2006/relationships/hyperlink" Target="https://doi.org/10.1021/jacs.6c11881" TargetMode="External"/><Relationship Id="rId2309" Type="http://schemas.openxmlformats.org/officeDocument/2006/relationships/hyperlink" Target="https://www.science.org/doi/10.1126/science.aed8723" TargetMode="External"/><Relationship Id="rId2310" Type="http://schemas.openxmlformats.org/officeDocument/2006/relationships/hyperlink" Target="https://doi.org/10.1126/science.aed8723" TargetMode="External"/><Relationship Id="rId2311" Type="http://schemas.openxmlformats.org/officeDocument/2006/relationships/hyperlink" Target="https://www.science.org/doi/10.1126/science.aed6452" TargetMode="External"/><Relationship Id="rId2312" Type="http://schemas.openxmlformats.org/officeDocument/2006/relationships/hyperlink" Target="https://doi.org/10.1126/science.aed6452" TargetMode="External"/><Relationship Id="rId2313" Type="http://schemas.openxmlformats.org/officeDocument/2006/relationships/hyperlink" Target="https://www.science.org/doi/10.1126/science.aem0437" TargetMode="External"/><Relationship Id="rId2314" Type="http://schemas.openxmlformats.org/officeDocument/2006/relationships/hyperlink" Target="https://doi.org/10.1126/science.aem0437" TargetMode="External"/><Relationship Id="rId2315" Type="http://schemas.openxmlformats.org/officeDocument/2006/relationships/hyperlink" Target="https://www.science.org/doi/10.1126/science.aem0442" TargetMode="External"/><Relationship Id="rId2316" Type="http://schemas.openxmlformats.org/officeDocument/2006/relationships/hyperlink" Target="https://doi.org/10.1126/science.aem0442" TargetMode="External"/><Relationship Id="rId2317" Type="http://schemas.openxmlformats.org/officeDocument/2006/relationships/hyperlink" Target="https://www.science.org/doi/10.1126/science.aeg9547" TargetMode="External"/><Relationship Id="rId2318" Type="http://schemas.openxmlformats.org/officeDocument/2006/relationships/hyperlink" Target="https://doi.org/10.1126/science.aeg9547" TargetMode="External"/><Relationship Id="rId2319" Type="http://schemas.openxmlformats.org/officeDocument/2006/relationships/hyperlink" Target="https://www.science.org/doi/10.1126/science.aea4611" TargetMode="External"/><Relationship Id="rId2320" Type="http://schemas.openxmlformats.org/officeDocument/2006/relationships/hyperlink" Target="https://doi.org/10.1126/science.aea4611" TargetMode="External"/><Relationship Id="rId2321" Type="http://schemas.openxmlformats.org/officeDocument/2006/relationships/hyperlink" Target="https://www.science.org/doi/10.1126/science.aek5854" TargetMode="External"/><Relationship Id="rId2322" Type="http://schemas.openxmlformats.org/officeDocument/2006/relationships/hyperlink" Target="https://doi.org/10.1126/science.aek5854" TargetMode="External"/><Relationship Id="rId2323" Type="http://schemas.openxmlformats.org/officeDocument/2006/relationships/hyperlink" Target="https://www.science.org/doi/10.1126/science.adw0855" TargetMode="External"/><Relationship Id="rId2324" Type="http://schemas.openxmlformats.org/officeDocument/2006/relationships/hyperlink" Target="https://doi.org/10.1126/science.adw0855" TargetMode="External"/><Relationship Id="rId2325" Type="http://schemas.openxmlformats.org/officeDocument/2006/relationships/hyperlink" Target="https://www.science.org/doi/10.1126/science.aea9708" TargetMode="External"/><Relationship Id="rId2326" Type="http://schemas.openxmlformats.org/officeDocument/2006/relationships/hyperlink" Target="https://doi.org/10.1126/science.aea9708" TargetMode="External"/><Relationship Id="rId2327" Type="http://schemas.openxmlformats.org/officeDocument/2006/relationships/hyperlink" Target="https://www.science.org/doi/10.1126/science.aek3865" TargetMode="External"/><Relationship Id="rId2328" Type="http://schemas.openxmlformats.org/officeDocument/2006/relationships/hyperlink" Target="https://doi.org/10.1126/science.aek3865" TargetMode="External"/><Relationship Id="rId2329" Type="http://schemas.openxmlformats.org/officeDocument/2006/relationships/hyperlink" Target="https://www.science.org/doi/10.1126/science.aee1792" TargetMode="External"/><Relationship Id="rId2330" Type="http://schemas.openxmlformats.org/officeDocument/2006/relationships/hyperlink" Target="https://doi.org/10.1126/science.aee1792" TargetMode="External"/><Relationship Id="rId2331" Type="http://schemas.openxmlformats.org/officeDocument/2006/relationships/hyperlink" Target="https://www.science.org/doi/10.1126/science.aem0440" TargetMode="External"/><Relationship Id="rId2332" Type="http://schemas.openxmlformats.org/officeDocument/2006/relationships/hyperlink" Target="https://doi.org/10.1126/science.aem0440" TargetMode="External"/><Relationship Id="rId2333" Type="http://schemas.openxmlformats.org/officeDocument/2006/relationships/hyperlink" Target="https://www.science.org/doi/10.1126/science.ael8715" TargetMode="External"/><Relationship Id="rId2334" Type="http://schemas.openxmlformats.org/officeDocument/2006/relationships/hyperlink" Target="https://doi.org/10.1126/science.ael8715" TargetMode="External"/><Relationship Id="rId2335" Type="http://schemas.openxmlformats.org/officeDocument/2006/relationships/hyperlink" Target="https://www.science.org/doi/10.1126/science.aec3917" TargetMode="External"/><Relationship Id="rId2336" Type="http://schemas.openxmlformats.org/officeDocument/2006/relationships/hyperlink" Target="https://doi.org/10.1126/science.aec3917" TargetMode="External"/><Relationship Id="rId2337" Type="http://schemas.openxmlformats.org/officeDocument/2006/relationships/hyperlink" Target="https://www.science.org/doi/10.1126/science.adx7334" TargetMode="External"/><Relationship Id="rId2338" Type="http://schemas.openxmlformats.org/officeDocument/2006/relationships/hyperlink" Target="https://doi.org/10.1126/science.adx7334" TargetMode="External"/><Relationship Id="rId2339" Type="http://schemas.openxmlformats.org/officeDocument/2006/relationships/hyperlink" Target="https://www.science.org/doi/10.1126/science.adz8203" TargetMode="External"/><Relationship Id="rId2340" Type="http://schemas.openxmlformats.org/officeDocument/2006/relationships/hyperlink" Target="https://doi.org/10.1126/science.adz8203" TargetMode="External"/><Relationship Id="rId2341" Type="http://schemas.openxmlformats.org/officeDocument/2006/relationships/hyperlink" Target="https://www.science.org/doi/10.1126/science.aek6900" TargetMode="External"/><Relationship Id="rId2342" Type="http://schemas.openxmlformats.org/officeDocument/2006/relationships/hyperlink" Target="https://doi.org/10.1126/science.aek6900" TargetMode="External"/><Relationship Id="rId2343" Type="http://schemas.openxmlformats.org/officeDocument/2006/relationships/hyperlink" Target="https://www.science.org/doi/10.1126/science.ady2886" TargetMode="External"/><Relationship Id="rId2344" Type="http://schemas.openxmlformats.org/officeDocument/2006/relationships/hyperlink" Target="https://doi.org/10.1126/science.ady2886" TargetMode="External"/><Relationship Id="rId2345" Type="http://schemas.openxmlformats.org/officeDocument/2006/relationships/hyperlink" Target="https://onlinelibrary.wiley.com/doi/10.1002/anie.1521091" TargetMode="External"/><Relationship Id="rId2346" Type="http://schemas.openxmlformats.org/officeDocument/2006/relationships/hyperlink" Target="https://doi.org/10.1002/anie.1521091" TargetMode="External"/><Relationship Id="rId2347" Type="http://schemas.openxmlformats.org/officeDocument/2006/relationships/hyperlink" Target="https://onlinelibrary.wiley.com/doi/10.1002/anie.4842714" TargetMode="External"/><Relationship Id="rId2348" Type="http://schemas.openxmlformats.org/officeDocument/2006/relationships/hyperlink" Target="https://doi.org/10.1002/anie.4842714" TargetMode="External"/><Relationship Id="rId2349" Type="http://schemas.openxmlformats.org/officeDocument/2006/relationships/hyperlink" Target="https://onlinelibrary.wiley.com/doi/10.1002/anie.7705008" TargetMode="External"/><Relationship Id="rId2350" Type="http://schemas.openxmlformats.org/officeDocument/2006/relationships/hyperlink" Target="https://doi.org/10.1002/anie.7705008" TargetMode="External"/><Relationship Id="rId2351" Type="http://schemas.openxmlformats.org/officeDocument/2006/relationships/hyperlink" Target="https://onlinelibrary.wiley.com/doi/10.1002/anie.2011872" TargetMode="External"/><Relationship Id="rId2352" Type="http://schemas.openxmlformats.org/officeDocument/2006/relationships/hyperlink" Target="https://doi.org/10.1002/anie.2011872" TargetMode="External"/><Relationship Id="rId2353" Type="http://schemas.openxmlformats.org/officeDocument/2006/relationships/hyperlink" Target="https://onlinelibrary.wiley.com/doi/10.1002/anie.1197888" TargetMode="External"/><Relationship Id="rId2354" Type="http://schemas.openxmlformats.org/officeDocument/2006/relationships/hyperlink" Target="https://doi.org/10.1002/anie.1197888" TargetMode="External"/><Relationship Id="rId2355" Type="http://schemas.openxmlformats.org/officeDocument/2006/relationships/hyperlink" Target="https://www.science.org/doi/10.1126/science.aef7190" TargetMode="External"/><Relationship Id="rId2356" Type="http://schemas.openxmlformats.org/officeDocument/2006/relationships/hyperlink" Target="https://doi.org/10.1126/science.aef7190" TargetMode="External"/><Relationship Id="rId2357" Type="http://schemas.openxmlformats.org/officeDocument/2006/relationships/hyperlink" Target="https://onlinelibrary.wiley.com/doi/10.1002/anie.9788311" TargetMode="External"/><Relationship Id="rId2358" Type="http://schemas.openxmlformats.org/officeDocument/2006/relationships/hyperlink" Target="https://doi.org/10.1002/anie.9788311" TargetMode="External"/><Relationship Id="rId2359" Type="http://schemas.openxmlformats.org/officeDocument/2006/relationships/hyperlink" Target="https://onlinelibrary.wiley.com/doi/10.1002/anie.4023427" TargetMode="External"/><Relationship Id="rId2360" Type="http://schemas.openxmlformats.org/officeDocument/2006/relationships/hyperlink" Target="https://doi.org/10.1002/anie.4023427" TargetMode="External"/><Relationship Id="rId2361" Type="http://schemas.openxmlformats.org/officeDocument/2006/relationships/hyperlink" Target="https://onlinelibrary.wiley.com/doi/10.1002/anie.9030516" TargetMode="External"/><Relationship Id="rId2362" Type="http://schemas.openxmlformats.org/officeDocument/2006/relationships/hyperlink" Target="https://doi.org/10.1002/anie.9030516" TargetMode="External"/><Relationship Id="rId2363" Type="http://schemas.openxmlformats.org/officeDocument/2006/relationships/hyperlink" Target="https://www.science.org/doi/10.1126/science.aem0438" TargetMode="External"/><Relationship Id="rId2364" Type="http://schemas.openxmlformats.org/officeDocument/2006/relationships/hyperlink" Target="https://doi.org/10.1126/science.aem0438" TargetMode="External"/><Relationship Id="rId2365" Type="http://schemas.openxmlformats.org/officeDocument/2006/relationships/hyperlink" Target="https://pubs.acs.org/jacsat/article/doi/10.1021/jacs.6c11589/5413639/Polymer-Surfactants-at-the-Mesoscale-Packaging" TargetMode="External"/><Relationship Id="rId2366" Type="http://schemas.openxmlformats.org/officeDocument/2006/relationships/hyperlink" Target="https://doi.org/10.1021/jacs.6c11589" TargetMode="External"/><Relationship Id="rId2367" Type="http://schemas.openxmlformats.org/officeDocument/2006/relationships/hyperlink" Target="https://www.science.org/doi/10.1126/science.aem0441" TargetMode="External"/><Relationship Id="rId2368" Type="http://schemas.openxmlformats.org/officeDocument/2006/relationships/hyperlink" Target="https://doi.org/10.1126/science.aem0441" TargetMode="External"/><Relationship Id="rId2369" Type="http://schemas.openxmlformats.org/officeDocument/2006/relationships/hyperlink" Target="https://www.science.org/doi/10.1126/science.adx3863" TargetMode="External"/><Relationship Id="rId2370" Type="http://schemas.openxmlformats.org/officeDocument/2006/relationships/hyperlink" Target="https://doi.org/10.1126/science.adx3863" TargetMode="External"/><Relationship Id="rId2371" Type="http://schemas.openxmlformats.org/officeDocument/2006/relationships/hyperlink" Target="https://www.science.org/doi/10.1126/science.aem0116" TargetMode="External"/><Relationship Id="rId2372" Type="http://schemas.openxmlformats.org/officeDocument/2006/relationships/hyperlink" Target="https://doi.org/10.1126/science.aem0116" TargetMode="External"/><Relationship Id="rId2373" Type="http://schemas.openxmlformats.org/officeDocument/2006/relationships/hyperlink" Target="https://www.science.org/doi/10.1126/science.ady5180" TargetMode="External"/><Relationship Id="rId2374" Type="http://schemas.openxmlformats.org/officeDocument/2006/relationships/hyperlink" Target="https://doi.org/10.1126/science.ady5180" TargetMode="External"/><Relationship Id="rId2375" Type="http://schemas.openxmlformats.org/officeDocument/2006/relationships/hyperlink" Target="https://pubs.acs.org/aamick/article/doi/10.1021/acsami.6c14239/5408456/Architectural-Optimization-of-Multilayer-Thermal" TargetMode="External"/><Relationship Id="rId2376" Type="http://schemas.openxmlformats.org/officeDocument/2006/relationships/hyperlink" Target="https://doi.org/10.1021/acsami.6c14239" TargetMode="External"/><Relationship Id="rId2377" Type="http://schemas.openxmlformats.org/officeDocument/2006/relationships/hyperlink" Target="https://doi.org/10.1021/acsami.6c08143" TargetMode="External"/><Relationship Id="rId2378" Type="http://schemas.openxmlformats.org/officeDocument/2006/relationships/hyperlink" Target="https://www.nature.com/articles/s41467-026-77432-0" TargetMode="External"/><Relationship Id="rId2379" Type="http://schemas.openxmlformats.org/officeDocument/2006/relationships/hyperlink" Target="https://doi.org/10.1021/acsami.6c10731" TargetMode="External"/><Relationship Id="rId2380" Type="http://schemas.openxmlformats.org/officeDocument/2006/relationships/hyperlink" Target="https://doi.org/10.1021/acsami.6c12625" TargetMode="External"/><Relationship Id="rId2381" Type="http://schemas.openxmlformats.org/officeDocument/2006/relationships/hyperlink" Target="https://doi.org/10.1021/acsami.6c13289" TargetMode="External"/><Relationship Id="rId2382" Type="http://schemas.openxmlformats.org/officeDocument/2006/relationships/hyperlink" Target="https://doi.org/10.1021/acsami.6c13549" TargetMode="External"/><Relationship Id="rId2383" Type="http://schemas.openxmlformats.org/officeDocument/2006/relationships/hyperlink" Target="https://doi.org/10.1021/acsami.6c09171" TargetMode="External"/><Relationship Id="rId2384" Type="http://schemas.openxmlformats.org/officeDocument/2006/relationships/hyperlink" Target="https://doi.org/10.1021/acsami.6c08939" TargetMode="External"/><Relationship Id="rId2385" Type="http://schemas.openxmlformats.org/officeDocument/2006/relationships/hyperlink" Target="https://doi.org/10.1021/acsami.6c06142" TargetMode="External"/><Relationship Id="rId2386" Type="http://schemas.openxmlformats.org/officeDocument/2006/relationships/hyperlink" Target="https://doi.org/10.1021/acsami.6c15497" TargetMode="External"/><Relationship Id="rId2387" Type="http://schemas.openxmlformats.org/officeDocument/2006/relationships/hyperlink" Target="https://doi.org/10.1021/acsami.6c11871" TargetMode="External"/><Relationship Id="rId2388" Type="http://schemas.openxmlformats.org/officeDocument/2006/relationships/hyperlink" Target="https://doi.org/10.1021/acsami.6c07783" TargetMode="External"/><Relationship Id="rId2389" Type="http://schemas.openxmlformats.org/officeDocument/2006/relationships/hyperlink" Target="https://www.nature.com/articles/s44359-026-00214-w" TargetMode="External"/><Relationship Id="rId2390" Type="http://schemas.openxmlformats.org/officeDocument/2006/relationships/hyperlink" Target="https://doi.org/10.1038/s44359-026-00214-w" TargetMode="External"/><Relationship Id="rId2391" Type="http://schemas.openxmlformats.org/officeDocument/2006/relationships/hyperlink" Target="https://www.nature.com/articles/d41586-026-02517-1" TargetMode="External"/><Relationship Id="rId2392" Type="http://schemas.openxmlformats.org/officeDocument/2006/relationships/hyperlink" Target="https://doi.org/10.1038/d41586-026-02517-1" TargetMode="External"/><Relationship Id="rId2393" Type="http://schemas.openxmlformats.org/officeDocument/2006/relationships/hyperlink" Target="https://www.nature.com/articles/d41586-026-02650-x" TargetMode="External"/><Relationship Id="rId2394" Type="http://schemas.openxmlformats.org/officeDocument/2006/relationships/hyperlink" Target="https://doi.org/10.1038/d41586-026-02650-x" TargetMode="External"/><Relationship Id="rId2395" Type="http://schemas.openxmlformats.org/officeDocument/2006/relationships/hyperlink" Target="https://www.nature.com/articles/d41586-026-02744-6" TargetMode="External"/><Relationship Id="rId2396" Type="http://schemas.openxmlformats.org/officeDocument/2006/relationships/hyperlink" Target="https://doi.org/10.1038/d41586-026-02744-6" TargetMode="External"/><Relationship Id="rId2397" Type="http://schemas.openxmlformats.org/officeDocument/2006/relationships/hyperlink" Target="https://www.nature.com/articles/d41586-026-02765-1" TargetMode="External"/><Relationship Id="rId2398" Type="http://schemas.openxmlformats.org/officeDocument/2006/relationships/hyperlink" Target="https://doi.org/10.1038/d41586-026-02765-1" TargetMode="External"/><Relationship Id="rId2399" Type="http://schemas.openxmlformats.org/officeDocument/2006/relationships/hyperlink" Target="https://www.nature.com/articles/s41586-026-11091-5" TargetMode="External"/><Relationship Id="rId2400" Type="http://schemas.openxmlformats.org/officeDocument/2006/relationships/hyperlink" Target="https://doi.org/10.1038/s41586-026-11091-5" TargetMode="External"/><Relationship Id="rId2401" Type="http://schemas.openxmlformats.org/officeDocument/2006/relationships/hyperlink" Target="https://www.nature.com/articles/s41565-026-02267-1" TargetMode="External"/><Relationship Id="rId2402" Type="http://schemas.openxmlformats.org/officeDocument/2006/relationships/hyperlink" Target="https://doi.org/10.1038/s41565-026-02267-1" TargetMode="External"/><Relationship Id="rId2403" Type="http://schemas.openxmlformats.org/officeDocument/2006/relationships/hyperlink" Target="https://doi.org/10.1021/acsami.6c14655" TargetMode="External"/><Relationship Id="rId2404" Type="http://schemas.openxmlformats.org/officeDocument/2006/relationships/hyperlink" Target="https://doi.org/10.1126/science.aek3898" TargetMode="External"/><Relationship Id="rId2405" Type="http://schemas.openxmlformats.org/officeDocument/2006/relationships/hyperlink" Target="https://doi.org/10.1126/science.ael9089" TargetMode="External"/><Relationship Id="rId2406" Type="http://schemas.openxmlformats.org/officeDocument/2006/relationships/hyperlink" Target="https://doi.org/10.1126/science.aek8358" TargetMode="External"/><Relationship Id="rId2407" Type="http://schemas.openxmlformats.org/officeDocument/2006/relationships/hyperlink" Target="https://doi.org/10.1126/science.ael2773" TargetMode="External"/><Relationship Id="rId2408" Type="http://schemas.openxmlformats.org/officeDocument/2006/relationships/hyperlink" Target="https://pubs.acs.org/aamick/article/doi/10.1021/acsami.6c07783/5405258/Strain-Engineered-Intramolecular-Junctions-in" TargetMode="External"/><Relationship Id="rId2409" Type="http://schemas.openxmlformats.org/officeDocument/2006/relationships/hyperlink" Target="https://pubs.acs.org/aamick/article/doi/10.1021/acsami.6c11871/5413693/Evaluating-the-Impact-of-Surface-Treatments-on-a" TargetMode="External"/><Relationship Id="rId2410" Type="http://schemas.openxmlformats.org/officeDocument/2006/relationships/hyperlink" Target="https://pubs.acs.org/aamick/article/doi/10.1021/acsami.6c08143/5405251/Self-Activated-Direct-Bonding-with-a-Highly-Polar" TargetMode="External"/><Relationship Id="rId2411" Type="http://schemas.openxmlformats.org/officeDocument/2006/relationships/hyperlink" Target="https://pubs.acs.org/aamick/article/doi/10.1021/acsami.6c14655/5414937/Two-Step-Access-to-High-Energy-Materials-via" TargetMode="External"/><Relationship Id="rId2412" Type="http://schemas.openxmlformats.org/officeDocument/2006/relationships/hyperlink" Target="https://pubs.acs.org/aamick/article/doi/10.1021/acsami.6c10731/5406666/Chirality-Driven-Left-Handed-Helical-Nanofibers" TargetMode="External"/><Relationship Id="rId2413" Type="http://schemas.openxmlformats.org/officeDocument/2006/relationships/hyperlink" Target="https://pubs.acs.org/aamick/article/doi/10.1021/acsami.6c12625/5410880/300-Period-Si-SiGe-Superlattices-on-12-inch-Wafers" TargetMode="External"/><Relationship Id="rId2414" Type="http://schemas.openxmlformats.org/officeDocument/2006/relationships/hyperlink" Target="https://pubs.acs.org/aamick/article/doi/10.1021/acsami.6c13549/5399638/Effect-of-Substrate-Miscut-on-the-Epitaxial-Growth" TargetMode="External"/><Relationship Id="rId2415" Type="http://schemas.openxmlformats.org/officeDocument/2006/relationships/hyperlink" Target="https://pubs.acs.org/aamick/article/doi/10.1021/acsami.6c13289/5414427/Complementary-Asymmetric-Fluorinated-Viologen-and" TargetMode="External"/><Relationship Id="rId2416" Type="http://schemas.openxmlformats.org/officeDocument/2006/relationships/hyperlink" Target="https://pubs.acs.org/aamick/article/doi/10.1021/acsami.6c09171/5413301/Strain-Regulated-Plasmonic-Excitation-and-Raman" TargetMode="External"/><Relationship Id="rId2417" Type="http://schemas.openxmlformats.org/officeDocument/2006/relationships/hyperlink" Target="https://pubs.acs.org/aamick/article/doi/10.1021/acsami.6c08939/5406639/Perovskite-Oxide-Interfaces-Tailored-by-Cation" TargetMode="External"/><Relationship Id="rId2418" Type="http://schemas.openxmlformats.org/officeDocument/2006/relationships/hyperlink" Target="https://pubs.acs.org/aamick/article/doi/10.1021/acsami.6c06142/5406709/Delivery-of-CAR-T-Cells-in-a-Magnesium" TargetMode="External"/><Relationship Id="rId2419" Type="http://schemas.openxmlformats.org/officeDocument/2006/relationships/hyperlink" Target="https://pubs.acs.org/aamick/article/doi/10.1021/acsami.6c15497/5404496/Stress-Induced-Electronic-Atomic-Interfacial" TargetMode="External"/><Relationship Id="rId2420" Type="http://schemas.openxmlformats.org/officeDocument/2006/relationships/hyperlink" Target="https://doi.org/10.1126/science.ael0869" TargetMode="External"/><Relationship Id="rId2421" Type="http://schemas.openxmlformats.org/officeDocument/2006/relationships/hyperlink" Target="https://doi.org/10.1126/science.aem0118" TargetMode="External"/><Relationship Id="rId2422" Type="http://schemas.openxmlformats.org/officeDocument/2006/relationships/hyperlink" Target="https://doi.org/10.1126/science.aek9910" TargetMode="External"/><Relationship Id="rId2423" Type="http://schemas.openxmlformats.org/officeDocument/2006/relationships/hyperlink" Target="https://doi.org/10.1126/science.aej8902" TargetMode="External"/><Relationship Id="rId2424" Type="http://schemas.openxmlformats.org/officeDocument/2006/relationships/hyperlink" Target="https://www.pnas.org/doi/abs/10.1073/pnas.2609634123?mi=eymic2&amp;af=R&amp;access=on&amp;content=articlesChapters&amp;publication=pnas&amp;sortBy=Earliest&amp;target=default" TargetMode="External"/><Relationship Id="rId2425" Type="http://schemas.openxmlformats.org/officeDocument/2006/relationships/hyperlink" Target="https://doi.org/10.1073/pnas.2609634123" TargetMode="External"/><Relationship Id="rId2426" Type="http://schemas.openxmlformats.org/officeDocument/2006/relationships/hyperlink" Target="https://www.pnas.org/doi/abs/10.1073/pnas.2620397123?mi=eymic2&amp;af=R&amp;access=on&amp;content=articlesChapters&amp;publication=pnas&amp;sortBy=Earliest&amp;target=default" TargetMode="External"/><Relationship Id="rId2427" Type="http://schemas.openxmlformats.org/officeDocument/2006/relationships/hyperlink" Target="https://doi.org/10.1073/pnas.2620397123" TargetMode="External"/><Relationship Id="rId2428" Type="http://schemas.openxmlformats.org/officeDocument/2006/relationships/hyperlink" Target="https://www.pnas.org/doi/abs/10.1073/pnas.2530532123?mi=eymic2&amp;af=R&amp;access=on&amp;content=articlesChapters&amp;publication=pnas&amp;sortBy=Earliest&amp;target=default" TargetMode="External"/><Relationship Id="rId2429" Type="http://schemas.openxmlformats.org/officeDocument/2006/relationships/hyperlink" Target="https://doi.org/10.1073/pnas.2530532123" TargetMode="External"/><Relationship Id="rId2430" Type="http://schemas.openxmlformats.org/officeDocument/2006/relationships/hyperlink" Target="https://www.pnas.org/doi/abs/10.1073/pnas.2532946123?mi=eymic2&amp;af=R&amp;access=on&amp;content=articlesChapters&amp;publication=pnas&amp;sortBy=Earliest&amp;target=default" TargetMode="External"/><Relationship Id="rId2431" Type="http://schemas.openxmlformats.org/officeDocument/2006/relationships/hyperlink" Target="https://doi.org/10.1073/pnas.2532946123" TargetMode="External"/><Relationship Id="rId2432" Type="http://schemas.openxmlformats.org/officeDocument/2006/relationships/hyperlink" Target="https://www.pnas.org/doi/abs/10.1073/pnas.2535662123?mi=eymic2&amp;af=R&amp;access=on&amp;content=articlesChapters&amp;publication=pnas&amp;sortBy=Earliest&amp;target=default" TargetMode="External"/><Relationship Id="rId2433" Type="http://schemas.openxmlformats.org/officeDocument/2006/relationships/hyperlink" Target="https://doi.org/10.1073/pnas.2535662123" TargetMode="External"/><Relationship Id="rId2434" Type="http://schemas.openxmlformats.org/officeDocument/2006/relationships/hyperlink" Target="https://www.pnas.org/doi/abs/10.1073/pnas.2612278123?mi=eymic2&amp;af=R&amp;access=on&amp;content=articlesChapters&amp;publication=pnas&amp;sortBy=Earliest&amp;target=default" TargetMode="External"/><Relationship Id="rId2435" Type="http://schemas.openxmlformats.org/officeDocument/2006/relationships/hyperlink" Target="https://doi.org/10.1073/pnas.2612278123" TargetMode="External"/><Relationship Id="rId2436" Type="http://schemas.openxmlformats.org/officeDocument/2006/relationships/hyperlink" Target="https://www.pnas.org/doi/abs/10.1073/pnas.2613565123?mi=eymic2&amp;af=R&amp;access=on&amp;content=articlesChapters&amp;publication=pnas&amp;sortBy=Earliest&amp;target=default" TargetMode="External"/><Relationship Id="rId2437" Type="http://schemas.openxmlformats.org/officeDocument/2006/relationships/hyperlink" Target="https://doi.org/10.1073/pnas.2613565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